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C13B3" w14:textId="77777777" w:rsidR="007F6158" w:rsidRDefault="007F6158" w:rsidP="007F6158">
      <w:bookmarkStart w:id="0" w:name="RANGE!A1:AE47"/>
    </w:p>
    <w:p w14:paraId="7E9C7A3D" w14:textId="77777777" w:rsidR="007F6158" w:rsidRDefault="007F6158" w:rsidP="007F6158"/>
    <w:p w14:paraId="540A698C" w14:textId="77777777" w:rsidR="007F6158" w:rsidRDefault="007F6158" w:rsidP="007F6158"/>
    <w:p w14:paraId="2E801593" w14:textId="77777777" w:rsidR="007F6158" w:rsidRDefault="007F6158" w:rsidP="007F6158"/>
    <w:p w14:paraId="02C86998" w14:textId="77777777" w:rsidR="007F6158" w:rsidRDefault="007F6158" w:rsidP="007F6158"/>
    <w:p w14:paraId="5D87A0BE" w14:textId="77777777" w:rsidR="007F6158" w:rsidRDefault="007F6158" w:rsidP="007F6158"/>
    <w:p w14:paraId="372E7F87" w14:textId="77777777" w:rsidR="007F6158" w:rsidRDefault="007F6158" w:rsidP="007F6158"/>
    <w:p w14:paraId="0DDF3B1B" w14:textId="77777777" w:rsidR="007F6158" w:rsidRDefault="007F6158" w:rsidP="007F6158"/>
    <w:p w14:paraId="47EB4536" w14:textId="77777777" w:rsidR="007F6158" w:rsidRDefault="007F6158" w:rsidP="007F6158"/>
    <w:p w14:paraId="27CB109F" w14:textId="77777777" w:rsidR="007F6158" w:rsidRDefault="007F6158" w:rsidP="007F6158"/>
    <w:p w14:paraId="34495BBC" w14:textId="77777777" w:rsidR="007F6158" w:rsidRDefault="007F6158" w:rsidP="007F6158"/>
    <w:p w14:paraId="7D510912" w14:textId="77777777" w:rsidR="007F6158" w:rsidRPr="00180A17" w:rsidRDefault="007F6158" w:rsidP="007F6158">
      <w:pPr>
        <w:jc w:val="center"/>
        <w:rPr>
          <w:rFonts w:ascii="Times New Roman" w:hAnsi="Times New Roman"/>
          <w:b/>
          <w:sz w:val="24"/>
          <w:szCs w:val="24"/>
        </w:rPr>
      </w:pPr>
      <w:r w:rsidRPr="00180A17">
        <w:rPr>
          <w:rFonts w:ascii="Times New Roman" w:hAnsi="Times New Roman"/>
          <w:b/>
          <w:sz w:val="24"/>
          <w:szCs w:val="24"/>
        </w:rPr>
        <w:t>Príloha č. 3</w:t>
      </w:r>
    </w:p>
    <w:p w14:paraId="28D5E636" w14:textId="5C3A2C40" w:rsidR="007F6158" w:rsidRDefault="007F6158" w:rsidP="007F6158">
      <w:pPr>
        <w:jc w:val="center"/>
        <w:rPr>
          <w:rFonts w:ascii="Times New Roman" w:hAnsi="Times New Roman"/>
          <w:b/>
          <w:sz w:val="24"/>
          <w:szCs w:val="24"/>
        </w:rPr>
      </w:pPr>
      <w:r w:rsidRPr="00180A17">
        <w:rPr>
          <w:rFonts w:ascii="Times New Roman" w:hAnsi="Times New Roman"/>
          <w:b/>
          <w:sz w:val="24"/>
          <w:szCs w:val="24"/>
        </w:rPr>
        <w:t>Súhrnná účtovná závierka SR za rok 2022</w:t>
      </w:r>
    </w:p>
    <w:p w14:paraId="3EC06A8B" w14:textId="6DE911FB" w:rsidR="007F6158" w:rsidRDefault="007F6158">
      <w:pPr>
        <w:spacing w:after="0" w:line="240" w:lineRule="auto"/>
        <w:rPr>
          <w:rFonts w:ascii="Times New Roman" w:hAnsi="Times New Roman"/>
          <w:b/>
          <w:sz w:val="24"/>
          <w:szCs w:val="24"/>
        </w:rPr>
      </w:pPr>
      <w:r>
        <w:rPr>
          <w:rFonts w:ascii="Times New Roman" w:hAnsi="Times New Roman"/>
          <w:b/>
          <w:sz w:val="24"/>
          <w:szCs w:val="24"/>
        </w:rPr>
        <w:br w:type="page"/>
      </w:r>
    </w:p>
    <w:tbl>
      <w:tblPr>
        <w:tblW w:w="11091" w:type="dxa"/>
        <w:tblInd w:w="-709" w:type="dxa"/>
        <w:tblCellMar>
          <w:left w:w="70" w:type="dxa"/>
          <w:right w:w="70" w:type="dxa"/>
        </w:tblCellMar>
        <w:tblLook w:val="04A0" w:firstRow="1" w:lastRow="0" w:firstColumn="1" w:lastColumn="0" w:noHBand="0" w:noVBand="1"/>
      </w:tblPr>
      <w:tblGrid>
        <w:gridCol w:w="976"/>
        <w:gridCol w:w="327"/>
        <w:gridCol w:w="263"/>
        <w:gridCol w:w="370"/>
        <w:gridCol w:w="370"/>
        <w:gridCol w:w="285"/>
        <w:gridCol w:w="290"/>
        <w:gridCol w:w="290"/>
        <w:gridCol w:w="290"/>
        <w:gridCol w:w="285"/>
        <w:gridCol w:w="325"/>
        <w:gridCol w:w="300"/>
        <w:gridCol w:w="285"/>
        <w:gridCol w:w="285"/>
        <w:gridCol w:w="285"/>
        <w:gridCol w:w="285"/>
        <w:gridCol w:w="344"/>
        <w:gridCol w:w="396"/>
        <w:gridCol w:w="285"/>
        <w:gridCol w:w="290"/>
        <w:gridCol w:w="290"/>
        <w:gridCol w:w="287"/>
        <w:gridCol w:w="242"/>
        <w:gridCol w:w="252"/>
        <w:gridCol w:w="274"/>
        <w:gridCol w:w="242"/>
        <w:gridCol w:w="242"/>
        <w:gridCol w:w="242"/>
        <w:gridCol w:w="242"/>
        <w:gridCol w:w="976"/>
        <w:gridCol w:w="976"/>
      </w:tblGrid>
      <w:tr w:rsidR="00BC3EA8" w:rsidRPr="00C66720" w14:paraId="1BC2EC45" w14:textId="77777777" w:rsidTr="007F6158">
        <w:trPr>
          <w:trHeight w:val="375"/>
        </w:trPr>
        <w:tc>
          <w:tcPr>
            <w:tcW w:w="976" w:type="dxa"/>
            <w:tcBorders>
              <w:top w:val="nil"/>
              <w:left w:val="nil"/>
              <w:bottom w:val="nil"/>
              <w:right w:val="nil"/>
            </w:tcBorders>
            <w:shd w:val="clear" w:color="000000" w:fill="FFFFFF"/>
            <w:noWrap/>
            <w:vAlign w:val="center"/>
            <w:hideMark/>
          </w:tcPr>
          <w:p w14:paraId="651ABA08" w14:textId="5CB465E3" w:rsidR="00FD71D5" w:rsidRPr="00C66720" w:rsidRDefault="00FD71D5" w:rsidP="00FD71D5">
            <w:pPr>
              <w:spacing w:after="0" w:line="240" w:lineRule="auto"/>
              <w:rPr>
                <w:rFonts w:ascii="Times New Roman" w:hAnsi="Times New Roman"/>
                <w:color w:val="FF0000"/>
                <w:sz w:val="28"/>
                <w:szCs w:val="28"/>
                <w:lang w:eastAsia="sk-SK"/>
              </w:rPr>
            </w:pPr>
            <w:r w:rsidRPr="00C66720">
              <w:rPr>
                <w:rFonts w:ascii="Times New Roman" w:hAnsi="Times New Roman"/>
                <w:color w:val="FF0000"/>
                <w:sz w:val="28"/>
                <w:szCs w:val="28"/>
                <w:lang w:eastAsia="sk-SK"/>
              </w:rPr>
              <w:lastRenderedPageBreak/>
              <w:t> </w:t>
            </w:r>
            <w:bookmarkEnd w:id="0"/>
          </w:p>
        </w:tc>
        <w:tc>
          <w:tcPr>
            <w:tcW w:w="7921" w:type="dxa"/>
            <w:gridSpan w:val="27"/>
            <w:tcBorders>
              <w:top w:val="nil"/>
              <w:left w:val="nil"/>
              <w:bottom w:val="nil"/>
              <w:right w:val="nil"/>
            </w:tcBorders>
            <w:shd w:val="clear" w:color="000000" w:fill="FFFFFF"/>
            <w:noWrap/>
            <w:vAlign w:val="center"/>
            <w:hideMark/>
          </w:tcPr>
          <w:p w14:paraId="4D5FBDC4" w14:textId="51415DC1" w:rsidR="00FD71D5" w:rsidRPr="00C66720" w:rsidRDefault="00C3780E" w:rsidP="00C3780E">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xml:space="preserve">SÚHRNNÁ </w:t>
            </w:r>
            <w:r w:rsidR="00FD71D5" w:rsidRPr="00C66720">
              <w:rPr>
                <w:rFonts w:ascii="Times New Roman" w:hAnsi="Times New Roman"/>
                <w:b/>
                <w:bCs/>
                <w:sz w:val="28"/>
                <w:szCs w:val="28"/>
                <w:lang w:eastAsia="sk-SK"/>
              </w:rPr>
              <w:t>ÚČTOVNÁ ZÁVIERKA</w:t>
            </w:r>
            <w:r w:rsidRPr="00C66720">
              <w:rPr>
                <w:rFonts w:ascii="Times New Roman" w:hAnsi="Times New Roman"/>
                <w:b/>
                <w:bCs/>
                <w:sz w:val="28"/>
                <w:szCs w:val="28"/>
                <w:lang w:eastAsia="sk-SK"/>
              </w:rPr>
              <w:t xml:space="preserve"> VEREJNEJ SPRÁVY</w:t>
            </w:r>
            <w:r w:rsidR="00FD71D5" w:rsidRPr="00C66720">
              <w:rPr>
                <w:rFonts w:ascii="Times New Roman" w:hAnsi="Times New Roman"/>
                <w:b/>
                <w:bCs/>
                <w:sz w:val="28"/>
                <w:szCs w:val="28"/>
                <w:lang w:eastAsia="sk-SK"/>
              </w:rPr>
              <w:t xml:space="preserve"> </w:t>
            </w:r>
          </w:p>
        </w:tc>
        <w:tc>
          <w:tcPr>
            <w:tcW w:w="242" w:type="dxa"/>
            <w:tcBorders>
              <w:top w:val="nil"/>
              <w:left w:val="nil"/>
              <w:bottom w:val="nil"/>
              <w:right w:val="nil"/>
            </w:tcBorders>
            <w:shd w:val="clear" w:color="000000" w:fill="FFFFFF"/>
            <w:noWrap/>
            <w:vAlign w:val="center"/>
            <w:hideMark/>
          </w:tcPr>
          <w:p w14:paraId="6CFFE184" w14:textId="77777777" w:rsidR="00FD71D5" w:rsidRPr="00C66720" w:rsidRDefault="00FD71D5" w:rsidP="00FD71D5">
            <w:pPr>
              <w:spacing w:after="0" w:line="240" w:lineRule="auto"/>
              <w:rPr>
                <w:rFonts w:ascii="Times New Roman" w:hAnsi="Times New Roman"/>
                <w:b/>
                <w:bCs/>
                <w:color w:val="FF0000"/>
                <w:sz w:val="28"/>
                <w:szCs w:val="28"/>
                <w:lang w:eastAsia="sk-SK"/>
              </w:rPr>
            </w:pPr>
            <w:r w:rsidRPr="00C66720">
              <w:rPr>
                <w:rFonts w:ascii="Times New Roman" w:hAnsi="Times New Roman"/>
                <w:b/>
                <w:bCs/>
                <w:color w:val="FF0000"/>
                <w:sz w:val="28"/>
                <w:szCs w:val="28"/>
                <w:lang w:eastAsia="sk-SK"/>
              </w:rPr>
              <w:t> </w:t>
            </w:r>
          </w:p>
        </w:tc>
        <w:tc>
          <w:tcPr>
            <w:tcW w:w="976" w:type="dxa"/>
            <w:tcBorders>
              <w:top w:val="nil"/>
              <w:left w:val="nil"/>
              <w:bottom w:val="nil"/>
              <w:right w:val="nil"/>
            </w:tcBorders>
            <w:shd w:val="clear" w:color="000000" w:fill="FFFFFF"/>
            <w:noWrap/>
            <w:vAlign w:val="center"/>
            <w:hideMark/>
          </w:tcPr>
          <w:p w14:paraId="2F7B7293" w14:textId="77777777" w:rsidR="00FD71D5" w:rsidRPr="00C66720" w:rsidRDefault="00FD71D5" w:rsidP="00FD71D5">
            <w:pPr>
              <w:spacing w:after="0" w:line="240" w:lineRule="auto"/>
              <w:rPr>
                <w:rFonts w:ascii="Times New Roman" w:hAnsi="Times New Roman"/>
                <w:color w:val="FF0000"/>
                <w:sz w:val="28"/>
                <w:szCs w:val="28"/>
                <w:lang w:eastAsia="sk-SK"/>
              </w:rPr>
            </w:pPr>
            <w:r w:rsidRPr="00C66720">
              <w:rPr>
                <w:rFonts w:ascii="Times New Roman" w:hAnsi="Times New Roman"/>
                <w:color w:val="FF0000"/>
                <w:sz w:val="28"/>
                <w:szCs w:val="28"/>
                <w:lang w:eastAsia="sk-SK"/>
              </w:rPr>
              <w:t> </w:t>
            </w:r>
          </w:p>
        </w:tc>
        <w:tc>
          <w:tcPr>
            <w:tcW w:w="976" w:type="dxa"/>
            <w:tcBorders>
              <w:top w:val="nil"/>
              <w:left w:val="nil"/>
              <w:bottom w:val="nil"/>
              <w:right w:val="nil"/>
            </w:tcBorders>
            <w:shd w:val="clear" w:color="000000" w:fill="FFFFFF"/>
            <w:noWrap/>
            <w:vAlign w:val="center"/>
            <w:hideMark/>
          </w:tcPr>
          <w:p w14:paraId="2DE7415A" w14:textId="77777777" w:rsidR="00FD71D5" w:rsidRPr="00C66720" w:rsidRDefault="00FD71D5" w:rsidP="00FD71D5">
            <w:pPr>
              <w:spacing w:after="0" w:line="240" w:lineRule="auto"/>
              <w:rPr>
                <w:rFonts w:ascii="Times New Roman" w:hAnsi="Times New Roman"/>
                <w:color w:val="FF0000"/>
                <w:sz w:val="28"/>
                <w:szCs w:val="28"/>
                <w:lang w:eastAsia="sk-SK"/>
              </w:rPr>
            </w:pPr>
            <w:r w:rsidRPr="00C66720">
              <w:rPr>
                <w:rFonts w:ascii="Times New Roman" w:hAnsi="Times New Roman"/>
                <w:color w:val="FF0000"/>
                <w:sz w:val="28"/>
                <w:szCs w:val="28"/>
                <w:lang w:eastAsia="sk-SK"/>
              </w:rPr>
              <w:t> </w:t>
            </w:r>
          </w:p>
        </w:tc>
      </w:tr>
      <w:tr w:rsidR="00BC3EA8" w:rsidRPr="00C66720" w14:paraId="570C51A4" w14:textId="77777777" w:rsidTr="007F6158">
        <w:trPr>
          <w:trHeight w:val="375"/>
        </w:trPr>
        <w:tc>
          <w:tcPr>
            <w:tcW w:w="976" w:type="dxa"/>
            <w:tcBorders>
              <w:top w:val="nil"/>
              <w:left w:val="nil"/>
              <w:bottom w:val="nil"/>
              <w:right w:val="nil"/>
            </w:tcBorders>
            <w:shd w:val="clear" w:color="000000" w:fill="FFFFFF"/>
            <w:noWrap/>
            <w:vAlign w:val="center"/>
            <w:hideMark/>
          </w:tcPr>
          <w:p w14:paraId="1FEECCFD"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7921" w:type="dxa"/>
            <w:gridSpan w:val="27"/>
            <w:tcBorders>
              <w:top w:val="nil"/>
              <w:left w:val="nil"/>
              <w:bottom w:val="nil"/>
              <w:right w:val="nil"/>
            </w:tcBorders>
            <w:shd w:val="clear" w:color="000000" w:fill="FFFFFF"/>
            <w:noWrap/>
            <w:vAlign w:val="center"/>
            <w:hideMark/>
          </w:tcPr>
          <w:p w14:paraId="273AC90C" w14:textId="2A036424" w:rsidR="00FD71D5" w:rsidRPr="00C66720" w:rsidRDefault="00C3780E"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SLOVENSKEJ REPUBLIKY</w:t>
            </w:r>
            <w:r w:rsidR="00FD71D5" w:rsidRPr="00C66720">
              <w:rPr>
                <w:rFonts w:ascii="Times New Roman" w:hAnsi="Times New Roman"/>
                <w:b/>
                <w:bCs/>
                <w:sz w:val="28"/>
                <w:szCs w:val="28"/>
                <w:lang w:eastAsia="sk-SK"/>
              </w:rPr>
              <w:t xml:space="preserve"> </w:t>
            </w:r>
          </w:p>
        </w:tc>
        <w:tc>
          <w:tcPr>
            <w:tcW w:w="242" w:type="dxa"/>
            <w:tcBorders>
              <w:top w:val="nil"/>
              <w:left w:val="nil"/>
              <w:bottom w:val="nil"/>
              <w:right w:val="nil"/>
            </w:tcBorders>
            <w:shd w:val="clear" w:color="000000" w:fill="FFFFFF"/>
            <w:noWrap/>
            <w:vAlign w:val="center"/>
            <w:hideMark/>
          </w:tcPr>
          <w:p w14:paraId="153FA19C" w14:textId="77777777" w:rsidR="00FD71D5" w:rsidRPr="00C66720" w:rsidRDefault="00FD71D5" w:rsidP="00FD71D5">
            <w:pPr>
              <w:spacing w:after="0" w:line="240" w:lineRule="auto"/>
              <w:jc w:val="center"/>
              <w:rPr>
                <w:rFonts w:ascii="Times New Roman" w:hAnsi="Times New Roman"/>
                <w:b/>
                <w:bCs/>
                <w:color w:val="FF0000"/>
                <w:sz w:val="20"/>
                <w:szCs w:val="20"/>
                <w:lang w:eastAsia="sk-SK"/>
              </w:rPr>
            </w:pPr>
            <w:r w:rsidRPr="00C66720">
              <w:rPr>
                <w:rFonts w:ascii="Times New Roman" w:hAnsi="Times New Roman"/>
                <w:b/>
                <w:bCs/>
                <w:color w:val="FF0000"/>
                <w:sz w:val="20"/>
                <w:szCs w:val="20"/>
                <w:lang w:eastAsia="sk-SK"/>
              </w:rPr>
              <w:t> </w:t>
            </w:r>
          </w:p>
        </w:tc>
        <w:tc>
          <w:tcPr>
            <w:tcW w:w="976" w:type="dxa"/>
            <w:tcBorders>
              <w:top w:val="nil"/>
              <w:left w:val="nil"/>
              <w:bottom w:val="nil"/>
              <w:right w:val="nil"/>
            </w:tcBorders>
            <w:shd w:val="clear" w:color="000000" w:fill="FFFFFF"/>
            <w:noWrap/>
            <w:vAlign w:val="center"/>
            <w:hideMark/>
          </w:tcPr>
          <w:p w14:paraId="4527A5C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976" w:type="dxa"/>
            <w:tcBorders>
              <w:top w:val="nil"/>
              <w:left w:val="nil"/>
              <w:bottom w:val="nil"/>
              <w:right w:val="nil"/>
            </w:tcBorders>
            <w:shd w:val="clear" w:color="000000" w:fill="FFFFFF"/>
            <w:noWrap/>
            <w:vAlign w:val="center"/>
            <w:hideMark/>
          </w:tcPr>
          <w:p w14:paraId="1D0EACEA"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002B3566" w14:textId="77777777" w:rsidTr="007F6158">
        <w:trPr>
          <w:trHeight w:val="375"/>
        </w:trPr>
        <w:tc>
          <w:tcPr>
            <w:tcW w:w="976" w:type="dxa"/>
            <w:tcBorders>
              <w:top w:val="nil"/>
              <w:left w:val="nil"/>
              <w:bottom w:val="nil"/>
              <w:right w:val="nil"/>
            </w:tcBorders>
            <w:shd w:val="clear" w:color="000000" w:fill="FFFFFF"/>
            <w:noWrap/>
            <w:vAlign w:val="center"/>
            <w:hideMark/>
          </w:tcPr>
          <w:p w14:paraId="0EA4E91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678F7331"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63" w:type="dxa"/>
            <w:tcBorders>
              <w:top w:val="nil"/>
              <w:left w:val="nil"/>
              <w:bottom w:val="nil"/>
              <w:right w:val="nil"/>
            </w:tcBorders>
            <w:shd w:val="clear" w:color="000000" w:fill="FFFFFF"/>
            <w:noWrap/>
            <w:vAlign w:val="center"/>
            <w:hideMark/>
          </w:tcPr>
          <w:p w14:paraId="05431C76"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370" w:type="dxa"/>
            <w:tcBorders>
              <w:top w:val="nil"/>
              <w:left w:val="nil"/>
              <w:bottom w:val="nil"/>
              <w:right w:val="nil"/>
            </w:tcBorders>
            <w:shd w:val="clear" w:color="000000" w:fill="FFFFFF"/>
            <w:noWrap/>
            <w:vAlign w:val="center"/>
            <w:hideMark/>
          </w:tcPr>
          <w:p w14:paraId="7AA77F6E"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370" w:type="dxa"/>
            <w:tcBorders>
              <w:top w:val="nil"/>
              <w:left w:val="nil"/>
              <w:bottom w:val="nil"/>
              <w:right w:val="nil"/>
            </w:tcBorders>
            <w:shd w:val="clear" w:color="000000" w:fill="FFFFFF"/>
            <w:noWrap/>
            <w:vAlign w:val="center"/>
            <w:hideMark/>
          </w:tcPr>
          <w:p w14:paraId="06D09161"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85" w:type="dxa"/>
            <w:tcBorders>
              <w:top w:val="nil"/>
              <w:left w:val="nil"/>
              <w:bottom w:val="nil"/>
              <w:right w:val="nil"/>
            </w:tcBorders>
            <w:shd w:val="clear" w:color="000000" w:fill="FFFFFF"/>
            <w:noWrap/>
            <w:vAlign w:val="center"/>
            <w:hideMark/>
          </w:tcPr>
          <w:p w14:paraId="0A65F7CE"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90" w:type="dxa"/>
            <w:tcBorders>
              <w:top w:val="nil"/>
              <w:left w:val="nil"/>
              <w:bottom w:val="nil"/>
              <w:right w:val="nil"/>
            </w:tcBorders>
            <w:shd w:val="clear" w:color="000000" w:fill="FFFFFF"/>
            <w:noWrap/>
            <w:vAlign w:val="center"/>
            <w:hideMark/>
          </w:tcPr>
          <w:p w14:paraId="04E04AD8"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90" w:type="dxa"/>
            <w:tcBorders>
              <w:top w:val="nil"/>
              <w:left w:val="nil"/>
              <w:bottom w:val="nil"/>
              <w:right w:val="nil"/>
            </w:tcBorders>
            <w:shd w:val="clear" w:color="000000" w:fill="FFFFFF"/>
            <w:noWrap/>
            <w:vAlign w:val="center"/>
            <w:hideMark/>
          </w:tcPr>
          <w:p w14:paraId="2BA3EC01"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90" w:type="dxa"/>
            <w:tcBorders>
              <w:top w:val="nil"/>
              <w:left w:val="nil"/>
              <w:bottom w:val="nil"/>
              <w:right w:val="nil"/>
            </w:tcBorders>
            <w:shd w:val="clear" w:color="000000" w:fill="FFFFFF"/>
            <w:noWrap/>
            <w:vAlign w:val="center"/>
            <w:hideMark/>
          </w:tcPr>
          <w:p w14:paraId="4AA1AA4B"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85" w:type="dxa"/>
            <w:tcBorders>
              <w:top w:val="nil"/>
              <w:left w:val="nil"/>
              <w:bottom w:val="nil"/>
              <w:right w:val="nil"/>
            </w:tcBorders>
            <w:shd w:val="clear" w:color="000000" w:fill="FFFFFF"/>
            <w:noWrap/>
            <w:vAlign w:val="center"/>
            <w:hideMark/>
          </w:tcPr>
          <w:p w14:paraId="370EE779"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325" w:type="dxa"/>
            <w:tcBorders>
              <w:top w:val="nil"/>
              <w:left w:val="nil"/>
              <w:bottom w:val="nil"/>
              <w:right w:val="nil"/>
            </w:tcBorders>
            <w:shd w:val="clear" w:color="000000" w:fill="FFFFFF"/>
            <w:noWrap/>
            <w:vAlign w:val="center"/>
            <w:hideMark/>
          </w:tcPr>
          <w:p w14:paraId="51D2D9D5"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300" w:type="dxa"/>
            <w:tcBorders>
              <w:top w:val="nil"/>
              <w:left w:val="nil"/>
              <w:bottom w:val="nil"/>
              <w:right w:val="nil"/>
            </w:tcBorders>
            <w:shd w:val="clear" w:color="000000" w:fill="FFFFFF"/>
            <w:noWrap/>
            <w:vAlign w:val="center"/>
            <w:hideMark/>
          </w:tcPr>
          <w:p w14:paraId="20FBA828"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85" w:type="dxa"/>
            <w:tcBorders>
              <w:top w:val="nil"/>
              <w:left w:val="nil"/>
              <w:bottom w:val="nil"/>
              <w:right w:val="nil"/>
            </w:tcBorders>
            <w:shd w:val="clear" w:color="000000" w:fill="FFFFFF"/>
            <w:noWrap/>
            <w:vAlign w:val="center"/>
            <w:hideMark/>
          </w:tcPr>
          <w:p w14:paraId="716ECFF5"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85" w:type="dxa"/>
            <w:tcBorders>
              <w:top w:val="nil"/>
              <w:left w:val="nil"/>
              <w:bottom w:val="nil"/>
              <w:right w:val="nil"/>
            </w:tcBorders>
            <w:shd w:val="clear" w:color="000000" w:fill="FFFFFF"/>
            <w:noWrap/>
            <w:vAlign w:val="center"/>
            <w:hideMark/>
          </w:tcPr>
          <w:p w14:paraId="432CEA82"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85" w:type="dxa"/>
            <w:tcBorders>
              <w:top w:val="nil"/>
              <w:left w:val="nil"/>
              <w:bottom w:val="nil"/>
              <w:right w:val="nil"/>
            </w:tcBorders>
            <w:shd w:val="clear" w:color="000000" w:fill="FFFFFF"/>
            <w:noWrap/>
            <w:vAlign w:val="center"/>
            <w:hideMark/>
          </w:tcPr>
          <w:p w14:paraId="2D2D447C"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85" w:type="dxa"/>
            <w:tcBorders>
              <w:top w:val="nil"/>
              <w:left w:val="nil"/>
              <w:bottom w:val="nil"/>
              <w:right w:val="nil"/>
            </w:tcBorders>
            <w:shd w:val="clear" w:color="000000" w:fill="FFFFFF"/>
            <w:noWrap/>
            <w:vAlign w:val="center"/>
            <w:hideMark/>
          </w:tcPr>
          <w:p w14:paraId="3CA918EC"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344" w:type="dxa"/>
            <w:tcBorders>
              <w:top w:val="nil"/>
              <w:left w:val="nil"/>
              <w:bottom w:val="nil"/>
              <w:right w:val="nil"/>
            </w:tcBorders>
            <w:shd w:val="clear" w:color="000000" w:fill="FFFFFF"/>
            <w:noWrap/>
            <w:vAlign w:val="center"/>
            <w:hideMark/>
          </w:tcPr>
          <w:p w14:paraId="3E2DE156"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396" w:type="dxa"/>
            <w:tcBorders>
              <w:top w:val="nil"/>
              <w:left w:val="nil"/>
              <w:bottom w:val="nil"/>
              <w:right w:val="nil"/>
            </w:tcBorders>
            <w:shd w:val="clear" w:color="000000" w:fill="FFFFFF"/>
            <w:noWrap/>
            <w:vAlign w:val="center"/>
            <w:hideMark/>
          </w:tcPr>
          <w:p w14:paraId="012A84A6"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85" w:type="dxa"/>
            <w:tcBorders>
              <w:top w:val="nil"/>
              <w:left w:val="nil"/>
              <w:bottom w:val="nil"/>
              <w:right w:val="nil"/>
            </w:tcBorders>
            <w:shd w:val="clear" w:color="000000" w:fill="FFFFFF"/>
            <w:noWrap/>
            <w:vAlign w:val="center"/>
            <w:hideMark/>
          </w:tcPr>
          <w:p w14:paraId="572F9711"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90" w:type="dxa"/>
            <w:tcBorders>
              <w:top w:val="nil"/>
              <w:left w:val="nil"/>
              <w:bottom w:val="nil"/>
              <w:right w:val="nil"/>
            </w:tcBorders>
            <w:shd w:val="clear" w:color="000000" w:fill="FFFFFF"/>
            <w:noWrap/>
            <w:vAlign w:val="center"/>
            <w:hideMark/>
          </w:tcPr>
          <w:p w14:paraId="57C33AF2"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90" w:type="dxa"/>
            <w:tcBorders>
              <w:top w:val="nil"/>
              <w:left w:val="nil"/>
              <w:bottom w:val="nil"/>
              <w:right w:val="nil"/>
            </w:tcBorders>
            <w:shd w:val="clear" w:color="000000" w:fill="FFFFFF"/>
            <w:noWrap/>
            <w:vAlign w:val="center"/>
            <w:hideMark/>
          </w:tcPr>
          <w:p w14:paraId="77B93E10"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87" w:type="dxa"/>
            <w:tcBorders>
              <w:top w:val="nil"/>
              <w:left w:val="nil"/>
              <w:bottom w:val="nil"/>
              <w:right w:val="nil"/>
            </w:tcBorders>
            <w:shd w:val="clear" w:color="000000" w:fill="FFFFFF"/>
            <w:noWrap/>
            <w:vAlign w:val="center"/>
            <w:hideMark/>
          </w:tcPr>
          <w:p w14:paraId="188ED816"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42" w:type="dxa"/>
            <w:tcBorders>
              <w:top w:val="nil"/>
              <w:left w:val="nil"/>
              <w:bottom w:val="nil"/>
              <w:right w:val="nil"/>
            </w:tcBorders>
            <w:shd w:val="clear" w:color="000000" w:fill="FFFFFF"/>
            <w:noWrap/>
            <w:vAlign w:val="center"/>
            <w:hideMark/>
          </w:tcPr>
          <w:p w14:paraId="3B04899A"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52" w:type="dxa"/>
            <w:tcBorders>
              <w:top w:val="nil"/>
              <w:left w:val="nil"/>
              <w:bottom w:val="nil"/>
              <w:right w:val="nil"/>
            </w:tcBorders>
            <w:shd w:val="clear" w:color="000000" w:fill="FFFFFF"/>
            <w:noWrap/>
            <w:vAlign w:val="center"/>
            <w:hideMark/>
          </w:tcPr>
          <w:p w14:paraId="381FA8F8"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74" w:type="dxa"/>
            <w:tcBorders>
              <w:top w:val="nil"/>
              <w:left w:val="nil"/>
              <w:bottom w:val="nil"/>
              <w:right w:val="nil"/>
            </w:tcBorders>
            <w:shd w:val="clear" w:color="000000" w:fill="FFFFFF"/>
            <w:noWrap/>
            <w:vAlign w:val="center"/>
            <w:hideMark/>
          </w:tcPr>
          <w:p w14:paraId="31A20BA2"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42" w:type="dxa"/>
            <w:tcBorders>
              <w:top w:val="nil"/>
              <w:left w:val="nil"/>
              <w:bottom w:val="nil"/>
              <w:right w:val="nil"/>
            </w:tcBorders>
            <w:shd w:val="clear" w:color="000000" w:fill="FFFFFF"/>
            <w:noWrap/>
            <w:vAlign w:val="center"/>
            <w:hideMark/>
          </w:tcPr>
          <w:p w14:paraId="30A52204"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w:t>
            </w:r>
          </w:p>
        </w:tc>
        <w:tc>
          <w:tcPr>
            <w:tcW w:w="242" w:type="dxa"/>
            <w:tcBorders>
              <w:top w:val="nil"/>
              <w:left w:val="nil"/>
              <w:bottom w:val="nil"/>
              <w:right w:val="nil"/>
            </w:tcBorders>
            <w:shd w:val="clear" w:color="000000" w:fill="FFFFFF"/>
            <w:noWrap/>
            <w:vAlign w:val="center"/>
            <w:hideMark/>
          </w:tcPr>
          <w:p w14:paraId="4A16B6F7" w14:textId="77777777" w:rsidR="00FD71D5" w:rsidRPr="00C66720" w:rsidRDefault="00FD71D5" w:rsidP="00FD71D5">
            <w:pPr>
              <w:spacing w:after="0" w:line="240" w:lineRule="auto"/>
              <w:jc w:val="center"/>
              <w:rPr>
                <w:rFonts w:ascii="Times New Roman" w:hAnsi="Times New Roman"/>
                <w:b/>
                <w:bCs/>
                <w:color w:val="FF0000"/>
                <w:sz w:val="28"/>
                <w:szCs w:val="28"/>
                <w:lang w:eastAsia="sk-SK"/>
              </w:rPr>
            </w:pPr>
            <w:r w:rsidRPr="00C66720">
              <w:rPr>
                <w:rFonts w:ascii="Times New Roman" w:hAnsi="Times New Roman"/>
                <w:b/>
                <w:bCs/>
                <w:color w:val="FF0000"/>
                <w:sz w:val="28"/>
                <w:szCs w:val="28"/>
                <w:lang w:eastAsia="sk-SK"/>
              </w:rPr>
              <w:t> </w:t>
            </w:r>
          </w:p>
        </w:tc>
        <w:tc>
          <w:tcPr>
            <w:tcW w:w="242" w:type="dxa"/>
            <w:tcBorders>
              <w:top w:val="nil"/>
              <w:left w:val="nil"/>
              <w:bottom w:val="nil"/>
              <w:right w:val="nil"/>
            </w:tcBorders>
            <w:shd w:val="clear" w:color="000000" w:fill="FFFFFF"/>
            <w:noWrap/>
            <w:vAlign w:val="center"/>
            <w:hideMark/>
          </w:tcPr>
          <w:p w14:paraId="6475EE75" w14:textId="77777777" w:rsidR="00FD71D5" w:rsidRPr="00C66720" w:rsidRDefault="00FD71D5" w:rsidP="00FD71D5">
            <w:pPr>
              <w:spacing w:after="0" w:line="240" w:lineRule="auto"/>
              <w:jc w:val="center"/>
              <w:rPr>
                <w:rFonts w:ascii="Times New Roman" w:hAnsi="Times New Roman"/>
                <w:b/>
                <w:bCs/>
                <w:color w:val="FF0000"/>
                <w:sz w:val="28"/>
                <w:szCs w:val="28"/>
                <w:lang w:eastAsia="sk-SK"/>
              </w:rPr>
            </w:pPr>
            <w:r w:rsidRPr="00C66720">
              <w:rPr>
                <w:rFonts w:ascii="Times New Roman" w:hAnsi="Times New Roman"/>
                <w:b/>
                <w:bCs/>
                <w:color w:val="FF0000"/>
                <w:sz w:val="28"/>
                <w:szCs w:val="28"/>
                <w:lang w:eastAsia="sk-SK"/>
              </w:rPr>
              <w:t> </w:t>
            </w:r>
          </w:p>
        </w:tc>
        <w:tc>
          <w:tcPr>
            <w:tcW w:w="242" w:type="dxa"/>
            <w:tcBorders>
              <w:top w:val="nil"/>
              <w:left w:val="nil"/>
              <w:bottom w:val="nil"/>
              <w:right w:val="nil"/>
            </w:tcBorders>
            <w:shd w:val="clear" w:color="000000" w:fill="FFFFFF"/>
            <w:noWrap/>
            <w:vAlign w:val="center"/>
            <w:hideMark/>
          </w:tcPr>
          <w:p w14:paraId="1B49D858" w14:textId="77777777" w:rsidR="00FD71D5" w:rsidRPr="00C66720" w:rsidRDefault="00FD71D5" w:rsidP="00FD71D5">
            <w:pPr>
              <w:spacing w:after="0" w:line="240" w:lineRule="auto"/>
              <w:jc w:val="center"/>
              <w:rPr>
                <w:rFonts w:ascii="Times New Roman" w:hAnsi="Times New Roman"/>
                <w:b/>
                <w:bCs/>
                <w:color w:val="FF0000"/>
                <w:sz w:val="20"/>
                <w:szCs w:val="20"/>
                <w:lang w:eastAsia="sk-SK"/>
              </w:rPr>
            </w:pPr>
            <w:r w:rsidRPr="00C66720">
              <w:rPr>
                <w:rFonts w:ascii="Times New Roman" w:hAnsi="Times New Roman"/>
                <w:b/>
                <w:bCs/>
                <w:color w:val="FF0000"/>
                <w:sz w:val="20"/>
                <w:szCs w:val="20"/>
                <w:lang w:eastAsia="sk-SK"/>
              </w:rPr>
              <w:t> </w:t>
            </w:r>
          </w:p>
        </w:tc>
        <w:tc>
          <w:tcPr>
            <w:tcW w:w="976" w:type="dxa"/>
            <w:tcBorders>
              <w:top w:val="nil"/>
              <w:left w:val="nil"/>
              <w:bottom w:val="nil"/>
              <w:right w:val="nil"/>
            </w:tcBorders>
            <w:shd w:val="clear" w:color="000000" w:fill="FFFFFF"/>
            <w:noWrap/>
            <w:vAlign w:val="center"/>
            <w:hideMark/>
          </w:tcPr>
          <w:p w14:paraId="7AFD79A3"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976" w:type="dxa"/>
            <w:tcBorders>
              <w:top w:val="nil"/>
              <w:left w:val="nil"/>
              <w:bottom w:val="nil"/>
              <w:right w:val="nil"/>
            </w:tcBorders>
            <w:shd w:val="clear" w:color="000000" w:fill="FFFFFF"/>
            <w:noWrap/>
            <w:vAlign w:val="center"/>
            <w:hideMark/>
          </w:tcPr>
          <w:p w14:paraId="693061F7"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6882ABBA" w14:textId="77777777" w:rsidTr="007F6158">
        <w:trPr>
          <w:trHeight w:val="375"/>
        </w:trPr>
        <w:tc>
          <w:tcPr>
            <w:tcW w:w="976" w:type="dxa"/>
            <w:tcBorders>
              <w:top w:val="nil"/>
              <w:left w:val="nil"/>
              <w:bottom w:val="nil"/>
              <w:right w:val="nil"/>
            </w:tcBorders>
            <w:shd w:val="clear" w:color="000000" w:fill="FFFFFF"/>
            <w:noWrap/>
            <w:vAlign w:val="center"/>
            <w:hideMark/>
          </w:tcPr>
          <w:p w14:paraId="14AC366A" w14:textId="77777777" w:rsidR="00FD71D5" w:rsidRPr="00C66720" w:rsidRDefault="00FD71D5" w:rsidP="00FD71D5">
            <w:pPr>
              <w:spacing w:after="0" w:line="240" w:lineRule="auto"/>
              <w:rPr>
                <w:rFonts w:ascii="Times New Roman" w:hAnsi="Times New Roman"/>
                <w:color w:val="FF0000"/>
                <w:sz w:val="28"/>
                <w:szCs w:val="28"/>
                <w:lang w:eastAsia="sk-SK"/>
              </w:rPr>
            </w:pPr>
            <w:r w:rsidRPr="00C66720">
              <w:rPr>
                <w:rFonts w:ascii="Times New Roman" w:hAnsi="Times New Roman"/>
                <w:color w:val="FF0000"/>
                <w:sz w:val="28"/>
                <w:szCs w:val="28"/>
                <w:lang w:eastAsia="sk-SK"/>
              </w:rPr>
              <w:t> </w:t>
            </w:r>
          </w:p>
        </w:tc>
        <w:tc>
          <w:tcPr>
            <w:tcW w:w="327" w:type="dxa"/>
            <w:tcBorders>
              <w:top w:val="nil"/>
              <w:left w:val="nil"/>
              <w:bottom w:val="nil"/>
              <w:right w:val="nil"/>
            </w:tcBorders>
            <w:shd w:val="clear" w:color="000000" w:fill="FFFFFF"/>
            <w:noWrap/>
            <w:vAlign w:val="center"/>
            <w:hideMark/>
          </w:tcPr>
          <w:p w14:paraId="2DB0485E" w14:textId="77777777" w:rsidR="00FD71D5" w:rsidRPr="00C66720" w:rsidRDefault="00FD71D5" w:rsidP="00FD71D5">
            <w:pPr>
              <w:spacing w:after="0" w:line="240" w:lineRule="auto"/>
              <w:rPr>
                <w:rFonts w:ascii="Times New Roman" w:hAnsi="Times New Roman"/>
                <w:sz w:val="28"/>
                <w:szCs w:val="28"/>
                <w:lang w:eastAsia="sk-SK"/>
              </w:rPr>
            </w:pPr>
            <w:r w:rsidRPr="00C66720">
              <w:rPr>
                <w:rFonts w:ascii="Times New Roman" w:hAnsi="Times New Roman"/>
                <w:sz w:val="28"/>
                <w:szCs w:val="28"/>
                <w:lang w:eastAsia="sk-SK"/>
              </w:rPr>
              <w:t> </w:t>
            </w:r>
          </w:p>
        </w:tc>
        <w:tc>
          <w:tcPr>
            <w:tcW w:w="263" w:type="dxa"/>
            <w:tcBorders>
              <w:top w:val="nil"/>
              <w:left w:val="nil"/>
              <w:bottom w:val="nil"/>
              <w:right w:val="nil"/>
            </w:tcBorders>
            <w:shd w:val="clear" w:color="000000" w:fill="FFFFFF"/>
            <w:noWrap/>
            <w:vAlign w:val="center"/>
            <w:hideMark/>
          </w:tcPr>
          <w:p w14:paraId="5ED50768" w14:textId="77777777" w:rsidR="00FD71D5" w:rsidRPr="00C66720" w:rsidRDefault="00FD71D5" w:rsidP="00FD71D5">
            <w:pPr>
              <w:spacing w:after="0" w:line="240" w:lineRule="auto"/>
              <w:rPr>
                <w:rFonts w:ascii="Times New Roman" w:hAnsi="Times New Roman"/>
                <w:sz w:val="28"/>
                <w:szCs w:val="28"/>
                <w:lang w:eastAsia="sk-SK"/>
              </w:rPr>
            </w:pPr>
            <w:r w:rsidRPr="00C66720">
              <w:rPr>
                <w:rFonts w:ascii="Times New Roman" w:hAnsi="Times New Roman"/>
                <w:sz w:val="28"/>
                <w:szCs w:val="28"/>
                <w:lang w:eastAsia="sk-SK"/>
              </w:rPr>
              <w:t> </w:t>
            </w:r>
          </w:p>
        </w:tc>
        <w:tc>
          <w:tcPr>
            <w:tcW w:w="1025" w:type="dxa"/>
            <w:gridSpan w:val="3"/>
            <w:tcBorders>
              <w:top w:val="nil"/>
              <w:left w:val="nil"/>
              <w:bottom w:val="nil"/>
              <w:right w:val="nil"/>
            </w:tcBorders>
            <w:shd w:val="clear" w:color="000000" w:fill="FFFFFF"/>
            <w:noWrap/>
            <w:vAlign w:val="center"/>
            <w:hideMark/>
          </w:tcPr>
          <w:p w14:paraId="2D8A1B37" w14:textId="77777777" w:rsidR="00FD71D5" w:rsidRPr="00C66720" w:rsidRDefault="00FD71D5"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 xml:space="preserve"> </w:t>
            </w:r>
            <w:r w:rsidRPr="00C66720">
              <w:rPr>
                <w:rFonts w:ascii="Times New Roman" w:hAnsi="Times New Roman"/>
                <w:sz w:val="28"/>
                <w:szCs w:val="28"/>
                <w:lang w:eastAsia="sk-SK"/>
              </w:rPr>
              <w:t xml:space="preserve"> </w:t>
            </w:r>
          </w:p>
        </w:tc>
        <w:tc>
          <w:tcPr>
            <w:tcW w:w="4812" w:type="dxa"/>
            <w:gridSpan w:val="16"/>
            <w:tcBorders>
              <w:top w:val="nil"/>
              <w:left w:val="nil"/>
              <w:bottom w:val="nil"/>
              <w:right w:val="nil"/>
            </w:tcBorders>
            <w:shd w:val="clear" w:color="000000" w:fill="FFFFFF"/>
            <w:noWrap/>
            <w:vAlign w:val="center"/>
            <w:hideMark/>
          </w:tcPr>
          <w:p w14:paraId="2642DF2E" w14:textId="76ACB44B" w:rsidR="00FD71D5" w:rsidRPr="00C66720" w:rsidRDefault="0019494B" w:rsidP="00FD71D5">
            <w:pPr>
              <w:spacing w:after="0" w:line="240" w:lineRule="auto"/>
              <w:jc w:val="center"/>
              <w:rPr>
                <w:rFonts w:ascii="Times New Roman" w:hAnsi="Times New Roman"/>
                <w:b/>
                <w:bCs/>
                <w:sz w:val="28"/>
                <w:szCs w:val="28"/>
                <w:lang w:eastAsia="sk-SK"/>
              </w:rPr>
            </w:pPr>
            <w:r w:rsidRPr="00C66720">
              <w:rPr>
                <w:rFonts w:ascii="Times New Roman" w:hAnsi="Times New Roman"/>
                <w:b/>
                <w:bCs/>
                <w:sz w:val="28"/>
                <w:szCs w:val="28"/>
                <w:lang w:eastAsia="sk-SK"/>
              </w:rPr>
              <w:t>k 31.12.2022</w:t>
            </w:r>
          </w:p>
        </w:tc>
        <w:tc>
          <w:tcPr>
            <w:tcW w:w="242" w:type="dxa"/>
            <w:tcBorders>
              <w:top w:val="nil"/>
              <w:left w:val="nil"/>
              <w:bottom w:val="nil"/>
              <w:right w:val="nil"/>
            </w:tcBorders>
            <w:shd w:val="clear" w:color="000000" w:fill="FFFFFF"/>
            <w:noWrap/>
            <w:vAlign w:val="center"/>
            <w:hideMark/>
          </w:tcPr>
          <w:p w14:paraId="6E78A526" w14:textId="77777777" w:rsidR="00FD71D5" w:rsidRPr="00C66720" w:rsidRDefault="00FD71D5" w:rsidP="00FD71D5">
            <w:pPr>
              <w:spacing w:after="0" w:line="240" w:lineRule="auto"/>
              <w:rPr>
                <w:rFonts w:ascii="Times New Roman" w:hAnsi="Times New Roman"/>
                <w:sz w:val="28"/>
                <w:szCs w:val="28"/>
                <w:lang w:eastAsia="sk-SK"/>
              </w:rPr>
            </w:pPr>
            <w:r w:rsidRPr="00C66720">
              <w:rPr>
                <w:rFonts w:ascii="Times New Roman" w:hAnsi="Times New Roman"/>
                <w:sz w:val="28"/>
                <w:szCs w:val="28"/>
                <w:lang w:eastAsia="sk-SK"/>
              </w:rPr>
              <w:t> </w:t>
            </w:r>
          </w:p>
        </w:tc>
        <w:tc>
          <w:tcPr>
            <w:tcW w:w="252" w:type="dxa"/>
            <w:tcBorders>
              <w:top w:val="nil"/>
              <w:left w:val="nil"/>
              <w:bottom w:val="nil"/>
              <w:right w:val="nil"/>
            </w:tcBorders>
            <w:shd w:val="clear" w:color="000000" w:fill="FFFFFF"/>
            <w:noWrap/>
            <w:vAlign w:val="center"/>
            <w:hideMark/>
          </w:tcPr>
          <w:p w14:paraId="2564A0E9" w14:textId="77777777" w:rsidR="00FD71D5" w:rsidRPr="00C66720" w:rsidRDefault="00FD71D5" w:rsidP="00FD71D5">
            <w:pPr>
              <w:spacing w:after="0" w:line="240" w:lineRule="auto"/>
              <w:rPr>
                <w:rFonts w:ascii="Times New Roman" w:hAnsi="Times New Roman"/>
                <w:sz w:val="28"/>
                <w:szCs w:val="28"/>
                <w:lang w:eastAsia="sk-SK"/>
              </w:rPr>
            </w:pPr>
            <w:r w:rsidRPr="00C66720">
              <w:rPr>
                <w:rFonts w:ascii="Times New Roman" w:hAnsi="Times New Roman"/>
                <w:sz w:val="28"/>
                <w:szCs w:val="28"/>
                <w:lang w:eastAsia="sk-SK"/>
              </w:rPr>
              <w:t> </w:t>
            </w:r>
          </w:p>
        </w:tc>
        <w:tc>
          <w:tcPr>
            <w:tcW w:w="274" w:type="dxa"/>
            <w:tcBorders>
              <w:top w:val="nil"/>
              <w:left w:val="nil"/>
              <w:bottom w:val="nil"/>
              <w:right w:val="nil"/>
            </w:tcBorders>
            <w:shd w:val="clear" w:color="000000" w:fill="FFFFFF"/>
            <w:noWrap/>
            <w:vAlign w:val="center"/>
            <w:hideMark/>
          </w:tcPr>
          <w:p w14:paraId="207DD919" w14:textId="77777777" w:rsidR="00FD71D5" w:rsidRPr="00C66720" w:rsidRDefault="00FD71D5" w:rsidP="00FD71D5">
            <w:pPr>
              <w:spacing w:after="0" w:line="240" w:lineRule="auto"/>
              <w:rPr>
                <w:rFonts w:ascii="Times New Roman" w:hAnsi="Times New Roman"/>
                <w:sz w:val="28"/>
                <w:szCs w:val="28"/>
                <w:lang w:eastAsia="sk-SK"/>
              </w:rPr>
            </w:pPr>
            <w:r w:rsidRPr="00C66720">
              <w:rPr>
                <w:rFonts w:ascii="Times New Roman" w:hAnsi="Times New Roman"/>
                <w:sz w:val="28"/>
                <w:szCs w:val="28"/>
                <w:lang w:eastAsia="sk-SK"/>
              </w:rPr>
              <w:t> </w:t>
            </w:r>
          </w:p>
        </w:tc>
        <w:tc>
          <w:tcPr>
            <w:tcW w:w="242" w:type="dxa"/>
            <w:tcBorders>
              <w:top w:val="nil"/>
              <w:left w:val="nil"/>
              <w:bottom w:val="nil"/>
              <w:right w:val="nil"/>
            </w:tcBorders>
            <w:shd w:val="clear" w:color="000000" w:fill="FFFFFF"/>
            <w:noWrap/>
            <w:vAlign w:val="center"/>
            <w:hideMark/>
          </w:tcPr>
          <w:p w14:paraId="16FE4E61" w14:textId="77777777" w:rsidR="00FD71D5" w:rsidRPr="00C66720" w:rsidRDefault="00FD71D5" w:rsidP="00FD71D5">
            <w:pPr>
              <w:spacing w:after="0" w:line="240" w:lineRule="auto"/>
              <w:rPr>
                <w:rFonts w:ascii="Times New Roman" w:hAnsi="Times New Roman"/>
                <w:sz w:val="28"/>
                <w:szCs w:val="28"/>
                <w:lang w:eastAsia="sk-SK"/>
              </w:rPr>
            </w:pPr>
            <w:r w:rsidRPr="00C66720">
              <w:rPr>
                <w:rFonts w:ascii="Times New Roman" w:hAnsi="Times New Roman"/>
                <w:sz w:val="28"/>
                <w:szCs w:val="28"/>
                <w:lang w:eastAsia="sk-SK"/>
              </w:rPr>
              <w:t> </w:t>
            </w:r>
          </w:p>
        </w:tc>
        <w:tc>
          <w:tcPr>
            <w:tcW w:w="242" w:type="dxa"/>
            <w:tcBorders>
              <w:top w:val="nil"/>
              <w:left w:val="nil"/>
              <w:bottom w:val="nil"/>
              <w:right w:val="nil"/>
            </w:tcBorders>
            <w:shd w:val="clear" w:color="000000" w:fill="FFFFFF"/>
            <w:noWrap/>
            <w:vAlign w:val="center"/>
            <w:hideMark/>
          </w:tcPr>
          <w:p w14:paraId="35119EDA" w14:textId="77777777" w:rsidR="00FD71D5" w:rsidRPr="00C66720" w:rsidRDefault="00FD71D5" w:rsidP="00FD71D5">
            <w:pPr>
              <w:spacing w:after="0" w:line="240" w:lineRule="auto"/>
              <w:rPr>
                <w:rFonts w:ascii="Times New Roman" w:hAnsi="Times New Roman"/>
                <w:color w:val="FF0000"/>
                <w:sz w:val="28"/>
                <w:szCs w:val="28"/>
                <w:lang w:eastAsia="sk-SK"/>
              </w:rPr>
            </w:pPr>
            <w:r w:rsidRPr="00C66720">
              <w:rPr>
                <w:rFonts w:ascii="Times New Roman" w:hAnsi="Times New Roman"/>
                <w:color w:val="FF0000"/>
                <w:sz w:val="28"/>
                <w:szCs w:val="28"/>
                <w:lang w:eastAsia="sk-SK"/>
              </w:rPr>
              <w:t> </w:t>
            </w:r>
          </w:p>
        </w:tc>
        <w:tc>
          <w:tcPr>
            <w:tcW w:w="242" w:type="dxa"/>
            <w:tcBorders>
              <w:top w:val="nil"/>
              <w:left w:val="nil"/>
              <w:bottom w:val="nil"/>
              <w:right w:val="nil"/>
            </w:tcBorders>
            <w:shd w:val="clear" w:color="000000" w:fill="FFFFFF"/>
            <w:noWrap/>
            <w:vAlign w:val="center"/>
            <w:hideMark/>
          </w:tcPr>
          <w:p w14:paraId="0007F335" w14:textId="77777777" w:rsidR="00FD71D5" w:rsidRPr="00C66720" w:rsidRDefault="00FD71D5" w:rsidP="00FD71D5">
            <w:pPr>
              <w:spacing w:after="0" w:line="240" w:lineRule="auto"/>
              <w:rPr>
                <w:rFonts w:ascii="Times New Roman" w:hAnsi="Times New Roman"/>
                <w:color w:val="FF0000"/>
                <w:sz w:val="28"/>
                <w:szCs w:val="28"/>
                <w:lang w:eastAsia="sk-SK"/>
              </w:rPr>
            </w:pPr>
            <w:r w:rsidRPr="00C66720">
              <w:rPr>
                <w:rFonts w:ascii="Times New Roman" w:hAnsi="Times New Roman"/>
                <w:color w:val="FF0000"/>
                <w:sz w:val="28"/>
                <w:szCs w:val="28"/>
                <w:lang w:eastAsia="sk-SK"/>
              </w:rPr>
              <w:t> </w:t>
            </w:r>
          </w:p>
        </w:tc>
        <w:tc>
          <w:tcPr>
            <w:tcW w:w="242" w:type="dxa"/>
            <w:tcBorders>
              <w:top w:val="nil"/>
              <w:left w:val="nil"/>
              <w:bottom w:val="nil"/>
              <w:right w:val="nil"/>
            </w:tcBorders>
            <w:shd w:val="clear" w:color="000000" w:fill="FFFFFF"/>
            <w:noWrap/>
            <w:vAlign w:val="center"/>
            <w:hideMark/>
          </w:tcPr>
          <w:p w14:paraId="4C09DBD8" w14:textId="77777777" w:rsidR="00FD71D5" w:rsidRPr="00C66720" w:rsidRDefault="00FD71D5" w:rsidP="00FD71D5">
            <w:pPr>
              <w:spacing w:after="0" w:line="240" w:lineRule="auto"/>
              <w:rPr>
                <w:rFonts w:ascii="Times New Roman" w:hAnsi="Times New Roman"/>
                <w:color w:val="FF0000"/>
                <w:sz w:val="28"/>
                <w:szCs w:val="28"/>
                <w:lang w:eastAsia="sk-SK"/>
              </w:rPr>
            </w:pPr>
            <w:r w:rsidRPr="00C66720">
              <w:rPr>
                <w:rFonts w:ascii="Times New Roman" w:hAnsi="Times New Roman"/>
                <w:color w:val="FF0000"/>
                <w:sz w:val="28"/>
                <w:szCs w:val="28"/>
                <w:lang w:eastAsia="sk-SK"/>
              </w:rPr>
              <w:t> </w:t>
            </w:r>
          </w:p>
        </w:tc>
        <w:tc>
          <w:tcPr>
            <w:tcW w:w="976" w:type="dxa"/>
            <w:tcBorders>
              <w:top w:val="nil"/>
              <w:left w:val="nil"/>
              <w:bottom w:val="nil"/>
              <w:right w:val="nil"/>
            </w:tcBorders>
            <w:shd w:val="clear" w:color="000000" w:fill="FFFFFF"/>
            <w:noWrap/>
            <w:vAlign w:val="center"/>
            <w:hideMark/>
          </w:tcPr>
          <w:p w14:paraId="3143D206" w14:textId="77777777" w:rsidR="00FD71D5" w:rsidRPr="00C66720" w:rsidRDefault="00FD71D5" w:rsidP="00FD71D5">
            <w:pPr>
              <w:spacing w:after="0" w:line="240" w:lineRule="auto"/>
              <w:rPr>
                <w:rFonts w:ascii="Times New Roman" w:hAnsi="Times New Roman"/>
                <w:color w:val="FF0000"/>
                <w:sz w:val="28"/>
                <w:szCs w:val="28"/>
                <w:lang w:eastAsia="sk-SK"/>
              </w:rPr>
            </w:pPr>
            <w:r w:rsidRPr="00C66720">
              <w:rPr>
                <w:rFonts w:ascii="Times New Roman" w:hAnsi="Times New Roman"/>
                <w:color w:val="FF0000"/>
                <w:sz w:val="28"/>
                <w:szCs w:val="28"/>
                <w:lang w:eastAsia="sk-SK"/>
              </w:rPr>
              <w:t> </w:t>
            </w:r>
          </w:p>
        </w:tc>
        <w:tc>
          <w:tcPr>
            <w:tcW w:w="976" w:type="dxa"/>
            <w:tcBorders>
              <w:top w:val="nil"/>
              <w:left w:val="nil"/>
              <w:bottom w:val="nil"/>
              <w:right w:val="nil"/>
            </w:tcBorders>
            <w:shd w:val="clear" w:color="000000" w:fill="FFFFFF"/>
            <w:noWrap/>
            <w:vAlign w:val="center"/>
            <w:hideMark/>
          </w:tcPr>
          <w:p w14:paraId="11DD0E84" w14:textId="77777777" w:rsidR="00FD71D5" w:rsidRPr="00C66720" w:rsidRDefault="00FD71D5" w:rsidP="00FD71D5">
            <w:pPr>
              <w:spacing w:after="0" w:line="240" w:lineRule="auto"/>
              <w:rPr>
                <w:rFonts w:ascii="Times New Roman" w:hAnsi="Times New Roman"/>
                <w:color w:val="FF0000"/>
                <w:sz w:val="28"/>
                <w:szCs w:val="28"/>
                <w:lang w:eastAsia="sk-SK"/>
              </w:rPr>
            </w:pPr>
            <w:r w:rsidRPr="00C66720">
              <w:rPr>
                <w:rFonts w:ascii="Times New Roman" w:hAnsi="Times New Roman"/>
                <w:color w:val="FF0000"/>
                <w:sz w:val="28"/>
                <w:szCs w:val="28"/>
                <w:lang w:eastAsia="sk-SK"/>
              </w:rPr>
              <w:t> </w:t>
            </w:r>
          </w:p>
        </w:tc>
      </w:tr>
      <w:tr w:rsidR="007F6158" w:rsidRPr="00C66720" w14:paraId="42148DA9" w14:textId="77777777" w:rsidTr="007F6158">
        <w:trPr>
          <w:trHeight w:val="255"/>
        </w:trPr>
        <w:tc>
          <w:tcPr>
            <w:tcW w:w="976" w:type="dxa"/>
            <w:tcBorders>
              <w:top w:val="nil"/>
              <w:left w:val="nil"/>
              <w:bottom w:val="nil"/>
              <w:right w:val="nil"/>
            </w:tcBorders>
            <w:shd w:val="clear" w:color="000000" w:fill="FFFFFF"/>
            <w:noWrap/>
            <w:vAlign w:val="center"/>
            <w:hideMark/>
          </w:tcPr>
          <w:p w14:paraId="7802ED3C"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235421DE"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63" w:type="dxa"/>
            <w:tcBorders>
              <w:top w:val="nil"/>
              <w:left w:val="nil"/>
              <w:bottom w:val="nil"/>
              <w:right w:val="nil"/>
            </w:tcBorders>
            <w:shd w:val="clear" w:color="000000" w:fill="FFFFFF"/>
            <w:noWrap/>
            <w:vAlign w:val="center"/>
            <w:hideMark/>
          </w:tcPr>
          <w:p w14:paraId="6DA3F9E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70" w:type="dxa"/>
            <w:tcBorders>
              <w:top w:val="nil"/>
              <w:left w:val="nil"/>
              <w:bottom w:val="nil"/>
              <w:right w:val="nil"/>
            </w:tcBorders>
            <w:shd w:val="clear" w:color="000000" w:fill="FFFFFF"/>
            <w:noWrap/>
            <w:vAlign w:val="center"/>
            <w:hideMark/>
          </w:tcPr>
          <w:p w14:paraId="46B79605"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70" w:type="dxa"/>
            <w:tcBorders>
              <w:top w:val="nil"/>
              <w:left w:val="nil"/>
              <w:bottom w:val="nil"/>
              <w:right w:val="nil"/>
            </w:tcBorders>
            <w:shd w:val="clear" w:color="000000" w:fill="FFFFFF"/>
            <w:noWrap/>
            <w:vAlign w:val="center"/>
            <w:hideMark/>
          </w:tcPr>
          <w:p w14:paraId="0C031C28"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85" w:type="dxa"/>
            <w:tcBorders>
              <w:top w:val="nil"/>
              <w:left w:val="nil"/>
              <w:bottom w:val="nil"/>
              <w:right w:val="nil"/>
            </w:tcBorders>
            <w:shd w:val="clear" w:color="000000" w:fill="FFFFFF"/>
            <w:noWrap/>
            <w:vAlign w:val="center"/>
            <w:hideMark/>
          </w:tcPr>
          <w:p w14:paraId="6E5BD1F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90" w:type="dxa"/>
            <w:tcBorders>
              <w:top w:val="nil"/>
              <w:left w:val="nil"/>
              <w:bottom w:val="nil"/>
              <w:right w:val="nil"/>
            </w:tcBorders>
            <w:shd w:val="clear" w:color="000000" w:fill="FFFFFF"/>
            <w:noWrap/>
            <w:vAlign w:val="center"/>
            <w:hideMark/>
          </w:tcPr>
          <w:p w14:paraId="5391F938"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90" w:type="dxa"/>
            <w:tcBorders>
              <w:top w:val="nil"/>
              <w:left w:val="nil"/>
              <w:bottom w:val="nil"/>
              <w:right w:val="nil"/>
            </w:tcBorders>
            <w:shd w:val="clear" w:color="000000" w:fill="FFFFFF"/>
            <w:noWrap/>
            <w:vAlign w:val="center"/>
            <w:hideMark/>
          </w:tcPr>
          <w:p w14:paraId="2212BE20"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90" w:type="dxa"/>
            <w:tcBorders>
              <w:top w:val="nil"/>
              <w:left w:val="nil"/>
              <w:bottom w:val="nil"/>
              <w:right w:val="nil"/>
            </w:tcBorders>
            <w:shd w:val="clear" w:color="000000" w:fill="FFFFFF"/>
            <w:noWrap/>
            <w:vAlign w:val="center"/>
            <w:hideMark/>
          </w:tcPr>
          <w:p w14:paraId="441490DD"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85" w:type="dxa"/>
            <w:tcBorders>
              <w:top w:val="nil"/>
              <w:left w:val="nil"/>
              <w:bottom w:val="nil"/>
              <w:right w:val="nil"/>
            </w:tcBorders>
            <w:shd w:val="clear" w:color="000000" w:fill="FFFFFF"/>
            <w:noWrap/>
            <w:vAlign w:val="center"/>
            <w:hideMark/>
          </w:tcPr>
          <w:p w14:paraId="640653D0"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325" w:type="dxa"/>
            <w:tcBorders>
              <w:top w:val="nil"/>
              <w:left w:val="nil"/>
              <w:bottom w:val="nil"/>
              <w:right w:val="nil"/>
            </w:tcBorders>
            <w:shd w:val="clear" w:color="000000" w:fill="FFFFFF"/>
            <w:noWrap/>
            <w:vAlign w:val="center"/>
            <w:hideMark/>
          </w:tcPr>
          <w:p w14:paraId="61CA311F"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300" w:type="dxa"/>
            <w:tcBorders>
              <w:top w:val="nil"/>
              <w:left w:val="nil"/>
              <w:bottom w:val="nil"/>
              <w:right w:val="nil"/>
            </w:tcBorders>
            <w:shd w:val="clear" w:color="000000" w:fill="FFFFFF"/>
            <w:noWrap/>
            <w:vAlign w:val="center"/>
            <w:hideMark/>
          </w:tcPr>
          <w:p w14:paraId="24CB54F2"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85" w:type="dxa"/>
            <w:tcBorders>
              <w:top w:val="nil"/>
              <w:left w:val="nil"/>
              <w:bottom w:val="nil"/>
              <w:right w:val="nil"/>
            </w:tcBorders>
            <w:shd w:val="clear" w:color="000000" w:fill="FFFFFF"/>
            <w:noWrap/>
            <w:vAlign w:val="center"/>
            <w:hideMark/>
          </w:tcPr>
          <w:p w14:paraId="278683DC"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85" w:type="dxa"/>
            <w:tcBorders>
              <w:top w:val="nil"/>
              <w:left w:val="nil"/>
              <w:bottom w:val="nil"/>
              <w:right w:val="nil"/>
            </w:tcBorders>
            <w:shd w:val="clear" w:color="000000" w:fill="FFFFFF"/>
            <w:noWrap/>
            <w:vAlign w:val="center"/>
            <w:hideMark/>
          </w:tcPr>
          <w:p w14:paraId="6E7D4E62"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85" w:type="dxa"/>
            <w:tcBorders>
              <w:top w:val="nil"/>
              <w:left w:val="nil"/>
              <w:bottom w:val="nil"/>
              <w:right w:val="nil"/>
            </w:tcBorders>
            <w:shd w:val="clear" w:color="000000" w:fill="FFFFFF"/>
            <w:noWrap/>
            <w:vAlign w:val="center"/>
            <w:hideMark/>
          </w:tcPr>
          <w:p w14:paraId="58350009"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85" w:type="dxa"/>
            <w:tcBorders>
              <w:top w:val="nil"/>
              <w:left w:val="nil"/>
              <w:bottom w:val="nil"/>
              <w:right w:val="nil"/>
            </w:tcBorders>
            <w:shd w:val="clear" w:color="000000" w:fill="FFFFFF"/>
            <w:noWrap/>
            <w:vAlign w:val="center"/>
            <w:hideMark/>
          </w:tcPr>
          <w:p w14:paraId="044F2B9F"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44" w:type="dxa"/>
            <w:tcBorders>
              <w:top w:val="nil"/>
              <w:left w:val="nil"/>
              <w:bottom w:val="nil"/>
              <w:right w:val="nil"/>
            </w:tcBorders>
            <w:shd w:val="clear" w:color="000000" w:fill="FFFFFF"/>
            <w:noWrap/>
            <w:vAlign w:val="center"/>
            <w:hideMark/>
          </w:tcPr>
          <w:p w14:paraId="6C4917C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96" w:type="dxa"/>
            <w:tcBorders>
              <w:top w:val="nil"/>
              <w:left w:val="nil"/>
              <w:bottom w:val="nil"/>
              <w:right w:val="nil"/>
            </w:tcBorders>
            <w:shd w:val="clear" w:color="000000" w:fill="FFFFFF"/>
            <w:noWrap/>
            <w:vAlign w:val="center"/>
            <w:hideMark/>
          </w:tcPr>
          <w:p w14:paraId="4B21FCC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85" w:type="dxa"/>
            <w:tcBorders>
              <w:top w:val="nil"/>
              <w:left w:val="nil"/>
              <w:bottom w:val="nil"/>
              <w:right w:val="nil"/>
            </w:tcBorders>
            <w:shd w:val="clear" w:color="000000" w:fill="FFFFFF"/>
            <w:noWrap/>
            <w:vAlign w:val="center"/>
            <w:hideMark/>
          </w:tcPr>
          <w:p w14:paraId="71EBC6F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90" w:type="dxa"/>
            <w:tcBorders>
              <w:top w:val="nil"/>
              <w:left w:val="nil"/>
              <w:bottom w:val="nil"/>
              <w:right w:val="nil"/>
            </w:tcBorders>
            <w:shd w:val="clear" w:color="000000" w:fill="FFFFFF"/>
            <w:noWrap/>
            <w:vAlign w:val="center"/>
            <w:hideMark/>
          </w:tcPr>
          <w:p w14:paraId="7D3C0B8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90" w:type="dxa"/>
            <w:tcBorders>
              <w:top w:val="nil"/>
              <w:left w:val="nil"/>
              <w:bottom w:val="nil"/>
              <w:right w:val="nil"/>
            </w:tcBorders>
            <w:shd w:val="clear" w:color="000000" w:fill="FFFFFF"/>
            <w:noWrap/>
            <w:vAlign w:val="center"/>
            <w:hideMark/>
          </w:tcPr>
          <w:p w14:paraId="03931D2D"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87" w:type="dxa"/>
            <w:tcBorders>
              <w:top w:val="nil"/>
              <w:left w:val="nil"/>
              <w:bottom w:val="nil"/>
              <w:right w:val="nil"/>
            </w:tcBorders>
            <w:shd w:val="clear" w:color="000000" w:fill="FFFFFF"/>
            <w:noWrap/>
            <w:vAlign w:val="center"/>
            <w:hideMark/>
          </w:tcPr>
          <w:p w14:paraId="3DD306D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63B92DA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52" w:type="dxa"/>
            <w:tcBorders>
              <w:top w:val="nil"/>
              <w:left w:val="nil"/>
              <w:bottom w:val="nil"/>
              <w:right w:val="nil"/>
            </w:tcBorders>
            <w:shd w:val="clear" w:color="000000" w:fill="FFFFFF"/>
            <w:noWrap/>
            <w:vAlign w:val="center"/>
            <w:hideMark/>
          </w:tcPr>
          <w:p w14:paraId="5218720C"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74" w:type="dxa"/>
            <w:tcBorders>
              <w:top w:val="nil"/>
              <w:left w:val="nil"/>
              <w:bottom w:val="nil"/>
              <w:right w:val="nil"/>
            </w:tcBorders>
            <w:shd w:val="clear" w:color="000000" w:fill="FFFFFF"/>
            <w:noWrap/>
            <w:vAlign w:val="center"/>
            <w:hideMark/>
          </w:tcPr>
          <w:p w14:paraId="0EDC1A2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2CE4950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5834EF6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01D00F9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25F1F16A"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976" w:type="dxa"/>
            <w:tcBorders>
              <w:top w:val="nil"/>
              <w:left w:val="nil"/>
              <w:bottom w:val="nil"/>
              <w:right w:val="nil"/>
            </w:tcBorders>
            <w:shd w:val="clear" w:color="000000" w:fill="FFFFFF"/>
            <w:noWrap/>
            <w:vAlign w:val="center"/>
            <w:hideMark/>
          </w:tcPr>
          <w:p w14:paraId="4DC72AC7"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976" w:type="dxa"/>
            <w:tcBorders>
              <w:top w:val="nil"/>
              <w:left w:val="nil"/>
              <w:bottom w:val="nil"/>
              <w:right w:val="nil"/>
            </w:tcBorders>
            <w:shd w:val="clear" w:color="000000" w:fill="FFFFFF"/>
            <w:noWrap/>
            <w:vAlign w:val="center"/>
            <w:hideMark/>
          </w:tcPr>
          <w:p w14:paraId="6CC0F8C5"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40457E21" w14:textId="77777777" w:rsidTr="007F6158">
        <w:trPr>
          <w:trHeight w:val="255"/>
        </w:trPr>
        <w:tc>
          <w:tcPr>
            <w:tcW w:w="976" w:type="dxa"/>
            <w:tcBorders>
              <w:top w:val="nil"/>
              <w:left w:val="nil"/>
              <w:bottom w:val="nil"/>
              <w:right w:val="nil"/>
            </w:tcBorders>
            <w:shd w:val="clear" w:color="000000" w:fill="FFFFFF"/>
            <w:noWrap/>
            <w:vAlign w:val="center"/>
            <w:hideMark/>
          </w:tcPr>
          <w:p w14:paraId="298B5C0C"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6256EF0E"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63" w:type="dxa"/>
            <w:tcBorders>
              <w:top w:val="nil"/>
              <w:left w:val="nil"/>
              <w:bottom w:val="nil"/>
              <w:right w:val="nil"/>
            </w:tcBorders>
            <w:shd w:val="clear" w:color="000000" w:fill="FFFFFF"/>
            <w:noWrap/>
            <w:vAlign w:val="center"/>
            <w:hideMark/>
          </w:tcPr>
          <w:p w14:paraId="3C1DDCD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70" w:type="dxa"/>
            <w:tcBorders>
              <w:top w:val="nil"/>
              <w:left w:val="nil"/>
              <w:bottom w:val="nil"/>
              <w:right w:val="nil"/>
            </w:tcBorders>
            <w:shd w:val="clear" w:color="000000" w:fill="FFFFFF"/>
            <w:noWrap/>
            <w:vAlign w:val="center"/>
            <w:hideMark/>
          </w:tcPr>
          <w:p w14:paraId="60AE7F32"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70" w:type="dxa"/>
            <w:tcBorders>
              <w:top w:val="nil"/>
              <w:left w:val="nil"/>
              <w:bottom w:val="nil"/>
              <w:right w:val="nil"/>
            </w:tcBorders>
            <w:shd w:val="clear" w:color="000000" w:fill="FFFFFF"/>
            <w:noWrap/>
            <w:vAlign w:val="center"/>
            <w:hideMark/>
          </w:tcPr>
          <w:p w14:paraId="21527F8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85" w:type="dxa"/>
            <w:tcBorders>
              <w:top w:val="nil"/>
              <w:left w:val="nil"/>
              <w:bottom w:val="nil"/>
              <w:right w:val="nil"/>
            </w:tcBorders>
            <w:shd w:val="clear" w:color="000000" w:fill="FFFFFF"/>
            <w:noWrap/>
            <w:vAlign w:val="center"/>
            <w:hideMark/>
          </w:tcPr>
          <w:p w14:paraId="74F21F4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90" w:type="dxa"/>
            <w:tcBorders>
              <w:top w:val="nil"/>
              <w:left w:val="nil"/>
              <w:bottom w:val="nil"/>
              <w:right w:val="nil"/>
            </w:tcBorders>
            <w:shd w:val="clear" w:color="000000" w:fill="FFFFFF"/>
            <w:noWrap/>
            <w:vAlign w:val="center"/>
            <w:hideMark/>
          </w:tcPr>
          <w:p w14:paraId="07A6AF1A"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90" w:type="dxa"/>
            <w:tcBorders>
              <w:top w:val="nil"/>
              <w:left w:val="nil"/>
              <w:bottom w:val="nil"/>
              <w:right w:val="nil"/>
            </w:tcBorders>
            <w:shd w:val="clear" w:color="000000" w:fill="FFFFFF"/>
            <w:noWrap/>
            <w:vAlign w:val="center"/>
            <w:hideMark/>
          </w:tcPr>
          <w:p w14:paraId="209836DD"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90" w:type="dxa"/>
            <w:tcBorders>
              <w:top w:val="nil"/>
              <w:left w:val="nil"/>
              <w:bottom w:val="nil"/>
              <w:right w:val="nil"/>
            </w:tcBorders>
            <w:shd w:val="clear" w:color="000000" w:fill="FFFFFF"/>
            <w:noWrap/>
            <w:vAlign w:val="center"/>
            <w:hideMark/>
          </w:tcPr>
          <w:p w14:paraId="0A7D7B87"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85" w:type="dxa"/>
            <w:tcBorders>
              <w:top w:val="nil"/>
              <w:left w:val="nil"/>
              <w:bottom w:val="nil"/>
              <w:right w:val="nil"/>
            </w:tcBorders>
            <w:shd w:val="clear" w:color="000000" w:fill="FFFFFF"/>
            <w:noWrap/>
            <w:vAlign w:val="center"/>
            <w:hideMark/>
          </w:tcPr>
          <w:p w14:paraId="0AF8A936"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325" w:type="dxa"/>
            <w:tcBorders>
              <w:top w:val="nil"/>
              <w:left w:val="nil"/>
              <w:bottom w:val="nil"/>
              <w:right w:val="nil"/>
            </w:tcBorders>
            <w:shd w:val="clear" w:color="000000" w:fill="FFFFFF"/>
            <w:noWrap/>
            <w:vAlign w:val="center"/>
            <w:hideMark/>
          </w:tcPr>
          <w:p w14:paraId="008034D1"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300" w:type="dxa"/>
            <w:tcBorders>
              <w:top w:val="nil"/>
              <w:left w:val="nil"/>
              <w:bottom w:val="nil"/>
              <w:right w:val="nil"/>
            </w:tcBorders>
            <w:shd w:val="clear" w:color="000000" w:fill="FFFFFF"/>
            <w:noWrap/>
            <w:vAlign w:val="center"/>
            <w:hideMark/>
          </w:tcPr>
          <w:p w14:paraId="5176F23E"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85" w:type="dxa"/>
            <w:tcBorders>
              <w:top w:val="nil"/>
              <w:left w:val="nil"/>
              <w:bottom w:val="nil"/>
              <w:right w:val="nil"/>
            </w:tcBorders>
            <w:shd w:val="clear" w:color="000000" w:fill="FFFFFF"/>
            <w:noWrap/>
            <w:vAlign w:val="center"/>
            <w:hideMark/>
          </w:tcPr>
          <w:p w14:paraId="5B3816D4"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85" w:type="dxa"/>
            <w:tcBorders>
              <w:top w:val="nil"/>
              <w:left w:val="nil"/>
              <w:bottom w:val="nil"/>
              <w:right w:val="nil"/>
            </w:tcBorders>
            <w:shd w:val="clear" w:color="000000" w:fill="FFFFFF"/>
            <w:noWrap/>
            <w:vAlign w:val="center"/>
            <w:hideMark/>
          </w:tcPr>
          <w:p w14:paraId="11D0B44F" w14:textId="77777777" w:rsidR="00FD71D5" w:rsidRPr="00C66720" w:rsidRDefault="00FD71D5" w:rsidP="00FD71D5">
            <w:pPr>
              <w:spacing w:after="0" w:line="240" w:lineRule="auto"/>
              <w:jc w:val="center"/>
              <w:rPr>
                <w:rFonts w:ascii="Times New Roman" w:hAnsi="Times New Roman"/>
                <w:b/>
                <w:bCs/>
                <w:color w:val="FF0000"/>
                <w:sz w:val="16"/>
                <w:szCs w:val="16"/>
                <w:lang w:eastAsia="sk-SK"/>
              </w:rPr>
            </w:pPr>
            <w:r w:rsidRPr="00C66720">
              <w:rPr>
                <w:rFonts w:ascii="Times New Roman" w:hAnsi="Times New Roman"/>
                <w:b/>
                <w:bCs/>
                <w:color w:val="FF0000"/>
                <w:sz w:val="16"/>
                <w:szCs w:val="16"/>
                <w:lang w:eastAsia="sk-SK"/>
              </w:rPr>
              <w:t> </w:t>
            </w:r>
          </w:p>
        </w:tc>
        <w:tc>
          <w:tcPr>
            <w:tcW w:w="285" w:type="dxa"/>
            <w:tcBorders>
              <w:top w:val="nil"/>
              <w:left w:val="nil"/>
              <w:bottom w:val="nil"/>
              <w:right w:val="nil"/>
            </w:tcBorders>
            <w:shd w:val="clear" w:color="000000" w:fill="FFFFFF"/>
            <w:noWrap/>
            <w:vAlign w:val="center"/>
            <w:hideMark/>
          </w:tcPr>
          <w:p w14:paraId="0EA206C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85" w:type="dxa"/>
            <w:tcBorders>
              <w:top w:val="nil"/>
              <w:left w:val="nil"/>
              <w:bottom w:val="nil"/>
              <w:right w:val="nil"/>
            </w:tcBorders>
            <w:shd w:val="clear" w:color="000000" w:fill="FFFFFF"/>
            <w:noWrap/>
            <w:vAlign w:val="center"/>
            <w:hideMark/>
          </w:tcPr>
          <w:p w14:paraId="78E9DB99"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44" w:type="dxa"/>
            <w:tcBorders>
              <w:top w:val="nil"/>
              <w:left w:val="nil"/>
              <w:bottom w:val="nil"/>
              <w:right w:val="nil"/>
            </w:tcBorders>
            <w:shd w:val="clear" w:color="000000" w:fill="FFFFFF"/>
            <w:noWrap/>
            <w:vAlign w:val="center"/>
            <w:hideMark/>
          </w:tcPr>
          <w:p w14:paraId="3E9A7358"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96" w:type="dxa"/>
            <w:tcBorders>
              <w:top w:val="nil"/>
              <w:left w:val="nil"/>
              <w:bottom w:val="nil"/>
              <w:right w:val="nil"/>
            </w:tcBorders>
            <w:shd w:val="clear" w:color="000000" w:fill="FFFFFF"/>
            <w:noWrap/>
            <w:vAlign w:val="center"/>
            <w:hideMark/>
          </w:tcPr>
          <w:p w14:paraId="4647CD1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85" w:type="dxa"/>
            <w:tcBorders>
              <w:top w:val="nil"/>
              <w:left w:val="nil"/>
              <w:bottom w:val="nil"/>
              <w:right w:val="nil"/>
            </w:tcBorders>
            <w:shd w:val="clear" w:color="000000" w:fill="FFFFFF"/>
            <w:noWrap/>
            <w:vAlign w:val="center"/>
            <w:hideMark/>
          </w:tcPr>
          <w:p w14:paraId="4B92AD5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90" w:type="dxa"/>
            <w:tcBorders>
              <w:top w:val="nil"/>
              <w:left w:val="nil"/>
              <w:bottom w:val="nil"/>
              <w:right w:val="nil"/>
            </w:tcBorders>
            <w:shd w:val="clear" w:color="000000" w:fill="FFFFFF"/>
            <w:noWrap/>
            <w:vAlign w:val="center"/>
            <w:hideMark/>
          </w:tcPr>
          <w:p w14:paraId="5510A3DE"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90" w:type="dxa"/>
            <w:tcBorders>
              <w:top w:val="nil"/>
              <w:left w:val="nil"/>
              <w:bottom w:val="nil"/>
              <w:right w:val="nil"/>
            </w:tcBorders>
            <w:shd w:val="clear" w:color="000000" w:fill="FFFFFF"/>
            <w:noWrap/>
            <w:vAlign w:val="center"/>
            <w:hideMark/>
          </w:tcPr>
          <w:p w14:paraId="7A6B5D8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87" w:type="dxa"/>
            <w:tcBorders>
              <w:top w:val="nil"/>
              <w:left w:val="nil"/>
              <w:bottom w:val="nil"/>
              <w:right w:val="nil"/>
            </w:tcBorders>
            <w:shd w:val="clear" w:color="000000" w:fill="FFFFFF"/>
            <w:noWrap/>
            <w:vAlign w:val="center"/>
            <w:hideMark/>
          </w:tcPr>
          <w:p w14:paraId="03EF004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02E9376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52" w:type="dxa"/>
            <w:tcBorders>
              <w:top w:val="nil"/>
              <w:left w:val="nil"/>
              <w:bottom w:val="nil"/>
              <w:right w:val="nil"/>
            </w:tcBorders>
            <w:shd w:val="clear" w:color="000000" w:fill="FFFFFF"/>
            <w:noWrap/>
            <w:vAlign w:val="center"/>
            <w:hideMark/>
          </w:tcPr>
          <w:p w14:paraId="47FEF49C"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74" w:type="dxa"/>
            <w:tcBorders>
              <w:top w:val="nil"/>
              <w:left w:val="nil"/>
              <w:bottom w:val="nil"/>
              <w:right w:val="nil"/>
            </w:tcBorders>
            <w:shd w:val="clear" w:color="000000" w:fill="FFFFFF"/>
            <w:noWrap/>
            <w:vAlign w:val="center"/>
            <w:hideMark/>
          </w:tcPr>
          <w:p w14:paraId="1AFAD32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238243ED"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577491A5"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2E0449C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42" w:type="dxa"/>
            <w:tcBorders>
              <w:top w:val="nil"/>
              <w:left w:val="nil"/>
              <w:bottom w:val="nil"/>
              <w:right w:val="nil"/>
            </w:tcBorders>
            <w:shd w:val="clear" w:color="000000" w:fill="FFFFFF"/>
            <w:noWrap/>
            <w:vAlign w:val="center"/>
            <w:hideMark/>
          </w:tcPr>
          <w:p w14:paraId="758EFACE"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976" w:type="dxa"/>
            <w:tcBorders>
              <w:top w:val="nil"/>
              <w:left w:val="nil"/>
              <w:bottom w:val="nil"/>
              <w:right w:val="nil"/>
            </w:tcBorders>
            <w:shd w:val="clear" w:color="000000" w:fill="FFFFFF"/>
            <w:noWrap/>
            <w:vAlign w:val="center"/>
            <w:hideMark/>
          </w:tcPr>
          <w:p w14:paraId="0938B4CA"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976" w:type="dxa"/>
            <w:tcBorders>
              <w:top w:val="nil"/>
              <w:left w:val="nil"/>
              <w:bottom w:val="nil"/>
              <w:right w:val="nil"/>
            </w:tcBorders>
            <w:shd w:val="clear" w:color="000000" w:fill="FFFFFF"/>
            <w:noWrap/>
            <w:vAlign w:val="center"/>
            <w:hideMark/>
          </w:tcPr>
          <w:p w14:paraId="5F7C57E9"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0062BC" w:rsidRPr="00C66720" w14:paraId="41CFD620" w14:textId="77777777" w:rsidTr="007F6158">
        <w:trPr>
          <w:trHeight w:val="270"/>
        </w:trPr>
        <w:tc>
          <w:tcPr>
            <w:tcW w:w="976" w:type="dxa"/>
            <w:tcBorders>
              <w:top w:val="nil"/>
              <w:left w:val="nil"/>
              <w:bottom w:val="nil"/>
              <w:right w:val="nil"/>
            </w:tcBorders>
            <w:shd w:val="clear" w:color="000000" w:fill="FFFFFF"/>
            <w:noWrap/>
            <w:vAlign w:val="center"/>
            <w:hideMark/>
          </w:tcPr>
          <w:p w14:paraId="450494D3"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195" w:type="dxa"/>
            <w:gridSpan w:val="7"/>
            <w:tcBorders>
              <w:top w:val="nil"/>
              <w:left w:val="nil"/>
              <w:bottom w:val="nil"/>
              <w:right w:val="nil"/>
            </w:tcBorders>
            <w:shd w:val="clear" w:color="000000" w:fill="FFFFFF"/>
            <w:noWrap/>
            <w:vAlign w:val="center"/>
            <w:hideMark/>
          </w:tcPr>
          <w:p w14:paraId="5BCE3E83" w14:textId="2100C0A5" w:rsidR="00FD71D5" w:rsidRPr="00C66720" w:rsidRDefault="00C3780E" w:rsidP="00FD71D5">
            <w:pPr>
              <w:spacing w:after="0" w:line="240" w:lineRule="auto"/>
              <w:rPr>
                <w:rFonts w:ascii="Times New Roman" w:hAnsi="Times New Roman"/>
                <w:b/>
                <w:sz w:val="20"/>
                <w:szCs w:val="20"/>
                <w:lang w:eastAsia="sk-SK"/>
              </w:rPr>
            </w:pPr>
            <w:r w:rsidRPr="00C66720">
              <w:rPr>
                <w:rFonts w:ascii="Times New Roman" w:hAnsi="Times New Roman"/>
                <w:b/>
                <w:sz w:val="20"/>
                <w:szCs w:val="20"/>
                <w:lang w:eastAsia="sk-SK"/>
              </w:rPr>
              <w:t>Súhrnná účtovná závierka</w:t>
            </w:r>
          </w:p>
        </w:tc>
        <w:tc>
          <w:tcPr>
            <w:tcW w:w="290" w:type="dxa"/>
            <w:tcBorders>
              <w:top w:val="nil"/>
              <w:left w:val="nil"/>
              <w:bottom w:val="nil"/>
              <w:right w:val="nil"/>
            </w:tcBorders>
            <w:shd w:val="clear" w:color="000000" w:fill="FFFFFF"/>
            <w:noWrap/>
            <w:vAlign w:val="center"/>
            <w:hideMark/>
          </w:tcPr>
          <w:p w14:paraId="12411BF5"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66DA3CD9"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25" w:type="dxa"/>
            <w:tcBorders>
              <w:top w:val="nil"/>
              <w:left w:val="nil"/>
              <w:bottom w:val="nil"/>
              <w:right w:val="nil"/>
            </w:tcBorders>
            <w:shd w:val="clear" w:color="000000" w:fill="FFFFFF"/>
            <w:noWrap/>
            <w:vAlign w:val="center"/>
            <w:hideMark/>
          </w:tcPr>
          <w:p w14:paraId="5D5D4F89"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00" w:type="dxa"/>
            <w:tcBorders>
              <w:top w:val="nil"/>
              <w:left w:val="nil"/>
              <w:bottom w:val="nil"/>
              <w:right w:val="nil"/>
            </w:tcBorders>
            <w:shd w:val="clear" w:color="000000" w:fill="FFFFFF"/>
            <w:noWrap/>
            <w:vAlign w:val="center"/>
            <w:hideMark/>
          </w:tcPr>
          <w:p w14:paraId="5FC11A87"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0E238C21"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04C394B9"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5E2D42A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09635C3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43D53F0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66E017A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DF95F2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2C3449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82A1E6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42DD4A4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E7879F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2EEBB43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236DD11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6FB25C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BE5865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F5F3D7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3C5451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61F739F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6476EF8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700FA867" w14:textId="77777777" w:rsidTr="007F6158">
        <w:trPr>
          <w:trHeight w:val="270"/>
        </w:trPr>
        <w:tc>
          <w:tcPr>
            <w:tcW w:w="976" w:type="dxa"/>
            <w:tcBorders>
              <w:top w:val="nil"/>
              <w:left w:val="nil"/>
              <w:bottom w:val="nil"/>
              <w:right w:val="nil"/>
            </w:tcBorders>
            <w:shd w:val="clear" w:color="000000" w:fill="FFFFFF"/>
            <w:noWrap/>
            <w:vAlign w:val="center"/>
            <w:hideMark/>
          </w:tcPr>
          <w:p w14:paraId="5D56596C"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14:paraId="54B16F3B"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x</w:t>
            </w:r>
          </w:p>
        </w:tc>
        <w:tc>
          <w:tcPr>
            <w:tcW w:w="263" w:type="dxa"/>
            <w:tcBorders>
              <w:top w:val="nil"/>
              <w:left w:val="nil"/>
              <w:bottom w:val="nil"/>
              <w:right w:val="nil"/>
            </w:tcBorders>
            <w:shd w:val="clear" w:color="000000" w:fill="FFFFFF"/>
            <w:noWrap/>
            <w:vAlign w:val="center"/>
            <w:hideMark/>
          </w:tcPr>
          <w:p w14:paraId="360512F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525" w:type="dxa"/>
            <w:gridSpan w:val="28"/>
            <w:tcBorders>
              <w:top w:val="nil"/>
              <w:left w:val="nil"/>
              <w:bottom w:val="nil"/>
              <w:right w:val="nil"/>
            </w:tcBorders>
            <w:shd w:val="clear" w:color="000000" w:fill="FFFFFF"/>
            <w:noWrap/>
            <w:vAlign w:val="center"/>
            <w:hideMark/>
          </w:tcPr>
          <w:p w14:paraId="7BB529C0" w14:textId="3EDF0A65" w:rsidR="00FD71D5" w:rsidRPr="00C66720" w:rsidRDefault="00C3780E"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riadna</w:t>
            </w:r>
            <w:r w:rsidR="00FD71D5" w:rsidRPr="00C66720">
              <w:rPr>
                <w:rFonts w:ascii="Times New Roman" w:hAnsi="Times New Roman"/>
                <w:b/>
                <w:bCs/>
                <w:sz w:val="20"/>
                <w:szCs w:val="20"/>
                <w:lang w:eastAsia="sk-SK"/>
              </w:rPr>
              <w:t xml:space="preserve"> </w:t>
            </w:r>
          </w:p>
        </w:tc>
      </w:tr>
      <w:tr w:rsidR="007F6158" w:rsidRPr="00C66720" w14:paraId="083B1DA9" w14:textId="77777777" w:rsidTr="007F6158">
        <w:trPr>
          <w:trHeight w:val="270"/>
        </w:trPr>
        <w:tc>
          <w:tcPr>
            <w:tcW w:w="976" w:type="dxa"/>
            <w:tcBorders>
              <w:top w:val="nil"/>
              <w:left w:val="nil"/>
              <w:bottom w:val="nil"/>
              <w:right w:val="nil"/>
            </w:tcBorders>
            <w:shd w:val="clear" w:color="000000" w:fill="FFFFFF"/>
            <w:noWrap/>
            <w:vAlign w:val="center"/>
            <w:hideMark/>
          </w:tcPr>
          <w:p w14:paraId="23BC68C9"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bottom"/>
            <w:hideMark/>
          </w:tcPr>
          <w:p w14:paraId="0E0CBA1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194CD53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339D2B7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2F98ADA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0F4A8F1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A608B1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4C50FD5"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90" w:type="dxa"/>
            <w:tcBorders>
              <w:top w:val="nil"/>
              <w:left w:val="nil"/>
              <w:bottom w:val="nil"/>
              <w:right w:val="nil"/>
            </w:tcBorders>
            <w:shd w:val="clear" w:color="000000" w:fill="FFFFFF"/>
            <w:noWrap/>
            <w:vAlign w:val="center"/>
            <w:hideMark/>
          </w:tcPr>
          <w:p w14:paraId="36FD1860"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269CE4FB"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25" w:type="dxa"/>
            <w:tcBorders>
              <w:top w:val="nil"/>
              <w:left w:val="nil"/>
              <w:bottom w:val="nil"/>
              <w:right w:val="nil"/>
            </w:tcBorders>
            <w:shd w:val="clear" w:color="000000" w:fill="FFFFFF"/>
            <w:noWrap/>
            <w:vAlign w:val="center"/>
            <w:hideMark/>
          </w:tcPr>
          <w:p w14:paraId="6C093D4F"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00" w:type="dxa"/>
            <w:tcBorders>
              <w:top w:val="nil"/>
              <w:left w:val="nil"/>
              <w:bottom w:val="nil"/>
              <w:right w:val="nil"/>
            </w:tcBorders>
            <w:shd w:val="clear" w:color="000000" w:fill="FFFFFF"/>
            <w:noWrap/>
            <w:vAlign w:val="center"/>
            <w:hideMark/>
          </w:tcPr>
          <w:p w14:paraId="3981EE85"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48A830AB"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775FED7B"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36266DF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B554DF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129C96C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1C523EC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A3ECE8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686DFE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F484AE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036D68C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759D91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6CE8FFD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41AB004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5837116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53A3027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FA37B7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DC40F9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5598119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45E89F7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5A4774AC" w14:textId="77777777" w:rsidTr="007F6158">
        <w:trPr>
          <w:trHeight w:val="255"/>
        </w:trPr>
        <w:tc>
          <w:tcPr>
            <w:tcW w:w="976" w:type="dxa"/>
            <w:tcBorders>
              <w:top w:val="nil"/>
              <w:left w:val="nil"/>
              <w:bottom w:val="nil"/>
              <w:right w:val="nil"/>
            </w:tcBorders>
            <w:shd w:val="clear" w:color="000000" w:fill="FFFFFF"/>
            <w:noWrap/>
            <w:vAlign w:val="center"/>
            <w:hideMark/>
          </w:tcPr>
          <w:p w14:paraId="0C89E659"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21568A7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100B08E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1260F0D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2C05268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CA4C80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899FE4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6BD6FF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C7D461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CF61D9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68DA302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157528A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AA526C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CCE265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BA0D2D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3C5144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6AA9203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7545F88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85D553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4F9B4C7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13D051A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39D891B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45BC9F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1060CFF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6D16330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7AFA12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77C53AE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47116B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1824FA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5F37020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5C559524"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6F622B1E" w14:textId="77777777" w:rsidTr="007F6158">
        <w:trPr>
          <w:trHeight w:val="255"/>
        </w:trPr>
        <w:tc>
          <w:tcPr>
            <w:tcW w:w="976" w:type="dxa"/>
            <w:tcBorders>
              <w:top w:val="nil"/>
              <w:left w:val="nil"/>
              <w:bottom w:val="nil"/>
              <w:right w:val="nil"/>
            </w:tcBorders>
            <w:shd w:val="clear" w:color="000000" w:fill="FFFFFF"/>
            <w:noWrap/>
            <w:vAlign w:val="center"/>
            <w:hideMark/>
          </w:tcPr>
          <w:p w14:paraId="20C8CEC3"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52B0C96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632C82C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3DA3371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3985127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12175E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BB42A1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9C020D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AB848B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ACB9828"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25" w:type="dxa"/>
            <w:tcBorders>
              <w:top w:val="nil"/>
              <w:left w:val="nil"/>
              <w:bottom w:val="nil"/>
              <w:right w:val="nil"/>
            </w:tcBorders>
            <w:shd w:val="clear" w:color="000000" w:fill="FFFFFF"/>
            <w:noWrap/>
            <w:vAlign w:val="center"/>
            <w:hideMark/>
          </w:tcPr>
          <w:p w14:paraId="6F992F6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62BBE8B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DDBA92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EF4C32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EEFEA1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4F53BC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7F03ABB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4AE07F8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188257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F13445C" w14:textId="77777777" w:rsidR="00FD71D5" w:rsidRPr="00C66720" w:rsidRDefault="00FD71D5" w:rsidP="00FD71D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90" w:type="dxa"/>
            <w:tcBorders>
              <w:top w:val="nil"/>
              <w:left w:val="nil"/>
              <w:bottom w:val="nil"/>
              <w:right w:val="nil"/>
            </w:tcBorders>
            <w:shd w:val="clear" w:color="000000" w:fill="FFFFFF"/>
            <w:noWrap/>
            <w:vAlign w:val="center"/>
            <w:hideMark/>
          </w:tcPr>
          <w:p w14:paraId="21328BB7" w14:textId="77777777" w:rsidR="00FD71D5" w:rsidRPr="00C66720" w:rsidRDefault="00FD71D5" w:rsidP="00FD71D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7" w:type="dxa"/>
            <w:tcBorders>
              <w:top w:val="nil"/>
              <w:left w:val="nil"/>
              <w:bottom w:val="nil"/>
              <w:right w:val="nil"/>
            </w:tcBorders>
            <w:shd w:val="clear" w:color="000000" w:fill="FFFFFF"/>
            <w:noWrap/>
            <w:vAlign w:val="center"/>
            <w:hideMark/>
          </w:tcPr>
          <w:p w14:paraId="2B269C8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350F2D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537FFFB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7082B7E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1D5D2E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309254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70E7556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75C436F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037EA1B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2C0FA60E"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0062BC" w:rsidRPr="00C66720" w14:paraId="33C0B9C1" w14:textId="77777777" w:rsidTr="007F6158">
        <w:trPr>
          <w:trHeight w:val="255"/>
        </w:trPr>
        <w:tc>
          <w:tcPr>
            <w:tcW w:w="976" w:type="dxa"/>
            <w:tcBorders>
              <w:top w:val="nil"/>
              <w:left w:val="nil"/>
              <w:bottom w:val="nil"/>
              <w:right w:val="nil"/>
            </w:tcBorders>
            <w:shd w:val="clear" w:color="000000" w:fill="FFFFFF"/>
            <w:noWrap/>
            <w:vAlign w:val="center"/>
            <w:hideMark/>
          </w:tcPr>
          <w:p w14:paraId="241D1B68"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1330" w:type="dxa"/>
            <w:gridSpan w:val="4"/>
            <w:tcBorders>
              <w:top w:val="nil"/>
              <w:left w:val="nil"/>
              <w:bottom w:val="nil"/>
              <w:right w:val="nil"/>
            </w:tcBorders>
            <w:shd w:val="clear" w:color="000000" w:fill="FFFFFF"/>
            <w:noWrap/>
            <w:vAlign w:val="center"/>
            <w:hideMark/>
          </w:tcPr>
          <w:p w14:paraId="0BB121DA"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Za obdobie</w:t>
            </w:r>
          </w:p>
        </w:tc>
        <w:tc>
          <w:tcPr>
            <w:tcW w:w="285" w:type="dxa"/>
            <w:tcBorders>
              <w:top w:val="nil"/>
              <w:left w:val="nil"/>
              <w:bottom w:val="nil"/>
              <w:right w:val="nil"/>
            </w:tcBorders>
            <w:shd w:val="clear" w:color="000000" w:fill="FFFFFF"/>
            <w:noWrap/>
            <w:vAlign w:val="center"/>
            <w:hideMark/>
          </w:tcPr>
          <w:p w14:paraId="256C5D1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493C44B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8245ED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165759D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01D5622"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25" w:type="dxa"/>
            <w:tcBorders>
              <w:top w:val="nil"/>
              <w:left w:val="nil"/>
              <w:bottom w:val="nil"/>
              <w:right w:val="nil"/>
            </w:tcBorders>
            <w:shd w:val="clear" w:color="000000" w:fill="FFFFFF"/>
            <w:noWrap/>
            <w:vAlign w:val="center"/>
            <w:hideMark/>
          </w:tcPr>
          <w:p w14:paraId="707E1A7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30C9FEF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0479C0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663A99C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12964B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C08C38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5740E03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6EE75CB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CDD19D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93652D0" w14:textId="77777777" w:rsidR="00FD71D5" w:rsidRPr="00C66720" w:rsidRDefault="00FD71D5" w:rsidP="00FD71D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90" w:type="dxa"/>
            <w:tcBorders>
              <w:top w:val="nil"/>
              <w:left w:val="nil"/>
              <w:bottom w:val="nil"/>
              <w:right w:val="nil"/>
            </w:tcBorders>
            <w:shd w:val="clear" w:color="000000" w:fill="FFFFFF"/>
            <w:noWrap/>
            <w:vAlign w:val="center"/>
            <w:hideMark/>
          </w:tcPr>
          <w:p w14:paraId="04139E07" w14:textId="77777777" w:rsidR="00FD71D5" w:rsidRPr="00C66720" w:rsidRDefault="00FD71D5" w:rsidP="00FD71D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7" w:type="dxa"/>
            <w:tcBorders>
              <w:top w:val="nil"/>
              <w:left w:val="nil"/>
              <w:bottom w:val="nil"/>
              <w:right w:val="nil"/>
            </w:tcBorders>
            <w:shd w:val="clear" w:color="000000" w:fill="FFFFFF"/>
            <w:noWrap/>
            <w:vAlign w:val="center"/>
            <w:hideMark/>
          </w:tcPr>
          <w:p w14:paraId="7FA2295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B17D9C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2D0B4B2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254E6A5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C5333C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EF6F3E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52F8844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2F7153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7BF6E4F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49BB5BE2"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0062BC" w:rsidRPr="00C66720" w14:paraId="107470A6" w14:textId="77777777" w:rsidTr="007F6158">
        <w:trPr>
          <w:trHeight w:val="270"/>
        </w:trPr>
        <w:tc>
          <w:tcPr>
            <w:tcW w:w="976" w:type="dxa"/>
            <w:tcBorders>
              <w:top w:val="nil"/>
              <w:left w:val="nil"/>
              <w:bottom w:val="nil"/>
              <w:right w:val="nil"/>
            </w:tcBorders>
            <w:shd w:val="clear" w:color="000000" w:fill="FFFFFF"/>
            <w:noWrap/>
            <w:vAlign w:val="center"/>
            <w:hideMark/>
          </w:tcPr>
          <w:p w14:paraId="03A2F3FD"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1D76E05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7489429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740" w:type="dxa"/>
            <w:gridSpan w:val="2"/>
            <w:tcBorders>
              <w:top w:val="nil"/>
              <w:left w:val="nil"/>
              <w:bottom w:val="single" w:sz="8" w:space="0" w:color="000000"/>
              <w:right w:val="nil"/>
            </w:tcBorders>
            <w:shd w:val="clear" w:color="000000" w:fill="FFFFFF"/>
            <w:noWrap/>
            <w:vAlign w:val="center"/>
            <w:hideMark/>
          </w:tcPr>
          <w:p w14:paraId="50CD9F82"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Mesiac</w:t>
            </w:r>
          </w:p>
        </w:tc>
        <w:tc>
          <w:tcPr>
            <w:tcW w:w="285" w:type="dxa"/>
            <w:tcBorders>
              <w:top w:val="nil"/>
              <w:left w:val="nil"/>
              <w:bottom w:val="nil"/>
              <w:right w:val="nil"/>
            </w:tcBorders>
            <w:shd w:val="clear" w:color="000000" w:fill="FFFFFF"/>
            <w:noWrap/>
            <w:vAlign w:val="center"/>
            <w:hideMark/>
          </w:tcPr>
          <w:p w14:paraId="7B6D1EA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580" w:type="dxa"/>
            <w:gridSpan w:val="2"/>
            <w:tcBorders>
              <w:top w:val="nil"/>
              <w:left w:val="nil"/>
              <w:bottom w:val="single" w:sz="8" w:space="0" w:color="000000"/>
              <w:right w:val="nil"/>
            </w:tcBorders>
            <w:shd w:val="clear" w:color="000000" w:fill="FFFFFF"/>
            <w:noWrap/>
            <w:vAlign w:val="center"/>
            <w:hideMark/>
          </w:tcPr>
          <w:p w14:paraId="243E0A7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Rok</w:t>
            </w:r>
          </w:p>
        </w:tc>
        <w:tc>
          <w:tcPr>
            <w:tcW w:w="290" w:type="dxa"/>
            <w:tcBorders>
              <w:top w:val="nil"/>
              <w:left w:val="nil"/>
              <w:bottom w:val="nil"/>
              <w:right w:val="nil"/>
            </w:tcBorders>
            <w:shd w:val="clear" w:color="000000" w:fill="FFFFFF"/>
            <w:noWrap/>
            <w:vAlign w:val="center"/>
            <w:hideMark/>
          </w:tcPr>
          <w:p w14:paraId="7B2465BF"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3E604D84"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25" w:type="dxa"/>
            <w:tcBorders>
              <w:top w:val="nil"/>
              <w:left w:val="nil"/>
              <w:bottom w:val="nil"/>
              <w:right w:val="nil"/>
            </w:tcBorders>
            <w:shd w:val="clear" w:color="000000" w:fill="FFFFFF"/>
            <w:noWrap/>
            <w:vAlign w:val="center"/>
            <w:hideMark/>
          </w:tcPr>
          <w:p w14:paraId="0F8AA7FC"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00" w:type="dxa"/>
            <w:tcBorders>
              <w:top w:val="nil"/>
              <w:left w:val="nil"/>
              <w:bottom w:val="nil"/>
              <w:right w:val="nil"/>
            </w:tcBorders>
            <w:shd w:val="clear" w:color="000000" w:fill="FFFFFF"/>
            <w:noWrap/>
            <w:vAlign w:val="center"/>
            <w:hideMark/>
          </w:tcPr>
          <w:p w14:paraId="555B18A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22CDC205"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4A98FD40"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6A386C5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1A2567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740" w:type="dxa"/>
            <w:gridSpan w:val="2"/>
            <w:tcBorders>
              <w:top w:val="nil"/>
              <w:left w:val="nil"/>
              <w:bottom w:val="single" w:sz="8" w:space="0" w:color="000000"/>
              <w:right w:val="nil"/>
            </w:tcBorders>
            <w:shd w:val="clear" w:color="000000" w:fill="FFFFFF"/>
            <w:noWrap/>
            <w:vAlign w:val="center"/>
            <w:hideMark/>
          </w:tcPr>
          <w:p w14:paraId="1BDC3142"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Mesiac</w:t>
            </w:r>
          </w:p>
        </w:tc>
        <w:tc>
          <w:tcPr>
            <w:tcW w:w="285" w:type="dxa"/>
            <w:tcBorders>
              <w:top w:val="nil"/>
              <w:left w:val="nil"/>
              <w:bottom w:val="nil"/>
              <w:right w:val="nil"/>
            </w:tcBorders>
            <w:shd w:val="clear" w:color="000000" w:fill="FFFFFF"/>
            <w:noWrap/>
            <w:vAlign w:val="center"/>
            <w:hideMark/>
          </w:tcPr>
          <w:p w14:paraId="695A6786"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580" w:type="dxa"/>
            <w:gridSpan w:val="2"/>
            <w:tcBorders>
              <w:top w:val="nil"/>
              <w:left w:val="nil"/>
              <w:bottom w:val="single" w:sz="8" w:space="0" w:color="000000"/>
              <w:right w:val="nil"/>
            </w:tcBorders>
            <w:shd w:val="clear" w:color="000000" w:fill="FFFFFF"/>
            <w:noWrap/>
            <w:vAlign w:val="center"/>
            <w:hideMark/>
          </w:tcPr>
          <w:p w14:paraId="4C426282"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Rok</w:t>
            </w:r>
          </w:p>
        </w:tc>
        <w:tc>
          <w:tcPr>
            <w:tcW w:w="287" w:type="dxa"/>
            <w:tcBorders>
              <w:top w:val="nil"/>
              <w:left w:val="nil"/>
              <w:bottom w:val="nil"/>
              <w:right w:val="nil"/>
            </w:tcBorders>
            <w:shd w:val="clear" w:color="000000" w:fill="FFFFFF"/>
            <w:noWrap/>
            <w:vAlign w:val="center"/>
            <w:hideMark/>
          </w:tcPr>
          <w:p w14:paraId="29CA057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640AA2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39CD7B8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74" w:type="dxa"/>
            <w:tcBorders>
              <w:top w:val="nil"/>
              <w:left w:val="nil"/>
              <w:bottom w:val="nil"/>
              <w:right w:val="nil"/>
            </w:tcBorders>
            <w:shd w:val="clear" w:color="000000" w:fill="FFFFFF"/>
            <w:noWrap/>
            <w:vAlign w:val="center"/>
            <w:hideMark/>
          </w:tcPr>
          <w:p w14:paraId="1B08DB90"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noWrap/>
            <w:vAlign w:val="center"/>
            <w:hideMark/>
          </w:tcPr>
          <w:p w14:paraId="3DDBDDE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noWrap/>
            <w:vAlign w:val="center"/>
            <w:hideMark/>
          </w:tcPr>
          <w:p w14:paraId="36DCE8C5"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noWrap/>
            <w:vAlign w:val="center"/>
            <w:hideMark/>
          </w:tcPr>
          <w:p w14:paraId="53DA9F16"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noWrap/>
            <w:vAlign w:val="center"/>
            <w:hideMark/>
          </w:tcPr>
          <w:p w14:paraId="051600D0"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noWrap/>
            <w:vAlign w:val="center"/>
            <w:hideMark/>
          </w:tcPr>
          <w:p w14:paraId="3829DBAB"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noWrap/>
            <w:vAlign w:val="center"/>
            <w:hideMark/>
          </w:tcPr>
          <w:p w14:paraId="38DCFA2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0612507C" w14:textId="77777777" w:rsidTr="007F6158">
        <w:trPr>
          <w:trHeight w:val="270"/>
        </w:trPr>
        <w:tc>
          <w:tcPr>
            <w:tcW w:w="976" w:type="dxa"/>
            <w:tcBorders>
              <w:top w:val="nil"/>
              <w:left w:val="nil"/>
              <w:bottom w:val="nil"/>
              <w:right w:val="nil"/>
            </w:tcBorders>
            <w:shd w:val="clear" w:color="000000" w:fill="FFFFFF"/>
            <w:noWrap/>
            <w:vAlign w:val="center"/>
            <w:hideMark/>
          </w:tcPr>
          <w:p w14:paraId="5E124DA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590" w:type="dxa"/>
            <w:gridSpan w:val="2"/>
            <w:tcBorders>
              <w:top w:val="nil"/>
              <w:left w:val="nil"/>
              <w:bottom w:val="nil"/>
              <w:right w:val="single" w:sz="8" w:space="0" w:color="000000"/>
            </w:tcBorders>
            <w:shd w:val="clear" w:color="000000" w:fill="FFFFFF"/>
            <w:noWrap/>
            <w:vAlign w:val="center"/>
            <w:hideMark/>
          </w:tcPr>
          <w:p w14:paraId="7F3A9041"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od </w:t>
            </w:r>
          </w:p>
        </w:tc>
        <w:tc>
          <w:tcPr>
            <w:tcW w:w="370" w:type="dxa"/>
            <w:tcBorders>
              <w:top w:val="nil"/>
              <w:left w:val="nil"/>
              <w:bottom w:val="single" w:sz="8" w:space="0" w:color="000000"/>
              <w:right w:val="single" w:sz="8" w:space="0" w:color="000000"/>
            </w:tcBorders>
            <w:shd w:val="clear" w:color="000000" w:fill="FFFFFF"/>
            <w:noWrap/>
            <w:vAlign w:val="center"/>
            <w:hideMark/>
          </w:tcPr>
          <w:p w14:paraId="04BD067A"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 0</w:t>
            </w:r>
          </w:p>
        </w:tc>
        <w:tc>
          <w:tcPr>
            <w:tcW w:w="370" w:type="dxa"/>
            <w:tcBorders>
              <w:top w:val="nil"/>
              <w:left w:val="nil"/>
              <w:bottom w:val="single" w:sz="8" w:space="0" w:color="000000"/>
              <w:right w:val="single" w:sz="8" w:space="0" w:color="000000"/>
            </w:tcBorders>
            <w:shd w:val="clear" w:color="000000" w:fill="FFFFFF"/>
            <w:noWrap/>
            <w:vAlign w:val="center"/>
            <w:hideMark/>
          </w:tcPr>
          <w:p w14:paraId="62AE2958"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1 </w:t>
            </w:r>
          </w:p>
        </w:tc>
        <w:tc>
          <w:tcPr>
            <w:tcW w:w="285" w:type="dxa"/>
            <w:tcBorders>
              <w:top w:val="nil"/>
              <w:left w:val="nil"/>
              <w:bottom w:val="nil"/>
              <w:right w:val="nil"/>
            </w:tcBorders>
            <w:shd w:val="clear" w:color="000000" w:fill="FFFFFF"/>
            <w:noWrap/>
            <w:vAlign w:val="center"/>
            <w:hideMark/>
          </w:tcPr>
          <w:p w14:paraId="4E75098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single" w:sz="8" w:space="0" w:color="000000"/>
              <w:bottom w:val="single" w:sz="8" w:space="0" w:color="000000"/>
              <w:right w:val="single" w:sz="8" w:space="0" w:color="000000"/>
            </w:tcBorders>
            <w:shd w:val="clear" w:color="000000" w:fill="FFFFFF"/>
            <w:noWrap/>
            <w:vAlign w:val="center"/>
            <w:hideMark/>
          </w:tcPr>
          <w:p w14:paraId="7AFC7EB3"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2 </w:t>
            </w:r>
          </w:p>
        </w:tc>
        <w:tc>
          <w:tcPr>
            <w:tcW w:w="290" w:type="dxa"/>
            <w:tcBorders>
              <w:top w:val="nil"/>
              <w:left w:val="nil"/>
              <w:bottom w:val="single" w:sz="8" w:space="0" w:color="000000"/>
              <w:right w:val="single" w:sz="8" w:space="0" w:color="000000"/>
            </w:tcBorders>
            <w:shd w:val="clear" w:color="000000" w:fill="FFFFFF"/>
            <w:noWrap/>
            <w:vAlign w:val="center"/>
            <w:hideMark/>
          </w:tcPr>
          <w:p w14:paraId="43958B5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0 </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5B10762E" w14:textId="5B0FCADD" w:rsidR="00FD71D5" w:rsidRPr="00C66720" w:rsidRDefault="001D735A"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r w:rsidR="00FD71D5" w:rsidRPr="00C66720">
              <w:rPr>
                <w:rFonts w:ascii="Times New Roman" w:hAnsi="Times New Roman"/>
                <w:sz w:val="20"/>
                <w:szCs w:val="20"/>
                <w:lang w:eastAsia="sk-SK"/>
              </w:rPr>
              <w:t> </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2192A52B" w14:textId="00BC2BFA" w:rsidR="00FD71D5" w:rsidRPr="00C66720" w:rsidRDefault="0019494B"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p>
        </w:tc>
        <w:tc>
          <w:tcPr>
            <w:tcW w:w="325" w:type="dxa"/>
            <w:tcBorders>
              <w:top w:val="nil"/>
              <w:left w:val="nil"/>
              <w:bottom w:val="nil"/>
              <w:right w:val="nil"/>
            </w:tcBorders>
            <w:shd w:val="clear" w:color="000000" w:fill="FFFFFF"/>
            <w:noWrap/>
            <w:vAlign w:val="center"/>
            <w:hideMark/>
          </w:tcPr>
          <w:p w14:paraId="11D7300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075A220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7D779AD"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1063984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570" w:type="dxa"/>
            <w:gridSpan w:val="2"/>
            <w:tcBorders>
              <w:top w:val="nil"/>
              <w:left w:val="nil"/>
              <w:bottom w:val="nil"/>
              <w:right w:val="single" w:sz="8" w:space="0" w:color="000000"/>
            </w:tcBorders>
            <w:shd w:val="clear" w:color="000000" w:fill="FFFFFF"/>
            <w:noWrap/>
            <w:vAlign w:val="center"/>
            <w:hideMark/>
          </w:tcPr>
          <w:p w14:paraId="57D47DC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do </w:t>
            </w:r>
          </w:p>
        </w:tc>
        <w:tc>
          <w:tcPr>
            <w:tcW w:w="344" w:type="dxa"/>
            <w:tcBorders>
              <w:top w:val="nil"/>
              <w:left w:val="nil"/>
              <w:bottom w:val="single" w:sz="8" w:space="0" w:color="000000"/>
              <w:right w:val="single" w:sz="8" w:space="0" w:color="000000"/>
            </w:tcBorders>
            <w:shd w:val="clear" w:color="000000" w:fill="FFFFFF"/>
            <w:noWrap/>
            <w:vAlign w:val="center"/>
            <w:hideMark/>
          </w:tcPr>
          <w:p w14:paraId="0DEA33C8"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1</w:t>
            </w:r>
          </w:p>
        </w:tc>
        <w:tc>
          <w:tcPr>
            <w:tcW w:w="396" w:type="dxa"/>
            <w:tcBorders>
              <w:top w:val="nil"/>
              <w:left w:val="nil"/>
              <w:bottom w:val="single" w:sz="8" w:space="0" w:color="000000"/>
              <w:right w:val="single" w:sz="8" w:space="0" w:color="000000"/>
            </w:tcBorders>
            <w:shd w:val="clear" w:color="000000" w:fill="FFFFFF"/>
            <w:noWrap/>
            <w:vAlign w:val="center"/>
            <w:hideMark/>
          </w:tcPr>
          <w:p w14:paraId="6CD1362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2 </w:t>
            </w:r>
          </w:p>
        </w:tc>
        <w:tc>
          <w:tcPr>
            <w:tcW w:w="285" w:type="dxa"/>
            <w:tcBorders>
              <w:top w:val="nil"/>
              <w:left w:val="nil"/>
              <w:bottom w:val="nil"/>
              <w:right w:val="nil"/>
            </w:tcBorders>
            <w:shd w:val="clear" w:color="000000" w:fill="FFFFFF"/>
            <w:noWrap/>
            <w:vAlign w:val="center"/>
            <w:hideMark/>
          </w:tcPr>
          <w:p w14:paraId="31166BDA"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single" w:sz="8" w:space="0" w:color="000000"/>
              <w:bottom w:val="single" w:sz="8" w:space="0" w:color="000000"/>
              <w:right w:val="single" w:sz="8" w:space="0" w:color="000000"/>
            </w:tcBorders>
            <w:shd w:val="clear" w:color="000000" w:fill="FFFFFF"/>
            <w:noWrap/>
            <w:vAlign w:val="center"/>
            <w:hideMark/>
          </w:tcPr>
          <w:p w14:paraId="44345858"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2 </w:t>
            </w:r>
          </w:p>
        </w:tc>
        <w:tc>
          <w:tcPr>
            <w:tcW w:w="290" w:type="dxa"/>
            <w:tcBorders>
              <w:top w:val="nil"/>
              <w:left w:val="nil"/>
              <w:bottom w:val="single" w:sz="8" w:space="0" w:color="000000"/>
              <w:right w:val="single" w:sz="8" w:space="0" w:color="000000"/>
            </w:tcBorders>
            <w:shd w:val="clear" w:color="000000" w:fill="FFFFFF"/>
            <w:noWrap/>
            <w:vAlign w:val="center"/>
            <w:hideMark/>
          </w:tcPr>
          <w:p w14:paraId="272E131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0 </w:t>
            </w:r>
          </w:p>
        </w:tc>
        <w:tc>
          <w:tcPr>
            <w:tcW w:w="287" w:type="dxa"/>
            <w:tcBorders>
              <w:top w:val="single" w:sz="8" w:space="0" w:color="000000"/>
              <w:left w:val="nil"/>
              <w:bottom w:val="single" w:sz="8" w:space="0" w:color="000000"/>
              <w:right w:val="single" w:sz="8" w:space="0" w:color="000000"/>
            </w:tcBorders>
            <w:shd w:val="clear" w:color="000000" w:fill="FFFFFF"/>
            <w:noWrap/>
            <w:vAlign w:val="center"/>
            <w:hideMark/>
          </w:tcPr>
          <w:p w14:paraId="2DA03600" w14:textId="2C732E54" w:rsidR="00FD71D5" w:rsidRPr="00C66720" w:rsidRDefault="001D735A"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p>
        </w:tc>
        <w:tc>
          <w:tcPr>
            <w:tcW w:w="242" w:type="dxa"/>
            <w:tcBorders>
              <w:top w:val="single" w:sz="8" w:space="0" w:color="000000"/>
              <w:left w:val="nil"/>
              <w:bottom w:val="single" w:sz="8" w:space="0" w:color="000000"/>
              <w:right w:val="single" w:sz="8" w:space="0" w:color="000000"/>
            </w:tcBorders>
            <w:shd w:val="clear" w:color="000000" w:fill="FFFFFF"/>
            <w:noWrap/>
            <w:vAlign w:val="center"/>
            <w:hideMark/>
          </w:tcPr>
          <w:p w14:paraId="76445824" w14:textId="6D0A9620" w:rsidR="00FD71D5" w:rsidRPr="00C66720" w:rsidRDefault="0019494B"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p>
        </w:tc>
        <w:tc>
          <w:tcPr>
            <w:tcW w:w="252" w:type="dxa"/>
            <w:tcBorders>
              <w:top w:val="nil"/>
              <w:left w:val="nil"/>
              <w:bottom w:val="nil"/>
              <w:right w:val="nil"/>
            </w:tcBorders>
            <w:shd w:val="clear" w:color="000000" w:fill="FFFFFF"/>
            <w:noWrap/>
            <w:vAlign w:val="center"/>
            <w:hideMark/>
          </w:tcPr>
          <w:p w14:paraId="36F65B7C" w14:textId="77777777" w:rsidR="00FD71D5" w:rsidRPr="00C66720" w:rsidRDefault="00FD71D5" w:rsidP="00FD71D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74" w:type="dxa"/>
            <w:tcBorders>
              <w:top w:val="nil"/>
              <w:left w:val="nil"/>
              <w:bottom w:val="nil"/>
              <w:right w:val="nil"/>
            </w:tcBorders>
            <w:shd w:val="clear" w:color="000000" w:fill="FFFFFF"/>
            <w:noWrap/>
            <w:vAlign w:val="center"/>
            <w:hideMark/>
          </w:tcPr>
          <w:p w14:paraId="2420680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A42E4E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354330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0368DD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7EBC24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4A88E37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008B965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3A325443" w14:textId="77777777" w:rsidTr="007F6158">
        <w:trPr>
          <w:trHeight w:val="255"/>
        </w:trPr>
        <w:tc>
          <w:tcPr>
            <w:tcW w:w="976" w:type="dxa"/>
            <w:tcBorders>
              <w:top w:val="nil"/>
              <w:left w:val="nil"/>
              <w:bottom w:val="nil"/>
              <w:right w:val="nil"/>
            </w:tcBorders>
            <w:shd w:val="clear" w:color="000000" w:fill="FFFFFF"/>
            <w:noWrap/>
            <w:vAlign w:val="center"/>
            <w:hideMark/>
          </w:tcPr>
          <w:p w14:paraId="07A65B3A"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14066532"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63" w:type="dxa"/>
            <w:tcBorders>
              <w:top w:val="nil"/>
              <w:left w:val="nil"/>
              <w:bottom w:val="nil"/>
              <w:right w:val="nil"/>
            </w:tcBorders>
            <w:shd w:val="clear" w:color="000000" w:fill="FFFFFF"/>
            <w:noWrap/>
            <w:vAlign w:val="center"/>
            <w:hideMark/>
          </w:tcPr>
          <w:p w14:paraId="5464EE4F"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70" w:type="dxa"/>
            <w:tcBorders>
              <w:top w:val="nil"/>
              <w:left w:val="nil"/>
              <w:bottom w:val="nil"/>
              <w:right w:val="nil"/>
            </w:tcBorders>
            <w:shd w:val="clear" w:color="000000" w:fill="FFFFFF"/>
            <w:noWrap/>
            <w:vAlign w:val="center"/>
            <w:hideMark/>
          </w:tcPr>
          <w:p w14:paraId="3F17331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7810802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C104C5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84DF4F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1BA3F4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511B5BF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1A306C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06475B5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7A8876D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60440C91"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2DA2F74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FF47DFC"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419212AD"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44" w:type="dxa"/>
            <w:tcBorders>
              <w:top w:val="nil"/>
              <w:left w:val="nil"/>
              <w:bottom w:val="nil"/>
              <w:right w:val="nil"/>
            </w:tcBorders>
            <w:shd w:val="clear" w:color="000000" w:fill="FFFFFF"/>
            <w:noWrap/>
            <w:vAlign w:val="center"/>
            <w:hideMark/>
          </w:tcPr>
          <w:p w14:paraId="1BE3406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782B7DA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78114C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6E07530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A096F5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4700316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D73C7A8" w14:textId="77777777" w:rsidR="00FD71D5" w:rsidRPr="00C66720" w:rsidRDefault="00FD71D5" w:rsidP="00FD71D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52" w:type="dxa"/>
            <w:tcBorders>
              <w:top w:val="nil"/>
              <w:left w:val="nil"/>
              <w:bottom w:val="nil"/>
              <w:right w:val="nil"/>
            </w:tcBorders>
            <w:shd w:val="clear" w:color="000000" w:fill="FFFFFF"/>
            <w:noWrap/>
            <w:vAlign w:val="center"/>
            <w:hideMark/>
          </w:tcPr>
          <w:p w14:paraId="0DBF5B51" w14:textId="77777777" w:rsidR="00FD71D5" w:rsidRPr="00C66720" w:rsidRDefault="00FD71D5" w:rsidP="00FD71D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74" w:type="dxa"/>
            <w:tcBorders>
              <w:top w:val="nil"/>
              <w:left w:val="nil"/>
              <w:bottom w:val="nil"/>
              <w:right w:val="nil"/>
            </w:tcBorders>
            <w:shd w:val="clear" w:color="000000" w:fill="FFFFFF"/>
            <w:noWrap/>
            <w:vAlign w:val="center"/>
            <w:hideMark/>
          </w:tcPr>
          <w:p w14:paraId="011ED97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789761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F82F06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D4D3AF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6DB863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2EB78B9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5273A94A"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36D1E616" w14:textId="77777777" w:rsidTr="007F6158">
        <w:trPr>
          <w:trHeight w:val="270"/>
        </w:trPr>
        <w:tc>
          <w:tcPr>
            <w:tcW w:w="976" w:type="dxa"/>
            <w:tcBorders>
              <w:top w:val="nil"/>
              <w:left w:val="nil"/>
              <w:bottom w:val="nil"/>
              <w:right w:val="nil"/>
            </w:tcBorders>
            <w:shd w:val="clear" w:color="000000" w:fill="FFFFFF"/>
            <w:noWrap/>
            <w:vAlign w:val="center"/>
            <w:hideMark/>
          </w:tcPr>
          <w:p w14:paraId="37D75E5D"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590" w:type="dxa"/>
            <w:gridSpan w:val="2"/>
            <w:tcBorders>
              <w:top w:val="nil"/>
              <w:left w:val="nil"/>
              <w:bottom w:val="single" w:sz="8" w:space="0" w:color="000000"/>
              <w:right w:val="nil"/>
            </w:tcBorders>
            <w:shd w:val="clear" w:color="000000" w:fill="FFFFFF"/>
            <w:noWrap/>
            <w:vAlign w:val="center"/>
            <w:hideMark/>
          </w:tcPr>
          <w:p w14:paraId="5C4BEF53"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IČO</w:t>
            </w:r>
          </w:p>
        </w:tc>
        <w:tc>
          <w:tcPr>
            <w:tcW w:w="370" w:type="dxa"/>
            <w:tcBorders>
              <w:top w:val="nil"/>
              <w:left w:val="nil"/>
              <w:bottom w:val="nil"/>
              <w:right w:val="nil"/>
            </w:tcBorders>
            <w:shd w:val="clear" w:color="000000" w:fill="FFFFFF"/>
            <w:noWrap/>
            <w:vAlign w:val="center"/>
            <w:hideMark/>
          </w:tcPr>
          <w:p w14:paraId="68291F5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0CA329F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6A8CA8E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138F2D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0C9408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3BC6E4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EDE81E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592AC0C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58336DA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802C98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DFA37C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33AB12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DABC3B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317F4DE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7BDD0A6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69E62AE6"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90" w:type="dxa"/>
            <w:tcBorders>
              <w:top w:val="nil"/>
              <w:left w:val="nil"/>
              <w:bottom w:val="nil"/>
              <w:right w:val="nil"/>
            </w:tcBorders>
            <w:shd w:val="clear" w:color="000000" w:fill="FFFFFF"/>
            <w:noWrap/>
            <w:vAlign w:val="center"/>
            <w:hideMark/>
          </w:tcPr>
          <w:p w14:paraId="3E08AD05"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90" w:type="dxa"/>
            <w:tcBorders>
              <w:top w:val="nil"/>
              <w:left w:val="nil"/>
              <w:bottom w:val="nil"/>
              <w:right w:val="nil"/>
            </w:tcBorders>
            <w:shd w:val="clear" w:color="000000" w:fill="FFFFFF"/>
            <w:noWrap/>
            <w:vAlign w:val="center"/>
            <w:hideMark/>
          </w:tcPr>
          <w:p w14:paraId="6DE26F22"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7" w:type="dxa"/>
            <w:tcBorders>
              <w:top w:val="nil"/>
              <w:left w:val="nil"/>
              <w:bottom w:val="nil"/>
              <w:right w:val="nil"/>
            </w:tcBorders>
            <w:shd w:val="clear" w:color="000000" w:fill="FFFFFF"/>
            <w:noWrap/>
            <w:vAlign w:val="center"/>
            <w:hideMark/>
          </w:tcPr>
          <w:p w14:paraId="22CE4EC9"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noWrap/>
            <w:vAlign w:val="center"/>
            <w:hideMark/>
          </w:tcPr>
          <w:p w14:paraId="5FB129FE"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52" w:type="dxa"/>
            <w:tcBorders>
              <w:top w:val="nil"/>
              <w:left w:val="nil"/>
              <w:bottom w:val="nil"/>
              <w:right w:val="nil"/>
            </w:tcBorders>
            <w:shd w:val="clear" w:color="000000" w:fill="FFFFFF"/>
            <w:noWrap/>
            <w:vAlign w:val="center"/>
            <w:hideMark/>
          </w:tcPr>
          <w:p w14:paraId="2AA4DF39"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74" w:type="dxa"/>
            <w:tcBorders>
              <w:top w:val="nil"/>
              <w:left w:val="nil"/>
              <w:bottom w:val="nil"/>
              <w:right w:val="nil"/>
            </w:tcBorders>
            <w:shd w:val="clear" w:color="000000" w:fill="FFFFFF"/>
            <w:noWrap/>
            <w:vAlign w:val="center"/>
            <w:hideMark/>
          </w:tcPr>
          <w:p w14:paraId="1214616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noWrap/>
            <w:vAlign w:val="center"/>
            <w:hideMark/>
          </w:tcPr>
          <w:p w14:paraId="32E98223"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noWrap/>
            <w:vAlign w:val="center"/>
            <w:hideMark/>
          </w:tcPr>
          <w:p w14:paraId="43324AC3"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noWrap/>
            <w:vAlign w:val="center"/>
            <w:hideMark/>
          </w:tcPr>
          <w:p w14:paraId="7B6AF0B4"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noWrap/>
            <w:vAlign w:val="center"/>
            <w:hideMark/>
          </w:tcPr>
          <w:p w14:paraId="50A12FB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52B1335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730C381F"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2F008A39" w14:textId="77777777" w:rsidTr="007F6158">
        <w:trPr>
          <w:trHeight w:val="270"/>
        </w:trPr>
        <w:tc>
          <w:tcPr>
            <w:tcW w:w="976" w:type="dxa"/>
            <w:tcBorders>
              <w:top w:val="nil"/>
              <w:left w:val="nil"/>
              <w:bottom w:val="nil"/>
              <w:right w:val="nil"/>
            </w:tcBorders>
            <w:shd w:val="clear" w:color="000000" w:fill="FFFFFF"/>
            <w:noWrap/>
            <w:vAlign w:val="bottom"/>
            <w:hideMark/>
          </w:tcPr>
          <w:p w14:paraId="2D74B854"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single" w:sz="8" w:space="0" w:color="000000"/>
              <w:bottom w:val="single" w:sz="8" w:space="0" w:color="000000"/>
              <w:right w:val="single" w:sz="8" w:space="0" w:color="000000"/>
            </w:tcBorders>
            <w:shd w:val="clear" w:color="000000" w:fill="FFFFFF"/>
            <w:noWrap/>
            <w:vAlign w:val="center"/>
            <w:hideMark/>
          </w:tcPr>
          <w:p w14:paraId="71D03C4A"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w:t>
            </w:r>
          </w:p>
        </w:tc>
        <w:tc>
          <w:tcPr>
            <w:tcW w:w="263" w:type="dxa"/>
            <w:tcBorders>
              <w:top w:val="nil"/>
              <w:left w:val="nil"/>
              <w:bottom w:val="single" w:sz="8" w:space="0" w:color="000000"/>
              <w:right w:val="single" w:sz="8" w:space="0" w:color="000000"/>
            </w:tcBorders>
            <w:shd w:val="clear" w:color="000000" w:fill="FFFFFF"/>
            <w:noWrap/>
            <w:vAlign w:val="center"/>
            <w:hideMark/>
          </w:tcPr>
          <w:p w14:paraId="5CA5D18D"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w:t>
            </w:r>
          </w:p>
        </w:tc>
        <w:tc>
          <w:tcPr>
            <w:tcW w:w="370" w:type="dxa"/>
            <w:tcBorders>
              <w:top w:val="single" w:sz="8" w:space="0" w:color="000000"/>
              <w:left w:val="nil"/>
              <w:bottom w:val="single" w:sz="8" w:space="0" w:color="000000"/>
              <w:right w:val="single" w:sz="8" w:space="0" w:color="000000"/>
            </w:tcBorders>
            <w:shd w:val="clear" w:color="000000" w:fill="FFFFFF"/>
            <w:noWrap/>
            <w:vAlign w:val="center"/>
            <w:hideMark/>
          </w:tcPr>
          <w:p w14:paraId="6064F30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1</w:t>
            </w:r>
          </w:p>
        </w:tc>
        <w:tc>
          <w:tcPr>
            <w:tcW w:w="370" w:type="dxa"/>
            <w:tcBorders>
              <w:top w:val="single" w:sz="8" w:space="0" w:color="000000"/>
              <w:left w:val="nil"/>
              <w:bottom w:val="single" w:sz="8" w:space="0" w:color="000000"/>
              <w:right w:val="single" w:sz="8" w:space="0" w:color="000000"/>
            </w:tcBorders>
            <w:shd w:val="clear" w:color="000000" w:fill="FFFFFF"/>
            <w:noWrap/>
            <w:vAlign w:val="center"/>
            <w:hideMark/>
          </w:tcPr>
          <w:p w14:paraId="1BCB2C9B"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5</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5C7AF579"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1</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74280184"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7</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3DCF07A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4</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4A64B43B"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p>
        </w:tc>
        <w:tc>
          <w:tcPr>
            <w:tcW w:w="285" w:type="dxa"/>
            <w:tcBorders>
              <w:top w:val="nil"/>
              <w:left w:val="nil"/>
              <w:bottom w:val="nil"/>
              <w:right w:val="nil"/>
            </w:tcBorders>
            <w:shd w:val="clear" w:color="000000" w:fill="FFFFFF"/>
            <w:noWrap/>
            <w:vAlign w:val="bottom"/>
            <w:hideMark/>
          </w:tcPr>
          <w:p w14:paraId="1463283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bottom"/>
            <w:hideMark/>
          </w:tcPr>
          <w:p w14:paraId="3B0B2F6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bottom"/>
            <w:hideMark/>
          </w:tcPr>
          <w:p w14:paraId="3725952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bottom"/>
            <w:hideMark/>
          </w:tcPr>
          <w:p w14:paraId="37D8994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bottom"/>
            <w:hideMark/>
          </w:tcPr>
          <w:p w14:paraId="0B7CAF3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bottom"/>
            <w:hideMark/>
          </w:tcPr>
          <w:p w14:paraId="495A2E2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bottom"/>
            <w:hideMark/>
          </w:tcPr>
          <w:p w14:paraId="23A8E32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bottom"/>
            <w:hideMark/>
          </w:tcPr>
          <w:p w14:paraId="211F6BB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bottom"/>
            <w:hideMark/>
          </w:tcPr>
          <w:p w14:paraId="4D73504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bottom"/>
            <w:hideMark/>
          </w:tcPr>
          <w:p w14:paraId="5BDC5C2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bottom"/>
            <w:hideMark/>
          </w:tcPr>
          <w:p w14:paraId="2FC76D1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bottom"/>
            <w:hideMark/>
          </w:tcPr>
          <w:p w14:paraId="10B155B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bottom"/>
            <w:hideMark/>
          </w:tcPr>
          <w:p w14:paraId="7E32FE9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bottom"/>
            <w:hideMark/>
          </w:tcPr>
          <w:p w14:paraId="055DB2E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bottom"/>
            <w:hideMark/>
          </w:tcPr>
          <w:p w14:paraId="76A5563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bottom"/>
            <w:hideMark/>
          </w:tcPr>
          <w:p w14:paraId="3FE9069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bottom"/>
            <w:hideMark/>
          </w:tcPr>
          <w:p w14:paraId="69AFD3C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bottom"/>
            <w:hideMark/>
          </w:tcPr>
          <w:p w14:paraId="195D821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bottom"/>
            <w:hideMark/>
          </w:tcPr>
          <w:p w14:paraId="3353A62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bottom"/>
            <w:hideMark/>
          </w:tcPr>
          <w:p w14:paraId="2B1A408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292A0F0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4D902C4E"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3753FA57" w14:textId="77777777" w:rsidTr="007F6158">
        <w:trPr>
          <w:trHeight w:val="255"/>
        </w:trPr>
        <w:tc>
          <w:tcPr>
            <w:tcW w:w="976" w:type="dxa"/>
            <w:tcBorders>
              <w:top w:val="nil"/>
              <w:left w:val="nil"/>
              <w:bottom w:val="nil"/>
              <w:right w:val="nil"/>
            </w:tcBorders>
            <w:shd w:val="clear" w:color="000000" w:fill="FFFFFF"/>
            <w:noWrap/>
            <w:vAlign w:val="center"/>
            <w:hideMark/>
          </w:tcPr>
          <w:p w14:paraId="42C37709"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5FBA754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0F32ED6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2FCB625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2889559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7A63AF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F318BF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AD297C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6C16B26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DC6B07F" w14:textId="77777777" w:rsidR="00FD71D5" w:rsidRPr="00C66720" w:rsidRDefault="00FD71D5" w:rsidP="00FD71D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25" w:type="dxa"/>
            <w:tcBorders>
              <w:top w:val="nil"/>
              <w:left w:val="nil"/>
              <w:bottom w:val="nil"/>
              <w:right w:val="nil"/>
            </w:tcBorders>
            <w:shd w:val="clear" w:color="000000" w:fill="FFFFFF"/>
            <w:noWrap/>
            <w:vAlign w:val="center"/>
            <w:hideMark/>
          </w:tcPr>
          <w:p w14:paraId="0A6DCFE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31CCB91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5E6673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312DFC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620C37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1F7A01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43C4A55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6A07A32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20A802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7E45854" w14:textId="77777777" w:rsidR="00FD71D5" w:rsidRPr="00C66720" w:rsidRDefault="00FD71D5" w:rsidP="00FD71D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90" w:type="dxa"/>
            <w:tcBorders>
              <w:top w:val="nil"/>
              <w:left w:val="nil"/>
              <w:bottom w:val="nil"/>
              <w:right w:val="nil"/>
            </w:tcBorders>
            <w:shd w:val="clear" w:color="000000" w:fill="FFFFFF"/>
            <w:noWrap/>
            <w:vAlign w:val="center"/>
            <w:hideMark/>
          </w:tcPr>
          <w:p w14:paraId="7E1D4C67" w14:textId="77777777" w:rsidR="00FD71D5" w:rsidRPr="00C66720" w:rsidRDefault="00FD71D5" w:rsidP="00FD71D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7" w:type="dxa"/>
            <w:tcBorders>
              <w:top w:val="nil"/>
              <w:left w:val="nil"/>
              <w:bottom w:val="nil"/>
              <w:right w:val="nil"/>
            </w:tcBorders>
            <w:shd w:val="clear" w:color="000000" w:fill="FFFFFF"/>
            <w:noWrap/>
            <w:vAlign w:val="center"/>
            <w:hideMark/>
          </w:tcPr>
          <w:p w14:paraId="45090CF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743622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3F1A619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721FBB3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65F395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E28070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70A2E03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37FEF0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4E00B12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0B9A3E48"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0062BC" w:rsidRPr="00C66720" w14:paraId="0BB86066" w14:textId="77777777" w:rsidTr="007F6158">
        <w:trPr>
          <w:trHeight w:val="270"/>
        </w:trPr>
        <w:tc>
          <w:tcPr>
            <w:tcW w:w="976" w:type="dxa"/>
            <w:tcBorders>
              <w:top w:val="nil"/>
              <w:left w:val="nil"/>
              <w:bottom w:val="nil"/>
              <w:right w:val="nil"/>
            </w:tcBorders>
            <w:shd w:val="clear" w:color="000000" w:fill="FFFFFF"/>
            <w:noWrap/>
            <w:vAlign w:val="center"/>
            <w:hideMark/>
          </w:tcPr>
          <w:p w14:paraId="2BB7BF9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2195" w:type="dxa"/>
            <w:gridSpan w:val="7"/>
            <w:tcBorders>
              <w:top w:val="nil"/>
              <w:left w:val="nil"/>
              <w:bottom w:val="single" w:sz="8" w:space="0" w:color="000000"/>
              <w:right w:val="nil"/>
            </w:tcBorders>
            <w:shd w:val="clear" w:color="000000" w:fill="FFFFFF"/>
            <w:noWrap/>
            <w:vAlign w:val="center"/>
            <w:hideMark/>
          </w:tcPr>
          <w:p w14:paraId="433CB6A1"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Názov účtovnej jednotky</w:t>
            </w:r>
          </w:p>
        </w:tc>
        <w:tc>
          <w:tcPr>
            <w:tcW w:w="290" w:type="dxa"/>
            <w:tcBorders>
              <w:top w:val="nil"/>
              <w:left w:val="nil"/>
              <w:bottom w:val="nil"/>
              <w:right w:val="nil"/>
            </w:tcBorders>
            <w:shd w:val="clear" w:color="000000" w:fill="FFFFFF"/>
            <w:noWrap/>
            <w:vAlign w:val="center"/>
            <w:hideMark/>
          </w:tcPr>
          <w:p w14:paraId="0B3704A0"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58B92233"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25" w:type="dxa"/>
            <w:tcBorders>
              <w:top w:val="nil"/>
              <w:left w:val="nil"/>
              <w:bottom w:val="nil"/>
              <w:right w:val="nil"/>
            </w:tcBorders>
            <w:shd w:val="clear" w:color="000000" w:fill="FFFFFF"/>
            <w:noWrap/>
            <w:vAlign w:val="center"/>
            <w:hideMark/>
          </w:tcPr>
          <w:p w14:paraId="5161E195"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00" w:type="dxa"/>
            <w:tcBorders>
              <w:top w:val="nil"/>
              <w:left w:val="nil"/>
              <w:bottom w:val="nil"/>
              <w:right w:val="nil"/>
            </w:tcBorders>
            <w:shd w:val="clear" w:color="000000" w:fill="FFFFFF"/>
            <w:noWrap/>
            <w:vAlign w:val="center"/>
            <w:hideMark/>
          </w:tcPr>
          <w:p w14:paraId="3317EFEA"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385BB53B"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31446E61"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294B3FD4"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46DC7185"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44" w:type="dxa"/>
            <w:tcBorders>
              <w:top w:val="nil"/>
              <w:left w:val="nil"/>
              <w:bottom w:val="nil"/>
              <w:right w:val="nil"/>
            </w:tcBorders>
            <w:shd w:val="clear" w:color="000000" w:fill="FFFFFF"/>
            <w:noWrap/>
            <w:vAlign w:val="center"/>
            <w:hideMark/>
          </w:tcPr>
          <w:p w14:paraId="11FBDC6D"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396" w:type="dxa"/>
            <w:tcBorders>
              <w:top w:val="nil"/>
              <w:left w:val="nil"/>
              <w:bottom w:val="nil"/>
              <w:right w:val="nil"/>
            </w:tcBorders>
            <w:shd w:val="clear" w:color="000000" w:fill="FFFFFF"/>
            <w:noWrap/>
            <w:vAlign w:val="center"/>
            <w:hideMark/>
          </w:tcPr>
          <w:p w14:paraId="064404AA"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85" w:type="dxa"/>
            <w:tcBorders>
              <w:top w:val="nil"/>
              <w:left w:val="nil"/>
              <w:bottom w:val="nil"/>
              <w:right w:val="nil"/>
            </w:tcBorders>
            <w:shd w:val="clear" w:color="000000" w:fill="FFFFFF"/>
            <w:noWrap/>
            <w:vAlign w:val="center"/>
            <w:hideMark/>
          </w:tcPr>
          <w:p w14:paraId="7A7390A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E82090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1DA2073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6BFBE4D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986920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7A9CD78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6E045C3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852504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8DE3A0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06461D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760ABD1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1504ED7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79173E27"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0EAB41FC" w14:textId="77777777" w:rsidTr="007F6158">
        <w:trPr>
          <w:trHeight w:val="270"/>
        </w:trPr>
        <w:tc>
          <w:tcPr>
            <w:tcW w:w="976" w:type="dxa"/>
            <w:tcBorders>
              <w:top w:val="nil"/>
              <w:left w:val="nil"/>
              <w:bottom w:val="nil"/>
              <w:right w:val="nil"/>
            </w:tcBorders>
            <w:shd w:val="clear" w:color="000000" w:fill="FFFFFF"/>
            <w:noWrap/>
            <w:vAlign w:val="bottom"/>
            <w:hideMark/>
          </w:tcPr>
          <w:p w14:paraId="3B56D0D8"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single" w:sz="8" w:space="0" w:color="000000"/>
              <w:bottom w:val="single" w:sz="8" w:space="0" w:color="000000"/>
              <w:right w:val="single" w:sz="8" w:space="0" w:color="000000"/>
            </w:tcBorders>
            <w:shd w:val="clear" w:color="000000" w:fill="FFFFFF"/>
            <w:noWrap/>
            <w:vAlign w:val="center"/>
            <w:hideMark/>
          </w:tcPr>
          <w:p w14:paraId="0C96B34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M</w:t>
            </w:r>
          </w:p>
        </w:tc>
        <w:tc>
          <w:tcPr>
            <w:tcW w:w="263" w:type="dxa"/>
            <w:tcBorders>
              <w:top w:val="nil"/>
              <w:left w:val="nil"/>
              <w:bottom w:val="single" w:sz="8" w:space="0" w:color="000000"/>
              <w:right w:val="single" w:sz="8" w:space="0" w:color="000000"/>
            </w:tcBorders>
            <w:shd w:val="clear" w:color="000000" w:fill="FFFFFF"/>
            <w:noWrap/>
            <w:vAlign w:val="center"/>
            <w:hideMark/>
          </w:tcPr>
          <w:p w14:paraId="0C6794B7"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I</w:t>
            </w:r>
          </w:p>
        </w:tc>
        <w:tc>
          <w:tcPr>
            <w:tcW w:w="370" w:type="dxa"/>
            <w:tcBorders>
              <w:top w:val="nil"/>
              <w:left w:val="nil"/>
              <w:bottom w:val="single" w:sz="8" w:space="0" w:color="000000"/>
              <w:right w:val="single" w:sz="8" w:space="0" w:color="000000"/>
            </w:tcBorders>
            <w:shd w:val="clear" w:color="000000" w:fill="FFFFFF"/>
            <w:noWrap/>
            <w:vAlign w:val="center"/>
            <w:hideMark/>
          </w:tcPr>
          <w:p w14:paraId="7CC0EA9F"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N</w:t>
            </w:r>
          </w:p>
        </w:tc>
        <w:tc>
          <w:tcPr>
            <w:tcW w:w="370" w:type="dxa"/>
            <w:tcBorders>
              <w:top w:val="nil"/>
              <w:left w:val="nil"/>
              <w:bottom w:val="single" w:sz="8" w:space="0" w:color="000000"/>
              <w:right w:val="single" w:sz="8" w:space="0" w:color="000000"/>
            </w:tcBorders>
            <w:shd w:val="clear" w:color="000000" w:fill="FFFFFF"/>
            <w:noWrap/>
            <w:vAlign w:val="center"/>
            <w:hideMark/>
          </w:tcPr>
          <w:p w14:paraId="0FF5D42B"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I</w:t>
            </w:r>
          </w:p>
        </w:tc>
        <w:tc>
          <w:tcPr>
            <w:tcW w:w="285" w:type="dxa"/>
            <w:tcBorders>
              <w:top w:val="nil"/>
              <w:left w:val="nil"/>
              <w:bottom w:val="single" w:sz="8" w:space="0" w:color="000000"/>
              <w:right w:val="single" w:sz="8" w:space="0" w:color="000000"/>
            </w:tcBorders>
            <w:shd w:val="clear" w:color="000000" w:fill="FFFFFF"/>
            <w:noWrap/>
            <w:vAlign w:val="center"/>
            <w:hideMark/>
          </w:tcPr>
          <w:p w14:paraId="64D93994"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S</w:t>
            </w:r>
          </w:p>
        </w:tc>
        <w:tc>
          <w:tcPr>
            <w:tcW w:w="290" w:type="dxa"/>
            <w:tcBorders>
              <w:top w:val="nil"/>
              <w:left w:val="nil"/>
              <w:bottom w:val="single" w:sz="8" w:space="0" w:color="000000"/>
              <w:right w:val="single" w:sz="8" w:space="0" w:color="000000"/>
            </w:tcBorders>
            <w:shd w:val="clear" w:color="000000" w:fill="FFFFFF"/>
            <w:noWrap/>
            <w:vAlign w:val="center"/>
            <w:hideMark/>
          </w:tcPr>
          <w:p w14:paraId="7C82D94C"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T</w:t>
            </w:r>
          </w:p>
        </w:tc>
        <w:tc>
          <w:tcPr>
            <w:tcW w:w="290" w:type="dxa"/>
            <w:tcBorders>
              <w:top w:val="nil"/>
              <w:left w:val="nil"/>
              <w:bottom w:val="single" w:sz="8" w:space="0" w:color="000000"/>
              <w:right w:val="single" w:sz="8" w:space="0" w:color="000000"/>
            </w:tcBorders>
            <w:shd w:val="clear" w:color="000000" w:fill="FFFFFF"/>
            <w:noWrap/>
            <w:vAlign w:val="center"/>
            <w:hideMark/>
          </w:tcPr>
          <w:p w14:paraId="42D74673"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E</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57B67DC5"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R</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0F03E029"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S</w:t>
            </w:r>
          </w:p>
        </w:tc>
        <w:tc>
          <w:tcPr>
            <w:tcW w:w="325" w:type="dxa"/>
            <w:tcBorders>
              <w:top w:val="single" w:sz="8" w:space="0" w:color="000000"/>
              <w:left w:val="nil"/>
              <w:bottom w:val="single" w:sz="8" w:space="0" w:color="000000"/>
              <w:right w:val="single" w:sz="8" w:space="0" w:color="000000"/>
            </w:tcBorders>
            <w:shd w:val="clear" w:color="000000" w:fill="FFFFFF"/>
            <w:noWrap/>
            <w:vAlign w:val="center"/>
            <w:hideMark/>
          </w:tcPr>
          <w:p w14:paraId="22BB4675"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T</w:t>
            </w:r>
          </w:p>
        </w:tc>
        <w:tc>
          <w:tcPr>
            <w:tcW w:w="300" w:type="dxa"/>
            <w:tcBorders>
              <w:top w:val="single" w:sz="8" w:space="0" w:color="000000"/>
              <w:left w:val="nil"/>
              <w:bottom w:val="single" w:sz="8" w:space="0" w:color="000000"/>
              <w:right w:val="single" w:sz="8" w:space="0" w:color="000000"/>
            </w:tcBorders>
            <w:shd w:val="clear" w:color="000000" w:fill="FFFFFF"/>
            <w:noWrap/>
            <w:vAlign w:val="center"/>
            <w:hideMark/>
          </w:tcPr>
          <w:p w14:paraId="058ACDE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V</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3908B5E9"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O</w:t>
            </w:r>
          </w:p>
        </w:tc>
        <w:tc>
          <w:tcPr>
            <w:tcW w:w="285" w:type="dxa"/>
            <w:tcBorders>
              <w:top w:val="single" w:sz="8" w:space="0" w:color="000000"/>
              <w:left w:val="nil"/>
              <w:bottom w:val="single" w:sz="8" w:space="0" w:color="000000"/>
              <w:right w:val="single" w:sz="8" w:space="0" w:color="000000"/>
            </w:tcBorders>
            <w:shd w:val="clear" w:color="000000" w:fill="FFFFFF"/>
            <w:noWrap/>
            <w:vAlign w:val="bottom"/>
            <w:hideMark/>
          </w:tcPr>
          <w:p w14:paraId="1E37739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5059B6A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F</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1CC00B5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I</w:t>
            </w:r>
          </w:p>
        </w:tc>
        <w:tc>
          <w:tcPr>
            <w:tcW w:w="344" w:type="dxa"/>
            <w:tcBorders>
              <w:top w:val="single" w:sz="8" w:space="0" w:color="000000"/>
              <w:left w:val="nil"/>
              <w:bottom w:val="single" w:sz="8" w:space="0" w:color="000000"/>
              <w:right w:val="single" w:sz="8" w:space="0" w:color="000000"/>
            </w:tcBorders>
            <w:shd w:val="clear" w:color="000000" w:fill="FFFFFF"/>
            <w:noWrap/>
            <w:vAlign w:val="center"/>
            <w:hideMark/>
          </w:tcPr>
          <w:p w14:paraId="0E80D69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N</w:t>
            </w:r>
          </w:p>
        </w:tc>
        <w:tc>
          <w:tcPr>
            <w:tcW w:w="396" w:type="dxa"/>
            <w:tcBorders>
              <w:top w:val="single" w:sz="8" w:space="0" w:color="000000"/>
              <w:left w:val="nil"/>
              <w:bottom w:val="single" w:sz="8" w:space="0" w:color="000000"/>
              <w:right w:val="single" w:sz="8" w:space="0" w:color="000000"/>
            </w:tcBorders>
            <w:shd w:val="clear" w:color="000000" w:fill="FFFFFF"/>
            <w:noWrap/>
            <w:vAlign w:val="center"/>
            <w:hideMark/>
          </w:tcPr>
          <w:p w14:paraId="7FB41BBD"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A</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3B99222A"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N</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7CC06C83"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C</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7D0FD3D3"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I</w:t>
            </w:r>
          </w:p>
        </w:tc>
        <w:tc>
          <w:tcPr>
            <w:tcW w:w="287" w:type="dxa"/>
            <w:tcBorders>
              <w:top w:val="single" w:sz="8" w:space="0" w:color="000000"/>
              <w:left w:val="nil"/>
              <w:bottom w:val="single" w:sz="8" w:space="0" w:color="000000"/>
              <w:right w:val="single" w:sz="8" w:space="0" w:color="000000"/>
            </w:tcBorders>
            <w:shd w:val="clear" w:color="000000" w:fill="FFFFFF"/>
            <w:noWrap/>
            <w:vAlign w:val="center"/>
            <w:hideMark/>
          </w:tcPr>
          <w:p w14:paraId="633E37C4"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Í</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64EE4C9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single" w:sz="8" w:space="0" w:color="000000"/>
              <w:left w:val="nil"/>
              <w:bottom w:val="single" w:sz="8" w:space="0" w:color="000000"/>
              <w:right w:val="single" w:sz="8" w:space="0" w:color="000000"/>
            </w:tcBorders>
            <w:shd w:val="clear" w:color="000000" w:fill="FFFFFF"/>
            <w:noWrap/>
            <w:vAlign w:val="center"/>
            <w:hideMark/>
          </w:tcPr>
          <w:p w14:paraId="24FE314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S</w:t>
            </w:r>
          </w:p>
        </w:tc>
        <w:tc>
          <w:tcPr>
            <w:tcW w:w="274" w:type="dxa"/>
            <w:tcBorders>
              <w:top w:val="single" w:sz="8" w:space="0" w:color="000000"/>
              <w:left w:val="nil"/>
              <w:bottom w:val="single" w:sz="8" w:space="0" w:color="000000"/>
              <w:right w:val="single" w:sz="8" w:space="0" w:color="000000"/>
            </w:tcBorders>
            <w:shd w:val="clear" w:color="000000" w:fill="FFFFFF"/>
            <w:noWrap/>
            <w:vAlign w:val="center"/>
            <w:hideMark/>
          </w:tcPr>
          <w:p w14:paraId="46B434A6"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R</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0A549A5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6AB129B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2999F08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11AC3FF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181F661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079C3509"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125809AE" w14:textId="77777777" w:rsidTr="007F6158">
        <w:trPr>
          <w:trHeight w:val="270"/>
        </w:trPr>
        <w:tc>
          <w:tcPr>
            <w:tcW w:w="976" w:type="dxa"/>
            <w:tcBorders>
              <w:top w:val="nil"/>
              <w:left w:val="nil"/>
              <w:bottom w:val="nil"/>
              <w:right w:val="nil"/>
            </w:tcBorders>
            <w:shd w:val="clear" w:color="000000" w:fill="FFFFFF"/>
            <w:noWrap/>
            <w:vAlign w:val="center"/>
            <w:hideMark/>
          </w:tcPr>
          <w:p w14:paraId="5B0F1E5D"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single" w:sz="8" w:space="0" w:color="000000"/>
              <w:bottom w:val="single" w:sz="8" w:space="0" w:color="000000"/>
              <w:right w:val="single" w:sz="8" w:space="0" w:color="000000"/>
            </w:tcBorders>
            <w:shd w:val="clear" w:color="000000" w:fill="FFFFFF"/>
            <w:noWrap/>
            <w:vAlign w:val="center"/>
            <w:hideMark/>
          </w:tcPr>
          <w:p w14:paraId="6E0CAA0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single" w:sz="8" w:space="0" w:color="000000"/>
              <w:right w:val="single" w:sz="8" w:space="0" w:color="000000"/>
            </w:tcBorders>
            <w:shd w:val="clear" w:color="000000" w:fill="FFFFFF"/>
            <w:noWrap/>
            <w:vAlign w:val="center"/>
            <w:hideMark/>
          </w:tcPr>
          <w:p w14:paraId="76E2C87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single" w:sz="8" w:space="0" w:color="000000"/>
              <w:right w:val="single" w:sz="8" w:space="0" w:color="000000"/>
            </w:tcBorders>
            <w:shd w:val="clear" w:color="000000" w:fill="FFFFFF"/>
            <w:noWrap/>
            <w:vAlign w:val="center"/>
            <w:hideMark/>
          </w:tcPr>
          <w:p w14:paraId="75328BC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single" w:sz="8" w:space="0" w:color="000000"/>
              <w:right w:val="single" w:sz="8" w:space="0" w:color="000000"/>
            </w:tcBorders>
            <w:shd w:val="clear" w:color="000000" w:fill="FFFFFF"/>
            <w:noWrap/>
            <w:vAlign w:val="center"/>
            <w:hideMark/>
          </w:tcPr>
          <w:p w14:paraId="2F290A7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single" w:sz="8" w:space="0" w:color="000000"/>
            </w:tcBorders>
            <w:shd w:val="clear" w:color="000000" w:fill="FFFFFF"/>
            <w:noWrap/>
            <w:vAlign w:val="center"/>
            <w:hideMark/>
          </w:tcPr>
          <w:p w14:paraId="5483417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single" w:sz="8" w:space="0" w:color="000000"/>
            </w:tcBorders>
            <w:shd w:val="clear" w:color="000000" w:fill="FFFFFF"/>
            <w:noWrap/>
            <w:vAlign w:val="center"/>
            <w:hideMark/>
          </w:tcPr>
          <w:p w14:paraId="4A740C1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single" w:sz="8" w:space="0" w:color="000000"/>
            </w:tcBorders>
            <w:shd w:val="clear" w:color="000000" w:fill="FFFFFF"/>
            <w:noWrap/>
            <w:vAlign w:val="center"/>
            <w:hideMark/>
          </w:tcPr>
          <w:p w14:paraId="610174B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single" w:sz="8" w:space="0" w:color="000000"/>
            </w:tcBorders>
            <w:shd w:val="clear" w:color="000000" w:fill="FFFFFF"/>
            <w:noWrap/>
            <w:vAlign w:val="center"/>
            <w:hideMark/>
          </w:tcPr>
          <w:p w14:paraId="0FE8B6C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single" w:sz="8" w:space="0" w:color="000000"/>
            </w:tcBorders>
            <w:shd w:val="clear" w:color="000000" w:fill="FFFFFF"/>
            <w:noWrap/>
            <w:vAlign w:val="center"/>
            <w:hideMark/>
          </w:tcPr>
          <w:p w14:paraId="6DB8BFA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single" w:sz="8" w:space="0" w:color="000000"/>
              <w:right w:val="single" w:sz="8" w:space="0" w:color="000000"/>
            </w:tcBorders>
            <w:shd w:val="clear" w:color="000000" w:fill="FFFFFF"/>
            <w:noWrap/>
            <w:vAlign w:val="center"/>
            <w:hideMark/>
          </w:tcPr>
          <w:p w14:paraId="639CDE2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single" w:sz="8" w:space="0" w:color="000000"/>
              <w:right w:val="single" w:sz="8" w:space="0" w:color="000000"/>
            </w:tcBorders>
            <w:shd w:val="clear" w:color="000000" w:fill="FFFFFF"/>
            <w:noWrap/>
            <w:vAlign w:val="center"/>
            <w:hideMark/>
          </w:tcPr>
          <w:p w14:paraId="1402730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single" w:sz="8" w:space="0" w:color="000000"/>
            </w:tcBorders>
            <w:shd w:val="clear" w:color="000000" w:fill="FFFFFF"/>
            <w:noWrap/>
            <w:vAlign w:val="center"/>
            <w:hideMark/>
          </w:tcPr>
          <w:p w14:paraId="3D03A19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single" w:sz="8" w:space="0" w:color="000000"/>
            </w:tcBorders>
            <w:shd w:val="clear" w:color="000000" w:fill="FFFFFF"/>
            <w:noWrap/>
            <w:vAlign w:val="center"/>
            <w:hideMark/>
          </w:tcPr>
          <w:p w14:paraId="4F5C0E9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single" w:sz="8" w:space="0" w:color="000000"/>
            </w:tcBorders>
            <w:shd w:val="clear" w:color="000000" w:fill="FFFFFF"/>
            <w:noWrap/>
            <w:vAlign w:val="center"/>
            <w:hideMark/>
          </w:tcPr>
          <w:p w14:paraId="19A817F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single" w:sz="8" w:space="0" w:color="000000"/>
            </w:tcBorders>
            <w:shd w:val="clear" w:color="000000" w:fill="FFFFFF"/>
            <w:noWrap/>
            <w:vAlign w:val="center"/>
            <w:hideMark/>
          </w:tcPr>
          <w:p w14:paraId="60ACFEA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single" w:sz="8" w:space="0" w:color="000000"/>
              <w:right w:val="single" w:sz="8" w:space="0" w:color="000000"/>
            </w:tcBorders>
            <w:shd w:val="clear" w:color="000000" w:fill="FFFFFF"/>
            <w:noWrap/>
            <w:vAlign w:val="center"/>
            <w:hideMark/>
          </w:tcPr>
          <w:p w14:paraId="67B334C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single" w:sz="8" w:space="0" w:color="000000"/>
              <w:right w:val="single" w:sz="8" w:space="0" w:color="000000"/>
            </w:tcBorders>
            <w:shd w:val="clear" w:color="000000" w:fill="FFFFFF"/>
            <w:noWrap/>
            <w:vAlign w:val="center"/>
            <w:hideMark/>
          </w:tcPr>
          <w:p w14:paraId="60FC686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single" w:sz="8" w:space="0" w:color="000000"/>
            </w:tcBorders>
            <w:shd w:val="clear" w:color="000000" w:fill="FFFFFF"/>
            <w:noWrap/>
            <w:vAlign w:val="center"/>
            <w:hideMark/>
          </w:tcPr>
          <w:p w14:paraId="4E3EBE9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single" w:sz="8" w:space="0" w:color="000000"/>
            </w:tcBorders>
            <w:shd w:val="clear" w:color="000000" w:fill="FFFFFF"/>
            <w:noWrap/>
            <w:vAlign w:val="center"/>
            <w:hideMark/>
          </w:tcPr>
          <w:p w14:paraId="5821978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single" w:sz="8" w:space="0" w:color="000000"/>
            </w:tcBorders>
            <w:shd w:val="clear" w:color="000000" w:fill="FFFFFF"/>
            <w:noWrap/>
            <w:vAlign w:val="center"/>
            <w:hideMark/>
          </w:tcPr>
          <w:p w14:paraId="1BBE90C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single" w:sz="8" w:space="0" w:color="000000"/>
              <w:right w:val="single" w:sz="8" w:space="0" w:color="000000"/>
            </w:tcBorders>
            <w:shd w:val="clear" w:color="000000" w:fill="FFFFFF"/>
            <w:noWrap/>
            <w:vAlign w:val="center"/>
            <w:hideMark/>
          </w:tcPr>
          <w:p w14:paraId="78C5C6E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center"/>
            <w:hideMark/>
          </w:tcPr>
          <w:p w14:paraId="566BD81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single" w:sz="8" w:space="0" w:color="000000"/>
              <w:right w:val="single" w:sz="8" w:space="0" w:color="000000"/>
            </w:tcBorders>
            <w:shd w:val="clear" w:color="000000" w:fill="FFFFFF"/>
            <w:noWrap/>
            <w:vAlign w:val="center"/>
            <w:hideMark/>
          </w:tcPr>
          <w:p w14:paraId="024CE9B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single" w:sz="8" w:space="0" w:color="000000"/>
              <w:right w:val="single" w:sz="8" w:space="0" w:color="000000"/>
            </w:tcBorders>
            <w:shd w:val="clear" w:color="000000" w:fill="FFFFFF"/>
            <w:noWrap/>
            <w:vAlign w:val="center"/>
            <w:hideMark/>
          </w:tcPr>
          <w:p w14:paraId="5BAE7CF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center"/>
            <w:hideMark/>
          </w:tcPr>
          <w:p w14:paraId="4FFC58F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center"/>
            <w:hideMark/>
          </w:tcPr>
          <w:p w14:paraId="1EEDA85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center"/>
            <w:hideMark/>
          </w:tcPr>
          <w:p w14:paraId="1E5EE1D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center"/>
            <w:hideMark/>
          </w:tcPr>
          <w:p w14:paraId="390A308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56F53CF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1931460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0A90ABA3" w14:textId="77777777" w:rsidTr="007F6158">
        <w:trPr>
          <w:trHeight w:val="255"/>
        </w:trPr>
        <w:tc>
          <w:tcPr>
            <w:tcW w:w="976" w:type="dxa"/>
            <w:tcBorders>
              <w:top w:val="nil"/>
              <w:left w:val="nil"/>
              <w:bottom w:val="nil"/>
              <w:right w:val="nil"/>
            </w:tcBorders>
            <w:shd w:val="clear" w:color="000000" w:fill="FFFFFF"/>
            <w:noWrap/>
            <w:vAlign w:val="center"/>
            <w:hideMark/>
          </w:tcPr>
          <w:p w14:paraId="5678263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5A5EC2D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0065175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413DDDD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7D737A0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21C9A3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E54CA4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5E0FCA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348897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0CED0C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092B683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614AA3C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07791AC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C04FAD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617ECE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0EE97D1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2E6FD2E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12FB176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5BD8D5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13E3B13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112AC2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646322D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A3C87A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0F2D84B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604A036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272525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6CE13C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ADA4F6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5425EC0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4DDCA3E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2487D8B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01A5A9CD" w14:textId="77777777" w:rsidTr="007F6158">
        <w:trPr>
          <w:trHeight w:val="255"/>
        </w:trPr>
        <w:tc>
          <w:tcPr>
            <w:tcW w:w="976" w:type="dxa"/>
            <w:tcBorders>
              <w:top w:val="nil"/>
              <w:left w:val="nil"/>
              <w:bottom w:val="nil"/>
              <w:right w:val="nil"/>
            </w:tcBorders>
            <w:shd w:val="clear" w:color="000000" w:fill="FFFFFF"/>
            <w:noWrap/>
            <w:vAlign w:val="center"/>
            <w:hideMark/>
          </w:tcPr>
          <w:p w14:paraId="6B153B9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8163" w:type="dxa"/>
            <w:gridSpan w:val="28"/>
            <w:tcBorders>
              <w:top w:val="nil"/>
              <w:left w:val="nil"/>
              <w:bottom w:val="nil"/>
              <w:right w:val="nil"/>
            </w:tcBorders>
            <w:shd w:val="clear" w:color="000000" w:fill="FFFFFF"/>
            <w:noWrap/>
            <w:vAlign w:val="center"/>
            <w:hideMark/>
          </w:tcPr>
          <w:p w14:paraId="289B2216"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Sídlo účtovnej jednotky</w:t>
            </w:r>
          </w:p>
        </w:tc>
        <w:tc>
          <w:tcPr>
            <w:tcW w:w="976" w:type="dxa"/>
            <w:tcBorders>
              <w:top w:val="nil"/>
              <w:left w:val="nil"/>
              <w:bottom w:val="nil"/>
              <w:right w:val="nil"/>
            </w:tcBorders>
            <w:shd w:val="clear" w:color="000000" w:fill="FFFFFF"/>
            <w:noWrap/>
            <w:vAlign w:val="center"/>
            <w:hideMark/>
          </w:tcPr>
          <w:p w14:paraId="62777BE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1CDA66C7"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0062BC" w:rsidRPr="00C66720" w14:paraId="6EE9CD86" w14:textId="77777777" w:rsidTr="007F6158">
        <w:trPr>
          <w:trHeight w:val="270"/>
        </w:trPr>
        <w:tc>
          <w:tcPr>
            <w:tcW w:w="976" w:type="dxa"/>
            <w:tcBorders>
              <w:top w:val="nil"/>
              <w:left w:val="nil"/>
              <w:bottom w:val="nil"/>
              <w:right w:val="nil"/>
            </w:tcBorders>
            <w:shd w:val="clear" w:color="000000" w:fill="FFFFFF"/>
            <w:noWrap/>
            <w:vAlign w:val="center"/>
            <w:hideMark/>
          </w:tcPr>
          <w:p w14:paraId="4B6FD837"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1330" w:type="dxa"/>
            <w:gridSpan w:val="4"/>
            <w:tcBorders>
              <w:top w:val="nil"/>
              <w:left w:val="nil"/>
              <w:bottom w:val="single" w:sz="8" w:space="0" w:color="000000"/>
              <w:right w:val="nil"/>
            </w:tcBorders>
            <w:shd w:val="clear" w:color="000000" w:fill="FFFFFF"/>
            <w:noWrap/>
            <w:vAlign w:val="center"/>
            <w:hideMark/>
          </w:tcPr>
          <w:p w14:paraId="1CC69F6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Ulica a číslo</w:t>
            </w:r>
          </w:p>
        </w:tc>
        <w:tc>
          <w:tcPr>
            <w:tcW w:w="285" w:type="dxa"/>
            <w:tcBorders>
              <w:top w:val="nil"/>
              <w:left w:val="nil"/>
              <w:bottom w:val="nil"/>
              <w:right w:val="nil"/>
            </w:tcBorders>
            <w:shd w:val="clear" w:color="000000" w:fill="FFFFFF"/>
            <w:noWrap/>
            <w:vAlign w:val="center"/>
            <w:hideMark/>
          </w:tcPr>
          <w:p w14:paraId="0ADE2D8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885583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E968E2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0D822E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EC0666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2625D0A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13C1FF2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465E09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365085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5FEFB5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1FD998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08F8281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3325BAF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983593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4F01B27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F28A79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25B251A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4F4436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69CB5D7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39CCEF1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5FD889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A6EFCD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EE7F14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320B4D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78C794B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1BA047A9"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5C383B70" w14:textId="77777777" w:rsidTr="007F6158">
        <w:trPr>
          <w:trHeight w:val="270"/>
        </w:trPr>
        <w:tc>
          <w:tcPr>
            <w:tcW w:w="976" w:type="dxa"/>
            <w:tcBorders>
              <w:top w:val="nil"/>
              <w:left w:val="nil"/>
              <w:bottom w:val="nil"/>
              <w:right w:val="nil"/>
            </w:tcBorders>
            <w:shd w:val="clear" w:color="000000" w:fill="FFFFFF"/>
            <w:noWrap/>
            <w:vAlign w:val="bottom"/>
            <w:hideMark/>
          </w:tcPr>
          <w:p w14:paraId="1A7E713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single" w:sz="8" w:space="0" w:color="000000"/>
              <w:bottom w:val="single" w:sz="8" w:space="0" w:color="000000"/>
              <w:right w:val="single" w:sz="8" w:space="0" w:color="000000"/>
            </w:tcBorders>
            <w:shd w:val="clear" w:color="000000" w:fill="FFFFFF"/>
            <w:noWrap/>
            <w:vAlign w:val="center"/>
            <w:hideMark/>
          </w:tcPr>
          <w:p w14:paraId="7FC8FA4D"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Š</w:t>
            </w:r>
          </w:p>
        </w:tc>
        <w:tc>
          <w:tcPr>
            <w:tcW w:w="263" w:type="dxa"/>
            <w:tcBorders>
              <w:top w:val="nil"/>
              <w:left w:val="nil"/>
              <w:bottom w:val="single" w:sz="8" w:space="0" w:color="000000"/>
              <w:right w:val="single" w:sz="8" w:space="0" w:color="000000"/>
            </w:tcBorders>
            <w:shd w:val="clear" w:color="000000" w:fill="FFFFFF"/>
            <w:noWrap/>
            <w:vAlign w:val="center"/>
            <w:hideMark/>
          </w:tcPr>
          <w:p w14:paraId="5C37613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T</w:t>
            </w:r>
          </w:p>
        </w:tc>
        <w:tc>
          <w:tcPr>
            <w:tcW w:w="370" w:type="dxa"/>
            <w:tcBorders>
              <w:top w:val="nil"/>
              <w:left w:val="nil"/>
              <w:bottom w:val="single" w:sz="8" w:space="0" w:color="000000"/>
              <w:right w:val="single" w:sz="8" w:space="0" w:color="000000"/>
            </w:tcBorders>
            <w:shd w:val="clear" w:color="000000" w:fill="FFFFFF"/>
            <w:noWrap/>
            <w:vAlign w:val="center"/>
            <w:hideMark/>
          </w:tcPr>
          <w:p w14:paraId="53989381"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E</w:t>
            </w:r>
          </w:p>
        </w:tc>
        <w:tc>
          <w:tcPr>
            <w:tcW w:w="370" w:type="dxa"/>
            <w:tcBorders>
              <w:top w:val="nil"/>
              <w:left w:val="nil"/>
              <w:bottom w:val="single" w:sz="8" w:space="0" w:color="000000"/>
              <w:right w:val="single" w:sz="8" w:space="0" w:color="000000"/>
            </w:tcBorders>
            <w:shd w:val="clear" w:color="000000" w:fill="FFFFFF"/>
            <w:noWrap/>
            <w:vAlign w:val="center"/>
            <w:hideMark/>
          </w:tcPr>
          <w:p w14:paraId="1F5F9BA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F</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31E201D9"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A</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466DA89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N</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77E8882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O</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2EBB68C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V</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66B06267"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I</w:t>
            </w:r>
          </w:p>
        </w:tc>
        <w:tc>
          <w:tcPr>
            <w:tcW w:w="325" w:type="dxa"/>
            <w:tcBorders>
              <w:top w:val="single" w:sz="8" w:space="0" w:color="000000"/>
              <w:left w:val="nil"/>
              <w:bottom w:val="single" w:sz="8" w:space="0" w:color="000000"/>
              <w:right w:val="single" w:sz="8" w:space="0" w:color="000000"/>
            </w:tcBorders>
            <w:shd w:val="clear" w:color="000000" w:fill="FFFFFF"/>
            <w:noWrap/>
            <w:vAlign w:val="center"/>
            <w:hideMark/>
          </w:tcPr>
          <w:p w14:paraId="17BBF2C5"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Č</w:t>
            </w:r>
          </w:p>
        </w:tc>
        <w:tc>
          <w:tcPr>
            <w:tcW w:w="300" w:type="dxa"/>
            <w:tcBorders>
              <w:top w:val="single" w:sz="8" w:space="0" w:color="000000"/>
              <w:left w:val="nil"/>
              <w:bottom w:val="single" w:sz="8" w:space="0" w:color="000000"/>
              <w:right w:val="single" w:sz="8" w:space="0" w:color="000000"/>
            </w:tcBorders>
            <w:shd w:val="clear" w:color="000000" w:fill="FFFFFF"/>
            <w:noWrap/>
            <w:vAlign w:val="center"/>
            <w:hideMark/>
          </w:tcPr>
          <w:p w14:paraId="205D31E1"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O</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324F551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V</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287F15DD"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A</w:t>
            </w:r>
          </w:p>
        </w:tc>
        <w:tc>
          <w:tcPr>
            <w:tcW w:w="285" w:type="dxa"/>
            <w:tcBorders>
              <w:top w:val="single" w:sz="8" w:space="0" w:color="000000"/>
              <w:left w:val="nil"/>
              <w:bottom w:val="single" w:sz="8" w:space="0" w:color="000000"/>
              <w:right w:val="single" w:sz="8" w:space="0" w:color="000000"/>
            </w:tcBorders>
            <w:shd w:val="clear" w:color="000000" w:fill="FFFFFF"/>
            <w:noWrap/>
            <w:vAlign w:val="bottom"/>
            <w:hideMark/>
          </w:tcPr>
          <w:p w14:paraId="2E768AF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14BDEAB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5</w:t>
            </w:r>
          </w:p>
        </w:tc>
        <w:tc>
          <w:tcPr>
            <w:tcW w:w="344" w:type="dxa"/>
            <w:tcBorders>
              <w:top w:val="single" w:sz="8" w:space="0" w:color="000000"/>
              <w:left w:val="nil"/>
              <w:bottom w:val="single" w:sz="8" w:space="0" w:color="000000"/>
              <w:right w:val="single" w:sz="8" w:space="0" w:color="000000"/>
            </w:tcBorders>
            <w:shd w:val="clear" w:color="000000" w:fill="FFFFFF"/>
            <w:noWrap/>
            <w:vAlign w:val="bottom"/>
            <w:hideMark/>
          </w:tcPr>
          <w:p w14:paraId="54E339A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single" w:sz="8" w:space="0" w:color="000000"/>
              <w:left w:val="nil"/>
              <w:bottom w:val="single" w:sz="8" w:space="0" w:color="000000"/>
              <w:right w:val="single" w:sz="8" w:space="0" w:color="000000"/>
            </w:tcBorders>
            <w:shd w:val="clear" w:color="000000" w:fill="FFFFFF"/>
            <w:noWrap/>
            <w:vAlign w:val="bottom"/>
            <w:hideMark/>
          </w:tcPr>
          <w:p w14:paraId="2C2802E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8" w:space="0" w:color="000000"/>
              <w:left w:val="nil"/>
              <w:bottom w:val="single" w:sz="8" w:space="0" w:color="000000"/>
              <w:right w:val="single" w:sz="8" w:space="0" w:color="000000"/>
            </w:tcBorders>
            <w:shd w:val="clear" w:color="000000" w:fill="FFFFFF"/>
            <w:noWrap/>
            <w:vAlign w:val="bottom"/>
            <w:hideMark/>
          </w:tcPr>
          <w:p w14:paraId="1604311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single" w:sz="8" w:space="0" w:color="000000"/>
              <w:left w:val="nil"/>
              <w:bottom w:val="single" w:sz="8" w:space="0" w:color="000000"/>
              <w:right w:val="single" w:sz="8" w:space="0" w:color="000000"/>
            </w:tcBorders>
            <w:shd w:val="clear" w:color="000000" w:fill="FFFFFF"/>
            <w:noWrap/>
            <w:vAlign w:val="bottom"/>
            <w:hideMark/>
          </w:tcPr>
          <w:p w14:paraId="39DBD25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single" w:sz="8" w:space="0" w:color="000000"/>
              <w:left w:val="nil"/>
              <w:bottom w:val="single" w:sz="8" w:space="0" w:color="000000"/>
              <w:right w:val="single" w:sz="8" w:space="0" w:color="000000"/>
            </w:tcBorders>
            <w:shd w:val="clear" w:color="000000" w:fill="FFFFFF"/>
            <w:noWrap/>
            <w:vAlign w:val="bottom"/>
            <w:hideMark/>
          </w:tcPr>
          <w:p w14:paraId="41201F2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single" w:sz="8" w:space="0" w:color="000000"/>
              <w:left w:val="nil"/>
              <w:bottom w:val="single" w:sz="8" w:space="0" w:color="000000"/>
              <w:right w:val="single" w:sz="8" w:space="0" w:color="000000"/>
            </w:tcBorders>
            <w:shd w:val="clear" w:color="000000" w:fill="FFFFFF"/>
            <w:noWrap/>
            <w:vAlign w:val="bottom"/>
            <w:hideMark/>
          </w:tcPr>
          <w:p w14:paraId="0858F29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575E69C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single" w:sz="8" w:space="0" w:color="000000"/>
              <w:left w:val="nil"/>
              <w:bottom w:val="single" w:sz="8" w:space="0" w:color="000000"/>
              <w:right w:val="single" w:sz="8" w:space="0" w:color="000000"/>
            </w:tcBorders>
            <w:shd w:val="clear" w:color="000000" w:fill="FFFFFF"/>
            <w:noWrap/>
            <w:vAlign w:val="bottom"/>
            <w:hideMark/>
          </w:tcPr>
          <w:p w14:paraId="5C0C237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single" w:sz="8" w:space="0" w:color="000000"/>
              <w:left w:val="nil"/>
              <w:bottom w:val="single" w:sz="8" w:space="0" w:color="000000"/>
              <w:right w:val="single" w:sz="8" w:space="0" w:color="000000"/>
            </w:tcBorders>
            <w:shd w:val="clear" w:color="000000" w:fill="FFFFFF"/>
            <w:noWrap/>
            <w:vAlign w:val="bottom"/>
            <w:hideMark/>
          </w:tcPr>
          <w:p w14:paraId="58B8C2C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43160C0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3FD7AB4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4FD1A01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37F8B85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5BC52E8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36970F7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031DA6F1" w14:textId="77777777" w:rsidTr="007F6158">
        <w:trPr>
          <w:trHeight w:val="255"/>
        </w:trPr>
        <w:tc>
          <w:tcPr>
            <w:tcW w:w="976" w:type="dxa"/>
            <w:tcBorders>
              <w:top w:val="nil"/>
              <w:left w:val="nil"/>
              <w:bottom w:val="nil"/>
              <w:right w:val="nil"/>
            </w:tcBorders>
            <w:shd w:val="clear" w:color="000000" w:fill="FFFFFF"/>
            <w:noWrap/>
            <w:vAlign w:val="center"/>
            <w:hideMark/>
          </w:tcPr>
          <w:p w14:paraId="744D2C4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4FA86B8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0B32A5E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3113C37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5E3FAF8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C3DF0C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F4B3CF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46DAEF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EDCE87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BCE9DF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408F792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5B26C3D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933518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0CB02F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73D27E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0318E6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5831076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6BF6735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68B3471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40BB14A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6413EF3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6BCD9CD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A0718A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0D4AC22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0806033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9B63AA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EF52B8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E93B47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37FB5B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456BF29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5946906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79E632FC" w14:textId="77777777" w:rsidTr="007F6158">
        <w:trPr>
          <w:trHeight w:val="270"/>
        </w:trPr>
        <w:tc>
          <w:tcPr>
            <w:tcW w:w="976" w:type="dxa"/>
            <w:tcBorders>
              <w:top w:val="nil"/>
              <w:left w:val="nil"/>
              <w:bottom w:val="nil"/>
              <w:right w:val="nil"/>
            </w:tcBorders>
            <w:shd w:val="clear" w:color="000000" w:fill="FFFFFF"/>
            <w:noWrap/>
            <w:vAlign w:val="center"/>
            <w:hideMark/>
          </w:tcPr>
          <w:p w14:paraId="239A2CE4"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1615" w:type="dxa"/>
            <w:gridSpan w:val="5"/>
            <w:tcBorders>
              <w:top w:val="nil"/>
              <w:left w:val="nil"/>
              <w:bottom w:val="single" w:sz="8" w:space="0" w:color="000000"/>
              <w:right w:val="nil"/>
            </w:tcBorders>
            <w:shd w:val="clear" w:color="000000" w:fill="FFFFFF"/>
            <w:noWrap/>
            <w:vAlign w:val="center"/>
            <w:hideMark/>
          </w:tcPr>
          <w:p w14:paraId="6CB8E94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PSČ</w:t>
            </w:r>
          </w:p>
        </w:tc>
        <w:tc>
          <w:tcPr>
            <w:tcW w:w="290" w:type="dxa"/>
            <w:tcBorders>
              <w:top w:val="nil"/>
              <w:left w:val="nil"/>
              <w:bottom w:val="nil"/>
              <w:right w:val="nil"/>
            </w:tcBorders>
            <w:shd w:val="clear" w:color="000000" w:fill="FFFFFF"/>
            <w:noWrap/>
            <w:vAlign w:val="center"/>
            <w:hideMark/>
          </w:tcPr>
          <w:p w14:paraId="0CDAB12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6258" w:type="dxa"/>
            <w:gridSpan w:val="22"/>
            <w:tcBorders>
              <w:top w:val="nil"/>
              <w:left w:val="nil"/>
              <w:bottom w:val="single" w:sz="8" w:space="0" w:color="000000"/>
              <w:right w:val="nil"/>
            </w:tcBorders>
            <w:shd w:val="clear" w:color="000000" w:fill="FFFFFF"/>
            <w:vAlign w:val="center"/>
            <w:hideMark/>
          </w:tcPr>
          <w:p w14:paraId="3CCABC9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Názov obce</w:t>
            </w:r>
          </w:p>
        </w:tc>
        <w:tc>
          <w:tcPr>
            <w:tcW w:w="976" w:type="dxa"/>
            <w:tcBorders>
              <w:top w:val="nil"/>
              <w:left w:val="nil"/>
              <w:bottom w:val="nil"/>
              <w:right w:val="nil"/>
            </w:tcBorders>
            <w:shd w:val="clear" w:color="000000" w:fill="FFFFFF"/>
            <w:noWrap/>
            <w:vAlign w:val="center"/>
            <w:hideMark/>
          </w:tcPr>
          <w:p w14:paraId="48B2F3F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1446C452"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51CD5476" w14:textId="77777777" w:rsidTr="007F6158">
        <w:trPr>
          <w:trHeight w:val="270"/>
        </w:trPr>
        <w:tc>
          <w:tcPr>
            <w:tcW w:w="976" w:type="dxa"/>
            <w:tcBorders>
              <w:top w:val="nil"/>
              <w:left w:val="nil"/>
              <w:bottom w:val="nil"/>
              <w:right w:val="nil"/>
            </w:tcBorders>
            <w:shd w:val="clear" w:color="000000" w:fill="FFFFFF"/>
            <w:noWrap/>
            <w:vAlign w:val="bottom"/>
            <w:hideMark/>
          </w:tcPr>
          <w:p w14:paraId="0F3EEC67"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single" w:sz="8" w:space="0" w:color="000000"/>
              <w:bottom w:val="single" w:sz="8" w:space="0" w:color="000000"/>
              <w:right w:val="single" w:sz="8" w:space="0" w:color="000000"/>
            </w:tcBorders>
            <w:shd w:val="clear" w:color="000000" w:fill="FFFFFF"/>
            <w:noWrap/>
            <w:vAlign w:val="center"/>
            <w:hideMark/>
          </w:tcPr>
          <w:p w14:paraId="7BFFF2D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8</w:t>
            </w:r>
          </w:p>
        </w:tc>
        <w:tc>
          <w:tcPr>
            <w:tcW w:w="263" w:type="dxa"/>
            <w:tcBorders>
              <w:top w:val="nil"/>
              <w:left w:val="nil"/>
              <w:bottom w:val="single" w:sz="8" w:space="0" w:color="000000"/>
              <w:right w:val="single" w:sz="8" w:space="0" w:color="000000"/>
            </w:tcBorders>
            <w:shd w:val="clear" w:color="000000" w:fill="FFFFFF"/>
            <w:noWrap/>
            <w:vAlign w:val="center"/>
            <w:hideMark/>
          </w:tcPr>
          <w:p w14:paraId="25136677"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1</w:t>
            </w:r>
          </w:p>
        </w:tc>
        <w:tc>
          <w:tcPr>
            <w:tcW w:w="370" w:type="dxa"/>
            <w:tcBorders>
              <w:top w:val="nil"/>
              <w:left w:val="nil"/>
              <w:bottom w:val="single" w:sz="8" w:space="0" w:color="000000"/>
              <w:right w:val="single" w:sz="8" w:space="0" w:color="000000"/>
            </w:tcBorders>
            <w:shd w:val="clear" w:color="000000" w:fill="FFFFFF"/>
            <w:noWrap/>
            <w:vAlign w:val="center"/>
            <w:hideMark/>
          </w:tcPr>
          <w:p w14:paraId="744EA697"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7</w:t>
            </w:r>
          </w:p>
        </w:tc>
        <w:tc>
          <w:tcPr>
            <w:tcW w:w="370" w:type="dxa"/>
            <w:tcBorders>
              <w:top w:val="nil"/>
              <w:left w:val="nil"/>
              <w:bottom w:val="single" w:sz="8" w:space="0" w:color="000000"/>
              <w:right w:val="single" w:sz="8" w:space="0" w:color="000000"/>
            </w:tcBorders>
            <w:shd w:val="clear" w:color="000000" w:fill="FFFFFF"/>
            <w:noWrap/>
            <w:vAlign w:val="center"/>
            <w:hideMark/>
          </w:tcPr>
          <w:p w14:paraId="0859D403"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8</w:t>
            </w:r>
          </w:p>
        </w:tc>
        <w:tc>
          <w:tcPr>
            <w:tcW w:w="285" w:type="dxa"/>
            <w:tcBorders>
              <w:top w:val="nil"/>
              <w:left w:val="nil"/>
              <w:bottom w:val="single" w:sz="8" w:space="0" w:color="000000"/>
              <w:right w:val="single" w:sz="8" w:space="0" w:color="000000"/>
            </w:tcBorders>
            <w:shd w:val="clear" w:color="000000" w:fill="FFFFFF"/>
            <w:noWrap/>
            <w:vAlign w:val="center"/>
            <w:hideMark/>
          </w:tcPr>
          <w:p w14:paraId="792732F4"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p>
        </w:tc>
        <w:tc>
          <w:tcPr>
            <w:tcW w:w="290" w:type="dxa"/>
            <w:tcBorders>
              <w:top w:val="nil"/>
              <w:left w:val="nil"/>
              <w:bottom w:val="nil"/>
              <w:right w:val="single" w:sz="8" w:space="0" w:color="000000"/>
            </w:tcBorders>
            <w:shd w:val="clear" w:color="000000" w:fill="FFFFFF"/>
            <w:noWrap/>
            <w:vAlign w:val="bottom"/>
            <w:hideMark/>
          </w:tcPr>
          <w:p w14:paraId="6FDABFD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single" w:sz="8" w:space="0" w:color="000000"/>
            </w:tcBorders>
            <w:shd w:val="clear" w:color="000000" w:fill="FFFFFF"/>
            <w:noWrap/>
            <w:vAlign w:val="center"/>
            <w:hideMark/>
          </w:tcPr>
          <w:p w14:paraId="35FF59A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B</w:t>
            </w:r>
          </w:p>
        </w:tc>
        <w:tc>
          <w:tcPr>
            <w:tcW w:w="290" w:type="dxa"/>
            <w:tcBorders>
              <w:top w:val="nil"/>
              <w:left w:val="nil"/>
              <w:bottom w:val="single" w:sz="8" w:space="0" w:color="000000"/>
              <w:right w:val="single" w:sz="8" w:space="0" w:color="000000"/>
            </w:tcBorders>
            <w:shd w:val="clear" w:color="000000" w:fill="FFFFFF"/>
            <w:noWrap/>
            <w:vAlign w:val="center"/>
            <w:hideMark/>
          </w:tcPr>
          <w:p w14:paraId="201E2EF6"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R</w:t>
            </w:r>
          </w:p>
        </w:tc>
        <w:tc>
          <w:tcPr>
            <w:tcW w:w="285" w:type="dxa"/>
            <w:tcBorders>
              <w:top w:val="nil"/>
              <w:left w:val="nil"/>
              <w:bottom w:val="single" w:sz="8" w:space="0" w:color="000000"/>
              <w:right w:val="single" w:sz="8" w:space="0" w:color="000000"/>
            </w:tcBorders>
            <w:shd w:val="clear" w:color="000000" w:fill="FFFFFF"/>
            <w:noWrap/>
            <w:vAlign w:val="center"/>
            <w:hideMark/>
          </w:tcPr>
          <w:p w14:paraId="40FC530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A</w:t>
            </w:r>
          </w:p>
        </w:tc>
        <w:tc>
          <w:tcPr>
            <w:tcW w:w="325" w:type="dxa"/>
            <w:tcBorders>
              <w:top w:val="nil"/>
              <w:left w:val="nil"/>
              <w:bottom w:val="single" w:sz="8" w:space="0" w:color="000000"/>
              <w:right w:val="single" w:sz="8" w:space="0" w:color="000000"/>
            </w:tcBorders>
            <w:shd w:val="clear" w:color="000000" w:fill="FFFFFF"/>
            <w:noWrap/>
            <w:vAlign w:val="center"/>
            <w:hideMark/>
          </w:tcPr>
          <w:p w14:paraId="2B0B291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T</w:t>
            </w:r>
          </w:p>
        </w:tc>
        <w:tc>
          <w:tcPr>
            <w:tcW w:w="300" w:type="dxa"/>
            <w:tcBorders>
              <w:top w:val="nil"/>
              <w:left w:val="nil"/>
              <w:bottom w:val="single" w:sz="8" w:space="0" w:color="000000"/>
              <w:right w:val="single" w:sz="8" w:space="0" w:color="000000"/>
            </w:tcBorders>
            <w:shd w:val="clear" w:color="000000" w:fill="FFFFFF"/>
            <w:noWrap/>
            <w:vAlign w:val="center"/>
            <w:hideMark/>
          </w:tcPr>
          <w:p w14:paraId="663310A5"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I</w:t>
            </w:r>
          </w:p>
        </w:tc>
        <w:tc>
          <w:tcPr>
            <w:tcW w:w="285" w:type="dxa"/>
            <w:tcBorders>
              <w:top w:val="nil"/>
              <w:left w:val="nil"/>
              <w:bottom w:val="single" w:sz="8" w:space="0" w:color="000000"/>
              <w:right w:val="single" w:sz="8" w:space="0" w:color="000000"/>
            </w:tcBorders>
            <w:shd w:val="clear" w:color="000000" w:fill="FFFFFF"/>
            <w:noWrap/>
            <w:vAlign w:val="center"/>
            <w:hideMark/>
          </w:tcPr>
          <w:p w14:paraId="50126EDF"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S</w:t>
            </w:r>
          </w:p>
        </w:tc>
        <w:tc>
          <w:tcPr>
            <w:tcW w:w="285" w:type="dxa"/>
            <w:tcBorders>
              <w:top w:val="nil"/>
              <w:left w:val="nil"/>
              <w:bottom w:val="single" w:sz="8" w:space="0" w:color="000000"/>
              <w:right w:val="single" w:sz="8" w:space="0" w:color="000000"/>
            </w:tcBorders>
            <w:shd w:val="clear" w:color="000000" w:fill="FFFFFF"/>
            <w:noWrap/>
            <w:vAlign w:val="center"/>
            <w:hideMark/>
          </w:tcPr>
          <w:p w14:paraId="6E342E2F"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L</w:t>
            </w:r>
          </w:p>
        </w:tc>
        <w:tc>
          <w:tcPr>
            <w:tcW w:w="285" w:type="dxa"/>
            <w:tcBorders>
              <w:top w:val="nil"/>
              <w:left w:val="nil"/>
              <w:bottom w:val="single" w:sz="8" w:space="0" w:color="000000"/>
              <w:right w:val="single" w:sz="8" w:space="0" w:color="000000"/>
            </w:tcBorders>
            <w:shd w:val="clear" w:color="000000" w:fill="FFFFFF"/>
            <w:noWrap/>
            <w:vAlign w:val="center"/>
            <w:hideMark/>
          </w:tcPr>
          <w:p w14:paraId="62DCC4B9"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A</w:t>
            </w:r>
          </w:p>
        </w:tc>
        <w:tc>
          <w:tcPr>
            <w:tcW w:w="285" w:type="dxa"/>
            <w:tcBorders>
              <w:top w:val="nil"/>
              <w:left w:val="nil"/>
              <w:bottom w:val="single" w:sz="8" w:space="0" w:color="000000"/>
              <w:right w:val="single" w:sz="8" w:space="0" w:color="000000"/>
            </w:tcBorders>
            <w:shd w:val="clear" w:color="000000" w:fill="FFFFFF"/>
            <w:noWrap/>
            <w:vAlign w:val="center"/>
            <w:hideMark/>
          </w:tcPr>
          <w:p w14:paraId="4A73CC97"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V</w:t>
            </w:r>
          </w:p>
        </w:tc>
        <w:tc>
          <w:tcPr>
            <w:tcW w:w="344" w:type="dxa"/>
            <w:tcBorders>
              <w:top w:val="nil"/>
              <w:left w:val="nil"/>
              <w:bottom w:val="single" w:sz="8" w:space="0" w:color="000000"/>
              <w:right w:val="single" w:sz="8" w:space="0" w:color="000000"/>
            </w:tcBorders>
            <w:shd w:val="clear" w:color="000000" w:fill="FFFFFF"/>
            <w:noWrap/>
            <w:vAlign w:val="center"/>
            <w:hideMark/>
          </w:tcPr>
          <w:p w14:paraId="577C9F76"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A</w:t>
            </w:r>
          </w:p>
        </w:tc>
        <w:tc>
          <w:tcPr>
            <w:tcW w:w="396" w:type="dxa"/>
            <w:tcBorders>
              <w:top w:val="nil"/>
              <w:left w:val="nil"/>
              <w:bottom w:val="single" w:sz="8" w:space="0" w:color="000000"/>
              <w:right w:val="single" w:sz="8" w:space="0" w:color="000000"/>
            </w:tcBorders>
            <w:shd w:val="clear" w:color="000000" w:fill="FFFFFF"/>
            <w:noWrap/>
            <w:vAlign w:val="bottom"/>
            <w:hideMark/>
          </w:tcPr>
          <w:p w14:paraId="62FE4D3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single" w:sz="8" w:space="0" w:color="000000"/>
            </w:tcBorders>
            <w:shd w:val="clear" w:color="000000" w:fill="FFFFFF"/>
            <w:noWrap/>
            <w:vAlign w:val="bottom"/>
            <w:hideMark/>
          </w:tcPr>
          <w:p w14:paraId="50E4ADD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single" w:sz="8" w:space="0" w:color="000000"/>
            </w:tcBorders>
            <w:shd w:val="clear" w:color="000000" w:fill="FFFFFF"/>
            <w:noWrap/>
            <w:vAlign w:val="bottom"/>
            <w:hideMark/>
          </w:tcPr>
          <w:p w14:paraId="6FEDE4C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single" w:sz="8" w:space="0" w:color="000000"/>
            </w:tcBorders>
            <w:shd w:val="clear" w:color="000000" w:fill="FFFFFF"/>
            <w:noWrap/>
            <w:vAlign w:val="bottom"/>
            <w:hideMark/>
          </w:tcPr>
          <w:p w14:paraId="146F623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single" w:sz="8" w:space="0" w:color="000000"/>
              <w:right w:val="single" w:sz="8" w:space="0" w:color="000000"/>
            </w:tcBorders>
            <w:shd w:val="clear" w:color="000000" w:fill="FFFFFF"/>
            <w:noWrap/>
            <w:vAlign w:val="bottom"/>
            <w:hideMark/>
          </w:tcPr>
          <w:p w14:paraId="1016C3D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bottom"/>
            <w:hideMark/>
          </w:tcPr>
          <w:p w14:paraId="546431B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single" w:sz="8" w:space="0" w:color="000000"/>
              <w:right w:val="single" w:sz="8" w:space="0" w:color="000000"/>
            </w:tcBorders>
            <w:shd w:val="clear" w:color="000000" w:fill="FFFFFF"/>
            <w:noWrap/>
            <w:vAlign w:val="bottom"/>
            <w:hideMark/>
          </w:tcPr>
          <w:p w14:paraId="22D3800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single" w:sz="8" w:space="0" w:color="000000"/>
              <w:right w:val="single" w:sz="8" w:space="0" w:color="000000"/>
            </w:tcBorders>
            <w:shd w:val="clear" w:color="000000" w:fill="FFFFFF"/>
            <w:noWrap/>
            <w:vAlign w:val="bottom"/>
            <w:hideMark/>
          </w:tcPr>
          <w:p w14:paraId="26E2C0B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bottom"/>
            <w:hideMark/>
          </w:tcPr>
          <w:p w14:paraId="64080D3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bottom"/>
            <w:hideMark/>
          </w:tcPr>
          <w:p w14:paraId="23EFBD9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bottom"/>
            <w:hideMark/>
          </w:tcPr>
          <w:p w14:paraId="3F481B3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single" w:sz="8" w:space="0" w:color="000000"/>
            </w:tcBorders>
            <w:shd w:val="clear" w:color="000000" w:fill="FFFFFF"/>
            <w:noWrap/>
            <w:vAlign w:val="bottom"/>
            <w:hideMark/>
          </w:tcPr>
          <w:p w14:paraId="4C483DD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0A79DB9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7FEA124F"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12BCF073" w14:textId="77777777" w:rsidTr="007F6158">
        <w:trPr>
          <w:trHeight w:val="255"/>
        </w:trPr>
        <w:tc>
          <w:tcPr>
            <w:tcW w:w="976" w:type="dxa"/>
            <w:tcBorders>
              <w:top w:val="nil"/>
              <w:left w:val="nil"/>
              <w:bottom w:val="nil"/>
              <w:right w:val="nil"/>
            </w:tcBorders>
            <w:shd w:val="clear" w:color="000000" w:fill="FFFFFF"/>
            <w:noWrap/>
            <w:vAlign w:val="center"/>
            <w:hideMark/>
          </w:tcPr>
          <w:p w14:paraId="4D2E2522"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7E53634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6014005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7A5E054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03FEA3A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AD8421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56D183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546F35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DF1FFA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47E9D2E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704DDAE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75D31BE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EE2DE1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06FCCF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C17C03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63570D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3B37D6B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683594D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6A9C75F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F67625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C34B85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5D90AA6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1E7537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7278FE3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26BCD6C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5893C1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CD2C1A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C5BFD3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00DB67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491ECA5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3D44C817"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5EE2F87B" w14:textId="77777777" w:rsidTr="007F6158">
        <w:trPr>
          <w:trHeight w:val="270"/>
        </w:trPr>
        <w:tc>
          <w:tcPr>
            <w:tcW w:w="976" w:type="dxa"/>
            <w:tcBorders>
              <w:top w:val="nil"/>
              <w:left w:val="nil"/>
              <w:bottom w:val="nil"/>
              <w:right w:val="nil"/>
            </w:tcBorders>
            <w:shd w:val="clear" w:color="000000" w:fill="FFFFFF"/>
            <w:noWrap/>
            <w:vAlign w:val="center"/>
            <w:hideMark/>
          </w:tcPr>
          <w:p w14:paraId="75613A4D"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1330" w:type="dxa"/>
            <w:gridSpan w:val="4"/>
            <w:tcBorders>
              <w:top w:val="nil"/>
              <w:left w:val="nil"/>
              <w:bottom w:val="single" w:sz="8" w:space="0" w:color="000000"/>
              <w:right w:val="nil"/>
            </w:tcBorders>
            <w:shd w:val="clear" w:color="000000" w:fill="FFFFFF"/>
            <w:noWrap/>
            <w:vAlign w:val="center"/>
            <w:hideMark/>
          </w:tcPr>
          <w:p w14:paraId="2E06839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xml:space="preserve">Telefónne číslo </w:t>
            </w:r>
          </w:p>
        </w:tc>
        <w:tc>
          <w:tcPr>
            <w:tcW w:w="285" w:type="dxa"/>
            <w:tcBorders>
              <w:top w:val="nil"/>
              <w:left w:val="nil"/>
              <w:bottom w:val="nil"/>
              <w:right w:val="nil"/>
            </w:tcBorders>
            <w:shd w:val="clear" w:color="000000" w:fill="FFFFFF"/>
            <w:noWrap/>
            <w:vAlign w:val="center"/>
            <w:hideMark/>
          </w:tcPr>
          <w:p w14:paraId="4AF3668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6B098F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6FE817D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5E849A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B5F94A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0CD732A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36BECB9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0945B8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668852C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6DCD5D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10382E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6EC09DF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6E782D3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1394" w:type="dxa"/>
            <w:gridSpan w:val="5"/>
            <w:tcBorders>
              <w:top w:val="nil"/>
              <w:left w:val="nil"/>
              <w:bottom w:val="single" w:sz="8" w:space="0" w:color="000000"/>
              <w:right w:val="nil"/>
            </w:tcBorders>
            <w:shd w:val="clear" w:color="000000" w:fill="FFFFFF"/>
            <w:noWrap/>
            <w:vAlign w:val="center"/>
            <w:hideMark/>
          </w:tcPr>
          <w:p w14:paraId="136AC0B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xml:space="preserve">Faxové číslo </w:t>
            </w:r>
          </w:p>
        </w:tc>
        <w:tc>
          <w:tcPr>
            <w:tcW w:w="252" w:type="dxa"/>
            <w:tcBorders>
              <w:top w:val="nil"/>
              <w:left w:val="nil"/>
              <w:bottom w:val="single" w:sz="8" w:space="0" w:color="000000"/>
              <w:right w:val="nil"/>
            </w:tcBorders>
            <w:shd w:val="clear" w:color="000000" w:fill="FFFFFF"/>
            <w:noWrap/>
            <w:vAlign w:val="center"/>
            <w:hideMark/>
          </w:tcPr>
          <w:p w14:paraId="0170E9F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single" w:sz="8" w:space="0" w:color="000000"/>
              <w:right w:val="nil"/>
            </w:tcBorders>
            <w:shd w:val="clear" w:color="000000" w:fill="FFFFFF"/>
            <w:noWrap/>
            <w:vAlign w:val="center"/>
            <w:hideMark/>
          </w:tcPr>
          <w:p w14:paraId="63CC009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nil"/>
            </w:tcBorders>
            <w:shd w:val="clear" w:color="000000" w:fill="FFFFFF"/>
            <w:noWrap/>
            <w:vAlign w:val="center"/>
            <w:hideMark/>
          </w:tcPr>
          <w:p w14:paraId="243EAD1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nil"/>
            </w:tcBorders>
            <w:shd w:val="clear" w:color="000000" w:fill="FFFFFF"/>
            <w:noWrap/>
            <w:vAlign w:val="center"/>
            <w:hideMark/>
          </w:tcPr>
          <w:p w14:paraId="13833EA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nil"/>
            </w:tcBorders>
            <w:shd w:val="clear" w:color="000000" w:fill="FFFFFF"/>
            <w:noWrap/>
            <w:vAlign w:val="center"/>
            <w:hideMark/>
          </w:tcPr>
          <w:p w14:paraId="2D0814D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nil"/>
            </w:tcBorders>
            <w:shd w:val="clear" w:color="000000" w:fill="FFFFFF"/>
            <w:noWrap/>
            <w:vAlign w:val="center"/>
            <w:hideMark/>
          </w:tcPr>
          <w:p w14:paraId="2A154DF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0E5C8A8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0F3AD3F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66C9C460" w14:textId="77777777" w:rsidTr="007F6158">
        <w:trPr>
          <w:trHeight w:val="270"/>
        </w:trPr>
        <w:tc>
          <w:tcPr>
            <w:tcW w:w="976" w:type="dxa"/>
            <w:tcBorders>
              <w:top w:val="nil"/>
              <w:left w:val="nil"/>
              <w:bottom w:val="nil"/>
              <w:right w:val="nil"/>
            </w:tcBorders>
            <w:shd w:val="clear" w:color="000000" w:fill="FFFFFF"/>
            <w:noWrap/>
            <w:vAlign w:val="bottom"/>
            <w:hideMark/>
          </w:tcPr>
          <w:p w14:paraId="44637EA5"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single" w:sz="8" w:space="0" w:color="000000"/>
              <w:bottom w:val="single" w:sz="8" w:space="0" w:color="000000"/>
              <w:right w:val="single" w:sz="8" w:space="0" w:color="000000"/>
            </w:tcBorders>
            <w:shd w:val="clear" w:color="000000" w:fill="FFFFFF"/>
            <w:noWrap/>
            <w:vAlign w:val="center"/>
            <w:hideMark/>
          </w:tcPr>
          <w:p w14:paraId="37FE525D"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w:t>
            </w:r>
          </w:p>
        </w:tc>
        <w:tc>
          <w:tcPr>
            <w:tcW w:w="263" w:type="dxa"/>
            <w:tcBorders>
              <w:top w:val="nil"/>
              <w:left w:val="nil"/>
              <w:bottom w:val="single" w:sz="8" w:space="0" w:color="000000"/>
              <w:right w:val="single" w:sz="8" w:space="0" w:color="000000"/>
            </w:tcBorders>
            <w:shd w:val="clear" w:color="000000" w:fill="FFFFFF"/>
            <w:noWrap/>
            <w:vAlign w:val="center"/>
            <w:hideMark/>
          </w:tcPr>
          <w:p w14:paraId="32AA8C2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p>
        </w:tc>
        <w:tc>
          <w:tcPr>
            <w:tcW w:w="370" w:type="dxa"/>
            <w:tcBorders>
              <w:top w:val="nil"/>
              <w:left w:val="nil"/>
              <w:bottom w:val="single" w:sz="8" w:space="0" w:color="000000"/>
              <w:right w:val="single" w:sz="8" w:space="0" w:color="000000"/>
            </w:tcBorders>
            <w:shd w:val="clear" w:color="000000" w:fill="FFFFFF"/>
            <w:noWrap/>
            <w:vAlign w:val="center"/>
            <w:hideMark/>
          </w:tcPr>
          <w:p w14:paraId="53CEBFBB"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w:t>
            </w:r>
          </w:p>
        </w:tc>
        <w:tc>
          <w:tcPr>
            <w:tcW w:w="370" w:type="dxa"/>
            <w:tcBorders>
              <w:top w:val="nil"/>
              <w:left w:val="nil"/>
              <w:bottom w:val="single" w:sz="8" w:space="0" w:color="000000"/>
              <w:right w:val="single" w:sz="8" w:space="0" w:color="000000"/>
            </w:tcBorders>
            <w:shd w:val="clear" w:color="000000" w:fill="FFFFFF"/>
            <w:noWrap/>
            <w:vAlign w:val="center"/>
            <w:hideMark/>
          </w:tcPr>
          <w:p w14:paraId="3D9E386F"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5</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79E7C97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9</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4C28136C"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5</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387DFD9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8</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5475434B"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1</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31A3871D"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1</w:t>
            </w:r>
          </w:p>
        </w:tc>
        <w:tc>
          <w:tcPr>
            <w:tcW w:w="325" w:type="dxa"/>
            <w:tcBorders>
              <w:top w:val="single" w:sz="8" w:space="0" w:color="000000"/>
              <w:left w:val="nil"/>
              <w:bottom w:val="single" w:sz="8" w:space="0" w:color="000000"/>
              <w:right w:val="single" w:sz="8" w:space="0" w:color="000000"/>
            </w:tcBorders>
            <w:shd w:val="clear" w:color="000000" w:fill="FFFFFF"/>
            <w:noWrap/>
            <w:vAlign w:val="center"/>
            <w:hideMark/>
          </w:tcPr>
          <w:p w14:paraId="69832878"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1</w:t>
            </w:r>
          </w:p>
        </w:tc>
        <w:tc>
          <w:tcPr>
            <w:tcW w:w="300" w:type="dxa"/>
            <w:tcBorders>
              <w:top w:val="single" w:sz="8" w:space="0" w:color="000000"/>
              <w:left w:val="nil"/>
              <w:bottom w:val="single" w:sz="8" w:space="0" w:color="000000"/>
              <w:right w:val="single" w:sz="8" w:space="0" w:color="000000"/>
            </w:tcBorders>
            <w:shd w:val="clear" w:color="000000" w:fill="FFFFFF"/>
            <w:noWrap/>
            <w:vAlign w:val="center"/>
            <w:hideMark/>
          </w:tcPr>
          <w:p w14:paraId="67B461A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1</w:t>
            </w:r>
          </w:p>
        </w:tc>
        <w:tc>
          <w:tcPr>
            <w:tcW w:w="285" w:type="dxa"/>
            <w:tcBorders>
              <w:top w:val="single" w:sz="8" w:space="0" w:color="000000"/>
              <w:left w:val="nil"/>
              <w:bottom w:val="single" w:sz="8" w:space="0" w:color="000000"/>
              <w:right w:val="single" w:sz="8" w:space="0" w:color="000000"/>
            </w:tcBorders>
            <w:shd w:val="clear" w:color="000000" w:fill="FFFFFF"/>
            <w:noWrap/>
            <w:vAlign w:val="bottom"/>
            <w:hideMark/>
          </w:tcPr>
          <w:p w14:paraId="0E1235C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8" w:space="0" w:color="000000"/>
              <w:left w:val="nil"/>
              <w:bottom w:val="single" w:sz="8" w:space="0" w:color="000000"/>
              <w:right w:val="single" w:sz="8" w:space="0" w:color="000000"/>
            </w:tcBorders>
            <w:shd w:val="clear" w:color="000000" w:fill="FFFFFF"/>
            <w:noWrap/>
            <w:vAlign w:val="bottom"/>
            <w:hideMark/>
          </w:tcPr>
          <w:p w14:paraId="6BA505E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8" w:space="0" w:color="000000"/>
              <w:left w:val="nil"/>
              <w:bottom w:val="single" w:sz="8" w:space="0" w:color="000000"/>
              <w:right w:val="single" w:sz="8" w:space="0" w:color="000000"/>
            </w:tcBorders>
            <w:shd w:val="clear" w:color="000000" w:fill="FFFFFF"/>
            <w:noWrap/>
            <w:vAlign w:val="bottom"/>
            <w:hideMark/>
          </w:tcPr>
          <w:p w14:paraId="34E0522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bottom"/>
            <w:hideMark/>
          </w:tcPr>
          <w:p w14:paraId="1CBB5BF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bottom"/>
            <w:hideMark/>
          </w:tcPr>
          <w:p w14:paraId="5AC49B8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bottom"/>
            <w:hideMark/>
          </w:tcPr>
          <w:p w14:paraId="438F60B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single" w:sz="8" w:space="0" w:color="000000"/>
              <w:bottom w:val="single" w:sz="8" w:space="0" w:color="000000"/>
              <w:right w:val="single" w:sz="8" w:space="0" w:color="000000"/>
            </w:tcBorders>
            <w:shd w:val="clear" w:color="000000" w:fill="FFFFFF"/>
            <w:noWrap/>
            <w:vAlign w:val="center"/>
            <w:hideMark/>
          </w:tcPr>
          <w:p w14:paraId="6E7EEC34"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w:t>
            </w:r>
          </w:p>
        </w:tc>
        <w:tc>
          <w:tcPr>
            <w:tcW w:w="290" w:type="dxa"/>
            <w:tcBorders>
              <w:top w:val="nil"/>
              <w:left w:val="nil"/>
              <w:bottom w:val="single" w:sz="8" w:space="0" w:color="000000"/>
              <w:right w:val="single" w:sz="8" w:space="0" w:color="000000"/>
            </w:tcBorders>
            <w:shd w:val="clear" w:color="000000" w:fill="FFFFFF"/>
            <w:noWrap/>
            <w:vAlign w:val="center"/>
            <w:hideMark/>
          </w:tcPr>
          <w:p w14:paraId="163873EA"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p>
        </w:tc>
        <w:tc>
          <w:tcPr>
            <w:tcW w:w="290" w:type="dxa"/>
            <w:tcBorders>
              <w:top w:val="nil"/>
              <w:left w:val="nil"/>
              <w:bottom w:val="single" w:sz="8" w:space="0" w:color="000000"/>
              <w:right w:val="single" w:sz="8" w:space="0" w:color="000000"/>
            </w:tcBorders>
            <w:shd w:val="clear" w:color="000000" w:fill="FFFFFF"/>
            <w:noWrap/>
            <w:vAlign w:val="center"/>
            <w:hideMark/>
          </w:tcPr>
          <w:p w14:paraId="0EC39694"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w:t>
            </w:r>
          </w:p>
        </w:tc>
        <w:tc>
          <w:tcPr>
            <w:tcW w:w="287" w:type="dxa"/>
            <w:tcBorders>
              <w:top w:val="nil"/>
              <w:left w:val="nil"/>
              <w:bottom w:val="single" w:sz="8" w:space="0" w:color="000000"/>
              <w:right w:val="single" w:sz="8" w:space="0" w:color="000000"/>
            </w:tcBorders>
            <w:shd w:val="clear" w:color="000000" w:fill="FFFFFF"/>
            <w:noWrap/>
            <w:vAlign w:val="center"/>
            <w:hideMark/>
          </w:tcPr>
          <w:p w14:paraId="00745295"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5</w:t>
            </w:r>
          </w:p>
        </w:tc>
        <w:tc>
          <w:tcPr>
            <w:tcW w:w="242" w:type="dxa"/>
            <w:tcBorders>
              <w:top w:val="nil"/>
              <w:left w:val="nil"/>
              <w:bottom w:val="single" w:sz="8" w:space="0" w:color="000000"/>
              <w:right w:val="single" w:sz="8" w:space="0" w:color="000000"/>
            </w:tcBorders>
            <w:shd w:val="clear" w:color="000000" w:fill="FFFFFF"/>
            <w:noWrap/>
            <w:vAlign w:val="center"/>
            <w:hideMark/>
          </w:tcPr>
          <w:p w14:paraId="0990D50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9</w:t>
            </w:r>
          </w:p>
        </w:tc>
        <w:tc>
          <w:tcPr>
            <w:tcW w:w="252" w:type="dxa"/>
            <w:tcBorders>
              <w:top w:val="nil"/>
              <w:left w:val="nil"/>
              <w:bottom w:val="single" w:sz="8" w:space="0" w:color="000000"/>
              <w:right w:val="single" w:sz="8" w:space="0" w:color="000000"/>
            </w:tcBorders>
            <w:shd w:val="clear" w:color="000000" w:fill="FFFFFF"/>
            <w:noWrap/>
            <w:vAlign w:val="center"/>
            <w:hideMark/>
          </w:tcPr>
          <w:p w14:paraId="144A3309"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5</w:t>
            </w:r>
          </w:p>
        </w:tc>
        <w:tc>
          <w:tcPr>
            <w:tcW w:w="274" w:type="dxa"/>
            <w:tcBorders>
              <w:top w:val="nil"/>
              <w:left w:val="nil"/>
              <w:bottom w:val="single" w:sz="8" w:space="0" w:color="000000"/>
              <w:right w:val="single" w:sz="8" w:space="0" w:color="000000"/>
            </w:tcBorders>
            <w:shd w:val="clear" w:color="000000" w:fill="FFFFFF"/>
            <w:noWrap/>
            <w:vAlign w:val="center"/>
            <w:hideMark/>
          </w:tcPr>
          <w:p w14:paraId="7D94A10B"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8</w:t>
            </w:r>
          </w:p>
        </w:tc>
        <w:tc>
          <w:tcPr>
            <w:tcW w:w="242" w:type="dxa"/>
            <w:tcBorders>
              <w:top w:val="nil"/>
              <w:left w:val="nil"/>
              <w:bottom w:val="single" w:sz="8" w:space="0" w:color="000000"/>
              <w:right w:val="single" w:sz="8" w:space="0" w:color="000000"/>
            </w:tcBorders>
            <w:shd w:val="clear" w:color="000000" w:fill="FFFFFF"/>
            <w:noWrap/>
            <w:vAlign w:val="center"/>
            <w:hideMark/>
          </w:tcPr>
          <w:p w14:paraId="49F3111A"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3</w:t>
            </w:r>
          </w:p>
        </w:tc>
        <w:tc>
          <w:tcPr>
            <w:tcW w:w="242" w:type="dxa"/>
            <w:tcBorders>
              <w:top w:val="nil"/>
              <w:left w:val="nil"/>
              <w:bottom w:val="single" w:sz="8" w:space="0" w:color="000000"/>
              <w:right w:val="single" w:sz="8" w:space="0" w:color="000000"/>
            </w:tcBorders>
            <w:shd w:val="clear" w:color="000000" w:fill="FFFFFF"/>
            <w:noWrap/>
            <w:vAlign w:val="center"/>
            <w:hideMark/>
          </w:tcPr>
          <w:p w14:paraId="0CE3FC79"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w:t>
            </w:r>
          </w:p>
        </w:tc>
        <w:tc>
          <w:tcPr>
            <w:tcW w:w="242" w:type="dxa"/>
            <w:tcBorders>
              <w:top w:val="nil"/>
              <w:left w:val="nil"/>
              <w:bottom w:val="single" w:sz="8" w:space="0" w:color="000000"/>
              <w:right w:val="single" w:sz="8" w:space="0" w:color="000000"/>
            </w:tcBorders>
            <w:shd w:val="clear" w:color="000000" w:fill="FFFFFF"/>
            <w:noWrap/>
            <w:vAlign w:val="center"/>
            <w:hideMark/>
          </w:tcPr>
          <w:p w14:paraId="2159624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4</w:t>
            </w:r>
          </w:p>
        </w:tc>
        <w:tc>
          <w:tcPr>
            <w:tcW w:w="242" w:type="dxa"/>
            <w:tcBorders>
              <w:top w:val="nil"/>
              <w:left w:val="nil"/>
              <w:bottom w:val="single" w:sz="8" w:space="0" w:color="000000"/>
              <w:right w:val="single" w:sz="8" w:space="0" w:color="000000"/>
            </w:tcBorders>
            <w:shd w:val="clear" w:color="000000" w:fill="FFFFFF"/>
            <w:noWrap/>
            <w:vAlign w:val="center"/>
            <w:hideMark/>
          </w:tcPr>
          <w:p w14:paraId="7D1B4F9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8</w:t>
            </w:r>
          </w:p>
        </w:tc>
        <w:tc>
          <w:tcPr>
            <w:tcW w:w="976" w:type="dxa"/>
            <w:tcBorders>
              <w:top w:val="nil"/>
              <w:left w:val="nil"/>
              <w:bottom w:val="nil"/>
              <w:right w:val="nil"/>
            </w:tcBorders>
            <w:shd w:val="clear" w:color="000000" w:fill="FFFFFF"/>
            <w:noWrap/>
            <w:vAlign w:val="bottom"/>
            <w:hideMark/>
          </w:tcPr>
          <w:p w14:paraId="1BC88CD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77CF4CFF"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2351C757" w14:textId="77777777" w:rsidTr="007F6158">
        <w:trPr>
          <w:trHeight w:val="255"/>
        </w:trPr>
        <w:tc>
          <w:tcPr>
            <w:tcW w:w="976" w:type="dxa"/>
            <w:tcBorders>
              <w:top w:val="nil"/>
              <w:left w:val="nil"/>
              <w:bottom w:val="nil"/>
              <w:right w:val="nil"/>
            </w:tcBorders>
            <w:shd w:val="clear" w:color="000000" w:fill="FFFFFF"/>
            <w:noWrap/>
            <w:vAlign w:val="center"/>
            <w:hideMark/>
          </w:tcPr>
          <w:p w14:paraId="657F8CE3"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694CBD8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400FAE7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34A4336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1A5547D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4B1F73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4A66F43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6AB2E08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6B5B937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33658C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46F8F55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57E971D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1C0E70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06C9C1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1ABF07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6C342F1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28FE572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40621AA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0EA56E4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7B8586E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4C95C46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289BA35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75D716B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578FC5A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419E305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CB08A6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BBAC91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57C072C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D013CA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03818BA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1BD707C5"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0062BC" w:rsidRPr="00C66720" w14:paraId="78D021AF" w14:textId="77777777" w:rsidTr="007F6158">
        <w:trPr>
          <w:trHeight w:val="270"/>
        </w:trPr>
        <w:tc>
          <w:tcPr>
            <w:tcW w:w="976" w:type="dxa"/>
            <w:tcBorders>
              <w:top w:val="nil"/>
              <w:left w:val="nil"/>
              <w:bottom w:val="nil"/>
              <w:right w:val="nil"/>
            </w:tcBorders>
            <w:shd w:val="clear" w:color="000000" w:fill="FFFFFF"/>
            <w:noWrap/>
            <w:vAlign w:val="center"/>
            <w:hideMark/>
          </w:tcPr>
          <w:p w14:paraId="135925F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1615" w:type="dxa"/>
            <w:gridSpan w:val="5"/>
            <w:tcBorders>
              <w:top w:val="nil"/>
              <w:left w:val="nil"/>
              <w:bottom w:val="single" w:sz="8" w:space="0" w:color="000000"/>
              <w:right w:val="nil"/>
            </w:tcBorders>
            <w:shd w:val="clear" w:color="000000" w:fill="FFFFFF"/>
            <w:noWrap/>
            <w:vAlign w:val="center"/>
            <w:hideMark/>
          </w:tcPr>
          <w:p w14:paraId="5E12CBB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E-mailová adresa</w:t>
            </w:r>
          </w:p>
        </w:tc>
        <w:tc>
          <w:tcPr>
            <w:tcW w:w="290" w:type="dxa"/>
            <w:tcBorders>
              <w:top w:val="nil"/>
              <w:left w:val="nil"/>
              <w:bottom w:val="nil"/>
              <w:right w:val="nil"/>
            </w:tcBorders>
            <w:shd w:val="clear" w:color="000000" w:fill="FFFFFF"/>
            <w:noWrap/>
            <w:vAlign w:val="center"/>
            <w:hideMark/>
          </w:tcPr>
          <w:p w14:paraId="121D70B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E7ACCE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1814071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360241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2A565FE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4EAAD67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0AF1BAF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69E709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75343E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1060BAF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69F1DC4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7E9CEA0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64CC1FD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05EF0FA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F38D74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02A8B06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C84ADA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290581C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5351B2E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048ED1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08BC1C1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38D7F0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5650443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60560AD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5FEBEC2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6EC5FEA7" w14:textId="77777777" w:rsidTr="007F6158">
        <w:trPr>
          <w:trHeight w:val="270"/>
        </w:trPr>
        <w:tc>
          <w:tcPr>
            <w:tcW w:w="976" w:type="dxa"/>
            <w:tcBorders>
              <w:top w:val="nil"/>
              <w:left w:val="nil"/>
              <w:bottom w:val="nil"/>
              <w:right w:val="nil"/>
            </w:tcBorders>
            <w:shd w:val="clear" w:color="000000" w:fill="FFFFFF"/>
            <w:noWrap/>
            <w:vAlign w:val="bottom"/>
            <w:hideMark/>
          </w:tcPr>
          <w:p w14:paraId="63A91E4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single" w:sz="8" w:space="0" w:color="000000"/>
              <w:bottom w:val="single" w:sz="8" w:space="0" w:color="000000"/>
              <w:right w:val="single" w:sz="8" w:space="0" w:color="000000"/>
            </w:tcBorders>
            <w:shd w:val="clear" w:color="000000" w:fill="FFFFFF"/>
            <w:noWrap/>
            <w:vAlign w:val="center"/>
            <w:hideMark/>
          </w:tcPr>
          <w:p w14:paraId="69FB4C41"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p</w:t>
            </w:r>
          </w:p>
        </w:tc>
        <w:tc>
          <w:tcPr>
            <w:tcW w:w="263" w:type="dxa"/>
            <w:tcBorders>
              <w:top w:val="nil"/>
              <w:left w:val="nil"/>
              <w:bottom w:val="single" w:sz="8" w:space="0" w:color="000000"/>
              <w:right w:val="single" w:sz="8" w:space="0" w:color="000000"/>
            </w:tcBorders>
            <w:shd w:val="clear" w:color="000000" w:fill="FFFFFF"/>
            <w:noWrap/>
            <w:vAlign w:val="center"/>
            <w:hideMark/>
          </w:tcPr>
          <w:p w14:paraId="68A937DF"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o</w:t>
            </w:r>
          </w:p>
        </w:tc>
        <w:tc>
          <w:tcPr>
            <w:tcW w:w="370" w:type="dxa"/>
            <w:tcBorders>
              <w:top w:val="nil"/>
              <w:left w:val="nil"/>
              <w:bottom w:val="single" w:sz="8" w:space="0" w:color="000000"/>
              <w:right w:val="single" w:sz="8" w:space="0" w:color="000000"/>
            </w:tcBorders>
            <w:shd w:val="clear" w:color="000000" w:fill="FFFFFF"/>
            <w:noWrap/>
            <w:vAlign w:val="center"/>
            <w:hideMark/>
          </w:tcPr>
          <w:p w14:paraId="3ED1532F"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d</w:t>
            </w:r>
          </w:p>
        </w:tc>
        <w:tc>
          <w:tcPr>
            <w:tcW w:w="370" w:type="dxa"/>
            <w:tcBorders>
              <w:top w:val="nil"/>
              <w:left w:val="nil"/>
              <w:bottom w:val="single" w:sz="8" w:space="0" w:color="000000"/>
              <w:right w:val="single" w:sz="8" w:space="0" w:color="000000"/>
            </w:tcBorders>
            <w:shd w:val="clear" w:color="000000" w:fill="FFFFFF"/>
            <w:noWrap/>
            <w:vAlign w:val="center"/>
            <w:hideMark/>
          </w:tcPr>
          <w:p w14:paraId="7F70FE7F"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a</w:t>
            </w:r>
          </w:p>
        </w:tc>
        <w:tc>
          <w:tcPr>
            <w:tcW w:w="285" w:type="dxa"/>
            <w:tcBorders>
              <w:top w:val="nil"/>
              <w:left w:val="nil"/>
              <w:bottom w:val="single" w:sz="8" w:space="0" w:color="000000"/>
              <w:right w:val="single" w:sz="8" w:space="0" w:color="000000"/>
            </w:tcBorders>
            <w:shd w:val="clear" w:color="000000" w:fill="FFFFFF"/>
            <w:noWrap/>
            <w:vAlign w:val="center"/>
            <w:hideMark/>
          </w:tcPr>
          <w:p w14:paraId="2CE058D5"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t</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35BC9F3F"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e</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203612C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l</w:t>
            </w:r>
          </w:p>
        </w:tc>
        <w:tc>
          <w:tcPr>
            <w:tcW w:w="290" w:type="dxa"/>
            <w:tcBorders>
              <w:top w:val="single" w:sz="8" w:space="0" w:color="000000"/>
              <w:left w:val="nil"/>
              <w:bottom w:val="single" w:sz="8" w:space="0" w:color="000000"/>
              <w:right w:val="single" w:sz="8" w:space="0" w:color="000000"/>
            </w:tcBorders>
            <w:shd w:val="clear" w:color="000000" w:fill="FFFFFF"/>
            <w:noWrap/>
            <w:vAlign w:val="center"/>
            <w:hideMark/>
          </w:tcPr>
          <w:p w14:paraId="557A0194"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n</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449B5C96"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a</w:t>
            </w:r>
          </w:p>
        </w:tc>
        <w:tc>
          <w:tcPr>
            <w:tcW w:w="325" w:type="dxa"/>
            <w:tcBorders>
              <w:top w:val="single" w:sz="8" w:space="0" w:color="000000"/>
              <w:left w:val="nil"/>
              <w:bottom w:val="single" w:sz="8" w:space="0" w:color="000000"/>
              <w:right w:val="single" w:sz="8" w:space="0" w:color="000000"/>
            </w:tcBorders>
            <w:shd w:val="clear" w:color="000000" w:fill="FFFFFF"/>
            <w:noWrap/>
            <w:vAlign w:val="center"/>
            <w:hideMark/>
          </w:tcPr>
          <w:p w14:paraId="173BCDD2"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w:t>
            </w:r>
          </w:p>
        </w:tc>
        <w:tc>
          <w:tcPr>
            <w:tcW w:w="300" w:type="dxa"/>
            <w:tcBorders>
              <w:top w:val="single" w:sz="8" w:space="0" w:color="000000"/>
              <w:left w:val="nil"/>
              <w:bottom w:val="single" w:sz="8" w:space="0" w:color="000000"/>
              <w:right w:val="single" w:sz="8" w:space="0" w:color="000000"/>
            </w:tcBorders>
            <w:shd w:val="clear" w:color="000000" w:fill="FFFFFF"/>
            <w:noWrap/>
            <w:vAlign w:val="center"/>
            <w:hideMark/>
          </w:tcPr>
          <w:p w14:paraId="6C53B745"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m</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62AAC4E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f</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4C51C9D5"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s</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78B8D561"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r</w:t>
            </w:r>
          </w:p>
        </w:tc>
        <w:tc>
          <w:tcPr>
            <w:tcW w:w="285" w:type="dxa"/>
            <w:tcBorders>
              <w:top w:val="single" w:sz="8" w:space="0" w:color="000000"/>
              <w:left w:val="nil"/>
              <w:bottom w:val="single" w:sz="8" w:space="0" w:color="000000"/>
              <w:right w:val="single" w:sz="8" w:space="0" w:color="000000"/>
            </w:tcBorders>
            <w:shd w:val="clear" w:color="000000" w:fill="FFFFFF"/>
            <w:noWrap/>
            <w:vAlign w:val="center"/>
            <w:hideMark/>
          </w:tcPr>
          <w:p w14:paraId="65DEE4BE"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w:t>
            </w:r>
          </w:p>
        </w:tc>
        <w:tc>
          <w:tcPr>
            <w:tcW w:w="344" w:type="dxa"/>
            <w:tcBorders>
              <w:top w:val="single" w:sz="8" w:space="0" w:color="000000"/>
              <w:left w:val="nil"/>
              <w:bottom w:val="single" w:sz="8" w:space="0" w:color="000000"/>
              <w:right w:val="single" w:sz="8" w:space="0" w:color="000000"/>
            </w:tcBorders>
            <w:shd w:val="clear" w:color="000000" w:fill="FFFFFF"/>
            <w:noWrap/>
            <w:vAlign w:val="center"/>
            <w:hideMark/>
          </w:tcPr>
          <w:p w14:paraId="32FA4CA1"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s</w:t>
            </w:r>
          </w:p>
        </w:tc>
        <w:tc>
          <w:tcPr>
            <w:tcW w:w="396" w:type="dxa"/>
            <w:tcBorders>
              <w:top w:val="single" w:sz="8" w:space="0" w:color="000000"/>
              <w:left w:val="nil"/>
              <w:bottom w:val="single" w:sz="8" w:space="0" w:color="000000"/>
              <w:right w:val="single" w:sz="8" w:space="0" w:color="000000"/>
            </w:tcBorders>
            <w:shd w:val="clear" w:color="000000" w:fill="FFFFFF"/>
            <w:noWrap/>
            <w:vAlign w:val="center"/>
            <w:hideMark/>
          </w:tcPr>
          <w:p w14:paraId="475A7CC7"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k</w:t>
            </w:r>
          </w:p>
        </w:tc>
        <w:tc>
          <w:tcPr>
            <w:tcW w:w="285" w:type="dxa"/>
            <w:tcBorders>
              <w:top w:val="single" w:sz="8" w:space="0" w:color="000000"/>
              <w:left w:val="nil"/>
              <w:bottom w:val="single" w:sz="8" w:space="0" w:color="000000"/>
              <w:right w:val="single" w:sz="8" w:space="0" w:color="000000"/>
            </w:tcBorders>
            <w:shd w:val="clear" w:color="000000" w:fill="FFFFFF"/>
            <w:noWrap/>
            <w:vAlign w:val="bottom"/>
            <w:hideMark/>
          </w:tcPr>
          <w:p w14:paraId="7571B24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single" w:sz="8" w:space="0" w:color="000000"/>
              <w:left w:val="nil"/>
              <w:bottom w:val="single" w:sz="8" w:space="0" w:color="000000"/>
              <w:right w:val="single" w:sz="8" w:space="0" w:color="000000"/>
            </w:tcBorders>
            <w:shd w:val="clear" w:color="000000" w:fill="FFFFFF"/>
            <w:noWrap/>
            <w:vAlign w:val="bottom"/>
            <w:hideMark/>
          </w:tcPr>
          <w:p w14:paraId="25D18C1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single" w:sz="8" w:space="0" w:color="000000"/>
              <w:left w:val="nil"/>
              <w:bottom w:val="single" w:sz="8" w:space="0" w:color="000000"/>
              <w:right w:val="single" w:sz="8" w:space="0" w:color="000000"/>
            </w:tcBorders>
            <w:shd w:val="clear" w:color="000000" w:fill="FFFFFF"/>
            <w:noWrap/>
            <w:vAlign w:val="bottom"/>
            <w:hideMark/>
          </w:tcPr>
          <w:p w14:paraId="72F8F61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single" w:sz="8" w:space="0" w:color="000000"/>
              <w:left w:val="nil"/>
              <w:bottom w:val="single" w:sz="8" w:space="0" w:color="000000"/>
              <w:right w:val="single" w:sz="8" w:space="0" w:color="000000"/>
            </w:tcBorders>
            <w:shd w:val="clear" w:color="000000" w:fill="FFFFFF"/>
            <w:noWrap/>
            <w:vAlign w:val="bottom"/>
            <w:hideMark/>
          </w:tcPr>
          <w:p w14:paraId="5405F47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037FB1D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single" w:sz="8" w:space="0" w:color="000000"/>
              <w:left w:val="nil"/>
              <w:bottom w:val="single" w:sz="8" w:space="0" w:color="000000"/>
              <w:right w:val="single" w:sz="8" w:space="0" w:color="000000"/>
            </w:tcBorders>
            <w:shd w:val="clear" w:color="000000" w:fill="FFFFFF"/>
            <w:noWrap/>
            <w:vAlign w:val="bottom"/>
            <w:hideMark/>
          </w:tcPr>
          <w:p w14:paraId="54D5C18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single" w:sz="8" w:space="0" w:color="000000"/>
              <w:left w:val="nil"/>
              <w:bottom w:val="single" w:sz="8" w:space="0" w:color="000000"/>
              <w:right w:val="single" w:sz="8" w:space="0" w:color="000000"/>
            </w:tcBorders>
            <w:shd w:val="clear" w:color="000000" w:fill="FFFFFF"/>
            <w:noWrap/>
            <w:vAlign w:val="bottom"/>
            <w:hideMark/>
          </w:tcPr>
          <w:p w14:paraId="276DEB4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3EE8B69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00B1EC5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44C3A60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single" w:sz="8" w:space="0" w:color="000000"/>
              <w:right w:val="single" w:sz="8" w:space="0" w:color="000000"/>
            </w:tcBorders>
            <w:shd w:val="clear" w:color="000000" w:fill="FFFFFF"/>
            <w:noWrap/>
            <w:vAlign w:val="bottom"/>
            <w:hideMark/>
          </w:tcPr>
          <w:p w14:paraId="20C4789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2C53F4D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bottom"/>
            <w:hideMark/>
          </w:tcPr>
          <w:p w14:paraId="2BE44208"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72039D1D" w14:textId="77777777" w:rsidTr="007F6158">
        <w:trPr>
          <w:trHeight w:val="270"/>
        </w:trPr>
        <w:tc>
          <w:tcPr>
            <w:tcW w:w="976" w:type="dxa"/>
            <w:tcBorders>
              <w:top w:val="nil"/>
              <w:left w:val="nil"/>
              <w:bottom w:val="nil"/>
              <w:right w:val="nil"/>
            </w:tcBorders>
            <w:shd w:val="clear" w:color="000000" w:fill="FFFFFF"/>
            <w:noWrap/>
            <w:vAlign w:val="center"/>
            <w:hideMark/>
          </w:tcPr>
          <w:p w14:paraId="3CC72D07"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nil"/>
              <w:bottom w:val="nil"/>
              <w:right w:val="nil"/>
            </w:tcBorders>
            <w:shd w:val="clear" w:color="000000" w:fill="FFFFFF"/>
            <w:noWrap/>
            <w:vAlign w:val="center"/>
            <w:hideMark/>
          </w:tcPr>
          <w:p w14:paraId="40172FC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nil"/>
              <w:right w:val="nil"/>
            </w:tcBorders>
            <w:shd w:val="clear" w:color="000000" w:fill="FFFFFF"/>
            <w:noWrap/>
            <w:vAlign w:val="center"/>
            <w:hideMark/>
          </w:tcPr>
          <w:p w14:paraId="54917F2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6CC8A18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nil"/>
              <w:right w:val="nil"/>
            </w:tcBorders>
            <w:shd w:val="clear" w:color="000000" w:fill="FFFFFF"/>
            <w:noWrap/>
            <w:vAlign w:val="center"/>
            <w:hideMark/>
          </w:tcPr>
          <w:p w14:paraId="67EADE5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8607EF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68F33E3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56A5B8B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EAB1E7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5BB9B1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nil"/>
              <w:right w:val="nil"/>
            </w:tcBorders>
            <w:shd w:val="clear" w:color="000000" w:fill="FFFFFF"/>
            <w:noWrap/>
            <w:vAlign w:val="center"/>
            <w:hideMark/>
          </w:tcPr>
          <w:p w14:paraId="393A54A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nil"/>
              <w:right w:val="nil"/>
            </w:tcBorders>
            <w:shd w:val="clear" w:color="000000" w:fill="FFFFFF"/>
            <w:noWrap/>
            <w:vAlign w:val="center"/>
            <w:hideMark/>
          </w:tcPr>
          <w:p w14:paraId="0DCDFEE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2B8D04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771A8D3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0A7EF3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558FE27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0BF0143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1444A78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28DA965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64C6745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2C69837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66E675D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24325E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5512BBC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4AB9BFF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5306534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34B6926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5B1A722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09AE12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70BC162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7AAA4AC7"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483436C6" w14:textId="77777777" w:rsidTr="007F6158">
        <w:trPr>
          <w:trHeight w:val="270"/>
        </w:trPr>
        <w:tc>
          <w:tcPr>
            <w:tcW w:w="976" w:type="dxa"/>
            <w:tcBorders>
              <w:top w:val="nil"/>
              <w:left w:val="nil"/>
              <w:bottom w:val="nil"/>
              <w:right w:val="nil"/>
            </w:tcBorders>
            <w:shd w:val="clear" w:color="000000" w:fill="FFFFFF"/>
            <w:noWrap/>
            <w:vAlign w:val="center"/>
            <w:hideMark/>
          </w:tcPr>
          <w:p w14:paraId="0FAF663D"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4250" w:type="dxa"/>
            <w:gridSpan w:val="14"/>
            <w:tcBorders>
              <w:top w:val="single" w:sz="8" w:space="0" w:color="000000"/>
              <w:left w:val="single" w:sz="8" w:space="0" w:color="000000"/>
              <w:bottom w:val="nil"/>
              <w:right w:val="single" w:sz="8" w:space="0" w:color="000000"/>
            </w:tcBorders>
            <w:shd w:val="clear" w:color="000000" w:fill="FFFFFF"/>
            <w:vAlign w:val="center"/>
            <w:hideMark/>
          </w:tcPr>
          <w:p w14:paraId="56F1D9A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8" w:space="0" w:color="000000"/>
              <w:left w:val="nil"/>
              <w:bottom w:val="nil"/>
              <w:right w:val="nil"/>
            </w:tcBorders>
            <w:shd w:val="clear" w:color="000000" w:fill="FFFFFF"/>
            <w:vAlign w:val="center"/>
            <w:hideMark/>
          </w:tcPr>
          <w:p w14:paraId="1737849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single" w:sz="8" w:space="0" w:color="000000"/>
              <w:left w:val="nil"/>
              <w:bottom w:val="nil"/>
              <w:right w:val="nil"/>
            </w:tcBorders>
            <w:shd w:val="clear" w:color="000000" w:fill="FFFFFF"/>
            <w:vAlign w:val="center"/>
            <w:hideMark/>
          </w:tcPr>
          <w:p w14:paraId="47E6025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single" w:sz="8" w:space="0" w:color="000000"/>
              <w:left w:val="nil"/>
              <w:bottom w:val="nil"/>
              <w:right w:val="nil"/>
            </w:tcBorders>
            <w:shd w:val="clear" w:color="000000" w:fill="FFFFFF"/>
            <w:vAlign w:val="center"/>
            <w:hideMark/>
          </w:tcPr>
          <w:p w14:paraId="5DF4EF5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8" w:space="0" w:color="000000"/>
              <w:left w:val="nil"/>
              <w:bottom w:val="nil"/>
              <w:right w:val="nil"/>
            </w:tcBorders>
            <w:shd w:val="clear" w:color="000000" w:fill="FFFFFF"/>
            <w:vAlign w:val="center"/>
            <w:hideMark/>
          </w:tcPr>
          <w:p w14:paraId="188EC2B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single" w:sz="8" w:space="0" w:color="000000"/>
              <w:left w:val="nil"/>
              <w:bottom w:val="nil"/>
              <w:right w:val="nil"/>
            </w:tcBorders>
            <w:shd w:val="clear" w:color="000000" w:fill="FFFFFF"/>
            <w:vAlign w:val="center"/>
            <w:hideMark/>
          </w:tcPr>
          <w:p w14:paraId="37D16FE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single" w:sz="8" w:space="0" w:color="000000"/>
              <w:left w:val="nil"/>
              <w:bottom w:val="nil"/>
              <w:right w:val="nil"/>
            </w:tcBorders>
            <w:shd w:val="clear" w:color="000000" w:fill="FFFFFF"/>
            <w:vAlign w:val="center"/>
            <w:hideMark/>
          </w:tcPr>
          <w:p w14:paraId="78BDCC7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single" w:sz="8" w:space="0" w:color="000000"/>
              <w:left w:val="nil"/>
              <w:bottom w:val="nil"/>
              <w:right w:val="nil"/>
            </w:tcBorders>
            <w:shd w:val="clear" w:color="000000" w:fill="FFFFFF"/>
            <w:vAlign w:val="center"/>
            <w:hideMark/>
          </w:tcPr>
          <w:p w14:paraId="24593D1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nil"/>
              <w:right w:val="nil"/>
            </w:tcBorders>
            <w:shd w:val="clear" w:color="000000" w:fill="FFFFFF"/>
            <w:vAlign w:val="center"/>
            <w:hideMark/>
          </w:tcPr>
          <w:p w14:paraId="0E89184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single" w:sz="8" w:space="0" w:color="000000"/>
              <w:left w:val="nil"/>
              <w:bottom w:val="nil"/>
              <w:right w:val="nil"/>
            </w:tcBorders>
            <w:shd w:val="clear" w:color="000000" w:fill="FFFFFF"/>
            <w:vAlign w:val="center"/>
            <w:hideMark/>
          </w:tcPr>
          <w:p w14:paraId="3C75713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single" w:sz="8" w:space="0" w:color="000000"/>
              <w:left w:val="nil"/>
              <w:bottom w:val="nil"/>
              <w:right w:val="nil"/>
            </w:tcBorders>
            <w:shd w:val="clear" w:color="000000" w:fill="FFFFFF"/>
            <w:vAlign w:val="center"/>
            <w:hideMark/>
          </w:tcPr>
          <w:p w14:paraId="008492B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single" w:sz="8" w:space="0" w:color="000000"/>
              <w:left w:val="nil"/>
              <w:bottom w:val="nil"/>
              <w:right w:val="nil"/>
            </w:tcBorders>
            <w:shd w:val="clear" w:color="000000" w:fill="FFFFFF"/>
            <w:vAlign w:val="center"/>
            <w:hideMark/>
          </w:tcPr>
          <w:p w14:paraId="78FD1A25"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single" w:sz="8" w:space="0" w:color="000000"/>
              <w:left w:val="nil"/>
              <w:bottom w:val="nil"/>
              <w:right w:val="nil"/>
            </w:tcBorders>
            <w:shd w:val="clear" w:color="000000" w:fill="FFFFFF"/>
            <w:vAlign w:val="center"/>
            <w:hideMark/>
          </w:tcPr>
          <w:p w14:paraId="20E0E8F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single" w:sz="8" w:space="0" w:color="000000"/>
              <w:left w:val="nil"/>
              <w:bottom w:val="nil"/>
              <w:right w:val="nil"/>
            </w:tcBorders>
            <w:shd w:val="clear" w:color="000000" w:fill="FFFFFF"/>
            <w:vAlign w:val="center"/>
            <w:hideMark/>
          </w:tcPr>
          <w:p w14:paraId="6F5623EB"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single" w:sz="8" w:space="0" w:color="000000"/>
              <w:left w:val="nil"/>
              <w:bottom w:val="nil"/>
              <w:right w:val="single" w:sz="8" w:space="0" w:color="000000"/>
            </w:tcBorders>
            <w:shd w:val="clear" w:color="000000" w:fill="FFFFFF"/>
            <w:vAlign w:val="center"/>
            <w:hideMark/>
          </w:tcPr>
          <w:p w14:paraId="56ACE68E"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vAlign w:val="center"/>
            <w:hideMark/>
          </w:tcPr>
          <w:p w14:paraId="4215BCEA"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noWrap/>
            <w:vAlign w:val="center"/>
            <w:hideMark/>
          </w:tcPr>
          <w:p w14:paraId="56FD22FD"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36B6BEDE" w14:textId="77777777" w:rsidTr="007F6158">
        <w:trPr>
          <w:trHeight w:val="270"/>
        </w:trPr>
        <w:tc>
          <w:tcPr>
            <w:tcW w:w="976" w:type="dxa"/>
            <w:tcBorders>
              <w:top w:val="nil"/>
              <w:left w:val="nil"/>
              <w:bottom w:val="nil"/>
              <w:right w:val="nil"/>
            </w:tcBorders>
            <w:shd w:val="clear" w:color="000000" w:fill="FFFFFF"/>
            <w:noWrap/>
            <w:vAlign w:val="center"/>
            <w:hideMark/>
          </w:tcPr>
          <w:p w14:paraId="1626353B"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4250" w:type="dxa"/>
            <w:gridSpan w:val="14"/>
            <w:tcBorders>
              <w:top w:val="nil"/>
              <w:left w:val="single" w:sz="8" w:space="0" w:color="000000"/>
              <w:bottom w:val="nil"/>
              <w:right w:val="single" w:sz="8" w:space="0" w:color="000000"/>
            </w:tcBorders>
            <w:shd w:val="clear" w:color="000000" w:fill="FFFFFF"/>
            <w:vAlign w:val="center"/>
            <w:hideMark/>
          </w:tcPr>
          <w:p w14:paraId="52D4D01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xml:space="preserve"> Zostavená dňa: </w:t>
            </w:r>
          </w:p>
        </w:tc>
        <w:tc>
          <w:tcPr>
            <w:tcW w:w="285" w:type="dxa"/>
            <w:tcBorders>
              <w:top w:val="nil"/>
              <w:left w:val="nil"/>
              <w:bottom w:val="nil"/>
              <w:right w:val="nil"/>
            </w:tcBorders>
            <w:shd w:val="clear" w:color="000000" w:fill="FFFFFF"/>
            <w:vAlign w:val="center"/>
            <w:hideMark/>
          </w:tcPr>
          <w:p w14:paraId="4940741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vAlign w:val="center"/>
            <w:hideMark/>
          </w:tcPr>
          <w:p w14:paraId="48B1D5B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vAlign w:val="center"/>
            <w:hideMark/>
          </w:tcPr>
          <w:p w14:paraId="695FCA8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AE8A396"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3</w:t>
            </w:r>
          </w:p>
        </w:tc>
        <w:tc>
          <w:tcPr>
            <w:tcW w:w="290" w:type="dxa"/>
            <w:tcBorders>
              <w:top w:val="single" w:sz="8" w:space="0" w:color="000000"/>
              <w:left w:val="nil"/>
              <w:bottom w:val="single" w:sz="8" w:space="0" w:color="000000"/>
              <w:right w:val="single" w:sz="8" w:space="0" w:color="000000"/>
            </w:tcBorders>
            <w:shd w:val="clear" w:color="000000" w:fill="FFFFFF"/>
            <w:vAlign w:val="center"/>
            <w:hideMark/>
          </w:tcPr>
          <w:p w14:paraId="69D87A78"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w:t>
            </w:r>
          </w:p>
        </w:tc>
        <w:tc>
          <w:tcPr>
            <w:tcW w:w="290" w:type="dxa"/>
            <w:tcBorders>
              <w:top w:val="nil"/>
              <w:left w:val="nil"/>
              <w:bottom w:val="nil"/>
              <w:right w:val="nil"/>
            </w:tcBorders>
            <w:shd w:val="clear" w:color="000000" w:fill="FFFFFF"/>
            <w:hideMark/>
          </w:tcPr>
          <w:p w14:paraId="30DF4AA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13FA238"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w:t>
            </w:r>
          </w:p>
        </w:tc>
        <w:tc>
          <w:tcPr>
            <w:tcW w:w="242" w:type="dxa"/>
            <w:tcBorders>
              <w:top w:val="single" w:sz="8" w:space="0" w:color="000000"/>
              <w:left w:val="nil"/>
              <w:bottom w:val="single" w:sz="8" w:space="0" w:color="000000"/>
              <w:right w:val="single" w:sz="8" w:space="0" w:color="000000"/>
            </w:tcBorders>
            <w:shd w:val="clear" w:color="000000" w:fill="FFFFFF"/>
            <w:vAlign w:val="center"/>
            <w:hideMark/>
          </w:tcPr>
          <w:p w14:paraId="013EDEA4" w14:textId="7BCC64D3" w:rsidR="00FD71D5" w:rsidRPr="00C66720" w:rsidRDefault="00FC7FDC"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9</w:t>
            </w:r>
          </w:p>
        </w:tc>
        <w:tc>
          <w:tcPr>
            <w:tcW w:w="252" w:type="dxa"/>
            <w:tcBorders>
              <w:top w:val="nil"/>
              <w:left w:val="nil"/>
              <w:bottom w:val="nil"/>
              <w:right w:val="nil"/>
            </w:tcBorders>
            <w:shd w:val="clear" w:color="000000" w:fill="FFFFFF"/>
            <w:hideMark/>
          </w:tcPr>
          <w:p w14:paraId="63EFF81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80C9C40"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p>
        </w:tc>
        <w:tc>
          <w:tcPr>
            <w:tcW w:w="242" w:type="dxa"/>
            <w:tcBorders>
              <w:top w:val="single" w:sz="8" w:space="0" w:color="000000"/>
              <w:left w:val="nil"/>
              <w:bottom w:val="single" w:sz="8" w:space="0" w:color="000000"/>
              <w:right w:val="single" w:sz="8" w:space="0" w:color="000000"/>
            </w:tcBorders>
            <w:shd w:val="clear" w:color="000000" w:fill="FFFFFF"/>
            <w:vAlign w:val="center"/>
            <w:hideMark/>
          </w:tcPr>
          <w:p w14:paraId="66D2F5F9"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0</w:t>
            </w:r>
          </w:p>
        </w:tc>
        <w:tc>
          <w:tcPr>
            <w:tcW w:w="242" w:type="dxa"/>
            <w:tcBorders>
              <w:top w:val="single" w:sz="8" w:space="0" w:color="000000"/>
              <w:left w:val="nil"/>
              <w:bottom w:val="single" w:sz="8" w:space="0" w:color="000000"/>
              <w:right w:val="single" w:sz="8" w:space="0" w:color="000000"/>
            </w:tcBorders>
            <w:shd w:val="clear" w:color="000000" w:fill="FFFFFF"/>
            <w:vAlign w:val="center"/>
            <w:hideMark/>
          </w:tcPr>
          <w:p w14:paraId="46335089" w14:textId="77777777" w:rsidR="00FD71D5" w:rsidRPr="00C66720" w:rsidRDefault="00FD71D5"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2</w:t>
            </w:r>
          </w:p>
        </w:tc>
        <w:tc>
          <w:tcPr>
            <w:tcW w:w="242" w:type="dxa"/>
            <w:tcBorders>
              <w:top w:val="single" w:sz="8" w:space="0" w:color="000000"/>
              <w:left w:val="nil"/>
              <w:bottom w:val="single" w:sz="8" w:space="0" w:color="000000"/>
              <w:right w:val="single" w:sz="8" w:space="0" w:color="000000"/>
            </w:tcBorders>
            <w:shd w:val="clear" w:color="000000" w:fill="FFFFFF"/>
            <w:vAlign w:val="center"/>
            <w:hideMark/>
          </w:tcPr>
          <w:p w14:paraId="39A57402" w14:textId="1FB8D989" w:rsidR="00FD71D5" w:rsidRPr="00C66720" w:rsidRDefault="0019494B" w:rsidP="00FD71D5">
            <w:pPr>
              <w:spacing w:after="0" w:line="240" w:lineRule="auto"/>
              <w:jc w:val="center"/>
              <w:rPr>
                <w:rFonts w:ascii="Times New Roman" w:hAnsi="Times New Roman"/>
                <w:sz w:val="20"/>
                <w:szCs w:val="20"/>
                <w:lang w:eastAsia="sk-SK"/>
              </w:rPr>
            </w:pPr>
            <w:r w:rsidRPr="00C66720">
              <w:rPr>
                <w:rFonts w:ascii="Times New Roman" w:hAnsi="Times New Roman"/>
                <w:sz w:val="20"/>
                <w:szCs w:val="20"/>
                <w:lang w:eastAsia="sk-SK"/>
              </w:rPr>
              <w:t>3</w:t>
            </w:r>
          </w:p>
        </w:tc>
        <w:tc>
          <w:tcPr>
            <w:tcW w:w="242" w:type="dxa"/>
            <w:tcBorders>
              <w:top w:val="nil"/>
              <w:left w:val="nil"/>
              <w:bottom w:val="nil"/>
              <w:right w:val="single" w:sz="8" w:space="0" w:color="000000"/>
            </w:tcBorders>
            <w:shd w:val="clear" w:color="000000" w:fill="FFFFFF"/>
            <w:vAlign w:val="center"/>
            <w:hideMark/>
          </w:tcPr>
          <w:p w14:paraId="1B603B35"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vAlign w:val="center"/>
            <w:hideMark/>
          </w:tcPr>
          <w:p w14:paraId="55CC28DC"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noWrap/>
            <w:vAlign w:val="center"/>
            <w:hideMark/>
          </w:tcPr>
          <w:p w14:paraId="14485A23"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781BC147" w14:textId="77777777" w:rsidTr="007F6158">
        <w:trPr>
          <w:trHeight w:val="270"/>
        </w:trPr>
        <w:tc>
          <w:tcPr>
            <w:tcW w:w="976" w:type="dxa"/>
            <w:tcBorders>
              <w:top w:val="nil"/>
              <w:left w:val="nil"/>
              <w:bottom w:val="nil"/>
              <w:right w:val="nil"/>
            </w:tcBorders>
            <w:shd w:val="clear" w:color="000000" w:fill="FFFFFF"/>
            <w:noWrap/>
            <w:vAlign w:val="center"/>
            <w:hideMark/>
          </w:tcPr>
          <w:p w14:paraId="1BC50F6F"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nil"/>
              <w:left w:val="single" w:sz="8" w:space="0" w:color="000000"/>
              <w:bottom w:val="single" w:sz="8" w:space="0" w:color="000000"/>
              <w:right w:val="nil"/>
            </w:tcBorders>
            <w:shd w:val="clear" w:color="000000" w:fill="FFFFFF"/>
            <w:vAlign w:val="center"/>
            <w:hideMark/>
          </w:tcPr>
          <w:p w14:paraId="71EDE56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nil"/>
              <w:left w:val="nil"/>
              <w:bottom w:val="single" w:sz="8" w:space="0" w:color="000000"/>
              <w:right w:val="nil"/>
            </w:tcBorders>
            <w:shd w:val="clear" w:color="000000" w:fill="FFFFFF"/>
            <w:vAlign w:val="center"/>
            <w:hideMark/>
          </w:tcPr>
          <w:p w14:paraId="4E8740B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single" w:sz="8" w:space="0" w:color="000000"/>
              <w:right w:val="nil"/>
            </w:tcBorders>
            <w:shd w:val="clear" w:color="000000" w:fill="FFFFFF"/>
            <w:vAlign w:val="center"/>
            <w:hideMark/>
          </w:tcPr>
          <w:p w14:paraId="35CB911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nil"/>
              <w:left w:val="nil"/>
              <w:bottom w:val="single" w:sz="8" w:space="0" w:color="000000"/>
              <w:right w:val="nil"/>
            </w:tcBorders>
            <w:shd w:val="clear" w:color="000000" w:fill="FFFFFF"/>
            <w:vAlign w:val="center"/>
            <w:hideMark/>
          </w:tcPr>
          <w:p w14:paraId="5D88FD0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nil"/>
            </w:tcBorders>
            <w:shd w:val="clear" w:color="000000" w:fill="FFFFFF"/>
            <w:vAlign w:val="center"/>
            <w:hideMark/>
          </w:tcPr>
          <w:p w14:paraId="6B61180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nil"/>
            </w:tcBorders>
            <w:shd w:val="clear" w:color="000000" w:fill="FFFFFF"/>
            <w:vAlign w:val="center"/>
            <w:hideMark/>
          </w:tcPr>
          <w:p w14:paraId="06E33D0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nil"/>
            </w:tcBorders>
            <w:shd w:val="clear" w:color="000000" w:fill="FFFFFF"/>
            <w:vAlign w:val="center"/>
            <w:hideMark/>
          </w:tcPr>
          <w:p w14:paraId="56A9EF4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nil"/>
            </w:tcBorders>
            <w:shd w:val="clear" w:color="000000" w:fill="FFFFFF"/>
            <w:vAlign w:val="center"/>
            <w:hideMark/>
          </w:tcPr>
          <w:p w14:paraId="504CF1D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nil"/>
            </w:tcBorders>
            <w:shd w:val="clear" w:color="000000" w:fill="FFFFFF"/>
            <w:vAlign w:val="center"/>
            <w:hideMark/>
          </w:tcPr>
          <w:p w14:paraId="32E6EC1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nil"/>
              <w:left w:val="nil"/>
              <w:bottom w:val="single" w:sz="8" w:space="0" w:color="000000"/>
              <w:right w:val="nil"/>
            </w:tcBorders>
            <w:shd w:val="clear" w:color="000000" w:fill="FFFFFF"/>
            <w:vAlign w:val="center"/>
            <w:hideMark/>
          </w:tcPr>
          <w:p w14:paraId="5FFD366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nil"/>
              <w:left w:val="nil"/>
              <w:bottom w:val="single" w:sz="8" w:space="0" w:color="000000"/>
              <w:right w:val="nil"/>
            </w:tcBorders>
            <w:shd w:val="clear" w:color="000000" w:fill="FFFFFF"/>
            <w:vAlign w:val="center"/>
            <w:hideMark/>
          </w:tcPr>
          <w:p w14:paraId="101C0E4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nil"/>
            </w:tcBorders>
            <w:shd w:val="clear" w:color="000000" w:fill="FFFFFF"/>
            <w:vAlign w:val="center"/>
            <w:hideMark/>
          </w:tcPr>
          <w:p w14:paraId="1F5C172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nil"/>
            </w:tcBorders>
            <w:shd w:val="clear" w:color="000000" w:fill="FFFFFF"/>
            <w:vAlign w:val="center"/>
            <w:hideMark/>
          </w:tcPr>
          <w:p w14:paraId="2AF1F65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single" w:sz="8" w:space="0" w:color="000000"/>
            </w:tcBorders>
            <w:shd w:val="clear" w:color="000000" w:fill="FFFFFF"/>
            <w:vAlign w:val="center"/>
            <w:hideMark/>
          </w:tcPr>
          <w:p w14:paraId="1F8404A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nil"/>
            </w:tcBorders>
            <w:shd w:val="clear" w:color="000000" w:fill="FFFFFF"/>
            <w:vAlign w:val="center"/>
            <w:hideMark/>
          </w:tcPr>
          <w:p w14:paraId="26B44CF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single" w:sz="8" w:space="0" w:color="000000"/>
              <w:right w:val="nil"/>
            </w:tcBorders>
            <w:shd w:val="clear" w:color="000000" w:fill="FFFFFF"/>
            <w:vAlign w:val="center"/>
            <w:hideMark/>
          </w:tcPr>
          <w:p w14:paraId="6DF9A40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single" w:sz="8" w:space="0" w:color="000000"/>
              <w:right w:val="nil"/>
            </w:tcBorders>
            <w:shd w:val="clear" w:color="000000" w:fill="FFFFFF"/>
            <w:vAlign w:val="center"/>
            <w:hideMark/>
          </w:tcPr>
          <w:p w14:paraId="1D177E6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nil"/>
            </w:tcBorders>
            <w:shd w:val="clear" w:color="000000" w:fill="FFFFFF"/>
            <w:vAlign w:val="center"/>
            <w:hideMark/>
          </w:tcPr>
          <w:p w14:paraId="2958529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nil"/>
            </w:tcBorders>
            <w:shd w:val="clear" w:color="000000" w:fill="FFFFFF"/>
            <w:vAlign w:val="center"/>
            <w:hideMark/>
          </w:tcPr>
          <w:p w14:paraId="3C652E4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nil"/>
            </w:tcBorders>
            <w:shd w:val="clear" w:color="000000" w:fill="FFFFFF"/>
            <w:vAlign w:val="center"/>
            <w:hideMark/>
          </w:tcPr>
          <w:p w14:paraId="10ADB90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single" w:sz="8" w:space="0" w:color="000000"/>
              <w:right w:val="nil"/>
            </w:tcBorders>
            <w:shd w:val="clear" w:color="000000" w:fill="FFFFFF"/>
            <w:vAlign w:val="center"/>
            <w:hideMark/>
          </w:tcPr>
          <w:p w14:paraId="739F395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nil"/>
            </w:tcBorders>
            <w:shd w:val="clear" w:color="000000" w:fill="FFFFFF"/>
            <w:vAlign w:val="center"/>
            <w:hideMark/>
          </w:tcPr>
          <w:p w14:paraId="3E66F67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single" w:sz="8" w:space="0" w:color="000000"/>
              <w:right w:val="nil"/>
            </w:tcBorders>
            <w:shd w:val="clear" w:color="000000" w:fill="FFFFFF"/>
            <w:vAlign w:val="center"/>
            <w:hideMark/>
          </w:tcPr>
          <w:p w14:paraId="0F0976C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single" w:sz="8" w:space="0" w:color="000000"/>
              <w:right w:val="nil"/>
            </w:tcBorders>
            <w:shd w:val="clear" w:color="000000" w:fill="FFFFFF"/>
            <w:vAlign w:val="center"/>
            <w:hideMark/>
          </w:tcPr>
          <w:p w14:paraId="791E00A3"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single" w:sz="8" w:space="0" w:color="000000"/>
              <w:right w:val="nil"/>
            </w:tcBorders>
            <w:shd w:val="clear" w:color="000000" w:fill="FFFFFF"/>
            <w:vAlign w:val="center"/>
            <w:hideMark/>
          </w:tcPr>
          <w:p w14:paraId="0F0B5957"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single" w:sz="8" w:space="0" w:color="000000"/>
              <w:right w:val="nil"/>
            </w:tcBorders>
            <w:shd w:val="clear" w:color="000000" w:fill="FFFFFF"/>
            <w:vAlign w:val="center"/>
            <w:hideMark/>
          </w:tcPr>
          <w:p w14:paraId="416F1647"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single" w:sz="8" w:space="0" w:color="000000"/>
              <w:right w:val="nil"/>
            </w:tcBorders>
            <w:shd w:val="clear" w:color="000000" w:fill="FFFFFF"/>
            <w:vAlign w:val="center"/>
            <w:hideMark/>
          </w:tcPr>
          <w:p w14:paraId="5DB67A0F"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single" w:sz="8" w:space="0" w:color="000000"/>
              <w:right w:val="single" w:sz="8" w:space="0" w:color="000000"/>
            </w:tcBorders>
            <w:shd w:val="clear" w:color="000000" w:fill="FFFFFF"/>
            <w:vAlign w:val="center"/>
            <w:hideMark/>
          </w:tcPr>
          <w:p w14:paraId="3C756A3D"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vAlign w:val="center"/>
            <w:hideMark/>
          </w:tcPr>
          <w:p w14:paraId="7F79895D"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noWrap/>
            <w:vAlign w:val="center"/>
            <w:hideMark/>
          </w:tcPr>
          <w:p w14:paraId="7497A18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52EF2CE0" w14:textId="77777777" w:rsidTr="007F6158">
        <w:trPr>
          <w:trHeight w:val="255"/>
        </w:trPr>
        <w:tc>
          <w:tcPr>
            <w:tcW w:w="976" w:type="dxa"/>
            <w:tcBorders>
              <w:top w:val="nil"/>
              <w:left w:val="nil"/>
              <w:bottom w:val="nil"/>
              <w:right w:val="nil"/>
            </w:tcBorders>
            <w:shd w:val="clear" w:color="000000" w:fill="FFFFFF"/>
            <w:noWrap/>
            <w:vAlign w:val="center"/>
            <w:hideMark/>
          </w:tcPr>
          <w:p w14:paraId="5BD2C4E4"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4250" w:type="dxa"/>
            <w:gridSpan w:val="14"/>
            <w:vMerge w:val="restart"/>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3FD841A9" w14:textId="3C609458"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Podpisový záznam štatutárneho orgánu alebo člena štatutárneho orgánu účtovnej jednotky:</w:t>
            </w:r>
          </w:p>
        </w:tc>
        <w:tc>
          <w:tcPr>
            <w:tcW w:w="285" w:type="dxa"/>
            <w:tcBorders>
              <w:top w:val="nil"/>
              <w:left w:val="nil"/>
              <w:bottom w:val="nil"/>
              <w:right w:val="nil"/>
            </w:tcBorders>
            <w:shd w:val="clear" w:color="000000" w:fill="FFFFFF"/>
            <w:vAlign w:val="center"/>
            <w:hideMark/>
          </w:tcPr>
          <w:p w14:paraId="665BBA4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vAlign w:val="center"/>
            <w:hideMark/>
          </w:tcPr>
          <w:p w14:paraId="6805ED0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vAlign w:val="center"/>
            <w:hideMark/>
          </w:tcPr>
          <w:p w14:paraId="4662874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vAlign w:val="center"/>
            <w:hideMark/>
          </w:tcPr>
          <w:p w14:paraId="4CEC539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vAlign w:val="center"/>
            <w:hideMark/>
          </w:tcPr>
          <w:p w14:paraId="214F5C1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vAlign w:val="center"/>
            <w:hideMark/>
          </w:tcPr>
          <w:p w14:paraId="7C8C937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vAlign w:val="center"/>
            <w:hideMark/>
          </w:tcPr>
          <w:p w14:paraId="3802A73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vAlign w:val="center"/>
            <w:hideMark/>
          </w:tcPr>
          <w:p w14:paraId="58D567B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vAlign w:val="center"/>
            <w:hideMark/>
          </w:tcPr>
          <w:p w14:paraId="0DF8613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vAlign w:val="center"/>
            <w:hideMark/>
          </w:tcPr>
          <w:p w14:paraId="0CB692B7"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vAlign w:val="center"/>
            <w:hideMark/>
          </w:tcPr>
          <w:p w14:paraId="53272323"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vAlign w:val="center"/>
            <w:hideMark/>
          </w:tcPr>
          <w:p w14:paraId="1F7BD972"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vAlign w:val="center"/>
            <w:hideMark/>
          </w:tcPr>
          <w:p w14:paraId="6D51BB2F"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single" w:sz="8" w:space="0" w:color="000000"/>
            </w:tcBorders>
            <w:shd w:val="clear" w:color="000000" w:fill="FFFFFF"/>
            <w:vAlign w:val="center"/>
            <w:hideMark/>
          </w:tcPr>
          <w:p w14:paraId="7386F2EE"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vAlign w:val="center"/>
            <w:hideMark/>
          </w:tcPr>
          <w:p w14:paraId="1B229437"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noWrap/>
            <w:vAlign w:val="center"/>
            <w:hideMark/>
          </w:tcPr>
          <w:p w14:paraId="189CD049"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00875E17" w14:textId="77777777" w:rsidTr="007F6158">
        <w:trPr>
          <w:trHeight w:val="255"/>
        </w:trPr>
        <w:tc>
          <w:tcPr>
            <w:tcW w:w="976" w:type="dxa"/>
            <w:tcBorders>
              <w:top w:val="nil"/>
              <w:left w:val="nil"/>
              <w:bottom w:val="nil"/>
              <w:right w:val="single" w:sz="8" w:space="0" w:color="000000"/>
            </w:tcBorders>
            <w:shd w:val="clear" w:color="000000" w:fill="FFFFFF"/>
            <w:noWrap/>
            <w:vAlign w:val="center"/>
            <w:hideMark/>
          </w:tcPr>
          <w:p w14:paraId="3C997B98"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4250" w:type="dxa"/>
            <w:gridSpan w:val="14"/>
            <w:vMerge/>
            <w:tcBorders>
              <w:top w:val="nil"/>
              <w:left w:val="nil"/>
              <w:bottom w:val="single" w:sz="4" w:space="0" w:color="auto"/>
              <w:right w:val="single" w:sz="8" w:space="0" w:color="000000"/>
            </w:tcBorders>
            <w:vAlign w:val="center"/>
            <w:hideMark/>
          </w:tcPr>
          <w:p w14:paraId="67275779" w14:textId="77777777" w:rsidR="00FD71D5" w:rsidRPr="00C66720" w:rsidRDefault="00FD71D5" w:rsidP="00FD71D5">
            <w:pPr>
              <w:spacing w:after="0" w:line="240" w:lineRule="auto"/>
              <w:rPr>
                <w:rFonts w:ascii="Times New Roman" w:hAnsi="Times New Roman"/>
                <w:sz w:val="20"/>
                <w:szCs w:val="20"/>
                <w:lang w:eastAsia="sk-SK"/>
              </w:rPr>
            </w:pPr>
          </w:p>
        </w:tc>
        <w:tc>
          <w:tcPr>
            <w:tcW w:w="285" w:type="dxa"/>
            <w:tcBorders>
              <w:top w:val="nil"/>
              <w:left w:val="nil"/>
              <w:bottom w:val="nil"/>
              <w:right w:val="nil"/>
            </w:tcBorders>
            <w:shd w:val="clear" w:color="000000" w:fill="FFFFFF"/>
            <w:vAlign w:val="center"/>
            <w:hideMark/>
          </w:tcPr>
          <w:p w14:paraId="6B53B45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vAlign w:val="center"/>
            <w:hideMark/>
          </w:tcPr>
          <w:p w14:paraId="05396ED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vAlign w:val="center"/>
            <w:hideMark/>
          </w:tcPr>
          <w:p w14:paraId="075D87F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vAlign w:val="center"/>
            <w:hideMark/>
          </w:tcPr>
          <w:p w14:paraId="2A35FD7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vAlign w:val="center"/>
            <w:hideMark/>
          </w:tcPr>
          <w:p w14:paraId="7449F6A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vAlign w:val="center"/>
            <w:hideMark/>
          </w:tcPr>
          <w:p w14:paraId="5487590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vAlign w:val="center"/>
            <w:hideMark/>
          </w:tcPr>
          <w:p w14:paraId="676E3F0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vAlign w:val="center"/>
            <w:hideMark/>
          </w:tcPr>
          <w:p w14:paraId="0B74A3D9"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vAlign w:val="center"/>
            <w:hideMark/>
          </w:tcPr>
          <w:p w14:paraId="14BE671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vAlign w:val="center"/>
            <w:hideMark/>
          </w:tcPr>
          <w:p w14:paraId="6784C99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vAlign w:val="center"/>
            <w:hideMark/>
          </w:tcPr>
          <w:p w14:paraId="6C36C4ED"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vAlign w:val="center"/>
            <w:hideMark/>
          </w:tcPr>
          <w:p w14:paraId="0C2DA9D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vAlign w:val="center"/>
            <w:hideMark/>
          </w:tcPr>
          <w:p w14:paraId="4ED96CC1"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single" w:sz="8" w:space="0" w:color="000000"/>
            </w:tcBorders>
            <w:shd w:val="clear" w:color="000000" w:fill="FFFFFF"/>
            <w:vAlign w:val="center"/>
            <w:hideMark/>
          </w:tcPr>
          <w:p w14:paraId="062E052E"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vAlign w:val="center"/>
            <w:hideMark/>
          </w:tcPr>
          <w:p w14:paraId="2E8959C1"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noWrap/>
            <w:vAlign w:val="center"/>
            <w:hideMark/>
          </w:tcPr>
          <w:p w14:paraId="664502C0"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62900110" w14:textId="77777777" w:rsidTr="007F6158">
        <w:trPr>
          <w:trHeight w:val="255"/>
        </w:trPr>
        <w:tc>
          <w:tcPr>
            <w:tcW w:w="976" w:type="dxa"/>
            <w:tcBorders>
              <w:top w:val="nil"/>
              <w:left w:val="nil"/>
              <w:bottom w:val="nil"/>
              <w:right w:val="single" w:sz="8" w:space="0" w:color="000000"/>
            </w:tcBorders>
            <w:shd w:val="clear" w:color="000000" w:fill="FFFFFF"/>
            <w:noWrap/>
            <w:vAlign w:val="center"/>
            <w:hideMark/>
          </w:tcPr>
          <w:p w14:paraId="64313FC4"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4250" w:type="dxa"/>
            <w:gridSpan w:val="14"/>
            <w:vMerge/>
            <w:tcBorders>
              <w:top w:val="nil"/>
              <w:left w:val="nil"/>
              <w:bottom w:val="single" w:sz="4" w:space="0" w:color="auto"/>
              <w:right w:val="single" w:sz="8" w:space="0" w:color="000000"/>
            </w:tcBorders>
            <w:vAlign w:val="center"/>
            <w:hideMark/>
          </w:tcPr>
          <w:p w14:paraId="506830DF" w14:textId="77777777" w:rsidR="00FD71D5" w:rsidRPr="00C66720" w:rsidRDefault="00FD71D5" w:rsidP="00FD71D5">
            <w:pPr>
              <w:spacing w:after="0" w:line="240" w:lineRule="auto"/>
              <w:rPr>
                <w:rFonts w:ascii="Times New Roman" w:hAnsi="Times New Roman"/>
                <w:sz w:val="20"/>
                <w:szCs w:val="20"/>
                <w:lang w:eastAsia="sk-SK"/>
              </w:rPr>
            </w:pPr>
          </w:p>
        </w:tc>
        <w:tc>
          <w:tcPr>
            <w:tcW w:w="285" w:type="dxa"/>
            <w:tcBorders>
              <w:top w:val="nil"/>
              <w:left w:val="nil"/>
              <w:bottom w:val="nil"/>
              <w:right w:val="nil"/>
            </w:tcBorders>
            <w:shd w:val="clear" w:color="000000" w:fill="FFFFFF"/>
            <w:vAlign w:val="center"/>
            <w:hideMark/>
          </w:tcPr>
          <w:p w14:paraId="4827CB2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vAlign w:val="center"/>
            <w:hideMark/>
          </w:tcPr>
          <w:p w14:paraId="39AA7A5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vAlign w:val="center"/>
            <w:hideMark/>
          </w:tcPr>
          <w:p w14:paraId="5C23C17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vAlign w:val="center"/>
            <w:hideMark/>
          </w:tcPr>
          <w:p w14:paraId="62C1704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vAlign w:val="center"/>
            <w:hideMark/>
          </w:tcPr>
          <w:p w14:paraId="31FD5EA3"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vAlign w:val="center"/>
            <w:hideMark/>
          </w:tcPr>
          <w:p w14:paraId="60245CF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vAlign w:val="center"/>
            <w:hideMark/>
          </w:tcPr>
          <w:p w14:paraId="6E0E7F8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vAlign w:val="center"/>
            <w:hideMark/>
          </w:tcPr>
          <w:p w14:paraId="3D40946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vAlign w:val="center"/>
            <w:hideMark/>
          </w:tcPr>
          <w:p w14:paraId="7188F16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vAlign w:val="center"/>
            <w:hideMark/>
          </w:tcPr>
          <w:p w14:paraId="2DA2D889"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vAlign w:val="center"/>
            <w:hideMark/>
          </w:tcPr>
          <w:p w14:paraId="5B59D603"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vAlign w:val="center"/>
            <w:hideMark/>
          </w:tcPr>
          <w:p w14:paraId="20740D8E"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nil"/>
            </w:tcBorders>
            <w:shd w:val="clear" w:color="000000" w:fill="FFFFFF"/>
            <w:vAlign w:val="center"/>
            <w:hideMark/>
          </w:tcPr>
          <w:p w14:paraId="1F38B99C"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nil"/>
              <w:right w:val="single" w:sz="8" w:space="0" w:color="000000"/>
            </w:tcBorders>
            <w:shd w:val="clear" w:color="000000" w:fill="FFFFFF"/>
            <w:vAlign w:val="center"/>
            <w:hideMark/>
          </w:tcPr>
          <w:p w14:paraId="5E3551EA"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vAlign w:val="center"/>
            <w:hideMark/>
          </w:tcPr>
          <w:p w14:paraId="3E945959"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noWrap/>
            <w:vAlign w:val="center"/>
            <w:hideMark/>
          </w:tcPr>
          <w:p w14:paraId="5C346EEA"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BC3EA8" w:rsidRPr="00C66720" w14:paraId="321D2E86" w14:textId="77777777" w:rsidTr="007F6158">
        <w:trPr>
          <w:trHeight w:val="270"/>
        </w:trPr>
        <w:tc>
          <w:tcPr>
            <w:tcW w:w="976" w:type="dxa"/>
            <w:tcBorders>
              <w:top w:val="nil"/>
              <w:left w:val="nil"/>
              <w:bottom w:val="nil"/>
              <w:right w:val="single" w:sz="8" w:space="0" w:color="000000"/>
            </w:tcBorders>
            <w:shd w:val="clear" w:color="000000" w:fill="FFFFFF"/>
            <w:noWrap/>
            <w:vAlign w:val="center"/>
            <w:hideMark/>
          </w:tcPr>
          <w:p w14:paraId="4985BEE5"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4250" w:type="dxa"/>
            <w:gridSpan w:val="14"/>
            <w:vMerge/>
            <w:tcBorders>
              <w:top w:val="nil"/>
              <w:left w:val="nil"/>
              <w:bottom w:val="single" w:sz="4" w:space="0" w:color="auto"/>
              <w:right w:val="single" w:sz="8" w:space="0" w:color="000000"/>
            </w:tcBorders>
            <w:vAlign w:val="center"/>
            <w:hideMark/>
          </w:tcPr>
          <w:p w14:paraId="2AF9293D" w14:textId="77777777" w:rsidR="00FD71D5" w:rsidRPr="00C66720" w:rsidRDefault="00FD71D5" w:rsidP="00FD71D5">
            <w:pPr>
              <w:spacing w:after="0" w:line="240" w:lineRule="auto"/>
              <w:rPr>
                <w:rFonts w:ascii="Times New Roman" w:hAnsi="Times New Roman"/>
                <w:sz w:val="20"/>
                <w:szCs w:val="20"/>
                <w:lang w:eastAsia="sk-SK"/>
              </w:rPr>
            </w:pPr>
          </w:p>
        </w:tc>
        <w:tc>
          <w:tcPr>
            <w:tcW w:w="285" w:type="dxa"/>
            <w:tcBorders>
              <w:top w:val="nil"/>
              <w:left w:val="nil"/>
              <w:bottom w:val="single" w:sz="8" w:space="0" w:color="000000"/>
              <w:right w:val="nil"/>
            </w:tcBorders>
            <w:shd w:val="clear" w:color="000000" w:fill="FFFFFF"/>
            <w:vAlign w:val="center"/>
            <w:hideMark/>
          </w:tcPr>
          <w:p w14:paraId="33AFDF0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single" w:sz="8" w:space="0" w:color="000000"/>
              <w:right w:val="nil"/>
            </w:tcBorders>
            <w:shd w:val="clear" w:color="000000" w:fill="FFFFFF"/>
            <w:vAlign w:val="center"/>
            <w:hideMark/>
          </w:tcPr>
          <w:p w14:paraId="7D0BEF8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single" w:sz="8" w:space="0" w:color="000000"/>
              <w:right w:val="nil"/>
            </w:tcBorders>
            <w:shd w:val="clear" w:color="000000" w:fill="FFFFFF"/>
            <w:vAlign w:val="center"/>
            <w:hideMark/>
          </w:tcPr>
          <w:p w14:paraId="4DF0DBA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single" w:sz="8" w:space="0" w:color="000000"/>
              <w:right w:val="nil"/>
            </w:tcBorders>
            <w:shd w:val="clear" w:color="000000" w:fill="FFFFFF"/>
            <w:vAlign w:val="center"/>
            <w:hideMark/>
          </w:tcPr>
          <w:p w14:paraId="2C280FD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nil"/>
            </w:tcBorders>
            <w:shd w:val="clear" w:color="000000" w:fill="FFFFFF"/>
            <w:vAlign w:val="center"/>
            <w:hideMark/>
          </w:tcPr>
          <w:p w14:paraId="17F50B2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single" w:sz="8" w:space="0" w:color="000000"/>
              <w:right w:val="nil"/>
            </w:tcBorders>
            <w:shd w:val="clear" w:color="000000" w:fill="FFFFFF"/>
            <w:vAlign w:val="center"/>
            <w:hideMark/>
          </w:tcPr>
          <w:p w14:paraId="2EB941F7"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single" w:sz="8" w:space="0" w:color="000000"/>
              <w:right w:val="nil"/>
            </w:tcBorders>
            <w:shd w:val="clear" w:color="000000" w:fill="FFFFFF"/>
            <w:vAlign w:val="center"/>
            <w:hideMark/>
          </w:tcPr>
          <w:p w14:paraId="14246B1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single" w:sz="8" w:space="0" w:color="000000"/>
              <w:right w:val="nil"/>
            </w:tcBorders>
            <w:shd w:val="clear" w:color="000000" w:fill="FFFFFF"/>
            <w:vAlign w:val="center"/>
            <w:hideMark/>
          </w:tcPr>
          <w:p w14:paraId="542BFF7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single" w:sz="8" w:space="0" w:color="000000"/>
              <w:right w:val="nil"/>
            </w:tcBorders>
            <w:shd w:val="clear" w:color="000000" w:fill="FFFFFF"/>
            <w:vAlign w:val="center"/>
            <w:hideMark/>
          </w:tcPr>
          <w:p w14:paraId="36F4F42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single" w:sz="8" w:space="0" w:color="000000"/>
              <w:right w:val="nil"/>
            </w:tcBorders>
            <w:shd w:val="clear" w:color="000000" w:fill="FFFFFF"/>
            <w:vAlign w:val="center"/>
            <w:hideMark/>
          </w:tcPr>
          <w:p w14:paraId="6E46D67A"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single" w:sz="8" w:space="0" w:color="000000"/>
              <w:right w:val="nil"/>
            </w:tcBorders>
            <w:shd w:val="clear" w:color="000000" w:fill="FFFFFF"/>
            <w:vAlign w:val="center"/>
            <w:hideMark/>
          </w:tcPr>
          <w:p w14:paraId="2E9EF883"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single" w:sz="8" w:space="0" w:color="000000"/>
              <w:right w:val="nil"/>
            </w:tcBorders>
            <w:shd w:val="clear" w:color="000000" w:fill="FFFFFF"/>
            <w:vAlign w:val="center"/>
            <w:hideMark/>
          </w:tcPr>
          <w:p w14:paraId="23B08C8A"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single" w:sz="8" w:space="0" w:color="000000"/>
              <w:right w:val="nil"/>
            </w:tcBorders>
            <w:shd w:val="clear" w:color="000000" w:fill="FFFFFF"/>
            <w:vAlign w:val="center"/>
            <w:hideMark/>
          </w:tcPr>
          <w:p w14:paraId="470C4088"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242" w:type="dxa"/>
            <w:tcBorders>
              <w:top w:val="nil"/>
              <w:left w:val="nil"/>
              <w:bottom w:val="single" w:sz="8" w:space="0" w:color="000000"/>
              <w:right w:val="single" w:sz="8" w:space="0" w:color="000000"/>
            </w:tcBorders>
            <w:shd w:val="clear" w:color="000000" w:fill="FFFFFF"/>
            <w:vAlign w:val="center"/>
            <w:hideMark/>
          </w:tcPr>
          <w:p w14:paraId="3C14764D"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vAlign w:val="center"/>
            <w:hideMark/>
          </w:tcPr>
          <w:p w14:paraId="780B3A17" w14:textId="77777777" w:rsidR="00FD71D5" w:rsidRPr="00C66720" w:rsidRDefault="00FD71D5" w:rsidP="00FD71D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976" w:type="dxa"/>
            <w:tcBorders>
              <w:top w:val="nil"/>
              <w:left w:val="nil"/>
              <w:bottom w:val="nil"/>
              <w:right w:val="nil"/>
            </w:tcBorders>
            <w:shd w:val="clear" w:color="000000" w:fill="FFFFFF"/>
            <w:noWrap/>
            <w:vAlign w:val="center"/>
            <w:hideMark/>
          </w:tcPr>
          <w:p w14:paraId="61C0878E"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r w:rsidR="007F6158" w:rsidRPr="00C66720" w14:paraId="671D4234" w14:textId="77777777" w:rsidTr="007F6158">
        <w:trPr>
          <w:trHeight w:val="255"/>
        </w:trPr>
        <w:tc>
          <w:tcPr>
            <w:tcW w:w="976" w:type="dxa"/>
            <w:tcBorders>
              <w:top w:val="nil"/>
              <w:left w:val="nil"/>
              <w:bottom w:val="nil"/>
              <w:right w:val="nil"/>
            </w:tcBorders>
            <w:shd w:val="clear" w:color="000000" w:fill="FFFFFF"/>
            <w:noWrap/>
            <w:vAlign w:val="center"/>
            <w:hideMark/>
          </w:tcPr>
          <w:p w14:paraId="248E9FA6"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c>
          <w:tcPr>
            <w:tcW w:w="327" w:type="dxa"/>
            <w:tcBorders>
              <w:top w:val="single" w:sz="4" w:space="0" w:color="auto"/>
              <w:left w:val="nil"/>
              <w:bottom w:val="nil"/>
              <w:right w:val="nil"/>
            </w:tcBorders>
            <w:shd w:val="clear" w:color="000000" w:fill="FFFFFF"/>
            <w:noWrap/>
            <w:vAlign w:val="center"/>
            <w:hideMark/>
          </w:tcPr>
          <w:p w14:paraId="0E8F7C6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63" w:type="dxa"/>
            <w:tcBorders>
              <w:top w:val="single" w:sz="4" w:space="0" w:color="auto"/>
              <w:left w:val="nil"/>
              <w:bottom w:val="nil"/>
              <w:right w:val="nil"/>
            </w:tcBorders>
            <w:shd w:val="clear" w:color="000000" w:fill="FFFFFF"/>
            <w:noWrap/>
            <w:vAlign w:val="center"/>
            <w:hideMark/>
          </w:tcPr>
          <w:p w14:paraId="31A4076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single" w:sz="4" w:space="0" w:color="auto"/>
              <w:left w:val="nil"/>
              <w:bottom w:val="nil"/>
              <w:right w:val="nil"/>
            </w:tcBorders>
            <w:shd w:val="clear" w:color="000000" w:fill="FFFFFF"/>
            <w:noWrap/>
            <w:vAlign w:val="center"/>
            <w:hideMark/>
          </w:tcPr>
          <w:p w14:paraId="7CBCFD04"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70" w:type="dxa"/>
            <w:tcBorders>
              <w:top w:val="single" w:sz="4" w:space="0" w:color="auto"/>
              <w:left w:val="nil"/>
              <w:bottom w:val="nil"/>
              <w:right w:val="nil"/>
            </w:tcBorders>
            <w:shd w:val="clear" w:color="000000" w:fill="FFFFFF"/>
            <w:noWrap/>
            <w:vAlign w:val="center"/>
            <w:hideMark/>
          </w:tcPr>
          <w:p w14:paraId="7943734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4" w:space="0" w:color="auto"/>
              <w:left w:val="nil"/>
              <w:bottom w:val="nil"/>
              <w:right w:val="nil"/>
            </w:tcBorders>
            <w:shd w:val="clear" w:color="000000" w:fill="FFFFFF"/>
            <w:noWrap/>
            <w:vAlign w:val="center"/>
            <w:hideMark/>
          </w:tcPr>
          <w:p w14:paraId="2BAAF35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single" w:sz="4" w:space="0" w:color="auto"/>
              <w:left w:val="nil"/>
              <w:bottom w:val="nil"/>
              <w:right w:val="nil"/>
            </w:tcBorders>
            <w:shd w:val="clear" w:color="000000" w:fill="FFFFFF"/>
            <w:noWrap/>
            <w:vAlign w:val="center"/>
            <w:hideMark/>
          </w:tcPr>
          <w:p w14:paraId="58471F0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single" w:sz="4" w:space="0" w:color="auto"/>
              <w:left w:val="nil"/>
              <w:bottom w:val="nil"/>
              <w:right w:val="nil"/>
            </w:tcBorders>
            <w:shd w:val="clear" w:color="000000" w:fill="FFFFFF"/>
            <w:noWrap/>
            <w:vAlign w:val="center"/>
            <w:hideMark/>
          </w:tcPr>
          <w:p w14:paraId="3B7D82F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single" w:sz="4" w:space="0" w:color="auto"/>
              <w:left w:val="nil"/>
              <w:bottom w:val="nil"/>
              <w:right w:val="nil"/>
            </w:tcBorders>
            <w:shd w:val="clear" w:color="000000" w:fill="FFFFFF"/>
            <w:noWrap/>
            <w:vAlign w:val="center"/>
            <w:hideMark/>
          </w:tcPr>
          <w:p w14:paraId="5916258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4" w:space="0" w:color="auto"/>
              <w:left w:val="nil"/>
              <w:bottom w:val="nil"/>
              <w:right w:val="nil"/>
            </w:tcBorders>
            <w:shd w:val="clear" w:color="000000" w:fill="FFFFFF"/>
            <w:noWrap/>
            <w:vAlign w:val="center"/>
            <w:hideMark/>
          </w:tcPr>
          <w:p w14:paraId="41A9B5A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25" w:type="dxa"/>
            <w:tcBorders>
              <w:top w:val="single" w:sz="4" w:space="0" w:color="auto"/>
              <w:left w:val="nil"/>
              <w:bottom w:val="nil"/>
              <w:right w:val="nil"/>
            </w:tcBorders>
            <w:shd w:val="clear" w:color="000000" w:fill="FFFFFF"/>
            <w:noWrap/>
            <w:vAlign w:val="center"/>
            <w:hideMark/>
          </w:tcPr>
          <w:p w14:paraId="26AAC82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00" w:type="dxa"/>
            <w:tcBorders>
              <w:top w:val="single" w:sz="4" w:space="0" w:color="auto"/>
              <w:left w:val="nil"/>
              <w:bottom w:val="nil"/>
              <w:right w:val="nil"/>
            </w:tcBorders>
            <w:shd w:val="clear" w:color="000000" w:fill="FFFFFF"/>
            <w:noWrap/>
            <w:vAlign w:val="center"/>
            <w:hideMark/>
          </w:tcPr>
          <w:p w14:paraId="00CE072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4" w:space="0" w:color="auto"/>
              <w:left w:val="nil"/>
              <w:bottom w:val="nil"/>
              <w:right w:val="nil"/>
            </w:tcBorders>
            <w:shd w:val="clear" w:color="000000" w:fill="FFFFFF"/>
            <w:noWrap/>
            <w:vAlign w:val="center"/>
            <w:hideMark/>
          </w:tcPr>
          <w:p w14:paraId="7AF5C586"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4" w:space="0" w:color="auto"/>
              <w:left w:val="nil"/>
              <w:bottom w:val="nil"/>
              <w:right w:val="nil"/>
            </w:tcBorders>
            <w:shd w:val="clear" w:color="000000" w:fill="FFFFFF"/>
            <w:noWrap/>
            <w:vAlign w:val="center"/>
            <w:hideMark/>
          </w:tcPr>
          <w:p w14:paraId="41A79BC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single" w:sz="4" w:space="0" w:color="auto"/>
              <w:left w:val="nil"/>
              <w:bottom w:val="nil"/>
              <w:right w:val="nil"/>
            </w:tcBorders>
            <w:shd w:val="clear" w:color="000000" w:fill="FFFFFF"/>
            <w:noWrap/>
            <w:vAlign w:val="center"/>
            <w:hideMark/>
          </w:tcPr>
          <w:p w14:paraId="560F9DC5"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0247A2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44" w:type="dxa"/>
            <w:tcBorders>
              <w:top w:val="nil"/>
              <w:left w:val="nil"/>
              <w:bottom w:val="nil"/>
              <w:right w:val="nil"/>
            </w:tcBorders>
            <w:shd w:val="clear" w:color="000000" w:fill="FFFFFF"/>
            <w:noWrap/>
            <w:vAlign w:val="center"/>
            <w:hideMark/>
          </w:tcPr>
          <w:p w14:paraId="026F70C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396" w:type="dxa"/>
            <w:tcBorders>
              <w:top w:val="nil"/>
              <w:left w:val="nil"/>
              <w:bottom w:val="nil"/>
              <w:right w:val="nil"/>
            </w:tcBorders>
            <w:shd w:val="clear" w:color="000000" w:fill="FFFFFF"/>
            <w:noWrap/>
            <w:vAlign w:val="center"/>
            <w:hideMark/>
          </w:tcPr>
          <w:p w14:paraId="0847569F"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5" w:type="dxa"/>
            <w:tcBorders>
              <w:top w:val="nil"/>
              <w:left w:val="nil"/>
              <w:bottom w:val="nil"/>
              <w:right w:val="nil"/>
            </w:tcBorders>
            <w:shd w:val="clear" w:color="000000" w:fill="FFFFFF"/>
            <w:noWrap/>
            <w:vAlign w:val="center"/>
            <w:hideMark/>
          </w:tcPr>
          <w:p w14:paraId="33D2C5B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37F6DD0D"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90" w:type="dxa"/>
            <w:tcBorders>
              <w:top w:val="nil"/>
              <w:left w:val="nil"/>
              <w:bottom w:val="nil"/>
              <w:right w:val="nil"/>
            </w:tcBorders>
            <w:shd w:val="clear" w:color="000000" w:fill="FFFFFF"/>
            <w:noWrap/>
            <w:vAlign w:val="center"/>
            <w:hideMark/>
          </w:tcPr>
          <w:p w14:paraId="148B0A70"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87" w:type="dxa"/>
            <w:tcBorders>
              <w:top w:val="nil"/>
              <w:left w:val="nil"/>
              <w:bottom w:val="nil"/>
              <w:right w:val="nil"/>
            </w:tcBorders>
            <w:shd w:val="clear" w:color="000000" w:fill="FFFFFF"/>
            <w:noWrap/>
            <w:vAlign w:val="center"/>
            <w:hideMark/>
          </w:tcPr>
          <w:p w14:paraId="351C2A3A"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148CCE1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52" w:type="dxa"/>
            <w:tcBorders>
              <w:top w:val="nil"/>
              <w:left w:val="nil"/>
              <w:bottom w:val="nil"/>
              <w:right w:val="nil"/>
            </w:tcBorders>
            <w:shd w:val="clear" w:color="000000" w:fill="FFFFFF"/>
            <w:noWrap/>
            <w:vAlign w:val="center"/>
            <w:hideMark/>
          </w:tcPr>
          <w:p w14:paraId="78CBD63E"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74" w:type="dxa"/>
            <w:tcBorders>
              <w:top w:val="nil"/>
              <w:left w:val="nil"/>
              <w:bottom w:val="nil"/>
              <w:right w:val="nil"/>
            </w:tcBorders>
            <w:shd w:val="clear" w:color="000000" w:fill="FFFFFF"/>
            <w:noWrap/>
            <w:vAlign w:val="center"/>
            <w:hideMark/>
          </w:tcPr>
          <w:p w14:paraId="3EE71311"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41D3477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169ADB2"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2E395D1B"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242" w:type="dxa"/>
            <w:tcBorders>
              <w:top w:val="nil"/>
              <w:left w:val="nil"/>
              <w:bottom w:val="nil"/>
              <w:right w:val="nil"/>
            </w:tcBorders>
            <w:shd w:val="clear" w:color="000000" w:fill="FFFFFF"/>
            <w:noWrap/>
            <w:vAlign w:val="center"/>
            <w:hideMark/>
          </w:tcPr>
          <w:p w14:paraId="69B5ADAC"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79D489A8" w14:textId="77777777" w:rsidR="00FD71D5" w:rsidRPr="00C66720" w:rsidRDefault="00FD71D5" w:rsidP="00FD71D5">
            <w:pPr>
              <w:spacing w:after="0" w:line="240" w:lineRule="auto"/>
              <w:rPr>
                <w:rFonts w:ascii="Times New Roman" w:hAnsi="Times New Roman"/>
                <w:sz w:val="20"/>
                <w:szCs w:val="20"/>
                <w:lang w:eastAsia="sk-SK"/>
              </w:rPr>
            </w:pPr>
            <w:r w:rsidRPr="00C66720">
              <w:rPr>
                <w:rFonts w:ascii="Times New Roman" w:hAnsi="Times New Roman"/>
                <w:sz w:val="20"/>
                <w:szCs w:val="20"/>
                <w:lang w:eastAsia="sk-SK"/>
              </w:rPr>
              <w:t> </w:t>
            </w:r>
          </w:p>
        </w:tc>
        <w:tc>
          <w:tcPr>
            <w:tcW w:w="976" w:type="dxa"/>
            <w:tcBorders>
              <w:top w:val="nil"/>
              <w:left w:val="nil"/>
              <w:bottom w:val="nil"/>
              <w:right w:val="nil"/>
            </w:tcBorders>
            <w:shd w:val="clear" w:color="000000" w:fill="FFFFFF"/>
            <w:noWrap/>
            <w:vAlign w:val="center"/>
            <w:hideMark/>
          </w:tcPr>
          <w:p w14:paraId="69B1DAA1" w14:textId="77777777" w:rsidR="00FD71D5" w:rsidRPr="00C66720" w:rsidRDefault="00FD71D5" w:rsidP="00FD71D5">
            <w:pPr>
              <w:spacing w:after="0" w:line="240" w:lineRule="auto"/>
              <w:rPr>
                <w:rFonts w:ascii="Times New Roman" w:hAnsi="Times New Roman"/>
                <w:color w:val="FF0000"/>
                <w:sz w:val="20"/>
                <w:szCs w:val="20"/>
                <w:lang w:eastAsia="sk-SK"/>
              </w:rPr>
            </w:pPr>
            <w:r w:rsidRPr="00C66720">
              <w:rPr>
                <w:rFonts w:ascii="Times New Roman" w:hAnsi="Times New Roman"/>
                <w:color w:val="FF0000"/>
                <w:sz w:val="20"/>
                <w:szCs w:val="20"/>
                <w:lang w:eastAsia="sk-SK"/>
              </w:rPr>
              <w:t> </w:t>
            </w:r>
          </w:p>
        </w:tc>
      </w:tr>
    </w:tbl>
    <w:p w14:paraId="5932AD4B" w14:textId="77777777" w:rsidR="009257BD" w:rsidRPr="00C66720" w:rsidRDefault="009257BD" w:rsidP="008F097E">
      <w:pPr>
        <w:spacing w:line="240" w:lineRule="auto"/>
        <w:rPr>
          <w:rFonts w:ascii="Times New Roman" w:hAnsi="Times New Roman"/>
          <w:color w:val="FF0000"/>
          <w:highlight w:val="yellow"/>
        </w:rPr>
        <w:sectPr w:rsidR="009257BD" w:rsidRPr="00C66720" w:rsidSect="001B7CEB">
          <w:headerReference w:type="default" r:id="rId8"/>
          <w:footerReference w:type="default" r:id="rId9"/>
          <w:pgSz w:w="11906" w:h="16838"/>
          <w:pgMar w:top="1418" w:right="1134" w:bottom="1418" w:left="1134" w:header="709" w:footer="709" w:gutter="567"/>
          <w:pgNumType w:start="0"/>
          <w:cols w:space="708"/>
          <w:titlePg/>
          <w:docGrid w:linePitch="360"/>
        </w:sectPr>
      </w:pPr>
      <w:bookmarkStart w:id="1" w:name="_GoBack"/>
      <w:bookmarkEnd w:id="1"/>
    </w:p>
    <w:p w14:paraId="6E51B2CB" w14:textId="77777777" w:rsidR="003E5CFD" w:rsidRPr="00C66720" w:rsidRDefault="003E5CFD" w:rsidP="008F097E">
      <w:pPr>
        <w:framePr w:w="10340" w:wrap="auto" w:hAnchor="text" w:x="1560"/>
        <w:spacing w:after="0" w:line="240" w:lineRule="auto"/>
        <w:ind w:right="711"/>
        <w:jc w:val="center"/>
        <w:rPr>
          <w:rFonts w:ascii="Times New Roman" w:hAnsi="Times New Roman"/>
          <w:b/>
          <w:bCs/>
          <w:color w:val="FF0000"/>
          <w:sz w:val="20"/>
          <w:szCs w:val="20"/>
          <w:highlight w:val="yellow"/>
          <w:lang w:eastAsia="sk-SK"/>
        </w:rPr>
      </w:pPr>
    </w:p>
    <w:tbl>
      <w:tblPr>
        <w:tblW w:w="9602" w:type="dxa"/>
        <w:tblInd w:w="-567" w:type="dxa"/>
        <w:tblCellMar>
          <w:left w:w="70" w:type="dxa"/>
          <w:right w:w="70" w:type="dxa"/>
        </w:tblCellMar>
        <w:tblLook w:val="04A0" w:firstRow="1" w:lastRow="0" w:firstColumn="1" w:lastColumn="0" w:noHBand="0" w:noVBand="1"/>
      </w:tblPr>
      <w:tblGrid>
        <w:gridCol w:w="880"/>
        <w:gridCol w:w="660"/>
        <w:gridCol w:w="4981"/>
        <w:gridCol w:w="1540"/>
        <w:gridCol w:w="1541"/>
      </w:tblGrid>
      <w:tr w:rsidR="00BC3EA8" w:rsidRPr="00C66720" w14:paraId="7890AF27" w14:textId="77777777" w:rsidTr="009A2514">
        <w:trPr>
          <w:trHeight w:val="255"/>
        </w:trPr>
        <w:tc>
          <w:tcPr>
            <w:tcW w:w="9602" w:type="dxa"/>
            <w:gridSpan w:val="5"/>
            <w:tcBorders>
              <w:top w:val="single" w:sz="8" w:space="0" w:color="auto"/>
              <w:left w:val="nil"/>
              <w:bottom w:val="nil"/>
              <w:right w:val="nil"/>
            </w:tcBorders>
            <w:shd w:val="clear" w:color="000000" w:fill="F4B084"/>
            <w:vAlign w:val="center"/>
            <w:hideMark/>
          </w:tcPr>
          <w:p w14:paraId="4FC5F68F" w14:textId="7B097CC4" w:rsidR="00C847C7" w:rsidRPr="00C66720" w:rsidRDefault="00BF2BBA" w:rsidP="008F097E">
            <w:pPr>
              <w:spacing w:after="0" w:line="240" w:lineRule="auto"/>
              <w:jc w:val="center"/>
              <w:rPr>
                <w:rFonts w:ascii="Times New Roman" w:hAnsi="Times New Roman"/>
                <w:b/>
                <w:bCs/>
                <w:sz w:val="24"/>
                <w:szCs w:val="24"/>
                <w:lang w:eastAsia="sk-SK"/>
              </w:rPr>
            </w:pPr>
            <w:r w:rsidRPr="00C66720">
              <w:rPr>
                <w:rFonts w:ascii="Times New Roman" w:hAnsi="Times New Roman"/>
                <w:b/>
                <w:bCs/>
                <w:sz w:val="24"/>
                <w:szCs w:val="24"/>
                <w:lang w:eastAsia="sk-SK"/>
              </w:rPr>
              <w:t>SÚVAHA K 31. 12. 2022</w:t>
            </w:r>
          </w:p>
        </w:tc>
      </w:tr>
      <w:tr w:rsidR="00BC3EA8" w:rsidRPr="00C66720" w14:paraId="45E48EE2" w14:textId="77777777" w:rsidTr="009A2514">
        <w:trPr>
          <w:trHeight w:val="270"/>
        </w:trPr>
        <w:tc>
          <w:tcPr>
            <w:tcW w:w="9602" w:type="dxa"/>
            <w:gridSpan w:val="5"/>
            <w:tcBorders>
              <w:top w:val="nil"/>
              <w:left w:val="nil"/>
              <w:bottom w:val="single" w:sz="8" w:space="0" w:color="auto"/>
              <w:right w:val="nil"/>
            </w:tcBorders>
            <w:shd w:val="clear" w:color="000000" w:fill="F4B084"/>
            <w:vAlign w:val="center"/>
            <w:hideMark/>
          </w:tcPr>
          <w:p w14:paraId="619C57E3" w14:textId="77777777" w:rsidR="00C847C7" w:rsidRPr="00C66720" w:rsidRDefault="00C847C7" w:rsidP="008F097E">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(v tis. eur)</w:t>
            </w:r>
          </w:p>
        </w:tc>
      </w:tr>
      <w:tr w:rsidR="00BC3EA8" w:rsidRPr="00C66720" w14:paraId="38232771" w14:textId="77777777" w:rsidTr="00783EF7">
        <w:trPr>
          <w:trHeight w:val="270"/>
        </w:trPr>
        <w:tc>
          <w:tcPr>
            <w:tcW w:w="880" w:type="dxa"/>
            <w:tcBorders>
              <w:top w:val="nil"/>
              <w:left w:val="nil"/>
              <w:bottom w:val="single" w:sz="8" w:space="0" w:color="auto"/>
              <w:right w:val="nil"/>
            </w:tcBorders>
            <w:shd w:val="clear" w:color="000000" w:fill="BDD7EE"/>
            <w:noWrap/>
            <w:vAlign w:val="center"/>
            <w:hideMark/>
          </w:tcPr>
          <w:p w14:paraId="6C4A51C2" w14:textId="77777777" w:rsidR="00C847C7" w:rsidRPr="00C66720" w:rsidRDefault="00C847C7" w:rsidP="008F097E">
            <w:pPr>
              <w:spacing w:after="0" w:line="240" w:lineRule="auto"/>
              <w:rPr>
                <w:rFonts w:ascii="Times New Roman" w:hAnsi="Times New Roman"/>
                <w:b/>
                <w:bCs/>
                <w:color w:val="FF0000"/>
                <w:sz w:val="20"/>
                <w:szCs w:val="20"/>
                <w:lang w:eastAsia="sk-SK"/>
              </w:rPr>
            </w:pPr>
            <w:r w:rsidRPr="00C66720">
              <w:rPr>
                <w:rFonts w:ascii="Times New Roman" w:hAnsi="Times New Roman"/>
                <w:b/>
                <w:bCs/>
                <w:color w:val="FF0000"/>
                <w:sz w:val="20"/>
                <w:szCs w:val="20"/>
                <w:lang w:eastAsia="sk-SK"/>
              </w:rPr>
              <w:t> </w:t>
            </w:r>
          </w:p>
        </w:tc>
        <w:tc>
          <w:tcPr>
            <w:tcW w:w="660" w:type="dxa"/>
            <w:tcBorders>
              <w:top w:val="nil"/>
              <w:left w:val="nil"/>
              <w:bottom w:val="single" w:sz="8" w:space="0" w:color="auto"/>
              <w:right w:val="nil"/>
            </w:tcBorders>
            <w:shd w:val="clear" w:color="000000" w:fill="BDD7EE"/>
            <w:noWrap/>
            <w:vAlign w:val="center"/>
            <w:hideMark/>
          </w:tcPr>
          <w:p w14:paraId="7A2F81A0" w14:textId="77777777" w:rsidR="00C847C7" w:rsidRPr="00C66720" w:rsidRDefault="00C847C7" w:rsidP="008F097E">
            <w:pPr>
              <w:spacing w:after="0" w:line="240" w:lineRule="auto"/>
              <w:rPr>
                <w:rFonts w:ascii="Times New Roman" w:hAnsi="Times New Roman"/>
                <w:b/>
                <w:bCs/>
                <w:color w:val="FF0000"/>
                <w:sz w:val="20"/>
                <w:szCs w:val="20"/>
                <w:lang w:eastAsia="sk-SK"/>
              </w:rPr>
            </w:pPr>
            <w:r w:rsidRPr="00C66720">
              <w:rPr>
                <w:rFonts w:ascii="Times New Roman" w:hAnsi="Times New Roman"/>
                <w:b/>
                <w:bCs/>
                <w:color w:val="FF0000"/>
                <w:sz w:val="20"/>
                <w:szCs w:val="20"/>
                <w:lang w:eastAsia="sk-SK"/>
              </w:rPr>
              <w:t> </w:t>
            </w:r>
          </w:p>
        </w:tc>
        <w:tc>
          <w:tcPr>
            <w:tcW w:w="4981" w:type="dxa"/>
            <w:tcBorders>
              <w:top w:val="nil"/>
              <w:left w:val="nil"/>
              <w:bottom w:val="single" w:sz="8" w:space="0" w:color="auto"/>
              <w:right w:val="nil"/>
            </w:tcBorders>
            <w:shd w:val="clear" w:color="000000" w:fill="BDD7EE"/>
            <w:noWrap/>
            <w:vAlign w:val="center"/>
            <w:hideMark/>
          </w:tcPr>
          <w:p w14:paraId="0B8CC499" w14:textId="77777777" w:rsidR="00C847C7" w:rsidRPr="00C66720" w:rsidRDefault="00C847C7" w:rsidP="008F097E">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AKTÍVA</w:t>
            </w:r>
          </w:p>
        </w:tc>
        <w:tc>
          <w:tcPr>
            <w:tcW w:w="1540" w:type="dxa"/>
            <w:tcBorders>
              <w:top w:val="nil"/>
              <w:left w:val="nil"/>
              <w:bottom w:val="single" w:sz="8" w:space="0" w:color="auto"/>
              <w:right w:val="nil"/>
            </w:tcBorders>
            <w:shd w:val="clear" w:color="000000" w:fill="BDD7EE"/>
            <w:noWrap/>
            <w:vAlign w:val="center"/>
            <w:hideMark/>
          </w:tcPr>
          <w:p w14:paraId="325EE398" w14:textId="344077EB" w:rsidR="00C847C7" w:rsidRPr="00C66720" w:rsidRDefault="009A2514" w:rsidP="009A2514">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xml:space="preserve">           </w:t>
            </w:r>
            <w:r w:rsidR="00BF2BBA" w:rsidRPr="00C66720">
              <w:rPr>
                <w:rFonts w:ascii="Times New Roman" w:hAnsi="Times New Roman"/>
                <w:b/>
                <w:bCs/>
                <w:sz w:val="20"/>
                <w:szCs w:val="20"/>
                <w:lang w:eastAsia="sk-SK"/>
              </w:rPr>
              <w:t>2022</w:t>
            </w:r>
          </w:p>
        </w:tc>
        <w:tc>
          <w:tcPr>
            <w:tcW w:w="1541" w:type="dxa"/>
            <w:tcBorders>
              <w:top w:val="nil"/>
              <w:left w:val="nil"/>
              <w:bottom w:val="single" w:sz="8" w:space="0" w:color="auto"/>
              <w:right w:val="nil"/>
            </w:tcBorders>
            <w:shd w:val="clear" w:color="000000" w:fill="BDD7EE"/>
            <w:noWrap/>
            <w:vAlign w:val="center"/>
            <w:hideMark/>
          </w:tcPr>
          <w:p w14:paraId="7D4E1907" w14:textId="2518480E" w:rsidR="00C847C7" w:rsidRPr="00C66720" w:rsidRDefault="009A2514" w:rsidP="008F097E">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xml:space="preserve">         </w:t>
            </w:r>
            <w:r w:rsidR="00BA508B" w:rsidRPr="00C66720">
              <w:rPr>
                <w:rFonts w:ascii="Times New Roman" w:hAnsi="Times New Roman"/>
                <w:b/>
                <w:bCs/>
                <w:sz w:val="20"/>
                <w:szCs w:val="20"/>
                <w:lang w:eastAsia="sk-SK"/>
              </w:rPr>
              <w:t>2021</w:t>
            </w:r>
          </w:p>
        </w:tc>
      </w:tr>
      <w:tr w:rsidR="00BC3EA8" w:rsidRPr="00C66720" w14:paraId="1202F4F5" w14:textId="77777777" w:rsidTr="00783EF7">
        <w:trPr>
          <w:trHeight w:val="240"/>
        </w:trPr>
        <w:tc>
          <w:tcPr>
            <w:tcW w:w="6521" w:type="dxa"/>
            <w:gridSpan w:val="3"/>
            <w:tcBorders>
              <w:top w:val="single" w:sz="8" w:space="0" w:color="auto"/>
              <w:left w:val="nil"/>
              <w:bottom w:val="nil"/>
              <w:right w:val="nil"/>
            </w:tcBorders>
            <w:shd w:val="clear" w:color="auto" w:fill="auto"/>
            <w:vAlign w:val="center"/>
            <w:hideMark/>
          </w:tcPr>
          <w:p w14:paraId="37ACE44E" w14:textId="77777777" w:rsidR="00C847C7" w:rsidRPr="00C66720" w:rsidRDefault="00C847C7" w:rsidP="008F097E">
            <w:pPr>
              <w:spacing w:after="0" w:line="240" w:lineRule="auto"/>
              <w:rPr>
                <w:rFonts w:ascii="Times New Roman" w:hAnsi="Times New Roman"/>
                <w:b/>
                <w:bCs/>
                <w:color w:val="FF0000"/>
                <w:sz w:val="20"/>
                <w:szCs w:val="20"/>
                <w:lang w:eastAsia="sk-SK"/>
              </w:rPr>
            </w:pPr>
            <w:r w:rsidRPr="00C66720">
              <w:rPr>
                <w:rFonts w:ascii="Times New Roman" w:hAnsi="Times New Roman"/>
                <w:b/>
                <w:bCs/>
                <w:sz w:val="20"/>
                <w:szCs w:val="20"/>
                <w:lang w:eastAsia="sk-SK"/>
              </w:rPr>
              <w:t>MAJETOK SPOLU (A+B+C)</w:t>
            </w:r>
          </w:p>
        </w:tc>
        <w:tc>
          <w:tcPr>
            <w:tcW w:w="1540" w:type="dxa"/>
            <w:tcBorders>
              <w:top w:val="nil"/>
              <w:left w:val="nil"/>
              <w:bottom w:val="nil"/>
              <w:right w:val="nil"/>
            </w:tcBorders>
            <w:shd w:val="clear" w:color="auto" w:fill="auto"/>
            <w:vAlign w:val="center"/>
            <w:hideMark/>
          </w:tcPr>
          <w:p w14:paraId="7EBF5E65" w14:textId="5E9BE218" w:rsidR="00C847C7" w:rsidRPr="00C66720" w:rsidRDefault="0017043A" w:rsidP="00783DFF">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85 585 279</w:t>
            </w:r>
            <w:r w:rsidR="00783DFF" w:rsidRPr="00C66720">
              <w:rPr>
                <w:rFonts w:ascii="Times New Roman" w:hAnsi="Times New Roman"/>
                <w:b/>
                <w:bCs/>
                <w:sz w:val="20"/>
                <w:szCs w:val="20"/>
                <w:lang w:eastAsia="sk-SK"/>
              </w:rPr>
              <w:t xml:space="preserve"> </w:t>
            </w:r>
          </w:p>
        </w:tc>
        <w:tc>
          <w:tcPr>
            <w:tcW w:w="1541" w:type="dxa"/>
            <w:tcBorders>
              <w:top w:val="nil"/>
              <w:left w:val="nil"/>
              <w:bottom w:val="nil"/>
              <w:right w:val="nil"/>
            </w:tcBorders>
            <w:shd w:val="clear" w:color="auto" w:fill="auto"/>
            <w:vAlign w:val="center"/>
            <w:hideMark/>
          </w:tcPr>
          <w:p w14:paraId="0E9555A3" w14:textId="7E3CDBEB" w:rsidR="00C847C7" w:rsidRPr="00C66720" w:rsidRDefault="00294BAC" w:rsidP="008F097E">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79 067 837</w:t>
            </w:r>
          </w:p>
        </w:tc>
      </w:tr>
      <w:tr w:rsidR="00BC3EA8" w:rsidRPr="00C66720" w14:paraId="42C813C6" w14:textId="77777777" w:rsidTr="00783EF7">
        <w:trPr>
          <w:trHeight w:val="278"/>
        </w:trPr>
        <w:tc>
          <w:tcPr>
            <w:tcW w:w="880" w:type="dxa"/>
            <w:tcBorders>
              <w:top w:val="nil"/>
              <w:left w:val="nil"/>
              <w:bottom w:val="nil"/>
              <w:right w:val="nil"/>
            </w:tcBorders>
            <w:shd w:val="clear" w:color="auto" w:fill="auto"/>
            <w:vAlign w:val="center"/>
            <w:hideMark/>
          </w:tcPr>
          <w:p w14:paraId="167C0AF6" w14:textId="14C6E26A" w:rsidR="00706651" w:rsidRPr="00C66720" w:rsidRDefault="00706651" w:rsidP="00706651">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A.</w:t>
            </w:r>
          </w:p>
        </w:tc>
        <w:tc>
          <w:tcPr>
            <w:tcW w:w="5641" w:type="dxa"/>
            <w:gridSpan w:val="2"/>
            <w:tcBorders>
              <w:top w:val="nil"/>
              <w:left w:val="nil"/>
              <w:bottom w:val="nil"/>
              <w:right w:val="nil"/>
            </w:tcBorders>
            <w:shd w:val="clear" w:color="auto" w:fill="auto"/>
            <w:vAlign w:val="center"/>
            <w:hideMark/>
          </w:tcPr>
          <w:p w14:paraId="2FBD3C6F" w14:textId="0606C170" w:rsidR="00706651" w:rsidRPr="00C66720" w:rsidRDefault="00706651" w:rsidP="00706651">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pozn.    Dlhodobý majetok (A.I. až A.IV.)</w:t>
            </w:r>
          </w:p>
        </w:tc>
        <w:tc>
          <w:tcPr>
            <w:tcW w:w="1540" w:type="dxa"/>
            <w:tcBorders>
              <w:top w:val="nil"/>
              <w:left w:val="nil"/>
              <w:bottom w:val="nil"/>
              <w:right w:val="nil"/>
            </w:tcBorders>
            <w:shd w:val="clear" w:color="auto" w:fill="auto"/>
            <w:vAlign w:val="center"/>
          </w:tcPr>
          <w:p w14:paraId="09C44997" w14:textId="1F314957" w:rsidR="00706651" w:rsidRPr="00C66720" w:rsidRDefault="00066C44" w:rsidP="00E25A6F">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63</w:t>
            </w:r>
            <w:r w:rsidR="00E25A6F" w:rsidRPr="00C66720">
              <w:rPr>
                <w:rFonts w:ascii="Times New Roman" w:hAnsi="Times New Roman"/>
                <w:b/>
                <w:bCs/>
                <w:sz w:val="20"/>
                <w:szCs w:val="20"/>
                <w:lang w:eastAsia="sk-SK"/>
              </w:rPr>
              <w:t> 279 805</w:t>
            </w:r>
          </w:p>
        </w:tc>
        <w:tc>
          <w:tcPr>
            <w:tcW w:w="1541" w:type="dxa"/>
            <w:tcBorders>
              <w:top w:val="nil"/>
              <w:left w:val="nil"/>
              <w:bottom w:val="nil"/>
              <w:right w:val="nil"/>
            </w:tcBorders>
            <w:shd w:val="clear" w:color="auto" w:fill="auto"/>
            <w:vAlign w:val="center"/>
            <w:hideMark/>
          </w:tcPr>
          <w:p w14:paraId="4A47E279" w14:textId="09135B3B" w:rsidR="00706651" w:rsidRPr="00C66720" w:rsidRDefault="00706651" w:rsidP="0070665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60 737 774</w:t>
            </w:r>
          </w:p>
        </w:tc>
      </w:tr>
      <w:tr w:rsidR="00BC3EA8" w:rsidRPr="00C66720" w14:paraId="2ADEA500" w14:textId="77777777" w:rsidTr="00783EF7">
        <w:trPr>
          <w:trHeight w:val="278"/>
        </w:trPr>
        <w:tc>
          <w:tcPr>
            <w:tcW w:w="880" w:type="dxa"/>
            <w:tcBorders>
              <w:top w:val="nil"/>
              <w:left w:val="nil"/>
              <w:bottom w:val="nil"/>
              <w:right w:val="nil"/>
            </w:tcBorders>
            <w:shd w:val="clear" w:color="auto" w:fill="auto"/>
            <w:vAlign w:val="center"/>
            <w:hideMark/>
          </w:tcPr>
          <w:p w14:paraId="10AB6847" w14:textId="77777777" w:rsidR="00706651" w:rsidRPr="00C66720" w:rsidRDefault="00706651" w:rsidP="0070665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A.I.</w:t>
            </w:r>
          </w:p>
        </w:tc>
        <w:tc>
          <w:tcPr>
            <w:tcW w:w="660" w:type="dxa"/>
            <w:tcBorders>
              <w:top w:val="nil"/>
              <w:left w:val="nil"/>
              <w:bottom w:val="nil"/>
              <w:right w:val="nil"/>
            </w:tcBorders>
            <w:shd w:val="clear" w:color="auto" w:fill="auto"/>
            <w:vAlign w:val="center"/>
            <w:hideMark/>
          </w:tcPr>
          <w:p w14:paraId="1ACC1B00" w14:textId="77777777" w:rsidR="00706651" w:rsidRPr="00C66720" w:rsidRDefault="00706651" w:rsidP="00706651">
            <w:pPr>
              <w:spacing w:after="0" w:line="240" w:lineRule="auto"/>
              <w:jc w:val="right"/>
              <w:rPr>
                <w:rFonts w:ascii="Times New Roman" w:hAnsi="Times New Roman"/>
                <w:b/>
                <w:bCs/>
                <w:sz w:val="20"/>
                <w:szCs w:val="20"/>
                <w:lang w:eastAsia="sk-SK"/>
              </w:rPr>
            </w:pPr>
          </w:p>
        </w:tc>
        <w:tc>
          <w:tcPr>
            <w:tcW w:w="4981" w:type="dxa"/>
            <w:tcBorders>
              <w:top w:val="nil"/>
              <w:left w:val="nil"/>
              <w:bottom w:val="nil"/>
              <w:right w:val="nil"/>
            </w:tcBorders>
            <w:shd w:val="clear" w:color="auto" w:fill="auto"/>
            <w:vAlign w:val="center"/>
            <w:hideMark/>
          </w:tcPr>
          <w:p w14:paraId="2334931D" w14:textId="77777777" w:rsidR="00706651" w:rsidRPr="00C66720" w:rsidRDefault="00706651" w:rsidP="00706651">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Nehmotný majetok</w:t>
            </w:r>
          </w:p>
        </w:tc>
        <w:tc>
          <w:tcPr>
            <w:tcW w:w="1540" w:type="dxa"/>
            <w:tcBorders>
              <w:top w:val="nil"/>
              <w:left w:val="nil"/>
              <w:bottom w:val="nil"/>
              <w:right w:val="nil"/>
            </w:tcBorders>
            <w:shd w:val="clear" w:color="auto" w:fill="auto"/>
            <w:vAlign w:val="center"/>
          </w:tcPr>
          <w:p w14:paraId="32FC7748" w14:textId="65ABB6C5" w:rsidR="00706651" w:rsidRPr="00C66720" w:rsidRDefault="00887260" w:rsidP="0070665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648 146</w:t>
            </w:r>
          </w:p>
        </w:tc>
        <w:tc>
          <w:tcPr>
            <w:tcW w:w="1541" w:type="dxa"/>
            <w:tcBorders>
              <w:top w:val="nil"/>
              <w:left w:val="nil"/>
              <w:bottom w:val="nil"/>
              <w:right w:val="nil"/>
            </w:tcBorders>
            <w:shd w:val="clear" w:color="auto" w:fill="auto"/>
            <w:vAlign w:val="center"/>
            <w:hideMark/>
          </w:tcPr>
          <w:p w14:paraId="1A78E465" w14:textId="7817ACA1" w:rsidR="00706651" w:rsidRPr="00C66720" w:rsidRDefault="00706651" w:rsidP="0070665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562 046</w:t>
            </w:r>
          </w:p>
        </w:tc>
      </w:tr>
      <w:tr w:rsidR="00BC3EA8" w:rsidRPr="00C66720" w14:paraId="33DA35AE" w14:textId="77777777" w:rsidTr="00783EF7">
        <w:trPr>
          <w:trHeight w:val="263"/>
        </w:trPr>
        <w:tc>
          <w:tcPr>
            <w:tcW w:w="880" w:type="dxa"/>
            <w:tcBorders>
              <w:top w:val="nil"/>
              <w:left w:val="nil"/>
              <w:bottom w:val="nil"/>
              <w:right w:val="nil"/>
            </w:tcBorders>
            <w:shd w:val="clear" w:color="auto" w:fill="auto"/>
            <w:vAlign w:val="center"/>
            <w:hideMark/>
          </w:tcPr>
          <w:p w14:paraId="3A6CAE38" w14:textId="77777777" w:rsidR="00706651" w:rsidRPr="00C66720" w:rsidRDefault="00706651" w:rsidP="00706651">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vAlign w:val="center"/>
            <w:hideMark/>
          </w:tcPr>
          <w:p w14:paraId="76645D2D" w14:textId="7FA862A9" w:rsidR="00706651" w:rsidRPr="00C66720" w:rsidRDefault="00706651" w:rsidP="00706651">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_Ref86049431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1</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03578874" w14:textId="77777777" w:rsidR="00706651" w:rsidRPr="00C66720" w:rsidRDefault="00706651" w:rsidP="00706651">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softvér</w:t>
            </w:r>
          </w:p>
        </w:tc>
        <w:tc>
          <w:tcPr>
            <w:tcW w:w="1540" w:type="dxa"/>
            <w:tcBorders>
              <w:top w:val="nil"/>
              <w:left w:val="nil"/>
              <w:bottom w:val="nil"/>
              <w:right w:val="nil"/>
            </w:tcBorders>
            <w:shd w:val="clear" w:color="auto" w:fill="auto"/>
            <w:vAlign w:val="center"/>
          </w:tcPr>
          <w:p w14:paraId="501A7C6B" w14:textId="333500CD" w:rsidR="00706651" w:rsidRPr="00C66720" w:rsidRDefault="00887260" w:rsidP="007066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442 576</w:t>
            </w:r>
          </w:p>
        </w:tc>
        <w:tc>
          <w:tcPr>
            <w:tcW w:w="1541" w:type="dxa"/>
            <w:tcBorders>
              <w:top w:val="nil"/>
              <w:left w:val="nil"/>
              <w:bottom w:val="nil"/>
              <w:right w:val="nil"/>
            </w:tcBorders>
            <w:shd w:val="clear" w:color="auto" w:fill="auto"/>
            <w:vAlign w:val="center"/>
            <w:hideMark/>
          </w:tcPr>
          <w:p w14:paraId="2323EA24" w14:textId="0EE572DE" w:rsidR="00706651" w:rsidRPr="00C66720" w:rsidRDefault="00706651" w:rsidP="007066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414 826</w:t>
            </w:r>
          </w:p>
        </w:tc>
      </w:tr>
      <w:tr w:rsidR="00BC3EA8" w:rsidRPr="00C66720" w14:paraId="70D397F8" w14:textId="77777777" w:rsidTr="00783EF7">
        <w:trPr>
          <w:trHeight w:val="263"/>
        </w:trPr>
        <w:tc>
          <w:tcPr>
            <w:tcW w:w="880" w:type="dxa"/>
            <w:tcBorders>
              <w:top w:val="nil"/>
              <w:left w:val="nil"/>
              <w:bottom w:val="nil"/>
              <w:right w:val="nil"/>
            </w:tcBorders>
            <w:shd w:val="clear" w:color="auto" w:fill="auto"/>
            <w:vAlign w:val="center"/>
            <w:hideMark/>
          </w:tcPr>
          <w:p w14:paraId="554A1C71" w14:textId="77777777" w:rsidR="00706651" w:rsidRPr="00C66720" w:rsidRDefault="00706651" w:rsidP="00706651">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1731F8CA" w14:textId="514A1FD4" w:rsidR="00706651" w:rsidRPr="00C66720" w:rsidRDefault="00706651" w:rsidP="00706651">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_Ref86091334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732219C6" w14:textId="77777777" w:rsidR="00706651" w:rsidRPr="00C66720" w:rsidRDefault="00706651" w:rsidP="00706651">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oceniteľné práva</w:t>
            </w:r>
          </w:p>
        </w:tc>
        <w:tc>
          <w:tcPr>
            <w:tcW w:w="1540" w:type="dxa"/>
            <w:tcBorders>
              <w:top w:val="nil"/>
              <w:left w:val="nil"/>
              <w:bottom w:val="nil"/>
              <w:right w:val="nil"/>
            </w:tcBorders>
            <w:shd w:val="clear" w:color="auto" w:fill="auto"/>
            <w:vAlign w:val="center"/>
          </w:tcPr>
          <w:p w14:paraId="7E43AA33" w14:textId="24C06270" w:rsidR="00706651" w:rsidRPr="00C66720" w:rsidRDefault="00D03CB1" w:rsidP="007066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28 958</w:t>
            </w:r>
            <w:r w:rsidR="00706651" w:rsidRPr="00C66720">
              <w:rPr>
                <w:rFonts w:ascii="Times New Roman" w:hAnsi="Times New Roman"/>
                <w:i/>
                <w:iCs/>
                <w:sz w:val="19"/>
                <w:szCs w:val="19"/>
                <w:lang w:eastAsia="sk-SK"/>
              </w:rPr>
              <w:t xml:space="preserve"> </w:t>
            </w:r>
          </w:p>
        </w:tc>
        <w:tc>
          <w:tcPr>
            <w:tcW w:w="1541" w:type="dxa"/>
            <w:tcBorders>
              <w:top w:val="nil"/>
              <w:left w:val="nil"/>
              <w:bottom w:val="nil"/>
              <w:right w:val="nil"/>
            </w:tcBorders>
            <w:shd w:val="clear" w:color="auto" w:fill="auto"/>
            <w:vAlign w:val="center"/>
            <w:hideMark/>
          </w:tcPr>
          <w:p w14:paraId="04E56EAD" w14:textId="7338938B" w:rsidR="00706651" w:rsidRPr="00C66720" w:rsidRDefault="00706651" w:rsidP="007066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21 238 </w:t>
            </w:r>
          </w:p>
        </w:tc>
      </w:tr>
      <w:tr w:rsidR="00BC3EA8" w:rsidRPr="00C66720" w14:paraId="539CF305" w14:textId="77777777" w:rsidTr="00783EF7">
        <w:trPr>
          <w:trHeight w:val="263"/>
        </w:trPr>
        <w:tc>
          <w:tcPr>
            <w:tcW w:w="880" w:type="dxa"/>
            <w:tcBorders>
              <w:top w:val="nil"/>
              <w:left w:val="nil"/>
              <w:bottom w:val="nil"/>
              <w:right w:val="nil"/>
            </w:tcBorders>
            <w:shd w:val="clear" w:color="auto" w:fill="auto"/>
            <w:vAlign w:val="center"/>
            <w:hideMark/>
          </w:tcPr>
          <w:p w14:paraId="0079FCFC" w14:textId="719B828D" w:rsidR="00706651" w:rsidRPr="00C66720" w:rsidRDefault="00706651" w:rsidP="00706651">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62EAF4A2" w14:textId="493C8597" w:rsidR="00706651" w:rsidRPr="00C66720" w:rsidRDefault="00706651" w:rsidP="00706651">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_Ref86091348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3</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6AB7E7AE" w14:textId="77777777" w:rsidR="00706651" w:rsidRPr="00C66720" w:rsidRDefault="00706651" w:rsidP="00706651">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obstaranie nehmotného majetku</w:t>
            </w:r>
          </w:p>
        </w:tc>
        <w:tc>
          <w:tcPr>
            <w:tcW w:w="1540" w:type="dxa"/>
            <w:tcBorders>
              <w:top w:val="nil"/>
              <w:left w:val="nil"/>
              <w:bottom w:val="nil"/>
              <w:right w:val="nil"/>
            </w:tcBorders>
            <w:shd w:val="clear" w:color="auto" w:fill="auto"/>
            <w:vAlign w:val="center"/>
          </w:tcPr>
          <w:p w14:paraId="2C3FFB0B" w14:textId="50202CB8" w:rsidR="00706651" w:rsidRPr="00C66720" w:rsidRDefault="00F95F2F" w:rsidP="007066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135 204</w:t>
            </w:r>
            <w:r w:rsidR="00706651" w:rsidRPr="00C66720">
              <w:rPr>
                <w:rFonts w:ascii="Times New Roman" w:hAnsi="Times New Roman"/>
                <w:i/>
                <w:iCs/>
                <w:sz w:val="19"/>
                <w:szCs w:val="19"/>
                <w:lang w:eastAsia="sk-SK"/>
              </w:rPr>
              <w:t xml:space="preserve"> </w:t>
            </w:r>
          </w:p>
        </w:tc>
        <w:tc>
          <w:tcPr>
            <w:tcW w:w="1541" w:type="dxa"/>
            <w:tcBorders>
              <w:top w:val="nil"/>
              <w:left w:val="nil"/>
              <w:bottom w:val="nil"/>
              <w:right w:val="nil"/>
            </w:tcBorders>
            <w:shd w:val="clear" w:color="auto" w:fill="auto"/>
            <w:vAlign w:val="center"/>
            <w:hideMark/>
          </w:tcPr>
          <w:p w14:paraId="2D8EA000" w14:textId="64213C41" w:rsidR="00706651" w:rsidRPr="00C66720" w:rsidRDefault="00706651" w:rsidP="007066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95 689 </w:t>
            </w:r>
          </w:p>
        </w:tc>
      </w:tr>
      <w:tr w:rsidR="00BC3EA8" w:rsidRPr="00C66720" w14:paraId="4178D043" w14:textId="77777777" w:rsidTr="00783EF7">
        <w:trPr>
          <w:trHeight w:val="263"/>
        </w:trPr>
        <w:tc>
          <w:tcPr>
            <w:tcW w:w="880" w:type="dxa"/>
            <w:tcBorders>
              <w:top w:val="nil"/>
              <w:left w:val="nil"/>
              <w:bottom w:val="nil"/>
              <w:right w:val="nil"/>
            </w:tcBorders>
            <w:shd w:val="clear" w:color="auto" w:fill="auto"/>
            <w:vAlign w:val="center"/>
            <w:hideMark/>
          </w:tcPr>
          <w:p w14:paraId="4723EA8C" w14:textId="77777777" w:rsidR="00706651" w:rsidRPr="00C66720" w:rsidRDefault="00706651" w:rsidP="00706651">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47E9CDA2" w14:textId="67EEF6A5" w:rsidR="00706651" w:rsidRPr="00C66720" w:rsidRDefault="00D03CB1" w:rsidP="00D03CB1">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t>4</w:t>
            </w:r>
          </w:p>
        </w:tc>
        <w:tc>
          <w:tcPr>
            <w:tcW w:w="4981" w:type="dxa"/>
            <w:tcBorders>
              <w:top w:val="nil"/>
              <w:left w:val="nil"/>
              <w:bottom w:val="nil"/>
              <w:right w:val="nil"/>
            </w:tcBorders>
            <w:shd w:val="clear" w:color="auto" w:fill="auto"/>
            <w:vAlign w:val="center"/>
            <w:hideMark/>
          </w:tcPr>
          <w:p w14:paraId="6F829258" w14:textId="77777777" w:rsidR="00706651" w:rsidRPr="00C66720" w:rsidRDefault="00706651" w:rsidP="00706651">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ostatný nehmotný majetok</w:t>
            </w:r>
          </w:p>
        </w:tc>
        <w:tc>
          <w:tcPr>
            <w:tcW w:w="1540" w:type="dxa"/>
            <w:tcBorders>
              <w:top w:val="nil"/>
              <w:left w:val="nil"/>
              <w:bottom w:val="nil"/>
              <w:right w:val="nil"/>
            </w:tcBorders>
            <w:shd w:val="clear" w:color="auto" w:fill="auto"/>
            <w:vAlign w:val="center"/>
          </w:tcPr>
          <w:p w14:paraId="7F3539A5" w14:textId="771B7871" w:rsidR="00706651" w:rsidRPr="00C66720" w:rsidRDefault="00D03CB1" w:rsidP="007066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41 408</w:t>
            </w:r>
            <w:r w:rsidR="00706651" w:rsidRPr="00C66720">
              <w:rPr>
                <w:rFonts w:ascii="Times New Roman" w:hAnsi="Times New Roman"/>
                <w:i/>
                <w:iCs/>
                <w:sz w:val="19"/>
                <w:szCs w:val="19"/>
                <w:lang w:eastAsia="sk-SK"/>
              </w:rPr>
              <w:t xml:space="preserve"> </w:t>
            </w:r>
          </w:p>
        </w:tc>
        <w:tc>
          <w:tcPr>
            <w:tcW w:w="1541" w:type="dxa"/>
            <w:tcBorders>
              <w:top w:val="nil"/>
              <w:left w:val="nil"/>
              <w:bottom w:val="nil"/>
              <w:right w:val="nil"/>
            </w:tcBorders>
            <w:shd w:val="clear" w:color="auto" w:fill="auto"/>
            <w:vAlign w:val="center"/>
            <w:hideMark/>
          </w:tcPr>
          <w:p w14:paraId="37F15C90" w14:textId="3A0CB4B3" w:rsidR="00706651" w:rsidRPr="00C66720" w:rsidRDefault="00706651" w:rsidP="007066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30 293 </w:t>
            </w:r>
          </w:p>
        </w:tc>
      </w:tr>
      <w:tr w:rsidR="00BC3EA8" w:rsidRPr="00C66720" w14:paraId="3572D18A" w14:textId="77777777" w:rsidTr="00783EF7">
        <w:trPr>
          <w:trHeight w:val="278"/>
        </w:trPr>
        <w:tc>
          <w:tcPr>
            <w:tcW w:w="880" w:type="dxa"/>
            <w:tcBorders>
              <w:top w:val="nil"/>
              <w:left w:val="nil"/>
              <w:bottom w:val="nil"/>
              <w:right w:val="nil"/>
            </w:tcBorders>
            <w:shd w:val="clear" w:color="auto" w:fill="auto"/>
            <w:vAlign w:val="center"/>
            <w:hideMark/>
          </w:tcPr>
          <w:p w14:paraId="52DA6CE9" w14:textId="77777777" w:rsidR="007779A4" w:rsidRPr="00C66720" w:rsidRDefault="007779A4" w:rsidP="007779A4">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A.II.</w:t>
            </w:r>
          </w:p>
        </w:tc>
        <w:tc>
          <w:tcPr>
            <w:tcW w:w="660" w:type="dxa"/>
            <w:tcBorders>
              <w:top w:val="nil"/>
              <w:left w:val="nil"/>
              <w:bottom w:val="nil"/>
              <w:right w:val="nil"/>
            </w:tcBorders>
            <w:shd w:val="clear" w:color="auto" w:fill="auto"/>
            <w:vAlign w:val="center"/>
            <w:hideMark/>
          </w:tcPr>
          <w:p w14:paraId="209106EE" w14:textId="77777777" w:rsidR="007779A4" w:rsidRPr="00C66720" w:rsidRDefault="007779A4" w:rsidP="007779A4">
            <w:pPr>
              <w:spacing w:after="0" w:line="240" w:lineRule="auto"/>
              <w:jc w:val="right"/>
              <w:rPr>
                <w:rFonts w:ascii="Times New Roman" w:hAnsi="Times New Roman"/>
                <w:b/>
                <w:bCs/>
                <w:sz w:val="20"/>
                <w:szCs w:val="20"/>
                <w:lang w:eastAsia="sk-SK"/>
              </w:rPr>
            </w:pPr>
          </w:p>
        </w:tc>
        <w:tc>
          <w:tcPr>
            <w:tcW w:w="4981" w:type="dxa"/>
            <w:tcBorders>
              <w:top w:val="nil"/>
              <w:left w:val="nil"/>
              <w:bottom w:val="nil"/>
              <w:right w:val="nil"/>
            </w:tcBorders>
            <w:shd w:val="clear" w:color="auto" w:fill="auto"/>
            <w:noWrap/>
            <w:vAlign w:val="center"/>
            <w:hideMark/>
          </w:tcPr>
          <w:p w14:paraId="76C39B98" w14:textId="77777777" w:rsidR="007779A4" w:rsidRPr="00C66720" w:rsidRDefault="007779A4" w:rsidP="007779A4">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Hmotný majetok</w:t>
            </w:r>
          </w:p>
        </w:tc>
        <w:tc>
          <w:tcPr>
            <w:tcW w:w="1540" w:type="dxa"/>
            <w:tcBorders>
              <w:top w:val="nil"/>
              <w:left w:val="nil"/>
              <w:bottom w:val="nil"/>
              <w:right w:val="nil"/>
            </w:tcBorders>
            <w:shd w:val="clear" w:color="auto" w:fill="auto"/>
            <w:vAlign w:val="center"/>
          </w:tcPr>
          <w:p w14:paraId="49350CD4" w14:textId="1A53FC35" w:rsidR="007779A4" w:rsidRPr="00C66720" w:rsidRDefault="00066C44" w:rsidP="00B9474A">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54</w:t>
            </w:r>
            <w:r w:rsidR="00B9474A" w:rsidRPr="00C66720">
              <w:rPr>
                <w:rFonts w:ascii="Times New Roman" w:hAnsi="Times New Roman"/>
                <w:b/>
                <w:bCs/>
                <w:sz w:val="20"/>
                <w:szCs w:val="20"/>
                <w:lang w:eastAsia="sk-SK"/>
              </w:rPr>
              <w:t> 616 052</w:t>
            </w:r>
          </w:p>
        </w:tc>
        <w:tc>
          <w:tcPr>
            <w:tcW w:w="1541" w:type="dxa"/>
            <w:tcBorders>
              <w:top w:val="nil"/>
              <w:left w:val="nil"/>
              <w:bottom w:val="nil"/>
              <w:right w:val="nil"/>
            </w:tcBorders>
            <w:shd w:val="clear" w:color="auto" w:fill="auto"/>
            <w:vAlign w:val="center"/>
            <w:hideMark/>
          </w:tcPr>
          <w:p w14:paraId="133A0F8A" w14:textId="5657E1CD" w:rsidR="007779A4" w:rsidRPr="00C66720" w:rsidRDefault="007779A4" w:rsidP="007779A4">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xml:space="preserve">52 727 846 </w:t>
            </w:r>
          </w:p>
        </w:tc>
      </w:tr>
      <w:tr w:rsidR="00BC3EA8" w:rsidRPr="00C66720" w14:paraId="3F81C526" w14:textId="77777777" w:rsidTr="00783EF7">
        <w:trPr>
          <w:trHeight w:val="263"/>
        </w:trPr>
        <w:tc>
          <w:tcPr>
            <w:tcW w:w="880" w:type="dxa"/>
            <w:tcBorders>
              <w:top w:val="nil"/>
              <w:left w:val="nil"/>
              <w:bottom w:val="nil"/>
              <w:right w:val="nil"/>
            </w:tcBorders>
            <w:shd w:val="clear" w:color="auto" w:fill="auto"/>
            <w:vAlign w:val="center"/>
            <w:hideMark/>
          </w:tcPr>
          <w:p w14:paraId="10DD5BA6" w14:textId="77777777" w:rsidR="007779A4" w:rsidRPr="00C66720" w:rsidRDefault="007779A4" w:rsidP="007779A4">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vAlign w:val="center"/>
            <w:hideMark/>
          </w:tcPr>
          <w:p w14:paraId="1711B1D8" w14:textId="64E4B77A" w:rsidR="007779A4" w:rsidRPr="00C66720" w:rsidRDefault="007779A4" w:rsidP="007779A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_Ref86091385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noWrap/>
            <w:vAlign w:val="center"/>
            <w:hideMark/>
          </w:tcPr>
          <w:p w14:paraId="1CE06A56" w14:textId="77777777" w:rsidR="007779A4" w:rsidRPr="00C66720" w:rsidRDefault="007779A4" w:rsidP="007779A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stavby</w:t>
            </w:r>
          </w:p>
        </w:tc>
        <w:tc>
          <w:tcPr>
            <w:tcW w:w="1540" w:type="dxa"/>
            <w:tcBorders>
              <w:top w:val="nil"/>
              <w:left w:val="nil"/>
              <w:bottom w:val="nil"/>
              <w:right w:val="nil"/>
            </w:tcBorders>
            <w:shd w:val="clear" w:color="auto" w:fill="auto"/>
            <w:vAlign w:val="center"/>
          </w:tcPr>
          <w:p w14:paraId="685C27ED" w14:textId="21C6DAEE" w:rsidR="007779A4" w:rsidRPr="00C66720" w:rsidRDefault="00D63586" w:rsidP="007779A4">
            <w:pPr>
              <w:spacing w:after="0" w:line="240" w:lineRule="auto"/>
              <w:jc w:val="right"/>
              <w:rPr>
                <w:rFonts w:ascii="Times New Roman" w:hAnsi="Times New Roman"/>
                <w:sz w:val="18"/>
                <w:szCs w:val="18"/>
                <w:lang w:eastAsia="sk-SK"/>
              </w:rPr>
            </w:pPr>
            <w:r w:rsidRPr="00C66720">
              <w:rPr>
                <w:rFonts w:ascii="Times New Roman" w:hAnsi="Times New Roman"/>
                <w:i/>
                <w:iCs/>
                <w:sz w:val="19"/>
                <w:szCs w:val="19"/>
                <w:lang w:eastAsia="sk-SK"/>
              </w:rPr>
              <w:t>31 674 602</w:t>
            </w:r>
          </w:p>
        </w:tc>
        <w:tc>
          <w:tcPr>
            <w:tcW w:w="1541" w:type="dxa"/>
            <w:tcBorders>
              <w:top w:val="nil"/>
              <w:left w:val="nil"/>
              <w:bottom w:val="nil"/>
              <w:right w:val="nil"/>
            </w:tcBorders>
            <w:shd w:val="clear" w:color="auto" w:fill="auto"/>
            <w:vAlign w:val="center"/>
            <w:hideMark/>
          </w:tcPr>
          <w:p w14:paraId="3274A243" w14:textId="7E33D088" w:rsidR="007779A4" w:rsidRPr="00C66720" w:rsidRDefault="007779A4" w:rsidP="007779A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31 121 753</w:t>
            </w:r>
          </w:p>
        </w:tc>
      </w:tr>
      <w:tr w:rsidR="00BC3EA8" w:rsidRPr="00C66720" w14:paraId="7D0C6981" w14:textId="77777777" w:rsidTr="00783EF7">
        <w:trPr>
          <w:trHeight w:val="263"/>
        </w:trPr>
        <w:tc>
          <w:tcPr>
            <w:tcW w:w="880" w:type="dxa"/>
            <w:tcBorders>
              <w:top w:val="nil"/>
              <w:left w:val="nil"/>
              <w:bottom w:val="nil"/>
              <w:right w:val="nil"/>
            </w:tcBorders>
            <w:shd w:val="clear" w:color="auto" w:fill="auto"/>
            <w:vAlign w:val="center"/>
            <w:hideMark/>
          </w:tcPr>
          <w:p w14:paraId="7075105A" w14:textId="77777777" w:rsidR="007779A4" w:rsidRPr="00C66720" w:rsidRDefault="007779A4" w:rsidP="007779A4">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56014CD2" w14:textId="31816F88" w:rsidR="007779A4" w:rsidRPr="00C66720" w:rsidRDefault="007779A4" w:rsidP="007779A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_Ref86091392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6</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noWrap/>
            <w:vAlign w:val="center"/>
            <w:hideMark/>
          </w:tcPr>
          <w:p w14:paraId="0AED0582" w14:textId="77777777" w:rsidR="007779A4" w:rsidRPr="00C66720" w:rsidRDefault="007779A4" w:rsidP="007779A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pozemky</w:t>
            </w:r>
          </w:p>
        </w:tc>
        <w:tc>
          <w:tcPr>
            <w:tcW w:w="1540" w:type="dxa"/>
            <w:tcBorders>
              <w:top w:val="nil"/>
              <w:left w:val="nil"/>
              <w:bottom w:val="nil"/>
              <w:right w:val="nil"/>
            </w:tcBorders>
            <w:shd w:val="clear" w:color="auto" w:fill="auto"/>
            <w:vAlign w:val="center"/>
          </w:tcPr>
          <w:p w14:paraId="41F91150" w14:textId="0AD0B323" w:rsidR="007779A4" w:rsidRPr="00C66720" w:rsidRDefault="00315839" w:rsidP="007779A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10 202 245</w:t>
            </w:r>
          </w:p>
        </w:tc>
        <w:tc>
          <w:tcPr>
            <w:tcW w:w="1541" w:type="dxa"/>
            <w:tcBorders>
              <w:top w:val="nil"/>
              <w:left w:val="nil"/>
              <w:bottom w:val="nil"/>
              <w:right w:val="nil"/>
            </w:tcBorders>
            <w:shd w:val="clear" w:color="auto" w:fill="auto"/>
            <w:vAlign w:val="center"/>
            <w:hideMark/>
          </w:tcPr>
          <w:p w14:paraId="0B19EFAD" w14:textId="7030F347" w:rsidR="007779A4" w:rsidRPr="00C66720" w:rsidRDefault="007779A4" w:rsidP="007779A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10 085 155</w:t>
            </w:r>
          </w:p>
        </w:tc>
      </w:tr>
      <w:tr w:rsidR="00BC3EA8" w:rsidRPr="00C66720" w14:paraId="756C1244" w14:textId="77777777" w:rsidTr="00783EF7">
        <w:trPr>
          <w:trHeight w:val="263"/>
        </w:trPr>
        <w:tc>
          <w:tcPr>
            <w:tcW w:w="880" w:type="dxa"/>
            <w:tcBorders>
              <w:top w:val="nil"/>
              <w:left w:val="nil"/>
              <w:bottom w:val="nil"/>
              <w:right w:val="nil"/>
            </w:tcBorders>
            <w:shd w:val="clear" w:color="auto" w:fill="auto"/>
            <w:vAlign w:val="center"/>
            <w:hideMark/>
          </w:tcPr>
          <w:p w14:paraId="603879C4" w14:textId="77777777" w:rsidR="007779A4" w:rsidRPr="00C66720" w:rsidRDefault="007779A4" w:rsidP="007779A4">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71A43070" w14:textId="21952E8C" w:rsidR="007779A4" w:rsidRPr="00C66720" w:rsidRDefault="007779A4" w:rsidP="007779A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_Ref86091400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7</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noWrap/>
            <w:vAlign w:val="center"/>
            <w:hideMark/>
          </w:tcPr>
          <w:p w14:paraId="42E32988" w14:textId="77777777" w:rsidR="007779A4" w:rsidRPr="00C66720" w:rsidRDefault="007779A4" w:rsidP="007779A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samostatné hnuteľné veci a súbory hnuteľných vecí</w:t>
            </w:r>
          </w:p>
        </w:tc>
        <w:tc>
          <w:tcPr>
            <w:tcW w:w="1540" w:type="dxa"/>
            <w:tcBorders>
              <w:top w:val="nil"/>
              <w:left w:val="nil"/>
              <w:bottom w:val="nil"/>
              <w:right w:val="nil"/>
            </w:tcBorders>
            <w:shd w:val="clear" w:color="auto" w:fill="auto"/>
            <w:vAlign w:val="center"/>
          </w:tcPr>
          <w:p w14:paraId="1FBD0F2A" w14:textId="448530E2" w:rsidR="007779A4" w:rsidRPr="00C66720" w:rsidRDefault="00FF4F69" w:rsidP="00FB6B7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2 729 </w:t>
            </w:r>
            <w:r w:rsidR="00FB6B71" w:rsidRPr="00C66720">
              <w:rPr>
                <w:rFonts w:ascii="Times New Roman" w:hAnsi="Times New Roman"/>
                <w:i/>
                <w:iCs/>
                <w:sz w:val="19"/>
                <w:szCs w:val="19"/>
                <w:lang w:eastAsia="sk-SK"/>
              </w:rPr>
              <w:t>910</w:t>
            </w:r>
          </w:p>
        </w:tc>
        <w:tc>
          <w:tcPr>
            <w:tcW w:w="1541" w:type="dxa"/>
            <w:tcBorders>
              <w:top w:val="nil"/>
              <w:left w:val="nil"/>
              <w:bottom w:val="nil"/>
              <w:right w:val="nil"/>
            </w:tcBorders>
            <w:shd w:val="clear" w:color="auto" w:fill="auto"/>
            <w:vAlign w:val="center"/>
            <w:hideMark/>
          </w:tcPr>
          <w:p w14:paraId="32FB800C" w14:textId="7A97B88D" w:rsidR="007779A4" w:rsidRPr="00C66720" w:rsidRDefault="007779A4" w:rsidP="007779A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2 636 118</w:t>
            </w:r>
          </w:p>
        </w:tc>
      </w:tr>
      <w:tr w:rsidR="00BC3EA8" w:rsidRPr="00C66720" w14:paraId="1B5B8A25" w14:textId="77777777" w:rsidTr="00783EF7">
        <w:trPr>
          <w:trHeight w:val="263"/>
        </w:trPr>
        <w:tc>
          <w:tcPr>
            <w:tcW w:w="880" w:type="dxa"/>
            <w:tcBorders>
              <w:top w:val="nil"/>
              <w:left w:val="nil"/>
              <w:bottom w:val="nil"/>
              <w:right w:val="nil"/>
            </w:tcBorders>
            <w:shd w:val="clear" w:color="auto" w:fill="auto"/>
            <w:vAlign w:val="center"/>
            <w:hideMark/>
          </w:tcPr>
          <w:p w14:paraId="4E05A699" w14:textId="77777777" w:rsidR="007779A4" w:rsidRPr="00C66720" w:rsidRDefault="007779A4" w:rsidP="007779A4">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49D52B00" w14:textId="4AB0F85C" w:rsidR="007779A4" w:rsidRPr="00C66720" w:rsidRDefault="007779A4" w:rsidP="007779A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_Ref86091407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8</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noWrap/>
            <w:vAlign w:val="center"/>
            <w:hideMark/>
          </w:tcPr>
          <w:p w14:paraId="11DF7CAA" w14:textId="77777777" w:rsidR="007779A4" w:rsidRPr="00C66720" w:rsidRDefault="007779A4" w:rsidP="007779A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dopravné prostriedky</w:t>
            </w:r>
          </w:p>
        </w:tc>
        <w:tc>
          <w:tcPr>
            <w:tcW w:w="1540" w:type="dxa"/>
            <w:tcBorders>
              <w:top w:val="nil"/>
              <w:left w:val="nil"/>
              <w:bottom w:val="nil"/>
              <w:right w:val="nil"/>
            </w:tcBorders>
            <w:shd w:val="clear" w:color="auto" w:fill="auto"/>
            <w:vAlign w:val="center"/>
          </w:tcPr>
          <w:p w14:paraId="45BE3B2F" w14:textId="0801D7E4" w:rsidR="007779A4" w:rsidRPr="00C66720" w:rsidRDefault="00FF4F69" w:rsidP="00DF6F2E">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2 103 </w:t>
            </w:r>
            <w:r w:rsidR="00DF6F2E" w:rsidRPr="00C66720">
              <w:rPr>
                <w:rFonts w:ascii="Times New Roman" w:hAnsi="Times New Roman"/>
                <w:i/>
                <w:iCs/>
                <w:sz w:val="19"/>
                <w:szCs w:val="19"/>
                <w:lang w:eastAsia="sk-SK"/>
              </w:rPr>
              <w:t>258</w:t>
            </w:r>
          </w:p>
        </w:tc>
        <w:tc>
          <w:tcPr>
            <w:tcW w:w="1541" w:type="dxa"/>
            <w:tcBorders>
              <w:top w:val="nil"/>
              <w:left w:val="nil"/>
              <w:bottom w:val="nil"/>
              <w:right w:val="nil"/>
            </w:tcBorders>
            <w:shd w:val="clear" w:color="auto" w:fill="auto"/>
            <w:vAlign w:val="center"/>
            <w:hideMark/>
          </w:tcPr>
          <w:p w14:paraId="2DF1411C" w14:textId="13B9B86A" w:rsidR="007779A4" w:rsidRPr="00C66720" w:rsidRDefault="007779A4" w:rsidP="007779A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2 146 975</w:t>
            </w:r>
          </w:p>
        </w:tc>
      </w:tr>
      <w:tr w:rsidR="00BC3EA8" w:rsidRPr="00C66720" w14:paraId="6E42B9E6" w14:textId="77777777" w:rsidTr="00783EF7">
        <w:trPr>
          <w:trHeight w:val="263"/>
        </w:trPr>
        <w:tc>
          <w:tcPr>
            <w:tcW w:w="880" w:type="dxa"/>
            <w:tcBorders>
              <w:top w:val="nil"/>
              <w:left w:val="nil"/>
              <w:bottom w:val="nil"/>
              <w:right w:val="nil"/>
            </w:tcBorders>
            <w:shd w:val="clear" w:color="auto" w:fill="auto"/>
            <w:vAlign w:val="center"/>
            <w:hideMark/>
          </w:tcPr>
          <w:p w14:paraId="21CF5F0C" w14:textId="77777777" w:rsidR="007779A4" w:rsidRPr="00C66720" w:rsidRDefault="007779A4" w:rsidP="007779A4">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2B7E0C47" w14:textId="3D653AFA" w:rsidR="007779A4" w:rsidRPr="00C66720" w:rsidRDefault="007779A4" w:rsidP="007779A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_Ref86091414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9</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noWrap/>
            <w:vAlign w:val="center"/>
            <w:hideMark/>
          </w:tcPr>
          <w:p w14:paraId="1DA9CD1F" w14:textId="77777777" w:rsidR="007779A4" w:rsidRPr="00C66720" w:rsidRDefault="007779A4" w:rsidP="007779A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poskytnuté preddavky</w:t>
            </w:r>
          </w:p>
        </w:tc>
        <w:tc>
          <w:tcPr>
            <w:tcW w:w="1540" w:type="dxa"/>
            <w:tcBorders>
              <w:top w:val="nil"/>
              <w:left w:val="nil"/>
              <w:bottom w:val="nil"/>
              <w:right w:val="nil"/>
            </w:tcBorders>
            <w:shd w:val="clear" w:color="auto" w:fill="auto"/>
            <w:vAlign w:val="center"/>
          </w:tcPr>
          <w:p w14:paraId="162EE320" w14:textId="478986F2" w:rsidR="007779A4" w:rsidRPr="00C66720" w:rsidRDefault="00066C44" w:rsidP="00066C4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t xml:space="preserve">             </w:t>
            </w:r>
            <w:r w:rsidR="00FF4F69" w:rsidRPr="00C66720">
              <w:rPr>
                <w:rFonts w:ascii="Times New Roman" w:hAnsi="Times New Roman"/>
                <w:i/>
                <w:iCs/>
                <w:sz w:val="19"/>
                <w:szCs w:val="19"/>
                <w:lang w:eastAsia="sk-SK"/>
              </w:rPr>
              <w:t>2 127 51</w:t>
            </w:r>
            <w:r w:rsidRPr="00C66720">
              <w:rPr>
                <w:rFonts w:ascii="Times New Roman" w:hAnsi="Times New Roman"/>
                <w:i/>
                <w:iCs/>
                <w:sz w:val="19"/>
                <w:szCs w:val="19"/>
                <w:lang w:eastAsia="sk-SK"/>
              </w:rPr>
              <w:t>8</w:t>
            </w:r>
          </w:p>
        </w:tc>
        <w:tc>
          <w:tcPr>
            <w:tcW w:w="1541" w:type="dxa"/>
            <w:tcBorders>
              <w:top w:val="nil"/>
              <w:left w:val="nil"/>
              <w:bottom w:val="nil"/>
              <w:right w:val="nil"/>
            </w:tcBorders>
            <w:shd w:val="clear" w:color="auto" w:fill="auto"/>
            <w:vAlign w:val="center"/>
            <w:hideMark/>
          </w:tcPr>
          <w:p w14:paraId="1FCBF355" w14:textId="147BCCCD" w:rsidR="007779A4" w:rsidRPr="00C66720" w:rsidRDefault="007779A4" w:rsidP="007779A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1 474 438</w:t>
            </w:r>
          </w:p>
        </w:tc>
      </w:tr>
      <w:tr w:rsidR="00BC3EA8" w:rsidRPr="00C66720" w14:paraId="445C4554" w14:textId="77777777" w:rsidTr="00783EF7">
        <w:trPr>
          <w:trHeight w:val="263"/>
        </w:trPr>
        <w:tc>
          <w:tcPr>
            <w:tcW w:w="880" w:type="dxa"/>
            <w:tcBorders>
              <w:top w:val="nil"/>
              <w:left w:val="nil"/>
              <w:bottom w:val="nil"/>
              <w:right w:val="nil"/>
            </w:tcBorders>
            <w:shd w:val="clear" w:color="auto" w:fill="auto"/>
            <w:vAlign w:val="center"/>
            <w:hideMark/>
          </w:tcPr>
          <w:p w14:paraId="10E2AB56" w14:textId="77777777" w:rsidR="007779A4" w:rsidRPr="00C66720" w:rsidRDefault="007779A4" w:rsidP="007779A4">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62D3C29B" w14:textId="28B12C0E" w:rsidR="007779A4" w:rsidRPr="00C66720" w:rsidRDefault="007779A4" w:rsidP="007779A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_Ref86091420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10</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noWrap/>
            <w:vAlign w:val="center"/>
            <w:hideMark/>
          </w:tcPr>
          <w:p w14:paraId="70DD8F45" w14:textId="77777777" w:rsidR="007779A4" w:rsidRPr="00C66720" w:rsidRDefault="007779A4" w:rsidP="007779A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obstaranie hmotného majetku</w:t>
            </w:r>
          </w:p>
        </w:tc>
        <w:tc>
          <w:tcPr>
            <w:tcW w:w="1540" w:type="dxa"/>
            <w:tcBorders>
              <w:top w:val="nil"/>
              <w:left w:val="nil"/>
              <w:bottom w:val="nil"/>
              <w:right w:val="nil"/>
            </w:tcBorders>
            <w:shd w:val="clear" w:color="auto" w:fill="auto"/>
            <w:vAlign w:val="center"/>
          </w:tcPr>
          <w:p w14:paraId="7ECE3788" w14:textId="0EE2A394" w:rsidR="007779A4" w:rsidRPr="00C66720" w:rsidRDefault="00480B46" w:rsidP="00DF6F2E">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5 024 9</w:t>
            </w:r>
            <w:r w:rsidR="00DF6F2E" w:rsidRPr="00C66720">
              <w:rPr>
                <w:rFonts w:ascii="Times New Roman" w:hAnsi="Times New Roman"/>
                <w:i/>
                <w:iCs/>
                <w:sz w:val="19"/>
                <w:szCs w:val="19"/>
                <w:lang w:eastAsia="sk-SK"/>
              </w:rPr>
              <w:t>20</w:t>
            </w:r>
          </w:p>
        </w:tc>
        <w:tc>
          <w:tcPr>
            <w:tcW w:w="1541" w:type="dxa"/>
            <w:tcBorders>
              <w:top w:val="nil"/>
              <w:left w:val="nil"/>
              <w:bottom w:val="nil"/>
              <w:right w:val="nil"/>
            </w:tcBorders>
            <w:shd w:val="clear" w:color="auto" w:fill="auto"/>
            <w:vAlign w:val="center"/>
            <w:hideMark/>
          </w:tcPr>
          <w:p w14:paraId="48356B25" w14:textId="198BB3C1" w:rsidR="007779A4" w:rsidRPr="00C66720" w:rsidRDefault="007779A4" w:rsidP="007779A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4 520 598</w:t>
            </w:r>
          </w:p>
        </w:tc>
      </w:tr>
      <w:tr w:rsidR="00BC3EA8" w:rsidRPr="00C66720" w14:paraId="684D2DBC" w14:textId="77777777" w:rsidTr="00783EF7">
        <w:trPr>
          <w:trHeight w:val="263"/>
        </w:trPr>
        <w:tc>
          <w:tcPr>
            <w:tcW w:w="880" w:type="dxa"/>
            <w:tcBorders>
              <w:top w:val="nil"/>
              <w:left w:val="nil"/>
              <w:bottom w:val="nil"/>
              <w:right w:val="nil"/>
            </w:tcBorders>
            <w:shd w:val="clear" w:color="auto" w:fill="auto"/>
            <w:vAlign w:val="center"/>
            <w:hideMark/>
          </w:tcPr>
          <w:p w14:paraId="22DC8E05" w14:textId="77777777" w:rsidR="007779A4" w:rsidRPr="00C66720" w:rsidRDefault="007779A4" w:rsidP="007779A4">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02411BE1" w14:textId="1E357E2A" w:rsidR="007779A4" w:rsidRPr="00C66720" w:rsidRDefault="00480B46" w:rsidP="007779A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t>11</w:t>
            </w:r>
          </w:p>
        </w:tc>
        <w:tc>
          <w:tcPr>
            <w:tcW w:w="4981" w:type="dxa"/>
            <w:tcBorders>
              <w:top w:val="nil"/>
              <w:left w:val="nil"/>
              <w:bottom w:val="nil"/>
              <w:right w:val="nil"/>
            </w:tcBorders>
            <w:shd w:val="clear" w:color="auto" w:fill="auto"/>
            <w:vAlign w:val="center"/>
            <w:hideMark/>
          </w:tcPr>
          <w:p w14:paraId="16D733D9" w14:textId="77777777" w:rsidR="007779A4" w:rsidRPr="00C66720" w:rsidRDefault="007779A4" w:rsidP="007779A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ostatný hmotný majetok</w:t>
            </w:r>
          </w:p>
        </w:tc>
        <w:tc>
          <w:tcPr>
            <w:tcW w:w="1540" w:type="dxa"/>
            <w:tcBorders>
              <w:top w:val="nil"/>
              <w:left w:val="nil"/>
              <w:bottom w:val="nil"/>
              <w:right w:val="nil"/>
            </w:tcBorders>
            <w:shd w:val="clear" w:color="auto" w:fill="auto"/>
            <w:vAlign w:val="center"/>
          </w:tcPr>
          <w:p w14:paraId="58ECCCA5" w14:textId="4D2C39EA" w:rsidR="007779A4" w:rsidRPr="00C66720" w:rsidRDefault="00042F9B" w:rsidP="00482366">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753 </w:t>
            </w:r>
            <w:r w:rsidR="00482366" w:rsidRPr="00C66720">
              <w:rPr>
                <w:rFonts w:ascii="Times New Roman" w:hAnsi="Times New Roman"/>
                <w:i/>
                <w:iCs/>
                <w:sz w:val="19"/>
                <w:szCs w:val="19"/>
                <w:lang w:eastAsia="sk-SK"/>
              </w:rPr>
              <w:t>599</w:t>
            </w:r>
          </w:p>
        </w:tc>
        <w:tc>
          <w:tcPr>
            <w:tcW w:w="1541" w:type="dxa"/>
            <w:tcBorders>
              <w:top w:val="nil"/>
              <w:left w:val="nil"/>
              <w:bottom w:val="nil"/>
              <w:right w:val="nil"/>
            </w:tcBorders>
            <w:shd w:val="clear" w:color="auto" w:fill="auto"/>
            <w:vAlign w:val="center"/>
            <w:hideMark/>
          </w:tcPr>
          <w:p w14:paraId="0F73CB5B" w14:textId="694A9724" w:rsidR="007779A4" w:rsidRPr="00C66720" w:rsidRDefault="007779A4" w:rsidP="007779A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742 809</w:t>
            </w:r>
          </w:p>
        </w:tc>
      </w:tr>
      <w:tr w:rsidR="00BC3EA8" w:rsidRPr="00C66720" w14:paraId="243AA455" w14:textId="77777777" w:rsidTr="00783EF7">
        <w:trPr>
          <w:trHeight w:val="278"/>
        </w:trPr>
        <w:tc>
          <w:tcPr>
            <w:tcW w:w="880" w:type="dxa"/>
            <w:tcBorders>
              <w:top w:val="nil"/>
              <w:left w:val="nil"/>
              <w:bottom w:val="nil"/>
              <w:right w:val="nil"/>
            </w:tcBorders>
            <w:shd w:val="clear" w:color="auto" w:fill="auto"/>
            <w:vAlign w:val="center"/>
            <w:hideMark/>
          </w:tcPr>
          <w:p w14:paraId="73E070AB" w14:textId="77777777" w:rsidR="00D642D7" w:rsidRPr="00C66720" w:rsidRDefault="00D642D7" w:rsidP="00D642D7">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A.III.</w:t>
            </w:r>
          </w:p>
        </w:tc>
        <w:tc>
          <w:tcPr>
            <w:tcW w:w="660" w:type="dxa"/>
            <w:tcBorders>
              <w:top w:val="nil"/>
              <w:left w:val="nil"/>
              <w:bottom w:val="nil"/>
              <w:right w:val="nil"/>
            </w:tcBorders>
            <w:shd w:val="clear" w:color="auto" w:fill="auto"/>
            <w:vAlign w:val="center"/>
            <w:hideMark/>
          </w:tcPr>
          <w:p w14:paraId="044F3521" w14:textId="77777777" w:rsidR="00D642D7" w:rsidRPr="00C66720" w:rsidRDefault="00D642D7" w:rsidP="00D642D7">
            <w:pPr>
              <w:spacing w:after="0" w:line="240" w:lineRule="auto"/>
              <w:jc w:val="right"/>
              <w:rPr>
                <w:rFonts w:ascii="Times New Roman" w:hAnsi="Times New Roman"/>
                <w:b/>
                <w:bCs/>
                <w:sz w:val="20"/>
                <w:szCs w:val="20"/>
                <w:lang w:eastAsia="sk-SK"/>
              </w:rPr>
            </w:pPr>
          </w:p>
        </w:tc>
        <w:tc>
          <w:tcPr>
            <w:tcW w:w="4981" w:type="dxa"/>
            <w:tcBorders>
              <w:top w:val="nil"/>
              <w:left w:val="nil"/>
              <w:bottom w:val="nil"/>
              <w:right w:val="nil"/>
            </w:tcBorders>
            <w:shd w:val="clear" w:color="auto" w:fill="auto"/>
            <w:noWrap/>
            <w:vAlign w:val="center"/>
            <w:hideMark/>
          </w:tcPr>
          <w:p w14:paraId="6DB5E0C4" w14:textId="77777777" w:rsidR="00D642D7" w:rsidRPr="00C66720" w:rsidRDefault="00D642D7" w:rsidP="00D642D7">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Finančný majetok</w:t>
            </w:r>
          </w:p>
        </w:tc>
        <w:tc>
          <w:tcPr>
            <w:tcW w:w="1540" w:type="dxa"/>
            <w:tcBorders>
              <w:top w:val="nil"/>
              <w:left w:val="nil"/>
              <w:bottom w:val="nil"/>
              <w:right w:val="nil"/>
            </w:tcBorders>
            <w:shd w:val="clear" w:color="auto" w:fill="auto"/>
            <w:vAlign w:val="center"/>
          </w:tcPr>
          <w:p w14:paraId="757CBEBA" w14:textId="36C430D8" w:rsidR="00D642D7" w:rsidRPr="00C66720" w:rsidRDefault="00E351D2" w:rsidP="000B232E">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7</w:t>
            </w:r>
            <w:r w:rsidR="000B232E" w:rsidRPr="00C66720">
              <w:rPr>
                <w:rFonts w:ascii="Times New Roman" w:hAnsi="Times New Roman"/>
                <w:b/>
                <w:bCs/>
                <w:sz w:val="20"/>
                <w:szCs w:val="20"/>
                <w:lang w:eastAsia="sk-SK"/>
              </w:rPr>
              <w:t> 227 465</w:t>
            </w:r>
          </w:p>
        </w:tc>
        <w:tc>
          <w:tcPr>
            <w:tcW w:w="1541" w:type="dxa"/>
            <w:tcBorders>
              <w:top w:val="nil"/>
              <w:left w:val="nil"/>
              <w:bottom w:val="nil"/>
              <w:right w:val="nil"/>
            </w:tcBorders>
            <w:shd w:val="clear" w:color="auto" w:fill="auto"/>
            <w:vAlign w:val="center"/>
            <w:hideMark/>
          </w:tcPr>
          <w:p w14:paraId="4DADEBC4" w14:textId="26E41497" w:rsidR="00D642D7" w:rsidRPr="00C66720" w:rsidRDefault="00D642D7" w:rsidP="00D642D7">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6 597 593</w:t>
            </w:r>
          </w:p>
        </w:tc>
      </w:tr>
      <w:tr w:rsidR="00BC3EA8" w:rsidRPr="00C66720" w14:paraId="6F633ADA" w14:textId="77777777" w:rsidTr="00783EF7">
        <w:trPr>
          <w:trHeight w:val="263"/>
        </w:trPr>
        <w:tc>
          <w:tcPr>
            <w:tcW w:w="880" w:type="dxa"/>
            <w:tcBorders>
              <w:top w:val="nil"/>
              <w:left w:val="nil"/>
              <w:bottom w:val="nil"/>
              <w:right w:val="nil"/>
            </w:tcBorders>
            <w:shd w:val="clear" w:color="auto" w:fill="auto"/>
            <w:vAlign w:val="center"/>
            <w:hideMark/>
          </w:tcPr>
          <w:p w14:paraId="78BF1A75" w14:textId="77777777" w:rsidR="00D642D7" w:rsidRPr="00C66720" w:rsidRDefault="00D642D7" w:rsidP="00D642D7">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vAlign w:val="center"/>
            <w:hideMark/>
          </w:tcPr>
          <w:p w14:paraId="5666E294" w14:textId="495FB581" w:rsidR="00D642D7" w:rsidRPr="00C66720" w:rsidRDefault="0087631B" w:rsidP="00D642D7">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t>12</w:t>
            </w:r>
          </w:p>
        </w:tc>
        <w:tc>
          <w:tcPr>
            <w:tcW w:w="4981" w:type="dxa"/>
            <w:tcBorders>
              <w:top w:val="nil"/>
              <w:left w:val="nil"/>
              <w:bottom w:val="nil"/>
              <w:right w:val="nil"/>
            </w:tcBorders>
            <w:shd w:val="clear" w:color="auto" w:fill="auto"/>
            <w:noWrap/>
            <w:vAlign w:val="center"/>
            <w:hideMark/>
          </w:tcPr>
          <w:p w14:paraId="440F2D25" w14:textId="77777777" w:rsidR="00D642D7" w:rsidRPr="00C66720" w:rsidRDefault="00D642D7" w:rsidP="00D642D7">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v tom   cenné papiere a podiely </w:t>
            </w:r>
          </w:p>
        </w:tc>
        <w:tc>
          <w:tcPr>
            <w:tcW w:w="1540" w:type="dxa"/>
            <w:tcBorders>
              <w:top w:val="nil"/>
              <w:left w:val="nil"/>
              <w:bottom w:val="nil"/>
              <w:right w:val="nil"/>
            </w:tcBorders>
            <w:shd w:val="clear" w:color="auto" w:fill="auto"/>
            <w:vAlign w:val="center"/>
          </w:tcPr>
          <w:p w14:paraId="1543B511" w14:textId="56BF5A30" w:rsidR="00D642D7" w:rsidRPr="00C66720" w:rsidRDefault="0087631B" w:rsidP="000B232E">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w:t>
            </w:r>
            <w:r w:rsidR="000B232E" w:rsidRPr="00C66720">
              <w:rPr>
                <w:rFonts w:ascii="Times New Roman" w:hAnsi="Times New Roman"/>
                <w:i/>
                <w:iCs/>
                <w:sz w:val="19"/>
                <w:szCs w:val="19"/>
                <w:lang w:eastAsia="sk-SK"/>
              </w:rPr>
              <w:t> 550 102</w:t>
            </w:r>
          </w:p>
        </w:tc>
        <w:tc>
          <w:tcPr>
            <w:tcW w:w="1541" w:type="dxa"/>
            <w:tcBorders>
              <w:top w:val="nil"/>
              <w:left w:val="nil"/>
              <w:bottom w:val="nil"/>
              <w:right w:val="nil"/>
            </w:tcBorders>
            <w:shd w:val="clear" w:color="auto" w:fill="auto"/>
            <w:vAlign w:val="center"/>
            <w:hideMark/>
          </w:tcPr>
          <w:p w14:paraId="618611BC" w14:textId="0FEAE7C6" w:rsidR="00D642D7" w:rsidRPr="00C66720" w:rsidRDefault="00D642D7" w:rsidP="00D642D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4 045 577</w:t>
            </w:r>
          </w:p>
        </w:tc>
      </w:tr>
      <w:tr w:rsidR="00BC3EA8" w:rsidRPr="00C66720" w14:paraId="27389DF2" w14:textId="77777777" w:rsidTr="00783EF7">
        <w:trPr>
          <w:trHeight w:val="263"/>
        </w:trPr>
        <w:tc>
          <w:tcPr>
            <w:tcW w:w="880" w:type="dxa"/>
            <w:tcBorders>
              <w:top w:val="nil"/>
              <w:left w:val="nil"/>
              <w:bottom w:val="nil"/>
              <w:right w:val="nil"/>
            </w:tcBorders>
            <w:shd w:val="clear" w:color="auto" w:fill="auto"/>
            <w:vAlign w:val="center"/>
            <w:hideMark/>
          </w:tcPr>
          <w:p w14:paraId="4CD5AA11" w14:textId="77777777" w:rsidR="00D642D7" w:rsidRPr="00C66720" w:rsidRDefault="00D642D7" w:rsidP="00D642D7">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3BEA252B" w14:textId="3C38CABC" w:rsidR="00D642D7" w:rsidRPr="00C66720" w:rsidRDefault="00D642D7" w:rsidP="00D642D7">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_Ref86091447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13</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noWrap/>
            <w:vAlign w:val="center"/>
            <w:hideMark/>
          </w:tcPr>
          <w:p w14:paraId="20A0B80B" w14:textId="77777777" w:rsidR="00D642D7" w:rsidRPr="00C66720" w:rsidRDefault="00D642D7" w:rsidP="00D642D7">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dlhodobé pôžičky</w:t>
            </w:r>
          </w:p>
        </w:tc>
        <w:tc>
          <w:tcPr>
            <w:tcW w:w="1540" w:type="dxa"/>
            <w:tcBorders>
              <w:top w:val="nil"/>
              <w:left w:val="nil"/>
              <w:bottom w:val="nil"/>
              <w:right w:val="nil"/>
            </w:tcBorders>
            <w:shd w:val="clear" w:color="auto" w:fill="auto"/>
            <w:vAlign w:val="center"/>
          </w:tcPr>
          <w:p w14:paraId="50C1342B" w14:textId="2F6122D7" w:rsidR="00D642D7" w:rsidRPr="00C66720" w:rsidRDefault="0087631B" w:rsidP="00D642D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1 394 761</w:t>
            </w:r>
          </w:p>
        </w:tc>
        <w:tc>
          <w:tcPr>
            <w:tcW w:w="1541" w:type="dxa"/>
            <w:tcBorders>
              <w:top w:val="nil"/>
              <w:left w:val="nil"/>
              <w:bottom w:val="nil"/>
              <w:right w:val="nil"/>
            </w:tcBorders>
            <w:shd w:val="clear" w:color="auto" w:fill="auto"/>
            <w:vAlign w:val="center"/>
            <w:hideMark/>
          </w:tcPr>
          <w:p w14:paraId="1EFB3BFA" w14:textId="0B022D86" w:rsidR="00D642D7" w:rsidRPr="00C66720" w:rsidRDefault="00D642D7" w:rsidP="00D642D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1 307 776</w:t>
            </w:r>
          </w:p>
        </w:tc>
      </w:tr>
      <w:tr w:rsidR="00BC3EA8" w:rsidRPr="00C66720" w14:paraId="5CF71E2C" w14:textId="77777777" w:rsidTr="00783EF7">
        <w:trPr>
          <w:trHeight w:val="263"/>
        </w:trPr>
        <w:tc>
          <w:tcPr>
            <w:tcW w:w="880" w:type="dxa"/>
            <w:tcBorders>
              <w:top w:val="nil"/>
              <w:left w:val="nil"/>
              <w:bottom w:val="nil"/>
              <w:right w:val="nil"/>
            </w:tcBorders>
            <w:shd w:val="clear" w:color="auto" w:fill="auto"/>
            <w:vAlign w:val="center"/>
            <w:hideMark/>
          </w:tcPr>
          <w:p w14:paraId="42100243" w14:textId="77777777" w:rsidR="00D642D7" w:rsidRPr="00C66720" w:rsidRDefault="00D642D7" w:rsidP="00D642D7">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7B33AAC3" w14:textId="7C538FD9" w:rsidR="00D642D7" w:rsidRPr="00C66720" w:rsidRDefault="00D642D7" w:rsidP="00D642D7">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_Ref86091456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14</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noWrap/>
            <w:vAlign w:val="center"/>
            <w:hideMark/>
          </w:tcPr>
          <w:p w14:paraId="082B06A9" w14:textId="77777777" w:rsidR="00D642D7" w:rsidRPr="00C66720" w:rsidRDefault="00D642D7" w:rsidP="00D642D7">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termínované účty v bankách</w:t>
            </w:r>
          </w:p>
        </w:tc>
        <w:tc>
          <w:tcPr>
            <w:tcW w:w="1540" w:type="dxa"/>
            <w:tcBorders>
              <w:top w:val="nil"/>
              <w:left w:val="nil"/>
              <w:bottom w:val="nil"/>
              <w:right w:val="nil"/>
            </w:tcBorders>
            <w:shd w:val="clear" w:color="auto" w:fill="auto"/>
            <w:vAlign w:val="center"/>
          </w:tcPr>
          <w:p w14:paraId="75AB32C5" w14:textId="02B11CF8" w:rsidR="00D642D7" w:rsidRPr="00C66720" w:rsidRDefault="007B05D6" w:rsidP="00D642D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25 802</w:t>
            </w:r>
          </w:p>
        </w:tc>
        <w:tc>
          <w:tcPr>
            <w:tcW w:w="1541" w:type="dxa"/>
            <w:tcBorders>
              <w:top w:val="nil"/>
              <w:left w:val="nil"/>
              <w:bottom w:val="nil"/>
              <w:right w:val="nil"/>
            </w:tcBorders>
            <w:shd w:val="clear" w:color="auto" w:fill="auto"/>
            <w:vAlign w:val="center"/>
            <w:hideMark/>
          </w:tcPr>
          <w:p w14:paraId="43C7A44E" w14:textId="255D9B6E" w:rsidR="00D642D7" w:rsidRPr="00C66720" w:rsidRDefault="00D642D7" w:rsidP="00D642D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28 079</w:t>
            </w:r>
          </w:p>
        </w:tc>
      </w:tr>
      <w:tr w:rsidR="00BC3EA8" w:rsidRPr="00C66720" w14:paraId="11DA8AA5" w14:textId="77777777" w:rsidTr="00783EF7">
        <w:trPr>
          <w:trHeight w:val="263"/>
        </w:trPr>
        <w:tc>
          <w:tcPr>
            <w:tcW w:w="880" w:type="dxa"/>
            <w:tcBorders>
              <w:top w:val="nil"/>
              <w:left w:val="nil"/>
              <w:bottom w:val="nil"/>
              <w:right w:val="nil"/>
            </w:tcBorders>
            <w:shd w:val="clear" w:color="auto" w:fill="auto"/>
            <w:vAlign w:val="center"/>
            <w:hideMark/>
          </w:tcPr>
          <w:p w14:paraId="0F4D7606" w14:textId="77777777" w:rsidR="00D642D7" w:rsidRPr="00C66720" w:rsidRDefault="00D642D7" w:rsidP="00D642D7">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29B57735" w14:textId="3AEE49BE" w:rsidR="00D642D7" w:rsidRPr="00C66720" w:rsidRDefault="00D642D7" w:rsidP="00D642D7">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_Ref86091466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15</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noWrap/>
            <w:vAlign w:val="center"/>
            <w:hideMark/>
          </w:tcPr>
          <w:p w14:paraId="31AAFA7B" w14:textId="77777777" w:rsidR="00D642D7" w:rsidRPr="00C66720" w:rsidRDefault="00D642D7" w:rsidP="00D642D7">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ostatný dlhodobý finančný majetok</w:t>
            </w:r>
          </w:p>
        </w:tc>
        <w:tc>
          <w:tcPr>
            <w:tcW w:w="1540" w:type="dxa"/>
            <w:tcBorders>
              <w:top w:val="nil"/>
              <w:left w:val="nil"/>
              <w:bottom w:val="nil"/>
              <w:right w:val="nil"/>
            </w:tcBorders>
            <w:shd w:val="clear" w:color="auto" w:fill="auto"/>
            <w:vAlign w:val="center"/>
          </w:tcPr>
          <w:p w14:paraId="07580C71" w14:textId="21AEBAC9" w:rsidR="00D642D7" w:rsidRPr="00C66720" w:rsidRDefault="007B05D6" w:rsidP="00BB1169">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1 256 80</w:t>
            </w:r>
            <w:r w:rsidR="00BB1169" w:rsidRPr="00C66720">
              <w:rPr>
                <w:rFonts w:ascii="Times New Roman" w:hAnsi="Times New Roman"/>
                <w:i/>
                <w:iCs/>
                <w:sz w:val="19"/>
                <w:szCs w:val="19"/>
                <w:lang w:eastAsia="sk-SK"/>
              </w:rPr>
              <w:t>0</w:t>
            </w:r>
          </w:p>
        </w:tc>
        <w:tc>
          <w:tcPr>
            <w:tcW w:w="1541" w:type="dxa"/>
            <w:tcBorders>
              <w:top w:val="nil"/>
              <w:left w:val="nil"/>
              <w:bottom w:val="nil"/>
              <w:right w:val="nil"/>
            </w:tcBorders>
            <w:shd w:val="clear" w:color="auto" w:fill="auto"/>
            <w:vAlign w:val="center"/>
            <w:hideMark/>
          </w:tcPr>
          <w:p w14:paraId="57E1F0AA" w14:textId="653FAB13" w:rsidR="00D642D7" w:rsidRPr="00C66720" w:rsidRDefault="00D642D7" w:rsidP="00D642D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1 216 161</w:t>
            </w:r>
          </w:p>
        </w:tc>
      </w:tr>
      <w:tr w:rsidR="00BC3EA8" w:rsidRPr="00C66720" w14:paraId="7131C0B4" w14:textId="77777777" w:rsidTr="00783EF7">
        <w:trPr>
          <w:trHeight w:val="263"/>
        </w:trPr>
        <w:tc>
          <w:tcPr>
            <w:tcW w:w="880" w:type="dxa"/>
            <w:tcBorders>
              <w:top w:val="nil"/>
              <w:left w:val="nil"/>
              <w:bottom w:val="nil"/>
              <w:right w:val="nil"/>
            </w:tcBorders>
            <w:shd w:val="clear" w:color="auto" w:fill="auto"/>
            <w:vAlign w:val="center"/>
            <w:hideMark/>
          </w:tcPr>
          <w:p w14:paraId="08058A1A" w14:textId="77777777" w:rsidR="002740C7" w:rsidRPr="00C66720" w:rsidRDefault="002740C7" w:rsidP="002740C7">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A.IV.</w:t>
            </w:r>
          </w:p>
        </w:tc>
        <w:tc>
          <w:tcPr>
            <w:tcW w:w="660" w:type="dxa"/>
            <w:tcBorders>
              <w:top w:val="nil"/>
              <w:left w:val="nil"/>
              <w:bottom w:val="nil"/>
              <w:right w:val="nil"/>
            </w:tcBorders>
            <w:shd w:val="clear" w:color="auto" w:fill="auto"/>
            <w:vAlign w:val="center"/>
            <w:hideMark/>
          </w:tcPr>
          <w:p w14:paraId="578FB6B9" w14:textId="6DC41015" w:rsidR="002740C7" w:rsidRPr="00C66720" w:rsidRDefault="002740C7" w:rsidP="002740C7">
            <w:pPr>
              <w:spacing w:after="0" w:line="240" w:lineRule="auto"/>
              <w:jc w:val="center"/>
              <w:rPr>
                <w:rFonts w:ascii="Times New Roman" w:hAnsi="Times New Roman"/>
                <w:b/>
                <w:bCs/>
                <w:i/>
                <w:iCs/>
                <w:sz w:val="20"/>
                <w:szCs w:val="20"/>
                <w:lang w:eastAsia="sk-SK"/>
              </w:rPr>
            </w:pPr>
          </w:p>
        </w:tc>
        <w:tc>
          <w:tcPr>
            <w:tcW w:w="4981" w:type="dxa"/>
            <w:tcBorders>
              <w:top w:val="nil"/>
              <w:left w:val="nil"/>
              <w:bottom w:val="nil"/>
              <w:right w:val="nil"/>
            </w:tcBorders>
            <w:shd w:val="clear" w:color="auto" w:fill="auto"/>
            <w:noWrap/>
            <w:vAlign w:val="center"/>
            <w:hideMark/>
          </w:tcPr>
          <w:p w14:paraId="3F61C8A6" w14:textId="77777777" w:rsidR="002740C7" w:rsidRPr="00C66720" w:rsidRDefault="002740C7" w:rsidP="002740C7">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Pohľadávky</w:t>
            </w:r>
          </w:p>
        </w:tc>
        <w:tc>
          <w:tcPr>
            <w:tcW w:w="1540" w:type="dxa"/>
            <w:tcBorders>
              <w:top w:val="nil"/>
              <w:left w:val="nil"/>
              <w:bottom w:val="nil"/>
              <w:right w:val="nil"/>
            </w:tcBorders>
            <w:shd w:val="clear" w:color="auto" w:fill="auto"/>
            <w:vAlign w:val="center"/>
          </w:tcPr>
          <w:p w14:paraId="255B624C" w14:textId="0A721155" w:rsidR="002740C7" w:rsidRPr="00C66720" w:rsidRDefault="007B05D6" w:rsidP="00BB1169">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7</w:t>
            </w:r>
            <w:r w:rsidR="00BB1169" w:rsidRPr="00C66720">
              <w:rPr>
                <w:rFonts w:ascii="Times New Roman" w:hAnsi="Times New Roman"/>
                <w:b/>
                <w:bCs/>
                <w:sz w:val="20"/>
                <w:szCs w:val="20"/>
                <w:lang w:eastAsia="sk-SK"/>
              </w:rPr>
              <w:t>88 142</w:t>
            </w:r>
          </w:p>
        </w:tc>
        <w:tc>
          <w:tcPr>
            <w:tcW w:w="1541" w:type="dxa"/>
            <w:tcBorders>
              <w:top w:val="nil"/>
              <w:left w:val="nil"/>
              <w:bottom w:val="nil"/>
              <w:right w:val="nil"/>
            </w:tcBorders>
            <w:shd w:val="clear" w:color="auto" w:fill="auto"/>
            <w:vAlign w:val="center"/>
            <w:hideMark/>
          </w:tcPr>
          <w:p w14:paraId="3DD6B6DB" w14:textId="4BBD3383" w:rsidR="002740C7" w:rsidRPr="00C66720" w:rsidRDefault="002740C7" w:rsidP="002740C7">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850 289</w:t>
            </w:r>
          </w:p>
        </w:tc>
      </w:tr>
      <w:tr w:rsidR="00BC3EA8" w:rsidRPr="00C66720" w14:paraId="39F09FB2" w14:textId="77777777" w:rsidTr="00783EF7">
        <w:trPr>
          <w:trHeight w:val="263"/>
        </w:trPr>
        <w:tc>
          <w:tcPr>
            <w:tcW w:w="880" w:type="dxa"/>
            <w:tcBorders>
              <w:top w:val="nil"/>
              <w:left w:val="nil"/>
              <w:bottom w:val="nil"/>
              <w:right w:val="nil"/>
            </w:tcBorders>
            <w:shd w:val="clear" w:color="auto" w:fill="auto"/>
            <w:vAlign w:val="center"/>
            <w:hideMark/>
          </w:tcPr>
          <w:p w14:paraId="1CBAAEBB" w14:textId="77777777" w:rsidR="002740C7" w:rsidRPr="00C66720" w:rsidRDefault="002740C7" w:rsidP="002740C7">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B.</w:t>
            </w:r>
          </w:p>
        </w:tc>
        <w:tc>
          <w:tcPr>
            <w:tcW w:w="5641" w:type="dxa"/>
            <w:gridSpan w:val="2"/>
            <w:tcBorders>
              <w:top w:val="nil"/>
              <w:left w:val="nil"/>
              <w:bottom w:val="nil"/>
              <w:right w:val="nil"/>
            </w:tcBorders>
            <w:shd w:val="clear" w:color="auto" w:fill="auto"/>
            <w:noWrap/>
            <w:vAlign w:val="center"/>
            <w:hideMark/>
          </w:tcPr>
          <w:p w14:paraId="40CE00CB" w14:textId="77777777" w:rsidR="002740C7" w:rsidRPr="00C66720" w:rsidRDefault="002740C7" w:rsidP="002740C7">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               Krátkodobý majetok (B.I. až B.III.)</w:t>
            </w:r>
          </w:p>
        </w:tc>
        <w:tc>
          <w:tcPr>
            <w:tcW w:w="1540" w:type="dxa"/>
            <w:tcBorders>
              <w:top w:val="nil"/>
              <w:left w:val="nil"/>
              <w:bottom w:val="nil"/>
              <w:right w:val="nil"/>
            </w:tcBorders>
            <w:shd w:val="clear" w:color="auto" w:fill="auto"/>
            <w:vAlign w:val="center"/>
          </w:tcPr>
          <w:p w14:paraId="3A0142D0" w14:textId="0019F65C" w:rsidR="002740C7" w:rsidRPr="00C66720" w:rsidRDefault="004A29D5" w:rsidP="004953F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21</w:t>
            </w:r>
            <w:r w:rsidR="004953F5" w:rsidRPr="00C66720">
              <w:rPr>
                <w:rFonts w:ascii="Times New Roman" w:hAnsi="Times New Roman"/>
                <w:b/>
                <w:bCs/>
                <w:sz w:val="20"/>
                <w:szCs w:val="20"/>
                <w:lang w:eastAsia="sk-SK"/>
              </w:rPr>
              <w:t> </w:t>
            </w:r>
            <w:r w:rsidRPr="00C66720">
              <w:rPr>
                <w:rFonts w:ascii="Times New Roman" w:hAnsi="Times New Roman"/>
                <w:b/>
                <w:bCs/>
                <w:sz w:val="20"/>
                <w:szCs w:val="20"/>
                <w:lang w:eastAsia="sk-SK"/>
              </w:rPr>
              <w:t>3</w:t>
            </w:r>
            <w:r w:rsidR="004953F5" w:rsidRPr="00C66720">
              <w:rPr>
                <w:rFonts w:ascii="Times New Roman" w:hAnsi="Times New Roman"/>
                <w:b/>
                <w:bCs/>
                <w:sz w:val="20"/>
                <w:szCs w:val="20"/>
                <w:lang w:eastAsia="sk-SK"/>
              </w:rPr>
              <w:t>40 165</w:t>
            </w:r>
          </w:p>
        </w:tc>
        <w:tc>
          <w:tcPr>
            <w:tcW w:w="1541" w:type="dxa"/>
            <w:tcBorders>
              <w:top w:val="nil"/>
              <w:left w:val="nil"/>
              <w:bottom w:val="nil"/>
              <w:right w:val="nil"/>
            </w:tcBorders>
            <w:shd w:val="clear" w:color="auto" w:fill="auto"/>
            <w:vAlign w:val="center"/>
            <w:hideMark/>
          </w:tcPr>
          <w:p w14:paraId="5D6D01F3" w14:textId="417EB855" w:rsidR="002740C7" w:rsidRPr="00C66720" w:rsidRDefault="002740C7" w:rsidP="002740C7">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17 918 794</w:t>
            </w:r>
          </w:p>
        </w:tc>
      </w:tr>
      <w:tr w:rsidR="00BC3EA8" w:rsidRPr="00C66720" w14:paraId="5146E13D" w14:textId="77777777" w:rsidTr="00783EF7">
        <w:trPr>
          <w:trHeight w:val="278"/>
        </w:trPr>
        <w:tc>
          <w:tcPr>
            <w:tcW w:w="880" w:type="dxa"/>
            <w:tcBorders>
              <w:top w:val="nil"/>
              <w:left w:val="nil"/>
              <w:bottom w:val="nil"/>
              <w:right w:val="nil"/>
            </w:tcBorders>
            <w:shd w:val="clear" w:color="auto" w:fill="auto"/>
            <w:vAlign w:val="center"/>
            <w:hideMark/>
          </w:tcPr>
          <w:p w14:paraId="5F2B3007" w14:textId="77777777" w:rsidR="002740C7" w:rsidRPr="00C66720" w:rsidRDefault="002740C7" w:rsidP="002740C7">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B.I.</w:t>
            </w:r>
          </w:p>
        </w:tc>
        <w:tc>
          <w:tcPr>
            <w:tcW w:w="660" w:type="dxa"/>
            <w:tcBorders>
              <w:top w:val="nil"/>
              <w:left w:val="nil"/>
              <w:bottom w:val="nil"/>
              <w:right w:val="nil"/>
            </w:tcBorders>
            <w:shd w:val="clear" w:color="auto" w:fill="auto"/>
            <w:vAlign w:val="center"/>
            <w:hideMark/>
          </w:tcPr>
          <w:p w14:paraId="16DE5782" w14:textId="77777777" w:rsidR="002740C7" w:rsidRPr="00C66720" w:rsidRDefault="002740C7" w:rsidP="002740C7">
            <w:pPr>
              <w:spacing w:after="0" w:line="240" w:lineRule="auto"/>
              <w:jc w:val="right"/>
              <w:rPr>
                <w:rFonts w:ascii="Times New Roman" w:hAnsi="Times New Roman"/>
                <w:b/>
                <w:bCs/>
                <w:sz w:val="20"/>
                <w:szCs w:val="20"/>
                <w:lang w:eastAsia="sk-SK"/>
              </w:rPr>
            </w:pPr>
          </w:p>
        </w:tc>
        <w:tc>
          <w:tcPr>
            <w:tcW w:w="4981" w:type="dxa"/>
            <w:tcBorders>
              <w:top w:val="nil"/>
              <w:left w:val="nil"/>
              <w:bottom w:val="nil"/>
              <w:right w:val="nil"/>
            </w:tcBorders>
            <w:shd w:val="clear" w:color="auto" w:fill="auto"/>
            <w:vAlign w:val="center"/>
            <w:hideMark/>
          </w:tcPr>
          <w:p w14:paraId="6ACFDD55" w14:textId="77777777" w:rsidR="002740C7" w:rsidRPr="00C66720" w:rsidRDefault="002740C7" w:rsidP="002740C7">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Zásoby</w:t>
            </w:r>
          </w:p>
        </w:tc>
        <w:tc>
          <w:tcPr>
            <w:tcW w:w="1540" w:type="dxa"/>
            <w:tcBorders>
              <w:top w:val="nil"/>
              <w:left w:val="nil"/>
              <w:bottom w:val="nil"/>
              <w:right w:val="nil"/>
            </w:tcBorders>
            <w:shd w:val="clear" w:color="auto" w:fill="auto"/>
            <w:vAlign w:val="center"/>
          </w:tcPr>
          <w:p w14:paraId="436AEE2E" w14:textId="396228CE" w:rsidR="002740C7" w:rsidRPr="00C66720" w:rsidRDefault="004A29D5" w:rsidP="0064270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3</w:t>
            </w:r>
            <w:r w:rsidR="00642701" w:rsidRPr="00C66720">
              <w:rPr>
                <w:rFonts w:ascii="Times New Roman" w:hAnsi="Times New Roman"/>
                <w:b/>
                <w:bCs/>
                <w:sz w:val="20"/>
                <w:szCs w:val="20"/>
                <w:lang w:eastAsia="sk-SK"/>
              </w:rPr>
              <w:t> </w:t>
            </w:r>
            <w:r w:rsidRPr="00C66720">
              <w:rPr>
                <w:rFonts w:ascii="Times New Roman" w:hAnsi="Times New Roman"/>
                <w:b/>
                <w:bCs/>
                <w:sz w:val="20"/>
                <w:szCs w:val="20"/>
                <w:lang w:eastAsia="sk-SK"/>
              </w:rPr>
              <w:t>0</w:t>
            </w:r>
            <w:r w:rsidR="00642701" w:rsidRPr="00C66720">
              <w:rPr>
                <w:rFonts w:ascii="Times New Roman" w:hAnsi="Times New Roman"/>
                <w:b/>
                <w:bCs/>
                <w:sz w:val="20"/>
                <w:szCs w:val="20"/>
                <w:lang w:eastAsia="sk-SK"/>
              </w:rPr>
              <w:t>40 049</w:t>
            </w:r>
          </w:p>
        </w:tc>
        <w:tc>
          <w:tcPr>
            <w:tcW w:w="1541" w:type="dxa"/>
            <w:tcBorders>
              <w:top w:val="nil"/>
              <w:left w:val="nil"/>
              <w:bottom w:val="nil"/>
              <w:right w:val="nil"/>
            </w:tcBorders>
            <w:shd w:val="clear" w:color="auto" w:fill="auto"/>
            <w:vAlign w:val="center"/>
            <w:hideMark/>
          </w:tcPr>
          <w:p w14:paraId="78402E8D" w14:textId="7A7CF1D9" w:rsidR="002740C7" w:rsidRPr="00C66720" w:rsidRDefault="002740C7" w:rsidP="002740C7">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1 493 795</w:t>
            </w:r>
          </w:p>
        </w:tc>
      </w:tr>
      <w:tr w:rsidR="00BC3EA8" w:rsidRPr="00C66720" w14:paraId="7ED27BEF" w14:textId="77777777" w:rsidTr="00783EF7">
        <w:trPr>
          <w:trHeight w:val="252"/>
        </w:trPr>
        <w:tc>
          <w:tcPr>
            <w:tcW w:w="880" w:type="dxa"/>
            <w:tcBorders>
              <w:top w:val="nil"/>
              <w:left w:val="nil"/>
              <w:bottom w:val="nil"/>
              <w:right w:val="nil"/>
            </w:tcBorders>
            <w:shd w:val="clear" w:color="auto" w:fill="auto"/>
            <w:vAlign w:val="center"/>
            <w:hideMark/>
          </w:tcPr>
          <w:p w14:paraId="273BD17B" w14:textId="77777777" w:rsidR="002740C7" w:rsidRPr="00C66720" w:rsidRDefault="002740C7" w:rsidP="002740C7">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vAlign w:val="center"/>
            <w:hideMark/>
          </w:tcPr>
          <w:p w14:paraId="3CE019E0" w14:textId="41F1BB1F" w:rsidR="002740C7" w:rsidRPr="00C66720" w:rsidRDefault="002740C7" w:rsidP="002740C7">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_Ref86091693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16</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7C4D7712" w14:textId="77777777" w:rsidR="002740C7" w:rsidRPr="00C66720" w:rsidRDefault="002740C7" w:rsidP="002740C7">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materiál</w:t>
            </w:r>
          </w:p>
        </w:tc>
        <w:tc>
          <w:tcPr>
            <w:tcW w:w="1540" w:type="dxa"/>
            <w:tcBorders>
              <w:top w:val="nil"/>
              <w:left w:val="nil"/>
              <w:bottom w:val="nil"/>
              <w:right w:val="nil"/>
            </w:tcBorders>
            <w:shd w:val="clear" w:color="auto" w:fill="auto"/>
            <w:vAlign w:val="center"/>
          </w:tcPr>
          <w:p w14:paraId="42DDDF6E" w14:textId="75DBF894" w:rsidR="002740C7" w:rsidRPr="00C66720" w:rsidRDefault="005F5FDA" w:rsidP="0064270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1 318 0</w:t>
            </w:r>
            <w:r w:rsidR="00642701" w:rsidRPr="00C66720">
              <w:rPr>
                <w:rFonts w:ascii="Times New Roman" w:hAnsi="Times New Roman"/>
                <w:i/>
                <w:iCs/>
                <w:sz w:val="19"/>
                <w:szCs w:val="19"/>
                <w:lang w:eastAsia="sk-SK"/>
              </w:rPr>
              <w:t>28</w:t>
            </w:r>
          </w:p>
        </w:tc>
        <w:tc>
          <w:tcPr>
            <w:tcW w:w="1541" w:type="dxa"/>
            <w:tcBorders>
              <w:top w:val="nil"/>
              <w:left w:val="nil"/>
              <w:bottom w:val="nil"/>
              <w:right w:val="nil"/>
            </w:tcBorders>
            <w:shd w:val="clear" w:color="auto" w:fill="auto"/>
            <w:vAlign w:val="center"/>
            <w:hideMark/>
          </w:tcPr>
          <w:p w14:paraId="54D15C65" w14:textId="725677E1" w:rsidR="002740C7" w:rsidRPr="00C66720" w:rsidRDefault="002740C7" w:rsidP="002740C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1 162 615</w:t>
            </w:r>
          </w:p>
        </w:tc>
      </w:tr>
      <w:tr w:rsidR="00BC3EA8" w:rsidRPr="00C66720" w14:paraId="3027B6FF" w14:textId="77777777" w:rsidTr="00783EF7">
        <w:trPr>
          <w:trHeight w:val="263"/>
        </w:trPr>
        <w:tc>
          <w:tcPr>
            <w:tcW w:w="880" w:type="dxa"/>
            <w:tcBorders>
              <w:top w:val="nil"/>
              <w:left w:val="nil"/>
              <w:bottom w:val="nil"/>
              <w:right w:val="nil"/>
            </w:tcBorders>
            <w:shd w:val="clear" w:color="auto" w:fill="auto"/>
            <w:vAlign w:val="center"/>
            <w:hideMark/>
          </w:tcPr>
          <w:p w14:paraId="6BE97995" w14:textId="77777777" w:rsidR="002740C7" w:rsidRPr="00C66720" w:rsidRDefault="002740C7" w:rsidP="002740C7">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76EA2969" w14:textId="79F1A4E1" w:rsidR="002740C7" w:rsidRPr="00C66720" w:rsidRDefault="002740C7" w:rsidP="002740C7">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t>17</w:t>
            </w:r>
          </w:p>
        </w:tc>
        <w:tc>
          <w:tcPr>
            <w:tcW w:w="4981" w:type="dxa"/>
            <w:tcBorders>
              <w:top w:val="nil"/>
              <w:left w:val="nil"/>
              <w:bottom w:val="nil"/>
              <w:right w:val="nil"/>
            </w:tcBorders>
            <w:shd w:val="clear" w:color="auto" w:fill="auto"/>
            <w:vAlign w:val="center"/>
            <w:hideMark/>
          </w:tcPr>
          <w:p w14:paraId="10438AB9" w14:textId="77777777" w:rsidR="002740C7" w:rsidRPr="00C66720" w:rsidRDefault="002740C7" w:rsidP="002740C7">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tovar</w:t>
            </w:r>
          </w:p>
        </w:tc>
        <w:tc>
          <w:tcPr>
            <w:tcW w:w="1540" w:type="dxa"/>
            <w:tcBorders>
              <w:top w:val="nil"/>
              <w:left w:val="nil"/>
              <w:bottom w:val="nil"/>
              <w:right w:val="nil"/>
            </w:tcBorders>
            <w:shd w:val="clear" w:color="auto" w:fill="auto"/>
            <w:vAlign w:val="center"/>
          </w:tcPr>
          <w:p w14:paraId="0A2D8C24" w14:textId="133A4676" w:rsidR="002740C7" w:rsidRPr="00C66720" w:rsidRDefault="00904960" w:rsidP="0064270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147 2</w:t>
            </w:r>
            <w:r w:rsidR="00642701" w:rsidRPr="00C66720">
              <w:rPr>
                <w:rFonts w:ascii="Times New Roman" w:hAnsi="Times New Roman"/>
                <w:i/>
                <w:iCs/>
                <w:sz w:val="19"/>
                <w:szCs w:val="19"/>
                <w:lang w:eastAsia="sk-SK"/>
              </w:rPr>
              <w:t>44</w:t>
            </w:r>
          </w:p>
        </w:tc>
        <w:tc>
          <w:tcPr>
            <w:tcW w:w="1541" w:type="dxa"/>
            <w:tcBorders>
              <w:top w:val="nil"/>
              <w:left w:val="nil"/>
              <w:bottom w:val="nil"/>
              <w:right w:val="nil"/>
            </w:tcBorders>
            <w:shd w:val="clear" w:color="auto" w:fill="auto"/>
            <w:vAlign w:val="center"/>
            <w:hideMark/>
          </w:tcPr>
          <w:p w14:paraId="1065E5A5" w14:textId="4ABF2B2A" w:rsidR="002740C7" w:rsidRPr="00C66720" w:rsidRDefault="002740C7" w:rsidP="002740C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160 767</w:t>
            </w:r>
          </w:p>
        </w:tc>
      </w:tr>
      <w:tr w:rsidR="00BC3EA8" w:rsidRPr="00C66720" w14:paraId="46285D73" w14:textId="77777777" w:rsidTr="00783EF7">
        <w:trPr>
          <w:trHeight w:val="278"/>
        </w:trPr>
        <w:tc>
          <w:tcPr>
            <w:tcW w:w="880" w:type="dxa"/>
            <w:tcBorders>
              <w:top w:val="nil"/>
              <w:left w:val="nil"/>
              <w:bottom w:val="nil"/>
              <w:right w:val="nil"/>
            </w:tcBorders>
            <w:shd w:val="clear" w:color="auto" w:fill="auto"/>
            <w:vAlign w:val="center"/>
            <w:hideMark/>
          </w:tcPr>
          <w:p w14:paraId="7EA4161F" w14:textId="77777777" w:rsidR="002740C7" w:rsidRPr="00C66720" w:rsidRDefault="002740C7" w:rsidP="002740C7">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77F19A05" w14:textId="4E84F192" w:rsidR="002740C7" w:rsidRPr="00C66720" w:rsidRDefault="002740C7" w:rsidP="002740C7">
            <w:pPr>
              <w:spacing w:after="0" w:line="240" w:lineRule="auto"/>
              <w:jc w:val="center"/>
              <w:rPr>
                <w:rFonts w:ascii="Times New Roman" w:hAnsi="Times New Roman"/>
                <w:i/>
                <w:iCs/>
                <w:sz w:val="20"/>
                <w:szCs w:val="20"/>
                <w:lang w:eastAsia="sk-SK"/>
              </w:rPr>
            </w:pPr>
            <w:r w:rsidRPr="00C66720">
              <w:rPr>
                <w:rFonts w:ascii="Times New Roman" w:hAnsi="Times New Roman"/>
                <w:i/>
                <w:iCs/>
                <w:sz w:val="20"/>
                <w:szCs w:val="20"/>
                <w:lang w:eastAsia="sk-SK"/>
              </w:rPr>
              <w:fldChar w:fldCharType="begin"/>
            </w:r>
            <w:r w:rsidRPr="00C66720">
              <w:rPr>
                <w:rFonts w:ascii="Times New Roman" w:hAnsi="Times New Roman"/>
                <w:i/>
                <w:iCs/>
                <w:sz w:val="20"/>
                <w:szCs w:val="20"/>
                <w:lang w:eastAsia="sk-SK"/>
              </w:rPr>
              <w:instrText xml:space="preserve"> REF _Ref86091811 \r \h  \* MERGEFORMAT </w:instrText>
            </w:r>
            <w:r w:rsidRPr="00C66720">
              <w:rPr>
                <w:rFonts w:ascii="Times New Roman" w:hAnsi="Times New Roman"/>
                <w:i/>
                <w:iCs/>
                <w:sz w:val="20"/>
                <w:szCs w:val="20"/>
                <w:lang w:eastAsia="sk-SK"/>
              </w:rPr>
            </w:r>
            <w:r w:rsidRPr="00C66720">
              <w:rPr>
                <w:rFonts w:ascii="Times New Roman" w:hAnsi="Times New Roman"/>
                <w:i/>
                <w:iCs/>
                <w:sz w:val="20"/>
                <w:szCs w:val="20"/>
                <w:lang w:eastAsia="sk-SK"/>
              </w:rPr>
              <w:fldChar w:fldCharType="separate"/>
            </w:r>
            <w:r w:rsidR="00B00473" w:rsidRPr="00C66720">
              <w:rPr>
                <w:rFonts w:ascii="Times New Roman" w:hAnsi="Times New Roman"/>
                <w:i/>
                <w:iCs/>
                <w:sz w:val="20"/>
                <w:szCs w:val="20"/>
                <w:lang w:eastAsia="sk-SK"/>
              </w:rPr>
              <w:t>18</w:t>
            </w:r>
            <w:r w:rsidRPr="00C66720">
              <w:rPr>
                <w:rFonts w:ascii="Times New Roman" w:hAnsi="Times New Roman"/>
                <w:i/>
                <w:iCs/>
                <w:sz w:val="20"/>
                <w:szCs w:val="20"/>
                <w:lang w:eastAsia="sk-SK"/>
              </w:rPr>
              <w:fldChar w:fldCharType="end"/>
            </w:r>
          </w:p>
        </w:tc>
        <w:tc>
          <w:tcPr>
            <w:tcW w:w="4981" w:type="dxa"/>
            <w:tcBorders>
              <w:top w:val="nil"/>
              <w:left w:val="nil"/>
              <w:bottom w:val="nil"/>
              <w:right w:val="nil"/>
            </w:tcBorders>
            <w:shd w:val="clear" w:color="auto" w:fill="auto"/>
            <w:vAlign w:val="center"/>
            <w:hideMark/>
          </w:tcPr>
          <w:p w14:paraId="0AAEAE47" w14:textId="77777777" w:rsidR="002740C7" w:rsidRPr="00C66720" w:rsidRDefault="002740C7" w:rsidP="002740C7">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výrobky</w:t>
            </w:r>
          </w:p>
        </w:tc>
        <w:tc>
          <w:tcPr>
            <w:tcW w:w="1540" w:type="dxa"/>
            <w:tcBorders>
              <w:top w:val="nil"/>
              <w:left w:val="nil"/>
              <w:bottom w:val="nil"/>
              <w:right w:val="nil"/>
            </w:tcBorders>
            <w:shd w:val="clear" w:color="auto" w:fill="auto"/>
            <w:vAlign w:val="center"/>
            <w:hideMark/>
          </w:tcPr>
          <w:p w14:paraId="6A608207" w14:textId="4FA05238" w:rsidR="002740C7" w:rsidRPr="00C66720" w:rsidRDefault="00904960" w:rsidP="002740C7">
            <w:pPr>
              <w:spacing w:after="0" w:line="240" w:lineRule="auto"/>
              <w:jc w:val="right"/>
              <w:rPr>
                <w:rFonts w:ascii="Times New Roman" w:hAnsi="Times New Roman"/>
                <w:sz w:val="18"/>
                <w:szCs w:val="18"/>
                <w:lang w:eastAsia="sk-SK"/>
              </w:rPr>
            </w:pPr>
            <w:r w:rsidRPr="00C66720">
              <w:rPr>
                <w:rFonts w:ascii="Times New Roman" w:hAnsi="Times New Roman"/>
                <w:i/>
                <w:iCs/>
                <w:sz w:val="19"/>
                <w:szCs w:val="19"/>
                <w:lang w:eastAsia="sk-SK"/>
              </w:rPr>
              <w:t>1 482 191</w:t>
            </w:r>
          </w:p>
        </w:tc>
        <w:tc>
          <w:tcPr>
            <w:tcW w:w="1541" w:type="dxa"/>
            <w:tcBorders>
              <w:top w:val="nil"/>
              <w:left w:val="nil"/>
              <w:bottom w:val="nil"/>
              <w:right w:val="nil"/>
            </w:tcBorders>
            <w:shd w:val="clear" w:color="auto" w:fill="auto"/>
            <w:vAlign w:val="center"/>
            <w:hideMark/>
          </w:tcPr>
          <w:p w14:paraId="13693524" w14:textId="2EB157E5" w:rsidR="002740C7" w:rsidRPr="00C66720" w:rsidRDefault="002740C7" w:rsidP="002740C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127 030</w:t>
            </w:r>
          </w:p>
        </w:tc>
      </w:tr>
      <w:tr w:rsidR="00BC3EA8" w:rsidRPr="00C66720" w14:paraId="7D842F24" w14:textId="77777777" w:rsidTr="00783EF7">
        <w:trPr>
          <w:trHeight w:val="278"/>
        </w:trPr>
        <w:tc>
          <w:tcPr>
            <w:tcW w:w="880" w:type="dxa"/>
            <w:tcBorders>
              <w:top w:val="nil"/>
              <w:left w:val="nil"/>
              <w:bottom w:val="nil"/>
              <w:right w:val="nil"/>
            </w:tcBorders>
            <w:shd w:val="clear" w:color="auto" w:fill="auto"/>
            <w:vAlign w:val="center"/>
            <w:hideMark/>
          </w:tcPr>
          <w:p w14:paraId="1595E789" w14:textId="77777777" w:rsidR="002740C7" w:rsidRPr="00C66720" w:rsidRDefault="002740C7" w:rsidP="002740C7">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32E035AE" w14:textId="3A574D2B" w:rsidR="002740C7" w:rsidRPr="00C66720" w:rsidRDefault="002740C7" w:rsidP="002740C7">
            <w:pPr>
              <w:spacing w:after="0" w:line="240" w:lineRule="auto"/>
              <w:jc w:val="center"/>
              <w:rPr>
                <w:rFonts w:ascii="Times New Roman" w:hAnsi="Times New Roman"/>
                <w:i/>
                <w:iCs/>
                <w:sz w:val="20"/>
                <w:szCs w:val="20"/>
                <w:lang w:eastAsia="sk-SK"/>
              </w:rPr>
            </w:pPr>
            <w:r w:rsidRPr="00C66720">
              <w:rPr>
                <w:rFonts w:ascii="Times New Roman" w:hAnsi="Times New Roman"/>
                <w:i/>
                <w:iCs/>
                <w:sz w:val="20"/>
                <w:szCs w:val="20"/>
                <w:lang w:eastAsia="sk-SK"/>
              </w:rPr>
              <w:fldChar w:fldCharType="begin"/>
            </w:r>
            <w:r w:rsidRPr="00C66720">
              <w:rPr>
                <w:rFonts w:ascii="Times New Roman" w:hAnsi="Times New Roman"/>
                <w:i/>
                <w:iCs/>
                <w:sz w:val="20"/>
                <w:szCs w:val="20"/>
                <w:lang w:eastAsia="sk-SK"/>
              </w:rPr>
              <w:instrText xml:space="preserve"> REF _Ref86091820 \r \h  \* MERGEFORMAT </w:instrText>
            </w:r>
            <w:r w:rsidRPr="00C66720">
              <w:rPr>
                <w:rFonts w:ascii="Times New Roman" w:hAnsi="Times New Roman"/>
                <w:i/>
                <w:iCs/>
                <w:sz w:val="20"/>
                <w:szCs w:val="20"/>
                <w:lang w:eastAsia="sk-SK"/>
              </w:rPr>
            </w:r>
            <w:r w:rsidRPr="00C66720">
              <w:rPr>
                <w:rFonts w:ascii="Times New Roman" w:hAnsi="Times New Roman"/>
                <w:i/>
                <w:iCs/>
                <w:sz w:val="20"/>
                <w:szCs w:val="20"/>
                <w:lang w:eastAsia="sk-SK"/>
              </w:rPr>
              <w:fldChar w:fldCharType="separate"/>
            </w:r>
            <w:r w:rsidR="00B00473" w:rsidRPr="00C66720">
              <w:rPr>
                <w:rFonts w:ascii="Times New Roman" w:hAnsi="Times New Roman"/>
                <w:i/>
                <w:iCs/>
                <w:sz w:val="20"/>
                <w:szCs w:val="20"/>
                <w:lang w:eastAsia="sk-SK"/>
              </w:rPr>
              <w:t>19</w:t>
            </w:r>
            <w:r w:rsidRPr="00C66720">
              <w:rPr>
                <w:rFonts w:ascii="Times New Roman" w:hAnsi="Times New Roman"/>
                <w:i/>
                <w:iCs/>
                <w:sz w:val="20"/>
                <w:szCs w:val="20"/>
                <w:lang w:eastAsia="sk-SK"/>
              </w:rPr>
              <w:fldChar w:fldCharType="end"/>
            </w:r>
          </w:p>
        </w:tc>
        <w:tc>
          <w:tcPr>
            <w:tcW w:w="4981" w:type="dxa"/>
            <w:tcBorders>
              <w:top w:val="nil"/>
              <w:left w:val="nil"/>
              <w:bottom w:val="nil"/>
              <w:right w:val="nil"/>
            </w:tcBorders>
            <w:shd w:val="clear" w:color="auto" w:fill="auto"/>
            <w:vAlign w:val="center"/>
            <w:hideMark/>
          </w:tcPr>
          <w:p w14:paraId="5E7835EA" w14:textId="77777777" w:rsidR="002740C7" w:rsidRPr="00C66720" w:rsidRDefault="002740C7" w:rsidP="002740C7">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zásoby</w:t>
            </w:r>
          </w:p>
        </w:tc>
        <w:tc>
          <w:tcPr>
            <w:tcW w:w="1540" w:type="dxa"/>
            <w:tcBorders>
              <w:top w:val="nil"/>
              <w:left w:val="nil"/>
              <w:bottom w:val="nil"/>
              <w:right w:val="nil"/>
            </w:tcBorders>
            <w:shd w:val="clear" w:color="auto" w:fill="auto"/>
            <w:vAlign w:val="center"/>
            <w:hideMark/>
          </w:tcPr>
          <w:p w14:paraId="44B94CD1" w14:textId="4D5B4207" w:rsidR="002740C7" w:rsidRPr="00C66720" w:rsidRDefault="00904960" w:rsidP="002740C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92 586</w:t>
            </w:r>
          </w:p>
        </w:tc>
        <w:tc>
          <w:tcPr>
            <w:tcW w:w="1541" w:type="dxa"/>
            <w:tcBorders>
              <w:top w:val="nil"/>
              <w:left w:val="nil"/>
              <w:bottom w:val="nil"/>
              <w:right w:val="nil"/>
            </w:tcBorders>
            <w:shd w:val="clear" w:color="auto" w:fill="auto"/>
            <w:vAlign w:val="center"/>
            <w:hideMark/>
          </w:tcPr>
          <w:p w14:paraId="13C4BC9A" w14:textId="7A643A13" w:rsidR="002740C7" w:rsidRPr="00C66720" w:rsidRDefault="002740C7" w:rsidP="002740C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43 383</w:t>
            </w:r>
          </w:p>
        </w:tc>
      </w:tr>
      <w:tr w:rsidR="00BC3EA8" w:rsidRPr="00C66720" w14:paraId="489A66F1" w14:textId="77777777" w:rsidTr="00783EF7">
        <w:trPr>
          <w:trHeight w:val="278"/>
        </w:trPr>
        <w:tc>
          <w:tcPr>
            <w:tcW w:w="880" w:type="dxa"/>
            <w:tcBorders>
              <w:top w:val="nil"/>
              <w:left w:val="nil"/>
              <w:bottom w:val="nil"/>
              <w:right w:val="nil"/>
            </w:tcBorders>
            <w:shd w:val="clear" w:color="auto" w:fill="auto"/>
            <w:noWrap/>
            <w:vAlign w:val="center"/>
            <w:hideMark/>
          </w:tcPr>
          <w:p w14:paraId="5311780E" w14:textId="77777777" w:rsidR="000B62CF" w:rsidRPr="00C66720" w:rsidRDefault="000B62CF" w:rsidP="000B62CF">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B. II.</w:t>
            </w:r>
          </w:p>
        </w:tc>
        <w:tc>
          <w:tcPr>
            <w:tcW w:w="660" w:type="dxa"/>
            <w:tcBorders>
              <w:top w:val="nil"/>
              <w:left w:val="nil"/>
              <w:bottom w:val="nil"/>
              <w:right w:val="nil"/>
            </w:tcBorders>
            <w:shd w:val="clear" w:color="auto" w:fill="auto"/>
            <w:noWrap/>
            <w:vAlign w:val="center"/>
            <w:hideMark/>
          </w:tcPr>
          <w:p w14:paraId="60379437" w14:textId="77777777" w:rsidR="000B62CF" w:rsidRPr="00C66720" w:rsidRDefault="000B62CF" w:rsidP="000B62CF">
            <w:pPr>
              <w:spacing w:after="0" w:line="240" w:lineRule="auto"/>
              <w:jc w:val="right"/>
              <w:rPr>
                <w:rFonts w:ascii="Times New Roman" w:hAnsi="Times New Roman"/>
                <w:b/>
                <w:bCs/>
                <w:sz w:val="20"/>
                <w:szCs w:val="20"/>
                <w:lang w:eastAsia="sk-SK"/>
              </w:rPr>
            </w:pPr>
          </w:p>
        </w:tc>
        <w:tc>
          <w:tcPr>
            <w:tcW w:w="4981" w:type="dxa"/>
            <w:tcBorders>
              <w:top w:val="nil"/>
              <w:left w:val="nil"/>
              <w:bottom w:val="nil"/>
              <w:right w:val="nil"/>
            </w:tcBorders>
            <w:shd w:val="clear" w:color="auto" w:fill="auto"/>
            <w:vAlign w:val="center"/>
            <w:hideMark/>
          </w:tcPr>
          <w:p w14:paraId="4F3DE7BC" w14:textId="77777777" w:rsidR="000B62CF" w:rsidRPr="00C66720" w:rsidRDefault="000B62CF" w:rsidP="000B62CF">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Pohľadávky</w:t>
            </w:r>
          </w:p>
        </w:tc>
        <w:tc>
          <w:tcPr>
            <w:tcW w:w="1540" w:type="dxa"/>
            <w:tcBorders>
              <w:top w:val="nil"/>
              <w:left w:val="nil"/>
              <w:bottom w:val="nil"/>
              <w:right w:val="nil"/>
            </w:tcBorders>
            <w:shd w:val="clear" w:color="auto" w:fill="auto"/>
            <w:vAlign w:val="center"/>
            <w:hideMark/>
          </w:tcPr>
          <w:p w14:paraId="14EFE467" w14:textId="15919488" w:rsidR="000B62CF" w:rsidRPr="00C66720" w:rsidRDefault="004A29D5" w:rsidP="00884F8B">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13</w:t>
            </w:r>
            <w:r w:rsidR="00884F8B" w:rsidRPr="00C66720">
              <w:rPr>
                <w:rFonts w:ascii="Times New Roman" w:hAnsi="Times New Roman"/>
                <w:b/>
                <w:bCs/>
                <w:sz w:val="20"/>
                <w:szCs w:val="20"/>
                <w:lang w:eastAsia="sk-SK"/>
              </w:rPr>
              <w:t> </w:t>
            </w:r>
            <w:r w:rsidRPr="00C66720">
              <w:rPr>
                <w:rFonts w:ascii="Times New Roman" w:hAnsi="Times New Roman"/>
                <w:b/>
                <w:bCs/>
                <w:sz w:val="20"/>
                <w:szCs w:val="20"/>
                <w:lang w:eastAsia="sk-SK"/>
              </w:rPr>
              <w:t>16</w:t>
            </w:r>
            <w:r w:rsidR="00884F8B" w:rsidRPr="00C66720">
              <w:rPr>
                <w:rFonts w:ascii="Times New Roman" w:hAnsi="Times New Roman"/>
                <w:b/>
                <w:bCs/>
                <w:sz w:val="20"/>
                <w:szCs w:val="20"/>
                <w:lang w:eastAsia="sk-SK"/>
              </w:rPr>
              <w:t>9 838</w:t>
            </w:r>
          </w:p>
        </w:tc>
        <w:tc>
          <w:tcPr>
            <w:tcW w:w="1541" w:type="dxa"/>
            <w:tcBorders>
              <w:top w:val="nil"/>
              <w:left w:val="nil"/>
              <w:bottom w:val="nil"/>
              <w:right w:val="nil"/>
            </w:tcBorders>
            <w:shd w:val="clear" w:color="auto" w:fill="auto"/>
            <w:vAlign w:val="center"/>
            <w:hideMark/>
          </w:tcPr>
          <w:p w14:paraId="5219F35F" w14:textId="42A7F213" w:rsidR="000B62CF" w:rsidRPr="00C66720" w:rsidRDefault="000B62CF" w:rsidP="000B62CF">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7 731 830</w:t>
            </w:r>
          </w:p>
        </w:tc>
      </w:tr>
      <w:tr w:rsidR="00BC3EA8" w:rsidRPr="00C66720" w14:paraId="70E159CD" w14:textId="77777777" w:rsidTr="00783EF7">
        <w:trPr>
          <w:trHeight w:val="263"/>
        </w:trPr>
        <w:tc>
          <w:tcPr>
            <w:tcW w:w="880" w:type="dxa"/>
            <w:tcBorders>
              <w:top w:val="nil"/>
              <w:left w:val="nil"/>
              <w:bottom w:val="nil"/>
              <w:right w:val="nil"/>
            </w:tcBorders>
            <w:shd w:val="clear" w:color="auto" w:fill="auto"/>
            <w:noWrap/>
            <w:vAlign w:val="center"/>
            <w:hideMark/>
          </w:tcPr>
          <w:p w14:paraId="666C06D0" w14:textId="77777777" w:rsidR="000B62CF" w:rsidRPr="00C66720" w:rsidRDefault="000B62CF" w:rsidP="000B62CF">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vAlign w:val="center"/>
            <w:hideMark/>
          </w:tcPr>
          <w:p w14:paraId="594E3C8B" w14:textId="037EF65B"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_Ref86091832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20</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29757850"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daňové a colné pohľadávky štátu</w:t>
            </w:r>
          </w:p>
        </w:tc>
        <w:tc>
          <w:tcPr>
            <w:tcW w:w="1540" w:type="dxa"/>
            <w:tcBorders>
              <w:top w:val="nil"/>
              <w:left w:val="nil"/>
              <w:bottom w:val="nil"/>
              <w:right w:val="nil"/>
            </w:tcBorders>
            <w:shd w:val="clear" w:color="auto" w:fill="auto"/>
            <w:vAlign w:val="center"/>
            <w:hideMark/>
          </w:tcPr>
          <w:p w14:paraId="1A956A69" w14:textId="04F3B287" w:rsidR="000B62CF" w:rsidRPr="00C66720" w:rsidRDefault="004E2979"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432 803</w:t>
            </w:r>
          </w:p>
        </w:tc>
        <w:tc>
          <w:tcPr>
            <w:tcW w:w="1541" w:type="dxa"/>
            <w:tcBorders>
              <w:top w:val="nil"/>
              <w:left w:val="nil"/>
              <w:bottom w:val="nil"/>
              <w:right w:val="nil"/>
            </w:tcBorders>
            <w:shd w:val="clear" w:color="auto" w:fill="auto"/>
            <w:vAlign w:val="center"/>
            <w:hideMark/>
          </w:tcPr>
          <w:p w14:paraId="711FED59" w14:textId="2867F8D3"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282 729</w:t>
            </w:r>
          </w:p>
        </w:tc>
      </w:tr>
      <w:tr w:rsidR="00BC3EA8" w:rsidRPr="00C66720" w14:paraId="5C28AA41" w14:textId="77777777" w:rsidTr="00783EF7">
        <w:trPr>
          <w:trHeight w:val="263"/>
        </w:trPr>
        <w:tc>
          <w:tcPr>
            <w:tcW w:w="880" w:type="dxa"/>
            <w:tcBorders>
              <w:top w:val="nil"/>
              <w:left w:val="nil"/>
              <w:bottom w:val="nil"/>
              <w:right w:val="nil"/>
            </w:tcBorders>
            <w:shd w:val="clear" w:color="auto" w:fill="auto"/>
            <w:noWrap/>
            <w:vAlign w:val="center"/>
            <w:hideMark/>
          </w:tcPr>
          <w:p w14:paraId="103F1206" w14:textId="77777777" w:rsidR="000B62CF" w:rsidRPr="00C66720" w:rsidRDefault="000B62CF" w:rsidP="000B62CF">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5EA33018" w14:textId="5DD85F11"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_Ref86091842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21</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3578E03C"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daňové pohľadávky územnej samosprávy</w:t>
            </w:r>
          </w:p>
        </w:tc>
        <w:tc>
          <w:tcPr>
            <w:tcW w:w="1540" w:type="dxa"/>
            <w:tcBorders>
              <w:top w:val="nil"/>
              <w:left w:val="nil"/>
              <w:bottom w:val="nil"/>
              <w:right w:val="nil"/>
            </w:tcBorders>
            <w:shd w:val="clear" w:color="auto" w:fill="auto"/>
            <w:vAlign w:val="center"/>
            <w:hideMark/>
          </w:tcPr>
          <w:p w14:paraId="793F3DA1" w14:textId="3615F5C0" w:rsidR="000B62CF" w:rsidRPr="00C66720" w:rsidRDefault="00AF3E4C"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36 907</w:t>
            </w:r>
          </w:p>
        </w:tc>
        <w:tc>
          <w:tcPr>
            <w:tcW w:w="1541" w:type="dxa"/>
            <w:tcBorders>
              <w:top w:val="nil"/>
              <w:left w:val="nil"/>
              <w:bottom w:val="nil"/>
              <w:right w:val="nil"/>
            </w:tcBorders>
            <w:shd w:val="clear" w:color="auto" w:fill="auto"/>
            <w:vAlign w:val="center"/>
            <w:hideMark/>
          </w:tcPr>
          <w:p w14:paraId="0A2C2F8B" w14:textId="13111A27"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41 115</w:t>
            </w:r>
          </w:p>
        </w:tc>
      </w:tr>
      <w:tr w:rsidR="00BC3EA8" w:rsidRPr="00C66720" w14:paraId="2D9A9A13" w14:textId="77777777" w:rsidTr="00783EF7">
        <w:trPr>
          <w:trHeight w:val="263"/>
        </w:trPr>
        <w:tc>
          <w:tcPr>
            <w:tcW w:w="880" w:type="dxa"/>
            <w:tcBorders>
              <w:top w:val="nil"/>
              <w:left w:val="nil"/>
              <w:bottom w:val="nil"/>
              <w:right w:val="nil"/>
            </w:tcBorders>
            <w:shd w:val="clear" w:color="auto" w:fill="auto"/>
            <w:noWrap/>
            <w:vAlign w:val="center"/>
            <w:hideMark/>
          </w:tcPr>
          <w:p w14:paraId="1F1879C0" w14:textId="77777777" w:rsidR="000B62CF" w:rsidRPr="00C66720" w:rsidRDefault="000B62CF" w:rsidP="000B62CF">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09037114" w14:textId="0656558F"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_Ref86091854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22</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6415B3D3"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nedaňové pohľadávky štátu a územnej samosprávy</w:t>
            </w:r>
          </w:p>
        </w:tc>
        <w:tc>
          <w:tcPr>
            <w:tcW w:w="1540" w:type="dxa"/>
            <w:tcBorders>
              <w:top w:val="nil"/>
              <w:left w:val="nil"/>
              <w:bottom w:val="nil"/>
              <w:right w:val="nil"/>
            </w:tcBorders>
            <w:shd w:val="clear" w:color="auto" w:fill="auto"/>
            <w:vAlign w:val="center"/>
            <w:hideMark/>
          </w:tcPr>
          <w:p w14:paraId="2FA0A242" w14:textId="21E16E7E" w:rsidR="000B62CF" w:rsidRPr="00C66720" w:rsidRDefault="00AF3E4C"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200 807</w:t>
            </w:r>
          </w:p>
        </w:tc>
        <w:tc>
          <w:tcPr>
            <w:tcW w:w="1541" w:type="dxa"/>
            <w:tcBorders>
              <w:top w:val="nil"/>
              <w:left w:val="nil"/>
              <w:bottom w:val="nil"/>
              <w:right w:val="nil"/>
            </w:tcBorders>
            <w:shd w:val="clear" w:color="auto" w:fill="auto"/>
            <w:vAlign w:val="center"/>
            <w:hideMark/>
          </w:tcPr>
          <w:p w14:paraId="407D9A70" w14:textId="3298F84B"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176 405</w:t>
            </w:r>
          </w:p>
        </w:tc>
      </w:tr>
      <w:tr w:rsidR="00BC3EA8" w:rsidRPr="00C66720" w14:paraId="0ABBC4DD" w14:textId="77777777" w:rsidTr="00783EF7">
        <w:trPr>
          <w:trHeight w:val="263"/>
        </w:trPr>
        <w:tc>
          <w:tcPr>
            <w:tcW w:w="880" w:type="dxa"/>
            <w:tcBorders>
              <w:top w:val="nil"/>
              <w:left w:val="nil"/>
              <w:bottom w:val="nil"/>
              <w:right w:val="nil"/>
            </w:tcBorders>
            <w:shd w:val="clear" w:color="auto" w:fill="auto"/>
            <w:noWrap/>
            <w:vAlign w:val="center"/>
            <w:hideMark/>
          </w:tcPr>
          <w:p w14:paraId="1F158726" w14:textId="77777777" w:rsidR="000B62CF" w:rsidRPr="00C66720" w:rsidRDefault="000B62CF" w:rsidP="000B62CF">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17EE71C8" w14:textId="4B9639E4"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t>23</w:t>
            </w:r>
          </w:p>
        </w:tc>
        <w:tc>
          <w:tcPr>
            <w:tcW w:w="4981" w:type="dxa"/>
            <w:tcBorders>
              <w:top w:val="nil"/>
              <w:left w:val="nil"/>
              <w:bottom w:val="nil"/>
              <w:right w:val="nil"/>
            </w:tcBorders>
            <w:shd w:val="clear" w:color="auto" w:fill="auto"/>
            <w:vAlign w:val="center"/>
            <w:hideMark/>
          </w:tcPr>
          <w:p w14:paraId="318FC93E"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odberatelia</w:t>
            </w:r>
          </w:p>
        </w:tc>
        <w:tc>
          <w:tcPr>
            <w:tcW w:w="1540" w:type="dxa"/>
            <w:tcBorders>
              <w:top w:val="nil"/>
              <w:left w:val="nil"/>
              <w:bottom w:val="nil"/>
              <w:right w:val="nil"/>
            </w:tcBorders>
            <w:shd w:val="clear" w:color="auto" w:fill="auto"/>
            <w:vAlign w:val="center"/>
            <w:hideMark/>
          </w:tcPr>
          <w:p w14:paraId="74282337" w14:textId="4CCD90D9" w:rsidR="000B62CF" w:rsidRPr="00C66720" w:rsidRDefault="00CD77B7" w:rsidP="008D5AC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1 189 </w:t>
            </w:r>
            <w:r w:rsidR="008D5AC4" w:rsidRPr="00C66720">
              <w:rPr>
                <w:rFonts w:ascii="Times New Roman" w:hAnsi="Times New Roman"/>
                <w:i/>
                <w:iCs/>
                <w:sz w:val="19"/>
                <w:szCs w:val="19"/>
                <w:lang w:eastAsia="sk-SK"/>
              </w:rPr>
              <w:t>529</w:t>
            </w:r>
          </w:p>
        </w:tc>
        <w:tc>
          <w:tcPr>
            <w:tcW w:w="1541" w:type="dxa"/>
            <w:tcBorders>
              <w:top w:val="nil"/>
              <w:left w:val="nil"/>
              <w:bottom w:val="nil"/>
              <w:right w:val="nil"/>
            </w:tcBorders>
            <w:shd w:val="clear" w:color="auto" w:fill="auto"/>
            <w:vAlign w:val="center"/>
            <w:hideMark/>
          </w:tcPr>
          <w:p w14:paraId="42DBF110" w14:textId="3456B43B"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832 531</w:t>
            </w:r>
          </w:p>
        </w:tc>
      </w:tr>
      <w:tr w:rsidR="00BC3EA8" w:rsidRPr="00C66720" w14:paraId="34C9845D" w14:textId="77777777" w:rsidTr="00783EF7">
        <w:trPr>
          <w:trHeight w:val="263"/>
        </w:trPr>
        <w:tc>
          <w:tcPr>
            <w:tcW w:w="880" w:type="dxa"/>
            <w:tcBorders>
              <w:top w:val="nil"/>
              <w:left w:val="nil"/>
              <w:bottom w:val="nil"/>
              <w:right w:val="nil"/>
            </w:tcBorders>
            <w:shd w:val="clear" w:color="auto" w:fill="auto"/>
            <w:noWrap/>
            <w:vAlign w:val="center"/>
            <w:hideMark/>
          </w:tcPr>
          <w:p w14:paraId="607C01CA" w14:textId="77777777" w:rsidR="000B62CF" w:rsidRPr="00C66720" w:rsidRDefault="000B62CF" w:rsidP="000B62CF">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105D825F" w14:textId="2BD2C02A"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_Ref86091885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24</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6E5F1DC6"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poskytnuté preddavky</w:t>
            </w:r>
          </w:p>
        </w:tc>
        <w:tc>
          <w:tcPr>
            <w:tcW w:w="1540" w:type="dxa"/>
            <w:tcBorders>
              <w:top w:val="nil"/>
              <w:left w:val="nil"/>
              <w:bottom w:val="nil"/>
              <w:right w:val="nil"/>
            </w:tcBorders>
            <w:shd w:val="clear" w:color="auto" w:fill="auto"/>
            <w:vAlign w:val="center"/>
            <w:hideMark/>
          </w:tcPr>
          <w:p w14:paraId="520615A9" w14:textId="07BCA382" w:rsidR="000B62CF" w:rsidRPr="00C66720" w:rsidRDefault="00CD77B7"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615 827</w:t>
            </w:r>
          </w:p>
        </w:tc>
        <w:tc>
          <w:tcPr>
            <w:tcW w:w="1541" w:type="dxa"/>
            <w:tcBorders>
              <w:top w:val="nil"/>
              <w:left w:val="nil"/>
              <w:bottom w:val="nil"/>
              <w:right w:val="nil"/>
            </w:tcBorders>
            <w:shd w:val="clear" w:color="auto" w:fill="auto"/>
            <w:vAlign w:val="center"/>
            <w:hideMark/>
          </w:tcPr>
          <w:p w14:paraId="4E79E16A" w14:textId="0E812F46"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516 757</w:t>
            </w:r>
          </w:p>
        </w:tc>
      </w:tr>
      <w:tr w:rsidR="00BC3EA8" w:rsidRPr="00C66720" w14:paraId="2A3F88A5" w14:textId="77777777" w:rsidTr="00783EF7">
        <w:trPr>
          <w:trHeight w:val="263"/>
        </w:trPr>
        <w:tc>
          <w:tcPr>
            <w:tcW w:w="880" w:type="dxa"/>
            <w:tcBorders>
              <w:top w:val="nil"/>
              <w:left w:val="nil"/>
              <w:bottom w:val="nil"/>
              <w:right w:val="nil"/>
            </w:tcBorders>
            <w:shd w:val="clear" w:color="auto" w:fill="auto"/>
            <w:noWrap/>
            <w:vAlign w:val="center"/>
            <w:hideMark/>
          </w:tcPr>
          <w:p w14:paraId="31E7A9FF" w14:textId="77777777" w:rsidR="000B62CF" w:rsidRPr="00C66720" w:rsidRDefault="000B62CF" w:rsidP="000B62CF">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1F7156AF" w14:textId="05CAA3A4"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_Ref86091923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25</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5A173025"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pohľadávky zo zúčtovania s EÚ</w:t>
            </w:r>
          </w:p>
        </w:tc>
        <w:tc>
          <w:tcPr>
            <w:tcW w:w="1540" w:type="dxa"/>
            <w:tcBorders>
              <w:top w:val="nil"/>
              <w:left w:val="nil"/>
              <w:bottom w:val="nil"/>
              <w:right w:val="nil"/>
            </w:tcBorders>
            <w:shd w:val="clear" w:color="auto" w:fill="auto"/>
            <w:vAlign w:val="center"/>
            <w:hideMark/>
          </w:tcPr>
          <w:p w14:paraId="469EDA9A" w14:textId="1EF06541" w:rsidR="000B62CF" w:rsidRPr="00C66720" w:rsidRDefault="00CD77B7"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117 351</w:t>
            </w:r>
          </w:p>
        </w:tc>
        <w:tc>
          <w:tcPr>
            <w:tcW w:w="1541" w:type="dxa"/>
            <w:tcBorders>
              <w:top w:val="nil"/>
              <w:left w:val="nil"/>
              <w:bottom w:val="nil"/>
              <w:right w:val="nil"/>
            </w:tcBorders>
            <w:shd w:val="clear" w:color="auto" w:fill="auto"/>
            <w:vAlign w:val="center"/>
            <w:hideMark/>
          </w:tcPr>
          <w:p w14:paraId="573513A5" w14:textId="372AB4F9"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178 940</w:t>
            </w:r>
          </w:p>
        </w:tc>
      </w:tr>
      <w:tr w:rsidR="00BC3EA8" w:rsidRPr="00C66720" w14:paraId="7BAF626C" w14:textId="77777777" w:rsidTr="00783EF7">
        <w:trPr>
          <w:trHeight w:val="263"/>
        </w:trPr>
        <w:tc>
          <w:tcPr>
            <w:tcW w:w="880" w:type="dxa"/>
            <w:tcBorders>
              <w:top w:val="nil"/>
              <w:left w:val="nil"/>
              <w:bottom w:val="nil"/>
              <w:right w:val="nil"/>
            </w:tcBorders>
            <w:shd w:val="clear" w:color="auto" w:fill="auto"/>
            <w:noWrap/>
            <w:vAlign w:val="center"/>
            <w:hideMark/>
          </w:tcPr>
          <w:p w14:paraId="6269E467" w14:textId="77777777" w:rsidR="000B62CF" w:rsidRPr="00C66720" w:rsidRDefault="000B62CF" w:rsidP="000B62CF">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136C21AE" w14:textId="445827F7"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_Ref86091935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26</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3654D705"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zúčtovanie medzi subjektmi verejnej správy</w:t>
            </w:r>
          </w:p>
        </w:tc>
        <w:tc>
          <w:tcPr>
            <w:tcW w:w="1540" w:type="dxa"/>
            <w:tcBorders>
              <w:top w:val="nil"/>
              <w:left w:val="nil"/>
              <w:bottom w:val="nil"/>
              <w:right w:val="nil"/>
            </w:tcBorders>
            <w:shd w:val="clear" w:color="auto" w:fill="auto"/>
            <w:vAlign w:val="center"/>
            <w:hideMark/>
          </w:tcPr>
          <w:p w14:paraId="6FC9A73E" w14:textId="397E16FC" w:rsidR="000B62CF" w:rsidRPr="00C66720" w:rsidRDefault="00CD77B7" w:rsidP="008D5AC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7</w:t>
            </w:r>
            <w:r w:rsidR="008D5AC4" w:rsidRPr="00C66720">
              <w:rPr>
                <w:rFonts w:ascii="Times New Roman" w:hAnsi="Times New Roman"/>
                <w:i/>
                <w:iCs/>
                <w:sz w:val="19"/>
                <w:szCs w:val="19"/>
                <w:lang w:eastAsia="sk-SK"/>
              </w:rPr>
              <w:t>8 037</w:t>
            </w:r>
          </w:p>
        </w:tc>
        <w:tc>
          <w:tcPr>
            <w:tcW w:w="1541" w:type="dxa"/>
            <w:tcBorders>
              <w:top w:val="nil"/>
              <w:left w:val="nil"/>
              <w:bottom w:val="nil"/>
              <w:right w:val="nil"/>
            </w:tcBorders>
            <w:shd w:val="clear" w:color="auto" w:fill="auto"/>
            <w:vAlign w:val="center"/>
            <w:hideMark/>
          </w:tcPr>
          <w:p w14:paraId="2621D9DB" w14:textId="0FF36290"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79 368</w:t>
            </w:r>
          </w:p>
        </w:tc>
      </w:tr>
      <w:tr w:rsidR="00BC3EA8" w:rsidRPr="00C66720" w14:paraId="13D4AF61" w14:textId="77777777" w:rsidTr="00783EF7">
        <w:trPr>
          <w:trHeight w:val="263"/>
        </w:trPr>
        <w:tc>
          <w:tcPr>
            <w:tcW w:w="880" w:type="dxa"/>
            <w:tcBorders>
              <w:top w:val="nil"/>
              <w:left w:val="nil"/>
              <w:bottom w:val="nil"/>
              <w:right w:val="nil"/>
            </w:tcBorders>
            <w:shd w:val="clear" w:color="auto" w:fill="auto"/>
            <w:noWrap/>
            <w:vAlign w:val="center"/>
            <w:hideMark/>
          </w:tcPr>
          <w:p w14:paraId="125FCE76" w14:textId="77777777" w:rsidR="000B62CF" w:rsidRPr="00C66720" w:rsidRDefault="000B62CF" w:rsidP="000B62CF">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008036D9" w14:textId="383DEFAA"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_Ref86091951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27</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51C4DC3A" w14:textId="77777777" w:rsidR="000B62CF" w:rsidRPr="00C66720" w:rsidRDefault="000B62CF" w:rsidP="000B62CF">
            <w:pPr>
              <w:spacing w:after="0" w:line="240" w:lineRule="auto"/>
              <w:ind w:left="520" w:hanging="520"/>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krátkodobé pohľadávky subjektov verejnej správy</w:t>
            </w:r>
          </w:p>
        </w:tc>
        <w:tc>
          <w:tcPr>
            <w:tcW w:w="1540" w:type="dxa"/>
            <w:tcBorders>
              <w:top w:val="nil"/>
              <w:left w:val="nil"/>
              <w:bottom w:val="nil"/>
              <w:right w:val="nil"/>
            </w:tcBorders>
            <w:shd w:val="clear" w:color="auto" w:fill="auto"/>
            <w:vAlign w:val="center"/>
            <w:hideMark/>
          </w:tcPr>
          <w:p w14:paraId="08417C29" w14:textId="5DE7301C" w:rsidR="000B62CF" w:rsidRPr="00C66720" w:rsidRDefault="00CD77B7" w:rsidP="008D5AC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10</w:t>
            </w:r>
            <w:r w:rsidR="008D5AC4" w:rsidRPr="00C66720">
              <w:rPr>
                <w:rFonts w:ascii="Times New Roman" w:hAnsi="Times New Roman"/>
                <w:i/>
                <w:iCs/>
                <w:sz w:val="19"/>
                <w:szCs w:val="19"/>
                <w:lang w:eastAsia="sk-SK"/>
              </w:rPr>
              <w:t> </w:t>
            </w:r>
            <w:r w:rsidRPr="00C66720">
              <w:rPr>
                <w:rFonts w:ascii="Times New Roman" w:hAnsi="Times New Roman"/>
                <w:i/>
                <w:iCs/>
                <w:sz w:val="19"/>
                <w:szCs w:val="19"/>
                <w:lang w:eastAsia="sk-SK"/>
              </w:rPr>
              <w:t>49</w:t>
            </w:r>
            <w:r w:rsidR="008D5AC4" w:rsidRPr="00C66720">
              <w:rPr>
                <w:rFonts w:ascii="Times New Roman" w:hAnsi="Times New Roman"/>
                <w:i/>
                <w:iCs/>
                <w:sz w:val="19"/>
                <w:szCs w:val="19"/>
                <w:lang w:eastAsia="sk-SK"/>
              </w:rPr>
              <w:t>8 577</w:t>
            </w:r>
          </w:p>
        </w:tc>
        <w:tc>
          <w:tcPr>
            <w:tcW w:w="1541" w:type="dxa"/>
            <w:tcBorders>
              <w:top w:val="nil"/>
              <w:left w:val="nil"/>
              <w:bottom w:val="nil"/>
              <w:right w:val="nil"/>
            </w:tcBorders>
            <w:shd w:val="clear" w:color="auto" w:fill="auto"/>
            <w:vAlign w:val="center"/>
            <w:hideMark/>
          </w:tcPr>
          <w:p w14:paraId="5344DCBA" w14:textId="627DBE53"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5 623 985</w:t>
            </w:r>
          </w:p>
        </w:tc>
      </w:tr>
      <w:tr w:rsidR="00BC3EA8" w:rsidRPr="00C66720" w14:paraId="6F51540A" w14:textId="77777777" w:rsidTr="00783EF7">
        <w:trPr>
          <w:trHeight w:val="278"/>
        </w:trPr>
        <w:tc>
          <w:tcPr>
            <w:tcW w:w="880" w:type="dxa"/>
            <w:tcBorders>
              <w:top w:val="nil"/>
              <w:left w:val="nil"/>
              <w:bottom w:val="nil"/>
              <w:right w:val="nil"/>
            </w:tcBorders>
            <w:shd w:val="clear" w:color="auto" w:fill="auto"/>
            <w:noWrap/>
            <w:vAlign w:val="center"/>
            <w:hideMark/>
          </w:tcPr>
          <w:p w14:paraId="6158CD9D" w14:textId="77777777" w:rsidR="000B62CF" w:rsidRPr="00C66720" w:rsidRDefault="000B62CF" w:rsidP="000B62CF">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B.III.</w:t>
            </w:r>
          </w:p>
        </w:tc>
        <w:tc>
          <w:tcPr>
            <w:tcW w:w="660" w:type="dxa"/>
            <w:tcBorders>
              <w:top w:val="nil"/>
              <w:left w:val="nil"/>
              <w:bottom w:val="nil"/>
              <w:right w:val="nil"/>
            </w:tcBorders>
            <w:shd w:val="clear" w:color="auto" w:fill="auto"/>
            <w:noWrap/>
            <w:vAlign w:val="center"/>
            <w:hideMark/>
          </w:tcPr>
          <w:p w14:paraId="26D4F4C6" w14:textId="77777777" w:rsidR="000B62CF" w:rsidRPr="00C66720" w:rsidRDefault="000B62CF" w:rsidP="000B62CF">
            <w:pPr>
              <w:spacing w:after="0" w:line="240" w:lineRule="auto"/>
              <w:jc w:val="right"/>
              <w:rPr>
                <w:rFonts w:ascii="Times New Roman" w:hAnsi="Times New Roman"/>
                <w:b/>
                <w:bCs/>
                <w:sz w:val="20"/>
                <w:szCs w:val="20"/>
                <w:lang w:eastAsia="sk-SK"/>
              </w:rPr>
            </w:pPr>
          </w:p>
        </w:tc>
        <w:tc>
          <w:tcPr>
            <w:tcW w:w="4981" w:type="dxa"/>
            <w:tcBorders>
              <w:top w:val="nil"/>
              <w:left w:val="nil"/>
              <w:bottom w:val="nil"/>
              <w:right w:val="nil"/>
            </w:tcBorders>
            <w:shd w:val="clear" w:color="auto" w:fill="auto"/>
            <w:vAlign w:val="center"/>
            <w:hideMark/>
          </w:tcPr>
          <w:p w14:paraId="52BF299E" w14:textId="77777777" w:rsidR="000B62CF" w:rsidRPr="00C66720" w:rsidRDefault="000B62CF" w:rsidP="000B62CF">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Finančné účty a krátkodobý finančný majetok</w:t>
            </w:r>
          </w:p>
        </w:tc>
        <w:tc>
          <w:tcPr>
            <w:tcW w:w="1540" w:type="dxa"/>
            <w:tcBorders>
              <w:top w:val="nil"/>
              <w:left w:val="nil"/>
              <w:bottom w:val="nil"/>
              <w:right w:val="nil"/>
            </w:tcBorders>
            <w:shd w:val="clear" w:color="auto" w:fill="auto"/>
            <w:vAlign w:val="center"/>
            <w:hideMark/>
          </w:tcPr>
          <w:p w14:paraId="0AAC7C80" w14:textId="6B865B51" w:rsidR="000B62CF" w:rsidRPr="00C66720" w:rsidRDefault="00CD77B7" w:rsidP="0024259E">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5</w:t>
            </w:r>
            <w:r w:rsidR="0024259E" w:rsidRPr="00C66720">
              <w:rPr>
                <w:rFonts w:ascii="Times New Roman" w:hAnsi="Times New Roman"/>
                <w:b/>
                <w:bCs/>
                <w:sz w:val="20"/>
                <w:szCs w:val="20"/>
                <w:lang w:eastAsia="sk-SK"/>
              </w:rPr>
              <w:t> </w:t>
            </w:r>
            <w:r w:rsidRPr="00C66720">
              <w:rPr>
                <w:rFonts w:ascii="Times New Roman" w:hAnsi="Times New Roman"/>
                <w:b/>
                <w:bCs/>
                <w:sz w:val="20"/>
                <w:szCs w:val="20"/>
                <w:lang w:eastAsia="sk-SK"/>
              </w:rPr>
              <w:t>1</w:t>
            </w:r>
            <w:r w:rsidR="0024259E" w:rsidRPr="00C66720">
              <w:rPr>
                <w:rFonts w:ascii="Times New Roman" w:hAnsi="Times New Roman"/>
                <w:b/>
                <w:bCs/>
                <w:sz w:val="20"/>
                <w:szCs w:val="20"/>
                <w:lang w:eastAsia="sk-SK"/>
              </w:rPr>
              <w:t>30 277</w:t>
            </w:r>
          </w:p>
        </w:tc>
        <w:tc>
          <w:tcPr>
            <w:tcW w:w="1541" w:type="dxa"/>
            <w:tcBorders>
              <w:top w:val="nil"/>
              <w:left w:val="nil"/>
              <w:bottom w:val="nil"/>
              <w:right w:val="nil"/>
            </w:tcBorders>
            <w:shd w:val="clear" w:color="auto" w:fill="auto"/>
            <w:vAlign w:val="center"/>
            <w:hideMark/>
          </w:tcPr>
          <w:p w14:paraId="1630F5C5" w14:textId="59C1AF73" w:rsidR="000B62CF" w:rsidRPr="00C66720" w:rsidRDefault="000B62CF" w:rsidP="000B62CF">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8 693 169</w:t>
            </w:r>
          </w:p>
        </w:tc>
      </w:tr>
      <w:tr w:rsidR="00BC3EA8" w:rsidRPr="00C66720" w14:paraId="5162F049" w14:textId="77777777" w:rsidTr="00783EF7">
        <w:trPr>
          <w:trHeight w:val="278"/>
        </w:trPr>
        <w:tc>
          <w:tcPr>
            <w:tcW w:w="880" w:type="dxa"/>
            <w:tcBorders>
              <w:top w:val="nil"/>
              <w:left w:val="nil"/>
              <w:bottom w:val="nil"/>
              <w:right w:val="nil"/>
            </w:tcBorders>
            <w:shd w:val="clear" w:color="auto" w:fill="auto"/>
            <w:noWrap/>
            <w:vAlign w:val="center"/>
            <w:hideMark/>
          </w:tcPr>
          <w:p w14:paraId="1E11FCCB" w14:textId="77777777" w:rsidR="000B62CF" w:rsidRPr="00C66720" w:rsidRDefault="000B62CF" w:rsidP="000B62CF">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noWrap/>
            <w:vAlign w:val="center"/>
            <w:hideMark/>
          </w:tcPr>
          <w:p w14:paraId="331BC6A6" w14:textId="57F4B59A"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_Ref86091996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28</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4BA08C0C"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bežné bankové účty, pokladnica a ceniny</w:t>
            </w:r>
          </w:p>
        </w:tc>
        <w:tc>
          <w:tcPr>
            <w:tcW w:w="1540" w:type="dxa"/>
            <w:tcBorders>
              <w:top w:val="nil"/>
              <w:left w:val="nil"/>
              <w:bottom w:val="nil"/>
              <w:right w:val="nil"/>
            </w:tcBorders>
            <w:shd w:val="clear" w:color="auto" w:fill="auto"/>
            <w:vAlign w:val="center"/>
            <w:hideMark/>
          </w:tcPr>
          <w:p w14:paraId="6929759C" w14:textId="468F3E13" w:rsidR="000B62CF" w:rsidRPr="00C66720" w:rsidRDefault="00CD77B7" w:rsidP="0024259E">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w:t>
            </w:r>
            <w:r w:rsidR="0024259E" w:rsidRPr="00C66720">
              <w:rPr>
                <w:rFonts w:ascii="Times New Roman" w:hAnsi="Times New Roman"/>
                <w:i/>
                <w:iCs/>
                <w:sz w:val="19"/>
                <w:szCs w:val="19"/>
                <w:lang w:eastAsia="sk-SK"/>
              </w:rPr>
              <w:t> </w:t>
            </w:r>
            <w:r w:rsidRPr="00C66720">
              <w:rPr>
                <w:rFonts w:ascii="Times New Roman" w:hAnsi="Times New Roman"/>
                <w:i/>
                <w:iCs/>
                <w:sz w:val="19"/>
                <w:szCs w:val="19"/>
                <w:lang w:eastAsia="sk-SK"/>
              </w:rPr>
              <w:t>8</w:t>
            </w:r>
            <w:r w:rsidR="0024259E" w:rsidRPr="00C66720">
              <w:rPr>
                <w:rFonts w:ascii="Times New Roman" w:hAnsi="Times New Roman"/>
                <w:i/>
                <w:iCs/>
                <w:sz w:val="19"/>
                <w:szCs w:val="19"/>
                <w:lang w:eastAsia="sk-SK"/>
              </w:rPr>
              <w:t>98 306</w:t>
            </w:r>
          </w:p>
        </w:tc>
        <w:tc>
          <w:tcPr>
            <w:tcW w:w="1541" w:type="dxa"/>
            <w:tcBorders>
              <w:top w:val="nil"/>
              <w:left w:val="nil"/>
              <w:bottom w:val="nil"/>
              <w:right w:val="nil"/>
            </w:tcBorders>
            <w:shd w:val="clear" w:color="auto" w:fill="auto"/>
            <w:vAlign w:val="center"/>
            <w:hideMark/>
          </w:tcPr>
          <w:p w14:paraId="7691C5EC" w14:textId="78079DF1"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3 119 849</w:t>
            </w:r>
          </w:p>
        </w:tc>
      </w:tr>
      <w:tr w:rsidR="00BC3EA8" w:rsidRPr="00C66720" w14:paraId="41718D43" w14:textId="77777777" w:rsidTr="00783EF7">
        <w:trPr>
          <w:trHeight w:val="278"/>
        </w:trPr>
        <w:tc>
          <w:tcPr>
            <w:tcW w:w="880" w:type="dxa"/>
            <w:tcBorders>
              <w:top w:val="nil"/>
              <w:left w:val="nil"/>
              <w:bottom w:val="nil"/>
              <w:right w:val="nil"/>
            </w:tcBorders>
            <w:shd w:val="clear" w:color="auto" w:fill="auto"/>
            <w:noWrap/>
            <w:vAlign w:val="center"/>
            <w:hideMark/>
          </w:tcPr>
          <w:p w14:paraId="5BA8FC9B" w14:textId="77777777" w:rsidR="000B62CF" w:rsidRPr="00C66720" w:rsidRDefault="000B62CF" w:rsidP="000B62CF">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7CEFA936" w14:textId="130EC554"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_Ref86092007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29</w:t>
            </w:r>
            <w:r w:rsidRPr="00C66720">
              <w:rPr>
                <w:rFonts w:ascii="Times New Roman" w:hAnsi="Times New Roman"/>
                <w:i/>
                <w:iCs/>
                <w:sz w:val="19"/>
                <w:szCs w:val="19"/>
                <w:lang w:eastAsia="sk-SK"/>
              </w:rPr>
              <w:fldChar w:fldCharType="end"/>
            </w:r>
          </w:p>
        </w:tc>
        <w:tc>
          <w:tcPr>
            <w:tcW w:w="4981" w:type="dxa"/>
            <w:tcBorders>
              <w:top w:val="nil"/>
              <w:left w:val="nil"/>
              <w:bottom w:val="nil"/>
              <w:right w:val="nil"/>
            </w:tcBorders>
            <w:shd w:val="clear" w:color="auto" w:fill="auto"/>
            <w:vAlign w:val="center"/>
            <w:hideMark/>
          </w:tcPr>
          <w:p w14:paraId="113B73D5"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účty Štátnej pokladnice</w:t>
            </w:r>
          </w:p>
        </w:tc>
        <w:tc>
          <w:tcPr>
            <w:tcW w:w="1540" w:type="dxa"/>
            <w:tcBorders>
              <w:top w:val="nil"/>
              <w:left w:val="nil"/>
              <w:bottom w:val="nil"/>
              <w:right w:val="nil"/>
            </w:tcBorders>
            <w:shd w:val="clear" w:color="auto" w:fill="auto"/>
            <w:vAlign w:val="center"/>
            <w:hideMark/>
          </w:tcPr>
          <w:p w14:paraId="30D7658E" w14:textId="4614ACC5" w:rsidR="000B62CF" w:rsidRPr="00C66720" w:rsidRDefault="00CD77B7"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1 228 966</w:t>
            </w:r>
          </w:p>
        </w:tc>
        <w:tc>
          <w:tcPr>
            <w:tcW w:w="1541" w:type="dxa"/>
            <w:tcBorders>
              <w:top w:val="nil"/>
              <w:left w:val="nil"/>
              <w:bottom w:val="nil"/>
              <w:right w:val="nil"/>
            </w:tcBorders>
            <w:shd w:val="clear" w:color="auto" w:fill="auto"/>
            <w:vAlign w:val="center"/>
            <w:hideMark/>
          </w:tcPr>
          <w:p w14:paraId="525FD4BF" w14:textId="4535973E"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5 568 105</w:t>
            </w:r>
          </w:p>
        </w:tc>
      </w:tr>
      <w:tr w:rsidR="00BC3EA8" w:rsidRPr="00C66720" w14:paraId="7024E3E8" w14:textId="77777777" w:rsidTr="00783EF7">
        <w:trPr>
          <w:trHeight w:val="278"/>
        </w:trPr>
        <w:tc>
          <w:tcPr>
            <w:tcW w:w="880" w:type="dxa"/>
            <w:tcBorders>
              <w:top w:val="nil"/>
              <w:left w:val="nil"/>
              <w:right w:val="nil"/>
            </w:tcBorders>
            <w:shd w:val="clear" w:color="auto" w:fill="auto"/>
            <w:noWrap/>
            <w:vAlign w:val="center"/>
            <w:hideMark/>
          </w:tcPr>
          <w:p w14:paraId="3C451011" w14:textId="77777777" w:rsidR="000B62CF" w:rsidRPr="00C66720" w:rsidRDefault="000B62CF" w:rsidP="000B62CF">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right w:val="nil"/>
            </w:tcBorders>
            <w:shd w:val="clear" w:color="auto" w:fill="auto"/>
            <w:noWrap/>
            <w:vAlign w:val="center"/>
            <w:hideMark/>
          </w:tcPr>
          <w:p w14:paraId="40863604" w14:textId="0ED481D8" w:rsidR="000B62CF" w:rsidRPr="00C66720" w:rsidRDefault="000B62CF" w:rsidP="000B62CF">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_Ref86092025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30</w:t>
            </w:r>
            <w:r w:rsidRPr="00C66720">
              <w:rPr>
                <w:rFonts w:ascii="Times New Roman" w:hAnsi="Times New Roman"/>
                <w:i/>
                <w:iCs/>
                <w:sz w:val="19"/>
                <w:szCs w:val="19"/>
                <w:lang w:eastAsia="sk-SK"/>
              </w:rPr>
              <w:fldChar w:fldCharType="end"/>
            </w:r>
          </w:p>
        </w:tc>
        <w:tc>
          <w:tcPr>
            <w:tcW w:w="4981" w:type="dxa"/>
            <w:tcBorders>
              <w:top w:val="nil"/>
              <w:left w:val="nil"/>
              <w:right w:val="nil"/>
            </w:tcBorders>
            <w:shd w:val="clear" w:color="auto" w:fill="auto"/>
            <w:vAlign w:val="center"/>
            <w:hideMark/>
          </w:tcPr>
          <w:p w14:paraId="77D3091F" w14:textId="77777777" w:rsidR="000B62CF" w:rsidRPr="00C66720" w:rsidRDefault="000B62CF" w:rsidP="000B62CF">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ostatný krátkodobý finančný majetok</w:t>
            </w:r>
          </w:p>
        </w:tc>
        <w:tc>
          <w:tcPr>
            <w:tcW w:w="1540" w:type="dxa"/>
            <w:tcBorders>
              <w:top w:val="nil"/>
              <w:left w:val="nil"/>
              <w:right w:val="nil"/>
            </w:tcBorders>
            <w:shd w:val="clear" w:color="auto" w:fill="auto"/>
            <w:vAlign w:val="center"/>
            <w:hideMark/>
          </w:tcPr>
          <w:p w14:paraId="7611EA03" w14:textId="384051ED" w:rsidR="000B62CF" w:rsidRPr="00C66720" w:rsidRDefault="00732DD7"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3 005</w:t>
            </w:r>
          </w:p>
        </w:tc>
        <w:tc>
          <w:tcPr>
            <w:tcW w:w="1541" w:type="dxa"/>
            <w:tcBorders>
              <w:top w:val="nil"/>
              <w:left w:val="nil"/>
              <w:right w:val="nil"/>
            </w:tcBorders>
            <w:shd w:val="clear" w:color="auto" w:fill="auto"/>
            <w:vAlign w:val="center"/>
            <w:hideMark/>
          </w:tcPr>
          <w:p w14:paraId="284B69C1" w14:textId="49E19D6B" w:rsidR="000B62CF" w:rsidRPr="00C66720" w:rsidRDefault="000B62CF" w:rsidP="000B62CF">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5 215</w:t>
            </w:r>
          </w:p>
        </w:tc>
      </w:tr>
      <w:tr w:rsidR="00BC3EA8" w:rsidRPr="00C66720" w14:paraId="6D79AB8D" w14:textId="77777777" w:rsidTr="00783EF7">
        <w:trPr>
          <w:trHeight w:val="263"/>
        </w:trPr>
        <w:tc>
          <w:tcPr>
            <w:tcW w:w="880" w:type="dxa"/>
            <w:tcBorders>
              <w:top w:val="nil"/>
              <w:left w:val="nil"/>
              <w:bottom w:val="single" w:sz="4" w:space="0" w:color="auto"/>
              <w:right w:val="nil"/>
            </w:tcBorders>
            <w:shd w:val="clear" w:color="auto" w:fill="auto"/>
            <w:vAlign w:val="center"/>
            <w:hideMark/>
          </w:tcPr>
          <w:p w14:paraId="52483078" w14:textId="77777777" w:rsidR="000B62CF" w:rsidRPr="00C66720" w:rsidRDefault="000B62CF" w:rsidP="000B62CF">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C.</w:t>
            </w:r>
          </w:p>
        </w:tc>
        <w:tc>
          <w:tcPr>
            <w:tcW w:w="660" w:type="dxa"/>
            <w:tcBorders>
              <w:top w:val="nil"/>
              <w:left w:val="nil"/>
              <w:bottom w:val="single" w:sz="4" w:space="0" w:color="auto"/>
              <w:right w:val="nil"/>
            </w:tcBorders>
            <w:shd w:val="clear" w:color="auto" w:fill="auto"/>
            <w:vAlign w:val="center"/>
            <w:hideMark/>
          </w:tcPr>
          <w:p w14:paraId="367848BB" w14:textId="336F29D1" w:rsidR="000B62CF" w:rsidRPr="00C66720" w:rsidRDefault="000B62CF" w:rsidP="000B62CF">
            <w:pPr>
              <w:spacing w:after="0" w:line="240" w:lineRule="auto"/>
              <w:jc w:val="center"/>
              <w:rPr>
                <w:rFonts w:ascii="Times New Roman" w:hAnsi="Times New Roman"/>
                <w:b/>
                <w:bCs/>
                <w:i/>
                <w:iCs/>
                <w:sz w:val="20"/>
                <w:szCs w:val="20"/>
                <w:lang w:eastAsia="sk-SK"/>
              </w:rPr>
            </w:pPr>
          </w:p>
        </w:tc>
        <w:tc>
          <w:tcPr>
            <w:tcW w:w="4981" w:type="dxa"/>
            <w:tcBorders>
              <w:top w:val="nil"/>
              <w:left w:val="nil"/>
              <w:bottom w:val="single" w:sz="4" w:space="0" w:color="auto"/>
              <w:right w:val="nil"/>
            </w:tcBorders>
            <w:shd w:val="clear" w:color="auto" w:fill="auto"/>
            <w:vAlign w:val="center"/>
            <w:hideMark/>
          </w:tcPr>
          <w:p w14:paraId="3F8AFF4E" w14:textId="77777777" w:rsidR="000B62CF" w:rsidRPr="00C66720" w:rsidRDefault="000B62CF" w:rsidP="000B62CF">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Časové rozlíšenie</w:t>
            </w:r>
          </w:p>
        </w:tc>
        <w:tc>
          <w:tcPr>
            <w:tcW w:w="1540" w:type="dxa"/>
            <w:tcBorders>
              <w:top w:val="nil"/>
              <w:left w:val="nil"/>
              <w:bottom w:val="single" w:sz="4" w:space="0" w:color="auto"/>
              <w:right w:val="nil"/>
            </w:tcBorders>
            <w:shd w:val="clear" w:color="auto" w:fill="auto"/>
            <w:vAlign w:val="center"/>
            <w:hideMark/>
          </w:tcPr>
          <w:p w14:paraId="52713737" w14:textId="44B01085" w:rsidR="000B62CF" w:rsidRPr="00C66720" w:rsidRDefault="00732DD7" w:rsidP="0057079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96</w:t>
            </w:r>
            <w:r w:rsidR="00570791" w:rsidRPr="00C66720">
              <w:rPr>
                <w:rFonts w:ascii="Times New Roman" w:hAnsi="Times New Roman"/>
                <w:b/>
                <w:bCs/>
                <w:sz w:val="20"/>
                <w:szCs w:val="20"/>
                <w:lang w:eastAsia="sk-SK"/>
              </w:rPr>
              <w:t>5 309</w:t>
            </w:r>
          </w:p>
        </w:tc>
        <w:tc>
          <w:tcPr>
            <w:tcW w:w="1541" w:type="dxa"/>
            <w:tcBorders>
              <w:top w:val="nil"/>
              <w:left w:val="nil"/>
              <w:bottom w:val="single" w:sz="4" w:space="0" w:color="auto"/>
              <w:right w:val="nil"/>
            </w:tcBorders>
            <w:shd w:val="clear" w:color="auto" w:fill="auto"/>
            <w:vAlign w:val="center"/>
            <w:hideMark/>
          </w:tcPr>
          <w:p w14:paraId="5C6017B0" w14:textId="72A46948" w:rsidR="000B62CF" w:rsidRPr="00C66720" w:rsidRDefault="000B62CF" w:rsidP="000B62CF">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411 269</w:t>
            </w:r>
          </w:p>
        </w:tc>
      </w:tr>
    </w:tbl>
    <w:p w14:paraId="1606A3D2" w14:textId="77777777" w:rsidR="00EC2B75" w:rsidRPr="00C66720" w:rsidRDefault="00EC2B75" w:rsidP="008F097E">
      <w:pPr>
        <w:spacing w:line="240" w:lineRule="auto"/>
        <w:rPr>
          <w:rFonts w:ascii="Times New Roman" w:hAnsi="Times New Roman"/>
          <w:color w:val="FF0000"/>
          <w:highlight w:val="yellow"/>
        </w:rPr>
      </w:pPr>
      <w:r w:rsidRPr="00C66720">
        <w:rPr>
          <w:rFonts w:ascii="Times New Roman" w:hAnsi="Times New Roman"/>
          <w:color w:val="FF0000"/>
          <w:highlight w:val="yellow"/>
        </w:rPr>
        <w:br w:type="page"/>
      </w:r>
    </w:p>
    <w:tbl>
      <w:tblPr>
        <w:tblW w:w="10027" w:type="dxa"/>
        <w:tblInd w:w="-567" w:type="dxa"/>
        <w:tblCellMar>
          <w:left w:w="70" w:type="dxa"/>
          <w:right w:w="70" w:type="dxa"/>
        </w:tblCellMar>
        <w:tblLook w:val="04A0" w:firstRow="1" w:lastRow="0" w:firstColumn="1" w:lastColumn="0" w:noHBand="0" w:noVBand="1"/>
      </w:tblPr>
      <w:tblGrid>
        <w:gridCol w:w="880"/>
        <w:gridCol w:w="660"/>
        <w:gridCol w:w="5406"/>
        <w:gridCol w:w="1540"/>
        <w:gridCol w:w="1541"/>
      </w:tblGrid>
      <w:tr w:rsidR="00BC3EA8" w:rsidRPr="00C66720" w14:paraId="3EB3B335" w14:textId="77777777" w:rsidTr="00F9428E">
        <w:trPr>
          <w:trHeight w:val="255"/>
        </w:trPr>
        <w:tc>
          <w:tcPr>
            <w:tcW w:w="10027" w:type="dxa"/>
            <w:gridSpan w:val="5"/>
            <w:tcBorders>
              <w:top w:val="single" w:sz="8" w:space="0" w:color="auto"/>
              <w:left w:val="nil"/>
              <w:bottom w:val="nil"/>
              <w:right w:val="nil"/>
            </w:tcBorders>
            <w:shd w:val="clear" w:color="000000" w:fill="F4B084"/>
            <w:vAlign w:val="center"/>
            <w:hideMark/>
          </w:tcPr>
          <w:p w14:paraId="6B97EEDE" w14:textId="746313A3" w:rsidR="00EC2B75" w:rsidRPr="00C66720" w:rsidRDefault="00C00181" w:rsidP="008F097E">
            <w:pPr>
              <w:spacing w:after="0" w:line="240" w:lineRule="auto"/>
              <w:jc w:val="center"/>
              <w:rPr>
                <w:rFonts w:ascii="Times New Roman" w:hAnsi="Times New Roman"/>
                <w:b/>
                <w:bCs/>
                <w:sz w:val="24"/>
                <w:szCs w:val="24"/>
                <w:lang w:eastAsia="sk-SK"/>
              </w:rPr>
            </w:pPr>
            <w:r w:rsidRPr="00C66720">
              <w:rPr>
                <w:rFonts w:ascii="Times New Roman" w:hAnsi="Times New Roman"/>
                <w:b/>
                <w:bCs/>
                <w:sz w:val="24"/>
                <w:szCs w:val="24"/>
                <w:lang w:eastAsia="sk-SK"/>
              </w:rPr>
              <w:lastRenderedPageBreak/>
              <w:t>SÚVAHA K 31. 12. 2022</w:t>
            </w:r>
          </w:p>
        </w:tc>
      </w:tr>
      <w:tr w:rsidR="00BC3EA8" w:rsidRPr="00C66720" w14:paraId="7C7FE30F" w14:textId="77777777" w:rsidTr="00F9428E">
        <w:trPr>
          <w:trHeight w:val="270"/>
        </w:trPr>
        <w:tc>
          <w:tcPr>
            <w:tcW w:w="10027" w:type="dxa"/>
            <w:gridSpan w:val="5"/>
            <w:tcBorders>
              <w:top w:val="nil"/>
              <w:left w:val="nil"/>
              <w:bottom w:val="single" w:sz="8" w:space="0" w:color="auto"/>
              <w:right w:val="nil"/>
            </w:tcBorders>
            <w:shd w:val="clear" w:color="000000" w:fill="F4B084"/>
            <w:vAlign w:val="center"/>
            <w:hideMark/>
          </w:tcPr>
          <w:p w14:paraId="0EEEDC23" w14:textId="77777777" w:rsidR="00EC2B75" w:rsidRPr="00C66720" w:rsidRDefault="00EC2B75" w:rsidP="008F097E">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(v tis. eur)</w:t>
            </w:r>
          </w:p>
        </w:tc>
      </w:tr>
      <w:tr w:rsidR="00BC3EA8" w:rsidRPr="00C66720" w14:paraId="3E296D93" w14:textId="77777777" w:rsidTr="000A2169">
        <w:trPr>
          <w:trHeight w:val="270"/>
        </w:trPr>
        <w:tc>
          <w:tcPr>
            <w:tcW w:w="880" w:type="dxa"/>
            <w:tcBorders>
              <w:top w:val="nil"/>
              <w:left w:val="nil"/>
              <w:bottom w:val="single" w:sz="8" w:space="0" w:color="auto"/>
              <w:right w:val="nil"/>
            </w:tcBorders>
            <w:shd w:val="clear" w:color="000000" w:fill="BDD7EE"/>
            <w:noWrap/>
            <w:vAlign w:val="center"/>
            <w:hideMark/>
          </w:tcPr>
          <w:p w14:paraId="6FB740A6" w14:textId="153E671E" w:rsidR="00C847C7" w:rsidRPr="00C66720" w:rsidRDefault="00C847C7" w:rsidP="008F097E">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660" w:type="dxa"/>
            <w:tcBorders>
              <w:top w:val="nil"/>
              <w:left w:val="nil"/>
              <w:bottom w:val="single" w:sz="8" w:space="0" w:color="auto"/>
              <w:right w:val="nil"/>
            </w:tcBorders>
            <w:shd w:val="clear" w:color="000000" w:fill="BDD7EE"/>
            <w:noWrap/>
            <w:vAlign w:val="center"/>
            <w:hideMark/>
          </w:tcPr>
          <w:p w14:paraId="64380708" w14:textId="77777777" w:rsidR="00C847C7" w:rsidRPr="00C66720" w:rsidRDefault="00C847C7" w:rsidP="008F097E">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5406" w:type="dxa"/>
            <w:tcBorders>
              <w:top w:val="nil"/>
              <w:left w:val="nil"/>
              <w:bottom w:val="single" w:sz="8" w:space="0" w:color="auto"/>
              <w:right w:val="nil"/>
            </w:tcBorders>
            <w:shd w:val="clear" w:color="000000" w:fill="BDD7EE"/>
            <w:noWrap/>
            <w:vAlign w:val="center"/>
            <w:hideMark/>
          </w:tcPr>
          <w:p w14:paraId="547298F1" w14:textId="77777777" w:rsidR="00C847C7" w:rsidRPr="00C66720" w:rsidRDefault="00C847C7" w:rsidP="008F097E">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PASÍVA</w:t>
            </w:r>
            <w:r w:rsidRPr="00C66720">
              <w:rPr>
                <w:rFonts w:ascii="Times New Roman" w:hAnsi="Times New Roman"/>
                <w:sz w:val="20"/>
                <w:szCs w:val="20"/>
                <w:lang w:eastAsia="sk-SK"/>
              </w:rPr>
              <w:t> </w:t>
            </w:r>
          </w:p>
        </w:tc>
        <w:tc>
          <w:tcPr>
            <w:tcW w:w="1540" w:type="dxa"/>
            <w:tcBorders>
              <w:top w:val="nil"/>
              <w:left w:val="nil"/>
              <w:bottom w:val="single" w:sz="8" w:space="0" w:color="auto"/>
              <w:right w:val="nil"/>
            </w:tcBorders>
            <w:shd w:val="clear" w:color="000000" w:fill="BDD7EE"/>
            <w:noWrap/>
            <w:vAlign w:val="center"/>
            <w:hideMark/>
          </w:tcPr>
          <w:p w14:paraId="4B6249FD" w14:textId="000809A4" w:rsidR="00C847C7" w:rsidRPr="00C66720" w:rsidRDefault="00F9428E" w:rsidP="008F097E">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xml:space="preserve">         </w:t>
            </w:r>
            <w:r w:rsidR="006F6C4A" w:rsidRPr="00C66720">
              <w:rPr>
                <w:rFonts w:ascii="Times New Roman" w:hAnsi="Times New Roman"/>
                <w:b/>
                <w:bCs/>
                <w:sz w:val="20"/>
                <w:szCs w:val="20"/>
                <w:lang w:eastAsia="sk-SK"/>
              </w:rPr>
              <w:t>2022</w:t>
            </w:r>
          </w:p>
        </w:tc>
        <w:tc>
          <w:tcPr>
            <w:tcW w:w="1541" w:type="dxa"/>
            <w:tcBorders>
              <w:top w:val="nil"/>
              <w:left w:val="nil"/>
              <w:bottom w:val="single" w:sz="8" w:space="0" w:color="auto"/>
              <w:right w:val="nil"/>
            </w:tcBorders>
            <w:shd w:val="clear" w:color="000000" w:fill="BDD7EE"/>
            <w:noWrap/>
            <w:vAlign w:val="center"/>
            <w:hideMark/>
          </w:tcPr>
          <w:p w14:paraId="14BD5318" w14:textId="1BCAC50D" w:rsidR="00C847C7" w:rsidRPr="00C66720" w:rsidRDefault="00F9428E" w:rsidP="008F097E">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xml:space="preserve">       </w:t>
            </w:r>
            <w:r w:rsidR="006F6C4A" w:rsidRPr="00C66720">
              <w:rPr>
                <w:rFonts w:ascii="Times New Roman" w:hAnsi="Times New Roman"/>
                <w:b/>
                <w:bCs/>
                <w:sz w:val="20"/>
                <w:szCs w:val="20"/>
                <w:lang w:eastAsia="sk-SK"/>
              </w:rPr>
              <w:t>2021</w:t>
            </w:r>
          </w:p>
        </w:tc>
      </w:tr>
      <w:tr w:rsidR="00BC3EA8" w:rsidRPr="00C66720" w14:paraId="4BA55FD8" w14:textId="77777777" w:rsidTr="000A2169">
        <w:trPr>
          <w:trHeight w:val="263"/>
        </w:trPr>
        <w:tc>
          <w:tcPr>
            <w:tcW w:w="6946" w:type="dxa"/>
            <w:gridSpan w:val="3"/>
            <w:tcBorders>
              <w:top w:val="single" w:sz="8" w:space="0" w:color="auto"/>
              <w:left w:val="nil"/>
              <w:bottom w:val="nil"/>
              <w:right w:val="nil"/>
            </w:tcBorders>
            <w:shd w:val="clear" w:color="auto" w:fill="auto"/>
            <w:vAlign w:val="center"/>
            <w:hideMark/>
          </w:tcPr>
          <w:p w14:paraId="565D8089" w14:textId="77777777" w:rsidR="006F6C4A" w:rsidRPr="00C66720" w:rsidRDefault="006F6C4A" w:rsidP="006F6C4A">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VLASTNÉ  IMANIE A ZÁVÄZKY SPOLU (A+B+C)</w:t>
            </w:r>
          </w:p>
        </w:tc>
        <w:tc>
          <w:tcPr>
            <w:tcW w:w="1540" w:type="dxa"/>
            <w:tcBorders>
              <w:top w:val="nil"/>
              <w:left w:val="nil"/>
              <w:bottom w:val="nil"/>
              <w:right w:val="nil"/>
            </w:tcBorders>
            <w:shd w:val="clear" w:color="auto" w:fill="auto"/>
            <w:vAlign w:val="center"/>
            <w:hideMark/>
          </w:tcPr>
          <w:p w14:paraId="5C18E355" w14:textId="518DD733" w:rsidR="006F6C4A" w:rsidRPr="00C66720" w:rsidRDefault="00E6274F" w:rsidP="0057079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85</w:t>
            </w:r>
            <w:r w:rsidR="00570791" w:rsidRPr="00C66720">
              <w:rPr>
                <w:rFonts w:ascii="Times New Roman" w:hAnsi="Times New Roman"/>
                <w:b/>
                <w:bCs/>
                <w:sz w:val="20"/>
                <w:szCs w:val="20"/>
                <w:lang w:eastAsia="sk-SK"/>
              </w:rPr>
              <w:t> 585 279</w:t>
            </w:r>
          </w:p>
        </w:tc>
        <w:tc>
          <w:tcPr>
            <w:tcW w:w="1541" w:type="dxa"/>
            <w:tcBorders>
              <w:top w:val="nil"/>
              <w:left w:val="nil"/>
              <w:bottom w:val="nil"/>
              <w:right w:val="nil"/>
            </w:tcBorders>
            <w:shd w:val="clear" w:color="auto" w:fill="auto"/>
            <w:vAlign w:val="center"/>
            <w:hideMark/>
          </w:tcPr>
          <w:p w14:paraId="41D60C5F" w14:textId="4B2ECA49" w:rsidR="006F6C4A" w:rsidRPr="00C66720" w:rsidRDefault="006F6C4A" w:rsidP="006F6C4A">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79 067 837</w:t>
            </w:r>
          </w:p>
        </w:tc>
      </w:tr>
      <w:tr w:rsidR="00BC3EA8" w:rsidRPr="00C66720" w14:paraId="1E025C70" w14:textId="77777777" w:rsidTr="000A2169">
        <w:trPr>
          <w:trHeight w:val="263"/>
        </w:trPr>
        <w:tc>
          <w:tcPr>
            <w:tcW w:w="880" w:type="dxa"/>
            <w:tcBorders>
              <w:top w:val="nil"/>
              <w:left w:val="nil"/>
              <w:bottom w:val="nil"/>
              <w:right w:val="nil"/>
            </w:tcBorders>
            <w:shd w:val="clear" w:color="auto" w:fill="auto"/>
            <w:noWrap/>
            <w:vAlign w:val="center"/>
            <w:hideMark/>
          </w:tcPr>
          <w:p w14:paraId="225AB850" w14:textId="77777777" w:rsidR="006F6C4A" w:rsidRPr="00C66720" w:rsidRDefault="006F6C4A" w:rsidP="006F6C4A">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A.</w:t>
            </w:r>
          </w:p>
        </w:tc>
        <w:tc>
          <w:tcPr>
            <w:tcW w:w="6066" w:type="dxa"/>
            <w:gridSpan w:val="2"/>
            <w:tcBorders>
              <w:top w:val="nil"/>
              <w:left w:val="nil"/>
              <w:bottom w:val="nil"/>
              <w:right w:val="nil"/>
            </w:tcBorders>
            <w:shd w:val="clear" w:color="auto" w:fill="auto"/>
            <w:vAlign w:val="center"/>
            <w:hideMark/>
          </w:tcPr>
          <w:p w14:paraId="0D5D9C8C" w14:textId="3436F784" w:rsidR="006F6C4A" w:rsidRPr="00C66720" w:rsidRDefault="006F6C4A" w:rsidP="006F6C4A">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pozn.    Vlastné imanie (A.I až A.III.)</w:t>
            </w:r>
          </w:p>
        </w:tc>
        <w:tc>
          <w:tcPr>
            <w:tcW w:w="1540" w:type="dxa"/>
            <w:tcBorders>
              <w:top w:val="nil"/>
              <w:left w:val="nil"/>
              <w:bottom w:val="nil"/>
              <w:right w:val="nil"/>
            </w:tcBorders>
            <w:shd w:val="clear" w:color="auto" w:fill="auto"/>
            <w:vAlign w:val="center"/>
            <w:hideMark/>
          </w:tcPr>
          <w:p w14:paraId="5B4B6546" w14:textId="56CA795D" w:rsidR="006F6C4A" w:rsidRPr="00C66720" w:rsidRDefault="006F6C4A" w:rsidP="0057079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w:t>
            </w:r>
            <w:r w:rsidR="009A0381" w:rsidRPr="00C66720">
              <w:rPr>
                <w:rFonts w:ascii="Times New Roman" w:hAnsi="Times New Roman"/>
                <w:b/>
                <w:bCs/>
                <w:sz w:val="20"/>
                <w:szCs w:val="20"/>
                <w:lang w:eastAsia="sk-SK"/>
              </w:rPr>
              <w:t>31</w:t>
            </w:r>
            <w:r w:rsidR="00570791" w:rsidRPr="00C66720">
              <w:rPr>
                <w:rFonts w:ascii="Times New Roman" w:hAnsi="Times New Roman"/>
                <w:b/>
                <w:bCs/>
                <w:sz w:val="20"/>
                <w:szCs w:val="20"/>
                <w:lang w:eastAsia="sk-SK"/>
              </w:rPr>
              <w:t> 677 565</w:t>
            </w:r>
          </w:p>
        </w:tc>
        <w:tc>
          <w:tcPr>
            <w:tcW w:w="1541" w:type="dxa"/>
            <w:tcBorders>
              <w:top w:val="nil"/>
              <w:left w:val="nil"/>
              <w:bottom w:val="nil"/>
              <w:right w:val="nil"/>
            </w:tcBorders>
            <w:shd w:val="clear" w:color="auto" w:fill="auto"/>
            <w:vAlign w:val="center"/>
            <w:hideMark/>
          </w:tcPr>
          <w:p w14:paraId="76791408" w14:textId="58C46A56" w:rsidR="006F6C4A" w:rsidRPr="00C66720" w:rsidRDefault="006F6C4A" w:rsidP="006F6C4A">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-45 753 235</w:t>
            </w:r>
          </w:p>
        </w:tc>
      </w:tr>
      <w:tr w:rsidR="00BC3EA8" w:rsidRPr="00C66720" w14:paraId="6BEE75F9" w14:textId="77777777" w:rsidTr="000A2169">
        <w:trPr>
          <w:trHeight w:val="278"/>
        </w:trPr>
        <w:tc>
          <w:tcPr>
            <w:tcW w:w="880" w:type="dxa"/>
            <w:tcBorders>
              <w:top w:val="nil"/>
              <w:left w:val="nil"/>
              <w:bottom w:val="nil"/>
              <w:right w:val="nil"/>
            </w:tcBorders>
            <w:shd w:val="clear" w:color="auto" w:fill="auto"/>
            <w:vAlign w:val="center"/>
            <w:hideMark/>
          </w:tcPr>
          <w:p w14:paraId="5BA0ECF5" w14:textId="77777777"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A.I.</w:t>
            </w:r>
          </w:p>
        </w:tc>
        <w:tc>
          <w:tcPr>
            <w:tcW w:w="660" w:type="dxa"/>
            <w:tcBorders>
              <w:top w:val="nil"/>
              <w:left w:val="nil"/>
              <w:bottom w:val="nil"/>
              <w:right w:val="nil"/>
            </w:tcBorders>
            <w:shd w:val="clear" w:color="auto" w:fill="auto"/>
            <w:vAlign w:val="center"/>
            <w:hideMark/>
          </w:tcPr>
          <w:p w14:paraId="47AF5CA7" w14:textId="5689481B" w:rsidR="001D5845" w:rsidRPr="00C66720" w:rsidRDefault="001D5845" w:rsidP="001D5845">
            <w:pPr>
              <w:spacing w:after="0" w:line="240" w:lineRule="auto"/>
              <w:jc w:val="center"/>
              <w:rPr>
                <w:rFonts w:ascii="Times New Roman" w:hAnsi="Times New Roman"/>
                <w:b/>
                <w:bCs/>
                <w:i/>
                <w:iCs/>
                <w:sz w:val="20"/>
                <w:szCs w:val="20"/>
                <w:lang w:eastAsia="sk-SK"/>
              </w:rPr>
            </w:pPr>
          </w:p>
        </w:tc>
        <w:tc>
          <w:tcPr>
            <w:tcW w:w="5406" w:type="dxa"/>
            <w:tcBorders>
              <w:top w:val="nil"/>
              <w:left w:val="nil"/>
              <w:bottom w:val="nil"/>
              <w:right w:val="nil"/>
            </w:tcBorders>
            <w:shd w:val="clear" w:color="auto" w:fill="auto"/>
            <w:vAlign w:val="center"/>
            <w:hideMark/>
          </w:tcPr>
          <w:p w14:paraId="2D8250DB" w14:textId="1BAAB4C7" w:rsidR="001D5845" w:rsidRPr="00C66720" w:rsidRDefault="001D5845" w:rsidP="001D584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Oceňovacie rozdiely </w:t>
            </w:r>
          </w:p>
        </w:tc>
        <w:tc>
          <w:tcPr>
            <w:tcW w:w="1540" w:type="dxa"/>
            <w:tcBorders>
              <w:top w:val="nil"/>
              <w:left w:val="nil"/>
              <w:bottom w:val="nil"/>
              <w:right w:val="nil"/>
            </w:tcBorders>
            <w:shd w:val="clear" w:color="auto" w:fill="auto"/>
            <w:vAlign w:val="center"/>
            <w:hideMark/>
          </w:tcPr>
          <w:p w14:paraId="7B64A165" w14:textId="2DB24197" w:rsidR="001D5845" w:rsidRPr="00C66720" w:rsidRDefault="00462A5F"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22 812</w:t>
            </w:r>
          </w:p>
        </w:tc>
        <w:tc>
          <w:tcPr>
            <w:tcW w:w="1541" w:type="dxa"/>
            <w:tcBorders>
              <w:top w:val="nil"/>
              <w:left w:val="nil"/>
              <w:bottom w:val="nil"/>
              <w:right w:val="nil"/>
            </w:tcBorders>
            <w:shd w:val="clear" w:color="auto" w:fill="auto"/>
            <w:vAlign w:val="center"/>
            <w:hideMark/>
          </w:tcPr>
          <w:p w14:paraId="5E90969A" w14:textId="48EF2B11"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17 433</w:t>
            </w:r>
          </w:p>
        </w:tc>
      </w:tr>
      <w:tr w:rsidR="00BC3EA8" w:rsidRPr="00C66720" w14:paraId="0963A29F" w14:textId="77777777" w:rsidTr="000A2169">
        <w:trPr>
          <w:trHeight w:val="278"/>
        </w:trPr>
        <w:tc>
          <w:tcPr>
            <w:tcW w:w="880" w:type="dxa"/>
            <w:tcBorders>
              <w:top w:val="nil"/>
              <w:left w:val="nil"/>
              <w:bottom w:val="nil"/>
              <w:right w:val="nil"/>
            </w:tcBorders>
            <w:shd w:val="clear" w:color="auto" w:fill="auto"/>
            <w:vAlign w:val="center"/>
            <w:hideMark/>
          </w:tcPr>
          <w:p w14:paraId="3630BE1B" w14:textId="77777777"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A.II.</w:t>
            </w:r>
          </w:p>
        </w:tc>
        <w:tc>
          <w:tcPr>
            <w:tcW w:w="660" w:type="dxa"/>
            <w:tcBorders>
              <w:top w:val="nil"/>
              <w:left w:val="nil"/>
              <w:bottom w:val="nil"/>
              <w:right w:val="nil"/>
            </w:tcBorders>
            <w:shd w:val="clear" w:color="auto" w:fill="auto"/>
            <w:vAlign w:val="center"/>
            <w:hideMark/>
          </w:tcPr>
          <w:p w14:paraId="06F9D3F9" w14:textId="77777777" w:rsidR="001D5845" w:rsidRPr="00C66720" w:rsidRDefault="001D5845" w:rsidP="001D5845">
            <w:pPr>
              <w:spacing w:after="0" w:line="240" w:lineRule="auto"/>
              <w:jc w:val="right"/>
              <w:rPr>
                <w:rFonts w:ascii="Times New Roman" w:hAnsi="Times New Roman"/>
                <w:b/>
                <w:bCs/>
                <w:sz w:val="20"/>
                <w:szCs w:val="20"/>
                <w:lang w:eastAsia="sk-SK"/>
              </w:rPr>
            </w:pPr>
          </w:p>
        </w:tc>
        <w:tc>
          <w:tcPr>
            <w:tcW w:w="5406" w:type="dxa"/>
            <w:tcBorders>
              <w:top w:val="nil"/>
              <w:left w:val="nil"/>
              <w:bottom w:val="nil"/>
              <w:right w:val="nil"/>
            </w:tcBorders>
            <w:shd w:val="clear" w:color="auto" w:fill="auto"/>
            <w:vAlign w:val="center"/>
            <w:hideMark/>
          </w:tcPr>
          <w:p w14:paraId="3945B9D8" w14:textId="1817868E" w:rsidR="001D5845" w:rsidRPr="00C66720" w:rsidRDefault="001D5845" w:rsidP="001D584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Výsledok hospodárenia (A.II.1.+A.II.2.)</w:t>
            </w:r>
          </w:p>
        </w:tc>
        <w:tc>
          <w:tcPr>
            <w:tcW w:w="1540" w:type="dxa"/>
            <w:tcBorders>
              <w:top w:val="nil"/>
              <w:left w:val="nil"/>
              <w:bottom w:val="nil"/>
              <w:right w:val="nil"/>
            </w:tcBorders>
            <w:shd w:val="clear" w:color="auto" w:fill="auto"/>
            <w:vAlign w:val="center"/>
            <w:hideMark/>
          </w:tcPr>
          <w:p w14:paraId="42F76AC3" w14:textId="4D6BAF27" w:rsidR="001D5845" w:rsidRPr="00C66720" w:rsidRDefault="001D5845" w:rsidP="00B70C77">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w:t>
            </w:r>
            <w:r w:rsidR="00DD12F5" w:rsidRPr="00C66720">
              <w:rPr>
                <w:rFonts w:ascii="Times New Roman" w:hAnsi="Times New Roman"/>
                <w:b/>
                <w:bCs/>
                <w:sz w:val="20"/>
                <w:szCs w:val="20"/>
                <w:lang w:eastAsia="sk-SK"/>
              </w:rPr>
              <w:t>31</w:t>
            </w:r>
            <w:r w:rsidR="00B70C77" w:rsidRPr="00C66720">
              <w:rPr>
                <w:rFonts w:ascii="Times New Roman" w:hAnsi="Times New Roman"/>
                <w:b/>
                <w:bCs/>
                <w:sz w:val="20"/>
                <w:szCs w:val="20"/>
                <w:lang w:eastAsia="sk-SK"/>
              </w:rPr>
              <w:t> 856 605</w:t>
            </w:r>
          </w:p>
        </w:tc>
        <w:tc>
          <w:tcPr>
            <w:tcW w:w="1541" w:type="dxa"/>
            <w:tcBorders>
              <w:top w:val="nil"/>
              <w:left w:val="nil"/>
              <w:bottom w:val="nil"/>
              <w:right w:val="nil"/>
            </w:tcBorders>
            <w:shd w:val="clear" w:color="auto" w:fill="auto"/>
            <w:vAlign w:val="center"/>
            <w:hideMark/>
          </w:tcPr>
          <w:p w14:paraId="28C785C5" w14:textId="6B924887"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-45 927 478</w:t>
            </w:r>
          </w:p>
        </w:tc>
      </w:tr>
      <w:tr w:rsidR="00BC3EA8" w:rsidRPr="00C66720" w14:paraId="2501A5FC" w14:textId="77777777" w:rsidTr="000A2169">
        <w:trPr>
          <w:trHeight w:val="278"/>
        </w:trPr>
        <w:tc>
          <w:tcPr>
            <w:tcW w:w="880" w:type="dxa"/>
            <w:tcBorders>
              <w:top w:val="nil"/>
              <w:left w:val="nil"/>
              <w:bottom w:val="nil"/>
              <w:right w:val="nil"/>
            </w:tcBorders>
            <w:shd w:val="clear" w:color="auto" w:fill="auto"/>
            <w:noWrap/>
            <w:vAlign w:val="bottom"/>
            <w:hideMark/>
          </w:tcPr>
          <w:p w14:paraId="4E626F40" w14:textId="77777777" w:rsidR="001D5845" w:rsidRPr="00C66720" w:rsidRDefault="001D5845" w:rsidP="001D5845">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vAlign w:val="center"/>
            <w:hideMark/>
          </w:tcPr>
          <w:p w14:paraId="3152BAA6" w14:textId="71E1CEF2"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_Ref86092105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31</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vAlign w:val="center"/>
            <w:hideMark/>
          </w:tcPr>
          <w:p w14:paraId="4DCF4852" w14:textId="24A17582"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nevysporiadaný výsledok hospodárenia min. rokov </w:t>
            </w:r>
          </w:p>
        </w:tc>
        <w:tc>
          <w:tcPr>
            <w:tcW w:w="1540" w:type="dxa"/>
            <w:tcBorders>
              <w:top w:val="nil"/>
              <w:left w:val="nil"/>
              <w:bottom w:val="nil"/>
              <w:right w:val="nil"/>
            </w:tcBorders>
            <w:shd w:val="clear" w:color="auto" w:fill="auto"/>
            <w:vAlign w:val="center"/>
            <w:hideMark/>
          </w:tcPr>
          <w:p w14:paraId="24165FB6" w14:textId="31AC47A1" w:rsidR="001D5845" w:rsidRPr="00C66720" w:rsidRDefault="001D5845" w:rsidP="00B70C7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w:t>
            </w:r>
            <w:r w:rsidR="00F564B8" w:rsidRPr="00C66720">
              <w:rPr>
                <w:rFonts w:ascii="Times New Roman" w:hAnsi="Times New Roman"/>
                <w:i/>
                <w:iCs/>
                <w:sz w:val="19"/>
                <w:szCs w:val="19"/>
                <w:lang w:eastAsia="sk-SK"/>
              </w:rPr>
              <w:t>44</w:t>
            </w:r>
            <w:r w:rsidR="00B70C77" w:rsidRPr="00C66720">
              <w:rPr>
                <w:rFonts w:ascii="Times New Roman" w:hAnsi="Times New Roman"/>
                <w:i/>
                <w:iCs/>
                <w:sz w:val="19"/>
                <w:szCs w:val="19"/>
                <w:lang w:eastAsia="sk-SK"/>
              </w:rPr>
              <w:t> 831 325</w:t>
            </w:r>
          </w:p>
        </w:tc>
        <w:tc>
          <w:tcPr>
            <w:tcW w:w="1541" w:type="dxa"/>
            <w:tcBorders>
              <w:top w:val="nil"/>
              <w:left w:val="nil"/>
              <w:bottom w:val="nil"/>
              <w:right w:val="nil"/>
            </w:tcBorders>
            <w:shd w:val="clear" w:color="auto" w:fill="auto"/>
            <w:vAlign w:val="center"/>
            <w:hideMark/>
          </w:tcPr>
          <w:p w14:paraId="09628E81" w14:textId="0E873160"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-39 682 665</w:t>
            </w:r>
          </w:p>
        </w:tc>
      </w:tr>
      <w:tr w:rsidR="00BC3EA8" w:rsidRPr="00C66720" w14:paraId="3B19BE7F" w14:textId="77777777" w:rsidTr="000A2169">
        <w:trPr>
          <w:trHeight w:val="278"/>
        </w:trPr>
        <w:tc>
          <w:tcPr>
            <w:tcW w:w="880" w:type="dxa"/>
            <w:tcBorders>
              <w:top w:val="nil"/>
              <w:left w:val="nil"/>
              <w:bottom w:val="nil"/>
              <w:right w:val="nil"/>
            </w:tcBorders>
            <w:shd w:val="clear" w:color="auto" w:fill="auto"/>
            <w:noWrap/>
            <w:vAlign w:val="bottom"/>
            <w:hideMark/>
          </w:tcPr>
          <w:p w14:paraId="4B497416"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5BF74B07" w14:textId="1C2DD122"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_Ref86092114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32</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vAlign w:val="center"/>
            <w:hideMark/>
          </w:tcPr>
          <w:p w14:paraId="39063FFB" w14:textId="247F22A6"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výsledok hospodárenia za účtovné obdobie  </w:t>
            </w:r>
          </w:p>
        </w:tc>
        <w:tc>
          <w:tcPr>
            <w:tcW w:w="1540" w:type="dxa"/>
            <w:tcBorders>
              <w:top w:val="nil"/>
              <w:left w:val="nil"/>
              <w:bottom w:val="nil"/>
              <w:right w:val="nil"/>
            </w:tcBorders>
            <w:shd w:val="clear" w:color="auto" w:fill="auto"/>
            <w:vAlign w:val="center"/>
            <w:hideMark/>
          </w:tcPr>
          <w:p w14:paraId="3FD1645D" w14:textId="232FA309" w:rsidR="001D5845" w:rsidRPr="00C66720" w:rsidRDefault="00B56CF1" w:rsidP="00B70C77">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12 974 </w:t>
            </w:r>
            <w:r w:rsidR="00B70C77" w:rsidRPr="00C66720">
              <w:rPr>
                <w:rFonts w:ascii="Times New Roman" w:hAnsi="Times New Roman"/>
                <w:i/>
                <w:iCs/>
                <w:sz w:val="19"/>
                <w:szCs w:val="19"/>
                <w:lang w:eastAsia="sk-SK"/>
              </w:rPr>
              <w:t>720</w:t>
            </w:r>
          </w:p>
        </w:tc>
        <w:tc>
          <w:tcPr>
            <w:tcW w:w="1541" w:type="dxa"/>
            <w:tcBorders>
              <w:top w:val="nil"/>
              <w:left w:val="nil"/>
              <w:bottom w:val="nil"/>
              <w:right w:val="nil"/>
            </w:tcBorders>
            <w:shd w:val="clear" w:color="auto" w:fill="auto"/>
            <w:vAlign w:val="center"/>
            <w:hideMark/>
          </w:tcPr>
          <w:p w14:paraId="5F041801" w14:textId="3EEC8C5A"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-6 244 813</w:t>
            </w:r>
          </w:p>
        </w:tc>
      </w:tr>
      <w:tr w:rsidR="00BC3EA8" w:rsidRPr="00C66720" w14:paraId="5CD6322B" w14:textId="77777777" w:rsidTr="000A2169">
        <w:trPr>
          <w:trHeight w:val="278"/>
        </w:trPr>
        <w:tc>
          <w:tcPr>
            <w:tcW w:w="880" w:type="dxa"/>
            <w:tcBorders>
              <w:top w:val="nil"/>
              <w:left w:val="nil"/>
              <w:bottom w:val="nil"/>
              <w:right w:val="nil"/>
            </w:tcBorders>
            <w:shd w:val="clear" w:color="auto" w:fill="auto"/>
            <w:vAlign w:val="center"/>
            <w:hideMark/>
          </w:tcPr>
          <w:p w14:paraId="65ADE9B2" w14:textId="77777777"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A.III.</w:t>
            </w:r>
          </w:p>
        </w:tc>
        <w:tc>
          <w:tcPr>
            <w:tcW w:w="660" w:type="dxa"/>
            <w:tcBorders>
              <w:top w:val="nil"/>
              <w:left w:val="nil"/>
              <w:bottom w:val="nil"/>
              <w:right w:val="nil"/>
            </w:tcBorders>
            <w:shd w:val="clear" w:color="auto" w:fill="auto"/>
            <w:vAlign w:val="center"/>
            <w:hideMark/>
          </w:tcPr>
          <w:p w14:paraId="5BEB5084" w14:textId="0AB82802" w:rsidR="001D5845" w:rsidRPr="00C66720" w:rsidRDefault="001D5845" w:rsidP="001D5845">
            <w:pPr>
              <w:spacing w:after="0" w:line="240" w:lineRule="auto"/>
              <w:jc w:val="center"/>
              <w:rPr>
                <w:rFonts w:ascii="Times New Roman" w:hAnsi="Times New Roman"/>
                <w:b/>
                <w:bCs/>
                <w:i/>
                <w:iCs/>
                <w:sz w:val="20"/>
                <w:szCs w:val="20"/>
                <w:lang w:eastAsia="sk-SK"/>
              </w:rPr>
            </w:pPr>
          </w:p>
        </w:tc>
        <w:tc>
          <w:tcPr>
            <w:tcW w:w="5406" w:type="dxa"/>
            <w:tcBorders>
              <w:top w:val="nil"/>
              <w:left w:val="nil"/>
              <w:bottom w:val="nil"/>
              <w:right w:val="nil"/>
            </w:tcBorders>
            <w:shd w:val="clear" w:color="auto" w:fill="auto"/>
            <w:vAlign w:val="center"/>
            <w:hideMark/>
          </w:tcPr>
          <w:p w14:paraId="6D7CC5A5" w14:textId="77777777" w:rsidR="001D5845" w:rsidRPr="00C66720" w:rsidRDefault="001D5845" w:rsidP="001D584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Podiely iných účtovných jednotiek</w:t>
            </w:r>
          </w:p>
        </w:tc>
        <w:tc>
          <w:tcPr>
            <w:tcW w:w="1540" w:type="dxa"/>
            <w:tcBorders>
              <w:top w:val="nil"/>
              <w:left w:val="nil"/>
              <w:bottom w:val="nil"/>
              <w:right w:val="nil"/>
            </w:tcBorders>
            <w:shd w:val="clear" w:color="auto" w:fill="auto"/>
            <w:vAlign w:val="center"/>
            <w:hideMark/>
          </w:tcPr>
          <w:p w14:paraId="66B74825" w14:textId="68A77FF8" w:rsidR="001D5845" w:rsidRPr="00C66720" w:rsidRDefault="001D5845" w:rsidP="0084489F">
            <w:pPr>
              <w:spacing w:after="0" w:line="240" w:lineRule="auto"/>
              <w:jc w:val="right"/>
              <w:rPr>
                <w:rFonts w:ascii="Times New Roman" w:hAnsi="Times New Roman"/>
                <w:b/>
                <w:bCs/>
                <w:sz w:val="18"/>
                <w:szCs w:val="18"/>
                <w:lang w:eastAsia="sk-SK"/>
              </w:rPr>
            </w:pPr>
            <w:r w:rsidRPr="00C66720">
              <w:rPr>
                <w:rFonts w:ascii="Times New Roman" w:hAnsi="Times New Roman"/>
                <w:b/>
                <w:bCs/>
                <w:sz w:val="20"/>
                <w:szCs w:val="20"/>
                <w:lang w:eastAsia="sk-SK"/>
              </w:rPr>
              <w:t xml:space="preserve">156 </w:t>
            </w:r>
            <w:r w:rsidR="0084489F" w:rsidRPr="00C66720">
              <w:rPr>
                <w:rFonts w:ascii="Times New Roman" w:hAnsi="Times New Roman"/>
                <w:b/>
                <w:bCs/>
                <w:sz w:val="20"/>
                <w:szCs w:val="20"/>
                <w:lang w:eastAsia="sk-SK"/>
              </w:rPr>
              <w:t>228</w:t>
            </w:r>
          </w:p>
        </w:tc>
        <w:tc>
          <w:tcPr>
            <w:tcW w:w="1541" w:type="dxa"/>
            <w:tcBorders>
              <w:top w:val="nil"/>
              <w:left w:val="nil"/>
              <w:bottom w:val="nil"/>
              <w:right w:val="nil"/>
            </w:tcBorders>
            <w:shd w:val="clear" w:color="auto" w:fill="auto"/>
            <w:vAlign w:val="center"/>
            <w:hideMark/>
          </w:tcPr>
          <w:p w14:paraId="2057A15D" w14:textId="71F0AE26"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156 810</w:t>
            </w:r>
          </w:p>
        </w:tc>
      </w:tr>
      <w:tr w:rsidR="00BC3EA8" w:rsidRPr="00C66720" w14:paraId="174B7DAD" w14:textId="77777777" w:rsidTr="000A2169">
        <w:trPr>
          <w:trHeight w:val="278"/>
        </w:trPr>
        <w:tc>
          <w:tcPr>
            <w:tcW w:w="880" w:type="dxa"/>
            <w:tcBorders>
              <w:top w:val="nil"/>
              <w:left w:val="nil"/>
              <w:bottom w:val="nil"/>
              <w:right w:val="nil"/>
            </w:tcBorders>
            <w:shd w:val="clear" w:color="auto" w:fill="auto"/>
            <w:vAlign w:val="center"/>
            <w:hideMark/>
          </w:tcPr>
          <w:p w14:paraId="204F7D1B" w14:textId="77777777" w:rsidR="001D5845" w:rsidRPr="00C66720" w:rsidRDefault="001D5845" w:rsidP="001D584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B.</w:t>
            </w:r>
          </w:p>
        </w:tc>
        <w:tc>
          <w:tcPr>
            <w:tcW w:w="6066" w:type="dxa"/>
            <w:gridSpan w:val="2"/>
            <w:tcBorders>
              <w:top w:val="nil"/>
              <w:left w:val="nil"/>
              <w:bottom w:val="nil"/>
              <w:right w:val="nil"/>
            </w:tcBorders>
            <w:shd w:val="clear" w:color="auto" w:fill="auto"/>
            <w:vAlign w:val="center"/>
            <w:hideMark/>
          </w:tcPr>
          <w:p w14:paraId="247F345A" w14:textId="1608550B" w:rsidR="001D5845" w:rsidRPr="00C66720" w:rsidRDefault="001D5845" w:rsidP="0044555F">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             Záväzky, rezervy, bankové úvery a výpomoci (B.I až B.IV.)</w:t>
            </w:r>
          </w:p>
        </w:tc>
        <w:tc>
          <w:tcPr>
            <w:tcW w:w="1540" w:type="dxa"/>
            <w:tcBorders>
              <w:top w:val="nil"/>
              <w:left w:val="nil"/>
              <w:bottom w:val="nil"/>
              <w:right w:val="nil"/>
            </w:tcBorders>
            <w:shd w:val="clear" w:color="auto" w:fill="auto"/>
            <w:vAlign w:val="center"/>
            <w:hideMark/>
          </w:tcPr>
          <w:p w14:paraId="3F08155F" w14:textId="45E46EAD" w:rsidR="001D5845" w:rsidRPr="00C66720" w:rsidRDefault="00780F3D" w:rsidP="009A5AA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105</w:t>
            </w:r>
            <w:r w:rsidR="009A5AA3" w:rsidRPr="00C66720">
              <w:rPr>
                <w:rFonts w:ascii="Times New Roman" w:hAnsi="Times New Roman"/>
                <w:b/>
                <w:bCs/>
                <w:sz w:val="20"/>
                <w:szCs w:val="20"/>
                <w:lang w:eastAsia="sk-SK"/>
              </w:rPr>
              <w:t> </w:t>
            </w:r>
            <w:r w:rsidRPr="00C66720">
              <w:rPr>
                <w:rFonts w:ascii="Times New Roman" w:hAnsi="Times New Roman"/>
                <w:b/>
                <w:bCs/>
                <w:sz w:val="20"/>
                <w:szCs w:val="20"/>
                <w:lang w:eastAsia="sk-SK"/>
              </w:rPr>
              <w:t>7</w:t>
            </w:r>
            <w:r w:rsidR="009A5AA3" w:rsidRPr="00C66720">
              <w:rPr>
                <w:rFonts w:ascii="Times New Roman" w:hAnsi="Times New Roman"/>
                <w:b/>
                <w:bCs/>
                <w:sz w:val="20"/>
                <w:szCs w:val="20"/>
                <w:lang w:eastAsia="sk-SK"/>
              </w:rPr>
              <w:t>25 635</w:t>
            </w:r>
          </w:p>
        </w:tc>
        <w:tc>
          <w:tcPr>
            <w:tcW w:w="1541" w:type="dxa"/>
            <w:tcBorders>
              <w:top w:val="nil"/>
              <w:left w:val="nil"/>
              <w:bottom w:val="nil"/>
              <w:right w:val="nil"/>
            </w:tcBorders>
            <w:shd w:val="clear" w:color="auto" w:fill="auto"/>
            <w:vAlign w:val="center"/>
            <w:hideMark/>
          </w:tcPr>
          <w:p w14:paraId="3428AB97" w14:textId="37536D7E"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113 602 541</w:t>
            </w:r>
          </w:p>
        </w:tc>
      </w:tr>
      <w:tr w:rsidR="00BC3EA8" w:rsidRPr="00C66720" w14:paraId="1CCBC4A5" w14:textId="77777777" w:rsidTr="000A2169">
        <w:trPr>
          <w:trHeight w:val="278"/>
        </w:trPr>
        <w:tc>
          <w:tcPr>
            <w:tcW w:w="880" w:type="dxa"/>
            <w:tcBorders>
              <w:top w:val="nil"/>
              <w:left w:val="nil"/>
              <w:bottom w:val="nil"/>
              <w:right w:val="nil"/>
            </w:tcBorders>
            <w:shd w:val="clear" w:color="auto" w:fill="auto"/>
            <w:vAlign w:val="center"/>
            <w:hideMark/>
          </w:tcPr>
          <w:p w14:paraId="462103B4" w14:textId="77777777"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B.I.</w:t>
            </w:r>
          </w:p>
        </w:tc>
        <w:tc>
          <w:tcPr>
            <w:tcW w:w="660" w:type="dxa"/>
            <w:tcBorders>
              <w:top w:val="nil"/>
              <w:left w:val="nil"/>
              <w:bottom w:val="nil"/>
              <w:right w:val="nil"/>
            </w:tcBorders>
            <w:shd w:val="clear" w:color="auto" w:fill="auto"/>
            <w:vAlign w:val="center"/>
            <w:hideMark/>
          </w:tcPr>
          <w:p w14:paraId="7B97F085" w14:textId="77777777" w:rsidR="001D5845" w:rsidRPr="00C66720" w:rsidRDefault="001D5845" w:rsidP="001D5845">
            <w:pPr>
              <w:spacing w:after="0" w:line="240" w:lineRule="auto"/>
              <w:jc w:val="right"/>
              <w:rPr>
                <w:rFonts w:ascii="Times New Roman" w:hAnsi="Times New Roman"/>
                <w:b/>
                <w:bCs/>
                <w:sz w:val="20"/>
                <w:szCs w:val="20"/>
                <w:lang w:eastAsia="sk-SK"/>
              </w:rPr>
            </w:pPr>
          </w:p>
        </w:tc>
        <w:tc>
          <w:tcPr>
            <w:tcW w:w="5406" w:type="dxa"/>
            <w:tcBorders>
              <w:top w:val="nil"/>
              <w:left w:val="nil"/>
              <w:bottom w:val="nil"/>
              <w:right w:val="nil"/>
            </w:tcBorders>
            <w:shd w:val="clear" w:color="auto" w:fill="auto"/>
            <w:vAlign w:val="center"/>
            <w:hideMark/>
          </w:tcPr>
          <w:p w14:paraId="0EF3203F" w14:textId="77777777" w:rsidR="001D5845" w:rsidRPr="00C66720" w:rsidRDefault="001D5845" w:rsidP="001D584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Dlhodobé záväzky </w:t>
            </w:r>
          </w:p>
        </w:tc>
        <w:tc>
          <w:tcPr>
            <w:tcW w:w="1540" w:type="dxa"/>
            <w:tcBorders>
              <w:top w:val="nil"/>
              <w:left w:val="nil"/>
              <w:bottom w:val="nil"/>
              <w:right w:val="nil"/>
            </w:tcBorders>
            <w:shd w:val="clear" w:color="auto" w:fill="auto"/>
            <w:vAlign w:val="center"/>
            <w:hideMark/>
          </w:tcPr>
          <w:p w14:paraId="2028C32A" w14:textId="6AC33BF8" w:rsidR="001D5845" w:rsidRPr="00C66720" w:rsidRDefault="00AA0139" w:rsidP="009A5AA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57</w:t>
            </w:r>
            <w:r w:rsidR="009A5AA3" w:rsidRPr="00C66720">
              <w:rPr>
                <w:rFonts w:ascii="Times New Roman" w:hAnsi="Times New Roman"/>
                <w:b/>
                <w:bCs/>
                <w:sz w:val="20"/>
                <w:szCs w:val="20"/>
                <w:lang w:eastAsia="sk-SK"/>
              </w:rPr>
              <w:t> </w:t>
            </w:r>
            <w:r w:rsidRPr="00C66720">
              <w:rPr>
                <w:rFonts w:ascii="Times New Roman" w:hAnsi="Times New Roman"/>
                <w:b/>
                <w:bCs/>
                <w:sz w:val="20"/>
                <w:szCs w:val="20"/>
                <w:lang w:eastAsia="sk-SK"/>
              </w:rPr>
              <w:t>20</w:t>
            </w:r>
            <w:r w:rsidR="009A5AA3" w:rsidRPr="00C66720">
              <w:rPr>
                <w:rFonts w:ascii="Times New Roman" w:hAnsi="Times New Roman"/>
                <w:b/>
                <w:bCs/>
                <w:sz w:val="20"/>
                <w:szCs w:val="20"/>
                <w:lang w:eastAsia="sk-SK"/>
              </w:rPr>
              <w:t>5 521</w:t>
            </w:r>
          </w:p>
        </w:tc>
        <w:tc>
          <w:tcPr>
            <w:tcW w:w="1541" w:type="dxa"/>
            <w:tcBorders>
              <w:top w:val="nil"/>
              <w:left w:val="nil"/>
              <w:bottom w:val="nil"/>
              <w:right w:val="nil"/>
            </w:tcBorders>
            <w:shd w:val="clear" w:color="auto" w:fill="auto"/>
            <w:vAlign w:val="center"/>
            <w:hideMark/>
          </w:tcPr>
          <w:p w14:paraId="56D3F786" w14:textId="2EFD4E8C"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57 195 918</w:t>
            </w:r>
          </w:p>
        </w:tc>
      </w:tr>
      <w:tr w:rsidR="00BC3EA8" w:rsidRPr="00C66720" w14:paraId="0EE35E27" w14:textId="77777777" w:rsidTr="000A2169">
        <w:trPr>
          <w:trHeight w:val="278"/>
        </w:trPr>
        <w:tc>
          <w:tcPr>
            <w:tcW w:w="880" w:type="dxa"/>
            <w:tcBorders>
              <w:top w:val="nil"/>
              <w:left w:val="nil"/>
              <w:bottom w:val="nil"/>
              <w:right w:val="nil"/>
            </w:tcBorders>
            <w:shd w:val="clear" w:color="auto" w:fill="auto"/>
            <w:vAlign w:val="center"/>
            <w:hideMark/>
          </w:tcPr>
          <w:p w14:paraId="5043B62C" w14:textId="77777777" w:rsidR="001D5845" w:rsidRPr="00C66720" w:rsidRDefault="001D5845" w:rsidP="001D5845">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noWrap/>
            <w:vAlign w:val="center"/>
            <w:hideMark/>
          </w:tcPr>
          <w:p w14:paraId="50B093B8" w14:textId="7836613C"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_Ref86092123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33</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noWrap/>
            <w:vAlign w:val="center"/>
            <w:hideMark/>
          </w:tcPr>
          <w:p w14:paraId="211FDC9A"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štátne dlhopisy</w:t>
            </w:r>
          </w:p>
        </w:tc>
        <w:tc>
          <w:tcPr>
            <w:tcW w:w="1540" w:type="dxa"/>
            <w:tcBorders>
              <w:top w:val="nil"/>
              <w:left w:val="nil"/>
              <w:bottom w:val="nil"/>
              <w:right w:val="nil"/>
            </w:tcBorders>
            <w:shd w:val="clear" w:color="auto" w:fill="auto"/>
            <w:vAlign w:val="center"/>
            <w:hideMark/>
          </w:tcPr>
          <w:p w14:paraId="5E5EC2DB" w14:textId="77236616" w:rsidR="001D5845" w:rsidRPr="00C66720" w:rsidRDefault="00AA0139"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50 141 830</w:t>
            </w:r>
          </w:p>
        </w:tc>
        <w:tc>
          <w:tcPr>
            <w:tcW w:w="1541" w:type="dxa"/>
            <w:tcBorders>
              <w:top w:val="nil"/>
              <w:left w:val="nil"/>
              <w:bottom w:val="nil"/>
              <w:right w:val="nil"/>
            </w:tcBorders>
            <w:shd w:val="clear" w:color="auto" w:fill="auto"/>
            <w:vAlign w:val="center"/>
            <w:hideMark/>
          </w:tcPr>
          <w:p w14:paraId="74662D43" w14:textId="13FA96DE"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49 612 947</w:t>
            </w:r>
          </w:p>
        </w:tc>
      </w:tr>
      <w:tr w:rsidR="00BC3EA8" w:rsidRPr="00C66720" w14:paraId="06AFE89C" w14:textId="77777777" w:rsidTr="000A2169">
        <w:trPr>
          <w:trHeight w:val="278"/>
        </w:trPr>
        <w:tc>
          <w:tcPr>
            <w:tcW w:w="880" w:type="dxa"/>
            <w:tcBorders>
              <w:top w:val="nil"/>
              <w:left w:val="nil"/>
              <w:bottom w:val="nil"/>
              <w:right w:val="nil"/>
            </w:tcBorders>
            <w:shd w:val="clear" w:color="auto" w:fill="auto"/>
            <w:noWrap/>
            <w:vAlign w:val="bottom"/>
            <w:hideMark/>
          </w:tcPr>
          <w:p w14:paraId="439FA68E"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5EC56BC0" w14:textId="1BFF0CE8" w:rsidR="001D5845" w:rsidRPr="00C66720" w:rsidRDefault="001D5845" w:rsidP="001D5845">
            <w:pPr>
              <w:spacing w:after="0" w:line="240" w:lineRule="auto"/>
              <w:jc w:val="center"/>
              <w:rPr>
                <w:rFonts w:ascii="Times New Roman" w:hAnsi="Times New Roman"/>
                <w:i/>
                <w:iCs/>
                <w:sz w:val="20"/>
                <w:szCs w:val="20"/>
                <w:lang w:eastAsia="sk-SK"/>
              </w:rPr>
            </w:pPr>
            <w:r w:rsidRPr="00C66720">
              <w:rPr>
                <w:rFonts w:ascii="Times New Roman" w:hAnsi="Times New Roman"/>
                <w:i/>
                <w:iCs/>
                <w:sz w:val="20"/>
                <w:szCs w:val="20"/>
                <w:lang w:eastAsia="sk-SK"/>
              </w:rPr>
              <w:fldChar w:fldCharType="begin"/>
            </w:r>
            <w:r w:rsidRPr="00C66720">
              <w:rPr>
                <w:rFonts w:ascii="Times New Roman" w:hAnsi="Times New Roman"/>
                <w:i/>
                <w:iCs/>
                <w:sz w:val="20"/>
                <w:szCs w:val="20"/>
                <w:lang w:eastAsia="sk-SK"/>
              </w:rPr>
              <w:instrText xml:space="preserve"> REF _Ref86092132 \r \h  \* MERGEFORMAT </w:instrText>
            </w:r>
            <w:r w:rsidRPr="00C66720">
              <w:rPr>
                <w:rFonts w:ascii="Times New Roman" w:hAnsi="Times New Roman"/>
                <w:i/>
                <w:iCs/>
                <w:sz w:val="20"/>
                <w:szCs w:val="20"/>
                <w:lang w:eastAsia="sk-SK"/>
              </w:rPr>
            </w:r>
            <w:r w:rsidRPr="00C66720">
              <w:rPr>
                <w:rFonts w:ascii="Times New Roman" w:hAnsi="Times New Roman"/>
                <w:i/>
                <w:iCs/>
                <w:sz w:val="20"/>
                <w:szCs w:val="20"/>
                <w:lang w:eastAsia="sk-SK"/>
              </w:rPr>
              <w:fldChar w:fldCharType="separate"/>
            </w:r>
            <w:r w:rsidR="00B00473" w:rsidRPr="00C66720">
              <w:rPr>
                <w:rFonts w:ascii="Times New Roman" w:hAnsi="Times New Roman"/>
                <w:i/>
                <w:iCs/>
                <w:sz w:val="20"/>
                <w:szCs w:val="20"/>
                <w:lang w:eastAsia="sk-SK"/>
              </w:rPr>
              <w:t>34</w:t>
            </w:r>
            <w:r w:rsidRPr="00C66720">
              <w:rPr>
                <w:rFonts w:ascii="Times New Roman" w:hAnsi="Times New Roman"/>
                <w:i/>
                <w:iCs/>
                <w:sz w:val="20"/>
                <w:szCs w:val="20"/>
                <w:lang w:eastAsia="sk-SK"/>
              </w:rPr>
              <w:fldChar w:fldCharType="end"/>
            </w:r>
          </w:p>
        </w:tc>
        <w:tc>
          <w:tcPr>
            <w:tcW w:w="5406" w:type="dxa"/>
            <w:tcBorders>
              <w:top w:val="nil"/>
              <w:left w:val="nil"/>
              <w:bottom w:val="nil"/>
              <w:right w:val="nil"/>
            </w:tcBorders>
            <w:shd w:val="clear" w:color="auto" w:fill="auto"/>
            <w:noWrap/>
            <w:vAlign w:val="center"/>
            <w:hideMark/>
          </w:tcPr>
          <w:p w14:paraId="56C3A09B"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bankové úvery</w:t>
            </w:r>
          </w:p>
        </w:tc>
        <w:tc>
          <w:tcPr>
            <w:tcW w:w="1540" w:type="dxa"/>
            <w:tcBorders>
              <w:top w:val="nil"/>
              <w:left w:val="nil"/>
              <w:bottom w:val="nil"/>
              <w:right w:val="nil"/>
            </w:tcBorders>
            <w:shd w:val="clear" w:color="auto" w:fill="auto"/>
            <w:vAlign w:val="center"/>
            <w:hideMark/>
          </w:tcPr>
          <w:p w14:paraId="29F53DD1" w14:textId="6FA8FDA1" w:rsidR="001D5845" w:rsidRPr="00C66720" w:rsidRDefault="00975D0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5 969 129</w:t>
            </w:r>
          </w:p>
        </w:tc>
        <w:tc>
          <w:tcPr>
            <w:tcW w:w="1541" w:type="dxa"/>
            <w:tcBorders>
              <w:top w:val="nil"/>
              <w:left w:val="nil"/>
              <w:bottom w:val="nil"/>
              <w:right w:val="nil"/>
            </w:tcBorders>
            <w:shd w:val="clear" w:color="auto" w:fill="auto"/>
            <w:vAlign w:val="center"/>
            <w:hideMark/>
          </w:tcPr>
          <w:p w14:paraId="405136CB" w14:textId="6A76BFC0"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5 841 026</w:t>
            </w:r>
          </w:p>
        </w:tc>
      </w:tr>
      <w:tr w:rsidR="00BC3EA8" w:rsidRPr="00C66720" w14:paraId="37466C3E" w14:textId="77777777" w:rsidTr="000A2169">
        <w:trPr>
          <w:trHeight w:val="278"/>
        </w:trPr>
        <w:tc>
          <w:tcPr>
            <w:tcW w:w="880" w:type="dxa"/>
            <w:tcBorders>
              <w:top w:val="nil"/>
              <w:left w:val="nil"/>
              <w:bottom w:val="nil"/>
              <w:right w:val="nil"/>
            </w:tcBorders>
            <w:shd w:val="clear" w:color="auto" w:fill="auto"/>
            <w:noWrap/>
            <w:vAlign w:val="bottom"/>
            <w:hideMark/>
          </w:tcPr>
          <w:p w14:paraId="257B5A80"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vAlign w:val="center"/>
            <w:hideMark/>
          </w:tcPr>
          <w:p w14:paraId="084BB253" w14:textId="43B8596E" w:rsidR="001D5845" w:rsidRPr="00C66720" w:rsidRDefault="001D5845" w:rsidP="001D5845">
            <w:pPr>
              <w:spacing w:after="0" w:line="240" w:lineRule="auto"/>
              <w:jc w:val="center"/>
              <w:rPr>
                <w:rFonts w:ascii="Times New Roman" w:hAnsi="Times New Roman"/>
                <w:i/>
                <w:iCs/>
                <w:sz w:val="20"/>
                <w:szCs w:val="20"/>
                <w:lang w:eastAsia="sk-SK"/>
              </w:rPr>
            </w:pPr>
            <w:r w:rsidRPr="00C66720">
              <w:rPr>
                <w:rFonts w:ascii="Times New Roman" w:hAnsi="Times New Roman"/>
                <w:i/>
                <w:iCs/>
                <w:sz w:val="20"/>
                <w:szCs w:val="20"/>
                <w:lang w:eastAsia="sk-SK"/>
              </w:rPr>
              <w:fldChar w:fldCharType="begin"/>
            </w:r>
            <w:r w:rsidRPr="00C66720">
              <w:rPr>
                <w:rFonts w:ascii="Times New Roman" w:hAnsi="Times New Roman"/>
                <w:i/>
                <w:iCs/>
                <w:sz w:val="20"/>
                <w:szCs w:val="20"/>
                <w:lang w:eastAsia="sk-SK"/>
              </w:rPr>
              <w:instrText xml:space="preserve"> REF _Ref86092141 \r \h  \* MERGEFORMAT </w:instrText>
            </w:r>
            <w:r w:rsidRPr="00C66720">
              <w:rPr>
                <w:rFonts w:ascii="Times New Roman" w:hAnsi="Times New Roman"/>
                <w:i/>
                <w:iCs/>
                <w:sz w:val="20"/>
                <w:szCs w:val="20"/>
                <w:lang w:eastAsia="sk-SK"/>
              </w:rPr>
            </w:r>
            <w:r w:rsidRPr="00C66720">
              <w:rPr>
                <w:rFonts w:ascii="Times New Roman" w:hAnsi="Times New Roman"/>
                <w:i/>
                <w:iCs/>
                <w:sz w:val="20"/>
                <w:szCs w:val="20"/>
                <w:lang w:eastAsia="sk-SK"/>
              </w:rPr>
              <w:fldChar w:fldCharType="separate"/>
            </w:r>
            <w:r w:rsidR="00B00473" w:rsidRPr="00C66720">
              <w:rPr>
                <w:rFonts w:ascii="Times New Roman" w:hAnsi="Times New Roman"/>
                <w:i/>
                <w:iCs/>
                <w:sz w:val="20"/>
                <w:szCs w:val="20"/>
                <w:lang w:eastAsia="sk-SK"/>
              </w:rPr>
              <w:t>35</w:t>
            </w:r>
            <w:r w:rsidRPr="00C66720">
              <w:rPr>
                <w:rFonts w:ascii="Times New Roman" w:hAnsi="Times New Roman"/>
                <w:i/>
                <w:iCs/>
                <w:sz w:val="20"/>
                <w:szCs w:val="20"/>
                <w:lang w:eastAsia="sk-SK"/>
              </w:rPr>
              <w:fldChar w:fldCharType="end"/>
            </w:r>
          </w:p>
        </w:tc>
        <w:tc>
          <w:tcPr>
            <w:tcW w:w="5406" w:type="dxa"/>
            <w:tcBorders>
              <w:top w:val="nil"/>
              <w:left w:val="nil"/>
              <w:bottom w:val="nil"/>
              <w:right w:val="nil"/>
            </w:tcBorders>
            <w:shd w:val="clear" w:color="auto" w:fill="auto"/>
            <w:noWrap/>
            <w:vAlign w:val="center"/>
            <w:hideMark/>
          </w:tcPr>
          <w:p w14:paraId="5B04DB1D"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dlhodobé záväzky</w:t>
            </w:r>
          </w:p>
        </w:tc>
        <w:tc>
          <w:tcPr>
            <w:tcW w:w="1540" w:type="dxa"/>
            <w:tcBorders>
              <w:top w:val="nil"/>
              <w:left w:val="nil"/>
              <w:bottom w:val="nil"/>
              <w:right w:val="nil"/>
            </w:tcBorders>
            <w:shd w:val="clear" w:color="auto" w:fill="auto"/>
            <w:vAlign w:val="center"/>
            <w:hideMark/>
          </w:tcPr>
          <w:p w14:paraId="6456D3E1" w14:textId="03BF9D47" w:rsidR="001D5845" w:rsidRPr="00C66720" w:rsidRDefault="00255DBD" w:rsidP="009A5AA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w:t>
            </w:r>
            <w:r w:rsidR="009A5AA3" w:rsidRPr="00C66720">
              <w:rPr>
                <w:rFonts w:ascii="Times New Roman" w:hAnsi="Times New Roman"/>
                <w:i/>
                <w:iCs/>
                <w:sz w:val="19"/>
                <w:szCs w:val="19"/>
                <w:lang w:eastAsia="sk-SK"/>
              </w:rPr>
              <w:t> </w:t>
            </w:r>
            <w:r w:rsidRPr="00C66720">
              <w:rPr>
                <w:rFonts w:ascii="Times New Roman" w:hAnsi="Times New Roman"/>
                <w:i/>
                <w:iCs/>
                <w:sz w:val="19"/>
                <w:szCs w:val="19"/>
                <w:lang w:eastAsia="sk-SK"/>
              </w:rPr>
              <w:t>09</w:t>
            </w:r>
            <w:r w:rsidR="009A5AA3" w:rsidRPr="00C66720">
              <w:rPr>
                <w:rFonts w:ascii="Times New Roman" w:hAnsi="Times New Roman"/>
                <w:i/>
                <w:iCs/>
                <w:sz w:val="19"/>
                <w:szCs w:val="19"/>
                <w:lang w:eastAsia="sk-SK"/>
              </w:rPr>
              <w:t>4 562</w:t>
            </w:r>
          </w:p>
        </w:tc>
        <w:tc>
          <w:tcPr>
            <w:tcW w:w="1541" w:type="dxa"/>
            <w:tcBorders>
              <w:top w:val="nil"/>
              <w:left w:val="nil"/>
              <w:bottom w:val="nil"/>
              <w:right w:val="nil"/>
            </w:tcBorders>
            <w:shd w:val="clear" w:color="auto" w:fill="auto"/>
            <w:vAlign w:val="center"/>
            <w:hideMark/>
          </w:tcPr>
          <w:p w14:paraId="720B519A" w14:textId="6AB94569"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1 741 945</w:t>
            </w:r>
          </w:p>
        </w:tc>
      </w:tr>
      <w:tr w:rsidR="00BC3EA8" w:rsidRPr="00C66720" w14:paraId="17C519DE" w14:textId="77777777" w:rsidTr="000A2169">
        <w:trPr>
          <w:trHeight w:val="263"/>
        </w:trPr>
        <w:tc>
          <w:tcPr>
            <w:tcW w:w="880" w:type="dxa"/>
            <w:tcBorders>
              <w:top w:val="nil"/>
              <w:left w:val="nil"/>
              <w:bottom w:val="nil"/>
              <w:right w:val="nil"/>
            </w:tcBorders>
            <w:shd w:val="clear" w:color="auto" w:fill="auto"/>
            <w:vAlign w:val="center"/>
            <w:hideMark/>
          </w:tcPr>
          <w:p w14:paraId="23B3648F" w14:textId="77777777"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B.II.</w:t>
            </w:r>
          </w:p>
        </w:tc>
        <w:tc>
          <w:tcPr>
            <w:tcW w:w="660" w:type="dxa"/>
            <w:tcBorders>
              <w:top w:val="nil"/>
              <w:left w:val="nil"/>
              <w:bottom w:val="nil"/>
              <w:right w:val="nil"/>
            </w:tcBorders>
            <w:shd w:val="clear" w:color="auto" w:fill="auto"/>
            <w:noWrap/>
            <w:vAlign w:val="center"/>
            <w:hideMark/>
          </w:tcPr>
          <w:p w14:paraId="34259A37" w14:textId="77777777" w:rsidR="001D5845" w:rsidRPr="00C66720" w:rsidRDefault="001D5845" w:rsidP="001D5845">
            <w:pPr>
              <w:spacing w:after="0" w:line="240" w:lineRule="auto"/>
              <w:jc w:val="right"/>
              <w:rPr>
                <w:rFonts w:ascii="Times New Roman" w:hAnsi="Times New Roman"/>
                <w:b/>
                <w:bCs/>
                <w:sz w:val="20"/>
                <w:szCs w:val="20"/>
                <w:lang w:eastAsia="sk-SK"/>
              </w:rPr>
            </w:pPr>
          </w:p>
        </w:tc>
        <w:tc>
          <w:tcPr>
            <w:tcW w:w="5406" w:type="dxa"/>
            <w:tcBorders>
              <w:top w:val="nil"/>
              <w:left w:val="nil"/>
              <w:bottom w:val="nil"/>
              <w:right w:val="nil"/>
            </w:tcBorders>
            <w:shd w:val="clear" w:color="auto" w:fill="auto"/>
            <w:vAlign w:val="center"/>
            <w:hideMark/>
          </w:tcPr>
          <w:p w14:paraId="219A08C6" w14:textId="77777777" w:rsidR="001D5845" w:rsidRPr="00C66720" w:rsidRDefault="001D5845" w:rsidP="001D584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Dlhodobé rezervy </w:t>
            </w:r>
          </w:p>
        </w:tc>
        <w:tc>
          <w:tcPr>
            <w:tcW w:w="1540" w:type="dxa"/>
            <w:tcBorders>
              <w:top w:val="nil"/>
              <w:left w:val="nil"/>
              <w:bottom w:val="nil"/>
              <w:right w:val="nil"/>
            </w:tcBorders>
            <w:shd w:val="clear" w:color="auto" w:fill="auto"/>
            <w:vAlign w:val="center"/>
            <w:hideMark/>
          </w:tcPr>
          <w:p w14:paraId="2D4F50C6" w14:textId="591984D7" w:rsidR="001D5845" w:rsidRPr="00C66720" w:rsidRDefault="00255DBD"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28 797 831</w:t>
            </w:r>
          </w:p>
        </w:tc>
        <w:tc>
          <w:tcPr>
            <w:tcW w:w="1541" w:type="dxa"/>
            <w:tcBorders>
              <w:top w:val="nil"/>
              <w:left w:val="nil"/>
              <w:bottom w:val="nil"/>
              <w:right w:val="nil"/>
            </w:tcBorders>
            <w:shd w:val="clear" w:color="auto" w:fill="auto"/>
            <w:vAlign w:val="center"/>
            <w:hideMark/>
          </w:tcPr>
          <w:p w14:paraId="56DA8249" w14:textId="70E0A800"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41 381 105</w:t>
            </w:r>
          </w:p>
        </w:tc>
      </w:tr>
      <w:tr w:rsidR="00BC3EA8" w:rsidRPr="00C66720" w14:paraId="21AAA190" w14:textId="77777777" w:rsidTr="000A2169">
        <w:trPr>
          <w:trHeight w:val="263"/>
        </w:trPr>
        <w:tc>
          <w:tcPr>
            <w:tcW w:w="880" w:type="dxa"/>
            <w:tcBorders>
              <w:top w:val="nil"/>
              <w:left w:val="nil"/>
              <w:bottom w:val="nil"/>
              <w:right w:val="nil"/>
            </w:tcBorders>
            <w:shd w:val="clear" w:color="auto" w:fill="auto"/>
            <w:vAlign w:val="center"/>
            <w:hideMark/>
          </w:tcPr>
          <w:p w14:paraId="7F7E09F9" w14:textId="77777777" w:rsidR="001D5845" w:rsidRPr="00C66720" w:rsidRDefault="001D5845" w:rsidP="001D5845">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noWrap/>
            <w:vAlign w:val="center"/>
            <w:hideMark/>
          </w:tcPr>
          <w:p w14:paraId="21519BBB" w14:textId="5D6FEB79" w:rsidR="001D5845" w:rsidRPr="00C66720" w:rsidRDefault="00936F1B" w:rsidP="00936F1B">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t>36</w:t>
            </w:r>
          </w:p>
        </w:tc>
        <w:tc>
          <w:tcPr>
            <w:tcW w:w="5406" w:type="dxa"/>
            <w:tcBorders>
              <w:top w:val="nil"/>
              <w:left w:val="nil"/>
              <w:bottom w:val="nil"/>
              <w:right w:val="nil"/>
            </w:tcBorders>
            <w:shd w:val="clear" w:color="auto" w:fill="auto"/>
            <w:noWrap/>
            <w:vAlign w:val="center"/>
            <w:hideMark/>
          </w:tcPr>
          <w:p w14:paraId="52D01B97"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zamestnanecké požitky štátnych rozp. a príspev. organizácií</w:t>
            </w:r>
          </w:p>
        </w:tc>
        <w:tc>
          <w:tcPr>
            <w:tcW w:w="1540" w:type="dxa"/>
            <w:tcBorders>
              <w:top w:val="nil"/>
              <w:left w:val="nil"/>
              <w:bottom w:val="nil"/>
              <w:right w:val="nil"/>
            </w:tcBorders>
            <w:shd w:val="clear" w:color="auto" w:fill="auto"/>
            <w:vAlign w:val="center"/>
            <w:hideMark/>
          </w:tcPr>
          <w:p w14:paraId="14BF54B6" w14:textId="515E6002" w:rsidR="001D5845" w:rsidRPr="00C66720" w:rsidRDefault="009803EF"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26 367 644</w:t>
            </w:r>
          </w:p>
        </w:tc>
        <w:tc>
          <w:tcPr>
            <w:tcW w:w="1541" w:type="dxa"/>
            <w:tcBorders>
              <w:top w:val="nil"/>
              <w:left w:val="nil"/>
              <w:bottom w:val="nil"/>
              <w:right w:val="nil"/>
            </w:tcBorders>
            <w:shd w:val="clear" w:color="auto" w:fill="auto"/>
            <w:vAlign w:val="center"/>
            <w:hideMark/>
          </w:tcPr>
          <w:p w14:paraId="0B219054" w14:textId="2ECCA093"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39 791 252</w:t>
            </w:r>
          </w:p>
        </w:tc>
      </w:tr>
      <w:tr w:rsidR="00BC3EA8" w:rsidRPr="00C66720" w14:paraId="0AC041BB" w14:textId="77777777" w:rsidTr="000A2169">
        <w:trPr>
          <w:trHeight w:val="263"/>
        </w:trPr>
        <w:tc>
          <w:tcPr>
            <w:tcW w:w="880" w:type="dxa"/>
            <w:tcBorders>
              <w:top w:val="nil"/>
              <w:left w:val="nil"/>
              <w:bottom w:val="nil"/>
              <w:right w:val="nil"/>
            </w:tcBorders>
            <w:shd w:val="clear" w:color="auto" w:fill="auto"/>
            <w:vAlign w:val="center"/>
            <w:hideMark/>
          </w:tcPr>
          <w:p w14:paraId="2A04C9E3"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14C1C243" w14:textId="7C7E45C9"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_Ref86092165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37</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noWrap/>
            <w:vAlign w:val="center"/>
            <w:hideMark/>
          </w:tcPr>
          <w:p w14:paraId="6846520A"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dlhodobé rezervy</w:t>
            </w:r>
          </w:p>
        </w:tc>
        <w:tc>
          <w:tcPr>
            <w:tcW w:w="1540" w:type="dxa"/>
            <w:tcBorders>
              <w:top w:val="nil"/>
              <w:left w:val="nil"/>
              <w:bottom w:val="nil"/>
              <w:right w:val="nil"/>
            </w:tcBorders>
            <w:shd w:val="clear" w:color="auto" w:fill="auto"/>
            <w:vAlign w:val="center"/>
            <w:hideMark/>
          </w:tcPr>
          <w:p w14:paraId="6CC63155" w14:textId="1337D2D2" w:rsidR="001D5845" w:rsidRPr="00C66720" w:rsidRDefault="00D054D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2 430 187</w:t>
            </w:r>
          </w:p>
        </w:tc>
        <w:tc>
          <w:tcPr>
            <w:tcW w:w="1541" w:type="dxa"/>
            <w:tcBorders>
              <w:top w:val="nil"/>
              <w:left w:val="nil"/>
              <w:bottom w:val="nil"/>
              <w:right w:val="nil"/>
            </w:tcBorders>
            <w:shd w:val="clear" w:color="auto" w:fill="auto"/>
            <w:vAlign w:val="center"/>
            <w:hideMark/>
          </w:tcPr>
          <w:p w14:paraId="0A5F72B5" w14:textId="5159A294"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1 589 853</w:t>
            </w:r>
          </w:p>
        </w:tc>
      </w:tr>
      <w:tr w:rsidR="00BC3EA8" w:rsidRPr="00C66720" w14:paraId="16DCFC47" w14:textId="77777777" w:rsidTr="000A2169">
        <w:trPr>
          <w:trHeight w:val="263"/>
        </w:trPr>
        <w:tc>
          <w:tcPr>
            <w:tcW w:w="880" w:type="dxa"/>
            <w:tcBorders>
              <w:top w:val="nil"/>
              <w:left w:val="nil"/>
              <w:bottom w:val="nil"/>
              <w:right w:val="nil"/>
            </w:tcBorders>
            <w:shd w:val="clear" w:color="auto" w:fill="auto"/>
            <w:vAlign w:val="center"/>
            <w:hideMark/>
          </w:tcPr>
          <w:p w14:paraId="0CA64A59" w14:textId="77777777"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B.III.</w:t>
            </w:r>
          </w:p>
        </w:tc>
        <w:tc>
          <w:tcPr>
            <w:tcW w:w="660" w:type="dxa"/>
            <w:tcBorders>
              <w:top w:val="nil"/>
              <w:left w:val="nil"/>
              <w:bottom w:val="nil"/>
              <w:right w:val="nil"/>
            </w:tcBorders>
            <w:shd w:val="clear" w:color="auto" w:fill="auto"/>
            <w:noWrap/>
            <w:vAlign w:val="center"/>
            <w:hideMark/>
          </w:tcPr>
          <w:p w14:paraId="627F00A3" w14:textId="77777777" w:rsidR="001D5845" w:rsidRPr="00C66720" w:rsidRDefault="001D5845" w:rsidP="001D5845">
            <w:pPr>
              <w:spacing w:after="0" w:line="240" w:lineRule="auto"/>
              <w:jc w:val="right"/>
              <w:rPr>
                <w:rFonts w:ascii="Times New Roman" w:hAnsi="Times New Roman"/>
                <w:b/>
                <w:bCs/>
                <w:sz w:val="20"/>
                <w:szCs w:val="20"/>
                <w:lang w:eastAsia="sk-SK"/>
              </w:rPr>
            </w:pPr>
          </w:p>
        </w:tc>
        <w:tc>
          <w:tcPr>
            <w:tcW w:w="5406" w:type="dxa"/>
            <w:tcBorders>
              <w:top w:val="nil"/>
              <w:left w:val="nil"/>
              <w:bottom w:val="nil"/>
              <w:right w:val="nil"/>
            </w:tcBorders>
            <w:shd w:val="clear" w:color="auto" w:fill="auto"/>
            <w:vAlign w:val="center"/>
            <w:hideMark/>
          </w:tcPr>
          <w:p w14:paraId="3D4851EB" w14:textId="77777777" w:rsidR="001D5845" w:rsidRPr="00C66720" w:rsidRDefault="001D5845" w:rsidP="001D584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Krátkodobé záväzky </w:t>
            </w:r>
          </w:p>
        </w:tc>
        <w:tc>
          <w:tcPr>
            <w:tcW w:w="1540" w:type="dxa"/>
            <w:tcBorders>
              <w:top w:val="nil"/>
              <w:left w:val="nil"/>
              <w:bottom w:val="nil"/>
              <w:right w:val="nil"/>
            </w:tcBorders>
            <w:shd w:val="clear" w:color="auto" w:fill="auto"/>
            <w:vAlign w:val="center"/>
            <w:hideMark/>
          </w:tcPr>
          <w:p w14:paraId="1A7B8302" w14:textId="730C17B1" w:rsidR="001D5845" w:rsidRPr="00C66720" w:rsidRDefault="00A12A99" w:rsidP="0069285D">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18</w:t>
            </w:r>
            <w:r w:rsidR="0069285D" w:rsidRPr="00C66720">
              <w:rPr>
                <w:rFonts w:ascii="Times New Roman" w:hAnsi="Times New Roman"/>
                <w:b/>
                <w:bCs/>
                <w:sz w:val="18"/>
                <w:szCs w:val="18"/>
                <w:lang w:eastAsia="sk-SK"/>
              </w:rPr>
              <w:t> </w:t>
            </w:r>
            <w:r w:rsidRPr="00C66720">
              <w:rPr>
                <w:rFonts w:ascii="Times New Roman" w:hAnsi="Times New Roman"/>
                <w:b/>
                <w:bCs/>
                <w:sz w:val="18"/>
                <w:szCs w:val="18"/>
                <w:lang w:eastAsia="sk-SK"/>
              </w:rPr>
              <w:t>6</w:t>
            </w:r>
            <w:r w:rsidR="0069285D" w:rsidRPr="00C66720">
              <w:rPr>
                <w:rFonts w:ascii="Times New Roman" w:hAnsi="Times New Roman"/>
                <w:b/>
                <w:bCs/>
                <w:sz w:val="18"/>
                <w:szCs w:val="18"/>
                <w:lang w:eastAsia="sk-SK"/>
              </w:rPr>
              <w:t>40 229</w:t>
            </w:r>
          </w:p>
        </w:tc>
        <w:tc>
          <w:tcPr>
            <w:tcW w:w="1541" w:type="dxa"/>
            <w:tcBorders>
              <w:top w:val="nil"/>
              <w:left w:val="nil"/>
              <w:bottom w:val="nil"/>
              <w:right w:val="nil"/>
            </w:tcBorders>
            <w:shd w:val="clear" w:color="auto" w:fill="auto"/>
            <w:vAlign w:val="center"/>
            <w:hideMark/>
          </w:tcPr>
          <w:p w14:paraId="0F5DA704" w14:textId="3246CC85"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13 712 118</w:t>
            </w:r>
          </w:p>
        </w:tc>
      </w:tr>
      <w:tr w:rsidR="00BC3EA8" w:rsidRPr="00C66720" w14:paraId="4A322772" w14:textId="77777777" w:rsidTr="000A2169">
        <w:trPr>
          <w:trHeight w:val="263"/>
        </w:trPr>
        <w:tc>
          <w:tcPr>
            <w:tcW w:w="880" w:type="dxa"/>
            <w:tcBorders>
              <w:top w:val="nil"/>
              <w:left w:val="nil"/>
              <w:bottom w:val="nil"/>
              <w:right w:val="nil"/>
            </w:tcBorders>
            <w:shd w:val="clear" w:color="auto" w:fill="auto"/>
            <w:vAlign w:val="center"/>
            <w:hideMark/>
          </w:tcPr>
          <w:p w14:paraId="36C6EFA2" w14:textId="77777777" w:rsidR="001D5845" w:rsidRPr="00C66720" w:rsidRDefault="001D5845" w:rsidP="001D5845">
            <w:pPr>
              <w:spacing w:after="0" w:line="240" w:lineRule="auto"/>
              <w:jc w:val="right"/>
              <w:rPr>
                <w:rFonts w:ascii="Times New Roman" w:hAnsi="Times New Roman"/>
                <w:b/>
                <w:bCs/>
                <w:color w:val="FF0000"/>
                <w:sz w:val="20"/>
                <w:szCs w:val="20"/>
                <w:highlight w:val="yellow"/>
                <w:lang w:eastAsia="sk-SK"/>
              </w:rPr>
            </w:pPr>
          </w:p>
        </w:tc>
        <w:tc>
          <w:tcPr>
            <w:tcW w:w="660" w:type="dxa"/>
            <w:tcBorders>
              <w:top w:val="nil"/>
              <w:left w:val="nil"/>
              <w:bottom w:val="nil"/>
              <w:right w:val="nil"/>
            </w:tcBorders>
            <w:shd w:val="clear" w:color="auto" w:fill="auto"/>
            <w:noWrap/>
            <w:vAlign w:val="center"/>
            <w:hideMark/>
          </w:tcPr>
          <w:p w14:paraId="08E3EA67" w14:textId="52B3F4EF"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_Ref86092184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38</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noWrap/>
            <w:vAlign w:val="center"/>
            <w:hideMark/>
          </w:tcPr>
          <w:p w14:paraId="2AA42F03"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štátne dlhopisy a štátne pokladničné poukážky</w:t>
            </w:r>
          </w:p>
        </w:tc>
        <w:tc>
          <w:tcPr>
            <w:tcW w:w="1540" w:type="dxa"/>
            <w:tcBorders>
              <w:top w:val="nil"/>
              <w:left w:val="nil"/>
              <w:bottom w:val="nil"/>
              <w:right w:val="nil"/>
            </w:tcBorders>
            <w:shd w:val="clear" w:color="auto" w:fill="auto"/>
            <w:vAlign w:val="center"/>
            <w:hideMark/>
          </w:tcPr>
          <w:p w14:paraId="77AC4567" w14:textId="2E76B19C" w:rsidR="001D5845" w:rsidRPr="00C66720" w:rsidRDefault="005C4A2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5 165 587</w:t>
            </w:r>
          </w:p>
        </w:tc>
        <w:tc>
          <w:tcPr>
            <w:tcW w:w="1541" w:type="dxa"/>
            <w:tcBorders>
              <w:top w:val="nil"/>
              <w:left w:val="nil"/>
              <w:bottom w:val="nil"/>
              <w:right w:val="nil"/>
            </w:tcBorders>
            <w:shd w:val="clear" w:color="auto" w:fill="auto"/>
            <w:vAlign w:val="center"/>
            <w:hideMark/>
          </w:tcPr>
          <w:p w14:paraId="26EF6CEA" w14:textId="42570CD0"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2 069 377</w:t>
            </w:r>
          </w:p>
        </w:tc>
      </w:tr>
      <w:tr w:rsidR="00BC3EA8" w:rsidRPr="00C66720" w14:paraId="05C16DF3" w14:textId="77777777" w:rsidTr="000A2169">
        <w:trPr>
          <w:trHeight w:val="263"/>
        </w:trPr>
        <w:tc>
          <w:tcPr>
            <w:tcW w:w="880" w:type="dxa"/>
            <w:tcBorders>
              <w:top w:val="nil"/>
              <w:left w:val="nil"/>
              <w:bottom w:val="nil"/>
              <w:right w:val="nil"/>
            </w:tcBorders>
            <w:shd w:val="clear" w:color="auto" w:fill="auto"/>
            <w:vAlign w:val="center"/>
            <w:hideMark/>
          </w:tcPr>
          <w:p w14:paraId="01202379"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48FD9161" w14:textId="0D6A2B51"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_Ref86092194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39</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noWrap/>
            <w:vAlign w:val="center"/>
            <w:hideMark/>
          </w:tcPr>
          <w:p w14:paraId="42BF0776"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dodávatelia</w:t>
            </w:r>
          </w:p>
        </w:tc>
        <w:tc>
          <w:tcPr>
            <w:tcW w:w="1540" w:type="dxa"/>
            <w:tcBorders>
              <w:top w:val="nil"/>
              <w:left w:val="nil"/>
              <w:bottom w:val="nil"/>
              <w:right w:val="nil"/>
            </w:tcBorders>
            <w:shd w:val="clear" w:color="auto" w:fill="auto"/>
            <w:vAlign w:val="center"/>
            <w:hideMark/>
          </w:tcPr>
          <w:p w14:paraId="358E1B46" w14:textId="531EE4D2" w:rsidR="001D5845" w:rsidRPr="00C66720" w:rsidRDefault="008010F6" w:rsidP="00E45D9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1 974 </w:t>
            </w:r>
            <w:r w:rsidR="00E45D93" w:rsidRPr="00C66720">
              <w:rPr>
                <w:rFonts w:ascii="Times New Roman" w:hAnsi="Times New Roman"/>
                <w:i/>
                <w:iCs/>
                <w:sz w:val="19"/>
                <w:szCs w:val="19"/>
                <w:lang w:eastAsia="sk-SK"/>
              </w:rPr>
              <w:t>791</w:t>
            </w:r>
          </w:p>
        </w:tc>
        <w:tc>
          <w:tcPr>
            <w:tcW w:w="1541" w:type="dxa"/>
            <w:tcBorders>
              <w:top w:val="nil"/>
              <w:left w:val="nil"/>
              <w:bottom w:val="nil"/>
              <w:right w:val="nil"/>
            </w:tcBorders>
            <w:shd w:val="clear" w:color="auto" w:fill="auto"/>
            <w:vAlign w:val="center"/>
            <w:hideMark/>
          </w:tcPr>
          <w:p w14:paraId="27B92B5E" w14:textId="4F6E90B6"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1 693 862</w:t>
            </w:r>
          </w:p>
        </w:tc>
      </w:tr>
      <w:tr w:rsidR="00BC3EA8" w:rsidRPr="00C66720" w14:paraId="5E998AD6" w14:textId="77777777" w:rsidTr="000A2169">
        <w:trPr>
          <w:trHeight w:val="263"/>
        </w:trPr>
        <w:tc>
          <w:tcPr>
            <w:tcW w:w="880" w:type="dxa"/>
            <w:tcBorders>
              <w:top w:val="nil"/>
              <w:left w:val="nil"/>
              <w:bottom w:val="nil"/>
              <w:right w:val="nil"/>
            </w:tcBorders>
            <w:shd w:val="clear" w:color="auto" w:fill="auto"/>
            <w:vAlign w:val="center"/>
            <w:hideMark/>
          </w:tcPr>
          <w:p w14:paraId="68A3AA9D"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69D530BC" w14:textId="25A32798"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_Ref86092206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40</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vAlign w:val="center"/>
            <w:hideMark/>
          </w:tcPr>
          <w:p w14:paraId="32BB851F"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záväzky zo zúčtovania s EÚ</w:t>
            </w:r>
          </w:p>
        </w:tc>
        <w:tc>
          <w:tcPr>
            <w:tcW w:w="1540" w:type="dxa"/>
            <w:tcBorders>
              <w:top w:val="nil"/>
              <w:left w:val="nil"/>
              <w:bottom w:val="nil"/>
              <w:right w:val="nil"/>
            </w:tcBorders>
            <w:shd w:val="clear" w:color="auto" w:fill="auto"/>
            <w:vAlign w:val="center"/>
            <w:hideMark/>
          </w:tcPr>
          <w:p w14:paraId="5EEED485" w14:textId="3050C04E" w:rsidR="001D5845" w:rsidRPr="00C66720" w:rsidRDefault="008010F6"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4 130 293</w:t>
            </w:r>
          </w:p>
        </w:tc>
        <w:tc>
          <w:tcPr>
            <w:tcW w:w="1541" w:type="dxa"/>
            <w:tcBorders>
              <w:top w:val="nil"/>
              <w:left w:val="nil"/>
              <w:bottom w:val="nil"/>
              <w:right w:val="nil"/>
            </w:tcBorders>
            <w:shd w:val="clear" w:color="auto" w:fill="auto"/>
            <w:vAlign w:val="center"/>
            <w:hideMark/>
          </w:tcPr>
          <w:p w14:paraId="0B5BDF7E" w14:textId="5E1E7D69"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2 539 364</w:t>
            </w:r>
          </w:p>
        </w:tc>
      </w:tr>
      <w:tr w:rsidR="00BC3EA8" w:rsidRPr="00C66720" w14:paraId="3E448AD9" w14:textId="77777777" w:rsidTr="000A2169">
        <w:trPr>
          <w:trHeight w:val="263"/>
        </w:trPr>
        <w:tc>
          <w:tcPr>
            <w:tcW w:w="880" w:type="dxa"/>
            <w:tcBorders>
              <w:top w:val="nil"/>
              <w:left w:val="nil"/>
              <w:bottom w:val="nil"/>
              <w:right w:val="nil"/>
            </w:tcBorders>
            <w:shd w:val="clear" w:color="auto" w:fill="auto"/>
            <w:vAlign w:val="center"/>
            <w:hideMark/>
          </w:tcPr>
          <w:p w14:paraId="43701812"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3E584CB2" w14:textId="5A6C5163"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_Ref86092219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41</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vAlign w:val="center"/>
            <w:hideMark/>
          </w:tcPr>
          <w:p w14:paraId="5C83208E"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zúčtovanie medzi subjektmi verejnej správy</w:t>
            </w:r>
          </w:p>
        </w:tc>
        <w:tc>
          <w:tcPr>
            <w:tcW w:w="1540" w:type="dxa"/>
            <w:tcBorders>
              <w:top w:val="nil"/>
              <w:left w:val="nil"/>
              <w:bottom w:val="nil"/>
              <w:right w:val="nil"/>
            </w:tcBorders>
            <w:shd w:val="clear" w:color="auto" w:fill="auto"/>
            <w:vAlign w:val="center"/>
            <w:hideMark/>
          </w:tcPr>
          <w:p w14:paraId="2D84C3E6" w14:textId="0A2D847B" w:rsidR="001D5845" w:rsidRPr="00C66720" w:rsidRDefault="00D30D61" w:rsidP="00E45D9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8</w:t>
            </w:r>
            <w:r w:rsidR="00E45D93" w:rsidRPr="00C66720">
              <w:rPr>
                <w:rFonts w:ascii="Times New Roman" w:hAnsi="Times New Roman"/>
                <w:i/>
                <w:iCs/>
                <w:sz w:val="19"/>
                <w:szCs w:val="19"/>
                <w:lang w:eastAsia="sk-SK"/>
              </w:rPr>
              <w:t>17 293</w:t>
            </w:r>
          </w:p>
        </w:tc>
        <w:tc>
          <w:tcPr>
            <w:tcW w:w="1541" w:type="dxa"/>
            <w:tcBorders>
              <w:top w:val="nil"/>
              <w:left w:val="nil"/>
              <w:bottom w:val="nil"/>
              <w:right w:val="nil"/>
            </w:tcBorders>
            <w:shd w:val="clear" w:color="auto" w:fill="auto"/>
            <w:vAlign w:val="center"/>
            <w:hideMark/>
          </w:tcPr>
          <w:p w14:paraId="595C2000" w14:textId="62D122D5"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823 870</w:t>
            </w:r>
          </w:p>
        </w:tc>
      </w:tr>
      <w:tr w:rsidR="00BC3EA8" w:rsidRPr="00C66720" w14:paraId="27A0C10C" w14:textId="77777777" w:rsidTr="000A2169">
        <w:trPr>
          <w:trHeight w:val="263"/>
        </w:trPr>
        <w:tc>
          <w:tcPr>
            <w:tcW w:w="880" w:type="dxa"/>
            <w:tcBorders>
              <w:top w:val="nil"/>
              <w:left w:val="nil"/>
              <w:bottom w:val="nil"/>
              <w:right w:val="nil"/>
            </w:tcBorders>
            <w:shd w:val="clear" w:color="auto" w:fill="auto"/>
            <w:vAlign w:val="center"/>
            <w:hideMark/>
          </w:tcPr>
          <w:p w14:paraId="668F816B"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2A64D6DD" w14:textId="79207912"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_Ref86092228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42</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noWrap/>
            <w:vAlign w:val="center"/>
            <w:hideMark/>
          </w:tcPr>
          <w:p w14:paraId="7993B2D3"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bankové úvery</w:t>
            </w:r>
          </w:p>
        </w:tc>
        <w:tc>
          <w:tcPr>
            <w:tcW w:w="1540" w:type="dxa"/>
            <w:tcBorders>
              <w:top w:val="nil"/>
              <w:left w:val="nil"/>
              <w:bottom w:val="nil"/>
              <w:right w:val="nil"/>
            </w:tcBorders>
            <w:shd w:val="clear" w:color="auto" w:fill="auto"/>
            <w:vAlign w:val="center"/>
            <w:hideMark/>
          </w:tcPr>
          <w:p w14:paraId="324040FD" w14:textId="7792F550" w:rsidR="001D5845" w:rsidRPr="00C66720" w:rsidRDefault="00D30D61"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946 194</w:t>
            </w:r>
          </w:p>
        </w:tc>
        <w:tc>
          <w:tcPr>
            <w:tcW w:w="1541" w:type="dxa"/>
            <w:tcBorders>
              <w:top w:val="nil"/>
              <w:left w:val="nil"/>
              <w:bottom w:val="nil"/>
              <w:right w:val="nil"/>
            </w:tcBorders>
            <w:shd w:val="clear" w:color="auto" w:fill="auto"/>
            <w:vAlign w:val="center"/>
            <w:hideMark/>
          </w:tcPr>
          <w:p w14:paraId="6609F8F5" w14:textId="7AC4AEED"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648 235</w:t>
            </w:r>
          </w:p>
        </w:tc>
      </w:tr>
      <w:tr w:rsidR="00BC3EA8" w:rsidRPr="00C66720" w14:paraId="3719773B" w14:textId="77777777" w:rsidTr="000A2169">
        <w:trPr>
          <w:trHeight w:val="263"/>
        </w:trPr>
        <w:tc>
          <w:tcPr>
            <w:tcW w:w="880" w:type="dxa"/>
            <w:tcBorders>
              <w:top w:val="nil"/>
              <w:left w:val="nil"/>
              <w:bottom w:val="nil"/>
              <w:right w:val="nil"/>
            </w:tcBorders>
            <w:shd w:val="clear" w:color="auto" w:fill="auto"/>
            <w:vAlign w:val="center"/>
            <w:hideMark/>
          </w:tcPr>
          <w:p w14:paraId="5D1AAE5E"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63A03126" w14:textId="1C8D9342"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_Ref86092240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43</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vAlign w:val="center"/>
            <w:hideMark/>
          </w:tcPr>
          <w:p w14:paraId="138A7951"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zamestnanci</w:t>
            </w:r>
          </w:p>
        </w:tc>
        <w:tc>
          <w:tcPr>
            <w:tcW w:w="1540" w:type="dxa"/>
            <w:tcBorders>
              <w:top w:val="nil"/>
              <w:left w:val="nil"/>
              <w:bottom w:val="nil"/>
              <w:right w:val="nil"/>
            </w:tcBorders>
            <w:shd w:val="clear" w:color="auto" w:fill="auto"/>
            <w:vAlign w:val="center"/>
            <w:hideMark/>
          </w:tcPr>
          <w:p w14:paraId="425CCB3A" w14:textId="1957CC9B" w:rsidR="001D5845" w:rsidRPr="00C66720" w:rsidRDefault="00280E01" w:rsidP="00E45D9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59</w:t>
            </w:r>
            <w:r w:rsidR="00E45D93" w:rsidRPr="00C66720">
              <w:rPr>
                <w:rFonts w:ascii="Times New Roman" w:hAnsi="Times New Roman"/>
                <w:i/>
                <w:iCs/>
                <w:sz w:val="19"/>
                <w:szCs w:val="19"/>
                <w:lang w:eastAsia="sk-SK"/>
              </w:rPr>
              <w:t>1 806</w:t>
            </w:r>
          </w:p>
        </w:tc>
        <w:tc>
          <w:tcPr>
            <w:tcW w:w="1541" w:type="dxa"/>
            <w:tcBorders>
              <w:top w:val="nil"/>
              <w:left w:val="nil"/>
              <w:bottom w:val="nil"/>
              <w:right w:val="nil"/>
            </w:tcBorders>
            <w:shd w:val="clear" w:color="auto" w:fill="auto"/>
            <w:vAlign w:val="center"/>
            <w:hideMark/>
          </w:tcPr>
          <w:p w14:paraId="7CED4FC0" w14:textId="17F40796"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599 929</w:t>
            </w:r>
          </w:p>
        </w:tc>
      </w:tr>
      <w:tr w:rsidR="00BC3EA8" w:rsidRPr="00C66720" w14:paraId="793610B4" w14:textId="77777777" w:rsidTr="000A2169">
        <w:trPr>
          <w:trHeight w:val="278"/>
        </w:trPr>
        <w:tc>
          <w:tcPr>
            <w:tcW w:w="880" w:type="dxa"/>
            <w:tcBorders>
              <w:top w:val="nil"/>
              <w:left w:val="nil"/>
              <w:bottom w:val="nil"/>
              <w:right w:val="nil"/>
            </w:tcBorders>
            <w:shd w:val="clear" w:color="auto" w:fill="auto"/>
            <w:vAlign w:val="center"/>
            <w:hideMark/>
          </w:tcPr>
          <w:p w14:paraId="66FFDD49"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00D924F9" w14:textId="6E3DCDD7"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_Ref86092253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44</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vAlign w:val="center"/>
            <w:hideMark/>
          </w:tcPr>
          <w:p w14:paraId="256C03B4"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prijaté preddavky</w:t>
            </w:r>
          </w:p>
        </w:tc>
        <w:tc>
          <w:tcPr>
            <w:tcW w:w="1540" w:type="dxa"/>
            <w:tcBorders>
              <w:top w:val="nil"/>
              <w:left w:val="nil"/>
              <w:bottom w:val="nil"/>
              <w:right w:val="nil"/>
            </w:tcBorders>
            <w:shd w:val="clear" w:color="auto" w:fill="auto"/>
            <w:vAlign w:val="center"/>
            <w:hideMark/>
          </w:tcPr>
          <w:p w14:paraId="3BD6E06A" w14:textId="0559064D" w:rsidR="001D5845" w:rsidRPr="00C66720" w:rsidRDefault="008B6BA7"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146 241</w:t>
            </w:r>
          </w:p>
        </w:tc>
        <w:tc>
          <w:tcPr>
            <w:tcW w:w="1541" w:type="dxa"/>
            <w:tcBorders>
              <w:top w:val="nil"/>
              <w:left w:val="nil"/>
              <w:bottom w:val="nil"/>
              <w:right w:val="nil"/>
            </w:tcBorders>
            <w:shd w:val="clear" w:color="auto" w:fill="auto"/>
            <w:vAlign w:val="center"/>
            <w:hideMark/>
          </w:tcPr>
          <w:p w14:paraId="3D6C278D" w14:textId="642EC871"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184 444</w:t>
            </w:r>
          </w:p>
        </w:tc>
      </w:tr>
      <w:tr w:rsidR="00BC3EA8" w:rsidRPr="00C66720" w14:paraId="07E38B08" w14:textId="77777777" w:rsidTr="000A2169">
        <w:trPr>
          <w:trHeight w:val="278"/>
        </w:trPr>
        <w:tc>
          <w:tcPr>
            <w:tcW w:w="880" w:type="dxa"/>
            <w:tcBorders>
              <w:top w:val="nil"/>
              <w:left w:val="nil"/>
              <w:bottom w:val="nil"/>
              <w:right w:val="nil"/>
            </w:tcBorders>
            <w:shd w:val="clear" w:color="auto" w:fill="auto"/>
            <w:vAlign w:val="center"/>
            <w:hideMark/>
          </w:tcPr>
          <w:p w14:paraId="2A2BCA58" w14:textId="77777777" w:rsidR="001D5845" w:rsidRPr="00C66720" w:rsidRDefault="001D5845" w:rsidP="001D5845">
            <w:pPr>
              <w:spacing w:after="0" w:line="240" w:lineRule="auto"/>
              <w:jc w:val="right"/>
              <w:rPr>
                <w:rFonts w:ascii="Times New Roman" w:hAnsi="Times New Roman"/>
                <w:i/>
                <w:iCs/>
                <w:color w:val="FF0000"/>
                <w:sz w:val="19"/>
                <w:szCs w:val="19"/>
                <w:highlight w:val="yellow"/>
                <w:lang w:eastAsia="sk-SK"/>
              </w:rPr>
            </w:pPr>
          </w:p>
        </w:tc>
        <w:tc>
          <w:tcPr>
            <w:tcW w:w="660" w:type="dxa"/>
            <w:tcBorders>
              <w:top w:val="nil"/>
              <w:left w:val="nil"/>
              <w:bottom w:val="nil"/>
              <w:right w:val="nil"/>
            </w:tcBorders>
            <w:shd w:val="clear" w:color="auto" w:fill="auto"/>
            <w:noWrap/>
            <w:vAlign w:val="center"/>
            <w:hideMark/>
          </w:tcPr>
          <w:p w14:paraId="6CFE5CAB" w14:textId="4FA7189F" w:rsidR="001D5845" w:rsidRPr="00C66720" w:rsidRDefault="001D5845" w:rsidP="001D5845">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_Ref86092263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45</w:t>
            </w:r>
            <w:r w:rsidRPr="00C66720">
              <w:rPr>
                <w:rFonts w:ascii="Times New Roman" w:hAnsi="Times New Roman"/>
                <w:i/>
                <w:iCs/>
                <w:sz w:val="19"/>
                <w:szCs w:val="19"/>
                <w:lang w:eastAsia="sk-SK"/>
              </w:rPr>
              <w:fldChar w:fldCharType="end"/>
            </w:r>
          </w:p>
        </w:tc>
        <w:tc>
          <w:tcPr>
            <w:tcW w:w="5406" w:type="dxa"/>
            <w:tcBorders>
              <w:top w:val="nil"/>
              <w:left w:val="nil"/>
              <w:bottom w:val="nil"/>
              <w:right w:val="nil"/>
            </w:tcBorders>
            <w:shd w:val="clear" w:color="auto" w:fill="auto"/>
            <w:vAlign w:val="center"/>
            <w:hideMark/>
          </w:tcPr>
          <w:p w14:paraId="75360FFE" w14:textId="77777777" w:rsidR="001D5845" w:rsidRPr="00C66720" w:rsidRDefault="001D5845" w:rsidP="001D5845">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záväzky</w:t>
            </w:r>
          </w:p>
        </w:tc>
        <w:tc>
          <w:tcPr>
            <w:tcW w:w="1540" w:type="dxa"/>
            <w:tcBorders>
              <w:top w:val="nil"/>
              <w:left w:val="nil"/>
              <w:bottom w:val="nil"/>
              <w:right w:val="nil"/>
            </w:tcBorders>
            <w:shd w:val="clear" w:color="auto" w:fill="auto"/>
            <w:vAlign w:val="center"/>
            <w:hideMark/>
          </w:tcPr>
          <w:p w14:paraId="3610777D" w14:textId="1C55B360" w:rsidR="001D5845" w:rsidRPr="00C66720" w:rsidRDefault="004666A4" w:rsidP="00E45D9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w:t>
            </w:r>
            <w:r w:rsidR="00E45D93" w:rsidRPr="00C66720">
              <w:rPr>
                <w:rFonts w:ascii="Times New Roman" w:hAnsi="Times New Roman"/>
                <w:i/>
                <w:iCs/>
                <w:sz w:val="19"/>
                <w:szCs w:val="19"/>
                <w:lang w:eastAsia="sk-SK"/>
              </w:rPr>
              <w:t> </w:t>
            </w:r>
            <w:r w:rsidRPr="00C66720">
              <w:rPr>
                <w:rFonts w:ascii="Times New Roman" w:hAnsi="Times New Roman"/>
                <w:i/>
                <w:iCs/>
                <w:sz w:val="19"/>
                <w:szCs w:val="19"/>
                <w:lang w:eastAsia="sk-SK"/>
              </w:rPr>
              <w:t>86</w:t>
            </w:r>
            <w:r w:rsidR="00E45D93" w:rsidRPr="00C66720">
              <w:rPr>
                <w:rFonts w:ascii="Times New Roman" w:hAnsi="Times New Roman"/>
                <w:i/>
                <w:iCs/>
                <w:sz w:val="19"/>
                <w:szCs w:val="19"/>
                <w:lang w:eastAsia="sk-SK"/>
              </w:rPr>
              <w:t>8 024</w:t>
            </w:r>
          </w:p>
        </w:tc>
        <w:tc>
          <w:tcPr>
            <w:tcW w:w="1541" w:type="dxa"/>
            <w:tcBorders>
              <w:top w:val="nil"/>
              <w:left w:val="nil"/>
              <w:bottom w:val="nil"/>
              <w:right w:val="nil"/>
            </w:tcBorders>
            <w:shd w:val="clear" w:color="auto" w:fill="auto"/>
            <w:vAlign w:val="center"/>
            <w:hideMark/>
          </w:tcPr>
          <w:p w14:paraId="30C4C5C3" w14:textId="4B168C5F"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5 153 037</w:t>
            </w:r>
          </w:p>
        </w:tc>
      </w:tr>
      <w:tr w:rsidR="00BC3EA8" w:rsidRPr="00C66720" w14:paraId="69C6716B" w14:textId="77777777" w:rsidTr="000A2169">
        <w:trPr>
          <w:trHeight w:val="278"/>
        </w:trPr>
        <w:tc>
          <w:tcPr>
            <w:tcW w:w="880" w:type="dxa"/>
            <w:tcBorders>
              <w:top w:val="nil"/>
              <w:left w:val="nil"/>
              <w:bottom w:val="nil"/>
              <w:right w:val="nil"/>
            </w:tcBorders>
            <w:shd w:val="clear" w:color="auto" w:fill="auto"/>
            <w:vAlign w:val="center"/>
            <w:hideMark/>
          </w:tcPr>
          <w:p w14:paraId="3F59666E" w14:textId="71DA53DA" w:rsidR="001D5845" w:rsidRPr="00C66720" w:rsidRDefault="001D5845" w:rsidP="001D5845">
            <w:pPr>
              <w:spacing w:after="0" w:line="240" w:lineRule="auto"/>
              <w:jc w:val="right"/>
              <w:rPr>
                <w:rFonts w:ascii="Times New Roman" w:hAnsi="Times New Roman"/>
                <w:i/>
                <w:iCs/>
                <w:sz w:val="19"/>
                <w:szCs w:val="19"/>
                <w:lang w:eastAsia="sk-SK"/>
              </w:rPr>
            </w:pPr>
            <w:r w:rsidRPr="00C66720">
              <w:rPr>
                <w:rFonts w:ascii="Times New Roman" w:hAnsi="Times New Roman"/>
                <w:b/>
                <w:bCs/>
                <w:sz w:val="20"/>
                <w:szCs w:val="20"/>
                <w:lang w:eastAsia="sk-SK"/>
              </w:rPr>
              <w:t>B.IV.</w:t>
            </w:r>
          </w:p>
        </w:tc>
        <w:tc>
          <w:tcPr>
            <w:tcW w:w="660" w:type="dxa"/>
            <w:tcBorders>
              <w:top w:val="nil"/>
              <w:left w:val="nil"/>
              <w:bottom w:val="nil"/>
              <w:right w:val="nil"/>
            </w:tcBorders>
            <w:shd w:val="clear" w:color="auto" w:fill="auto"/>
            <w:noWrap/>
            <w:vAlign w:val="center"/>
            <w:hideMark/>
          </w:tcPr>
          <w:p w14:paraId="63BB7076" w14:textId="23DE868D" w:rsidR="001D5845" w:rsidRPr="00C66720" w:rsidRDefault="001D5845" w:rsidP="001D5845">
            <w:pPr>
              <w:spacing w:after="0" w:line="240" w:lineRule="auto"/>
              <w:jc w:val="center"/>
              <w:rPr>
                <w:rFonts w:ascii="Times New Roman" w:hAnsi="Times New Roman"/>
                <w:i/>
                <w:iCs/>
                <w:sz w:val="19"/>
                <w:szCs w:val="19"/>
                <w:lang w:eastAsia="sk-SK"/>
              </w:rPr>
            </w:pPr>
          </w:p>
        </w:tc>
        <w:tc>
          <w:tcPr>
            <w:tcW w:w="5406" w:type="dxa"/>
            <w:tcBorders>
              <w:top w:val="nil"/>
              <w:left w:val="nil"/>
              <w:bottom w:val="nil"/>
              <w:right w:val="nil"/>
            </w:tcBorders>
            <w:shd w:val="clear" w:color="auto" w:fill="auto"/>
            <w:vAlign w:val="center"/>
            <w:hideMark/>
          </w:tcPr>
          <w:p w14:paraId="28D64B4A" w14:textId="77777777" w:rsidR="001D5845" w:rsidRPr="00C66720" w:rsidRDefault="001D5845" w:rsidP="001D584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Krátkodobé rezervy </w:t>
            </w:r>
          </w:p>
        </w:tc>
        <w:tc>
          <w:tcPr>
            <w:tcW w:w="1540" w:type="dxa"/>
            <w:tcBorders>
              <w:top w:val="nil"/>
              <w:left w:val="nil"/>
              <w:bottom w:val="nil"/>
              <w:right w:val="nil"/>
            </w:tcBorders>
            <w:shd w:val="clear" w:color="auto" w:fill="auto"/>
            <w:vAlign w:val="center"/>
            <w:hideMark/>
          </w:tcPr>
          <w:p w14:paraId="4013295A" w14:textId="47F6080B" w:rsidR="001D5845" w:rsidRPr="00C66720" w:rsidRDefault="00E76E89" w:rsidP="00E45D9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w:t>
            </w:r>
            <w:r w:rsidR="00E45D93" w:rsidRPr="00C66720">
              <w:rPr>
                <w:rFonts w:ascii="Times New Roman" w:hAnsi="Times New Roman"/>
                <w:b/>
                <w:bCs/>
                <w:sz w:val="20"/>
                <w:szCs w:val="20"/>
                <w:lang w:eastAsia="sk-SK"/>
              </w:rPr>
              <w:t> </w:t>
            </w:r>
            <w:r w:rsidRPr="00C66720">
              <w:rPr>
                <w:rFonts w:ascii="Times New Roman" w:hAnsi="Times New Roman"/>
                <w:b/>
                <w:bCs/>
                <w:sz w:val="20"/>
                <w:szCs w:val="20"/>
                <w:lang w:eastAsia="sk-SK"/>
              </w:rPr>
              <w:t>08</w:t>
            </w:r>
            <w:r w:rsidR="00E45D93" w:rsidRPr="00C66720">
              <w:rPr>
                <w:rFonts w:ascii="Times New Roman" w:hAnsi="Times New Roman"/>
                <w:b/>
                <w:bCs/>
                <w:sz w:val="20"/>
                <w:szCs w:val="20"/>
                <w:lang w:eastAsia="sk-SK"/>
              </w:rPr>
              <w:t>2 054</w:t>
            </w:r>
          </w:p>
        </w:tc>
        <w:tc>
          <w:tcPr>
            <w:tcW w:w="1541" w:type="dxa"/>
            <w:tcBorders>
              <w:top w:val="nil"/>
              <w:left w:val="nil"/>
              <w:bottom w:val="nil"/>
              <w:right w:val="nil"/>
            </w:tcBorders>
            <w:shd w:val="clear" w:color="auto" w:fill="auto"/>
            <w:vAlign w:val="center"/>
            <w:hideMark/>
          </w:tcPr>
          <w:p w14:paraId="3A2648DF" w14:textId="7AC5D05A"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1 313 400</w:t>
            </w:r>
          </w:p>
        </w:tc>
      </w:tr>
      <w:tr w:rsidR="00BC3EA8" w:rsidRPr="00C66720" w14:paraId="5871335C" w14:textId="77777777" w:rsidTr="000A2169">
        <w:trPr>
          <w:trHeight w:val="263"/>
        </w:trPr>
        <w:tc>
          <w:tcPr>
            <w:tcW w:w="880" w:type="dxa"/>
            <w:tcBorders>
              <w:top w:val="nil"/>
              <w:left w:val="nil"/>
              <w:bottom w:val="single" w:sz="8" w:space="0" w:color="auto"/>
              <w:right w:val="nil"/>
            </w:tcBorders>
            <w:shd w:val="clear" w:color="auto" w:fill="auto"/>
            <w:vAlign w:val="center"/>
            <w:hideMark/>
          </w:tcPr>
          <w:p w14:paraId="7CFA10FA" w14:textId="77777777" w:rsidR="001D5845" w:rsidRPr="00C66720" w:rsidRDefault="001D5845" w:rsidP="001D5845">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C.</w:t>
            </w:r>
          </w:p>
        </w:tc>
        <w:tc>
          <w:tcPr>
            <w:tcW w:w="660" w:type="dxa"/>
            <w:tcBorders>
              <w:top w:val="nil"/>
              <w:left w:val="nil"/>
              <w:bottom w:val="single" w:sz="8" w:space="0" w:color="auto"/>
              <w:right w:val="nil"/>
            </w:tcBorders>
            <w:shd w:val="clear" w:color="auto" w:fill="auto"/>
            <w:noWrap/>
            <w:vAlign w:val="center"/>
            <w:hideMark/>
          </w:tcPr>
          <w:p w14:paraId="206A315F" w14:textId="6B7D1CF1" w:rsidR="001D5845" w:rsidRPr="00C66720" w:rsidRDefault="001D5845" w:rsidP="001D5845">
            <w:pPr>
              <w:spacing w:after="0" w:line="240" w:lineRule="auto"/>
              <w:jc w:val="center"/>
              <w:rPr>
                <w:rFonts w:ascii="Times New Roman" w:hAnsi="Times New Roman"/>
                <w:i/>
                <w:iCs/>
                <w:sz w:val="19"/>
                <w:szCs w:val="19"/>
                <w:lang w:eastAsia="sk-SK"/>
              </w:rPr>
            </w:pPr>
          </w:p>
        </w:tc>
        <w:tc>
          <w:tcPr>
            <w:tcW w:w="5406" w:type="dxa"/>
            <w:tcBorders>
              <w:top w:val="nil"/>
              <w:left w:val="nil"/>
              <w:bottom w:val="single" w:sz="8" w:space="0" w:color="auto"/>
              <w:right w:val="nil"/>
            </w:tcBorders>
            <w:shd w:val="clear" w:color="auto" w:fill="auto"/>
            <w:vAlign w:val="center"/>
            <w:hideMark/>
          </w:tcPr>
          <w:p w14:paraId="24F4C861" w14:textId="77777777" w:rsidR="001D5845" w:rsidRPr="00C66720" w:rsidRDefault="001D5845" w:rsidP="001D5845">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Časové rozlíšenie </w:t>
            </w:r>
          </w:p>
        </w:tc>
        <w:tc>
          <w:tcPr>
            <w:tcW w:w="1540" w:type="dxa"/>
            <w:tcBorders>
              <w:top w:val="nil"/>
              <w:left w:val="nil"/>
              <w:bottom w:val="single" w:sz="8" w:space="0" w:color="auto"/>
              <w:right w:val="nil"/>
            </w:tcBorders>
            <w:shd w:val="clear" w:color="auto" w:fill="auto"/>
            <w:vAlign w:val="center"/>
            <w:hideMark/>
          </w:tcPr>
          <w:p w14:paraId="5DB7F3EC" w14:textId="51A6C5ED" w:rsidR="001D5845" w:rsidRPr="00C66720" w:rsidRDefault="00E76E89" w:rsidP="00E45D9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11</w:t>
            </w:r>
            <w:r w:rsidR="00E45D93" w:rsidRPr="00C66720">
              <w:rPr>
                <w:rFonts w:ascii="Times New Roman" w:hAnsi="Times New Roman"/>
                <w:b/>
                <w:bCs/>
                <w:sz w:val="20"/>
                <w:szCs w:val="20"/>
                <w:lang w:eastAsia="sk-SK"/>
              </w:rPr>
              <w:t> </w:t>
            </w:r>
            <w:r w:rsidRPr="00C66720">
              <w:rPr>
                <w:rFonts w:ascii="Times New Roman" w:hAnsi="Times New Roman"/>
                <w:b/>
                <w:bCs/>
                <w:sz w:val="20"/>
                <w:szCs w:val="20"/>
                <w:lang w:eastAsia="sk-SK"/>
              </w:rPr>
              <w:t>5</w:t>
            </w:r>
            <w:r w:rsidR="00E45D93" w:rsidRPr="00C66720">
              <w:rPr>
                <w:rFonts w:ascii="Times New Roman" w:hAnsi="Times New Roman"/>
                <w:b/>
                <w:bCs/>
                <w:sz w:val="20"/>
                <w:szCs w:val="20"/>
                <w:lang w:eastAsia="sk-SK"/>
              </w:rPr>
              <w:t>37 209</w:t>
            </w:r>
          </w:p>
        </w:tc>
        <w:tc>
          <w:tcPr>
            <w:tcW w:w="1541" w:type="dxa"/>
            <w:tcBorders>
              <w:top w:val="nil"/>
              <w:left w:val="nil"/>
              <w:bottom w:val="single" w:sz="8" w:space="0" w:color="auto"/>
              <w:right w:val="nil"/>
            </w:tcBorders>
            <w:shd w:val="clear" w:color="auto" w:fill="auto"/>
            <w:vAlign w:val="center"/>
            <w:hideMark/>
          </w:tcPr>
          <w:p w14:paraId="751597E5" w14:textId="01926B41" w:rsidR="001D5845" w:rsidRPr="00C66720" w:rsidRDefault="001D5845" w:rsidP="001D58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11 218 531</w:t>
            </w:r>
          </w:p>
        </w:tc>
      </w:tr>
    </w:tbl>
    <w:p w14:paraId="6C701C0E" w14:textId="56FEE890" w:rsidR="00A43393" w:rsidRPr="00C66720" w:rsidRDefault="00A43393" w:rsidP="008F097E">
      <w:pPr>
        <w:spacing w:line="240" w:lineRule="auto"/>
        <w:rPr>
          <w:rFonts w:ascii="Times New Roman" w:hAnsi="Times New Roman"/>
          <w:color w:val="FF0000"/>
        </w:rPr>
      </w:pPr>
    </w:p>
    <w:p w14:paraId="0C2CD001" w14:textId="77777777" w:rsidR="00A43393" w:rsidRPr="00C66720" w:rsidRDefault="00A43393" w:rsidP="008F097E">
      <w:pPr>
        <w:spacing w:after="0" w:line="240" w:lineRule="auto"/>
        <w:rPr>
          <w:rFonts w:ascii="Times New Roman" w:hAnsi="Times New Roman"/>
          <w:color w:val="FF0000"/>
          <w:highlight w:val="yellow"/>
        </w:rPr>
      </w:pPr>
      <w:r w:rsidRPr="00C66720">
        <w:rPr>
          <w:rFonts w:ascii="Times New Roman" w:hAnsi="Times New Roman"/>
          <w:color w:val="FF0000"/>
          <w:highlight w:val="yellow"/>
        </w:rPr>
        <w:br w:type="page"/>
      </w:r>
    </w:p>
    <w:tbl>
      <w:tblPr>
        <w:tblW w:w="9440" w:type="dxa"/>
        <w:tblInd w:w="-426" w:type="dxa"/>
        <w:tblCellMar>
          <w:left w:w="70" w:type="dxa"/>
          <w:right w:w="70" w:type="dxa"/>
        </w:tblCellMar>
        <w:tblLook w:val="04A0" w:firstRow="1" w:lastRow="0" w:firstColumn="1" w:lastColumn="0" w:noHBand="0" w:noVBand="1"/>
      </w:tblPr>
      <w:tblGrid>
        <w:gridCol w:w="860"/>
        <w:gridCol w:w="602"/>
        <w:gridCol w:w="5018"/>
        <w:gridCol w:w="1540"/>
        <w:gridCol w:w="1420"/>
      </w:tblGrid>
      <w:tr w:rsidR="00BC3EA8" w:rsidRPr="00C66720" w14:paraId="5490582A" w14:textId="77777777" w:rsidTr="00A27AAA">
        <w:trPr>
          <w:trHeight w:val="330"/>
        </w:trPr>
        <w:tc>
          <w:tcPr>
            <w:tcW w:w="9440" w:type="dxa"/>
            <w:gridSpan w:val="5"/>
            <w:tcBorders>
              <w:top w:val="single" w:sz="8" w:space="0" w:color="auto"/>
              <w:left w:val="nil"/>
              <w:bottom w:val="nil"/>
              <w:right w:val="nil"/>
            </w:tcBorders>
            <w:shd w:val="clear" w:color="000000" w:fill="F4B084"/>
            <w:vAlign w:val="center"/>
            <w:hideMark/>
          </w:tcPr>
          <w:p w14:paraId="4D3710E7" w14:textId="50A50FDA" w:rsidR="00A43393" w:rsidRPr="00C66720" w:rsidRDefault="00A43393" w:rsidP="008F097E">
            <w:pPr>
              <w:spacing w:after="0" w:line="240" w:lineRule="auto"/>
              <w:jc w:val="center"/>
              <w:rPr>
                <w:rFonts w:ascii="Times New Roman" w:hAnsi="Times New Roman"/>
                <w:b/>
                <w:bCs/>
                <w:sz w:val="24"/>
                <w:szCs w:val="24"/>
                <w:lang w:eastAsia="sk-SK"/>
              </w:rPr>
            </w:pPr>
            <w:r w:rsidRPr="00C66720">
              <w:rPr>
                <w:rFonts w:ascii="Times New Roman" w:hAnsi="Times New Roman"/>
                <w:b/>
                <w:bCs/>
                <w:sz w:val="24"/>
                <w:szCs w:val="24"/>
                <w:lang w:eastAsia="sk-SK"/>
              </w:rPr>
              <w:lastRenderedPageBreak/>
              <w:t>VÝK</w:t>
            </w:r>
            <w:r w:rsidR="00C900A9" w:rsidRPr="00C66720">
              <w:rPr>
                <w:rFonts w:ascii="Times New Roman" w:hAnsi="Times New Roman"/>
                <w:b/>
                <w:bCs/>
                <w:sz w:val="24"/>
                <w:szCs w:val="24"/>
                <w:lang w:eastAsia="sk-SK"/>
              </w:rPr>
              <w:t>AZ ZISKOV A STRÁT K 31. 12. 2022</w:t>
            </w:r>
          </w:p>
        </w:tc>
      </w:tr>
      <w:tr w:rsidR="00BC3EA8" w:rsidRPr="00C66720" w14:paraId="6A11B43F" w14:textId="77777777" w:rsidTr="00A27AAA">
        <w:trPr>
          <w:trHeight w:val="85"/>
        </w:trPr>
        <w:tc>
          <w:tcPr>
            <w:tcW w:w="9440" w:type="dxa"/>
            <w:gridSpan w:val="5"/>
            <w:tcBorders>
              <w:top w:val="nil"/>
              <w:left w:val="nil"/>
              <w:bottom w:val="single" w:sz="8" w:space="0" w:color="auto"/>
              <w:right w:val="nil"/>
            </w:tcBorders>
            <w:shd w:val="clear" w:color="000000" w:fill="F4B084"/>
            <w:vAlign w:val="center"/>
            <w:hideMark/>
          </w:tcPr>
          <w:p w14:paraId="409332D4" w14:textId="77777777" w:rsidR="00A43393" w:rsidRPr="00C66720" w:rsidRDefault="00A43393" w:rsidP="008F097E">
            <w:pPr>
              <w:spacing w:after="0" w:line="240" w:lineRule="auto"/>
              <w:jc w:val="center"/>
              <w:rPr>
                <w:rFonts w:ascii="Times New Roman" w:hAnsi="Times New Roman"/>
                <w:b/>
                <w:bCs/>
                <w:sz w:val="24"/>
                <w:szCs w:val="24"/>
                <w:lang w:eastAsia="sk-SK"/>
              </w:rPr>
            </w:pPr>
            <w:r w:rsidRPr="00C66720">
              <w:rPr>
                <w:rFonts w:ascii="Times New Roman" w:hAnsi="Times New Roman"/>
                <w:b/>
                <w:bCs/>
                <w:sz w:val="24"/>
                <w:szCs w:val="24"/>
                <w:lang w:eastAsia="sk-SK"/>
              </w:rPr>
              <w:t>(v tis. eur)</w:t>
            </w:r>
          </w:p>
        </w:tc>
      </w:tr>
      <w:tr w:rsidR="00BC3EA8" w:rsidRPr="00C66720" w14:paraId="0F84950D" w14:textId="77777777" w:rsidTr="00A27AAA">
        <w:trPr>
          <w:trHeight w:val="278"/>
        </w:trPr>
        <w:tc>
          <w:tcPr>
            <w:tcW w:w="860" w:type="dxa"/>
            <w:tcBorders>
              <w:top w:val="nil"/>
              <w:left w:val="nil"/>
              <w:bottom w:val="single" w:sz="8" w:space="0" w:color="auto"/>
              <w:right w:val="nil"/>
            </w:tcBorders>
            <w:shd w:val="clear" w:color="000000" w:fill="BDD7EE"/>
            <w:noWrap/>
            <w:vAlign w:val="center"/>
            <w:hideMark/>
          </w:tcPr>
          <w:p w14:paraId="443CCECC" w14:textId="77777777" w:rsidR="00A43393" w:rsidRPr="00C66720" w:rsidRDefault="00A43393" w:rsidP="008F097E">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602" w:type="dxa"/>
            <w:tcBorders>
              <w:top w:val="nil"/>
              <w:left w:val="nil"/>
              <w:bottom w:val="single" w:sz="8" w:space="0" w:color="auto"/>
              <w:right w:val="nil"/>
            </w:tcBorders>
            <w:shd w:val="clear" w:color="000000" w:fill="BDD7EE"/>
            <w:noWrap/>
            <w:vAlign w:val="center"/>
            <w:hideMark/>
          </w:tcPr>
          <w:p w14:paraId="6BD62FE3" w14:textId="77777777" w:rsidR="00A43393" w:rsidRPr="00C66720" w:rsidRDefault="00A43393" w:rsidP="008F097E">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5018" w:type="dxa"/>
            <w:tcBorders>
              <w:top w:val="nil"/>
              <w:left w:val="nil"/>
              <w:bottom w:val="single" w:sz="8" w:space="0" w:color="auto"/>
              <w:right w:val="nil"/>
            </w:tcBorders>
            <w:shd w:val="clear" w:color="000000" w:fill="BDD7EE"/>
            <w:noWrap/>
            <w:vAlign w:val="center"/>
            <w:hideMark/>
          </w:tcPr>
          <w:p w14:paraId="12F8181F" w14:textId="77777777" w:rsidR="00A43393" w:rsidRPr="00C66720" w:rsidRDefault="00A43393" w:rsidP="008F097E">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VÝNOSY </w:t>
            </w:r>
          </w:p>
        </w:tc>
        <w:tc>
          <w:tcPr>
            <w:tcW w:w="1540" w:type="dxa"/>
            <w:tcBorders>
              <w:top w:val="nil"/>
              <w:left w:val="nil"/>
              <w:bottom w:val="single" w:sz="8" w:space="0" w:color="auto"/>
              <w:right w:val="nil"/>
            </w:tcBorders>
            <w:shd w:val="clear" w:color="000000" w:fill="BDD7EE"/>
            <w:noWrap/>
            <w:vAlign w:val="center"/>
            <w:hideMark/>
          </w:tcPr>
          <w:p w14:paraId="52C20C17" w14:textId="6683C0FA" w:rsidR="00A43393" w:rsidRPr="00C66720" w:rsidRDefault="00BB794F" w:rsidP="008F097E">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xml:space="preserve">      </w:t>
            </w:r>
            <w:r w:rsidR="00C900A9" w:rsidRPr="00C66720">
              <w:rPr>
                <w:rFonts w:ascii="Times New Roman" w:hAnsi="Times New Roman"/>
                <w:b/>
                <w:bCs/>
                <w:sz w:val="20"/>
                <w:szCs w:val="20"/>
                <w:lang w:eastAsia="sk-SK"/>
              </w:rPr>
              <w:t>2022</w:t>
            </w:r>
          </w:p>
        </w:tc>
        <w:tc>
          <w:tcPr>
            <w:tcW w:w="1420" w:type="dxa"/>
            <w:tcBorders>
              <w:top w:val="nil"/>
              <w:left w:val="nil"/>
              <w:bottom w:val="single" w:sz="8" w:space="0" w:color="auto"/>
              <w:right w:val="nil"/>
            </w:tcBorders>
            <w:shd w:val="clear" w:color="000000" w:fill="BDD7EE"/>
            <w:noWrap/>
            <w:vAlign w:val="center"/>
            <w:hideMark/>
          </w:tcPr>
          <w:p w14:paraId="7956BC59" w14:textId="63FC8119" w:rsidR="00A43393" w:rsidRPr="00C66720" w:rsidRDefault="00BB794F" w:rsidP="008F097E">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xml:space="preserve">       </w:t>
            </w:r>
            <w:r w:rsidR="00C900A9" w:rsidRPr="00C66720">
              <w:rPr>
                <w:rFonts w:ascii="Times New Roman" w:hAnsi="Times New Roman"/>
                <w:b/>
                <w:bCs/>
                <w:sz w:val="20"/>
                <w:szCs w:val="20"/>
                <w:lang w:eastAsia="sk-SK"/>
              </w:rPr>
              <w:t>2021</w:t>
            </w:r>
          </w:p>
        </w:tc>
      </w:tr>
      <w:tr w:rsidR="00BC3EA8" w:rsidRPr="00C66720" w14:paraId="556AFF35" w14:textId="77777777" w:rsidTr="00A27AAA">
        <w:trPr>
          <w:trHeight w:val="255"/>
        </w:trPr>
        <w:tc>
          <w:tcPr>
            <w:tcW w:w="860" w:type="dxa"/>
            <w:tcBorders>
              <w:top w:val="nil"/>
              <w:left w:val="nil"/>
              <w:bottom w:val="nil"/>
              <w:right w:val="nil"/>
            </w:tcBorders>
            <w:shd w:val="clear" w:color="auto" w:fill="auto"/>
            <w:vAlign w:val="center"/>
            <w:hideMark/>
          </w:tcPr>
          <w:p w14:paraId="6C56CACB" w14:textId="3A4A9CE2" w:rsidR="00C900A9" w:rsidRPr="00C66720" w:rsidRDefault="00C900A9" w:rsidP="00C900A9">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_Ref86186924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I</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58AEBAFE" w14:textId="649911F7" w:rsidR="00C900A9" w:rsidRPr="00C66720" w:rsidRDefault="00C900A9" w:rsidP="00C900A9">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pozn.</w:t>
            </w:r>
          </w:p>
        </w:tc>
        <w:tc>
          <w:tcPr>
            <w:tcW w:w="5018" w:type="dxa"/>
            <w:tcBorders>
              <w:top w:val="nil"/>
              <w:left w:val="nil"/>
              <w:bottom w:val="nil"/>
              <w:right w:val="nil"/>
            </w:tcBorders>
            <w:shd w:val="clear" w:color="auto" w:fill="auto"/>
            <w:vAlign w:val="center"/>
            <w:hideMark/>
          </w:tcPr>
          <w:p w14:paraId="424875D2" w14:textId="77777777" w:rsidR="00C900A9" w:rsidRPr="00C66720" w:rsidRDefault="00C900A9" w:rsidP="00C900A9">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xml:space="preserve">Daňové a colné výnosy a výnosy z poplatkov </w:t>
            </w:r>
          </w:p>
        </w:tc>
        <w:tc>
          <w:tcPr>
            <w:tcW w:w="1540" w:type="dxa"/>
            <w:tcBorders>
              <w:top w:val="nil"/>
              <w:left w:val="nil"/>
              <w:bottom w:val="nil"/>
              <w:right w:val="nil"/>
            </w:tcBorders>
            <w:shd w:val="clear" w:color="auto" w:fill="auto"/>
            <w:vAlign w:val="center"/>
            <w:hideMark/>
          </w:tcPr>
          <w:p w14:paraId="70DCC111" w14:textId="09DE25D6" w:rsidR="00C900A9" w:rsidRPr="00C66720" w:rsidRDefault="005C19B7" w:rsidP="00C900A9">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21 389 295</w:t>
            </w:r>
          </w:p>
        </w:tc>
        <w:tc>
          <w:tcPr>
            <w:tcW w:w="1420" w:type="dxa"/>
            <w:tcBorders>
              <w:top w:val="nil"/>
              <w:left w:val="nil"/>
              <w:bottom w:val="nil"/>
              <w:right w:val="nil"/>
            </w:tcBorders>
            <w:shd w:val="clear" w:color="auto" w:fill="auto"/>
            <w:vAlign w:val="center"/>
            <w:hideMark/>
          </w:tcPr>
          <w:p w14:paraId="5FE7A9D3" w14:textId="71629CF0" w:rsidR="00C900A9" w:rsidRPr="00C66720" w:rsidRDefault="00C900A9" w:rsidP="00C900A9">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19 028 362</w:t>
            </w:r>
          </w:p>
        </w:tc>
      </w:tr>
      <w:tr w:rsidR="00BC3EA8" w:rsidRPr="00C66720" w14:paraId="2C28CF0F" w14:textId="77777777" w:rsidTr="00A27AAA">
        <w:trPr>
          <w:trHeight w:val="255"/>
        </w:trPr>
        <w:tc>
          <w:tcPr>
            <w:tcW w:w="860" w:type="dxa"/>
            <w:tcBorders>
              <w:top w:val="nil"/>
              <w:left w:val="nil"/>
              <w:bottom w:val="nil"/>
              <w:right w:val="nil"/>
            </w:tcBorders>
            <w:shd w:val="clear" w:color="auto" w:fill="auto"/>
            <w:vAlign w:val="center"/>
            <w:hideMark/>
          </w:tcPr>
          <w:p w14:paraId="04CD8241" w14:textId="77777777" w:rsidR="00C900A9" w:rsidRPr="00C66720" w:rsidRDefault="00C900A9" w:rsidP="00C900A9">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5B0A9D9A" w14:textId="25D7DFF6" w:rsidR="00C900A9" w:rsidRPr="00C66720" w:rsidRDefault="00C900A9" w:rsidP="00C900A9">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_Ref86186309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46</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414CFA4E" w14:textId="77777777" w:rsidR="00C900A9" w:rsidRPr="00C66720" w:rsidRDefault="00C900A9" w:rsidP="00C900A9">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daňové výnosy štátu</w:t>
            </w:r>
          </w:p>
        </w:tc>
        <w:tc>
          <w:tcPr>
            <w:tcW w:w="1540" w:type="dxa"/>
            <w:tcBorders>
              <w:top w:val="nil"/>
              <w:left w:val="nil"/>
              <w:bottom w:val="nil"/>
              <w:right w:val="nil"/>
            </w:tcBorders>
            <w:shd w:val="clear" w:color="auto" w:fill="auto"/>
            <w:vAlign w:val="center"/>
            <w:hideMark/>
          </w:tcPr>
          <w:p w14:paraId="412B689D" w14:textId="4B693C3D" w:rsidR="00C900A9" w:rsidRPr="00C66720" w:rsidRDefault="005C19B7" w:rsidP="00C900A9">
            <w:pPr>
              <w:spacing w:after="0" w:line="240" w:lineRule="auto"/>
              <w:jc w:val="right"/>
              <w:rPr>
                <w:rFonts w:ascii="Times New Roman" w:hAnsi="Times New Roman"/>
                <w:sz w:val="20"/>
                <w:szCs w:val="20"/>
                <w:lang w:eastAsia="sk-SK"/>
              </w:rPr>
            </w:pPr>
            <w:r w:rsidRPr="00C66720">
              <w:rPr>
                <w:rFonts w:ascii="Times New Roman" w:hAnsi="Times New Roman"/>
                <w:i/>
                <w:iCs/>
                <w:sz w:val="19"/>
                <w:szCs w:val="19"/>
                <w:lang w:eastAsia="sk-SK"/>
              </w:rPr>
              <w:t>16 135 527</w:t>
            </w:r>
          </w:p>
        </w:tc>
        <w:tc>
          <w:tcPr>
            <w:tcW w:w="1420" w:type="dxa"/>
            <w:tcBorders>
              <w:top w:val="nil"/>
              <w:left w:val="nil"/>
              <w:bottom w:val="nil"/>
              <w:right w:val="nil"/>
            </w:tcBorders>
            <w:shd w:val="clear" w:color="auto" w:fill="auto"/>
            <w:vAlign w:val="center"/>
            <w:hideMark/>
          </w:tcPr>
          <w:p w14:paraId="3959268D" w14:textId="7548262E" w:rsidR="00C900A9" w:rsidRPr="00C66720" w:rsidRDefault="00C900A9" w:rsidP="00C900A9">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14 209 974</w:t>
            </w:r>
          </w:p>
        </w:tc>
      </w:tr>
      <w:tr w:rsidR="00BC3EA8" w:rsidRPr="00C66720" w14:paraId="4AF7B72A" w14:textId="77777777" w:rsidTr="00A27AAA">
        <w:trPr>
          <w:trHeight w:val="255"/>
        </w:trPr>
        <w:tc>
          <w:tcPr>
            <w:tcW w:w="860" w:type="dxa"/>
            <w:tcBorders>
              <w:top w:val="nil"/>
              <w:left w:val="nil"/>
              <w:bottom w:val="nil"/>
              <w:right w:val="nil"/>
            </w:tcBorders>
            <w:shd w:val="clear" w:color="auto" w:fill="auto"/>
            <w:vAlign w:val="center"/>
            <w:hideMark/>
          </w:tcPr>
          <w:p w14:paraId="349C3224" w14:textId="77777777" w:rsidR="00C900A9" w:rsidRPr="00C66720" w:rsidRDefault="00C900A9" w:rsidP="00C900A9">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673C51B0" w14:textId="50C91EF5" w:rsidR="00C900A9" w:rsidRPr="00C66720" w:rsidRDefault="00C900A9" w:rsidP="00C900A9">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_Ref86186319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47</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1016B923" w14:textId="77777777" w:rsidR="00C900A9" w:rsidRPr="00C66720" w:rsidRDefault="00C900A9" w:rsidP="00C900A9">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daňové výnosy územnej samosprávy</w:t>
            </w:r>
          </w:p>
        </w:tc>
        <w:tc>
          <w:tcPr>
            <w:tcW w:w="1540" w:type="dxa"/>
            <w:tcBorders>
              <w:top w:val="nil"/>
              <w:left w:val="nil"/>
              <w:bottom w:val="nil"/>
              <w:right w:val="nil"/>
            </w:tcBorders>
            <w:shd w:val="clear" w:color="auto" w:fill="auto"/>
            <w:vAlign w:val="center"/>
            <w:hideMark/>
          </w:tcPr>
          <w:p w14:paraId="52C93247" w14:textId="02363C48" w:rsidR="00C900A9" w:rsidRPr="00C66720" w:rsidRDefault="00412B39" w:rsidP="00C900A9">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4 053 990</w:t>
            </w:r>
          </w:p>
        </w:tc>
        <w:tc>
          <w:tcPr>
            <w:tcW w:w="1420" w:type="dxa"/>
            <w:tcBorders>
              <w:top w:val="nil"/>
              <w:left w:val="nil"/>
              <w:bottom w:val="nil"/>
              <w:right w:val="nil"/>
            </w:tcBorders>
            <w:shd w:val="clear" w:color="auto" w:fill="auto"/>
            <w:vAlign w:val="center"/>
            <w:hideMark/>
          </w:tcPr>
          <w:p w14:paraId="0B9AC156" w14:textId="1712A27C" w:rsidR="00C900A9" w:rsidRPr="00C66720" w:rsidRDefault="00C900A9" w:rsidP="00C900A9">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3 726 088</w:t>
            </w:r>
          </w:p>
        </w:tc>
      </w:tr>
      <w:tr w:rsidR="00BC3EA8" w:rsidRPr="00C66720" w14:paraId="5C5B9C51" w14:textId="77777777" w:rsidTr="00A27AAA">
        <w:trPr>
          <w:trHeight w:val="255"/>
        </w:trPr>
        <w:tc>
          <w:tcPr>
            <w:tcW w:w="860" w:type="dxa"/>
            <w:tcBorders>
              <w:top w:val="nil"/>
              <w:left w:val="nil"/>
              <w:bottom w:val="nil"/>
              <w:right w:val="nil"/>
            </w:tcBorders>
            <w:shd w:val="clear" w:color="auto" w:fill="auto"/>
            <w:vAlign w:val="center"/>
            <w:hideMark/>
          </w:tcPr>
          <w:p w14:paraId="1C3AA592" w14:textId="77777777" w:rsidR="00C900A9" w:rsidRPr="00C66720" w:rsidRDefault="00C900A9" w:rsidP="00C900A9">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10EE8751" w14:textId="220A74BD" w:rsidR="00C900A9" w:rsidRPr="00C66720" w:rsidRDefault="00C900A9" w:rsidP="00C900A9">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_Ref86186327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48</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29C9E786" w14:textId="77777777" w:rsidR="00C900A9" w:rsidRPr="00C66720" w:rsidRDefault="00C900A9" w:rsidP="00C900A9">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poplatky</w:t>
            </w:r>
          </w:p>
        </w:tc>
        <w:tc>
          <w:tcPr>
            <w:tcW w:w="1540" w:type="dxa"/>
            <w:tcBorders>
              <w:top w:val="nil"/>
              <w:left w:val="nil"/>
              <w:bottom w:val="nil"/>
              <w:right w:val="nil"/>
            </w:tcBorders>
            <w:shd w:val="clear" w:color="auto" w:fill="auto"/>
            <w:vAlign w:val="center"/>
            <w:hideMark/>
          </w:tcPr>
          <w:p w14:paraId="41C3C2E4" w14:textId="25001900" w:rsidR="00C900A9" w:rsidRPr="00C66720" w:rsidRDefault="00667498" w:rsidP="00C900A9">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1 199 778</w:t>
            </w:r>
          </w:p>
        </w:tc>
        <w:tc>
          <w:tcPr>
            <w:tcW w:w="1420" w:type="dxa"/>
            <w:tcBorders>
              <w:top w:val="nil"/>
              <w:left w:val="nil"/>
              <w:bottom w:val="nil"/>
              <w:right w:val="nil"/>
            </w:tcBorders>
            <w:shd w:val="clear" w:color="auto" w:fill="auto"/>
            <w:vAlign w:val="center"/>
            <w:hideMark/>
          </w:tcPr>
          <w:p w14:paraId="0E187C0C" w14:textId="58AB31DE" w:rsidR="00C900A9" w:rsidRPr="00C66720" w:rsidRDefault="00C900A9" w:rsidP="00C900A9">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1 092 300</w:t>
            </w:r>
          </w:p>
        </w:tc>
      </w:tr>
      <w:tr w:rsidR="00BC3EA8" w:rsidRPr="00C66720" w14:paraId="0664B221" w14:textId="77777777" w:rsidTr="00A27AAA">
        <w:trPr>
          <w:trHeight w:val="255"/>
        </w:trPr>
        <w:tc>
          <w:tcPr>
            <w:tcW w:w="860" w:type="dxa"/>
            <w:tcBorders>
              <w:top w:val="nil"/>
              <w:left w:val="nil"/>
              <w:bottom w:val="nil"/>
              <w:right w:val="nil"/>
            </w:tcBorders>
            <w:shd w:val="clear" w:color="auto" w:fill="auto"/>
            <w:vAlign w:val="center"/>
            <w:hideMark/>
          </w:tcPr>
          <w:p w14:paraId="4188C5F6" w14:textId="1065537B" w:rsidR="00CE71B4" w:rsidRPr="00C66720" w:rsidRDefault="00CE71B4" w:rsidP="00CE71B4">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_Ref86186932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II</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371F55D8" w14:textId="77777777" w:rsidR="00CE71B4" w:rsidRPr="00C66720" w:rsidRDefault="00CE71B4" w:rsidP="00CE71B4">
            <w:pPr>
              <w:spacing w:after="0" w:line="240" w:lineRule="auto"/>
              <w:jc w:val="center"/>
              <w:rPr>
                <w:rFonts w:ascii="Times New Roman" w:hAnsi="Times New Roman"/>
                <w:b/>
                <w:bCs/>
                <w:sz w:val="20"/>
                <w:szCs w:val="20"/>
                <w:lang w:eastAsia="sk-SK"/>
              </w:rPr>
            </w:pPr>
          </w:p>
        </w:tc>
        <w:tc>
          <w:tcPr>
            <w:tcW w:w="5018" w:type="dxa"/>
            <w:tcBorders>
              <w:top w:val="nil"/>
              <w:left w:val="nil"/>
              <w:bottom w:val="nil"/>
              <w:right w:val="nil"/>
            </w:tcBorders>
            <w:shd w:val="clear" w:color="auto" w:fill="auto"/>
            <w:vAlign w:val="center"/>
            <w:hideMark/>
          </w:tcPr>
          <w:p w14:paraId="482D1363" w14:textId="77777777" w:rsidR="00CE71B4" w:rsidRPr="00C66720" w:rsidRDefault="00CE71B4" w:rsidP="00CE71B4">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Výnosy z transferov</w:t>
            </w:r>
          </w:p>
        </w:tc>
        <w:tc>
          <w:tcPr>
            <w:tcW w:w="1540" w:type="dxa"/>
            <w:tcBorders>
              <w:top w:val="nil"/>
              <w:left w:val="nil"/>
              <w:bottom w:val="nil"/>
              <w:right w:val="nil"/>
            </w:tcBorders>
            <w:shd w:val="clear" w:color="auto" w:fill="auto"/>
            <w:vAlign w:val="center"/>
            <w:hideMark/>
          </w:tcPr>
          <w:p w14:paraId="044DA797" w14:textId="0ADD42A4" w:rsidR="00CE71B4" w:rsidRPr="00C66720" w:rsidRDefault="009243E8" w:rsidP="00C77B2A">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5</w:t>
            </w:r>
            <w:r w:rsidR="00C77B2A" w:rsidRPr="00C66720">
              <w:rPr>
                <w:rFonts w:ascii="Times New Roman" w:hAnsi="Times New Roman"/>
                <w:b/>
                <w:bCs/>
                <w:sz w:val="20"/>
                <w:szCs w:val="20"/>
                <w:lang w:eastAsia="sk-SK"/>
              </w:rPr>
              <w:t> </w:t>
            </w:r>
            <w:r w:rsidRPr="00C66720">
              <w:rPr>
                <w:rFonts w:ascii="Times New Roman" w:hAnsi="Times New Roman"/>
                <w:b/>
                <w:bCs/>
                <w:sz w:val="20"/>
                <w:szCs w:val="20"/>
                <w:lang w:eastAsia="sk-SK"/>
              </w:rPr>
              <w:t>1</w:t>
            </w:r>
            <w:r w:rsidR="00C77B2A" w:rsidRPr="00C66720">
              <w:rPr>
                <w:rFonts w:ascii="Times New Roman" w:hAnsi="Times New Roman"/>
                <w:b/>
                <w:bCs/>
                <w:sz w:val="20"/>
                <w:szCs w:val="20"/>
                <w:lang w:eastAsia="sk-SK"/>
              </w:rPr>
              <w:t>75 245</w:t>
            </w:r>
          </w:p>
        </w:tc>
        <w:tc>
          <w:tcPr>
            <w:tcW w:w="1420" w:type="dxa"/>
            <w:tcBorders>
              <w:top w:val="nil"/>
              <w:left w:val="nil"/>
              <w:bottom w:val="nil"/>
              <w:right w:val="nil"/>
            </w:tcBorders>
            <w:shd w:val="clear" w:color="auto" w:fill="auto"/>
            <w:vAlign w:val="center"/>
            <w:hideMark/>
          </w:tcPr>
          <w:p w14:paraId="3223118A" w14:textId="767DC707" w:rsidR="00CE71B4" w:rsidRPr="00C66720" w:rsidRDefault="00CE71B4" w:rsidP="00CE71B4">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4 934 540</w:t>
            </w:r>
          </w:p>
        </w:tc>
      </w:tr>
      <w:tr w:rsidR="00BC3EA8" w:rsidRPr="00C66720" w14:paraId="4AFE5E90" w14:textId="77777777" w:rsidTr="00A27AAA">
        <w:trPr>
          <w:trHeight w:val="255"/>
        </w:trPr>
        <w:tc>
          <w:tcPr>
            <w:tcW w:w="860" w:type="dxa"/>
            <w:tcBorders>
              <w:top w:val="nil"/>
              <w:left w:val="nil"/>
              <w:bottom w:val="nil"/>
              <w:right w:val="nil"/>
            </w:tcBorders>
            <w:shd w:val="clear" w:color="auto" w:fill="auto"/>
            <w:vAlign w:val="center"/>
            <w:hideMark/>
          </w:tcPr>
          <w:p w14:paraId="60124B0B" w14:textId="77777777" w:rsidR="00CE71B4" w:rsidRPr="00C66720" w:rsidRDefault="00CE71B4" w:rsidP="00CE71B4">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38D5C189" w14:textId="311246BF" w:rsidR="00CE71B4" w:rsidRPr="00C66720" w:rsidRDefault="00CE71B4" w:rsidP="00CE71B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_Ref86186338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49</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7B6E64C1" w14:textId="77777777" w:rsidR="00CE71B4" w:rsidRPr="00C66720" w:rsidRDefault="00CE71B4" w:rsidP="00CE71B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výnosy z rozpočtu EÚ</w:t>
            </w:r>
          </w:p>
        </w:tc>
        <w:tc>
          <w:tcPr>
            <w:tcW w:w="1540" w:type="dxa"/>
            <w:tcBorders>
              <w:top w:val="nil"/>
              <w:left w:val="nil"/>
              <w:bottom w:val="nil"/>
              <w:right w:val="nil"/>
            </w:tcBorders>
            <w:shd w:val="clear" w:color="auto" w:fill="auto"/>
            <w:vAlign w:val="center"/>
            <w:hideMark/>
          </w:tcPr>
          <w:p w14:paraId="551C44F6" w14:textId="7275F35D" w:rsidR="00CE71B4" w:rsidRPr="00C66720" w:rsidRDefault="007C4511" w:rsidP="00CE71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2 437 811</w:t>
            </w:r>
          </w:p>
        </w:tc>
        <w:tc>
          <w:tcPr>
            <w:tcW w:w="1420" w:type="dxa"/>
            <w:tcBorders>
              <w:top w:val="nil"/>
              <w:left w:val="nil"/>
              <w:bottom w:val="nil"/>
              <w:right w:val="nil"/>
            </w:tcBorders>
            <w:shd w:val="clear" w:color="auto" w:fill="auto"/>
            <w:vAlign w:val="center"/>
            <w:hideMark/>
          </w:tcPr>
          <w:p w14:paraId="388E6D28" w14:textId="61CC56BD" w:rsidR="00CE71B4" w:rsidRPr="00C66720" w:rsidRDefault="00CE71B4" w:rsidP="00CE71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2 435 523</w:t>
            </w:r>
          </w:p>
        </w:tc>
      </w:tr>
      <w:tr w:rsidR="00BC3EA8" w:rsidRPr="00C66720" w14:paraId="27CBE3D5" w14:textId="77777777" w:rsidTr="00A27AAA">
        <w:trPr>
          <w:trHeight w:val="255"/>
        </w:trPr>
        <w:tc>
          <w:tcPr>
            <w:tcW w:w="860" w:type="dxa"/>
            <w:tcBorders>
              <w:top w:val="nil"/>
              <w:left w:val="nil"/>
              <w:bottom w:val="nil"/>
              <w:right w:val="nil"/>
            </w:tcBorders>
            <w:shd w:val="clear" w:color="auto" w:fill="auto"/>
            <w:vAlign w:val="center"/>
            <w:hideMark/>
          </w:tcPr>
          <w:p w14:paraId="1B7E9BA6" w14:textId="77777777" w:rsidR="00CE71B4" w:rsidRPr="00C66720" w:rsidRDefault="00CE71B4" w:rsidP="00CE71B4">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6325E0E8" w14:textId="5E60220B" w:rsidR="00CE71B4" w:rsidRPr="00C66720" w:rsidRDefault="00CE71B4" w:rsidP="00CE71B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_Ref86186351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50</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3F320790" w14:textId="77777777" w:rsidR="00CE71B4" w:rsidRPr="00C66720" w:rsidRDefault="00CE71B4" w:rsidP="00CE71B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výnosy z ostatných transferov</w:t>
            </w:r>
          </w:p>
        </w:tc>
        <w:tc>
          <w:tcPr>
            <w:tcW w:w="1540" w:type="dxa"/>
            <w:tcBorders>
              <w:top w:val="nil"/>
              <w:left w:val="nil"/>
              <w:bottom w:val="nil"/>
              <w:right w:val="nil"/>
            </w:tcBorders>
            <w:shd w:val="clear" w:color="auto" w:fill="auto"/>
            <w:vAlign w:val="center"/>
            <w:hideMark/>
          </w:tcPr>
          <w:p w14:paraId="7D58ECA3" w14:textId="55C8324B" w:rsidR="00CE71B4" w:rsidRPr="00C66720" w:rsidRDefault="000E79D5" w:rsidP="0009594D">
            <w:pPr>
              <w:spacing w:after="0" w:line="240" w:lineRule="auto"/>
              <w:jc w:val="right"/>
              <w:rPr>
                <w:rFonts w:ascii="Times New Roman" w:hAnsi="Times New Roman"/>
                <w:sz w:val="20"/>
                <w:szCs w:val="20"/>
                <w:lang w:eastAsia="sk-SK"/>
              </w:rPr>
            </w:pPr>
            <w:r w:rsidRPr="00C66720">
              <w:rPr>
                <w:rFonts w:ascii="Times New Roman" w:hAnsi="Times New Roman"/>
                <w:i/>
                <w:iCs/>
                <w:sz w:val="19"/>
                <w:szCs w:val="19"/>
                <w:lang w:eastAsia="sk-SK"/>
              </w:rPr>
              <w:t>2</w:t>
            </w:r>
            <w:r w:rsidR="0009594D" w:rsidRPr="00C66720">
              <w:rPr>
                <w:rFonts w:ascii="Times New Roman" w:hAnsi="Times New Roman"/>
                <w:i/>
                <w:iCs/>
                <w:sz w:val="19"/>
                <w:szCs w:val="19"/>
                <w:lang w:eastAsia="sk-SK"/>
              </w:rPr>
              <w:t> </w:t>
            </w:r>
            <w:r w:rsidRPr="00C66720">
              <w:rPr>
                <w:rFonts w:ascii="Times New Roman" w:hAnsi="Times New Roman"/>
                <w:i/>
                <w:iCs/>
                <w:sz w:val="19"/>
                <w:szCs w:val="19"/>
                <w:lang w:eastAsia="sk-SK"/>
              </w:rPr>
              <w:t>7</w:t>
            </w:r>
            <w:r w:rsidR="0009594D" w:rsidRPr="00C66720">
              <w:rPr>
                <w:rFonts w:ascii="Times New Roman" w:hAnsi="Times New Roman"/>
                <w:i/>
                <w:iCs/>
                <w:sz w:val="19"/>
                <w:szCs w:val="19"/>
                <w:lang w:eastAsia="sk-SK"/>
              </w:rPr>
              <w:t>37 434</w:t>
            </w:r>
          </w:p>
        </w:tc>
        <w:tc>
          <w:tcPr>
            <w:tcW w:w="1420" w:type="dxa"/>
            <w:tcBorders>
              <w:top w:val="nil"/>
              <w:left w:val="nil"/>
              <w:bottom w:val="nil"/>
              <w:right w:val="nil"/>
            </w:tcBorders>
            <w:shd w:val="clear" w:color="auto" w:fill="auto"/>
            <w:vAlign w:val="center"/>
            <w:hideMark/>
          </w:tcPr>
          <w:p w14:paraId="577B1470" w14:textId="646AE398" w:rsidR="00CE71B4" w:rsidRPr="00C66720" w:rsidRDefault="00CE71B4" w:rsidP="00CE71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2 499 017</w:t>
            </w:r>
          </w:p>
        </w:tc>
      </w:tr>
      <w:tr w:rsidR="00BC3EA8" w:rsidRPr="00C66720" w14:paraId="43423605" w14:textId="77777777" w:rsidTr="00A27AAA">
        <w:trPr>
          <w:trHeight w:val="255"/>
        </w:trPr>
        <w:tc>
          <w:tcPr>
            <w:tcW w:w="860" w:type="dxa"/>
            <w:tcBorders>
              <w:top w:val="nil"/>
              <w:left w:val="nil"/>
              <w:bottom w:val="nil"/>
              <w:right w:val="nil"/>
            </w:tcBorders>
            <w:shd w:val="clear" w:color="auto" w:fill="auto"/>
            <w:vAlign w:val="center"/>
            <w:hideMark/>
          </w:tcPr>
          <w:p w14:paraId="53F01F5F" w14:textId="0BC7DFE7" w:rsidR="00CE71B4" w:rsidRPr="00C66720" w:rsidRDefault="00CE71B4" w:rsidP="00CE71B4">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_Ref86186942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III</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3DF053CE" w14:textId="77777777" w:rsidR="00CE71B4" w:rsidRPr="00C66720" w:rsidRDefault="00CE71B4" w:rsidP="00CE71B4">
            <w:pPr>
              <w:spacing w:after="0" w:line="240" w:lineRule="auto"/>
              <w:jc w:val="center"/>
              <w:rPr>
                <w:rFonts w:ascii="Times New Roman" w:hAnsi="Times New Roman"/>
                <w:b/>
                <w:bCs/>
                <w:sz w:val="20"/>
                <w:szCs w:val="20"/>
                <w:lang w:eastAsia="sk-SK"/>
              </w:rPr>
            </w:pPr>
          </w:p>
        </w:tc>
        <w:tc>
          <w:tcPr>
            <w:tcW w:w="5018" w:type="dxa"/>
            <w:tcBorders>
              <w:top w:val="nil"/>
              <w:left w:val="nil"/>
              <w:bottom w:val="nil"/>
              <w:right w:val="nil"/>
            </w:tcBorders>
            <w:shd w:val="clear" w:color="auto" w:fill="auto"/>
            <w:vAlign w:val="center"/>
            <w:hideMark/>
          </w:tcPr>
          <w:p w14:paraId="47CBECF0" w14:textId="77777777" w:rsidR="00CE71B4" w:rsidRPr="00C66720" w:rsidRDefault="00CE71B4" w:rsidP="00CE71B4">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Tržby za vlastné výkony a tovar</w:t>
            </w:r>
          </w:p>
        </w:tc>
        <w:tc>
          <w:tcPr>
            <w:tcW w:w="1540" w:type="dxa"/>
            <w:tcBorders>
              <w:top w:val="nil"/>
              <w:left w:val="nil"/>
              <w:bottom w:val="nil"/>
              <w:right w:val="nil"/>
            </w:tcBorders>
            <w:shd w:val="clear" w:color="auto" w:fill="auto"/>
            <w:vAlign w:val="center"/>
            <w:hideMark/>
          </w:tcPr>
          <w:p w14:paraId="754D8AA0" w14:textId="180418F1" w:rsidR="00CE71B4" w:rsidRPr="00C66720" w:rsidRDefault="00155913" w:rsidP="0009594D">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xml:space="preserve">30 592 </w:t>
            </w:r>
            <w:r w:rsidR="0009594D" w:rsidRPr="00C66720">
              <w:rPr>
                <w:rFonts w:ascii="Times New Roman" w:hAnsi="Times New Roman"/>
                <w:b/>
                <w:bCs/>
                <w:sz w:val="20"/>
                <w:szCs w:val="20"/>
                <w:lang w:eastAsia="sk-SK"/>
              </w:rPr>
              <w:t>489</w:t>
            </w:r>
          </w:p>
        </w:tc>
        <w:tc>
          <w:tcPr>
            <w:tcW w:w="1420" w:type="dxa"/>
            <w:tcBorders>
              <w:top w:val="nil"/>
              <w:left w:val="nil"/>
              <w:bottom w:val="nil"/>
              <w:right w:val="nil"/>
            </w:tcBorders>
            <w:shd w:val="clear" w:color="auto" w:fill="auto"/>
            <w:vAlign w:val="center"/>
            <w:hideMark/>
          </w:tcPr>
          <w:p w14:paraId="3ACC1B5B" w14:textId="6A515338" w:rsidR="00CE71B4" w:rsidRPr="00C66720" w:rsidRDefault="00CE71B4" w:rsidP="00CE71B4">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35 617 872</w:t>
            </w:r>
          </w:p>
        </w:tc>
      </w:tr>
      <w:tr w:rsidR="00BC3EA8" w:rsidRPr="00C66720" w14:paraId="6DCA249A" w14:textId="77777777" w:rsidTr="00A27AAA">
        <w:trPr>
          <w:trHeight w:val="255"/>
        </w:trPr>
        <w:tc>
          <w:tcPr>
            <w:tcW w:w="860" w:type="dxa"/>
            <w:tcBorders>
              <w:top w:val="nil"/>
              <w:left w:val="nil"/>
              <w:bottom w:val="nil"/>
              <w:right w:val="nil"/>
            </w:tcBorders>
            <w:shd w:val="clear" w:color="auto" w:fill="auto"/>
            <w:vAlign w:val="center"/>
            <w:hideMark/>
          </w:tcPr>
          <w:p w14:paraId="5E1F2DFD" w14:textId="77777777" w:rsidR="00CE71B4" w:rsidRPr="00C66720" w:rsidRDefault="00CE71B4" w:rsidP="00CE71B4">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6D342A62" w14:textId="32259564" w:rsidR="00CE71B4" w:rsidRPr="00C66720" w:rsidRDefault="00CE71B4" w:rsidP="00CE71B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_Ref86186367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51</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054AEBE3" w14:textId="77777777" w:rsidR="00CE71B4" w:rsidRPr="00C66720" w:rsidRDefault="00CE71B4" w:rsidP="00CE71B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v tom    služby   </w:t>
            </w:r>
          </w:p>
        </w:tc>
        <w:tc>
          <w:tcPr>
            <w:tcW w:w="1540" w:type="dxa"/>
            <w:tcBorders>
              <w:top w:val="nil"/>
              <w:left w:val="nil"/>
              <w:bottom w:val="nil"/>
              <w:right w:val="nil"/>
            </w:tcBorders>
            <w:shd w:val="clear" w:color="auto" w:fill="auto"/>
            <w:vAlign w:val="center"/>
            <w:hideMark/>
          </w:tcPr>
          <w:p w14:paraId="264827BA" w14:textId="42C3A8BD" w:rsidR="00CE71B4" w:rsidRPr="00C66720" w:rsidRDefault="00A610F1" w:rsidP="00ED032B">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18 853 </w:t>
            </w:r>
            <w:r w:rsidR="00ED032B" w:rsidRPr="00C66720">
              <w:rPr>
                <w:rFonts w:ascii="Times New Roman" w:hAnsi="Times New Roman"/>
                <w:i/>
                <w:iCs/>
                <w:sz w:val="19"/>
                <w:szCs w:val="19"/>
                <w:lang w:eastAsia="sk-SK"/>
              </w:rPr>
              <w:t>774</w:t>
            </w:r>
          </w:p>
        </w:tc>
        <w:tc>
          <w:tcPr>
            <w:tcW w:w="1420" w:type="dxa"/>
            <w:tcBorders>
              <w:top w:val="nil"/>
              <w:left w:val="nil"/>
              <w:bottom w:val="nil"/>
              <w:right w:val="nil"/>
            </w:tcBorders>
            <w:shd w:val="clear" w:color="auto" w:fill="auto"/>
            <w:vAlign w:val="center"/>
            <w:hideMark/>
          </w:tcPr>
          <w:p w14:paraId="3928D041" w14:textId="0B331170" w:rsidR="00CE71B4" w:rsidRPr="00C66720" w:rsidRDefault="00CE71B4" w:rsidP="00CE71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31 047 501</w:t>
            </w:r>
          </w:p>
        </w:tc>
      </w:tr>
      <w:tr w:rsidR="00BC3EA8" w:rsidRPr="00C66720" w14:paraId="521AECE8" w14:textId="77777777" w:rsidTr="00A27AAA">
        <w:trPr>
          <w:trHeight w:val="255"/>
        </w:trPr>
        <w:tc>
          <w:tcPr>
            <w:tcW w:w="860" w:type="dxa"/>
            <w:tcBorders>
              <w:top w:val="nil"/>
              <w:left w:val="nil"/>
              <w:bottom w:val="nil"/>
              <w:right w:val="nil"/>
            </w:tcBorders>
            <w:shd w:val="clear" w:color="auto" w:fill="auto"/>
            <w:vAlign w:val="center"/>
            <w:hideMark/>
          </w:tcPr>
          <w:p w14:paraId="7EEB23B9" w14:textId="77777777" w:rsidR="00CE71B4" w:rsidRPr="00C66720" w:rsidRDefault="00CE71B4" w:rsidP="00CE71B4">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1DC6731C" w14:textId="5CB0FE3C" w:rsidR="00CE71B4" w:rsidRPr="00C66720" w:rsidRDefault="00CE71B4" w:rsidP="00CE71B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_Ref86186376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52</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613AB93C" w14:textId="77777777" w:rsidR="00CE71B4" w:rsidRPr="00C66720" w:rsidRDefault="00CE71B4" w:rsidP="00CE71B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výrobky </w:t>
            </w:r>
          </w:p>
        </w:tc>
        <w:tc>
          <w:tcPr>
            <w:tcW w:w="1540" w:type="dxa"/>
            <w:tcBorders>
              <w:top w:val="nil"/>
              <w:left w:val="nil"/>
              <w:bottom w:val="nil"/>
              <w:right w:val="nil"/>
            </w:tcBorders>
            <w:shd w:val="clear" w:color="auto" w:fill="auto"/>
            <w:vAlign w:val="center"/>
            <w:hideMark/>
          </w:tcPr>
          <w:p w14:paraId="24E11840" w14:textId="4A3F3F08" w:rsidR="00CE71B4" w:rsidRPr="00C66720" w:rsidRDefault="00933AAA" w:rsidP="00CE71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3 745 805</w:t>
            </w:r>
          </w:p>
        </w:tc>
        <w:tc>
          <w:tcPr>
            <w:tcW w:w="1420" w:type="dxa"/>
            <w:tcBorders>
              <w:top w:val="nil"/>
              <w:left w:val="nil"/>
              <w:bottom w:val="nil"/>
              <w:right w:val="nil"/>
            </w:tcBorders>
            <w:shd w:val="clear" w:color="auto" w:fill="auto"/>
            <w:vAlign w:val="center"/>
            <w:hideMark/>
          </w:tcPr>
          <w:p w14:paraId="6A6C26D7" w14:textId="01CE0DD5" w:rsidR="00CE71B4" w:rsidRPr="00C66720" w:rsidRDefault="00CE71B4" w:rsidP="00CE71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1 901 787</w:t>
            </w:r>
          </w:p>
        </w:tc>
      </w:tr>
      <w:tr w:rsidR="00BC3EA8" w:rsidRPr="00C66720" w14:paraId="59066BE5" w14:textId="77777777" w:rsidTr="00A27AAA">
        <w:trPr>
          <w:trHeight w:val="255"/>
        </w:trPr>
        <w:tc>
          <w:tcPr>
            <w:tcW w:w="860" w:type="dxa"/>
            <w:tcBorders>
              <w:top w:val="nil"/>
              <w:left w:val="nil"/>
              <w:bottom w:val="nil"/>
              <w:right w:val="nil"/>
            </w:tcBorders>
            <w:shd w:val="clear" w:color="auto" w:fill="auto"/>
            <w:vAlign w:val="center"/>
            <w:hideMark/>
          </w:tcPr>
          <w:p w14:paraId="6DFF6236" w14:textId="77777777" w:rsidR="00CE71B4" w:rsidRPr="00C66720" w:rsidRDefault="00CE71B4" w:rsidP="00CE71B4">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79679AF7" w14:textId="277B455C" w:rsidR="00CE71B4" w:rsidRPr="00C66720" w:rsidRDefault="00CE71B4" w:rsidP="00CE71B4">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_Ref86186386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53</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16B0DE8F" w14:textId="77777777" w:rsidR="00CE71B4" w:rsidRPr="00C66720" w:rsidRDefault="00CE71B4" w:rsidP="00CE71B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tovar</w:t>
            </w:r>
          </w:p>
        </w:tc>
        <w:tc>
          <w:tcPr>
            <w:tcW w:w="1540" w:type="dxa"/>
            <w:tcBorders>
              <w:top w:val="nil"/>
              <w:left w:val="nil"/>
              <w:bottom w:val="nil"/>
              <w:right w:val="nil"/>
            </w:tcBorders>
            <w:shd w:val="clear" w:color="auto" w:fill="auto"/>
            <w:vAlign w:val="center"/>
            <w:hideMark/>
          </w:tcPr>
          <w:p w14:paraId="1A56CBEC" w14:textId="43F4D621" w:rsidR="00CE71B4" w:rsidRPr="00C66720" w:rsidRDefault="000376A0" w:rsidP="00FC68E9">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6</w:t>
            </w:r>
            <w:r w:rsidR="00FC68E9" w:rsidRPr="00C66720">
              <w:rPr>
                <w:rFonts w:ascii="Times New Roman" w:hAnsi="Times New Roman"/>
                <w:i/>
                <w:iCs/>
                <w:sz w:val="19"/>
                <w:szCs w:val="19"/>
                <w:lang w:eastAsia="sk-SK"/>
              </w:rPr>
              <w:t> </w:t>
            </w:r>
            <w:r w:rsidRPr="00C66720">
              <w:rPr>
                <w:rFonts w:ascii="Times New Roman" w:hAnsi="Times New Roman"/>
                <w:i/>
                <w:iCs/>
                <w:sz w:val="19"/>
                <w:szCs w:val="19"/>
                <w:lang w:eastAsia="sk-SK"/>
              </w:rPr>
              <w:t>41</w:t>
            </w:r>
            <w:r w:rsidR="00FC68E9" w:rsidRPr="00C66720">
              <w:rPr>
                <w:rFonts w:ascii="Times New Roman" w:hAnsi="Times New Roman"/>
                <w:i/>
                <w:iCs/>
                <w:sz w:val="19"/>
                <w:szCs w:val="19"/>
                <w:lang w:eastAsia="sk-SK"/>
              </w:rPr>
              <w:t>6 018</w:t>
            </w:r>
          </w:p>
        </w:tc>
        <w:tc>
          <w:tcPr>
            <w:tcW w:w="1420" w:type="dxa"/>
            <w:tcBorders>
              <w:top w:val="nil"/>
              <w:left w:val="nil"/>
              <w:bottom w:val="nil"/>
              <w:right w:val="nil"/>
            </w:tcBorders>
            <w:shd w:val="clear" w:color="auto" w:fill="auto"/>
            <w:vAlign w:val="center"/>
            <w:hideMark/>
          </w:tcPr>
          <w:p w14:paraId="0ED9EA83" w14:textId="567A86C4" w:rsidR="00CE71B4" w:rsidRPr="00C66720" w:rsidRDefault="00CE71B4" w:rsidP="00CE71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2 505 182</w:t>
            </w:r>
          </w:p>
        </w:tc>
      </w:tr>
      <w:tr w:rsidR="00BC3EA8" w:rsidRPr="00C66720" w14:paraId="5119D7A0" w14:textId="77777777" w:rsidTr="00A27AAA">
        <w:trPr>
          <w:trHeight w:val="255"/>
        </w:trPr>
        <w:tc>
          <w:tcPr>
            <w:tcW w:w="860" w:type="dxa"/>
            <w:tcBorders>
              <w:top w:val="nil"/>
              <w:left w:val="nil"/>
              <w:bottom w:val="nil"/>
              <w:right w:val="nil"/>
            </w:tcBorders>
            <w:shd w:val="clear" w:color="auto" w:fill="auto"/>
            <w:vAlign w:val="center"/>
            <w:hideMark/>
          </w:tcPr>
          <w:p w14:paraId="666614E5" w14:textId="77777777" w:rsidR="00CE71B4" w:rsidRPr="00C66720" w:rsidRDefault="00CE71B4" w:rsidP="00CE71B4">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753C73D3" w14:textId="60B3CDEC" w:rsidR="00CE71B4" w:rsidRPr="00C66720" w:rsidRDefault="00CE71B4" w:rsidP="00CE71B4">
            <w:pPr>
              <w:spacing w:after="0" w:line="240" w:lineRule="auto"/>
              <w:jc w:val="center"/>
              <w:rPr>
                <w:rFonts w:ascii="Times New Roman" w:hAnsi="Times New Roman"/>
                <w:i/>
                <w:sz w:val="20"/>
                <w:szCs w:val="20"/>
                <w:lang w:eastAsia="sk-SK"/>
              </w:rPr>
            </w:pPr>
            <w:r w:rsidRPr="00C66720">
              <w:rPr>
                <w:rFonts w:ascii="Times New Roman" w:hAnsi="Times New Roman"/>
                <w:i/>
                <w:sz w:val="20"/>
                <w:szCs w:val="20"/>
                <w:lang w:eastAsia="sk-SK"/>
              </w:rPr>
              <w:fldChar w:fldCharType="begin"/>
            </w:r>
            <w:r w:rsidRPr="00C66720">
              <w:rPr>
                <w:rFonts w:ascii="Times New Roman" w:hAnsi="Times New Roman"/>
                <w:i/>
                <w:sz w:val="20"/>
                <w:szCs w:val="20"/>
                <w:lang w:eastAsia="sk-SK"/>
              </w:rPr>
              <w:instrText xml:space="preserve"> REF _Ref86186395 \r \h  \* MERGEFORMAT </w:instrText>
            </w:r>
            <w:r w:rsidRPr="00C66720">
              <w:rPr>
                <w:rFonts w:ascii="Times New Roman" w:hAnsi="Times New Roman"/>
                <w:i/>
                <w:sz w:val="20"/>
                <w:szCs w:val="20"/>
                <w:lang w:eastAsia="sk-SK"/>
              </w:rPr>
            </w:r>
            <w:r w:rsidRPr="00C66720">
              <w:rPr>
                <w:rFonts w:ascii="Times New Roman" w:hAnsi="Times New Roman"/>
                <w:i/>
                <w:sz w:val="20"/>
                <w:szCs w:val="20"/>
                <w:lang w:eastAsia="sk-SK"/>
              </w:rPr>
              <w:fldChar w:fldCharType="separate"/>
            </w:r>
            <w:r w:rsidR="00B00473" w:rsidRPr="00C66720">
              <w:rPr>
                <w:rFonts w:ascii="Times New Roman" w:hAnsi="Times New Roman"/>
                <w:i/>
                <w:sz w:val="20"/>
                <w:szCs w:val="20"/>
                <w:lang w:eastAsia="sk-SK"/>
              </w:rPr>
              <w:t>54</w:t>
            </w:r>
            <w:r w:rsidRPr="00C66720">
              <w:rPr>
                <w:rFonts w:ascii="Times New Roman" w:hAnsi="Times New Roman"/>
                <w:i/>
                <w:sz w:val="20"/>
                <w:szCs w:val="20"/>
                <w:lang w:eastAsia="sk-SK"/>
              </w:rPr>
              <w:fldChar w:fldCharType="end"/>
            </w:r>
          </w:p>
        </w:tc>
        <w:tc>
          <w:tcPr>
            <w:tcW w:w="5018" w:type="dxa"/>
            <w:tcBorders>
              <w:top w:val="nil"/>
              <w:left w:val="nil"/>
              <w:bottom w:val="nil"/>
              <w:right w:val="nil"/>
            </w:tcBorders>
            <w:shd w:val="clear" w:color="auto" w:fill="auto"/>
            <w:vAlign w:val="center"/>
            <w:hideMark/>
          </w:tcPr>
          <w:p w14:paraId="2B344F4E" w14:textId="77777777" w:rsidR="00CE71B4" w:rsidRPr="00C66720" w:rsidRDefault="00CE71B4" w:rsidP="00CE71B4">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výnosy</w:t>
            </w:r>
          </w:p>
        </w:tc>
        <w:tc>
          <w:tcPr>
            <w:tcW w:w="1540" w:type="dxa"/>
            <w:tcBorders>
              <w:top w:val="nil"/>
              <w:left w:val="nil"/>
              <w:bottom w:val="nil"/>
              <w:right w:val="nil"/>
            </w:tcBorders>
            <w:shd w:val="clear" w:color="auto" w:fill="auto"/>
            <w:vAlign w:val="center"/>
            <w:hideMark/>
          </w:tcPr>
          <w:p w14:paraId="10D31B50" w14:textId="01EA2B07" w:rsidR="00CE71B4" w:rsidRPr="00C66720" w:rsidRDefault="00200498" w:rsidP="00CE71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1 576 892</w:t>
            </w:r>
          </w:p>
        </w:tc>
        <w:tc>
          <w:tcPr>
            <w:tcW w:w="1420" w:type="dxa"/>
            <w:tcBorders>
              <w:top w:val="nil"/>
              <w:left w:val="nil"/>
              <w:bottom w:val="nil"/>
              <w:right w:val="nil"/>
            </w:tcBorders>
            <w:shd w:val="clear" w:color="auto" w:fill="auto"/>
            <w:vAlign w:val="center"/>
            <w:hideMark/>
          </w:tcPr>
          <w:p w14:paraId="0DCB737A" w14:textId="16E1D5CB" w:rsidR="00CE71B4" w:rsidRPr="00C66720" w:rsidRDefault="00CE71B4" w:rsidP="00CE71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163 402</w:t>
            </w:r>
          </w:p>
        </w:tc>
      </w:tr>
      <w:tr w:rsidR="00BC3EA8" w:rsidRPr="00C66720" w14:paraId="7221791B" w14:textId="77777777" w:rsidTr="00A27AAA">
        <w:trPr>
          <w:trHeight w:val="255"/>
        </w:trPr>
        <w:tc>
          <w:tcPr>
            <w:tcW w:w="860" w:type="dxa"/>
            <w:tcBorders>
              <w:top w:val="nil"/>
              <w:left w:val="nil"/>
              <w:bottom w:val="nil"/>
              <w:right w:val="nil"/>
            </w:tcBorders>
            <w:shd w:val="clear" w:color="auto" w:fill="auto"/>
            <w:vAlign w:val="center"/>
            <w:hideMark/>
          </w:tcPr>
          <w:p w14:paraId="6771F9D4" w14:textId="430AE0ED" w:rsidR="00C86151" w:rsidRPr="00C66720" w:rsidRDefault="00C86151" w:rsidP="00C86151">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_Ref86186957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IV</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1A8A18A7" w14:textId="77777777" w:rsidR="00C86151" w:rsidRPr="00C66720" w:rsidRDefault="00C86151" w:rsidP="00C86151">
            <w:pPr>
              <w:spacing w:after="0" w:line="240" w:lineRule="auto"/>
              <w:jc w:val="center"/>
              <w:rPr>
                <w:rFonts w:ascii="Times New Roman" w:hAnsi="Times New Roman"/>
                <w:b/>
                <w:bCs/>
                <w:sz w:val="20"/>
                <w:szCs w:val="20"/>
                <w:lang w:eastAsia="sk-SK"/>
              </w:rPr>
            </w:pPr>
          </w:p>
        </w:tc>
        <w:tc>
          <w:tcPr>
            <w:tcW w:w="5018" w:type="dxa"/>
            <w:tcBorders>
              <w:top w:val="nil"/>
              <w:left w:val="nil"/>
              <w:bottom w:val="nil"/>
              <w:right w:val="nil"/>
            </w:tcBorders>
            <w:shd w:val="clear" w:color="auto" w:fill="auto"/>
            <w:vAlign w:val="center"/>
            <w:hideMark/>
          </w:tcPr>
          <w:p w14:paraId="3EE081F4" w14:textId="77777777" w:rsidR="00C86151" w:rsidRPr="00C66720" w:rsidRDefault="00C86151" w:rsidP="00C86151">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Finančné výnosy</w:t>
            </w:r>
          </w:p>
        </w:tc>
        <w:tc>
          <w:tcPr>
            <w:tcW w:w="1540" w:type="dxa"/>
            <w:tcBorders>
              <w:top w:val="nil"/>
              <w:left w:val="nil"/>
              <w:bottom w:val="nil"/>
              <w:right w:val="nil"/>
            </w:tcBorders>
            <w:shd w:val="clear" w:color="auto" w:fill="auto"/>
            <w:vAlign w:val="center"/>
            <w:hideMark/>
          </w:tcPr>
          <w:p w14:paraId="45E64BD3" w14:textId="4D298E0E" w:rsidR="00C86151" w:rsidRPr="00C66720" w:rsidRDefault="00F52F2A" w:rsidP="00C8615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3 186 505</w:t>
            </w:r>
          </w:p>
        </w:tc>
        <w:tc>
          <w:tcPr>
            <w:tcW w:w="1420" w:type="dxa"/>
            <w:tcBorders>
              <w:top w:val="nil"/>
              <w:left w:val="nil"/>
              <w:bottom w:val="nil"/>
              <w:right w:val="nil"/>
            </w:tcBorders>
            <w:shd w:val="clear" w:color="auto" w:fill="auto"/>
            <w:vAlign w:val="center"/>
            <w:hideMark/>
          </w:tcPr>
          <w:p w14:paraId="2EF7C3DB" w14:textId="0BA65C82" w:rsidR="00C86151" w:rsidRPr="00C66720" w:rsidRDefault="00C86151" w:rsidP="00C86151">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1 763 669</w:t>
            </w:r>
          </w:p>
        </w:tc>
      </w:tr>
      <w:tr w:rsidR="00BC3EA8" w:rsidRPr="00C66720" w14:paraId="013E3FCC" w14:textId="77777777" w:rsidTr="00A27AAA">
        <w:trPr>
          <w:trHeight w:val="255"/>
        </w:trPr>
        <w:tc>
          <w:tcPr>
            <w:tcW w:w="860" w:type="dxa"/>
            <w:tcBorders>
              <w:top w:val="nil"/>
              <w:left w:val="nil"/>
              <w:bottom w:val="nil"/>
              <w:right w:val="nil"/>
            </w:tcBorders>
            <w:shd w:val="clear" w:color="auto" w:fill="auto"/>
            <w:vAlign w:val="center"/>
            <w:hideMark/>
          </w:tcPr>
          <w:p w14:paraId="092FE4C4" w14:textId="77777777" w:rsidR="00C86151" w:rsidRPr="00C66720" w:rsidRDefault="00C86151" w:rsidP="00C86151">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0D67F2AC" w14:textId="75C2231D" w:rsidR="00C86151" w:rsidRPr="00C66720" w:rsidRDefault="00C86151" w:rsidP="00C86151">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_Ref86186417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55</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67D55E30" w14:textId="77777777" w:rsidR="00C86151" w:rsidRPr="00C66720" w:rsidRDefault="00C86151" w:rsidP="00C86151">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úroky</w:t>
            </w:r>
          </w:p>
        </w:tc>
        <w:tc>
          <w:tcPr>
            <w:tcW w:w="1540" w:type="dxa"/>
            <w:tcBorders>
              <w:top w:val="nil"/>
              <w:left w:val="nil"/>
              <w:bottom w:val="nil"/>
              <w:right w:val="nil"/>
            </w:tcBorders>
            <w:shd w:val="clear" w:color="auto" w:fill="auto"/>
            <w:vAlign w:val="center"/>
            <w:hideMark/>
          </w:tcPr>
          <w:p w14:paraId="7F8B4FFE" w14:textId="0FF3176F" w:rsidR="00C86151" w:rsidRPr="00C66720" w:rsidRDefault="00244446" w:rsidP="00C86151">
            <w:pPr>
              <w:spacing w:after="0" w:line="240" w:lineRule="auto"/>
              <w:jc w:val="right"/>
              <w:rPr>
                <w:rFonts w:ascii="Times New Roman" w:hAnsi="Times New Roman"/>
                <w:sz w:val="20"/>
                <w:szCs w:val="20"/>
                <w:lang w:eastAsia="sk-SK"/>
              </w:rPr>
            </w:pPr>
            <w:r w:rsidRPr="00C66720">
              <w:rPr>
                <w:rFonts w:ascii="Times New Roman" w:hAnsi="Times New Roman"/>
                <w:i/>
                <w:iCs/>
                <w:sz w:val="19"/>
                <w:szCs w:val="19"/>
                <w:lang w:eastAsia="sk-SK"/>
              </w:rPr>
              <w:t>309 707</w:t>
            </w:r>
          </w:p>
        </w:tc>
        <w:tc>
          <w:tcPr>
            <w:tcW w:w="1420" w:type="dxa"/>
            <w:tcBorders>
              <w:top w:val="nil"/>
              <w:left w:val="nil"/>
              <w:bottom w:val="nil"/>
              <w:right w:val="nil"/>
            </w:tcBorders>
            <w:shd w:val="clear" w:color="auto" w:fill="auto"/>
            <w:vAlign w:val="center"/>
            <w:hideMark/>
          </w:tcPr>
          <w:p w14:paraId="1E88CD72" w14:textId="562B9499" w:rsidR="00C86151" w:rsidRPr="00C66720" w:rsidRDefault="00C86151" w:rsidP="00C861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311 297</w:t>
            </w:r>
          </w:p>
        </w:tc>
      </w:tr>
      <w:tr w:rsidR="00BC3EA8" w:rsidRPr="00C66720" w14:paraId="4E3BA236" w14:textId="77777777" w:rsidTr="00A27AAA">
        <w:trPr>
          <w:trHeight w:val="255"/>
        </w:trPr>
        <w:tc>
          <w:tcPr>
            <w:tcW w:w="860" w:type="dxa"/>
            <w:tcBorders>
              <w:top w:val="nil"/>
              <w:left w:val="nil"/>
              <w:bottom w:val="nil"/>
              <w:right w:val="nil"/>
            </w:tcBorders>
            <w:shd w:val="clear" w:color="auto" w:fill="auto"/>
            <w:vAlign w:val="center"/>
            <w:hideMark/>
          </w:tcPr>
          <w:p w14:paraId="4C221D1F" w14:textId="77777777" w:rsidR="00C86151" w:rsidRPr="00C66720" w:rsidRDefault="00C86151" w:rsidP="00C86151">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53C407F3" w14:textId="684F287A" w:rsidR="00C86151" w:rsidRPr="00C66720" w:rsidRDefault="00C86151" w:rsidP="00C86151">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_Ref86186426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56</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2271EAD8" w14:textId="77777777" w:rsidR="00C86151" w:rsidRPr="00C66720" w:rsidRDefault="00C86151" w:rsidP="00C86151">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kurzové zisky</w:t>
            </w:r>
          </w:p>
        </w:tc>
        <w:tc>
          <w:tcPr>
            <w:tcW w:w="1540" w:type="dxa"/>
            <w:tcBorders>
              <w:top w:val="nil"/>
              <w:left w:val="nil"/>
              <w:bottom w:val="nil"/>
              <w:right w:val="nil"/>
            </w:tcBorders>
            <w:shd w:val="clear" w:color="auto" w:fill="auto"/>
            <w:vAlign w:val="center"/>
            <w:hideMark/>
          </w:tcPr>
          <w:p w14:paraId="074B13B9" w14:textId="6F7FB668" w:rsidR="00C86151" w:rsidRPr="00C66720" w:rsidRDefault="00244446" w:rsidP="00C861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172 138</w:t>
            </w:r>
          </w:p>
        </w:tc>
        <w:tc>
          <w:tcPr>
            <w:tcW w:w="1420" w:type="dxa"/>
            <w:tcBorders>
              <w:top w:val="nil"/>
              <w:left w:val="nil"/>
              <w:bottom w:val="nil"/>
              <w:right w:val="nil"/>
            </w:tcBorders>
            <w:shd w:val="clear" w:color="auto" w:fill="auto"/>
            <w:vAlign w:val="center"/>
            <w:hideMark/>
          </w:tcPr>
          <w:p w14:paraId="66405CF9" w14:textId="0A3ADC37" w:rsidR="00C86151" w:rsidRPr="00C66720" w:rsidRDefault="00C86151" w:rsidP="00C861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179 931</w:t>
            </w:r>
          </w:p>
        </w:tc>
      </w:tr>
      <w:tr w:rsidR="00BC3EA8" w:rsidRPr="00C66720" w14:paraId="5121CE3A" w14:textId="77777777" w:rsidTr="00A27AAA">
        <w:trPr>
          <w:trHeight w:val="255"/>
        </w:trPr>
        <w:tc>
          <w:tcPr>
            <w:tcW w:w="860" w:type="dxa"/>
            <w:tcBorders>
              <w:top w:val="nil"/>
              <w:left w:val="nil"/>
              <w:bottom w:val="nil"/>
              <w:right w:val="nil"/>
            </w:tcBorders>
            <w:shd w:val="clear" w:color="auto" w:fill="auto"/>
            <w:vAlign w:val="center"/>
            <w:hideMark/>
          </w:tcPr>
          <w:p w14:paraId="60CABEB7" w14:textId="77777777" w:rsidR="00C86151" w:rsidRPr="00C66720" w:rsidRDefault="00C86151" w:rsidP="00C86151">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5D036F29" w14:textId="451F416B" w:rsidR="00C86151" w:rsidRPr="00C66720" w:rsidRDefault="00C86151" w:rsidP="00C86151">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_Ref86186435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57</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67CC5B53" w14:textId="77777777" w:rsidR="00C86151" w:rsidRPr="00C66720" w:rsidRDefault="00C86151" w:rsidP="00C86151">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podiel na výsledku hospodárenia pridružených ÚJ </w:t>
            </w:r>
          </w:p>
        </w:tc>
        <w:tc>
          <w:tcPr>
            <w:tcW w:w="1540" w:type="dxa"/>
            <w:tcBorders>
              <w:top w:val="nil"/>
              <w:left w:val="nil"/>
              <w:bottom w:val="nil"/>
              <w:right w:val="nil"/>
            </w:tcBorders>
            <w:shd w:val="clear" w:color="auto" w:fill="auto"/>
            <w:vAlign w:val="center"/>
            <w:hideMark/>
          </w:tcPr>
          <w:p w14:paraId="25D85A6B" w14:textId="2465D1E5" w:rsidR="00C86151" w:rsidRPr="00C66720" w:rsidRDefault="00024137" w:rsidP="00C861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554 456</w:t>
            </w:r>
          </w:p>
        </w:tc>
        <w:tc>
          <w:tcPr>
            <w:tcW w:w="1420" w:type="dxa"/>
            <w:tcBorders>
              <w:top w:val="nil"/>
              <w:left w:val="nil"/>
              <w:bottom w:val="nil"/>
              <w:right w:val="nil"/>
            </w:tcBorders>
            <w:shd w:val="clear" w:color="auto" w:fill="auto"/>
            <w:vAlign w:val="center"/>
            <w:hideMark/>
          </w:tcPr>
          <w:p w14:paraId="7811777C" w14:textId="3016CCAD" w:rsidR="00C86151" w:rsidRPr="00C66720" w:rsidRDefault="00C86151" w:rsidP="00C861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423 098</w:t>
            </w:r>
          </w:p>
        </w:tc>
      </w:tr>
      <w:tr w:rsidR="00BC3EA8" w:rsidRPr="00C66720" w14:paraId="35AA8438" w14:textId="77777777" w:rsidTr="00A27AAA">
        <w:trPr>
          <w:trHeight w:val="255"/>
        </w:trPr>
        <w:tc>
          <w:tcPr>
            <w:tcW w:w="860" w:type="dxa"/>
            <w:tcBorders>
              <w:top w:val="nil"/>
              <w:left w:val="nil"/>
              <w:bottom w:val="nil"/>
              <w:right w:val="nil"/>
            </w:tcBorders>
            <w:shd w:val="clear" w:color="auto" w:fill="auto"/>
            <w:vAlign w:val="center"/>
            <w:hideMark/>
          </w:tcPr>
          <w:p w14:paraId="18F15C6B" w14:textId="77777777" w:rsidR="00C86151" w:rsidRPr="00C66720" w:rsidRDefault="00C86151" w:rsidP="00C86151">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7E732413" w14:textId="1457AAB3" w:rsidR="00C86151" w:rsidRPr="00C66720" w:rsidRDefault="00C86151" w:rsidP="00C86151">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_Ref86186442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58</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223BD761" w14:textId="77777777" w:rsidR="00C86151" w:rsidRPr="00C66720" w:rsidRDefault="00C86151" w:rsidP="00C86151">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finančné výnosy</w:t>
            </w:r>
          </w:p>
        </w:tc>
        <w:tc>
          <w:tcPr>
            <w:tcW w:w="1540" w:type="dxa"/>
            <w:tcBorders>
              <w:top w:val="nil"/>
              <w:left w:val="nil"/>
              <w:bottom w:val="nil"/>
              <w:right w:val="nil"/>
            </w:tcBorders>
            <w:shd w:val="clear" w:color="auto" w:fill="auto"/>
            <w:vAlign w:val="center"/>
            <w:hideMark/>
          </w:tcPr>
          <w:p w14:paraId="6CC25C0F" w14:textId="61B3342A" w:rsidR="00C86151" w:rsidRPr="00C66720" w:rsidRDefault="00024137" w:rsidP="00C861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2 150 204</w:t>
            </w:r>
          </w:p>
        </w:tc>
        <w:tc>
          <w:tcPr>
            <w:tcW w:w="1420" w:type="dxa"/>
            <w:tcBorders>
              <w:top w:val="nil"/>
              <w:left w:val="nil"/>
              <w:bottom w:val="nil"/>
              <w:right w:val="nil"/>
            </w:tcBorders>
            <w:shd w:val="clear" w:color="auto" w:fill="auto"/>
            <w:vAlign w:val="center"/>
            <w:hideMark/>
          </w:tcPr>
          <w:p w14:paraId="775291A6" w14:textId="00187A2C" w:rsidR="00C86151" w:rsidRPr="00C66720" w:rsidRDefault="00C86151" w:rsidP="00C86151">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849 343</w:t>
            </w:r>
          </w:p>
        </w:tc>
      </w:tr>
      <w:tr w:rsidR="00BC3EA8" w:rsidRPr="00C66720" w14:paraId="4357A9C5" w14:textId="77777777" w:rsidTr="00A27AAA">
        <w:trPr>
          <w:trHeight w:val="255"/>
        </w:trPr>
        <w:tc>
          <w:tcPr>
            <w:tcW w:w="860" w:type="dxa"/>
            <w:tcBorders>
              <w:top w:val="nil"/>
              <w:left w:val="nil"/>
              <w:bottom w:val="nil"/>
              <w:right w:val="nil"/>
            </w:tcBorders>
            <w:shd w:val="clear" w:color="auto" w:fill="auto"/>
            <w:vAlign w:val="center"/>
            <w:hideMark/>
          </w:tcPr>
          <w:p w14:paraId="699F1602" w14:textId="5EDE6137" w:rsidR="00AF7152" w:rsidRPr="00C66720" w:rsidRDefault="00AF7152" w:rsidP="00AF7152">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_Ref86186967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V</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171C3760" w14:textId="77777777" w:rsidR="00AF7152" w:rsidRPr="00C66720" w:rsidRDefault="00AF7152" w:rsidP="00AF7152">
            <w:pPr>
              <w:spacing w:after="0" w:line="240" w:lineRule="auto"/>
              <w:jc w:val="center"/>
              <w:rPr>
                <w:rFonts w:ascii="Times New Roman" w:hAnsi="Times New Roman"/>
                <w:b/>
                <w:bCs/>
                <w:sz w:val="20"/>
                <w:szCs w:val="20"/>
                <w:lang w:eastAsia="sk-SK"/>
              </w:rPr>
            </w:pPr>
          </w:p>
        </w:tc>
        <w:tc>
          <w:tcPr>
            <w:tcW w:w="5018" w:type="dxa"/>
            <w:tcBorders>
              <w:top w:val="nil"/>
              <w:left w:val="nil"/>
              <w:bottom w:val="nil"/>
              <w:right w:val="nil"/>
            </w:tcBorders>
            <w:shd w:val="clear" w:color="auto" w:fill="auto"/>
            <w:vAlign w:val="center"/>
            <w:hideMark/>
          </w:tcPr>
          <w:p w14:paraId="30851FE3" w14:textId="77777777" w:rsidR="00AF7152" w:rsidRPr="00C66720" w:rsidRDefault="00AF7152" w:rsidP="00AF7152">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Zúčtovanie rezerv a opravných položiek</w:t>
            </w:r>
          </w:p>
        </w:tc>
        <w:tc>
          <w:tcPr>
            <w:tcW w:w="1540" w:type="dxa"/>
            <w:tcBorders>
              <w:top w:val="nil"/>
              <w:left w:val="nil"/>
              <w:bottom w:val="nil"/>
              <w:right w:val="nil"/>
            </w:tcBorders>
            <w:shd w:val="clear" w:color="auto" w:fill="auto"/>
            <w:vAlign w:val="center"/>
            <w:hideMark/>
          </w:tcPr>
          <w:p w14:paraId="7E252246" w14:textId="30CE5314" w:rsidR="00AF7152" w:rsidRPr="00C66720" w:rsidRDefault="00E52431" w:rsidP="00AF7152">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15 409 733</w:t>
            </w:r>
          </w:p>
        </w:tc>
        <w:tc>
          <w:tcPr>
            <w:tcW w:w="1420" w:type="dxa"/>
            <w:tcBorders>
              <w:top w:val="nil"/>
              <w:left w:val="nil"/>
              <w:bottom w:val="nil"/>
              <w:right w:val="nil"/>
            </w:tcBorders>
            <w:shd w:val="clear" w:color="auto" w:fill="auto"/>
            <w:vAlign w:val="center"/>
            <w:hideMark/>
          </w:tcPr>
          <w:p w14:paraId="71A0DD53" w14:textId="53EB05B1" w:rsidR="00AF7152" w:rsidRPr="00C66720" w:rsidRDefault="00AF7152" w:rsidP="00AF7152">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2 061 155</w:t>
            </w:r>
          </w:p>
        </w:tc>
      </w:tr>
      <w:tr w:rsidR="00BC3EA8" w:rsidRPr="00C66720" w14:paraId="0C187EAD" w14:textId="77777777" w:rsidTr="00A27AAA">
        <w:trPr>
          <w:trHeight w:val="255"/>
        </w:trPr>
        <w:tc>
          <w:tcPr>
            <w:tcW w:w="860" w:type="dxa"/>
            <w:tcBorders>
              <w:top w:val="nil"/>
              <w:left w:val="nil"/>
              <w:bottom w:val="nil"/>
              <w:right w:val="nil"/>
            </w:tcBorders>
            <w:shd w:val="clear" w:color="auto" w:fill="auto"/>
            <w:vAlign w:val="center"/>
            <w:hideMark/>
          </w:tcPr>
          <w:p w14:paraId="1518C4B5" w14:textId="77777777" w:rsidR="00AF7152" w:rsidRPr="00C66720" w:rsidRDefault="00AF7152" w:rsidP="00AF7152">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723F1AEF" w14:textId="1C06CA03" w:rsidR="00AF7152" w:rsidRPr="00C66720" w:rsidRDefault="00AF7152" w:rsidP="00AF7152">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_Ref86186453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59</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79F93217" w14:textId="77777777" w:rsidR="00AF7152" w:rsidRPr="00C66720" w:rsidRDefault="00AF7152" w:rsidP="00AF7152">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rezervy</w:t>
            </w:r>
          </w:p>
        </w:tc>
        <w:tc>
          <w:tcPr>
            <w:tcW w:w="1540" w:type="dxa"/>
            <w:tcBorders>
              <w:top w:val="nil"/>
              <w:left w:val="nil"/>
              <w:bottom w:val="nil"/>
              <w:right w:val="nil"/>
            </w:tcBorders>
            <w:shd w:val="clear" w:color="auto" w:fill="auto"/>
            <w:vAlign w:val="center"/>
            <w:hideMark/>
          </w:tcPr>
          <w:p w14:paraId="68039284" w14:textId="795F6F88" w:rsidR="00AF7152" w:rsidRPr="00C66720" w:rsidRDefault="00016D91" w:rsidP="00AF7152">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14 520 048</w:t>
            </w:r>
          </w:p>
        </w:tc>
        <w:tc>
          <w:tcPr>
            <w:tcW w:w="1420" w:type="dxa"/>
            <w:tcBorders>
              <w:top w:val="nil"/>
              <w:left w:val="nil"/>
              <w:bottom w:val="nil"/>
              <w:right w:val="nil"/>
            </w:tcBorders>
            <w:shd w:val="clear" w:color="auto" w:fill="auto"/>
            <w:vAlign w:val="center"/>
            <w:hideMark/>
          </w:tcPr>
          <w:p w14:paraId="6C18BD06" w14:textId="745906E8" w:rsidR="00AF7152" w:rsidRPr="00C66720" w:rsidRDefault="00AF7152" w:rsidP="00AF7152">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1 233 474</w:t>
            </w:r>
          </w:p>
        </w:tc>
      </w:tr>
      <w:tr w:rsidR="00BC3EA8" w:rsidRPr="00C66720" w14:paraId="2D8F4660" w14:textId="77777777" w:rsidTr="00A27AAA">
        <w:trPr>
          <w:trHeight w:val="255"/>
        </w:trPr>
        <w:tc>
          <w:tcPr>
            <w:tcW w:w="860" w:type="dxa"/>
            <w:tcBorders>
              <w:top w:val="nil"/>
              <w:left w:val="nil"/>
              <w:bottom w:val="nil"/>
              <w:right w:val="nil"/>
            </w:tcBorders>
            <w:shd w:val="clear" w:color="auto" w:fill="auto"/>
            <w:vAlign w:val="center"/>
            <w:hideMark/>
          </w:tcPr>
          <w:p w14:paraId="22C0711D" w14:textId="77777777" w:rsidR="00AF7152" w:rsidRPr="00C66720" w:rsidRDefault="00AF7152" w:rsidP="00AF7152">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4BC03D33" w14:textId="1CADB83B" w:rsidR="00AF7152" w:rsidRPr="00C66720" w:rsidRDefault="00AF7152" w:rsidP="00AF7152">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_Ref86186462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60</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28F8BB4D" w14:textId="77777777" w:rsidR="00AF7152" w:rsidRPr="00C66720" w:rsidRDefault="00AF7152" w:rsidP="00AF7152">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opravné položky</w:t>
            </w:r>
          </w:p>
        </w:tc>
        <w:tc>
          <w:tcPr>
            <w:tcW w:w="1540" w:type="dxa"/>
            <w:tcBorders>
              <w:top w:val="nil"/>
              <w:left w:val="nil"/>
              <w:bottom w:val="nil"/>
              <w:right w:val="nil"/>
            </w:tcBorders>
            <w:shd w:val="clear" w:color="auto" w:fill="auto"/>
            <w:vAlign w:val="center"/>
            <w:hideMark/>
          </w:tcPr>
          <w:p w14:paraId="6936306B" w14:textId="1934C6F3" w:rsidR="00AF7152" w:rsidRPr="00C66720" w:rsidRDefault="00082303" w:rsidP="00AF7152">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889 685</w:t>
            </w:r>
          </w:p>
        </w:tc>
        <w:tc>
          <w:tcPr>
            <w:tcW w:w="1420" w:type="dxa"/>
            <w:tcBorders>
              <w:top w:val="nil"/>
              <w:left w:val="nil"/>
              <w:bottom w:val="nil"/>
              <w:right w:val="nil"/>
            </w:tcBorders>
            <w:shd w:val="clear" w:color="auto" w:fill="auto"/>
            <w:vAlign w:val="center"/>
            <w:hideMark/>
          </w:tcPr>
          <w:p w14:paraId="5EEC6298" w14:textId="20190E78" w:rsidR="00AF7152" w:rsidRPr="00C66720" w:rsidRDefault="00AF7152" w:rsidP="00AF7152">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827 681</w:t>
            </w:r>
          </w:p>
        </w:tc>
      </w:tr>
      <w:tr w:rsidR="00BC3EA8" w:rsidRPr="00C66720" w14:paraId="3ADA13C7" w14:textId="77777777" w:rsidTr="00A27AAA">
        <w:trPr>
          <w:trHeight w:val="255"/>
        </w:trPr>
        <w:tc>
          <w:tcPr>
            <w:tcW w:w="860" w:type="dxa"/>
            <w:tcBorders>
              <w:top w:val="nil"/>
              <w:left w:val="nil"/>
              <w:bottom w:val="nil"/>
              <w:right w:val="nil"/>
            </w:tcBorders>
            <w:shd w:val="clear" w:color="auto" w:fill="auto"/>
            <w:vAlign w:val="center"/>
            <w:hideMark/>
          </w:tcPr>
          <w:p w14:paraId="6C8B8C97" w14:textId="32F2C85A" w:rsidR="00AF7152" w:rsidRPr="00C66720" w:rsidRDefault="00AF7152" w:rsidP="00AF7152">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_Ref86186979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VI</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409D7424" w14:textId="1B15EF02" w:rsidR="00AF7152" w:rsidRPr="00C66720" w:rsidRDefault="00AF7152" w:rsidP="00AF7152">
            <w:pPr>
              <w:spacing w:after="0" w:line="240" w:lineRule="auto"/>
              <w:jc w:val="center"/>
              <w:rPr>
                <w:rFonts w:ascii="Times New Roman" w:hAnsi="Times New Roman"/>
                <w:b/>
                <w:bCs/>
                <w:i/>
                <w:iCs/>
                <w:sz w:val="20"/>
                <w:szCs w:val="20"/>
                <w:lang w:eastAsia="sk-SK"/>
              </w:rPr>
            </w:pPr>
          </w:p>
        </w:tc>
        <w:tc>
          <w:tcPr>
            <w:tcW w:w="5018" w:type="dxa"/>
            <w:tcBorders>
              <w:top w:val="nil"/>
              <w:left w:val="nil"/>
              <w:bottom w:val="nil"/>
              <w:right w:val="nil"/>
            </w:tcBorders>
            <w:shd w:val="clear" w:color="auto" w:fill="auto"/>
            <w:vAlign w:val="center"/>
            <w:hideMark/>
          </w:tcPr>
          <w:p w14:paraId="737D6982" w14:textId="77777777" w:rsidR="00AF7152" w:rsidRPr="00C66720" w:rsidRDefault="00AF7152" w:rsidP="00AF7152">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Ostatné výnosy z prevádzkovej činnosti</w:t>
            </w:r>
          </w:p>
        </w:tc>
        <w:tc>
          <w:tcPr>
            <w:tcW w:w="1540" w:type="dxa"/>
            <w:tcBorders>
              <w:top w:val="nil"/>
              <w:left w:val="nil"/>
              <w:bottom w:val="nil"/>
              <w:right w:val="nil"/>
            </w:tcBorders>
            <w:shd w:val="clear" w:color="auto" w:fill="auto"/>
            <w:vAlign w:val="center"/>
            <w:hideMark/>
          </w:tcPr>
          <w:p w14:paraId="2D4597AA" w14:textId="64E2F72E" w:rsidR="00AF7152" w:rsidRPr="00C66720" w:rsidRDefault="0078673E" w:rsidP="00284599">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w:t>
            </w:r>
            <w:r w:rsidR="00284599" w:rsidRPr="00C66720">
              <w:rPr>
                <w:rFonts w:ascii="Times New Roman" w:hAnsi="Times New Roman"/>
                <w:b/>
                <w:bCs/>
                <w:sz w:val="20"/>
                <w:szCs w:val="20"/>
                <w:lang w:eastAsia="sk-SK"/>
              </w:rPr>
              <w:t> 702 329</w:t>
            </w:r>
          </w:p>
        </w:tc>
        <w:tc>
          <w:tcPr>
            <w:tcW w:w="1420" w:type="dxa"/>
            <w:tcBorders>
              <w:top w:val="nil"/>
              <w:left w:val="nil"/>
              <w:bottom w:val="nil"/>
              <w:right w:val="nil"/>
            </w:tcBorders>
            <w:shd w:val="clear" w:color="auto" w:fill="auto"/>
            <w:vAlign w:val="center"/>
            <w:hideMark/>
          </w:tcPr>
          <w:p w14:paraId="61D81CE9" w14:textId="298CE590" w:rsidR="00AF7152" w:rsidRPr="00C66720" w:rsidRDefault="00AF7152" w:rsidP="00AF7152">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2 851 404</w:t>
            </w:r>
          </w:p>
        </w:tc>
      </w:tr>
      <w:tr w:rsidR="00BC3EA8" w:rsidRPr="00C66720" w14:paraId="3219CD2E" w14:textId="77777777" w:rsidTr="00A27AAA">
        <w:trPr>
          <w:trHeight w:val="255"/>
        </w:trPr>
        <w:tc>
          <w:tcPr>
            <w:tcW w:w="860" w:type="dxa"/>
            <w:tcBorders>
              <w:top w:val="nil"/>
              <w:left w:val="nil"/>
              <w:bottom w:val="single" w:sz="8" w:space="0" w:color="auto"/>
              <w:right w:val="nil"/>
            </w:tcBorders>
            <w:shd w:val="clear" w:color="auto" w:fill="auto"/>
            <w:noWrap/>
            <w:vAlign w:val="center"/>
            <w:hideMark/>
          </w:tcPr>
          <w:p w14:paraId="5B3579CE" w14:textId="685A7DE2" w:rsidR="00AF7152" w:rsidRPr="00C66720" w:rsidRDefault="00AF7152" w:rsidP="00AF7152">
            <w:pPr>
              <w:spacing w:after="0" w:line="240" w:lineRule="auto"/>
              <w:jc w:val="center"/>
              <w:rPr>
                <w:rFonts w:ascii="Times New Roman" w:hAnsi="Times New Roman"/>
                <w:b/>
                <w:bCs/>
                <w:color w:val="FF0000"/>
                <w:sz w:val="20"/>
                <w:szCs w:val="20"/>
                <w:lang w:eastAsia="sk-SK"/>
              </w:rPr>
            </w:pPr>
          </w:p>
        </w:tc>
        <w:tc>
          <w:tcPr>
            <w:tcW w:w="602" w:type="dxa"/>
            <w:tcBorders>
              <w:top w:val="nil"/>
              <w:left w:val="nil"/>
              <w:bottom w:val="single" w:sz="8" w:space="0" w:color="auto"/>
              <w:right w:val="nil"/>
            </w:tcBorders>
            <w:shd w:val="clear" w:color="auto" w:fill="auto"/>
            <w:noWrap/>
            <w:vAlign w:val="center"/>
            <w:hideMark/>
          </w:tcPr>
          <w:p w14:paraId="2D8EBCBD" w14:textId="77777777" w:rsidR="00AF7152" w:rsidRPr="00C66720" w:rsidRDefault="00AF7152" w:rsidP="00AF7152">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5018" w:type="dxa"/>
            <w:tcBorders>
              <w:top w:val="nil"/>
              <w:left w:val="nil"/>
              <w:bottom w:val="single" w:sz="8" w:space="0" w:color="auto"/>
              <w:right w:val="nil"/>
            </w:tcBorders>
            <w:shd w:val="clear" w:color="auto" w:fill="auto"/>
            <w:vAlign w:val="center"/>
            <w:hideMark/>
          </w:tcPr>
          <w:p w14:paraId="57EB5D86" w14:textId="77777777" w:rsidR="00AF7152" w:rsidRPr="00C66720" w:rsidRDefault="00AF7152" w:rsidP="00AF7152">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VÝNOSY SPOLU (I. až VI.)</w:t>
            </w:r>
          </w:p>
        </w:tc>
        <w:tc>
          <w:tcPr>
            <w:tcW w:w="1540" w:type="dxa"/>
            <w:tcBorders>
              <w:top w:val="nil"/>
              <w:left w:val="nil"/>
              <w:bottom w:val="single" w:sz="8" w:space="0" w:color="auto"/>
              <w:right w:val="nil"/>
            </w:tcBorders>
            <w:shd w:val="clear" w:color="auto" w:fill="auto"/>
            <w:vAlign w:val="center"/>
            <w:hideMark/>
          </w:tcPr>
          <w:p w14:paraId="7B6FC6BA" w14:textId="245B491A" w:rsidR="00AF7152" w:rsidRPr="00C66720" w:rsidRDefault="008B7035" w:rsidP="00D46ADE">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78</w:t>
            </w:r>
            <w:r w:rsidR="00D46ADE" w:rsidRPr="00C66720">
              <w:rPr>
                <w:rFonts w:ascii="Times New Roman" w:hAnsi="Times New Roman"/>
                <w:b/>
                <w:bCs/>
                <w:sz w:val="20"/>
                <w:szCs w:val="20"/>
                <w:lang w:eastAsia="sk-SK"/>
              </w:rPr>
              <w:t> </w:t>
            </w:r>
            <w:r w:rsidRPr="00C66720">
              <w:rPr>
                <w:rFonts w:ascii="Times New Roman" w:hAnsi="Times New Roman"/>
                <w:b/>
                <w:bCs/>
                <w:sz w:val="20"/>
                <w:szCs w:val="20"/>
                <w:lang w:eastAsia="sk-SK"/>
              </w:rPr>
              <w:t>4</w:t>
            </w:r>
            <w:r w:rsidR="00E72CBF" w:rsidRPr="00C66720">
              <w:rPr>
                <w:rFonts w:ascii="Times New Roman" w:hAnsi="Times New Roman"/>
                <w:b/>
                <w:bCs/>
                <w:sz w:val="20"/>
                <w:szCs w:val="20"/>
                <w:lang w:eastAsia="sk-SK"/>
              </w:rPr>
              <w:t>55 596</w:t>
            </w:r>
          </w:p>
        </w:tc>
        <w:tc>
          <w:tcPr>
            <w:tcW w:w="1420" w:type="dxa"/>
            <w:tcBorders>
              <w:top w:val="nil"/>
              <w:left w:val="nil"/>
              <w:bottom w:val="single" w:sz="8" w:space="0" w:color="auto"/>
              <w:right w:val="nil"/>
            </w:tcBorders>
            <w:shd w:val="clear" w:color="auto" w:fill="auto"/>
            <w:vAlign w:val="center"/>
            <w:hideMark/>
          </w:tcPr>
          <w:p w14:paraId="0A27C0BD" w14:textId="128DED5C" w:rsidR="00AF7152" w:rsidRPr="00C66720" w:rsidRDefault="00AF7152" w:rsidP="00AF7152">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66 257 002</w:t>
            </w:r>
          </w:p>
        </w:tc>
      </w:tr>
      <w:tr w:rsidR="00BC3EA8" w:rsidRPr="00C66720" w14:paraId="07216030" w14:textId="77777777" w:rsidTr="00A27AAA">
        <w:trPr>
          <w:trHeight w:val="345"/>
        </w:trPr>
        <w:tc>
          <w:tcPr>
            <w:tcW w:w="860" w:type="dxa"/>
            <w:tcBorders>
              <w:top w:val="nil"/>
              <w:left w:val="nil"/>
              <w:bottom w:val="single" w:sz="8" w:space="0" w:color="auto"/>
              <w:right w:val="nil"/>
            </w:tcBorders>
            <w:shd w:val="clear" w:color="000000" w:fill="BDD7EE"/>
            <w:noWrap/>
            <w:vAlign w:val="center"/>
            <w:hideMark/>
          </w:tcPr>
          <w:p w14:paraId="22E1323B" w14:textId="77777777" w:rsidR="00D47F0D" w:rsidRPr="00C66720" w:rsidRDefault="00D47F0D" w:rsidP="00D47F0D">
            <w:pPr>
              <w:spacing w:after="0" w:line="240" w:lineRule="auto"/>
              <w:rPr>
                <w:rFonts w:ascii="Times New Roman" w:hAnsi="Times New Roman"/>
                <w:b/>
                <w:bCs/>
                <w:color w:val="FF0000"/>
                <w:sz w:val="20"/>
                <w:szCs w:val="20"/>
                <w:lang w:eastAsia="sk-SK"/>
              </w:rPr>
            </w:pPr>
            <w:r w:rsidRPr="00C66720">
              <w:rPr>
                <w:rFonts w:ascii="Times New Roman" w:hAnsi="Times New Roman"/>
                <w:b/>
                <w:bCs/>
                <w:color w:val="FF0000"/>
                <w:sz w:val="20"/>
                <w:szCs w:val="20"/>
                <w:lang w:eastAsia="sk-SK"/>
              </w:rPr>
              <w:t> </w:t>
            </w:r>
          </w:p>
        </w:tc>
        <w:tc>
          <w:tcPr>
            <w:tcW w:w="602" w:type="dxa"/>
            <w:tcBorders>
              <w:top w:val="nil"/>
              <w:left w:val="nil"/>
              <w:bottom w:val="single" w:sz="8" w:space="0" w:color="auto"/>
              <w:right w:val="nil"/>
            </w:tcBorders>
            <w:shd w:val="clear" w:color="000000" w:fill="BDD7EE"/>
            <w:noWrap/>
            <w:vAlign w:val="center"/>
            <w:hideMark/>
          </w:tcPr>
          <w:p w14:paraId="3450D714" w14:textId="77777777" w:rsidR="00D47F0D" w:rsidRPr="00C66720" w:rsidRDefault="00D47F0D" w:rsidP="00D47F0D">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 </w:t>
            </w:r>
          </w:p>
        </w:tc>
        <w:tc>
          <w:tcPr>
            <w:tcW w:w="5018" w:type="dxa"/>
            <w:tcBorders>
              <w:top w:val="nil"/>
              <w:left w:val="nil"/>
              <w:bottom w:val="single" w:sz="8" w:space="0" w:color="auto"/>
              <w:right w:val="nil"/>
            </w:tcBorders>
            <w:shd w:val="clear" w:color="000000" w:fill="BDD7EE"/>
            <w:noWrap/>
            <w:vAlign w:val="center"/>
            <w:hideMark/>
          </w:tcPr>
          <w:p w14:paraId="1C57E559" w14:textId="77777777" w:rsidR="00D47F0D" w:rsidRPr="00C66720" w:rsidRDefault="00D47F0D" w:rsidP="00D47F0D">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NÁKLADY</w:t>
            </w:r>
          </w:p>
        </w:tc>
        <w:tc>
          <w:tcPr>
            <w:tcW w:w="1540" w:type="dxa"/>
            <w:tcBorders>
              <w:top w:val="nil"/>
              <w:left w:val="nil"/>
              <w:bottom w:val="single" w:sz="8" w:space="0" w:color="auto"/>
              <w:right w:val="nil"/>
            </w:tcBorders>
            <w:shd w:val="clear" w:color="000000" w:fill="BDD7EE"/>
            <w:noWrap/>
            <w:vAlign w:val="center"/>
            <w:hideMark/>
          </w:tcPr>
          <w:p w14:paraId="73063AF4" w14:textId="1032518F" w:rsidR="00D47F0D" w:rsidRPr="00C66720" w:rsidRDefault="00D47F0D" w:rsidP="00D47F0D">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xml:space="preserve">        </w:t>
            </w:r>
            <w:r w:rsidR="00912E5D" w:rsidRPr="00C66720">
              <w:rPr>
                <w:rFonts w:ascii="Times New Roman" w:hAnsi="Times New Roman"/>
                <w:b/>
                <w:bCs/>
                <w:sz w:val="20"/>
                <w:szCs w:val="20"/>
                <w:lang w:eastAsia="sk-SK"/>
              </w:rPr>
              <w:t>2022</w:t>
            </w:r>
          </w:p>
        </w:tc>
        <w:tc>
          <w:tcPr>
            <w:tcW w:w="1420" w:type="dxa"/>
            <w:tcBorders>
              <w:top w:val="nil"/>
              <w:left w:val="nil"/>
              <w:bottom w:val="single" w:sz="8" w:space="0" w:color="auto"/>
              <w:right w:val="nil"/>
            </w:tcBorders>
            <w:shd w:val="clear" w:color="000000" w:fill="BDD7EE"/>
            <w:noWrap/>
            <w:vAlign w:val="center"/>
            <w:hideMark/>
          </w:tcPr>
          <w:p w14:paraId="5110A89D" w14:textId="61696AE2" w:rsidR="00D47F0D" w:rsidRPr="00C66720" w:rsidRDefault="00D47F0D" w:rsidP="00D47F0D">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t xml:space="preserve">       </w:t>
            </w:r>
            <w:r w:rsidR="00912E5D" w:rsidRPr="00C66720">
              <w:rPr>
                <w:rFonts w:ascii="Times New Roman" w:hAnsi="Times New Roman"/>
                <w:b/>
                <w:bCs/>
                <w:sz w:val="20"/>
                <w:szCs w:val="20"/>
                <w:lang w:eastAsia="sk-SK"/>
              </w:rPr>
              <w:t>2021</w:t>
            </w:r>
          </w:p>
        </w:tc>
      </w:tr>
      <w:tr w:rsidR="00BC3EA8" w:rsidRPr="00C66720" w14:paraId="3A45345B" w14:textId="77777777" w:rsidTr="00A27AAA">
        <w:trPr>
          <w:trHeight w:val="255"/>
        </w:trPr>
        <w:tc>
          <w:tcPr>
            <w:tcW w:w="860" w:type="dxa"/>
            <w:tcBorders>
              <w:top w:val="nil"/>
              <w:left w:val="nil"/>
              <w:bottom w:val="nil"/>
              <w:right w:val="nil"/>
            </w:tcBorders>
            <w:shd w:val="clear" w:color="auto" w:fill="auto"/>
            <w:vAlign w:val="center"/>
            <w:hideMark/>
          </w:tcPr>
          <w:p w14:paraId="2673BA0D" w14:textId="4F37080D" w:rsidR="00AC46E0" w:rsidRPr="00C66720" w:rsidRDefault="00AC46E0" w:rsidP="00AC46E0">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_Ref86186907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I</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40B5496F" w14:textId="69C69BE3" w:rsidR="00AC46E0" w:rsidRPr="00C66720" w:rsidRDefault="00AC46E0" w:rsidP="00AC46E0">
            <w:pPr>
              <w:spacing w:after="0" w:line="240" w:lineRule="auto"/>
              <w:jc w:val="center"/>
              <w:rPr>
                <w:rFonts w:ascii="Times New Roman" w:hAnsi="Times New Roman"/>
                <w:b/>
                <w:bCs/>
                <w:i/>
                <w:iCs/>
                <w:sz w:val="20"/>
                <w:szCs w:val="20"/>
                <w:lang w:eastAsia="sk-SK"/>
              </w:rPr>
            </w:pPr>
          </w:p>
        </w:tc>
        <w:tc>
          <w:tcPr>
            <w:tcW w:w="5018" w:type="dxa"/>
            <w:tcBorders>
              <w:top w:val="nil"/>
              <w:left w:val="nil"/>
              <w:bottom w:val="nil"/>
              <w:right w:val="nil"/>
            </w:tcBorders>
            <w:shd w:val="clear" w:color="auto" w:fill="auto"/>
            <w:vAlign w:val="center"/>
            <w:hideMark/>
          </w:tcPr>
          <w:p w14:paraId="05CEF075" w14:textId="77777777" w:rsidR="00AC46E0" w:rsidRPr="00C66720" w:rsidRDefault="00AC46E0" w:rsidP="00AC46E0">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Náklady na transfery</w:t>
            </w:r>
          </w:p>
        </w:tc>
        <w:tc>
          <w:tcPr>
            <w:tcW w:w="1540" w:type="dxa"/>
            <w:tcBorders>
              <w:top w:val="nil"/>
              <w:left w:val="nil"/>
              <w:bottom w:val="nil"/>
              <w:right w:val="nil"/>
            </w:tcBorders>
            <w:shd w:val="clear" w:color="auto" w:fill="auto"/>
            <w:vAlign w:val="center"/>
            <w:hideMark/>
          </w:tcPr>
          <w:p w14:paraId="6EEB76C4" w14:textId="187A1D65" w:rsidR="00AC46E0" w:rsidRPr="00C66720" w:rsidRDefault="0099789D" w:rsidP="0035741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19</w:t>
            </w:r>
            <w:r w:rsidR="00357415" w:rsidRPr="00C66720">
              <w:rPr>
                <w:rFonts w:ascii="Times New Roman" w:hAnsi="Times New Roman"/>
                <w:b/>
                <w:bCs/>
                <w:sz w:val="20"/>
                <w:szCs w:val="20"/>
                <w:lang w:eastAsia="sk-SK"/>
              </w:rPr>
              <w:t> </w:t>
            </w:r>
            <w:r w:rsidRPr="00C66720">
              <w:rPr>
                <w:rFonts w:ascii="Times New Roman" w:hAnsi="Times New Roman"/>
                <w:b/>
                <w:bCs/>
                <w:sz w:val="20"/>
                <w:szCs w:val="20"/>
                <w:lang w:eastAsia="sk-SK"/>
              </w:rPr>
              <w:t>29</w:t>
            </w:r>
            <w:r w:rsidR="00357415" w:rsidRPr="00C66720">
              <w:rPr>
                <w:rFonts w:ascii="Times New Roman" w:hAnsi="Times New Roman"/>
                <w:b/>
                <w:bCs/>
                <w:sz w:val="20"/>
                <w:szCs w:val="20"/>
                <w:lang w:eastAsia="sk-SK"/>
              </w:rPr>
              <w:t>1 017</w:t>
            </w:r>
          </w:p>
        </w:tc>
        <w:tc>
          <w:tcPr>
            <w:tcW w:w="1420" w:type="dxa"/>
            <w:tcBorders>
              <w:top w:val="nil"/>
              <w:left w:val="nil"/>
              <w:bottom w:val="nil"/>
              <w:right w:val="nil"/>
            </w:tcBorders>
            <w:shd w:val="clear" w:color="auto" w:fill="auto"/>
            <w:vAlign w:val="center"/>
            <w:hideMark/>
          </w:tcPr>
          <w:p w14:paraId="5A383B3B" w14:textId="00421749" w:rsidR="00AC46E0" w:rsidRPr="00C66720" w:rsidRDefault="00AC46E0" w:rsidP="00AC46E0">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34 380 172</w:t>
            </w:r>
          </w:p>
        </w:tc>
      </w:tr>
      <w:tr w:rsidR="00BC3EA8" w:rsidRPr="00C66720" w14:paraId="7055B0C5" w14:textId="77777777" w:rsidTr="00A27AAA">
        <w:trPr>
          <w:trHeight w:val="255"/>
        </w:trPr>
        <w:tc>
          <w:tcPr>
            <w:tcW w:w="860" w:type="dxa"/>
            <w:tcBorders>
              <w:top w:val="nil"/>
              <w:left w:val="nil"/>
              <w:bottom w:val="nil"/>
              <w:right w:val="nil"/>
            </w:tcBorders>
            <w:shd w:val="clear" w:color="auto" w:fill="auto"/>
            <w:vAlign w:val="center"/>
            <w:hideMark/>
          </w:tcPr>
          <w:p w14:paraId="0BF64C72" w14:textId="77777777" w:rsidR="00AC46E0" w:rsidRPr="00C66720" w:rsidRDefault="00AC46E0" w:rsidP="00AC46E0">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02DF6C89" w14:textId="6B49DC9B" w:rsidR="00AC46E0" w:rsidRPr="00C66720" w:rsidRDefault="00AC46E0" w:rsidP="00AC46E0">
            <w:pPr>
              <w:spacing w:after="0" w:line="240" w:lineRule="auto"/>
              <w:jc w:val="center"/>
              <w:rPr>
                <w:rFonts w:ascii="Times New Roman" w:hAnsi="Times New Roman"/>
                <w:i/>
                <w:sz w:val="20"/>
                <w:szCs w:val="20"/>
                <w:lang w:eastAsia="sk-SK"/>
              </w:rPr>
            </w:pPr>
            <w:r w:rsidRPr="00C66720">
              <w:rPr>
                <w:rFonts w:ascii="Times New Roman" w:hAnsi="Times New Roman"/>
                <w:i/>
                <w:sz w:val="20"/>
                <w:szCs w:val="20"/>
                <w:lang w:eastAsia="sk-SK"/>
              </w:rPr>
              <w:fldChar w:fldCharType="begin"/>
            </w:r>
            <w:r w:rsidRPr="00C66720">
              <w:rPr>
                <w:rFonts w:ascii="Times New Roman" w:hAnsi="Times New Roman"/>
                <w:i/>
                <w:sz w:val="20"/>
                <w:szCs w:val="20"/>
                <w:lang w:eastAsia="sk-SK"/>
              </w:rPr>
              <w:instrText xml:space="preserve"> REF _Ref86186472 \r \h  \* MERGEFORMAT </w:instrText>
            </w:r>
            <w:r w:rsidRPr="00C66720">
              <w:rPr>
                <w:rFonts w:ascii="Times New Roman" w:hAnsi="Times New Roman"/>
                <w:i/>
                <w:sz w:val="20"/>
                <w:szCs w:val="20"/>
                <w:lang w:eastAsia="sk-SK"/>
              </w:rPr>
            </w:r>
            <w:r w:rsidRPr="00C66720">
              <w:rPr>
                <w:rFonts w:ascii="Times New Roman" w:hAnsi="Times New Roman"/>
                <w:i/>
                <w:sz w:val="20"/>
                <w:szCs w:val="20"/>
                <w:lang w:eastAsia="sk-SK"/>
              </w:rPr>
              <w:fldChar w:fldCharType="separate"/>
            </w:r>
            <w:r w:rsidR="00B00473" w:rsidRPr="00C66720">
              <w:rPr>
                <w:rFonts w:ascii="Times New Roman" w:hAnsi="Times New Roman"/>
                <w:i/>
                <w:sz w:val="20"/>
                <w:szCs w:val="20"/>
                <w:lang w:eastAsia="sk-SK"/>
              </w:rPr>
              <w:t>61</w:t>
            </w:r>
            <w:r w:rsidRPr="00C66720">
              <w:rPr>
                <w:rFonts w:ascii="Times New Roman" w:hAnsi="Times New Roman"/>
                <w:i/>
                <w:sz w:val="20"/>
                <w:szCs w:val="20"/>
                <w:lang w:eastAsia="sk-SK"/>
              </w:rPr>
              <w:fldChar w:fldCharType="end"/>
            </w:r>
          </w:p>
        </w:tc>
        <w:tc>
          <w:tcPr>
            <w:tcW w:w="5018" w:type="dxa"/>
            <w:tcBorders>
              <w:top w:val="nil"/>
              <w:left w:val="nil"/>
              <w:bottom w:val="nil"/>
              <w:right w:val="nil"/>
            </w:tcBorders>
            <w:shd w:val="clear" w:color="auto" w:fill="auto"/>
            <w:vAlign w:val="center"/>
            <w:hideMark/>
          </w:tcPr>
          <w:p w14:paraId="5053834F" w14:textId="77777777"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Odvod do rozpočtu EÚ</w:t>
            </w:r>
          </w:p>
        </w:tc>
        <w:tc>
          <w:tcPr>
            <w:tcW w:w="1540" w:type="dxa"/>
            <w:tcBorders>
              <w:top w:val="nil"/>
              <w:left w:val="nil"/>
              <w:bottom w:val="nil"/>
              <w:right w:val="nil"/>
            </w:tcBorders>
            <w:shd w:val="clear" w:color="auto" w:fill="auto"/>
            <w:vAlign w:val="center"/>
            <w:hideMark/>
          </w:tcPr>
          <w:p w14:paraId="2EE148BE" w14:textId="54AEE996" w:rsidR="00AC46E0" w:rsidRPr="00C66720" w:rsidRDefault="00D01FE5"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940 226</w:t>
            </w:r>
          </w:p>
        </w:tc>
        <w:tc>
          <w:tcPr>
            <w:tcW w:w="1420" w:type="dxa"/>
            <w:tcBorders>
              <w:top w:val="nil"/>
              <w:left w:val="nil"/>
              <w:bottom w:val="nil"/>
              <w:right w:val="nil"/>
            </w:tcBorders>
            <w:shd w:val="clear" w:color="auto" w:fill="auto"/>
            <w:vAlign w:val="center"/>
            <w:hideMark/>
          </w:tcPr>
          <w:p w14:paraId="13B05FBE" w14:textId="1DF9C161"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966 750</w:t>
            </w:r>
          </w:p>
        </w:tc>
      </w:tr>
      <w:tr w:rsidR="00BC3EA8" w:rsidRPr="00C66720" w14:paraId="234AC5BE" w14:textId="77777777" w:rsidTr="00A27AAA">
        <w:trPr>
          <w:trHeight w:val="255"/>
        </w:trPr>
        <w:tc>
          <w:tcPr>
            <w:tcW w:w="860" w:type="dxa"/>
            <w:tcBorders>
              <w:top w:val="nil"/>
              <w:left w:val="nil"/>
              <w:bottom w:val="nil"/>
              <w:right w:val="nil"/>
            </w:tcBorders>
            <w:shd w:val="clear" w:color="auto" w:fill="auto"/>
            <w:vAlign w:val="center"/>
            <w:hideMark/>
          </w:tcPr>
          <w:p w14:paraId="226B70FA" w14:textId="77777777" w:rsidR="00AC46E0" w:rsidRPr="00C66720" w:rsidRDefault="00AC46E0" w:rsidP="00AC46E0">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0ED9E098" w14:textId="3D30254A" w:rsidR="00AC46E0" w:rsidRPr="00C66720" w:rsidRDefault="00AC46E0" w:rsidP="00AC46E0">
            <w:pPr>
              <w:spacing w:after="0" w:line="240" w:lineRule="auto"/>
              <w:jc w:val="center"/>
              <w:rPr>
                <w:rFonts w:ascii="Times New Roman" w:hAnsi="Times New Roman"/>
                <w:i/>
                <w:iCs/>
                <w:sz w:val="20"/>
                <w:szCs w:val="20"/>
                <w:lang w:eastAsia="sk-SK"/>
              </w:rPr>
            </w:pPr>
            <w:r w:rsidRPr="00C66720">
              <w:rPr>
                <w:rFonts w:ascii="Times New Roman" w:hAnsi="Times New Roman"/>
                <w:i/>
                <w:iCs/>
                <w:sz w:val="20"/>
                <w:szCs w:val="20"/>
                <w:lang w:eastAsia="sk-SK"/>
              </w:rPr>
              <w:fldChar w:fldCharType="begin"/>
            </w:r>
            <w:r w:rsidRPr="00C66720">
              <w:rPr>
                <w:rFonts w:ascii="Times New Roman" w:hAnsi="Times New Roman"/>
                <w:i/>
                <w:iCs/>
                <w:sz w:val="20"/>
                <w:szCs w:val="20"/>
                <w:lang w:eastAsia="sk-SK"/>
              </w:rPr>
              <w:instrText xml:space="preserve"> REF _Ref86186495 \r \h  \* MERGEFORMAT </w:instrText>
            </w:r>
            <w:r w:rsidRPr="00C66720">
              <w:rPr>
                <w:rFonts w:ascii="Times New Roman" w:hAnsi="Times New Roman"/>
                <w:i/>
                <w:iCs/>
                <w:sz w:val="20"/>
                <w:szCs w:val="20"/>
                <w:lang w:eastAsia="sk-SK"/>
              </w:rPr>
            </w:r>
            <w:r w:rsidRPr="00C66720">
              <w:rPr>
                <w:rFonts w:ascii="Times New Roman" w:hAnsi="Times New Roman"/>
                <w:i/>
                <w:iCs/>
                <w:sz w:val="20"/>
                <w:szCs w:val="20"/>
                <w:lang w:eastAsia="sk-SK"/>
              </w:rPr>
              <w:fldChar w:fldCharType="separate"/>
            </w:r>
            <w:r w:rsidR="00B00473" w:rsidRPr="00C66720">
              <w:rPr>
                <w:rFonts w:ascii="Times New Roman" w:hAnsi="Times New Roman"/>
                <w:i/>
                <w:iCs/>
                <w:sz w:val="20"/>
                <w:szCs w:val="20"/>
                <w:lang w:eastAsia="sk-SK"/>
              </w:rPr>
              <w:t>62</w:t>
            </w:r>
            <w:r w:rsidRPr="00C66720">
              <w:rPr>
                <w:rFonts w:ascii="Times New Roman" w:hAnsi="Times New Roman"/>
                <w:i/>
                <w:iCs/>
                <w:sz w:val="20"/>
                <w:szCs w:val="20"/>
                <w:lang w:eastAsia="sk-SK"/>
              </w:rPr>
              <w:fldChar w:fldCharType="end"/>
            </w:r>
          </w:p>
        </w:tc>
        <w:tc>
          <w:tcPr>
            <w:tcW w:w="5018" w:type="dxa"/>
            <w:tcBorders>
              <w:top w:val="nil"/>
              <w:left w:val="nil"/>
              <w:bottom w:val="nil"/>
              <w:right w:val="nil"/>
            </w:tcBorders>
            <w:shd w:val="clear" w:color="auto" w:fill="auto"/>
            <w:vAlign w:val="center"/>
            <w:hideMark/>
          </w:tcPr>
          <w:p w14:paraId="5789DC6B" w14:textId="77777777"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transfery</w:t>
            </w:r>
          </w:p>
        </w:tc>
        <w:tc>
          <w:tcPr>
            <w:tcW w:w="1540" w:type="dxa"/>
            <w:tcBorders>
              <w:top w:val="nil"/>
              <w:left w:val="nil"/>
              <w:bottom w:val="nil"/>
              <w:right w:val="nil"/>
            </w:tcBorders>
            <w:shd w:val="clear" w:color="auto" w:fill="auto"/>
            <w:vAlign w:val="center"/>
            <w:hideMark/>
          </w:tcPr>
          <w:p w14:paraId="5ED9CD5C" w14:textId="69D70A16" w:rsidR="00AC46E0" w:rsidRPr="00C66720" w:rsidRDefault="008777C3" w:rsidP="003326EC">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18</w:t>
            </w:r>
            <w:r w:rsidR="003326EC" w:rsidRPr="00C66720">
              <w:rPr>
                <w:rFonts w:ascii="Times New Roman" w:hAnsi="Times New Roman"/>
                <w:i/>
                <w:iCs/>
                <w:sz w:val="19"/>
                <w:szCs w:val="19"/>
                <w:lang w:eastAsia="sk-SK"/>
              </w:rPr>
              <w:t> </w:t>
            </w:r>
            <w:r w:rsidRPr="00C66720">
              <w:rPr>
                <w:rFonts w:ascii="Times New Roman" w:hAnsi="Times New Roman"/>
                <w:i/>
                <w:iCs/>
                <w:sz w:val="19"/>
                <w:szCs w:val="19"/>
                <w:lang w:eastAsia="sk-SK"/>
              </w:rPr>
              <w:t>3</w:t>
            </w:r>
            <w:r w:rsidR="003326EC" w:rsidRPr="00C66720">
              <w:rPr>
                <w:rFonts w:ascii="Times New Roman" w:hAnsi="Times New Roman"/>
                <w:i/>
                <w:iCs/>
                <w:sz w:val="19"/>
                <w:szCs w:val="19"/>
                <w:lang w:eastAsia="sk-SK"/>
              </w:rPr>
              <w:t>50 791</w:t>
            </w:r>
          </w:p>
        </w:tc>
        <w:tc>
          <w:tcPr>
            <w:tcW w:w="1420" w:type="dxa"/>
            <w:tcBorders>
              <w:top w:val="nil"/>
              <w:left w:val="nil"/>
              <w:bottom w:val="nil"/>
              <w:right w:val="nil"/>
            </w:tcBorders>
            <w:shd w:val="clear" w:color="auto" w:fill="auto"/>
            <w:vAlign w:val="center"/>
            <w:hideMark/>
          </w:tcPr>
          <w:p w14:paraId="64A8301D" w14:textId="6E1C370C"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33 413 422</w:t>
            </w:r>
          </w:p>
        </w:tc>
      </w:tr>
      <w:tr w:rsidR="00BC3EA8" w:rsidRPr="00C66720" w14:paraId="0C2D2C87" w14:textId="77777777" w:rsidTr="00A27AAA">
        <w:trPr>
          <w:trHeight w:val="255"/>
        </w:trPr>
        <w:tc>
          <w:tcPr>
            <w:tcW w:w="860" w:type="dxa"/>
            <w:tcBorders>
              <w:top w:val="nil"/>
              <w:left w:val="nil"/>
              <w:bottom w:val="nil"/>
              <w:right w:val="nil"/>
            </w:tcBorders>
            <w:shd w:val="clear" w:color="auto" w:fill="auto"/>
            <w:vAlign w:val="center"/>
            <w:hideMark/>
          </w:tcPr>
          <w:p w14:paraId="0690D182" w14:textId="31C9A5AE" w:rsidR="00AC46E0" w:rsidRPr="00C66720" w:rsidRDefault="00AC46E0" w:rsidP="00AC46E0">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_Ref86186892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II</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7CC226A3" w14:textId="77777777" w:rsidR="00AC46E0" w:rsidRPr="00C66720" w:rsidRDefault="00AC46E0" w:rsidP="00AC46E0">
            <w:pPr>
              <w:spacing w:after="0" w:line="240" w:lineRule="auto"/>
              <w:jc w:val="center"/>
              <w:rPr>
                <w:rFonts w:ascii="Times New Roman" w:hAnsi="Times New Roman"/>
                <w:b/>
                <w:bCs/>
                <w:sz w:val="20"/>
                <w:szCs w:val="20"/>
                <w:lang w:eastAsia="sk-SK"/>
              </w:rPr>
            </w:pPr>
          </w:p>
        </w:tc>
        <w:tc>
          <w:tcPr>
            <w:tcW w:w="5018" w:type="dxa"/>
            <w:tcBorders>
              <w:top w:val="nil"/>
              <w:left w:val="nil"/>
              <w:bottom w:val="nil"/>
              <w:right w:val="nil"/>
            </w:tcBorders>
            <w:shd w:val="clear" w:color="auto" w:fill="auto"/>
            <w:vAlign w:val="center"/>
            <w:hideMark/>
          </w:tcPr>
          <w:p w14:paraId="3F51472E" w14:textId="77777777" w:rsidR="00AC46E0" w:rsidRPr="00C66720" w:rsidRDefault="00AC46E0" w:rsidP="00AC46E0">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Spotrebované nákupy a služby</w:t>
            </w:r>
          </w:p>
        </w:tc>
        <w:tc>
          <w:tcPr>
            <w:tcW w:w="1540" w:type="dxa"/>
            <w:tcBorders>
              <w:top w:val="nil"/>
              <w:left w:val="nil"/>
              <w:bottom w:val="nil"/>
              <w:right w:val="nil"/>
            </w:tcBorders>
            <w:shd w:val="clear" w:color="auto" w:fill="auto"/>
            <w:vAlign w:val="center"/>
            <w:hideMark/>
          </w:tcPr>
          <w:p w14:paraId="2C24953E" w14:textId="57AC043F" w:rsidR="00AC46E0" w:rsidRPr="00C66720" w:rsidRDefault="004A3F55" w:rsidP="00145B18">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22</w:t>
            </w:r>
            <w:r w:rsidR="00145B18" w:rsidRPr="00C66720">
              <w:rPr>
                <w:rFonts w:ascii="Times New Roman" w:hAnsi="Times New Roman"/>
                <w:b/>
                <w:bCs/>
                <w:sz w:val="20"/>
                <w:szCs w:val="20"/>
                <w:lang w:eastAsia="sk-SK"/>
              </w:rPr>
              <w:t> </w:t>
            </w:r>
            <w:r w:rsidRPr="00C66720">
              <w:rPr>
                <w:rFonts w:ascii="Times New Roman" w:hAnsi="Times New Roman"/>
                <w:b/>
                <w:bCs/>
                <w:sz w:val="20"/>
                <w:szCs w:val="20"/>
                <w:lang w:eastAsia="sk-SK"/>
              </w:rPr>
              <w:t>7</w:t>
            </w:r>
            <w:r w:rsidR="00145B18" w:rsidRPr="00C66720">
              <w:rPr>
                <w:rFonts w:ascii="Times New Roman" w:hAnsi="Times New Roman"/>
                <w:b/>
                <w:bCs/>
                <w:sz w:val="20"/>
                <w:szCs w:val="20"/>
                <w:lang w:eastAsia="sk-SK"/>
              </w:rPr>
              <w:t>64 131</w:t>
            </w:r>
          </w:p>
        </w:tc>
        <w:tc>
          <w:tcPr>
            <w:tcW w:w="1420" w:type="dxa"/>
            <w:tcBorders>
              <w:top w:val="nil"/>
              <w:left w:val="nil"/>
              <w:bottom w:val="nil"/>
              <w:right w:val="nil"/>
            </w:tcBorders>
            <w:shd w:val="clear" w:color="auto" w:fill="auto"/>
            <w:vAlign w:val="center"/>
            <w:hideMark/>
          </w:tcPr>
          <w:p w14:paraId="127E23B9" w14:textId="385778D1" w:rsidR="00AC46E0" w:rsidRPr="00C66720" w:rsidRDefault="00AC46E0" w:rsidP="00AC46E0">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12 960 494</w:t>
            </w:r>
          </w:p>
        </w:tc>
      </w:tr>
      <w:tr w:rsidR="00BC3EA8" w:rsidRPr="00C66720" w14:paraId="42B82682" w14:textId="77777777" w:rsidTr="002074BD">
        <w:trPr>
          <w:trHeight w:val="255"/>
        </w:trPr>
        <w:tc>
          <w:tcPr>
            <w:tcW w:w="860" w:type="dxa"/>
            <w:tcBorders>
              <w:top w:val="nil"/>
              <w:left w:val="nil"/>
              <w:bottom w:val="nil"/>
              <w:right w:val="nil"/>
            </w:tcBorders>
            <w:shd w:val="clear" w:color="auto" w:fill="auto"/>
            <w:vAlign w:val="center"/>
            <w:hideMark/>
          </w:tcPr>
          <w:p w14:paraId="3C11F2FC" w14:textId="77777777" w:rsidR="00AC46E0" w:rsidRPr="00C66720" w:rsidRDefault="00AC46E0" w:rsidP="00AC46E0">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17A39361" w14:textId="5175DF88" w:rsidR="00AC46E0" w:rsidRPr="00C66720" w:rsidRDefault="00AC46E0" w:rsidP="00AC46E0">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_Ref86186511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63</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79599DF1" w14:textId="77777777"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v tom    služby   </w:t>
            </w:r>
          </w:p>
        </w:tc>
        <w:tc>
          <w:tcPr>
            <w:tcW w:w="1540" w:type="dxa"/>
            <w:tcBorders>
              <w:top w:val="nil"/>
              <w:left w:val="nil"/>
              <w:bottom w:val="nil"/>
              <w:right w:val="nil"/>
            </w:tcBorders>
            <w:shd w:val="clear" w:color="auto" w:fill="auto"/>
            <w:noWrap/>
            <w:vAlign w:val="bottom"/>
            <w:hideMark/>
          </w:tcPr>
          <w:p w14:paraId="7E0D1F1B" w14:textId="7759540A" w:rsidR="00AC46E0" w:rsidRPr="00C66720" w:rsidRDefault="00C4240B" w:rsidP="00C62DA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7</w:t>
            </w:r>
            <w:r w:rsidR="00C62DA3" w:rsidRPr="00C66720">
              <w:rPr>
                <w:rFonts w:ascii="Times New Roman" w:hAnsi="Times New Roman"/>
                <w:i/>
                <w:iCs/>
                <w:sz w:val="19"/>
                <w:szCs w:val="19"/>
                <w:lang w:eastAsia="sk-SK"/>
              </w:rPr>
              <w:t> </w:t>
            </w:r>
            <w:r w:rsidRPr="00C66720">
              <w:rPr>
                <w:rFonts w:ascii="Times New Roman" w:hAnsi="Times New Roman"/>
                <w:i/>
                <w:iCs/>
                <w:sz w:val="19"/>
                <w:szCs w:val="19"/>
                <w:lang w:eastAsia="sk-SK"/>
              </w:rPr>
              <w:t>80</w:t>
            </w:r>
            <w:r w:rsidR="00C62DA3" w:rsidRPr="00C66720">
              <w:rPr>
                <w:rFonts w:ascii="Times New Roman" w:hAnsi="Times New Roman"/>
                <w:i/>
                <w:iCs/>
                <w:sz w:val="19"/>
                <w:szCs w:val="19"/>
                <w:lang w:eastAsia="sk-SK"/>
              </w:rPr>
              <w:t>8 495</w:t>
            </w:r>
          </w:p>
        </w:tc>
        <w:tc>
          <w:tcPr>
            <w:tcW w:w="1420" w:type="dxa"/>
            <w:tcBorders>
              <w:top w:val="nil"/>
              <w:left w:val="nil"/>
              <w:bottom w:val="nil"/>
              <w:right w:val="nil"/>
            </w:tcBorders>
            <w:shd w:val="clear" w:color="auto" w:fill="auto"/>
            <w:vAlign w:val="bottom"/>
            <w:hideMark/>
          </w:tcPr>
          <w:p w14:paraId="586F590D" w14:textId="6016B0CC"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6 580 677</w:t>
            </w:r>
          </w:p>
        </w:tc>
      </w:tr>
      <w:tr w:rsidR="00BC3EA8" w:rsidRPr="00C66720" w14:paraId="12C9AD49" w14:textId="77777777" w:rsidTr="00A27AAA">
        <w:trPr>
          <w:trHeight w:val="255"/>
        </w:trPr>
        <w:tc>
          <w:tcPr>
            <w:tcW w:w="860" w:type="dxa"/>
            <w:tcBorders>
              <w:top w:val="nil"/>
              <w:left w:val="nil"/>
              <w:bottom w:val="nil"/>
              <w:right w:val="nil"/>
            </w:tcBorders>
            <w:shd w:val="clear" w:color="auto" w:fill="auto"/>
            <w:vAlign w:val="center"/>
            <w:hideMark/>
          </w:tcPr>
          <w:p w14:paraId="2DAA1A73" w14:textId="77777777" w:rsidR="00AC46E0" w:rsidRPr="00C66720" w:rsidRDefault="00AC46E0" w:rsidP="00AC46E0">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71C583B8" w14:textId="40E60AE3" w:rsidR="00AC46E0" w:rsidRPr="00C66720" w:rsidRDefault="00AC46E0" w:rsidP="00AC46E0">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_Ref86186519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64</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415B10CC" w14:textId="77777777"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spotreba materiálu</w:t>
            </w:r>
          </w:p>
        </w:tc>
        <w:tc>
          <w:tcPr>
            <w:tcW w:w="1540" w:type="dxa"/>
            <w:tcBorders>
              <w:top w:val="nil"/>
              <w:left w:val="nil"/>
              <w:bottom w:val="nil"/>
              <w:right w:val="nil"/>
            </w:tcBorders>
            <w:shd w:val="clear" w:color="auto" w:fill="auto"/>
            <w:vAlign w:val="center"/>
            <w:hideMark/>
          </w:tcPr>
          <w:p w14:paraId="5DA02BC3" w14:textId="10B3AAAA" w:rsidR="00AC46E0" w:rsidRPr="00C66720" w:rsidRDefault="00C4240B" w:rsidP="00E55456">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8 148 </w:t>
            </w:r>
            <w:r w:rsidR="00E55456" w:rsidRPr="00C66720">
              <w:rPr>
                <w:rFonts w:ascii="Times New Roman" w:hAnsi="Times New Roman"/>
                <w:i/>
                <w:iCs/>
                <w:sz w:val="19"/>
                <w:szCs w:val="19"/>
                <w:lang w:eastAsia="sk-SK"/>
              </w:rPr>
              <w:t>783</w:t>
            </w:r>
          </w:p>
        </w:tc>
        <w:tc>
          <w:tcPr>
            <w:tcW w:w="1420" w:type="dxa"/>
            <w:tcBorders>
              <w:top w:val="nil"/>
              <w:left w:val="nil"/>
              <w:bottom w:val="nil"/>
              <w:right w:val="nil"/>
            </w:tcBorders>
            <w:shd w:val="clear" w:color="auto" w:fill="auto"/>
            <w:vAlign w:val="center"/>
            <w:hideMark/>
          </w:tcPr>
          <w:p w14:paraId="64BBC6E2" w14:textId="6FE6906F"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3 321 642</w:t>
            </w:r>
          </w:p>
        </w:tc>
      </w:tr>
      <w:tr w:rsidR="00BC3EA8" w:rsidRPr="00C66720" w14:paraId="387E9BEB" w14:textId="77777777" w:rsidTr="00A27AAA">
        <w:trPr>
          <w:trHeight w:val="255"/>
        </w:trPr>
        <w:tc>
          <w:tcPr>
            <w:tcW w:w="860" w:type="dxa"/>
            <w:tcBorders>
              <w:top w:val="nil"/>
              <w:left w:val="nil"/>
              <w:bottom w:val="nil"/>
              <w:right w:val="nil"/>
            </w:tcBorders>
            <w:shd w:val="clear" w:color="auto" w:fill="auto"/>
            <w:vAlign w:val="center"/>
            <w:hideMark/>
          </w:tcPr>
          <w:p w14:paraId="5E09938C" w14:textId="77777777" w:rsidR="00AC46E0" w:rsidRPr="00C66720" w:rsidRDefault="00AC46E0" w:rsidP="00AC46E0">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306E4D62" w14:textId="2FA0072F" w:rsidR="00AC46E0" w:rsidRPr="00C66720" w:rsidRDefault="00AC46E0" w:rsidP="00AC46E0">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_Ref86186528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65</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129B752E" w14:textId="77777777"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predaný tovar</w:t>
            </w:r>
          </w:p>
        </w:tc>
        <w:tc>
          <w:tcPr>
            <w:tcW w:w="1540" w:type="dxa"/>
            <w:tcBorders>
              <w:top w:val="nil"/>
              <w:left w:val="nil"/>
              <w:bottom w:val="nil"/>
              <w:right w:val="nil"/>
            </w:tcBorders>
            <w:shd w:val="clear" w:color="auto" w:fill="auto"/>
            <w:vAlign w:val="center"/>
            <w:hideMark/>
          </w:tcPr>
          <w:p w14:paraId="70EB319C" w14:textId="125F83CF" w:rsidR="00AC46E0" w:rsidRPr="00C66720" w:rsidRDefault="00C4240B" w:rsidP="00E55456">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5 822 </w:t>
            </w:r>
            <w:r w:rsidR="00E55456" w:rsidRPr="00C66720">
              <w:rPr>
                <w:rFonts w:ascii="Times New Roman" w:hAnsi="Times New Roman"/>
                <w:i/>
                <w:iCs/>
                <w:sz w:val="19"/>
                <w:szCs w:val="19"/>
                <w:lang w:eastAsia="sk-SK"/>
              </w:rPr>
              <w:t>916</w:t>
            </w:r>
          </w:p>
        </w:tc>
        <w:tc>
          <w:tcPr>
            <w:tcW w:w="1420" w:type="dxa"/>
            <w:tcBorders>
              <w:top w:val="nil"/>
              <w:left w:val="nil"/>
              <w:bottom w:val="nil"/>
              <w:right w:val="nil"/>
            </w:tcBorders>
            <w:shd w:val="clear" w:color="auto" w:fill="auto"/>
            <w:vAlign w:val="center"/>
            <w:hideMark/>
          </w:tcPr>
          <w:p w14:paraId="09DB2DF4" w14:textId="5F171910"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2 391 327</w:t>
            </w:r>
          </w:p>
        </w:tc>
      </w:tr>
      <w:tr w:rsidR="00BC3EA8" w:rsidRPr="00C66720" w14:paraId="6A6F0DE8" w14:textId="77777777" w:rsidTr="002074BD">
        <w:trPr>
          <w:trHeight w:val="255"/>
        </w:trPr>
        <w:tc>
          <w:tcPr>
            <w:tcW w:w="860" w:type="dxa"/>
            <w:tcBorders>
              <w:top w:val="nil"/>
              <w:left w:val="nil"/>
              <w:bottom w:val="nil"/>
              <w:right w:val="nil"/>
            </w:tcBorders>
            <w:shd w:val="clear" w:color="auto" w:fill="auto"/>
            <w:vAlign w:val="center"/>
            <w:hideMark/>
          </w:tcPr>
          <w:p w14:paraId="6C305BA3" w14:textId="77777777" w:rsidR="00AC46E0" w:rsidRPr="00C66720" w:rsidRDefault="00AC46E0" w:rsidP="00AC46E0">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1638712E" w14:textId="23F62504" w:rsidR="00AC46E0" w:rsidRPr="00C66720" w:rsidRDefault="00AC46E0" w:rsidP="00AC46E0">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_Ref86186539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66</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0E5ABA05" w14:textId="77777777"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spotreba energií</w:t>
            </w:r>
          </w:p>
        </w:tc>
        <w:tc>
          <w:tcPr>
            <w:tcW w:w="1540" w:type="dxa"/>
            <w:tcBorders>
              <w:top w:val="nil"/>
              <w:left w:val="nil"/>
              <w:bottom w:val="nil"/>
              <w:right w:val="nil"/>
            </w:tcBorders>
            <w:shd w:val="clear" w:color="auto" w:fill="auto"/>
            <w:noWrap/>
            <w:vAlign w:val="bottom"/>
            <w:hideMark/>
          </w:tcPr>
          <w:p w14:paraId="499F1028" w14:textId="16DA8E87" w:rsidR="00AC46E0" w:rsidRPr="00C66720" w:rsidRDefault="00AA79ED" w:rsidP="004E69A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971 </w:t>
            </w:r>
            <w:r w:rsidR="004E69A5" w:rsidRPr="00C66720">
              <w:rPr>
                <w:rFonts w:ascii="Times New Roman" w:hAnsi="Times New Roman"/>
                <w:i/>
                <w:iCs/>
                <w:sz w:val="19"/>
                <w:szCs w:val="19"/>
                <w:lang w:eastAsia="sk-SK"/>
              </w:rPr>
              <w:t>640</w:t>
            </w:r>
          </w:p>
        </w:tc>
        <w:tc>
          <w:tcPr>
            <w:tcW w:w="1420" w:type="dxa"/>
            <w:tcBorders>
              <w:top w:val="nil"/>
              <w:left w:val="nil"/>
              <w:bottom w:val="nil"/>
              <w:right w:val="nil"/>
            </w:tcBorders>
            <w:shd w:val="clear" w:color="auto" w:fill="auto"/>
            <w:vAlign w:val="bottom"/>
            <w:hideMark/>
          </w:tcPr>
          <w:p w14:paraId="763BAD2A" w14:textId="11A9D072"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657 019</w:t>
            </w:r>
          </w:p>
        </w:tc>
      </w:tr>
      <w:tr w:rsidR="00BC3EA8" w:rsidRPr="00C66720" w14:paraId="31020F17" w14:textId="77777777" w:rsidTr="002074BD">
        <w:trPr>
          <w:trHeight w:val="255"/>
        </w:trPr>
        <w:tc>
          <w:tcPr>
            <w:tcW w:w="860" w:type="dxa"/>
            <w:tcBorders>
              <w:top w:val="nil"/>
              <w:left w:val="nil"/>
              <w:bottom w:val="nil"/>
              <w:right w:val="nil"/>
            </w:tcBorders>
            <w:shd w:val="clear" w:color="auto" w:fill="auto"/>
            <w:vAlign w:val="center"/>
            <w:hideMark/>
          </w:tcPr>
          <w:p w14:paraId="41755B9E" w14:textId="77777777" w:rsidR="00AC46E0" w:rsidRPr="00C66720" w:rsidRDefault="00AC46E0" w:rsidP="00AC46E0">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4E488A2C" w14:textId="7AA190F4" w:rsidR="00AC46E0" w:rsidRPr="00C66720" w:rsidRDefault="00AC46E0" w:rsidP="00AC46E0">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_Ref86186547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67</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4FE9A8A7" w14:textId="77777777"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w:t>
            </w:r>
          </w:p>
        </w:tc>
        <w:tc>
          <w:tcPr>
            <w:tcW w:w="1540" w:type="dxa"/>
            <w:tcBorders>
              <w:top w:val="nil"/>
              <w:left w:val="nil"/>
              <w:bottom w:val="nil"/>
              <w:right w:val="nil"/>
            </w:tcBorders>
            <w:shd w:val="clear" w:color="auto" w:fill="auto"/>
            <w:noWrap/>
            <w:vAlign w:val="bottom"/>
            <w:hideMark/>
          </w:tcPr>
          <w:p w14:paraId="51F7F35F" w14:textId="08C0A85A" w:rsidR="00AC46E0" w:rsidRPr="00C66720" w:rsidRDefault="008A69CA"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12 297</w:t>
            </w:r>
          </w:p>
        </w:tc>
        <w:tc>
          <w:tcPr>
            <w:tcW w:w="1420" w:type="dxa"/>
            <w:tcBorders>
              <w:top w:val="nil"/>
              <w:left w:val="nil"/>
              <w:bottom w:val="nil"/>
              <w:right w:val="nil"/>
            </w:tcBorders>
            <w:shd w:val="clear" w:color="auto" w:fill="auto"/>
            <w:vAlign w:val="bottom"/>
            <w:hideMark/>
          </w:tcPr>
          <w:p w14:paraId="30406226" w14:textId="4E302D84"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9 829</w:t>
            </w:r>
          </w:p>
        </w:tc>
      </w:tr>
      <w:tr w:rsidR="00BC3EA8" w:rsidRPr="00C66720" w14:paraId="06F1D6DF" w14:textId="77777777" w:rsidTr="00A27AAA">
        <w:trPr>
          <w:trHeight w:val="255"/>
        </w:trPr>
        <w:tc>
          <w:tcPr>
            <w:tcW w:w="860" w:type="dxa"/>
            <w:tcBorders>
              <w:top w:val="nil"/>
              <w:left w:val="nil"/>
              <w:bottom w:val="nil"/>
              <w:right w:val="nil"/>
            </w:tcBorders>
            <w:shd w:val="clear" w:color="auto" w:fill="auto"/>
            <w:vAlign w:val="center"/>
            <w:hideMark/>
          </w:tcPr>
          <w:p w14:paraId="3709C38B" w14:textId="590BC0F4" w:rsidR="00AC46E0" w:rsidRPr="00C66720" w:rsidRDefault="00AC46E0" w:rsidP="00AC46E0">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_Ref86186859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III</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0C9F6B57" w14:textId="77777777" w:rsidR="00AC46E0" w:rsidRPr="00C66720" w:rsidRDefault="00AC46E0" w:rsidP="00AC46E0">
            <w:pPr>
              <w:spacing w:after="0" w:line="240" w:lineRule="auto"/>
              <w:jc w:val="center"/>
              <w:rPr>
                <w:rFonts w:ascii="Times New Roman" w:hAnsi="Times New Roman"/>
                <w:b/>
                <w:bCs/>
                <w:sz w:val="20"/>
                <w:szCs w:val="20"/>
                <w:lang w:eastAsia="sk-SK"/>
              </w:rPr>
            </w:pPr>
          </w:p>
        </w:tc>
        <w:tc>
          <w:tcPr>
            <w:tcW w:w="5018" w:type="dxa"/>
            <w:tcBorders>
              <w:top w:val="nil"/>
              <w:left w:val="nil"/>
              <w:bottom w:val="nil"/>
              <w:right w:val="nil"/>
            </w:tcBorders>
            <w:shd w:val="clear" w:color="auto" w:fill="auto"/>
            <w:vAlign w:val="center"/>
            <w:hideMark/>
          </w:tcPr>
          <w:p w14:paraId="5AE592CA" w14:textId="77777777" w:rsidR="00AC46E0" w:rsidRPr="00C66720" w:rsidRDefault="00AC46E0" w:rsidP="00AC46E0">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Osobné náklady</w:t>
            </w:r>
          </w:p>
        </w:tc>
        <w:tc>
          <w:tcPr>
            <w:tcW w:w="1540" w:type="dxa"/>
            <w:tcBorders>
              <w:top w:val="nil"/>
              <w:left w:val="nil"/>
              <w:bottom w:val="nil"/>
              <w:right w:val="nil"/>
            </w:tcBorders>
            <w:shd w:val="clear" w:color="auto" w:fill="auto"/>
            <w:vAlign w:val="center"/>
            <w:hideMark/>
          </w:tcPr>
          <w:p w14:paraId="343D3357" w14:textId="41662584" w:rsidR="00AC46E0" w:rsidRPr="00C66720" w:rsidRDefault="00167521" w:rsidP="00741745">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11</w:t>
            </w:r>
            <w:r w:rsidR="00741745" w:rsidRPr="00C66720">
              <w:rPr>
                <w:rFonts w:ascii="Times New Roman" w:hAnsi="Times New Roman"/>
                <w:b/>
                <w:bCs/>
                <w:sz w:val="20"/>
                <w:szCs w:val="20"/>
                <w:lang w:eastAsia="sk-SK"/>
              </w:rPr>
              <w:t> </w:t>
            </w:r>
            <w:r w:rsidRPr="00C66720">
              <w:rPr>
                <w:rFonts w:ascii="Times New Roman" w:hAnsi="Times New Roman"/>
                <w:b/>
                <w:bCs/>
                <w:sz w:val="20"/>
                <w:szCs w:val="20"/>
                <w:lang w:eastAsia="sk-SK"/>
              </w:rPr>
              <w:t>9</w:t>
            </w:r>
            <w:r w:rsidR="00741745" w:rsidRPr="00C66720">
              <w:rPr>
                <w:rFonts w:ascii="Times New Roman" w:hAnsi="Times New Roman"/>
                <w:b/>
                <w:bCs/>
                <w:sz w:val="20"/>
                <w:szCs w:val="20"/>
                <w:lang w:eastAsia="sk-SK"/>
              </w:rPr>
              <w:t>77 660</w:t>
            </w:r>
          </w:p>
        </w:tc>
        <w:tc>
          <w:tcPr>
            <w:tcW w:w="1420" w:type="dxa"/>
            <w:tcBorders>
              <w:top w:val="nil"/>
              <w:left w:val="nil"/>
              <w:bottom w:val="nil"/>
              <w:right w:val="nil"/>
            </w:tcBorders>
            <w:shd w:val="clear" w:color="auto" w:fill="auto"/>
            <w:vAlign w:val="center"/>
            <w:hideMark/>
          </w:tcPr>
          <w:p w14:paraId="2AE74FEC" w14:textId="35B69226" w:rsidR="00AC46E0" w:rsidRPr="00C66720" w:rsidRDefault="00AC46E0" w:rsidP="00AC46E0">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11 168 910</w:t>
            </w:r>
          </w:p>
        </w:tc>
      </w:tr>
      <w:tr w:rsidR="00BC3EA8" w:rsidRPr="00C66720" w14:paraId="665E61DE" w14:textId="77777777" w:rsidTr="00A27AAA">
        <w:trPr>
          <w:trHeight w:val="255"/>
        </w:trPr>
        <w:tc>
          <w:tcPr>
            <w:tcW w:w="860" w:type="dxa"/>
            <w:tcBorders>
              <w:top w:val="nil"/>
              <w:left w:val="nil"/>
              <w:bottom w:val="nil"/>
              <w:right w:val="nil"/>
            </w:tcBorders>
            <w:shd w:val="clear" w:color="auto" w:fill="auto"/>
            <w:vAlign w:val="center"/>
            <w:hideMark/>
          </w:tcPr>
          <w:p w14:paraId="06CCDD17" w14:textId="77777777" w:rsidR="00AC46E0" w:rsidRPr="00C66720" w:rsidRDefault="00AC46E0" w:rsidP="00AC46E0">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7C4A780B" w14:textId="2B9FC1A3" w:rsidR="00AC46E0" w:rsidRPr="00C66720" w:rsidRDefault="00AC46E0" w:rsidP="00AC46E0">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_Ref86186556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68</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4FEC4325" w14:textId="2695981A"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mzdy</w:t>
            </w:r>
          </w:p>
        </w:tc>
        <w:tc>
          <w:tcPr>
            <w:tcW w:w="1540" w:type="dxa"/>
            <w:tcBorders>
              <w:top w:val="nil"/>
              <w:left w:val="nil"/>
              <w:bottom w:val="nil"/>
              <w:right w:val="nil"/>
            </w:tcBorders>
            <w:shd w:val="clear" w:color="auto" w:fill="auto"/>
            <w:vAlign w:val="center"/>
            <w:hideMark/>
          </w:tcPr>
          <w:p w14:paraId="35D8B3BD" w14:textId="77FE994D" w:rsidR="00AC46E0" w:rsidRPr="00C66720" w:rsidRDefault="00737B88" w:rsidP="00AA1B75">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8</w:t>
            </w:r>
            <w:r w:rsidR="00AA1B75" w:rsidRPr="00C66720">
              <w:rPr>
                <w:rFonts w:ascii="Times New Roman" w:hAnsi="Times New Roman"/>
                <w:i/>
                <w:iCs/>
                <w:sz w:val="19"/>
                <w:szCs w:val="19"/>
                <w:lang w:eastAsia="sk-SK"/>
              </w:rPr>
              <w:t> </w:t>
            </w:r>
            <w:r w:rsidRPr="00C66720">
              <w:rPr>
                <w:rFonts w:ascii="Times New Roman" w:hAnsi="Times New Roman"/>
                <w:i/>
                <w:iCs/>
                <w:sz w:val="19"/>
                <w:szCs w:val="19"/>
                <w:lang w:eastAsia="sk-SK"/>
              </w:rPr>
              <w:t>8</w:t>
            </w:r>
            <w:r w:rsidR="00AA1B75" w:rsidRPr="00C66720">
              <w:rPr>
                <w:rFonts w:ascii="Times New Roman" w:hAnsi="Times New Roman"/>
                <w:i/>
                <w:iCs/>
                <w:sz w:val="19"/>
                <w:szCs w:val="19"/>
                <w:lang w:eastAsia="sk-SK"/>
              </w:rPr>
              <w:t>63 456</w:t>
            </w:r>
          </w:p>
        </w:tc>
        <w:tc>
          <w:tcPr>
            <w:tcW w:w="1420" w:type="dxa"/>
            <w:tcBorders>
              <w:top w:val="nil"/>
              <w:left w:val="nil"/>
              <w:bottom w:val="nil"/>
              <w:right w:val="nil"/>
            </w:tcBorders>
            <w:shd w:val="clear" w:color="auto" w:fill="auto"/>
            <w:vAlign w:val="center"/>
            <w:hideMark/>
          </w:tcPr>
          <w:p w14:paraId="55743692" w14:textId="168F8224"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8 304 748</w:t>
            </w:r>
          </w:p>
        </w:tc>
      </w:tr>
      <w:tr w:rsidR="00BC3EA8" w:rsidRPr="00C66720" w14:paraId="7DDF98C0" w14:textId="77777777" w:rsidTr="00A27AAA">
        <w:trPr>
          <w:trHeight w:val="255"/>
        </w:trPr>
        <w:tc>
          <w:tcPr>
            <w:tcW w:w="860" w:type="dxa"/>
            <w:tcBorders>
              <w:top w:val="nil"/>
              <w:left w:val="nil"/>
              <w:bottom w:val="nil"/>
              <w:right w:val="nil"/>
            </w:tcBorders>
            <w:shd w:val="clear" w:color="auto" w:fill="auto"/>
            <w:vAlign w:val="center"/>
            <w:hideMark/>
          </w:tcPr>
          <w:p w14:paraId="4DDD71E4" w14:textId="77777777" w:rsidR="00AC46E0" w:rsidRPr="00C66720" w:rsidRDefault="00AC46E0" w:rsidP="00AC46E0">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4367156A" w14:textId="2FF86B4E" w:rsidR="00AC46E0" w:rsidRPr="00C66720" w:rsidRDefault="00AC46E0" w:rsidP="00AC46E0">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_Ref86186566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69</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64AD5853" w14:textId="77777777"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zdravotné a sociálne odvody    </w:t>
            </w:r>
          </w:p>
        </w:tc>
        <w:tc>
          <w:tcPr>
            <w:tcW w:w="1540" w:type="dxa"/>
            <w:tcBorders>
              <w:top w:val="nil"/>
              <w:left w:val="nil"/>
              <w:bottom w:val="nil"/>
              <w:right w:val="nil"/>
            </w:tcBorders>
            <w:shd w:val="clear" w:color="auto" w:fill="auto"/>
            <w:vAlign w:val="center"/>
            <w:hideMark/>
          </w:tcPr>
          <w:p w14:paraId="692259AB" w14:textId="5A7481BF" w:rsidR="00AC46E0" w:rsidRPr="00C66720" w:rsidRDefault="00737B88" w:rsidP="00D13D38">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w:t>
            </w:r>
            <w:r w:rsidR="00D13D38" w:rsidRPr="00C66720">
              <w:rPr>
                <w:rFonts w:ascii="Times New Roman" w:hAnsi="Times New Roman"/>
                <w:i/>
                <w:iCs/>
                <w:sz w:val="19"/>
                <w:szCs w:val="19"/>
                <w:lang w:eastAsia="sk-SK"/>
              </w:rPr>
              <w:t> 400 217</w:t>
            </w:r>
          </w:p>
        </w:tc>
        <w:tc>
          <w:tcPr>
            <w:tcW w:w="1420" w:type="dxa"/>
            <w:tcBorders>
              <w:top w:val="nil"/>
              <w:left w:val="nil"/>
              <w:bottom w:val="nil"/>
              <w:right w:val="nil"/>
            </w:tcBorders>
            <w:shd w:val="clear" w:color="auto" w:fill="auto"/>
            <w:vAlign w:val="center"/>
            <w:hideMark/>
          </w:tcPr>
          <w:p w14:paraId="65D6D614" w14:textId="4992703F"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2 251 797</w:t>
            </w:r>
          </w:p>
        </w:tc>
      </w:tr>
      <w:tr w:rsidR="00BC3EA8" w:rsidRPr="00C66720" w14:paraId="16CB1111" w14:textId="77777777" w:rsidTr="00A27AAA">
        <w:trPr>
          <w:trHeight w:val="255"/>
        </w:trPr>
        <w:tc>
          <w:tcPr>
            <w:tcW w:w="860" w:type="dxa"/>
            <w:tcBorders>
              <w:top w:val="nil"/>
              <w:left w:val="nil"/>
              <w:bottom w:val="nil"/>
              <w:right w:val="nil"/>
            </w:tcBorders>
            <w:shd w:val="clear" w:color="auto" w:fill="auto"/>
            <w:vAlign w:val="center"/>
            <w:hideMark/>
          </w:tcPr>
          <w:p w14:paraId="05F3F5A4" w14:textId="77777777" w:rsidR="00AC46E0" w:rsidRPr="00C66720" w:rsidRDefault="00AC46E0" w:rsidP="00AC46E0">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7B2339AA" w14:textId="7A1DBC34" w:rsidR="00AC46E0" w:rsidRPr="00C66720" w:rsidRDefault="00AC46E0" w:rsidP="00AC46E0">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_Ref86186575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70</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11682B97" w14:textId="77777777" w:rsidR="00AC46E0" w:rsidRPr="00C66720" w:rsidRDefault="00AC46E0" w:rsidP="00AC46E0">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sociálne náklady</w:t>
            </w:r>
          </w:p>
        </w:tc>
        <w:tc>
          <w:tcPr>
            <w:tcW w:w="1540" w:type="dxa"/>
            <w:tcBorders>
              <w:top w:val="nil"/>
              <w:left w:val="nil"/>
              <w:bottom w:val="nil"/>
              <w:right w:val="nil"/>
            </w:tcBorders>
            <w:shd w:val="clear" w:color="auto" w:fill="auto"/>
            <w:vAlign w:val="center"/>
            <w:hideMark/>
          </w:tcPr>
          <w:p w14:paraId="645D0B02" w14:textId="6E2CBC87" w:rsidR="00AC46E0" w:rsidRPr="00C66720" w:rsidRDefault="003D7A11" w:rsidP="00C604FC">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 xml:space="preserve">713 </w:t>
            </w:r>
            <w:r w:rsidR="00C604FC" w:rsidRPr="00C66720">
              <w:rPr>
                <w:rFonts w:ascii="Times New Roman" w:hAnsi="Times New Roman"/>
                <w:i/>
                <w:iCs/>
                <w:sz w:val="19"/>
                <w:szCs w:val="19"/>
                <w:lang w:eastAsia="sk-SK"/>
              </w:rPr>
              <w:t>987</w:t>
            </w:r>
          </w:p>
        </w:tc>
        <w:tc>
          <w:tcPr>
            <w:tcW w:w="1420" w:type="dxa"/>
            <w:tcBorders>
              <w:top w:val="nil"/>
              <w:left w:val="nil"/>
              <w:bottom w:val="nil"/>
              <w:right w:val="nil"/>
            </w:tcBorders>
            <w:shd w:val="clear" w:color="auto" w:fill="auto"/>
            <w:vAlign w:val="center"/>
            <w:hideMark/>
          </w:tcPr>
          <w:p w14:paraId="607C2CAF" w14:textId="3309D62E" w:rsidR="00AC46E0" w:rsidRPr="00C66720" w:rsidRDefault="00AC46E0" w:rsidP="00AC46E0">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612 365</w:t>
            </w:r>
          </w:p>
        </w:tc>
      </w:tr>
      <w:tr w:rsidR="00BC3EA8" w:rsidRPr="00C66720" w14:paraId="70082CFE" w14:textId="77777777" w:rsidTr="00A27AAA">
        <w:trPr>
          <w:trHeight w:val="255"/>
        </w:trPr>
        <w:tc>
          <w:tcPr>
            <w:tcW w:w="860" w:type="dxa"/>
            <w:tcBorders>
              <w:top w:val="nil"/>
              <w:left w:val="nil"/>
              <w:bottom w:val="nil"/>
              <w:right w:val="nil"/>
            </w:tcBorders>
            <w:shd w:val="clear" w:color="auto" w:fill="auto"/>
            <w:vAlign w:val="center"/>
            <w:hideMark/>
          </w:tcPr>
          <w:p w14:paraId="075A6457" w14:textId="1E3B8431" w:rsidR="00AF3803" w:rsidRPr="00C66720" w:rsidRDefault="00AF3803" w:rsidP="00AF3803">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_Ref86186836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IV</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31C802B2" w14:textId="77777777" w:rsidR="00AF3803" w:rsidRPr="00C66720" w:rsidRDefault="00AF3803" w:rsidP="00AF3803">
            <w:pPr>
              <w:spacing w:after="0" w:line="240" w:lineRule="auto"/>
              <w:jc w:val="center"/>
              <w:rPr>
                <w:rFonts w:ascii="Times New Roman" w:hAnsi="Times New Roman"/>
                <w:b/>
                <w:bCs/>
                <w:sz w:val="20"/>
                <w:szCs w:val="20"/>
                <w:lang w:eastAsia="sk-SK"/>
              </w:rPr>
            </w:pPr>
          </w:p>
        </w:tc>
        <w:tc>
          <w:tcPr>
            <w:tcW w:w="5018" w:type="dxa"/>
            <w:tcBorders>
              <w:top w:val="nil"/>
              <w:left w:val="nil"/>
              <w:bottom w:val="nil"/>
              <w:right w:val="nil"/>
            </w:tcBorders>
            <w:shd w:val="clear" w:color="auto" w:fill="auto"/>
            <w:vAlign w:val="center"/>
            <w:hideMark/>
          </w:tcPr>
          <w:p w14:paraId="611C3D21" w14:textId="77777777" w:rsidR="00AF3803" w:rsidRPr="00C66720" w:rsidRDefault="00AF3803" w:rsidP="00AF3803">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Odpisy, rezervy a opravné položky</w:t>
            </w:r>
          </w:p>
        </w:tc>
        <w:tc>
          <w:tcPr>
            <w:tcW w:w="1540" w:type="dxa"/>
            <w:tcBorders>
              <w:top w:val="nil"/>
              <w:left w:val="nil"/>
              <w:bottom w:val="nil"/>
              <w:right w:val="nil"/>
            </w:tcBorders>
            <w:shd w:val="clear" w:color="auto" w:fill="auto"/>
            <w:vAlign w:val="center"/>
            <w:hideMark/>
          </w:tcPr>
          <w:p w14:paraId="13620C5C" w14:textId="09D79825" w:rsidR="00AF3803" w:rsidRPr="00C66720" w:rsidRDefault="00916A65" w:rsidP="004D56E2">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4</w:t>
            </w:r>
            <w:r w:rsidR="004D56E2" w:rsidRPr="00C66720">
              <w:rPr>
                <w:rFonts w:ascii="Times New Roman" w:hAnsi="Times New Roman"/>
                <w:b/>
                <w:bCs/>
                <w:sz w:val="20"/>
                <w:szCs w:val="20"/>
                <w:lang w:eastAsia="sk-SK"/>
              </w:rPr>
              <w:t> </w:t>
            </w:r>
            <w:r w:rsidRPr="00C66720">
              <w:rPr>
                <w:rFonts w:ascii="Times New Roman" w:hAnsi="Times New Roman"/>
                <w:b/>
                <w:bCs/>
                <w:sz w:val="20"/>
                <w:szCs w:val="20"/>
                <w:lang w:eastAsia="sk-SK"/>
              </w:rPr>
              <w:t>35</w:t>
            </w:r>
            <w:r w:rsidR="004D56E2" w:rsidRPr="00C66720">
              <w:rPr>
                <w:rFonts w:ascii="Times New Roman" w:hAnsi="Times New Roman"/>
                <w:b/>
                <w:bCs/>
                <w:sz w:val="20"/>
                <w:szCs w:val="20"/>
                <w:lang w:eastAsia="sk-SK"/>
              </w:rPr>
              <w:t>8 485</w:t>
            </w:r>
          </w:p>
        </w:tc>
        <w:tc>
          <w:tcPr>
            <w:tcW w:w="1420" w:type="dxa"/>
            <w:tcBorders>
              <w:top w:val="nil"/>
              <w:left w:val="nil"/>
              <w:bottom w:val="nil"/>
              <w:right w:val="nil"/>
            </w:tcBorders>
            <w:shd w:val="clear" w:color="auto" w:fill="auto"/>
            <w:vAlign w:val="center"/>
            <w:hideMark/>
          </w:tcPr>
          <w:p w14:paraId="3380D215" w14:textId="584E707E" w:rsidR="00AF3803" w:rsidRPr="00C66720" w:rsidRDefault="00AF3803" w:rsidP="00AF380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6 404 212</w:t>
            </w:r>
          </w:p>
        </w:tc>
      </w:tr>
      <w:tr w:rsidR="00BC3EA8" w:rsidRPr="00C66720" w14:paraId="7E202901" w14:textId="77777777" w:rsidTr="00A27AAA">
        <w:trPr>
          <w:trHeight w:val="255"/>
        </w:trPr>
        <w:tc>
          <w:tcPr>
            <w:tcW w:w="860" w:type="dxa"/>
            <w:tcBorders>
              <w:top w:val="nil"/>
              <w:left w:val="nil"/>
              <w:bottom w:val="nil"/>
              <w:right w:val="nil"/>
            </w:tcBorders>
            <w:shd w:val="clear" w:color="auto" w:fill="auto"/>
            <w:vAlign w:val="center"/>
            <w:hideMark/>
          </w:tcPr>
          <w:p w14:paraId="04B3036A" w14:textId="77777777" w:rsidR="00AF3803" w:rsidRPr="00C66720" w:rsidRDefault="00AF3803" w:rsidP="00AF3803">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6296A5CA" w14:textId="18D902CC" w:rsidR="00AF3803" w:rsidRPr="00C66720" w:rsidRDefault="00AF3803" w:rsidP="00AF3803">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_Ref86186615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71</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48631DA2" w14:textId="77777777" w:rsidR="00AF3803" w:rsidRPr="00C66720" w:rsidRDefault="00AF3803" w:rsidP="00AF3803">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odpisy dlhodobého majetku</w:t>
            </w:r>
          </w:p>
        </w:tc>
        <w:tc>
          <w:tcPr>
            <w:tcW w:w="1540" w:type="dxa"/>
            <w:tcBorders>
              <w:top w:val="nil"/>
              <w:left w:val="nil"/>
              <w:bottom w:val="nil"/>
              <w:right w:val="nil"/>
            </w:tcBorders>
            <w:shd w:val="clear" w:color="auto" w:fill="auto"/>
            <w:vAlign w:val="center"/>
            <w:hideMark/>
          </w:tcPr>
          <w:p w14:paraId="1D74B53B" w14:textId="2ACEF9B7" w:rsidR="00AF3803" w:rsidRPr="00C66720" w:rsidRDefault="007C0846" w:rsidP="00934909">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w:t>
            </w:r>
            <w:r w:rsidR="00934909" w:rsidRPr="00C66720">
              <w:rPr>
                <w:rFonts w:ascii="Times New Roman" w:hAnsi="Times New Roman"/>
                <w:i/>
                <w:iCs/>
                <w:sz w:val="19"/>
                <w:szCs w:val="19"/>
                <w:lang w:eastAsia="sk-SK"/>
              </w:rPr>
              <w:t> </w:t>
            </w:r>
            <w:r w:rsidRPr="00C66720">
              <w:rPr>
                <w:rFonts w:ascii="Times New Roman" w:hAnsi="Times New Roman"/>
                <w:i/>
                <w:iCs/>
                <w:sz w:val="19"/>
                <w:szCs w:val="19"/>
                <w:lang w:eastAsia="sk-SK"/>
              </w:rPr>
              <w:t>10</w:t>
            </w:r>
            <w:r w:rsidR="00934909" w:rsidRPr="00C66720">
              <w:rPr>
                <w:rFonts w:ascii="Times New Roman" w:hAnsi="Times New Roman"/>
                <w:i/>
                <w:iCs/>
                <w:sz w:val="19"/>
                <w:szCs w:val="19"/>
                <w:lang w:eastAsia="sk-SK"/>
              </w:rPr>
              <w:t>9 468</w:t>
            </w:r>
          </w:p>
        </w:tc>
        <w:tc>
          <w:tcPr>
            <w:tcW w:w="1420" w:type="dxa"/>
            <w:tcBorders>
              <w:top w:val="nil"/>
              <w:left w:val="nil"/>
              <w:bottom w:val="nil"/>
              <w:right w:val="nil"/>
            </w:tcBorders>
            <w:shd w:val="clear" w:color="auto" w:fill="auto"/>
            <w:vAlign w:val="center"/>
            <w:hideMark/>
          </w:tcPr>
          <w:p w14:paraId="2159690F" w14:textId="7A0973D3" w:rsidR="00AF3803" w:rsidRPr="00C66720" w:rsidRDefault="00AF3803"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2 092 121</w:t>
            </w:r>
          </w:p>
        </w:tc>
      </w:tr>
      <w:tr w:rsidR="00BC3EA8" w:rsidRPr="00C66720" w14:paraId="0643C059" w14:textId="77777777" w:rsidTr="00A27AAA">
        <w:trPr>
          <w:trHeight w:val="255"/>
        </w:trPr>
        <w:tc>
          <w:tcPr>
            <w:tcW w:w="860" w:type="dxa"/>
            <w:tcBorders>
              <w:top w:val="nil"/>
              <w:left w:val="nil"/>
              <w:bottom w:val="nil"/>
              <w:right w:val="nil"/>
            </w:tcBorders>
            <w:shd w:val="clear" w:color="auto" w:fill="auto"/>
            <w:vAlign w:val="center"/>
            <w:hideMark/>
          </w:tcPr>
          <w:p w14:paraId="32D21349" w14:textId="77777777" w:rsidR="00AF3803" w:rsidRPr="00C66720" w:rsidRDefault="00AF3803" w:rsidP="00AF3803">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403A9E2D" w14:textId="1F519402" w:rsidR="00AF3803" w:rsidRPr="00C66720" w:rsidRDefault="00AF3803" w:rsidP="00AF3803">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_Ref86186625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72</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23D30934" w14:textId="77777777" w:rsidR="00AF3803" w:rsidRPr="00C66720" w:rsidRDefault="00AF3803" w:rsidP="00AF3803">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rezervy</w:t>
            </w:r>
          </w:p>
        </w:tc>
        <w:tc>
          <w:tcPr>
            <w:tcW w:w="1540" w:type="dxa"/>
            <w:tcBorders>
              <w:top w:val="nil"/>
              <w:left w:val="nil"/>
              <w:bottom w:val="nil"/>
              <w:right w:val="nil"/>
            </w:tcBorders>
            <w:shd w:val="clear" w:color="auto" w:fill="auto"/>
            <w:vAlign w:val="center"/>
            <w:hideMark/>
          </w:tcPr>
          <w:p w14:paraId="7214D619" w14:textId="30B017B2" w:rsidR="00AF3803" w:rsidRPr="00C66720" w:rsidRDefault="000F65B6" w:rsidP="00AF3803">
            <w:pPr>
              <w:spacing w:after="0" w:line="240" w:lineRule="auto"/>
              <w:jc w:val="right"/>
              <w:rPr>
                <w:rFonts w:ascii="Times New Roman" w:hAnsi="Times New Roman"/>
                <w:sz w:val="20"/>
                <w:szCs w:val="20"/>
                <w:lang w:eastAsia="sk-SK"/>
              </w:rPr>
            </w:pPr>
            <w:r w:rsidRPr="00C66720">
              <w:rPr>
                <w:rFonts w:ascii="Times New Roman" w:hAnsi="Times New Roman"/>
                <w:i/>
                <w:iCs/>
                <w:sz w:val="19"/>
                <w:szCs w:val="19"/>
                <w:lang w:eastAsia="sk-SK"/>
              </w:rPr>
              <w:t>1 012 351</w:t>
            </w:r>
          </w:p>
        </w:tc>
        <w:tc>
          <w:tcPr>
            <w:tcW w:w="1420" w:type="dxa"/>
            <w:tcBorders>
              <w:top w:val="nil"/>
              <w:left w:val="nil"/>
              <w:bottom w:val="nil"/>
              <w:right w:val="nil"/>
            </w:tcBorders>
            <w:shd w:val="clear" w:color="auto" w:fill="auto"/>
            <w:vAlign w:val="center"/>
            <w:hideMark/>
          </w:tcPr>
          <w:p w14:paraId="24665E7E" w14:textId="30D063D3" w:rsidR="00AF3803" w:rsidRPr="00C66720" w:rsidRDefault="00AF3803"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2 899 891</w:t>
            </w:r>
          </w:p>
        </w:tc>
      </w:tr>
      <w:tr w:rsidR="00BC3EA8" w:rsidRPr="00C66720" w14:paraId="5116247F" w14:textId="77777777" w:rsidTr="00A27AAA">
        <w:trPr>
          <w:trHeight w:val="255"/>
        </w:trPr>
        <w:tc>
          <w:tcPr>
            <w:tcW w:w="860" w:type="dxa"/>
            <w:tcBorders>
              <w:top w:val="nil"/>
              <w:left w:val="nil"/>
              <w:bottom w:val="nil"/>
              <w:right w:val="nil"/>
            </w:tcBorders>
            <w:shd w:val="clear" w:color="auto" w:fill="auto"/>
            <w:vAlign w:val="center"/>
            <w:hideMark/>
          </w:tcPr>
          <w:p w14:paraId="7036CF20" w14:textId="77777777" w:rsidR="00AF3803" w:rsidRPr="00C66720" w:rsidRDefault="00AF3803" w:rsidP="00AF3803">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01B4F2B1" w14:textId="1C97341D" w:rsidR="00AF3803" w:rsidRPr="00C66720" w:rsidRDefault="00AF3803" w:rsidP="00AF3803">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_Ref86186633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73</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15CF31B7" w14:textId="77777777" w:rsidR="00AF3803" w:rsidRPr="00C66720" w:rsidRDefault="00AF3803" w:rsidP="00AF3803">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opravné položky</w:t>
            </w:r>
          </w:p>
        </w:tc>
        <w:tc>
          <w:tcPr>
            <w:tcW w:w="1540" w:type="dxa"/>
            <w:tcBorders>
              <w:top w:val="nil"/>
              <w:left w:val="nil"/>
              <w:bottom w:val="nil"/>
              <w:right w:val="nil"/>
            </w:tcBorders>
            <w:shd w:val="clear" w:color="auto" w:fill="auto"/>
            <w:vAlign w:val="center"/>
            <w:hideMark/>
          </w:tcPr>
          <w:p w14:paraId="48B302EA" w14:textId="32761AC6" w:rsidR="00AF3803" w:rsidRPr="00C66720" w:rsidRDefault="001B56E2"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1 236 666</w:t>
            </w:r>
          </w:p>
        </w:tc>
        <w:tc>
          <w:tcPr>
            <w:tcW w:w="1420" w:type="dxa"/>
            <w:tcBorders>
              <w:top w:val="nil"/>
              <w:left w:val="nil"/>
              <w:bottom w:val="nil"/>
              <w:right w:val="nil"/>
            </w:tcBorders>
            <w:shd w:val="clear" w:color="auto" w:fill="auto"/>
            <w:vAlign w:val="center"/>
            <w:hideMark/>
          </w:tcPr>
          <w:p w14:paraId="168395CA" w14:textId="1E252270" w:rsidR="00AF3803" w:rsidRPr="00C66720" w:rsidRDefault="00AF3803"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1 412 200</w:t>
            </w:r>
          </w:p>
        </w:tc>
      </w:tr>
      <w:tr w:rsidR="00BC3EA8" w:rsidRPr="00C66720" w14:paraId="10CCE4AB" w14:textId="77777777" w:rsidTr="00A27AAA">
        <w:trPr>
          <w:trHeight w:val="255"/>
        </w:trPr>
        <w:tc>
          <w:tcPr>
            <w:tcW w:w="860" w:type="dxa"/>
            <w:tcBorders>
              <w:top w:val="nil"/>
              <w:left w:val="nil"/>
              <w:bottom w:val="nil"/>
              <w:right w:val="nil"/>
            </w:tcBorders>
            <w:shd w:val="clear" w:color="auto" w:fill="auto"/>
            <w:vAlign w:val="center"/>
            <w:hideMark/>
          </w:tcPr>
          <w:p w14:paraId="59830C3A" w14:textId="5A2D9D39" w:rsidR="00AF3803" w:rsidRPr="00C66720" w:rsidRDefault="00AF3803" w:rsidP="00AF3803">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_Ref86186763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V</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13790316" w14:textId="0F70BAFE" w:rsidR="00AF3803" w:rsidRPr="00C66720" w:rsidRDefault="00AF3803" w:rsidP="00AF3803">
            <w:pPr>
              <w:spacing w:after="0" w:line="240" w:lineRule="auto"/>
              <w:jc w:val="center"/>
              <w:rPr>
                <w:rFonts w:ascii="Times New Roman" w:hAnsi="Times New Roman"/>
                <w:b/>
                <w:bCs/>
                <w:i/>
                <w:iCs/>
                <w:sz w:val="20"/>
                <w:szCs w:val="20"/>
                <w:lang w:eastAsia="sk-SK"/>
              </w:rPr>
            </w:pPr>
          </w:p>
        </w:tc>
        <w:tc>
          <w:tcPr>
            <w:tcW w:w="5018" w:type="dxa"/>
            <w:tcBorders>
              <w:top w:val="nil"/>
              <w:left w:val="nil"/>
              <w:bottom w:val="nil"/>
              <w:right w:val="nil"/>
            </w:tcBorders>
            <w:shd w:val="clear" w:color="auto" w:fill="auto"/>
            <w:vAlign w:val="center"/>
            <w:hideMark/>
          </w:tcPr>
          <w:p w14:paraId="247819B1" w14:textId="77777777" w:rsidR="00AF3803" w:rsidRPr="00C66720" w:rsidRDefault="00AF3803" w:rsidP="00AF3803">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Ostatné náklady na prevádzkovú  činnosť</w:t>
            </w:r>
          </w:p>
        </w:tc>
        <w:tc>
          <w:tcPr>
            <w:tcW w:w="1540" w:type="dxa"/>
            <w:tcBorders>
              <w:top w:val="nil"/>
              <w:left w:val="nil"/>
              <w:bottom w:val="nil"/>
              <w:right w:val="nil"/>
            </w:tcBorders>
            <w:shd w:val="clear" w:color="auto" w:fill="auto"/>
            <w:vAlign w:val="center"/>
            <w:hideMark/>
          </w:tcPr>
          <w:p w14:paraId="2E7E65B5" w14:textId="18BBD72D" w:rsidR="00AF3803" w:rsidRPr="00C66720" w:rsidRDefault="00CA3B1F" w:rsidP="0037771D">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xml:space="preserve">5 424 </w:t>
            </w:r>
            <w:r w:rsidR="0037771D" w:rsidRPr="00C66720">
              <w:rPr>
                <w:rFonts w:ascii="Times New Roman" w:hAnsi="Times New Roman"/>
                <w:b/>
                <w:bCs/>
                <w:sz w:val="20"/>
                <w:szCs w:val="20"/>
                <w:lang w:eastAsia="sk-SK"/>
              </w:rPr>
              <w:t>425</w:t>
            </w:r>
          </w:p>
        </w:tc>
        <w:tc>
          <w:tcPr>
            <w:tcW w:w="1420" w:type="dxa"/>
            <w:tcBorders>
              <w:top w:val="nil"/>
              <w:left w:val="nil"/>
              <w:bottom w:val="nil"/>
              <w:right w:val="nil"/>
            </w:tcBorders>
            <w:shd w:val="clear" w:color="auto" w:fill="auto"/>
            <w:vAlign w:val="center"/>
            <w:hideMark/>
          </w:tcPr>
          <w:p w14:paraId="42109264" w14:textId="2BD975C9" w:rsidR="00AF3803" w:rsidRPr="00C66720" w:rsidRDefault="00AF3803" w:rsidP="00AF380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5 169 011</w:t>
            </w:r>
          </w:p>
        </w:tc>
      </w:tr>
      <w:tr w:rsidR="00BC3EA8" w:rsidRPr="00C66720" w14:paraId="592BE5DC" w14:textId="77777777" w:rsidTr="00A27AAA">
        <w:trPr>
          <w:trHeight w:val="255"/>
        </w:trPr>
        <w:tc>
          <w:tcPr>
            <w:tcW w:w="860" w:type="dxa"/>
            <w:tcBorders>
              <w:top w:val="nil"/>
              <w:left w:val="nil"/>
              <w:bottom w:val="nil"/>
              <w:right w:val="nil"/>
            </w:tcBorders>
            <w:shd w:val="clear" w:color="auto" w:fill="auto"/>
            <w:vAlign w:val="center"/>
            <w:hideMark/>
          </w:tcPr>
          <w:p w14:paraId="1F6D1B89" w14:textId="3EFC4890" w:rsidR="00AF3803" w:rsidRPr="00C66720" w:rsidRDefault="00AF3803" w:rsidP="00AF3803">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_Ref86186744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VI</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37C61F13" w14:textId="77777777" w:rsidR="00AF3803" w:rsidRPr="00C66720" w:rsidRDefault="00AF3803" w:rsidP="00AF3803">
            <w:pPr>
              <w:spacing w:after="0" w:line="240" w:lineRule="auto"/>
              <w:jc w:val="center"/>
              <w:rPr>
                <w:rFonts w:ascii="Times New Roman" w:hAnsi="Times New Roman"/>
                <w:b/>
                <w:bCs/>
                <w:sz w:val="20"/>
                <w:szCs w:val="20"/>
                <w:lang w:eastAsia="sk-SK"/>
              </w:rPr>
            </w:pPr>
          </w:p>
        </w:tc>
        <w:tc>
          <w:tcPr>
            <w:tcW w:w="5018" w:type="dxa"/>
            <w:tcBorders>
              <w:top w:val="nil"/>
              <w:left w:val="nil"/>
              <w:bottom w:val="nil"/>
              <w:right w:val="nil"/>
            </w:tcBorders>
            <w:shd w:val="clear" w:color="auto" w:fill="auto"/>
            <w:vAlign w:val="center"/>
            <w:hideMark/>
          </w:tcPr>
          <w:p w14:paraId="46A3009B" w14:textId="77777777" w:rsidR="00AF3803" w:rsidRPr="00C66720" w:rsidRDefault="00AF3803" w:rsidP="00AF3803">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Finančné náklady</w:t>
            </w:r>
          </w:p>
        </w:tc>
        <w:tc>
          <w:tcPr>
            <w:tcW w:w="1540" w:type="dxa"/>
            <w:tcBorders>
              <w:top w:val="nil"/>
              <w:left w:val="nil"/>
              <w:bottom w:val="nil"/>
              <w:right w:val="nil"/>
            </w:tcBorders>
            <w:shd w:val="clear" w:color="auto" w:fill="auto"/>
            <w:vAlign w:val="center"/>
            <w:hideMark/>
          </w:tcPr>
          <w:p w14:paraId="765B18F1" w14:textId="0C09CE43" w:rsidR="00AF3803" w:rsidRPr="00C66720" w:rsidRDefault="00CA3B1F" w:rsidP="00AF380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1 </w:t>
            </w:r>
            <w:r w:rsidR="00B103B4" w:rsidRPr="00C66720">
              <w:rPr>
                <w:rFonts w:ascii="Times New Roman" w:hAnsi="Times New Roman"/>
                <w:b/>
                <w:bCs/>
                <w:sz w:val="20"/>
                <w:szCs w:val="20"/>
                <w:lang w:eastAsia="sk-SK"/>
              </w:rPr>
              <w:t>643 093</w:t>
            </w:r>
          </w:p>
        </w:tc>
        <w:tc>
          <w:tcPr>
            <w:tcW w:w="1420" w:type="dxa"/>
            <w:tcBorders>
              <w:top w:val="nil"/>
              <w:left w:val="nil"/>
              <w:bottom w:val="nil"/>
              <w:right w:val="nil"/>
            </w:tcBorders>
            <w:shd w:val="clear" w:color="auto" w:fill="auto"/>
            <w:vAlign w:val="center"/>
            <w:hideMark/>
          </w:tcPr>
          <w:p w14:paraId="1FD8BF34" w14:textId="1B92E2CF" w:rsidR="00AF3803" w:rsidRPr="00C66720" w:rsidRDefault="00AF3803" w:rsidP="00AF380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2 354 756</w:t>
            </w:r>
          </w:p>
        </w:tc>
      </w:tr>
      <w:tr w:rsidR="00BC3EA8" w:rsidRPr="00C66720" w14:paraId="5EEB73B1" w14:textId="77777777" w:rsidTr="00A27AAA">
        <w:trPr>
          <w:trHeight w:val="255"/>
        </w:trPr>
        <w:tc>
          <w:tcPr>
            <w:tcW w:w="860" w:type="dxa"/>
            <w:tcBorders>
              <w:top w:val="nil"/>
              <w:left w:val="nil"/>
              <w:bottom w:val="nil"/>
              <w:right w:val="nil"/>
            </w:tcBorders>
            <w:shd w:val="clear" w:color="auto" w:fill="auto"/>
            <w:vAlign w:val="center"/>
            <w:hideMark/>
          </w:tcPr>
          <w:p w14:paraId="041E1D11" w14:textId="77777777" w:rsidR="00AF3803" w:rsidRPr="00C66720" w:rsidRDefault="00AF3803" w:rsidP="00AF3803">
            <w:pPr>
              <w:spacing w:after="0" w:line="240" w:lineRule="auto"/>
              <w:jc w:val="right"/>
              <w:rPr>
                <w:rFonts w:ascii="Times New Roman" w:hAnsi="Times New Roman"/>
                <w:b/>
                <w:bCs/>
                <w:color w:val="FF0000"/>
                <w:sz w:val="20"/>
                <w:szCs w:val="20"/>
                <w:highlight w:val="yellow"/>
                <w:lang w:eastAsia="sk-SK"/>
              </w:rPr>
            </w:pPr>
          </w:p>
        </w:tc>
        <w:tc>
          <w:tcPr>
            <w:tcW w:w="602" w:type="dxa"/>
            <w:tcBorders>
              <w:top w:val="nil"/>
              <w:left w:val="nil"/>
              <w:bottom w:val="nil"/>
              <w:right w:val="nil"/>
            </w:tcBorders>
            <w:shd w:val="clear" w:color="auto" w:fill="auto"/>
            <w:vAlign w:val="center"/>
            <w:hideMark/>
          </w:tcPr>
          <w:p w14:paraId="124DB71F" w14:textId="7FB7ECC0" w:rsidR="00AF3803" w:rsidRPr="00C66720" w:rsidRDefault="00AF3803" w:rsidP="00AF3803">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_Ref86186643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74</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4A76DE9A" w14:textId="77777777" w:rsidR="00AF3803" w:rsidRPr="00C66720" w:rsidRDefault="00AF3803" w:rsidP="00AF3803">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v tom    úroky</w:t>
            </w:r>
          </w:p>
        </w:tc>
        <w:tc>
          <w:tcPr>
            <w:tcW w:w="1540" w:type="dxa"/>
            <w:tcBorders>
              <w:top w:val="nil"/>
              <w:left w:val="nil"/>
              <w:bottom w:val="nil"/>
              <w:right w:val="nil"/>
            </w:tcBorders>
            <w:shd w:val="clear" w:color="auto" w:fill="auto"/>
            <w:vAlign w:val="center"/>
            <w:hideMark/>
          </w:tcPr>
          <w:p w14:paraId="4D469894" w14:textId="29F92830" w:rsidR="00AF3803" w:rsidRPr="00C66720" w:rsidRDefault="002F4419"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1 228 362</w:t>
            </w:r>
          </w:p>
        </w:tc>
        <w:tc>
          <w:tcPr>
            <w:tcW w:w="1420" w:type="dxa"/>
            <w:tcBorders>
              <w:top w:val="nil"/>
              <w:left w:val="nil"/>
              <w:bottom w:val="nil"/>
              <w:right w:val="nil"/>
            </w:tcBorders>
            <w:shd w:val="clear" w:color="auto" w:fill="auto"/>
            <w:vAlign w:val="center"/>
            <w:hideMark/>
          </w:tcPr>
          <w:p w14:paraId="28584F6B" w14:textId="2CE7C420" w:rsidR="00AF3803" w:rsidRPr="00C66720" w:rsidRDefault="00AF3803"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1 258 392</w:t>
            </w:r>
          </w:p>
        </w:tc>
      </w:tr>
      <w:tr w:rsidR="00BC3EA8" w:rsidRPr="00C66720" w14:paraId="3FC694AD" w14:textId="77777777" w:rsidTr="00A27AAA">
        <w:trPr>
          <w:trHeight w:val="255"/>
        </w:trPr>
        <w:tc>
          <w:tcPr>
            <w:tcW w:w="860" w:type="dxa"/>
            <w:tcBorders>
              <w:top w:val="nil"/>
              <w:left w:val="nil"/>
              <w:bottom w:val="nil"/>
              <w:right w:val="nil"/>
            </w:tcBorders>
            <w:shd w:val="clear" w:color="auto" w:fill="auto"/>
            <w:vAlign w:val="center"/>
            <w:hideMark/>
          </w:tcPr>
          <w:p w14:paraId="09C23382" w14:textId="77777777" w:rsidR="00AF3803" w:rsidRPr="00C66720" w:rsidRDefault="00AF3803" w:rsidP="00AF3803">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7A3EAC68" w14:textId="51A7BABB" w:rsidR="00AF3803" w:rsidRPr="00C66720" w:rsidRDefault="00AF3803" w:rsidP="00AF3803">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_Ref86186654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75</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51691C19" w14:textId="77777777" w:rsidR="00AF3803" w:rsidRPr="00C66720" w:rsidRDefault="00AF3803" w:rsidP="00AF3803">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kurzové straty</w:t>
            </w:r>
          </w:p>
        </w:tc>
        <w:tc>
          <w:tcPr>
            <w:tcW w:w="1540" w:type="dxa"/>
            <w:tcBorders>
              <w:top w:val="nil"/>
              <w:left w:val="nil"/>
              <w:bottom w:val="nil"/>
              <w:right w:val="nil"/>
            </w:tcBorders>
            <w:shd w:val="clear" w:color="auto" w:fill="auto"/>
            <w:vAlign w:val="center"/>
            <w:hideMark/>
          </w:tcPr>
          <w:p w14:paraId="4867D0E9" w14:textId="2D29F2B5" w:rsidR="00AF3803" w:rsidRPr="00C66720" w:rsidRDefault="002F4419" w:rsidP="00B103B4">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168 48</w:t>
            </w:r>
            <w:r w:rsidR="00B103B4" w:rsidRPr="00C66720">
              <w:rPr>
                <w:rFonts w:ascii="Times New Roman" w:hAnsi="Times New Roman"/>
                <w:i/>
                <w:iCs/>
                <w:sz w:val="19"/>
                <w:szCs w:val="19"/>
                <w:lang w:eastAsia="sk-SK"/>
              </w:rPr>
              <w:t>1</w:t>
            </w:r>
          </w:p>
        </w:tc>
        <w:tc>
          <w:tcPr>
            <w:tcW w:w="1420" w:type="dxa"/>
            <w:tcBorders>
              <w:top w:val="nil"/>
              <w:left w:val="nil"/>
              <w:bottom w:val="nil"/>
              <w:right w:val="nil"/>
            </w:tcBorders>
            <w:shd w:val="clear" w:color="auto" w:fill="auto"/>
            <w:vAlign w:val="center"/>
            <w:hideMark/>
          </w:tcPr>
          <w:p w14:paraId="51C64EB7" w14:textId="24E127E0" w:rsidR="00AF3803" w:rsidRPr="00C66720" w:rsidRDefault="00AF3803"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166 760</w:t>
            </w:r>
          </w:p>
        </w:tc>
      </w:tr>
      <w:tr w:rsidR="00BC3EA8" w:rsidRPr="00C66720" w14:paraId="49905C80" w14:textId="77777777" w:rsidTr="00A27AAA">
        <w:trPr>
          <w:trHeight w:val="255"/>
        </w:trPr>
        <w:tc>
          <w:tcPr>
            <w:tcW w:w="860" w:type="dxa"/>
            <w:tcBorders>
              <w:top w:val="nil"/>
              <w:left w:val="nil"/>
              <w:bottom w:val="nil"/>
              <w:right w:val="nil"/>
            </w:tcBorders>
            <w:shd w:val="clear" w:color="auto" w:fill="auto"/>
            <w:vAlign w:val="center"/>
            <w:hideMark/>
          </w:tcPr>
          <w:p w14:paraId="404294A7" w14:textId="77777777" w:rsidR="00AF3803" w:rsidRPr="00C66720" w:rsidRDefault="00AF3803" w:rsidP="00AF3803">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554DA268" w14:textId="42DE168E" w:rsidR="00AF3803" w:rsidRPr="00C66720" w:rsidRDefault="00AF3803" w:rsidP="00AF3803">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_Ref86186668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76</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1E5C6486" w14:textId="77777777" w:rsidR="00AF3803" w:rsidRPr="00C66720" w:rsidRDefault="00AF3803" w:rsidP="00AF3803">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podiel na výsledku hospodárenia pridružených ÚJ </w:t>
            </w:r>
          </w:p>
        </w:tc>
        <w:tc>
          <w:tcPr>
            <w:tcW w:w="1540" w:type="dxa"/>
            <w:tcBorders>
              <w:top w:val="nil"/>
              <w:left w:val="nil"/>
              <w:bottom w:val="nil"/>
              <w:right w:val="nil"/>
            </w:tcBorders>
            <w:shd w:val="clear" w:color="auto" w:fill="auto"/>
            <w:vAlign w:val="center"/>
            <w:hideMark/>
          </w:tcPr>
          <w:p w14:paraId="59891C01" w14:textId="4950E7F9" w:rsidR="00AF3803" w:rsidRPr="00C66720" w:rsidRDefault="002F4419"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2 718</w:t>
            </w:r>
          </w:p>
        </w:tc>
        <w:tc>
          <w:tcPr>
            <w:tcW w:w="1420" w:type="dxa"/>
            <w:tcBorders>
              <w:top w:val="nil"/>
              <w:left w:val="nil"/>
              <w:bottom w:val="nil"/>
              <w:right w:val="nil"/>
            </w:tcBorders>
            <w:shd w:val="clear" w:color="auto" w:fill="auto"/>
            <w:vAlign w:val="center"/>
            <w:hideMark/>
          </w:tcPr>
          <w:p w14:paraId="7C043C75" w14:textId="2397EDFC" w:rsidR="00AF3803" w:rsidRPr="00C66720" w:rsidRDefault="00AF3803"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654 414</w:t>
            </w:r>
          </w:p>
        </w:tc>
      </w:tr>
      <w:tr w:rsidR="00BC3EA8" w:rsidRPr="00C66720" w14:paraId="269BB0E5" w14:textId="77777777" w:rsidTr="00A27AAA">
        <w:trPr>
          <w:trHeight w:val="255"/>
        </w:trPr>
        <w:tc>
          <w:tcPr>
            <w:tcW w:w="860" w:type="dxa"/>
            <w:tcBorders>
              <w:top w:val="nil"/>
              <w:left w:val="nil"/>
              <w:bottom w:val="nil"/>
              <w:right w:val="nil"/>
            </w:tcBorders>
            <w:shd w:val="clear" w:color="auto" w:fill="auto"/>
            <w:vAlign w:val="center"/>
            <w:hideMark/>
          </w:tcPr>
          <w:p w14:paraId="4239680D" w14:textId="77777777" w:rsidR="00AF3803" w:rsidRPr="00C66720" w:rsidRDefault="00AF3803" w:rsidP="00AF3803">
            <w:pPr>
              <w:spacing w:after="0" w:line="240" w:lineRule="auto"/>
              <w:jc w:val="right"/>
              <w:rPr>
                <w:rFonts w:ascii="Times New Roman" w:hAnsi="Times New Roman"/>
                <w:i/>
                <w:iCs/>
                <w:color w:val="FF0000"/>
                <w:sz w:val="19"/>
                <w:szCs w:val="19"/>
                <w:highlight w:val="yellow"/>
                <w:lang w:eastAsia="sk-SK"/>
              </w:rPr>
            </w:pPr>
          </w:p>
        </w:tc>
        <w:tc>
          <w:tcPr>
            <w:tcW w:w="602" w:type="dxa"/>
            <w:tcBorders>
              <w:top w:val="nil"/>
              <w:left w:val="nil"/>
              <w:bottom w:val="nil"/>
              <w:right w:val="nil"/>
            </w:tcBorders>
            <w:shd w:val="clear" w:color="auto" w:fill="auto"/>
            <w:vAlign w:val="center"/>
            <w:hideMark/>
          </w:tcPr>
          <w:p w14:paraId="2F59947D" w14:textId="69F7B3E5" w:rsidR="00AF3803" w:rsidRPr="00C66720" w:rsidRDefault="00AF3803" w:rsidP="00AF3803">
            <w:pPr>
              <w:spacing w:after="0" w:line="240" w:lineRule="auto"/>
              <w:jc w:val="center"/>
              <w:rPr>
                <w:rFonts w:ascii="Times New Roman" w:hAnsi="Times New Roman"/>
                <w:i/>
                <w:iCs/>
                <w:sz w:val="19"/>
                <w:szCs w:val="19"/>
                <w:lang w:eastAsia="sk-SK"/>
              </w:rPr>
            </w:pPr>
            <w:r w:rsidRPr="00C66720">
              <w:rPr>
                <w:rFonts w:ascii="Times New Roman" w:hAnsi="Times New Roman"/>
                <w:i/>
                <w:iCs/>
                <w:sz w:val="19"/>
                <w:szCs w:val="19"/>
                <w:lang w:eastAsia="sk-SK"/>
              </w:rPr>
              <w:fldChar w:fldCharType="begin"/>
            </w:r>
            <w:r w:rsidRPr="00C66720">
              <w:rPr>
                <w:rFonts w:ascii="Times New Roman" w:hAnsi="Times New Roman"/>
                <w:i/>
                <w:iCs/>
                <w:sz w:val="19"/>
                <w:szCs w:val="19"/>
                <w:lang w:eastAsia="sk-SK"/>
              </w:rPr>
              <w:instrText xml:space="preserve"> REF _Ref86186678 \r \h  \* MERGEFORMAT </w:instrText>
            </w:r>
            <w:r w:rsidRPr="00C66720">
              <w:rPr>
                <w:rFonts w:ascii="Times New Roman" w:hAnsi="Times New Roman"/>
                <w:i/>
                <w:iCs/>
                <w:sz w:val="19"/>
                <w:szCs w:val="19"/>
                <w:lang w:eastAsia="sk-SK"/>
              </w:rPr>
            </w:r>
            <w:r w:rsidRPr="00C66720">
              <w:rPr>
                <w:rFonts w:ascii="Times New Roman" w:hAnsi="Times New Roman"/>
                <w:i/>
                <w:iCs/>
                <w:sz w:val="19"/>
                <w:szCs w:val="19"/>
                <w:lang w:eastAsia="sk-SK"/>
              </w:rPr>
              <w:fldChar w:fldCharType="separate"/>
            </w:r>
            <w:r w:rsidR="00B00473" w:rsidRPr="00C66720">
              <w:rPr>
                <w:rFonts w:ascii="Times New Roman" w:hAnsi="Times New Roman"/>
                <w:i/>
                <w:iCs/>
                <w:sz w:val="19"/>
                <w:szCs w:val="19"/>
                <w:lang w:eastAsia="sk-SK"/>
              </w:rPr>
              <w:t>77</w:t>
            </w:r>
            <w:r w:rsidRPr="00C66720">
              <w:rPr>
                <w:rFonts w:ascii="Times New Roman" w:hAnsi="Times New Roman"/>
                <w:i/>
                <w:iCs/>
                <w:sz w:val="19"/>
                <w:szCs w:val="19"/>
                <w:lang w:eastAsia="sk-SK"/>
              </w:rPr>
              <w:fldChar w:fldCharType="end"/>
            </w:r>
          </w:p>
        </w:tc>
        <w:tc>
          <w:tcPr>
            <w:tcW w:w="5018" w:type="dxa"/>
            <w:tcBorders>
              <w:top w:val="nil"/>
              <w:left w:val="nil"/>
              <w:bottom w:val="nil"/>
              <w:right w:val="nil"/>
            </w:tcBorders>
            <w:shd w:val="clear" w:color="auto" w:fill="auto"/>
            <w:vAlign w:val="center"/>
            <w:hideMark/>
          </w:tcPr>
          <w:p w14:paraId="1AA24A1E" w14:textId="77777777" w:rsidR="00AF3803" w:rsidRPr="00C66720" w:rsidRDefault="00AF3803" w:rsidP="00AF3803">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 xml:space="preserve">            ostatné finančné náklady</w:t>
            </w:r>
          </w:p>
        </w:tc>
        <w:tc>
          <w:tcPr>
            <w:tcW w:w="1540" w:type="dxa"/>
            <w:tcBorders>
              <w:top w:val="nil"/>
              <w:left w:val="nil"/>
              <w:bottom w:val="nil"/>
              <w:right w:val="nil"/>
            </w:tcBorders>
            <w:shd w:val="clear" w:color="auto" w:fill="auto"/>
            <w:vAlign w:val="center"/>
            <w:hideMark/>
          </w:tcPr>
          <w:p w14:paraId="5F02180B" w14:textId="304FFB6C" w:rsidR="00AF3803" w:rsidRPr="00C66720" w:rsidRDefault="002F4419"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243 532</w:t>
            </w:r>
          </w:p>
        </w:tc>
        <w:tc>
          <w:tcPr>
            <w:tcW w:w="1420" w:type="dxa"/>
            <w:tcBorders>
              <w:top w:val="nil"/>
              <w:left w:val="nil"/>
              <w:bottom w:val="nil"/>
              <w:right w:val="nil"/>
            </w:tcBorders>
            <w:shd w:val="clear" w:color="auto" w:fill="auto"/>
            <w:vAlign w:val="center"/>
            <w:hideMark/>
          </w:tcPr>
          <w:p w14:paraId="6E615235" w14:textId="6E28CFFB" w:rsidR="00AF3803" w:rsidRPr="00C66720" w:rsidRDefault="00AF3803"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275 190</w:t>
            </w:r>
          </w:p>
        </w:tc>
      </w:tr>
      <w:tr w:rsidR="00BC3EA8" w:rsidRPr="00C66720" w14:paraId="5F7F16B4" w14:textId="77777777" w:rsidTr="00A27AAA">
        <w:trPr>
          <w:trHeight w:val="255"/>
        </w:trPr>
        <w:tc>
          <w:tcPr>
            <w:tcW w:w="860" w:type="dxa"/>
            <w:tcBorders>
              <w:top w:val="nil"/>
              <w:left w:val="nil"/>
              <w:bottom w:val="nil"/>
              <w:right w:val="nil"/>
            </w:tcBorders>
            <w:shd w:val="clear" w:color="auto" w:fill="auto"/>
            <w:vAlign w:val="center"/>
            <w:hideMark/>
          </w:tcPr>
          <w:p w14:paraId="3DDDFB90" w14:textId="1D8833CF" w:rsidR="00AF3803" w:rsidRPr="00C66720" w:rsidRDefault="00AF3803" w:rsidP="00AF3803">
            <w:pPr>
              <w:spacing w:after="0" w:line="240" w:lineRule="auto"/>
              <w:jc w:val="center"/>
              <w:rPr>
                <w:rFonts w:ascii="Times New Roman" w:hAnsi="Times New Roman"/>
                <w:b/>
                <w:bCs/>
                <w:sz w:val="20"/>
                <w:szCs w:val="20"/>
                <w:lang w:eastAsia="sk-SK"/>
              </w:rPr>
            </w:pPr>
            <w:r w:rsidRPr="00C66720">
              <w:rPr>
                <w:rFonts w:ascii="Times New Roman" w:hAnsi="Times New Roman"/>
                <w:b/>
                <w:bCs/>
                <w:sz w:val="20"/>
                <w:szCs w:val="20"/>
                <w:lang w:eastAsia="sk-SK"/>
              </w:rPr>
              <w:fldChar w:fldCharType="begin"/>
            </w:r>
            <w:r w:rsidRPr="00C66720">
              <w:rPr>
                <w:rFonts w:ascii="Times New Roman" w:hAnsi="Times New Roman"/>
                <w:b/>
                <w:bCs/>
                <w:sz w:val="20"/>
                <w:szCs w:val="20"/>
                <w:lang w:eastAsia="sk-SK"/>
              </w:rPr>
              <w:instrText xml:space="preserve"> REF _Ref86186697 \r \h  \* MERGEFORMAT </w:instrText>
            </w:r>
            <w:r w:rsidRPr="00C66720">
              <w:rPr>
                <w:rFonts w:ascii="Times New Roman" w:hAnsi="Times New Roman"/>
                <w:b/>
                <w:bCs/>
                <w:sz w:val="20"/>
                <w:szCs w:val="20"/>
                <w:lang w:eastAsia="sk-SK"/>
              </w:rPr>
            </w:r>
            <w:r w:rsidRPr="00C66720">
              <w:rPr>
                <w:rFonts w:ascii="Times New Roman" w:hAnsi="Times New Roman"/>
                <w:b/>
                <w:bCs/>
                <w:sz w:val="20"/>
                <w:szCs w:val="20"/>
                <w:lang w:eastAsia="sk-SK"/>
              </w:rPr>
              <w:fldChar w:fldCharType="separate"/>
            </w:r>
            <w:r w:rsidR="00B00473" w:rsidRPr="00C66720">
              <w:rPr>
                <w:rFonts w:ascii="Times New Roman" w:hAnsi="Times New Roman"/>
                <w:b/>
                <w:bCs/>
                <w:sz w:val="20"/>
                <w:szCs w:val="20"/>
                <w:lang w:eastAsia="sk-SK"/>
              </w:rPr>
              <w:t>VII</w:t>
            </w:r>
            <w:r w:rsidRPr="00C66720">
              <w:rPr>
                <w:rFonts w:ascii="Times New Roman" w:hAnsi="Times New Roman"/>
                <w:b/>
                <w:bCs/>
                <w:sz w:val="20"/>
                <w:szCs w:val="20"/>
                <w:lang w:eastAsia="sk-SK"/>
              </w:rPr>
              <w:fldChar w:fldCharType="end"/>
            </w:r>
            <w:r w:rsidRPr="00C66720">
              <w:rPr>
                <w:rFonts w:ascii="Times New Roman" w:hAnsi="Times New Roman"/>
                <w:b/>
                <w:bCs/>
                <w:sz w:val="20"/>
                <w:szCs w:val="20"/>
                <w:lang w:eastAsia="sk-SK"/>
              </w:rPr>
              <w:t>.</w:t>
            </w:r>
          </w:p>
        </w:tc>
        <w:tc>
          <w:tcPr>
            <w:tcW w:w="602" w:type="dxa"/>
            <w:tcBorders>
              <w:top w:val="nil"/>
              <w:left w:val="nil"/>
              <w:bottom w:val="nil"/>
              <w:right w:val="nil"/>
            </w:tcBorders>
            <w:shd w:val="clear" w:color="auto" w:fill="auto"/>
            <w:vAlign w:val="center"/>
            <w:hideMark/>
          </w:tcPr>
          <w:p w14:paraId="080889E6" w14:textId="72C97DA2" w:rsidR="00AF3803" w:rsidRPr="00C66720" w:rsidRDefault="00AF3803" w:rsidP="00AF3803">
            <w:pPr>
              <w:spacing w:after="0" w:line="240" w:lineRule="auto"/>
              <w:jc w:val="center"/>
              <w:rPr>
                <w:rFonts w:ascii="Times New Roman" w:hAnsi="Times New Roman"/>
                <w:b/>
                <w:bCs/>
                <w:i/>
                <w:iCs/>
                <w:sz w:val="20"/>
                <w:szCs w:val="20"/>
                <w:lang w:eastAsia="sk-SK"/>
              </w:rPr>
            </w:pPr>
          </w:p>
        </w:tc>
        <w:tc>
          <w:tcPr>
            <w:tcW w:w="5018" w:type="dxa"/>
            <w:tcBorders>
              <w:top w:val="nil"/>
              <w:left w:val="nil"/>
              <w:bottom w:val="nil"/>
              <w:right w:val="nil"/>
            </w:tcBorders>
            <w:shd w:val="clear" w:color="auto" w:fill="auto"/>
            <w:vAlign w:val="center"/>
            <w:hideMark/>
          </w:tcPr>
          <w:p w14:paraId="4A9EF414" w14:textId="77777777" w:rsidR="00AF3803" w:rsidRPr="00C66720" w:rsidRDefault="00AF3803" w:rsidP="00AF3803">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Dane a poplatky</w:t>
            </w:r>
          </w:p>
        </w:tc>
        <w:tc>
          <w:tcPr>
            <w:tcW w:w="1540" w:type="dxa"/>
            <w:tcBorders>
              <w:top w:val="nil"/>
              <w:left w:val="nil"/>
              <w:bottom w:val="nil"/>
              <w:right w:val="nil"/>
            </w:tcBorders>
            <w:shd w:val="clear" w:color="auto" w:fill="auto"/>
            <w:vAlign w:val="center"/>
            <w:hideMark/>
          </w:tcPr>
          <w:p w14:paraId="4F066D98" w14:textId="5BBC7D62" w:rsidR="00AF3803" w:rsidRPr="00C66720" w:rsidRDefault="002F4419" w:rsidP="002940DA">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23 0</w:t>
            </w:r>
            <w:r w:rsidR="002940DA" w:rsidRPr="00C66720">
              <w:rPr>
                <w:rFonts w:ascii="Times New Roman" w:hAnsi="Times New Roman"/>
                <w:b/>
                <w:bCs/>
                <w:sz w:val="20"/>
                <w:szCs w:val="20"/>
                <w:lang w:eastAsia="sk-SK"/>
              </w:rPr>
              <w:t>5</w:t>
            </w:r>
            <w:r w:rsidR="00537A2C" w:rsidRPr="00C66720">
              <w:rPr>
                <w:rFonts w:ascii="Times New Roman" w:hAnsi="Times New Roman"/>
                <w:b/>
                <w:bCs/>
                <w:sz w:val="20"/>
                <w:szCs w:val="20"/>
                <w:lang w:eastAsia="sk-SK"/>
              </w:rPr>
              <w:t>3</w:t>
            </w:r>
          </w:p>
        </w:tc>
        <w:tc>
          <w:tcPr>
            <w:tcW w:w="1420" w:type="dxa"/>
            <w:tcBorders>
              <w:top w:val="nil"/>
              <w:left w:val="nil"/>
              <w:bottom w:val="nil"/>
              <w:right w:val="nil"/>
            </w:tcBorders>
            <w:shd w:val="clear" w:color="auto" w:fill="auto"/>
            <w:vAlign w:val="center"/>
            <w:hideMark/>
          </w:tcPr>
          <w:p w14:paraId="44A74140" w14:textId="0D431364" w:rsidR="00AF3803" w:rsidRPr="00C66720" w:rsidRDefault="00AF3803" w:rsidP="00AF380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62 208</w:t>
            </w:r>
          </w:p>
        </w:tc>
      </w:tr>
      <w:tr w:rsidR="00BC3EA8" w:rsidRPr="00C66720" w14:paraId="2AF36A41" w14:textId="77777777" w:rsidTr="00A27AAA">
        <w:trPr>
          <w:trHeight w:val="255"/>
        </w:trPr>
        <w:tc>
          <w:tcPr>
            <w:tcW w:w="860" w:type="dxa"/>
            <w:tcBorders>
              <w:top w:val="nil"/>
              <w:left w:val="nil"/>
              <w:bottom w:val="single" w:sz="8" w:space="0" w:color="auto"/>
              <w:right w:val="nil"/>
            </w:tcBorders>
            <w:shd w:val="clear" w:color="auto" w:fill="auto"/>
            <w:noWrap/>
            <w:vAlign w:val="center"/>
            <w:hideMark/>
          </w:tcPr>
          <w:p w14:paraId="2996EB28" w14:textId="77777777" w:rsidR="00AF3803" w:rsidRPr="00C66720" w:rsidRDefault="00AF3803" w:rsidP="00AF3803">
            <w:pPr>
              <w:spacing w:after="0" w:line="240" w:lineRule="auto"/>
              <w:jc w:val="center"/>
              <w:rPr>
                <w:rFonts w:ascii="Times New Roman" w:hAnsi="Times New Roman"/>
                <w:b/>
                <w:bCs/>
                <w:color w:val="FF0000"/>
                <w:sz w:val="20"/>
                <w:szCs w:val="20"/>
                <w:lang w:eastAsia="sk-SK"/>
              </w:rPr>
            </w:pPr>
            <w:r w:rsidRPr="00C66720">
              <w:rPr>
                <w:rFonts w:ascii="Times New Roman" w:hAnsi="Times New Roman"/>
                <w:b/>
                <w:bCs/>
                <w:color w:val="FF0000"/>
                <w:sz w:val="20"/>
                <w:szCs w:val="20"/>
                <w:lang w:eastAsia="sk-SK"/>
              </w:rPr>
              <w:t> </w:t>
            </w:r>
          </w:p>
        </w:tc>
        <w:tc>
          <w:tcPr>
            <w:tcW w:w="602" w:type="dxa"/>
            <w:tcBorders>
              <w:top w:val="nil"/>
              <w:left w:val="nil"/>
              <w:bottom w:val="single" w:sz="8" w:space="0" w:color="auto"/>
              <w:right w:val="nil"/>
            </w:tcBorders>
            <w:shd w:val="clear" w:color="auto" w:fill="auto"/>
            <w:noWrap/>
            <w:vAlign w:val="center"/>
            <w:hideMark/>
          </w:tcPr>
          <w:p w14:paraId="1DC8295C" w14:textId="77777777" w:rsidR="00AF3803" w:rsidRPr="00C66720" w:rsidRDefault="00AF3803" w:rsidP="00AF3803">
            <w:pPr>
              <w:spacing w:after="0" w:line="240" w:lineRule="auto"/>
              <w:jc w:val="center"/>
              <w:rPr>
                <w:rFonts w:ascii="Times New Roman" w:hAnsi="Times New Roman"/>
                <w:b/>
                <w:bCs/>
                <w:color w:val="FF0000"/>
                <w:sz w:val="20"/>
                <w:szCs w:val="20"/>
                <w:lang w:eastAsia="sk-SK"/>
              </w:rPr>
            </w:pPr>
            <w:r w:rsidRPr="00C66720">
              <w:rPr>
                <w:rFonts w:ascii="Times New Roman" w:hAnsi="Times New Roman"/>
                <w:b/>
                <w:bCs/>
                <w:color w:val="FF0000"/>
                <w:sz w:val="20"/>
                <w:szCs w:val="20"/>
                <w:lang w:eastAsia="sk-SK"/>
              </w:rPr>
              <w:t> </w:t>
            </w:r>
          </w:p>
        </w:tc>
        <w:tc>
          <w:tcPr>
            <w:tcW w:w="5018" w:type="dxa"/>
            <w:tcBorders>
              <w:top w:val="nil"/>
              <w:left w:val="nil"/>
              <w:bottom w:val="single" w:sz="8" w:space="0" w:color="auto"/>
              <w:right w:val="nil"/>
            </w:tcBorders>
            <w:shd w:val="clear" w:color="auto" w:fill="auto"/>
            <w:vAlign w:val="center"/>
            <w:hideMark/>
          </w:tcPr>
          <w:p w14:paraId="22E7815F" w14:textId="0C6BA651" w:rsidR="00AF3803" w:rsidRPr="00C66720" w:rsidRDefault="00AF3803" w:rsidP="00AF3803">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NÁKLADY  SPOLU (I. až VII.)</w:t>
            </w:r>
          </w:p>
        </w:tc>
        <w:tc>
          <w:tcPr>
            <w:tcW w:w="1540" w:type="dxa"/>
            <w:tcBorders>
              <w:top w:val="nil"/>
              <w:left w:val="nil"/>
              <w:bottom w:val="single" w:sz="8" w:space="0" w:color="auto"/>
              <w:right w:val="nil"/>
            </w:tcBorders>
            <w:shd w:val="clear" w:color="auto" w:fill="auto"/>
            <w:vAlign w:val="center"/>
            <w:hideMark/>
          </w:tcPr>
          <w:p w14:paraId="265ACFE9" w14:textId="15811209" w:rsidR="00AF3803" w:rsidRPr="00C66720" w:rsidRDefault="002F4419" w:rsidP="00537A2C">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65</w:t>
            </w:r>
            <w:r w:rsidR="00D44CF6" w:rsidRPr="00C66720">
              <w:rPr>
                <w:rFonts w:ascii="Times New Roman" w:hAnsi="Times New Roman"/>
                <w:b/>
                <w:bCs/>
                <w:sz w:val="20"/>
                <w:szCs w:val="20"/>
                <w:lang w:eastAsia="sk-SK"/>
              </w:rPr>
              <w:t> </w:t>
            </w:r>
            <w:r w:rsidRPr="00C66720">
              <w:rPr>
                <w:rFonts w:ascii="Times New Roman" w:hAnsi="Times New Roman"/>
                <w:b/>
                <w:bCs/>
                <w:sz w:val="20"/>
                <w:szCs w:val="20"/>
                <w:lang w:eastAsia="sk-SK"/>
              </w:rPr>
              <w:t>4</w:t>
            </w:r>
            <w:r w:rsidR="00D44CF6" w:rsidRPr="00C66720">
              <w:rPr>
                <w:rFonts w:ascii="Times New Roman" w:hAnsi="Times New Roman"/>
                <w:b/>
                <w:bCs/>
                <w:sz w:val="20"/>
                <w:szCs w:val="20"/>
                <w:lang w:eastAsia="sk-SK"/>
              </w:rPr>
              <w:t>81 86</w:t>
            </w:r>
            <w:r w:rsidR="00537A2C" w:rsidRPr="00C66720">
              <w:rPr>
                <w:rFonts w:ascii="Times New Roman" w:hAnsi="Times New Roman"/>
                <w:b/>
                <w:bCs/>
                <w:sz w:val="20"/>
                <w:szCs w:val="20"/>
                <w:lang w:eastAsia="sk-SK"/>
              </w:rPr>
              <w:t>4</w:t>
            </w:r>
          </w:p>
        </w:tc>
        <w:tc>
          <w:tcPr>
            <w:tcW w:w="1420" w:type="dxa"/>
            <w:tcBorders>
              <w:top w:val="nil"/>
              <w:left w:val="nil"/>
              <w:bottom w:val="single" w:sz="8" w:space="0" w:color="auto"/>
              <w:right w:val="nil"/>
            </w:tcBorders>
            <w:shd w:val="clear" w:color="auto" w:fill="auto"/>
            <w:vAlign w:val="center"/>
            <w:hideMark/>
          </w:tcPr>
          <w:p w14:paraId="04E6F28B" w14:textId="2CCE0409" w:rsidR="00AF3803" w:rsidRPr="00C66720" w:rsidRDefault="00AF3803" w:rsidP="00AF380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72 499 763</w:t>
            </w:r>
          </w:p>
        </w:tc>
      </w:tr>
      <w:tr w:rsidR="00BC3EA8" w:rsidRPr="00C66720" w14:paraId="473729A7" w14:textId="77777777" w:rsidTr="00A27AAA">
        <w:trPr>
          <w:trHeight w:val="255"/>
        </w:trPr>
        <w:tc>
          <w:tcPr>
            <w:tcW w:w="860" w:type="dxa"/>
            <w:tcBorders>
              <w:top w:val="nil"/>
              <w:left w:val="nil"/>
              <w:bottom w:val="single" w:sz="8" w:space="0" w:color="auto"/>
              <w:right w:val="nil"/>
            </w:tcBorders>
            <w:shd w:val="clear" w:color="000000" w:fill="BDD7EE"/>
            <w:noWrap/>
            <w:vAlign w:val="center"/>
            <w:hideMark/>
          </w:tcPr>
          <w:p w14:paraId="57401C73" w14:textId="77777777" w:rsidR="00AF3803" w:rsidRPr="00C66720" w:rsidRDefault="00AF3803" w:rsidP="00AF3803">
            <w:pPr>
              <w:spacing w:after="0" w:line="240" w:lineRule="auto"/>
              <w:jc w:val="center"/>
              <w:rPr>
                <w:rFonts w:ascii="Times New Roman" w:hAnsi="Times New Roman"/>
                <w:b/>
                <w:bCs/>
                <w:color w:val="FF0000"/>
                <w:sz w:val="20"/>
                <w:szCs w:val="20"/>
                <w:lang w:eastAsia="sk-SK"/>
              </w:rPr>
            </w:pPr>
            <w:r w:rsidRPr="00C66720">
              <w:rPr>
                <w:rFonts w:ascii="Times New Roman" w:hAnsi="Times New Roman"/>
                <w:b/>
                <w:bCs/>
                <w:color w:val="FF0000"/>
                <w:sz w:val="20"/>
                <w:szCs w:val="20"/>
                <w:lang w:eastAsia="sk-SK"/>
              </w:rPr>
              <w:t> </w:t>
            </w:r>
          </w:p>
        </w:tc>
        <w:tc>
          <w:tcPr>
            <w:tcW w:w="602" w:type="dxa"/>
            <w:tcBorders>
              <w:top w:val="nil"/>
              <w:left w:val="nil"/>
              <w:bottom w:val="single" w:sz="8" w:space="0" w:color="auto"/>
              <w:right w:val="nil"/>
            </w:tcBorders>
            <w:shd w:val="clear" w:color="000000" w:fill="BDD7EE"/>
            <w:noWrap/>
            <w:vAlign w:val="center"/>
            <w:hideMark/>
          </w:tcPr>
          <w:p w14:paraId="519043A4" w14:textId="77777777" w:rsidR="00AF3803" w:rsidRPr="00C66720" w:rsidRDefault="00AF3803" w:rsidP="00AF3803">
            <w:pPr>
              <w:spacing w:after="0" w:line="240" w:lineRule="auto"/>
              <w:jc w:val="center"/>
              <w:rPr>
                <w:rFonts w:ascii="Times New Roman" w:hAnsi="Times New Roman"/>
                <w:b/>
                <w:bCs/>
                <w:color w:val="FF0000"/>
                <w:sz w:val="20"/>
                <w:szCs w:val="20"/>
                <w:lang w:eastAsia="sk-SK"/>
              </w:rPr>
            </w:pPr>
            <w:r w:rsidRPr="00C66720">
              <w:rPr>
                <w:rFonts w:ascii="Times New Roman" w:hAnsi="Times New Roman"/>
                <w:b/>
                <w:bCs/>
                <w:color w:val="FF0000"/>
                <w:sz w:val="20"/>
                <w:szCs w:val="20"/>
                <w:lang w:eastAsia="sk-SK"/>
              </w:rPr>
              <w:t> </w:t>
            </w:r>
          </w:p>
        </w:tc>
        <w:tc>
          <w:tcPr>
            <w:tcW w:w="5018" w:type="dxa"/>
            <w:tcBorders>
              <w:top w:val="nil"/>
              <w:left w:val="nil"/>
              <w:bottom w:val="single" w:sz="8" w:space="0" w:color="auto"/>
              <w:right w:val="nil"/>
            </w:tcBorders>
            <w:shd w:val="clear" w:color="000000" w:fill="BDD7EE"/>
            <w:noWrap/>
            <w:vAlign w:val="center"/>
            <w:hideMark/>
          </w:tcPr>
          <w:p w14:paraId="267FB895" w14:textId="77777777" w:rsidR="00AF3803" w:rsidRPr="00C66720" w:rsidRDefault="00AF3803" w:rsidP="00AF3803">
            <w:pPr>
              <w:spacing w:after="0" w:line="240" w:lineRule="auto"/>
              <w:rPr>
                <w:rFonts w:ascii="Times New Roman" w:hAnsi="Times New Roman"/>
                <w:b/>
                <w:bCs/>
                <w:sz w:val="20"/>
                <w:szCs w:val="20"/>
                <w:lang w:eastAsia="sk-SK"/>
              </w:rPr>
            </w:pPr>
            <w:r w:rsidRPr="00C66720">
              <w:rPr>
                <w:rFonts w:ascii="Times New Roman" w:hAnsi="Times New Roman"/>
                <w:b/>
                <w:bCs/>
                <w:sz w:val="20"/>
                <w:szCs w:val="20"/>
                <w:lang w:eastAsia="sk-SK"/>
              </w:rPr>
              <w:t>VÝSLEDOK HOSPODÁRENIA (Výnosy - Náklady)</w:t>
            </w:r>
          </w:p>
        </w:tc>
        <w:tc>
          <w:tcPr>
            <w:tcW w:w="1540" w:type="dxa"/>
            <w:tcBorders>
              <w:top w:val="nil"/>
              <w:left w:val="nil"/>
              <w:bottom w:val="single" w:sz="8" w:space="0" w:color="auto"/>
              <w:right w:val="nil"/>
            </w:tcBorders>
            <w:shd w:val="clear" w:color="000000" w:fill="BDD7EE"/>
            <w:noWrap/>
            <w:vAlign w:val="center"/>
            <w:hideMark/>
          </w:tcPr>
          <w:p w14:paraId="0CD8E2FB" w14:textId="3BA2C835" w:rsidR="00AF3803" w:rsidRPr="00C66720" w:rsidRDefault="00D851D4" w:rsidP="007E3EB0">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 xml:space="preserve">12 973 </w:t>
            </w:r>
            <w:r w:rsidR="007E3EB0" w:rsidRPr="00C66720">
              <w:rPr>
                <w:rFonts w:ascii="Times New Roman" w:hAnsi="Times New Roman"/>
                <w:b/>
                <w:bCs/>
                <w:sz w:val="20"/>
                <w:szCs w:val="20"/>
                <w:lang w:eastAsia="sk-SK"/>
              </w:rPr>
              <w:t>732</w:t>
            </w:r>
          </w:p>
        </w:tc>
        <w:tc>
          <w:tcPr>
            <w:tcW w:w="1420" w:type="dxa"/>
            <w:tcBorders>
              <w:top w:val="nil"/>
              <w:left w:val="nil"/>
              <w:bottom w:val="single" w:sz="8" w:space="0" w:color="auto"/>
              <w:right w:val="nil"/>
            </w:tcBorders>
            <w:shd w:val="clear" w:color="000000" w:fill="BDD7EE"/>
            <w:noWrap/>
            <w:vAlign w:val="center"/>
            <w:hideMark/>
          </w:tcPr>
          <w:p w14:paraId="77886928" w14:textId="1065570C" w:rsidR="00AF3803" w:rsidRPr="00C66720" w:rsidRDefault="00AF3803" w:rsidP="00AF3803">
            <w:pPr>
              <w:spacing w:after="0" w:line="240" w:lineRule="auto"/>
              <w:jc w:val="right"/>
              <w:rPr>
                <w:rFonts w:ascii="Times New Roman" w:hAnsi="Times New Roman"/>
                <w:b/>
                <w:bCs/>
                <w:sz w:val="20"/>
                <w:szCs w:val="20"/>
                <w:lang w:eastAsia="sk-SK"/>
              </w:rPr>
            </w:pPr>
            <w:r w:rsidRPr="00C66720">
              <w:rPr>
                <w:rFonts w:ascii="Times New Roman" w:hAnsi="Times New Roman"/>
                <w:b/>
                <w:bCs/>
                <w:sz w:val="20"/>
                <w:szCs w:val="20"/>
                <w:lang w:eastAsia="sk-SK"/>
              </w:rPr>
              <w:t>-6 242 761</w:t>
            </w:r>
          </w:p>
        </w:tc>
      </w:tr>
      <w:tr w:rsidR="00BC3EA8" w:rsidRPr="00C66720" w14:paraId="5A1E17B2" w14:textId="77777777" w:rsidTr="00A27AAA">
        <w:trPr>
          <w:trHeight w:val="255"/>
        </w:trPr>
        <w:tc>
          <w:tcPr>
            <w:tcW w:w="860" w:type="dxa"/>
            <w:tcBorders>
              <w:top w:val="nil"/>
              <w:left w:val="nil"/>
              <w:bottom w:val="single" w:sz="8" w:space="0" w:color="auto"/>
              <w:right w:val="nil"/>
            </w:tcBorders>
            <w:shd w:val="clear" w:color="auto" w:fill="auto"/>
            <w:noWrap/>
            <w:vAlign w:val="bottom"/>
            <w:hideMark/>
          </w:tcPr>
          <w:p w14:paraId="2A45CAE7" w14:textId="77777777" w:rsidR="00AF3803" w:rsidRPr="00C66720" w:rsidRDefault="00AF3803" w:rsidP="00AF3803">
            <w:pPr>
              <w:spacing w:after="0" w:line="240" w:lineRule="auto"/>
              <w:rPr>
                <w:rFonts w:ascii="Times New Roman" w:hAnsi="Times New Roman"/>
                <w:color w:val="FF0000"/>
                <w:szCs w:val="22"/>
                <w:lang w:eastAsia="sk-SK"/>
              </w:rPr>
            </w:pPr>
            <w:r w:rsidRPr="00C66720">
              <w:rPr>
                <w:rFonts w:ascii="Times New Roman" w:hAnsi="Times New Roman"/>
                <w:color w:val="FF0000"/>
                <w:szCs w:val="22"/>
                <w:lang w:eastAsia="sk-SK"/>
              </w:rPr>
              <w:t> </w:t>
            </w:r>
          </w:p>
        </w:tc>
        <w:tc>
          <w:tcPr>
            <w:tcW w:w="602" w:type="dxa"/>
            <w:tcBorders>
              <w:top w:val="nil"/>
              <w:left w:val="nil"/>
              <w:bottom w:val="single" w:sz="8" w:space="0" w:color="auto"/>
              <w:right w:val="nil"/>
            </w:tcBorders>
            <w:shd w:val="clear" w:color="auto" w:fill="auto"/>
            <w:vAlign w:val="center"/>
            <w:hideMark/>
          </w:tcPr>
          <w:p w14:paraId="5285D496" w14:textId="77777777" w:rsidR="00AF3803" w:rsidRPr="00C66720" w:rsidRDefault="00AF3803" w:rsidP="00AF3803">
            <w:pPr>
              <w:spacing w:after="0" w:line="240" w:lineRule="auto"/>
              <w:jc w:val="center"/>
              <w:rPr>
                <w:rFonts w:ascii="Times New Roman" w:hAnsi="Times New Roman"/>
                <w:i/>
                <w:iCs/>
                <w:color w:val="FF0000"/>
                <w:sz w:val="19"/>
                <w:szCs w:val="19"/>
                <w:lang w:eastAsia="sk-SK"/>
              </w:rPr>
            </w:pPr>
            <w:r w:rsidRPr="00C66720">
              <w:rPr>
                <w:rFonts w:ascii="Times New Roman" w:hAnsi="Times New Roman"/>
                <w:i/>
                <w:iCs/>
                <w:color w:val="FF0000"/>
                <w:sz w:val="19"/>
                <w:szCs w:val="19"/>
                <w:lang w:eastAsia="sk-SK"/>
              </w:rPr>
              <w:t> </w:t>
            </w:r>
          </w:p>
        </w:tc>
        <w:tc>
          <w:tcPr>
            <w:tcW w:w="5018" w:type="dxa"/>
            <w:tcBorders>
              <w:top w:val="nil"/>
              <w:left w:val="nil"/>
              <w:bottom w:val="single" w:sz="8" w:space="0" w:color="auto"/>
              <w:right w:val="nil"/>
            </w:tcBorders>
            <w:shd w:val="clear" w:color="auto" w:fill="auto"/>
            <w:vAlign w:val="center"/>
            <w:hideMark/>
          </w:tcPr>
          <w:p w14:paraId="73396212" w14:textId="77777777" w:rsidR="00AF3803" w:rsidRPr="00C66720" w:rsidRDefault="00AF3803" w:rsidP="00AF3803">
            <w:pPr>
              <w:spacing w:after="0" w:line="240" w:lineRule="auto"/>
              <w:rPr>
                <w:rFonts w:ascii="Times New Roman" w:hAnsi="Times New Roman"/>
                <w:i/>
                <w:iCs/>
                <w:sz w:val="19"/>
                <w:szCs w:val="19"/>
                <w:lang w:eastAsia="sk-SK"/>
              </w:rPr>
            </w:pPr>
            <w:r w:rsidRPr="00C66720">
              <w:rPr>
                <w:rFonts w:ascii="Times New Roman" w:hAnsi="Times New Roman"/>
                <w:i/>
                <w:iCs/>
                <w:sz w:val="19"/>
                <w:szCs w:val="19"/>
                <w:lang w:eastAsia="sk-SK"/>
              </w:rPr>
              <w:t>z toho   pripadajúci na podiely iných účtovných jednotiek</w:t>
            </w:r>
          </w:p>
        </w:tc>
        <w:tc>
          <w:tcPr>
            <w:tcW w:w="1540" w:type="dxa"/>
            <w:tcBorders>
              <w:top w:val="nil"/>
              <w:left w:val="nil"/>
              <w:bottom w:val="single" w:sz="8" w:space="0" w:color="auto"/>
              <w:right w:val="nil"/>
            </w:tcBorders>
            <w:shd w:val="clear" w:color="auto" w:fill="auto"/>
            <w:vAlign w:val="center"/>
            <w:hideMark/>
          </w:tcPr>
          <w:p w14:paraId="7B7435BC" w14:textId="5B8EEC32" w:rsidR="00AF3803" w:rsidRPr="00C66720" w:rsidRDefault="00D851D4"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-729</w:t>
            </w:r>
          </w:p>
        </w:tc>
        <w:tc>
          <w:tcPr>
            <w:tcW w:w="1420" w:type="dxa"/>
            <w:tcBorders>
              <w:top w:val="nil"/>
              <w:left w:val="nil"/>
              <w:bottom w:val="single" w:sz="8" w:space="0" w:color="auto"/>
              <w:right w:val="nil"/>
            </w:tcBorders>
            <w:shd w:val="clear" w:color="auto" w:fill="auto"/>
            <w:vAlign w:val="center"/>
            <w:hideMark/>
          </w:tcPr>
          <w:p w14:paraId="343E6E66" w14:textId="310E8A4B" w:rsidR="00AF3803" w:rsidRPr="00C66720" w:rsidRDefault="00AF3803" w:rsidP="00AF3803">
            <w:pPr>
              <w:spacing w:after="0" w:line="240" w:lineRule="auto"/>
              <w:jc w:val="right"/>
              <w:rPr>
                <w:rFonts w:ascii="Times New Roman" w:hAnsi="Times New Roman"/>
                <w:i/>
                <w:iCs/>
                <w:sz w:val="19"/>
                <w:szCs w:val="19"/>
                <w:lang w:eastAsia="sk-SK"/>
              </w:rPr>
            </w:pPr>
            <w:r w:rsidRPr="00C66720">
              <w:rPr>
                <w:rFonts w:ascii="Times New Roman" w:hAnsi="Times New Roman"/>
                <w:i/>
                <w:iCs/>
                <w:sz w:val="19"/>
                <w:szCs w:val="19"/>
                <w:lang w:eastAsia="sk-SK"/>
              </w:rPr>
              <w:t>2 665</w:t>
            </w:r>
          </w:p>
        </w:tc>
      </w:tr>
    </w:tbl>
    <w:p w14:paraId="0D84DD93" w14:textId="77777777" w:rsidR="002D6290" w:rsidRPr="00C66720" w:rsidRDefault="00E82A84" w:rsidP="008F097E">
      <w:pPr>
        <w:spacing w:line="240" w:lineRule="auto"/>
        <w:rPr>
          <w:rFonts w:ascii="Times New Roman" w:hAnsi="Times New Roman"/>
          <w:b/>
          <w:caps/>
          <w:sz w:val="26"/>
          <w:szCs w:val="26"/>
        </w:rPr>
      </w:pPr>
      <w:r w:rsidRPr="00C66720">
        <w:rPr>
          <w:rFonts w:ascii="Times New Roman" w:hAnsi="Times New Roman"/>
          <w:b/>
          <w:sz w:val="26"/>
          <w:szCs w:val="26"/>
        </w:rPr>
        <w:lastRenderedPageBreak/>
        <w:t xml:space="preserve">I. </w:t>
      </w:r>
      <w:r w:rsidR="00905B57" w:rsidRPr="00C66720">
        <w:rPr>
          <w:rFonts w:ascii="Times New Roman" w:hAnsi="Times New Roman"/>
          <w:b/>
          <w:caps/>
          <w:sz w:val="26"/>
          <w:szCs w:val="26"/>
        </w:rPr>
        <w:t>VšeobeC</w:t>
      </w:r>
      <w:r w:rsidR="002D6290" w:rsidRPr="00C66720">
        <w:rPr>
          <w:rFonts w:ascii="Times New Roman" w:hAnsi="Times New Roman"/>
          <w:b/>
          <w:caps/>
          <w:sz w:val="26"/>
          <w:szCs w:val="26"/>
        </w:rPr>
        <w:t>né údaje</w:t>
      </w:r>
      <w:r w:rsidR="006F1DBB" w:rsidRPr="00C66720">
        <w:rPr>
          <w:rFonts w:ascii="Times New Roman" w:hAnsi="Times New Roman"/>
          <w:b/>
          <w:caps/>
          <w:sz w:val="26"/>
          <w:szCs w:val="26"/>
        </w:rPr>
        <w:t xml:space="preserve"> a zverejnenia</w:t>
      </w:r>
    </w:p>
    <w:p w14:paraId="3D34FF4F" w14:textId="77777777" w:rsidR="002D6290" w:rsidRPr="00C66720" w:rsidRDefault="002D6290" w:rsidP="008F097E">
      <w:pPr>
        <w:spacing w:line="240" w:lineRule="auto"/>
        <w:rPr>
          <w:rFonts w:ascii="Times New Roman" w:hAnsi="Times New Roman"/>
          <w:b/>
          <w:sz w:val="24"/>
          <w:szCs w:val="24"/>
        </w:rPr>
      </w:pPr>
      <w:r w:rsidRPr="00C66720">
        <w:rPr>
          <w:rFonts w:ascii="Times New Roman" w:hAnsi="Times New Roman"/>
          <w:b/>
          <w:sz w:val="24"/>
          <w:szCs w:val="24"/>
        </w:rPr>
        <w:t>1.</w:t>
      </w:r>
      <w:r w:rsidR="00A47F31" w:rsidRPr="00C66720">
        <w:rPr>
          <w:rFonts w:ascii="Times New Roman" w:hAnsi="Times New Roman"/>
          <w:b/>
          <w:sz w:val="24"/>
          <w:szCs w:val="24"/>
        </w:rPr>
        <w:t xml:space="preserve"> </w:t>
      </w:r>
      <w:r w:rsidRPr="00C66720">
        <w:rPr>
          <w:rFonts w:ascii="Times New Roman" w:hAnsi="Times New Roman"/>
          <w:b/>
          <w:sz w:val="24"/>
          <w:szCs w:val="24"/>
        </w:rPr>
        <w:t>Právny dôvod na zostavenie súhrnnej účtovnej závierky</w:t>
      </w:r>
      <w:r w:rsidR="00036F71" w:rsidRPr="00C66720">
        <w:rPr>
          <w:rFonts w:ascii="Times New Roman" w:hAnsi="Times New Roman"/>
          <w:b/>
          <w:sz w:val="24"/>
          <w:szCs w:val="24"/>
        </w:rPr>
        <w:t xml:space="preserve"> verejnej správy Slovenskej</w:t>
      </w:r>
      <w:r w:rsidR="00274DB1" w:rsidRPr="00C66720">
        <w:rPr>
          <w:rFonts w:ascii="Times New Roman" w:hAnsi="Times New Roman"/>
          <w:b/>
          <w:sz w:val="24"/>
          <w:szCs w:val="24"/>
        </w:rPr>
        <w:t xml:space="preserve"> </w:t>
      </w:r>
      <w:r w:rsidR="00036F71" w:rsidRPr="00C66720">
        <w:rPr>
          <w:rFonts w:ascii="Times New Roman" w:hAnsi="Times New Roman"/>
          <w:b/>
          <w:sz w:val="24"/>
          <w:szCs w:val="24"/>
        </w:rPr>
        <w:t>republiky</w:t>
      </w:r>
    </w:p>
    <w:p w14:paraId="3533484D" w14:textId="31D5523C" w:rsidR="002D6290" w:rsidRPr="00C66720" w:rsidRDefault="002D6290" w:rsidP="008F097E">
      <w:pPr>
        <w:spacing w:after="120" w:line="240" w:lineRule="auto"/>
        <w:jc w:val="both"/>
        <w:rPr>
          <w:rFonts w:ascii="Times New Roman" w:hAnsi="Times New Roman"/>
          <w:szCs w:val="22"/>
        </w:rPr>
      </w:pPr>
      <w:r w:rsidRPr="00C66720">
        <w:rPr>
          <w:rFonts w:ascii="Times New Roman" w:hAnsi="Times New Roman"/>
          <w:szCs w:val="22"/>
        </w:rPr>
        <w:t>Súhrnná účtovná závierka verejnej správy</w:t>
      </w:r>
      <w:r w:rsidR="00036F71" w:rsidRPr="00C66720">
        <w:rPr>
          <w:rFonts w:ascii="Times New Roman" w:hAnsi="Times New Roman"/>
          <w:szCs w:val="22"/>
        </w:rPr>
        <w:t xml:space="preserve"> Slovenskej republiky</w:t>
      </w:r>
      <w:r w:rsidR="005D481B" w:rsidRPr="00C66720">
        <w:rPr>
          <w:rFonts w:ascii="Times New Roman" w:hAnsi="Times New Roman"/>
          <w:szCs w:val="22"/>
        </w:rPr>
        <w:t xml:space="preserve"> </w:t>
      </w:r>
      <w:r w:rsidR="00366422" w:rsidRPr="00C66720">
        <w:rPr>
          <w:rFonts w:ascii="Times New Roman" w:hAnsi="Times New Roman"/>
          <w:szCs w:val="22"/>
        </w:rPr>
        <w:t xml:space="preserve">(ďalej aj ako ,,SUZ“) </w:t>
      </w:r>
      <w:r w:rsidRPr="00C66720">
        <w:rPr>
          <w:rFonts w:ascii="Times New Roman" w:hAnsi="Times New Roman"/>
          <w:szCs w:val="22"/>
        </w:rPr>
        <w:t>bol</w:t>
      </w:r>
      <w:r w:rsidR="005F45B3" w:rsidRPr="00C66720">
        <w:rPr>
          <w:rFonts w:ascii="Times New Roman" w:hAnsi="Times New Roman"/>
          <w:szCs w:val="22"/>
        </w:rPr>
        <w:t>a zostavená v súlade so zákonom</w:t>
      </w:r>
      <w:r w:rsidR="00366422" w:rsidRPr="00C66720">
        <w:rPr>
          <w:rFonts w:ascii="Times New Roman" w:hAnsi="Times New Roman"/>
          <w:szCs w:val="22"/>
        </w:rPr>
        <w:t xml:space="preserve"> </w:t>
      </w:r>
      <w:r w:rsidRPr="00C66720">
        <w:rPr>
          <w:rFonts w:ascii="Times New Roman" w:hAnsi="Times New Roman"/>
          <w:szCs w:val="22"/>
        </w:rPr>
        <w:t>č. 431/2002 Z. z. o účtovníctve v znení neskorších predpisov (ďalej len ,,zákon o účtov</w:t>
      </w:r>
      <w:r w:rsidR="002B7690" w:rsidRPr="00C66720">
        <w:rPr>
          <w:rFonts w:ascii="Times New Roman" w:hAnsi="Times New Roman"/>
          <w:szCs w:val="22"/>
        </w:rPr>
        <w:t>níctve“). Primerane boli použité</w:t>
      </w:r>
      <w:r w:rsidRPr="00C66720">
        <w:rPr>
          <w:rFonts w:ascii="Times New Roman" w:hAnsi="Times New Roman"/>
          <w:szCs w:val="22"/>
        </w:rPr>
        <w:t xml:space="preserve"> aj ustanovenia Opatrenia Ministerstva finan</w:t>
      </w:r>
      <w:r w:rsidR="00F660E0" w:rsidRPr="00C66720">
        <w:rPr>
          <w:rFonts w:ascii="Times New Roman" w:hAnsi="Times New Roman"/>
          <w:szCs w:val="22"/>
        </w:rPr>
        <w:t xml:space="preserve">cií Slovenskej republiky zo dňa </w:t>
      </w:r>
      <w:r w:rsidRPr="00C66720">
        <w:rPr>
          <w:rFonts w:ascii="Times New Roman" w:hAnsi="Times New Roman"/>
          <w:szCs w:val="22"/>
        </w:rPr>
        <w:t>17. decembra 200</w:t>
      </w:r>
      <w:r w:rsidR="00036F71" w:rsidRPr="00C66720">
        <w:rPr>
          <w:rFonts w:ascii="Times New Roman" w:hAnsi="Times New Roman"/>
          <w:szCs w:val="22"/>
        </w:rPr>
        <w:t xml:space="preserve">8 č. MF/27526/2008–31 v znení </w:t>
      </w:r>
      <w:r w:rsidRPr="00C66720">
        <w:rPr>
          <w:rFonts w:ascii="Times New Roman" w:hAnsi="Times New Roman"/>
          <w:szCs w:val="22"/>
        </w:rPr>
        <w:t>neskorších predpisov, ktorým sa ustanovujú podrobnosti o metódach a postupoch konsolidácie vo verejnej správe a podrobno</w:t>
      </w:r>
      <w:r w:rsidR="00F660E0" w:rsidRPr="00C66720">
        <w:rPr>
          <w:rFonts w:ascii="Times New Roman" w:hAnsi="Times New Roman"/>
          <w:szCs w:val="22"/>
        </w:rPr>
        <w:t xml:space="preserve">sti o usporiadaní </w:t>
      </w:r>
      <w:r w:rsidRPr="00C66720">
        <w:rPr>
          <w:rFonts w:ascii="Times New Roman" w:hAnsi="Times New Roman"/>
          <w:szCs w:val="22"/>
        </w:rPr>
        <w:t>a označovaní položiek konsolidovanej účtovnej závierky ústrednej správy (ďalej len ,,opatrenie</w:t>
      </w:r>
      <w:r w:rsidR="008D2E7F" w:rsidRPr="00C66720">
        <w:rPr>
          <w:rFonts w:ascii="Times New Roman" w:hAnsi="Times New Roman"/>
          <w:szCs w:val="22"/>
        </w:rPr>
        <w:t>“</w:t>
      </w:r>
      <w:r w:rsidRPr="00C66720">
        <w:rPr>
          <w:rFonts w:ascii="Times New Roman" w:hAnsi="Times New Roman"/>
          <w:szCs w:val="22"/>
        </w:rPr>
        <w:t>)</w:t>
      </w:r>
      <w:r w:rsidR="00036F71" w:rsidRPr="00C66720">
        <w:rPr>
          <w:rFonts w:ascii="Times New Roman" w:hAnsi="Times New Roman"/>
          <w:szCs w:val="22"/>
        </w:rPr>
        <w:t>,</w:t>
      </w:r>
      <w:r w:rsidR="00B91080" w:rsidRPr="00C66720">
        <w:rPr>
          <w:rFonts w:ascii="Times New Roman" w:hAnsi="Times New Roman"/>
          <w:szCs w:val="22"/>
        </w:rPr>
        <w:t xml:space="preserve"> </w:t>
      </w:r>
      <w:r w:rsidRPr="00C66720">
        <w:rPr>
          <w:rFonts w:ascii="Times New Roman" w:hAnsi="Times New Roman"/>
          <w:szCs w:val="22"/>
        </w:rPr>
        <w:t xml:space="preserve">a to v oblasti použitých metód konsolidácie a postupu konsolidácie. </w:t>
      </w:r>
    </w:p>
    <w:p w14:paraId="0B697A35" w14:textId="7C2672F8" w:rsidR="002D6290" w:rsidRPr="00C66720" w:rsidRDefault="002D6290" w:rsidP="008F097E">
      <w:pPr>
        <w:spacing w:after="120" w:line="240" w:lineRule="auto"/>
        <w:jc w:val="both"/>
        <w:rPr>
          <w:rFonts w:ascii="Times New Roman" w:hAnsi="Times New Roman"/>
          <w:szCs w:val="22"/>
        </w:rPr>
      </w:pPr>
      <w:r w:rsidRPr="00C66720">
        <w:rPr>
          <w:rFonts w:ascii="Times New Roman" w:hAnsi="Times New Roman"/>
          <w:szCs w:val="22"/>
        </w:rPr>
        <w:t>Súhrnná účtovná závierka verejnej správy je sprístupnená k nahliadnutiu v sídle konsolidujúcej účtovnej jednotky, ktorou je Ministerstvo financií S</w:t>
      </w:r>
      <w:r w:rsidR="009C0A7A" w:rsidRPr="00C66720">
        <w:rPr>
          <w:rFonts w:ascii="Times New Roman" w:hAnsi="Times New Roman"/>
          <w:szCs w:val="22"/>
        </w:rPr>
        <w:t>lovenskej republiky</w:t>
      </w:r>
      <w:r w:rsidRPr="00C66720">
        <w:rPr>
          <w:rFonts w:ascii="Times New Roman" w:hAnsi="Times New Roman"/>
          <w:szCs w:val="22"/>
        </w:rPr>
        <w:t>.</w:t>
      </w:r>
      <w:r w:rsidR="0083378A" w:rsidRPr="00C66720">
        <w:rPr>
          <w:rFonts w:ascii="Times New Roman" w:hAnsi="Times New Roman"/>
          <w:szCs w:val="22"/>
        </w:rPr>
        <w:t xml:space="preserve"> V elektronickej podobe je súhrnná účtovná závierka uložená aj v Registri účtovných závierok na web</w:t>
      </w:r>
      <w:r w:rsidR="005469CF" w:rsidRPr="00C66720">
        <w:rPr>
          <w:rFonts w:ascii="Times New Roman" w:hAnsi="Times New Roman"/>
          <w:szCs w:val="22"/>
        </w:rPr>
        <w:t>o</w:t>
      </w:r>
      <w:r w:rsidR="00746081" w:rsidRPr="00C66720">
        <w:rPr>
          <w:rFonts w:ascii="Times New Roman" w:hAnsi="Times New Roman"/>
          <w:szCs w:val="22"/>
        </w:rPr>
        <w:t>vom</w:t>
      </w:r>
      <w:r w:rsidR="0083378A" w:rsidRPr="00C66720">
        <w:rPr>
          <w:rFonts w:ascii="Times New Roman" w:hAnsi="Times New Roman"/>
          <w:szCs w:val="22"/>
        </w:rPr>
        <w:t xml:space="preserve"> </w:t>
      </w:r>
      <w:r w:rsidR="005469CF" w:rsidRPr="00C66720">
        <w:rPr>
          <w:rFonts w:ascii="Times New Roman" w:hAnsi="Times New Roman"/>
          <w:szCs w:val="22"/>
        </w:rPr>
        <w:t>s</w:t>
      </w:r>
      <w:r w:rsidR="00746081" w:rsidRPr="00C66720">
        <w:rPr>
          <w:rFonts w:ascii="Times New Roman" w:hAnsi="Times New Roman"/>
          <w:szCs w:val="22"/>
        </w:rPr>
        <w:t>ídle</w:t>
      </w:r>
      <w:r w:rsidR="0083378A" w:rsidRPr="00C66720">
        <w:rPr>
          <w:rFonts w:ascii="Times New Roman" w:hAnsi="Times New Roman"/>
          <w:szCs w:val="22"/>
        </w:rPr>
        <w:t xml:space="preserve"> </w:t>
      </w:r>
      <w:hyperlink r:id="rId10" w:history="1">
        <w:r w:rsidR="0083378A" w:rsidRPr="00C66720">
          <w:rPr>
            <w:rStyle w:val="Hypertextovprepojenie"/>
            <w:rFonts w:ascii="Times New Roman" w:hAnsi="Times New Roman"/>
            <w:color w:val="auto"/>
            <w:szCs w:val="22"/>
          </w:rPr>
          <w:t>www.registeruz.sk</w:t>
        </w:r>
      </w:hyperlink>
      <w:r w:rsidR="0083378A" w:rsidRPr="00C66720">
        <w:rPr>
          <w:rFonts w:ascii="Times New Roman" w:hAnsi="Times New Roman"/>
          <w:szCs w:val="22"/>
        </w:rPr>
        <w:t>.</w:t>
      </w:r>
    </w:p>
    <w:p w14:paraId="6A1587DB" w14:textId="499AF6D2" w:rsidR="00125A48" w:rsidRPr="00C66720" w:rsidRDefault="00125A48" w:rsidP="008F097E">
      <w:pPr>
        <w:spacing w:after="120" w:line="240" w:lineRule="auto"/>
        <w:jc w:val="both"/>
        <w:rPr>
          <w:rFonts w:ascii="Times New Roman" w:hAnsi="Times New Roman"/>
          <w:szCs w:val="22"/>
        </w:rPr>
      </w:pPr>
      <w:r w:rsidRPr="00C66720">
        <w:rPr>
          <w:rFonts w:ascii="Times New Roman" w:hAnsi="Times New Roman"/>
          <w:szCs w:val="22"/>
        </w:rPr>
        <w:t>Súhrnná účtovná závierka verejnej správy bola spracovaná sčasti automatizovane prostredníctvom informačného systému Centrálny konsolidačný systém (CKS), a sčasti manuálne na základe údajov a podkladov jednotlivých subjektov, ktoré ich predkladajú do IS CKS.</w:t>
      </w:r>
      <w:r w:rsidR="004A5A87" w:rsidRPr="00C66720">
        <w:rPr>
          <w:rFonts w:ascii="Times New Roman" w:hAnsi="Times New Roman"/>
          <w:szCs w:val="22"/>
        </w:rPr>
        <w:t xml:space="preserve"> Zároveň vychádza z auditovaných konsolidovaných účtovných závierok kapitol štátneho rozpočtu a vyšších územných celkov, auditovanej konsolidovanej účtovnej závierky ústrednej správy, auditovaných individuálnych a konsolidovaných účtovných závierok obcí a miest a obchodných spoločností, na ktoré sa povinnosť auditu vzťahuje. Samotná súhrnná účtovná závierka nie je auditovaná štatutárnym audítorom.</w:t>
      </w:r>
    </w:p>
    <w:p w14:paraId="6881FAA0" w14:textId="1DF3E808" w:rsidR="002D6290" w:rsidRPr="00C66720" w:rsidRDefault="00036F71" w:rsidP="00656BB9">
      <w:pPr>
        <w:spacing w:after="0" w:line="240" w:lineRule="auto"/>
        <w:jc w:val="both"/>
        <w:rPr>
          <w:rFonts w:ascii="Times New Roman" w:hAnsi="Times New Roman"/>
          <w:szCs w:val="22"/>
        </w:rPr>
      </w:pPr>
      <w:r w:rsidRPr="00C66720">
        <w:rPr>
          <w:rFonts w:ascii="Times New Roman" w:hAnsi="Times New Roman"/>
          <w:szCs w:val="22"/>
        </w:rPr>
        <w:t>S</w:t>
      </w:r>
      <w:r w:rsidR="002D6290" w:rsidRPr="00C66720">
        <w:rPr>
          <w:rFonts w:ascii="Times New Roman" w:hAnsi="Times New Roman"/>
          <w:szCs w:val="22"/>
        </w:rPr>
        <w:t xml:space="preserve">úhrnná účtovná závierka </w:t>
      </w:r>
      <w:r w:rsidR="002B7690" w:rsidRPr="00C66720">
        <w:rPr>
          <w:rFonts w:ascii="Times New Roman" w:hAnsi="Times New Roman"/>
          <w:szCs w:val="22"/>
        </w:rPr>
        <w:t xml:space="preserve">verejnej správy </w:t>
      </w:r>
      <w:r w:rsidR="00B73911" w:rsidRPr="00C66720">
        <w:rPr>
          <w:rFonts w:ascii="Times New Roman" w:hAnsi="Times New Roman"/>
          <w:szCs w:val="22"/>
        </w:rPr>
        <w:t>za rok 202</w:t>
      </w:r>
      <w:r w:rsidR="00335C7C" w:rsidRPr="00C66720">
        <w:rPr>
          <w:rFonts w:ascii="Times New Roman" w:hAnsi="Times New Roman"/>
          <w:szCs w:val="22"/>
        </w:rPr>
        <w:t>2</w:t>
      </w:r>
      <w:r w:rsidR="008B5FE3" w:rsidRPr="00C66720">
        <w:rPr>
          <w:rFonts w:ascii="Times New Roman" w:hAnsi="Times New Roman"/>
          <w:szCs w:val="22"/>
        </w:rPr>
        <w:t xml:space="preserve"> </w:t>
      </w:r>
      <w:r w:rsidR="002D6290" w:rsidRPr="00C66720">
        <w:rPr>
          <w:rFonts w:ascii="Times New Roman" w:hAnsi="Times New Roman"/>
          <w:szCs w:val="22"/>
        </w:rPr>
        <w:t>bola spracovaná na základe</w:t>
      </w:r>
      <w:r w:rsidR="008D2E7F" w:rsidRPr="00C66720">
        <w:rPr>
          <w:rFonts w:ascii="Times New Roman" w:hAnsi="Times New Roman"/>
          <w:szCs w:val="22"/>
        </w:rPr>
        <w:t xml:space="preserve"> agregácie</w:t>
      </w:r>
      <w:r w:rsidR="00B61AE0" w:rsidRPr="00C66720">
        <w:rPr>
          <w:rFonts w:ascii="Times New Roman" w:hAnsi="Times New Roman"/>
          <w:szCs w:val="22"/>
        </w:rPr>
        <w:t xml:space="preserve"> údajov z</w:t>
      </w:r>
      <w:r w:rsidR="002D6290" w:rsidRPr="00C66720">
        <w:rPr>
          <w:rFonts w:ascii="Times New Roman" w:hAnsi="Times New Roman"/>
          <w:szCs w:val="22"/>
        </w:rPr>
        <w:t>:</w:t>
      </w:r>
    </w:p>
    <w:p w14:paraId="46D017F0" w14:textId="77777777" w:rsidR="007D7761" w:rsidRPr="00C66720" w:rsidRDefault="007D7761" w:rsidP="008F097E">
      <w:pPr>
        <w:numPr>
          <w:ilvl w:val="0"/>
          <w:numId w:val="18"/>
        </w:numPr>
        <w:spacing w:after="0" w:line="240" w:lineRule="auto"/>
        <w:ind w:left="714" w:hanging="357"/>
        <w:jc w:val="both"/>
        <w:rPr>
          <w:rFonts w:ascii="Times New Roman" w:hAnsi="Times New Roman"/>
          <w:szCs w:val="22"/>
        </w:rPr>
      </w:pPr>
      <w:r w:rsidRPr="00C66720">
        <w:rPr>
          <w:rFonts w:ascii="Times New Roman" w:hAnsi="Times New Roman"/>
          <w:szCs w:val="22"/>
        </w:rPr>
        <w:t>konsolidovanej účtovnej závierky ústrednej správy,</w:t>
      </w:r>
    </w:p>
    <w:p w14:paraId="38332DD3" w14:textId="6109F6E8" w:rsidR="007D7761" w:rsidRPr="00C66720" w:rsidRDefault="007D7761" w:rsidP="008F097E">
      <w:pPr>
        <w:numPr>
          <w:ilvl w:val="0"/>
          <w:numId w:val="18"/>
        </w:numPr>
        <w:spacing w:after="0" w:line="240" w:lineRule="auto"/>
        <w:ind w:left="714" w:hanging="357"/>
        <w:jc w:val="both"/>
        <w:rPr>
          <w:rFonts w:ascii="Times New Roman" w:hAnsi="Times New Roman"/>
          <w:szCs w:val="22"/>
        </w:rPr>
      </w:pPr>
      <w:r w:rsidRPr="00C66720">
        <w:rPr>
          <w:rFonts w:ascii="Times New Roman" w:hAnsi="Times New Roman"/>
          <w:szCs w:val="22"/>
        </w:rPr>
        <w:t xml:space="preserve">konsolidovaných účtovných závierok obcí (1 </w:t>
      </w:r>
      <w:r w:rsidR="00915974" w:rsidRPr="00C66720">
        <w:rPr>
          <w:rFonts w:ascii="Times New Roman" w:hAnsi="Times New Roman"/>
          <w:szCs w:val="22"/>
        </w:rPr>
        <w:t>13</w:t>
      </w:r>
      <w:r w:rsidR="00B4774A" w:rsidRPr="00C66720">
        <w:rPr>
          <w:rFonts w:ascii="Times New Roman" w:hAnsi="Times New Roman"/>
          <w:szCs w:val="22"/>
        </w:rPr>
        <w:t>2</w:t>
      </w:r>
      <w:r w:rsidRPr="00C66720">
        <w:rPr>
          <w:rFonts w:ascii="Times New Roman" w:hAnsi="Times New Roman"/>
          <w:szCs w:val="22"/>
        </w:rPr>
        <w:t>),</w:t>
      </w:r>
    </w:p>
    <w:p w14:paraId="1E71D71D" w14:textId="77777777" w:rsidR="007D7761" w:rsidRPr="00C66720" w:rsidRDefault="007D7761" w:rsidP="008F097E">
      <w:pPr>
        <w:numPr>
          <w:ilvl w:val="0"/>
          <w:numId w:val="18"/>
        </w:numPr>
        <w:spacing w:after="0" w:line="240" w:lineRule="auto"/>
        <w:ind w:left="714" w:hanging="357"/>
        <w:jc w:val="both"/>
        <w:rPr>
          <w:rFonts w:ascii="Times New Roman" w:hAnsi="Times New Roman"/>
          <w:szCs w:val="22"/>
        </w:rPr>
      </w:pPr>
      <w:r w:rsidRPr="00C66720">
        <w:rPr>
          <w:rFonts w:ascii="Times New Roman" w:hAnsi="Times New Roman"/>
          <w:szCs w:val="22"/>
        </w:rPr>
        <w:t>konsolidovaných účtovných závierok vyšších územných celkov (8),</w:t>
      </w:r>
    </w:p>
    <w:p w14:paraId="105636C0" w14:textId="57970EEA" w:rsidR="007D7761" w:rsidRPr="00C66720" w:rsidRDefault="007D7761" w:rsidP="008F097E">
      <w:pPr>
        <w:numPr>
          <w:ilvl w:val="0"/>
          <w:numId w:val="18"/>
        </w:numPr>
        <w:spacing w:after="0" w:line="240" w:lineRule="auto"/>
        <w:ind w:left="714" w:hanging="357"/>
        <w:jc w:val="both"/>
        <w:rPr>
          <w:rFonts w:ascii="Times New Roman" w:hAnsi="Times New Roman"/>
          <w:szCs w:val="22"/>
        </w:rPr>
      </w:pPr>
      <w:r w:rsidRPr="00C66720">
        <w:rPr>
          <w:rFonts w:ascii="Times New Roman" w:hAnsi="Times New Roman"/>
          <w:szCs w:val="22"/>
        </w:rPr>
        <w:t>individuálnych účtovných závierok obcí (1 </w:t>
      </w:r>
      <w:r w:rsidR="00BB43C1" w:rsidRPr="00C66720">
        <w:rPr>
          <w:rFonts w:ascii="Times New Roman" w:hAnsi="Times New Roman"/>
          <w:szCs w:val="22"/>
        </w:rPr>
        <w:t>7</w:t>
      </w:r>
      <w:r w:rsidR="00FB3A37" w:rsidRPr="00C66720">
        <w:rPr>
          <w:rFonts w:ascii="Times New Roman" w:hAnsi="Times New Roman"/>
          <w:szCs w:val="22"/>
        </w:rPr>
        <w:t>81</w:t>
      </w:r>
      <w:r w:rsidRPr="00C66720">
        <w:rPr>
          <w:rFonts w:ascii="Times New Roman" w:hAnsi="Times New Roman"/>
          <w:szCs w:val="22"/>
        </w:rPr>
        <w:t>), ktoré nemali povinnosť zostaviť konsolidovanú účtovnú závierku alebo do dňa zostavenia súhrnnej účtovnej závierku ju nezostavili,</w:t>
      </w:r>
    </w:p>
    <w:p w14:paraId="567F149A" w14:textId="69A99C49" w:rsidR="007D7761" w:rsidRPr="00C66720" w:rsidRDefault="007D7761" w:rsidP="008F097E">
      <w:pPr>
        <w:numPr>
          <w:ilvl w:val="0"/>
          <w:numId w:val="18"/>
        </w:numPr>
        <w:spacing w:after="0" w:line="240" w:lineRule="auto"/>
        <w:ind w:left="714" w:hanging="357"/>
        <w:jc w:val="both"/>
        <w:rPr>
          <w:rFonts w:ascii="Times New Roman" w:hAnsi="Times New Roman"/>
          <w:szCs w:val="22"/>
        </w:rPr>
      </w:pPr>
      <w:r w:rsidRPr="00C66720">
        <w:rPr>
          <w:rFonts w:ascii="Times New Roman" w:hAnsi="Times New Roman"/>
          <w:szCs w:val="22"/>
        </w:rPr>
        <w:t>individuálnych účtovných závierok ostatných subjektov verejnej správy založených podľa osobitných predpisov</w:t>
      </w:r>
      <w:r w:rsidRPr="00C66720">
        <w:rPr>
          <w:rFonts w:ascii="Times New Roman" w:hAnsi="Times New Roman"/>
          <w:szCs w:val="22"/>
          <w:vertAlign w:val="superscript"/>
        </w:rPr>
        <w:footnoteReference w:id="1"/>
      </w:r>
      <w:r w:rsidR="00573B6D" w:rsidRPr="00C66720">
        <w:rPr>
          <w:rFonts w:ascii="Times New Roman" w:hAnsi="Times New Roman"/>
          <w:szCs w:val="22"/>
        </w:rPr>
        <w:t xml:space="preserve"> (50</w:t>
      </w:r>
      <w:r w:rsidRPr="00C66720">
        <w:rPr>
          <w:rFonts w:ascii="Times New Roman" w:hAnsi="Times New Roman"/>
          <w:szCs w:val="22"/>
        </w:rPr>
        <w:t>).</w:t>
      </w:r>
    </w:p>
    <w:p w14:paraId="64464244" w14:textId="760055A6" w:rsidR="007D7761" w:rsidRPr="00C66720" w:rsidRDefault="007D7761" w:rsidP="008F097E">
      <w:pPr>
        <w:numPr>
          <w:ilvl w:val="0"/>
          <w:numId w:val="18"/>
        </w:numPr>
        <w:spacing w:after="0" w:line="240" w:lineRule="auto"/>
        <w:ind w:left="714" w:hanging="357"/>
        <w:jc w:val="both"/>
        <w:rPr>
          <w:rFonts w:ascii="Times New Roman" w:hAnsi="Times New Roman"/>
          <w:szCs w:val="22"/>
        </w:rPr>
      </w:pPr>
      <w:r w:rsidRPr="00C66720">
        <w:rPr>
          <w:rFonts w:ascii="Times New Roman" w:hAnsi="Times New Roman"/>
          <w:szCs w:val="22"/>
        </w:rPr>
        <w:t>individuálnych účtovných závierok neziskových organizácií štátu, neziskových organizácií a záujmových združení miestnej samosprávy nezahrnutých do konsolidovaných závierok iných subjektov verejnej správy (</w:t>
      </w:r>
      <w:r w:rsidR="00B36726" w:rsidRPr="00C66720">
        <w:rPr>
          <w:rFonts w:ascii="Times New Roman" w:hAnsi="Times New Roman"/>
          <w:szCs w:val="22"/>
        </w:rPr>
        <w:t>398</w:t>
      </w:r>
      <w:r w:rsidRPr="00C66720">
        <w:rPr>
          <w:rFonts w:ascii="Times New Roman" w:hAnsi="Times New Roman"/>
          <w:szCs w:val="22"/>
        </w:rPr>
        <w:t>).</w:t>
      </w:r>
    </w:p>
    <w:p w14:paraId="7669213D" w14:textId="77777777" w:rsidR="007D7761" w:rsidRPr="00C66720" w:rsidRDefault="007D7761" w:rsidP="008F097E">
      <w:pPr>
        <w:spacing w:before="120" w:after="120" w:line="240" w:lineRule="auto"/>
        <w:jc w:val="both"/>
        <w:rPr>
          <w:rFonts w:ascii="Times New Roman" w:hAnsi="Times New Roman"/>
          <w:szCs w:val="22"/>
        </w:rPr>
      </w:pPr>
      <w:r w:rsidRPr="00C66720">
        <w:rPr>
          <w:rFonts w:ascii="Times New Roman" w:hAnsi="Times New Roman"/>
          <w:szCs w:val="22"/>
        </w:rPr>
        <w:t>V nasledujúcom texte poznámok sa pre účely opisu významných položiek aktív, pasív, nákladov a výnosov zoskupujú organizácie súhrnného celku do skupín: ústredná správa, územná samospráva a ostatné subjekty, pričom:</w:t>
      </w:r>
    </w:p>
    <w:p w14:paraId="3A2D08A3" w14:textId="6585636B" w:rsidR="007D7761" w:rsidRPr="00C66720" w:rsidRDefault="007D7761" w:rsidP="008F097E">
      <w:pPr>
        <w:spacing w:before="120" w:after="120" w:line="240" w:lineRule="auto"/>
        <w:jc w:val="both"/>
        <w:rPr>
          <w:rFonts w:ascii="Times New Roman" w:hAnsi="Times New Roman"/>
          <w:szCs w:val="22"/>
        </w:rPr>
      </w:pPr>
      <w:r w:rsidRPr="00C66720">
        <w:rPr>
          <w:rFonts w:ascii="Times New Roman" w:hAnsi="Times New Roman"/>
          <w:szCs w:val="22"/>
          <w:u w:val="single"/>
        </w:rPr>
        <w:t>Ústrednou správou</w:t>
      </w:r>
      <w:r w:rsidRPr="00C66720">
        <w:rPr>
          <w:rFonts w:ascii="Times New Roman" w:hAnsi="Times New Roman"/>
          <w:szCs w:val="22"/>
        </w:rPr>
        <w:t xml:space="preserve"> sa rozumejú štátne rozpočtové organizácie, štátne príspevkové organizácie</w:t>
      </w:r>
      <w:r w:rsidR="00C446A2" w:rsidRPr="00C66720">
        <w:rPr>
          <w:rFonts w:ascii="Times New Roman" w:hAnsi="Times New Roman"/>
          <w:szCs w:val="22"/>
        </w:rPr>
        <w:t>, verejné výskumné inštitúcie</w:t>
      </w:r>
      <w:r w:rsidRPr="00C66720">
        <w:rPr>
          <w:rFonts w:ascii="Times New Roman" w:hAnsi="Times New Roman"/>
          <w:szCs w:val="22"/>
        </w:rPr>
        <w:t xml:space="preserve"> a obchodné spoločnosti, v ktorých majú ústredné orgány štátnej správy majetkové podiely, a ktoré sú súčasťou konsolidovanej účtovnej závierky ústrednej správy. </w:t>
      </w:r>
    </w:p>
    <w:p w14:paraId="6CB12935" w14:textId="0DFF97CC" w:rsidR="007D7761" w:rsidRPr="00C66720" w:rsidRDefault="007D7761" w:rsidP="008F097E">
      <w:pPr>
        <w:spacing w:after="120" w:line="240" w:lineRule="auto"/>
        <w:jc w:val="both"/>
        <w:rPr>
          <w:rFonts w:ascii="Times New Roman" w:hAnsi="Times New Roman"/>
          <w:szCs w:val="22"/>
        </w:rPr>
      </w:pPr>
      <w:r w:rsidRPr="00C66720">
        <w:rPr>
          <w:rFonts w:ascii="Times New Roman" w:hAnsi="Times New Roman"/>
          <w:szCs w:val="22"/>
          <w:u w:val="single"/>
        </w:rPr>
        <w:t>Subjektmi územnej samosprávy</w:t>
      </w:r>
      <w:r w:rsidRPr="00C66720">
        <w:rPr>
          <w:rFonts w:ascii="Times New Roman" w:hAnsi="Times New Roman"/>
          <w:szCs w:val="22"/>
        </w:rPr>
        <w:t xml:space="preserve"> sa rozumejú obce, vyššie územné celky, rozpočtové a príspevkové organizácie obcí a vyšších územných celkov, obchodné spoločnosti obcí a vyšších územných celkov, v ktorých majú obce alebo vyššie územné celky majetkové podiely, a ktoré sú súčasťou konsolidovaných účtovných závierok obcí a vyšších územných celkov. Za rok 202</w:t>
      </w:r>
      <w:r w:rsidR="00DC2809" w:rsidRPr="00C66720">
        <w:rPr>
          <w:rFonts w:ascii="Times New Roman" w:hAnsi="Times New Roman"/>
          <w:szCs w:val="22"/>
        </w:rPr>
        <w:t>2</w:t>
      </w:r>
      <w:r w:rsidRPr="00C66720">
        <w:rPr>
          <w:rFonts w:ascii="Times New Roman" w:hAnsi="Times New Roman"/>
          <w:szCs w:val="22"/>
        </w:rPr>
        <w:t xml:space="preserve"> z celkového počtu obcí a miest </w:t>
      </w:r>
      <w:r w:rsidR="002C2B66" w:rsidRPr="00C66720">
        <w:rPr>
          <w:rFonts w:ascii="Times New Roman" w:hAnsi="Times New Roman"/>
          <w:szCs w:val="22"/>
        </w:rPr>
        <w:t xml:space="preserve">(2 926) </w:t>
      </w:r>
      <w:r w:rsidRPr="00C66720">
        <w:rPr>
          <w:rFonts w:ascii="Times New Roman" w:hAnsi="Times New Roman"/>
          <w:szCs w:val="22"/>
        </w:rPr>
        <w:t>vrátane mestských častí Bratislavy a Košíc, nezostavovalo KUZ 1 </w:t>
      </w:r>
      <w:r w:rsidR="00F72ADA" w:rsidRPr="00C66720">
        <w:rPr>
          <w:rFonts w:ascii="Times New Roman" w:hAnsi="Times New Roman"/>
          <w:szCs w:val="22"/>
        </w:rPr>
        <w:t>7</w:t>
      </w:r>
      <w:r w:rsidR="007F67DE" w:rsidRPr="00C66720">
        <w:rPr>
          <w:rFonts w:ascii="Times New Roman" w:hAnsi="Times New Roman"/>
          <w:szCs w:val="22"/>
        </w:rPr>
        <w:t>59</w:t>
      </w:r>
      <w:r w:rsidRPr="00C66720">
        <w:rPr>
          <w:rFonts w:ascii="Times New Roman" w:hAnsi="Times New Roman"/>
          <w:szCs w:val="22"/>
        </w:rPr>
        <w:t xml:space="preserve"> z nich.</w:t>
      </w:r>
    </w:p>
    <w:p w14:paraId="6386C7D8" w14:textId="4B2D85F9" w:rsidR="007D7761" w:rsidRPr="00C66720" w:rsidRDefault="007D7761" w:rsidP="008F097E">
      <w:pPr>
        <w:spacing w:after="120" w:line="240" w:lineRule="auto"/>
        <w:jc w:val="both"/>
        <w:rPr>
          <w:rFonts w:ascii="Times New Roman" w:hAnsi="Times New Roman"/>
          <w:szCs w:val="22"/>
          <w:lang w:eastAsia="sk-SK"/>
        </w:rPr>
      </w:pPr>
      <w:r w:rsidRPr="00C66720">
        <w:rPr>
          <w:rFonts w:ascii="Times New Roman" w:hAnsi="Times New Roman"/>
          <w:szCs w:val="22"/>
          <w:u w:val="single"/>
        </w:rPr>
        <w:t>Ostatnými subjektmi</w:t>
      </w:r>
      <w:r w:rsidRPr="00C66720">
        <w:rPr>
          <w:rFonts w:ascii="Times New Roman" w:hAnsi="Times New Roman"/>
          <w:szCs w:val="22"/>
        </w:rPr>
        <w:t xml:space="preserve"> sa rozumejú subjekty založené osobitným zákonom a neziskové organizácie územnej samosprávy</w:t>
      </w:r>
      <w:r w:rsidRPr="00C66720">
        <w:rPr>
          <w:rFonts w:ascii="Times New Roman" w:hAnsi="Times New Roman"/>
          <w:szCs w:val="22"/>
          <w:lang w:eastAsia="sk-SK"/>
        </w:rPr>
        <w:t xml:space="preserve"> vedené v registri organizácií </w:t>
      </w:r>
      <w:r w:rsidR="00125A48" w:rsidRPr="00C66720">
        <w:rPr>
          <w:rFonts w:ascii="Times New Roman" w:hAnsi="Times New Roman"/>
          <w:szCs w:val="22"/>
          <w:lang w:eastAsia="sk-SK"/>
        </w:rPr>
        <w:t xml:space="preserve">Štatistického úradu SR </w:t>
      </w:r>
      <w:r w:rsidRPr="00C66720">
        <w:rPr>
          <w:rFonts w:ascii="Times New Roman" w:hAnsi="Times New Roman"/>
          <w:szCs w:val="22"/>
          <w:lang w:eastAsia="sk-SK"/>
        </w:rPr>
        <w:t>ako subjekty verejnej správy</w:t>
      </w:r>
      <w:r w:rsidRPr="00C66720">
        <w:rPr>
          <w:rFonts w:ascii="Times New Roman" w:hAnsi="Times New Roman"/>
          <w:szCs w:val="22"/>
        </w:rPr>
        <w:t xml:space="preserve">. Ide napríklad o verejné vysoké školy (20), Sociálnu poisťovňu, Slovenský pozemkový fond, </w:t>
      </w:r>
      <w:r w:rsidRPr="00C66720">
        <w:rPr>
          <w:rFonts w:ascii="Times New Roman" w:hAnsi="Times New Roman"/>
          <w:szCs w:val="22"/>
          <w:lang w:eastAsia="sk-SK"/>
        </w:rPr>
        <w:t xml:space="preserve">Audiovizuálny fond, Radu pre vysielanie a retransmisiu, Rozhlas a televíziu Slovenska, Slovenské </w:t>
      </w:r>
      <w:r w:rsidRPr="00C66720">
        <w:rPr>
          <w:rFonts w:ascii="Times New Roman" w:hAnsi="Times New Roman"/>
          <w:szCs w:val="22"/>
          <w:lang w:eastAsia="sk-SK"/>
        </w:rPr>
        <w:lastRenderedPageBreak/>
        <w:t>národné stredisko pre ľudské práva, Tlačovú agentúru Slovenskej republiky, Úrad pre dohľad nad výkonom auditu, Úrad pre dohľad nad zdravotnou starostlivosťou, Ústav pamäti národa a ďalšie. Podrobný prehľad týchto subjektov je uvedený v prílohe č. 1. súhrnnej účtovnej závierky.</w:t>
      </w:r>
    </w:p>
    <w:p w14:paraId="003F44A2" w14:textId="4DB8D42A" w:rsidR="00EA1EDA" w:rsidRPr="00C66720" w:rsidRDefault="007D7761" w:rsidP="008F097E">
      <w:pPr>
        <w:spacing w:after="120" w:line="240" w:lineRule="auto"/>
        <w:jc w:val="both"/>
        <w:rPr>
          <w:rFonts w:ascii="Times New Roman" w:hAnsi="Times New Roman"/>
          <w:szCs w:val="22"/>
          <w:lang w:eastAsia="sk-SK"/>
        </w:rPr>
      </w:pPr>
      <w:r w:rsidRPr="00C66720">
        <w:rPr>
          <w:rFonts w:ascii="Times New Roman" w:hAnsi="Times New Roman"/>
          <w:szCs w:val="22"/>
          <w:lang w:eastAsia="sk-SK"/>
        </w:rPr>
        <w:t>Koncept ,,súhrnného celku“ je odlišný od definície verejnej správy podľa zákona č. 523/2004 Z. z. o rozpočtových pravidlách verejnej správy a o zmene a doplnení niektorých zákonov. Verejná správa tvorí najpodstatnejšiu časť súhrnného celku, avšak do súhrnného celku vstupujú aj iné subjekty, ktoré nie sú štatisticky zaradené do verejnej správy podľa metodiky ESA 2010. Zoskupenie do vyššie uvedených skupín je vytvorené na základe §22a zákona o účtovníctve</w:t>
      </w:r>
      <w:r w:rsidR="00D87093" w:rsidRPr="00C66720">
        <w:rPr>
          <w:rFonts w:ascii="Times New Roman" w:hAnsi="Times New Roman"/>
          <w:szCs w:val="22"/>
          <w:lang w:eastAsia="sk-SK"/>
        </w:rPr>
        <w:t>.</w:t>
      </w:r>
    </w:p>
    <w:p w14:paraId="426C0C68" w14:textId="77777777" w:rsidR="007D7761" w:rsidRPr="00C66720" w:rsidRDefault="007D7761" w:rsidP="008F097E">
      <w:pPr>
        <w:tabs>
          <w:tab w:val="left" w:pos="3270"/>
        </w:tabs>
        <w:spacing w:before="200" w:line="240" w:lineRule="auto"/>
        <w:jc w:val="both"/>
        <w:rPr>
          <w:rFonts w:ascii="Times New Roman" w:hAnsi="Times New Roman"/>
          <w:sz w:val="24"/>
          <w:szCs w:val="24"/>
        </w:rPr>
      </w:pPr>
      <w:r w:rsidRPr="00C66720">
        <w:rPr>
          <w:rFonts w:ascii="Times New Roman" w:hAnsi="Times New Roman"/>
          <w:b/>
          <w:sz w:val="24"/>
          <w:szCs w:val="24"/>
        </w:rPr>
        <w:t xml:space="preserve">2. Informácie o súhrnnom celku verejnej správy </w:t>
      </w:r>
    </w:p>
    <w:p w14:paraId="08EE08CD" w14:textId="1ADB7276" w:rsidR="00366422" w:rsidRPr="00C66720" w:rsidRDefault="00D4037E" w:rsidP="008F097E">
      <w:pPr>
        <w:tabs>
          <w:tab w:val="left" w:pos="3270"/>
        </w:tabs>
        <w:spacing w:after="120" w:line="240" w:lineRule="auto"/>
        <w:jc w:val="both"/>
        <w:rPr>
          <w:rFonts w:ascii="Times New Roman" w:hAnsi="Times New Roman"/>
          <w:szCs w:val="22"/>
        </w:rPr>
      </w:pPr>
      <w:r w:rsidRPr="00C66720">
        <w:rPr>
          <w:rFonts w:ascii="Times New Roman" w:hAnsi="Times New Roman"/>
          <w:szCs w:val="22"/>
        </w:rPr>
        <w:t>Do sú</w:t>
      </w:r>
      <w:r w:rsidR="00682655" w:rsidRPr="00C66720">
        <w:rPr>
          <w:rFonts w:ascii="Times New Roman" w:hAnsi="Times New Roman"/>
          <w:szCs w:val="22"/>
        </w:rPr>
        <w:t>hrnného celku za rok 2022</w:t>
      </w:r>
      <w:r w:rsidR="007D7761" w:rsidRPr="00C66720">
        <w:rPr>
          <w:rFonts w:ascii="Times New Roman" w:hAnsi="Times New Roman"/>
          <w:szCs w:val="22"/>
        </w:rPr>
        <w:t xml:space="preserve"> boli zaradené účtovné jednotky v súlade s §22a zákona o účtovníctve. Súhrnný celok verejnej správy za rok 202</w:t>
      </w:r>
      <w:r w:rsidR="00682655" w:rsidRPr="00C66720">
        <w:rPr>
          <w:rFonts w:ascii="Times New Roman" w:hAnsi="Times New Roman"/>
          <w:szCs w:val="22"/>
        </w:rPr>
        <w:t>2</w:t>
      </w:r>
      <w:r w:rsidR="007D7761" w:rsidRPr="00C66720">
        <w:rPr>
          <w:rFonts w:ascii="Times New Roman" w:hAnsi="Times New Roman"/>
          <w:szCs w:val="22"/>
        </w:rPr>
        <w:t xml:space="preserve"> tvorilo spolu 8 </w:t>
      </w:r>
      <w:r w:rsidR="006E6640" w:rsidRPr="00C66720">
        <w:rPr>
          <w:rFonts w:ascii="Times New Roman" w:hAnsi="Times New Roman"/>
          <w:szCs w:val="22"/>
        </w:rPr>
        <w:t>397</w:t>
      </w:r>
      <w:r w:rsidR="007D7761" w:rsidRPr="00C66720">
        <w:rPr>
          <w:rFonts w:ascii="Times New Roman" w:hAnsi="Times New Roman"/>
          <w:szCs w:val="22"/>
        </w:rPr>
        <w:t xml:space="preserve"> účtovných jednotiek. Spôsob zahrnutia jednotiek do súhrnného celku je na základe</w:t>
      </w:r>
      <w:r w:rsidR="00366422" w:rsidRPr="00C66720">
        <w:rPr>
          <w:rFonts w:ascii="Times New Roman" w:hAnsi="Times New Roman"/>
          <w:szCs w:val="22"/>
        </w:rPr>
        <w:t>:</w:t>
      </w:r>
    </w:p>
    <w:p w14:paraId="237322D0" w14:textId="78266DD4" w:rsidR="00366422" w:rsidRPr="00C66720" w:rsidRDefault="007D7761" w:rsidP="00E33EDD">
      <w:pPr>
        <w:pStyle w:val="Odsekzoznamu"/>
        <w:numPr>
          <w:ilvl w:val="0"/>
          <w:numId w:val="47"/>
        </w:numPr>
        <w:tabs>
          <w:tab w:val="left" w:pos="3270"/>
        </w:tabs>
        <w:spacing w:after="120" w:line="240" w:lineRule="auto"/>
        <w:jc w:val="both"/>
        <w:rPr>
          <w:rFonts w:ascii="Times New Roman" w:hAnsi="Times New Roman"/>
          <w:szCs w:val="22"/>
        </w:rPr>
      </w:pPr>
      <w:r w:rsidRPr="00C66720">
        <w:rPr>
          <w:rFonts w:ascii="Times New Roman" w:hAnsi="Times New Roman"/>
          <w:szCs w:val="22"/>
        </w:rPr>
        <w:t>princípu kontroly – rozpočtové organizácie, príspevkové organizácie, obchodné spoločnosti, štátne podniky a štátne fondy a</w:t>
      </w:r>
    </w:p>
    <w:p w14:paraId="4624BFA2" w14:textId="75504D48" w:rsidR="007D7761" w:rsidRPr="00C66720" w:rsidRDefault="007D7761" w:rsidP="00E33EDD">
      <w:pPr>
        <w:pStyle w:val="Odsekzoznamu"/>
        <w:numPr>
          <w:ilvl w:val="0"/>
          <w:numId w:val="47"/>
        </w:numPr>
        <w:tabs>
          <w:tab w:val="left" w:pos="3270"/>
        </w:tabs>
        <w:spacing w:after="120" w:line="240" w:lineRule="auto"/>
        <w:jc w:val="both"/>
        <w:rPr>
          <w:rFonts w:ascii="Times New Roman" w:hAnsi="Times New Roman"/>
          <w:szCs w:val="22"/>
        </w:rPr>
      </w:pPr>
      <w:r w:rsidRPr="00C66720">
        <w:rPr>
          <w:rFonts w:ascii="Times New Roman" w:hAnsi="Times New Roman"/>
          <w:szCs w:val="22"/>
        </w:rPr>
        <w:t xml:space="preserve">b) zaradenia subjektov do sektora verejnej správy – napr. verejné vysoké školy, </w:t>
      </w:r>
      <w:r w:rsidR="005D488F" w:rsidRPr="00C66720">
        <w:rPr>
          <w:rFonts w:ascii="Times New Roman" w:hAnsi="Times New Roman"/>
          <w:szCs w:val="22"/>
        </w:rPr>
        <w:t xml:space="preserve">verejné výskumné inštitúcie, </w:t>
      </w:r>
      <w:r w:rsidRPr="00C66720">
        <w:rPr>
          <w:rFonts w:ascii="Times New Roman" w:hAnsi="Times New Roman"/>
          <w:szCs w:val="22"/>
        </w:rPr>
        <w:t>obce, vyššie územné celky, neziskové organizácie a ďalšie.</w:t>
      </w:r>
    </w:p>
    <w:p w14:paraId="0AD87921" w14:textId="64C03F28" w:rsidR="007D7761" w:rsidRPr="00C66720" w:rsidRDefault="007D7761" w:rsidP="008F097E">
      <w:pPr>
        <w:tabs>
          <w:tab w:val="left" w:pos="3270"/>
        </w:tabs>
        <w:spacing w:after="120" w:line="240" w:lineRule="auto"/>
        <w:jc w:val="both"/>
        <w:rPr>
          <w:rFonts w:ascii="Times New Roman" w:hAnsi="Times New Roman"/>
          <w:szCs w:val="22"/>
        </w:rPr>
      </w:pPr>
      <w:r w:rsidRPr="00C66720">
        <w:rPr>
          <w:rFonts w:ascii="Times New Roman" w:hAnsi="Times New Roman"/>
          <w:szCs w:val="22"/>
        </w:rPr>
        <w:t>Ministerstvo financií SR ako zostavovateľ súhrnnej účtovnej závierky nevykonáva reálne kontrolu nad všetkými účtovnými jednotkami súhrnného celku, z tohto dôvodu je rozhodujúce pre ich zahrnutie do súhrnného celku zaradenie do sektora verejnej správy (§ 22a ods. 3 zákona o účtovníctve).</w:t>
      </w:r>
      <w:r w:rsidR="00366422" w:rsidRPr="00C66720">
        <w:rPr>
          <w:rFonts w:ascii="Times New Roman" w:hAnsi="Times New Roman"/>
          <w:szCs w:val="22"/>
        </w:rPr>
        <w:t xml:space="preserve"> Ministerstvo financií SR však pre účely spracovania SUZ predstavuje materskú účtovnú jednotku a súhrnný celok je fiktívne jednou ekonomickou entitou.</w:t>
      </w:r>
    </w:p>
    <w:p w14:paraId="2690F56A" w14:textId="1E22C7EB" w:rsidR="007D7761" w:rsidRPr="00C66720" w:rsidRDefault="00366422" w:rsidP="008F097E">
      <w:pPr>
        <w:tabs>
          <w:tab w:val="left" w:pos="3270"/>
        </w:tabs>
        <w:spacing w:after="120" w:line="240" w:lineRule="auto"/>
        <w:jc w:val="both"/>
        <w:rPr>
          <w:rFonts w:ascii="Times New Roman" w:hAnsi="Times New Roman"/>
          <w:szCs w:val="22"/>
        </w:rPr>
      </w:pPr>
      <w:r w:rsidRPr="00C66720">
        <w:rPr>
          <w:rFonts w:ascii="Times New Roman" w:hAnsi="Times New Roman"/>
          <w:szCs w:val="22"/>
          <w:u w:val="single"/>
        </w:rPr>
        <w:t>S</w:t>
      </w:r>
      <w:r w:rsidR="007D7761" w:rsidRPr="00C66720">
        <w:rPr>
          <w:rFonts w:ascii="Times New Roman" w:hAnsi="Times New Roman"/>
          <w:szCs w:val="22"/>
          <w:u w:val="single"/>
        </w:rPr>
        <w:t>úhrnný celok nie je totožný so sektorom verejnej správy (v metodike ESA</w:t>
      </w:r>
      <w:r w:rsidRPr="00C66720">
        <w:rPr>
          <w:rFonts w:ascii="Times New Roman" w:hAnsi="Times New Roman"/>
          <w:szCs w:val="22"/>
          <w:u w:val="single"/>
        </w:rPr>
        <w:t xml:space="preserve"> </w:t>
      </w:r>
      <w:r w:rsidR="007D7761" w:rsidRPr="00C66720">
        <w:rPr>
          <w:rFonts w:ascii="Times New Roman" w:hAnsi="Times New Roman"/>
          <w:szCs w:val="22"/>
          <w:u w:val="single"/>
        </w:rPr>
        <w:t>2010 označovaný pod kódom S.13), nakoľko zahŕňa aj tie jednotky, ktoré nie sú štatisticky zaradené do verejnej správy.</w:t>
      </w:r>
      <w:r w:rsidR="007D7761" w:rsidRPr="00C66720">
        <w:rPr>
          <w:rFonts w:ascii="Times New Roman" w:hAnsi="Times New Roman"/>
          <w:szCs w:val="22"/>
        </w:rPr>
        <w:t xml:space="preserve"> Do súhrnného celku naopak nie sú zahrnuté jednotky v likvidácii alebo v konkurze</w:t>
      </w:r>
      <w:r w:rsidR="007D7761" w:rsidRPr="00C66720">
        <w:rPr>
          <w:rFonts w:ascii="Times New Roman" w:hAnsi="Times New Roman"/>
          <w:szCs w:val="22"/>
        </w:rPr>
        <w:br/>
        <w:t xml:space="preserve">a organizácie, ktoré ukončili svoju činnosť v priebehu roka </w:t>
      </w:r>
      <w:r w:rsidR="006F06DF" w:rsidRPr="00C66720">
        <w:rPr>
          <w:rFonts w:ascii="Times New Roman" w:hAnsi="Times New Roman"/>
          <w:szCs w:val="22"/>
        </w:rPr>
        <w:t>2021 resp. k 1.1.2022</w:t>
      </w:r>
      <w:r w:rsidR="007D7761" w:rsidRPr="00C66720">
        <w:rPr>
          <w:rFonts w:ascii="Times New Roman" w:hAnsi="Times New Roman"/>
          <w:szCs w:val="22"/>
        </w:rPr>
        <w:t>.</w:t>
      </w:r>
    </w:p>
    <w:p w14:paraId="1E2BAE9E" w14:textId="77777777" w:rsidR="00C0096F" w:rsidRPr="00C66720" w:rsidRDefault="0006709C" w:rsidP="00D727C0">
      <w:pPr>
        <w:tabs>
          <w:tab w:val="left" w:pos="3270"/>
        </w:tabs>
        <w:spacing w:after="120" w:line="240" w:lineRule="auto"/>
        <w:jc w:val="both"/>
        <w:rPr>
          <w:rFonts w:ascii="Times New Roman" w:hAnsi="Times New Roman"/>
          <w:szCs w:val="22"/>
        </w:rPr>
      </w:pPr>
      <w:r w:rsidRPr="00C66720">
        <w:rPr>
          <w:rFonts w:ascii="Times New Roman" w:hAnsi="Times New Roman"/>
          <w:b/>
          <w:szCs w:val="22"/>
        </w:rPr>
        <w:t>V porovnaní s rokom 2021</w:t>
      </w:r>
      <w:r w:rsidR="007D7761" w:rsidRPr="00C66720">
        <w:rPr>
          <w:rFonts w:ascii="Times New Roman" w:hAnsi="Times New Roman"/>
          <w:b/>
          <w:szCs w:val="22"/>
        </w:rPr>
        <w:t xml:space="preserve"> je počet organizácií v súhrnnom celku v absolútnom vyjadrení vyšší o</w:t>
      </w:r>
      <w:r w:rsidR="00D61066" w:rsidRPr="00C66720">
        <w:rPr>
          <w:rFonts w:ascii="Times New Roman" w:hAnsi="Times New Roman"/>
          <w:b/>
          <w:szCs w:val="22"/>
        </w:rPr>
        <w:t> 41</w:t>
      </w:r>
      <w:r w:rsidR="00D61066" w:rsidRPr="00C66720">
        <w:rPr>
          <w:rFonts w:ascii="Times New Roman" w:hAnsi="Times New Roman"/>
          <w:color w:val="FF0000"/>
          <w:szCs w:val="22"/>
        </w:rPr>
        <w:t xml:space="preserve">. </w:t>
      </w:r>
      <w:r w:rsidR="00FC34FC" w:rsidRPr="00C66720">
        <w:rPr>
          <w:rFonts w:ascii="Times New Roman" w:hAnsi="Times New Roman"/>
          <w:szCs w:val="22"/>
        </w:rPr>
        <w:t xml:space="preserve">Vyšší počet jednotiek vykázala ústredná správa o 25 a subjekty na tretej úrovni konsolidácie, ako sú neziskové organizácie a subjekty založené zákonom o 23. </w:t>
      </w:r>
    </w:p>
    <w:p w14:paraId="28CCE5C4" w14:textId="4B3A7F1F" w:rsidR="00FC34FC" w:rsidRPr="00C66720" w:rsidRDefault="00357CA4" w:rsidP="00D727C0">
      <w:pPr>
        <w:tabs>
          <w:tab w:val="left" w:pos="3270"/>
        </w:tabs>
        <w:spacing w:after="120" w:line="240" w:lineRule="auto"/>
        <w:jc w:val="both"/>
        <w:rPr>
          <w:rFonts w:ascii="Times New Roman" w:hAnsi="Times New Roman"/>
          <w:szCs w:val="22"/>
        </w:rPr>
      </w:pPr>
      <w:r w:rsidRPr="00C66720">
        <w:rPr>
          <w:rFonts w:ascii="Times New Roman" w:hAnsi="Times New Roman"/>
          <w:szCs w:val="22"/>
        </w:rPr>
        <w:t>Územná samospráva, aj napriek vyššiemu počtu obchodných spoločností o 39, zaznamenala celkový pokles jednotiek o 7. Medziročne došlo k zníženiu počtu rozpočtových a príspevkových organizácií územnej samosprávy o 36.</w:t>
      </w:r>
    </w:p>
    <w:p w14:paraId="7D2D1BC7" w14:textId="32A2FAAE" w:rsidR="00FF7753" w:rsidRPr="00C66720" w:rsidRDefault="00FF7753" w:rsidP="00D727C0">
      <w:pPr>
        <w:tabs>
          <w:tab w:val="left" w:pos="3270"/>
        </w:tabs>
        <w:spacing w:after="120" w:line="240" w:lineRule="auto"/>
        <w:jc w:val="both"/>
        <w:rPr>
          <w:rFonts w:ascii="Times New Roman" w:hAnsi="Times New Roman"/>
          <w:szCs w:val="22"/>
        </w:rPr>
      </w:pPr>
      <w:r w:rsidRPr="00C66720">
        <w:rPr>
          <w:rFonts w:ascii="Times New Roman" w:hAnsi="Times New Roman"/>
          <w:szCs w:val="22"/>
        </w:rPr>
        <w:t>Vyššie územné celky vykazovali vo svojich konsolidovaných celkoch spolu 22 obchodných spoločností (v roku 2021 to bolo 17) a obce 677 (v roku 2021 to bolo 638).</w:t>
      </w:r>
      <w:r w:rsidR="00744991" w:rsidRPr="00C66720">
        <w:rPr>
          <w:rFonts w:ascii="Times New Roman" w:hAnsi="Times New Roman"/>
          <w:szCs w:val="22"/>
        </w:rPr>
        <w:t xml:space="preserve"> </w:t>
      </w:r>
    </w:p>
    <w:p w14:paraId="0533BBAB" w14:textId="36E0803F" w:rsidR="00FF7753" w:rsidRPr="00C66720" w:rsidRDefault="00D57EE1" w:rsidP="00D727C0">
      <w:pPr>
        <w:tabs>
          <w:tab w:val="left" w:pos="3270"/>
        </w:tabs>
        <w:spacing w:after="120" w:line="240" w:lineRule="auto"/>
        <w:jc w:val="both"/>
        <w:rPr>
          <w:rFonts w:ascii="Times New Roman" w:hAnsi="Times New Roman"/>
          <w:szCs w:val="22"/>
        </w:rPr>
      </w:pPr>
      <w:r w:rsidRPr="00C66720">
        <w:rPr>
          <w:rFonts w:ascii="Times New Roman" w:hAnsi="Times New Roman"/>
          <w:szCs w:val="22"/>
        </w:rPr>
        <w:t>V rámci ostatných subjektov došlo k nárastu o 23, pričom neziskové organizácie obcí a miest SR (štatisticky zaradené do sektora verejnej správy) dosiahli medziročný nárast o 5. V ústrednej správe došlo k pripočítaniu 14 zdravotníckych zariadení a 4 novo založených subjektov podľa osobitného zákona.</w:t>
      </w:r>
    </w:p>
    <w:p w14:paraId="7AEDE69D" w14:textId="03D45763" w:rsidR="00927566" w:rsidRDefault="005950B6" w:rsidP="00F660E0">
      <w:pPr>
        <w:spacing w:before="120" w:after="120" w:line="240" w:lineRule="auto"/>
        <w:jc w:val="both"/>
        <w:rPr>
          <w:rFonts w:ascii="Times New Roman" w:hAnsi="Times New Roman"/>
          <w:szCs w:val="22"/>
        </w:rPr>
      </w:pPr>
      <w:r w:rsidRPr="00C66720">
        <w:rPr>
          <w:rFonts w:ascii="Times New Roman" w:hAnsi="Times New Roman"/>
          <w:szCs w:val="22"/>
        </w:rPr>
        <w:t>Tabuľka o počte organizácií v súhrnnom celku je založená na princípe vzniku týchto organizácií, či už patria do zriaďovateľskej pôsobnosti štátu, územnej samosprávy alebo boli založené zákonom alebo v prípade obchodných spoločností v nich vykonáva kontrolu subjekt verejnej správy. Do počtu organizácií sú zahrnuté aj pridružené účtovné jednotky</w:t>
      </w:r>
      <w:r w:rsidR="002B7149" w:rsidRPr="00C66720">
        <w:rPr>
          <w:rFonts w:ascii="Times New Roman" w:hAnsi="Times New Roman"/>
          <w:szCs w:val="22"/>
        </w:rPr>
        <w:t xml:space="preserve"> (s majetkovým podielom nad 20 %)</w:t>
      </w:r>
      <w:r w:rsidRPr="00C66720">
        <w:rPr>
          <w:rFonts w:ascii="Times New Roman" w:hAnsi="Times New Roman"/>
          <w:szCs w:val="22"/>
        </w:rPr>
        <w:t>. Hodnoty v súvahe a vo výkaze ziskov a strát sú prezentované len za subjekty, ktoré predlož</w:t>
      </w:r>
      <w:r w:rsidR="0006709C" w:rsidRPr="00C66720">
        <w:rPr>
          <w:rFonts w:ascii="Times New Roman" w:hAnsi="Times New Roman"/>
          <w:szCs w:val="22"/>
        </w:rPr>
        <w:t>ili účtovnú závierku za rok 2022</w:t>
      </w:r>
      <w:r w:rsidRPr="00C66720">
        <w:rPr>
          <w:rFonts w:ascii="Times New Roman" w:hAnsi="Times New Roman"/>
          <w:szCs w:val="22"/>
        </w:rPr>
        <w:t xml:space="preserve"> (a takisto okrem  pridružených účtovných jednotiek, ktoré nevstupujú do agregovaných údajov).</w:t>
      </w:r>
    </w:p>
    <w:p w14:paraId="04291742" w14:textId="74A3408E" w:rsidR="00507F4C" w:rsidRDefault="00507F4C" w:rsidP="00F660E0">
      <w:pPr>
        <w:spacing w:before="120" w:after="120" w:line="240" w:lineRule="auto"/>
        <w:jc w:val="both"/>
        <w:rPr>
          <w:rFonts w:ascii="Times New Roman" w:hAnsi="Times New Roman"/>
          <w:szCs w:val="22"/>
        </w:rPr>
      </w:pPr>
    </w:p>
    <w:p w14:paraId="35F08EAF" w14:textId="06061BEC" w:rsidR="00507F4C" w:rsidRDefault="00507F4C" w:rsidP="00F660E0">
      <w:pPr>
        <w:spacing w:before="120" w:after="120" w:line="240" w:lineRule="auto"/>
        <w:jc w:val="both"/>
        <w:rPr>
          <w:rFonts w:ascii="Times New Roman" w:hAnsi="Times New Roman"/>
          <w:szCs w:val="22"/>
        </w:rPr>
      </w:pPr>
    </w:p>
    <w:p w14:paraId="3369F21E" w14:textId="74897F1C" w:rsidR="00FA543A" w:rsidRDefault="00FA543A" w:rsidP="00F660E0">
      <w:pPr>
        <w:spacing w:before="120" w:after="120" w:line="240" w:lineRule="auto"/>
        <w:jc w:val="both"/>
        <w:rPr>
          <w:rFonts w:ascii="Times New Roman" w:hAnsi="Times New Roman"/>
          <w:szCs w:val="22"/>
        </w:rPr>
      </w:pPr>
    </w:p>
    <w:p w14:paraId="56596EA1" w14:textId="77777777" w:rsidR="00FA543A" w:rsidRPr="00177FDD" w:rsidRDefault="00FA543A" w:rsidP="00FA543A">
      <w:pPr>
        <w:spacing w:before="120" w:after="0" w:line="240" w:lineRule="auto"/>
        <w:ind w:firstLine="426"/>
        <w:jc w:val="both"/>
        <w:rPr>
          <w:rFonts w:ascii="Times New Roman" w:hAnsi="Times New Roman"/>
          <w:color w:val="000000"/>
          <w:sz w:val="18"/>
          <w:szCs w:val="18"/>
        </w:rPr>
      </w:pPr>
      <w:r w:rsidRPr="00177FDD">
        <w:rPr>
          <w:rFonts w:ascii="Times New Roman" w:hAnsi="Times New Roman"/>
          <w:b/>
          <w:color w:val="000000"/>
          <w:sz w:val="18"/>
          <w:szCs w:val="18"/>
        </w:rPr>
        <w:lastRenderedPageBreak/>
        <w:t>Tabuľka 1</w:t>
      </w:r>
    </w:p>
    <w:tbl>
      <w:tblPr>
        <w:tblW w:w="4702" w:type="pct"/>
        <w:jc w:val="center"/>
        <w:tblLayout w:type="fixed"/>
        <w:tblCellMar>
          <w:left w:w="70" w:type="dxa"/>
          <w:right w:w="70" w:type="dxa"/>
        </w:tblCellMar>
        <w:tblLook w:val="00A0" w:firstRow="1" w:lastRow="0" w:firstColumn="1" w:lastColumn="0" w:noHBand="0" w:noVBand="0"/>
      </w:tblPr>
      <w:tblGrid>
        <w:gridCol w:w="5042"/>
        <w:gridCol w:w="1097"/>
        <w:gridCol w:w="904"/>
        <w:gridCol w:w="1158"/>
        <w:gridCol w:w="329"/>
      </w:tblGrid>
      <w:tr w:rsidR="00FA543A" w:rsidRPr="00AD1DD7" w14:paraId="35889BE1" w14:textId="77777777" w:rsidTr="00FA543A">
        <w:trPr>
          <w:trHeight w:val="330"/>
          <w:jc w:val="center"/>
        </w:trPr>
        <w:tc>
          <w:tcPr>
            <w:tcW w:w="4127" w:type="pct"/>
            <w:gridSpan w:val="3"/>
            <w:tcBorders>
              <w:top w:val="single" w:sz="4" w:space="0" w:color="auto"/>
              <w:left w:val="nil"/>
              <w:bottom w:val="single" w:sz="4" w:space="0" w:color="auto"/>
              <w:right w:val="nil"/>
            </w:tcBorders>
            <w:shd w:val="clear" w:color="auto" w:fill="F4B084"/>
            <w:noWrap/>
            <w:vAlign w:val="center"/>
          </w:tcPr>
          <w:p w14:paraId="3FF60190" w14:textId="77777777" w:rsidR="00FA543A" w:rsidRPr="00AD1DD7" w:rsidRDefault="00FA543A" w:rsidP="00241F33">
            <w:pPr>
              <w:spacing w:after="0" w:line="240" w:lineRule="auto"/>
              <w:rPr>
                <w:rFonts w:ascii="Times New Roman" w:hAnsi="Times New Roman"/>
                <w:b/>
                <w:bCs/>
                <w:sz w:val="18"/>
                <w:szCs w:val="18"/>
                <w:lang w:eastAsia="sk-SK"/>
              </w:rPr>
            </w:pPr>
            <w:r w:rsidRPr="00AD1DD7">
              <w:rPr>
                <w:rFonts w:ascii="Times New Roman" w:hAnsi="Times New Roman"/>
                <w:sz w:val="18"/>
                <w:szCs w:val="18"/>
              </w:rPr>
              <w:br w:type="page"/>
            </w:r>
            <w:r w:rsidRPr="00AD1DD7">
              <w:rPr>
                <w:rFonts w:ascii="Times New Roman" w:hAnsi="Times New Roman"/>
                <w:sz w:val="18"/>
                <w:szCs w:val="18"/>
              </w:rPr>
              <w:br w:type="page"/>
            </w:r>
            <w:r w:rsidRPr="00AD1DD7">
              <w:rPr>
                <w:rFonts w:ascii="Times New Roman" w:hAnsi="Times New Roman"/>
                <w:b/>
                <w:bCs/>
                <w:sz w:val="18"/>
                <w:szCs w:val="18"/>
                <w:lang w:eastAsia="sk-SK"/>
              </w:rPr>
              <w:t xml:space="preserve">Počet organizácií v súhrnnom celku </w:t>
            </w:r>
          </w:p>
        </w:tc>
        <w:tc>
          <w:tcPr>
            <w:tcW w:w="679" w:type="pct"/>
            <w:tcBorders>
              <w:top w:val="single" w:sz="4" w:space="0" w:color="auto"/>
              <w:left w:val="nil"/>
              <w:bottom w:val="single" w:sz="4" w:space="0" w:color="auto"/>
              <w:right w:val="nil"/>
            </w:tcBorders>
            <w:shd w:val="clear" w:color="auto" w:fill="F4B084"/>
          </w:tcPr>
          <w:p w14:paraId="5BA6BA71" w14:textId="77777777" w:rsidR="00FA543A" w:rsidRPr="00AD1DD7" w:rsidRDefault="00FA543A" w:rsidP="00241F33">
            <w:pPr>
              <w:spacing w:after="0" w:line="240" w:lineRule="auto"/>
              <w:rPr>
                <w:rFonts w:ascii="Times New Roman" w:hAnsi="Times New Roman"/>
                <w:sz w:val="18"/>
                <w:szCs w:val="18"/>
              </w:rPr>
            </w:pPr>
          </w:p>
        </w:tc>
        <w:tc>
          <w:tcPr>
            <w:tcW w:w="193" w:type="pct"/>
            <w:tcBorders>
              <w:top w:val="single" w:sz="4" w:space="0" w:color="auto"/>
              <w:left w:val="nil"/>
              <w:bottom w:val="single" w:sz="4" w:space="0" w:color="auto"/>
              <w:right w:val="nil"/>
            </w:tcBorders>
            <w:shd w:val="clear" w:color="auto" w:fill="F4B084"/>
          </w:tcPr>
          <w:p w14:paraId="264B65AE" w14:textId="77777777" w:rsidR="00FA543A" w:rsidRPr="00AD1DD7" w:rsidRDefault="00FA543A" w:rsidP="00241F33">
            <w:pPr>
              <w:spacing w:after="0" w:line="240" w:lineRule="auto"/>
              <w:rPr>
                <w:rFonts w:ascii="Times New Roman" w:hAnsi="Times New Roman"/>
                <w:sz w:val="18"/>
                <w:szCs w:val="18"/>
              </w:rPr>
            </w:pPr>
          </w:p>
        </w:tc>
      </w:tr>
      <w:tr w:rsidR="00FA543A" w:rsidRPr="008E6EF2" w14:paraId="6DFC4309" w14:textId="77777777" w:rsidTr="00FA543A">
        <w:trPr>
          <w:trHeight w:val="217"/>
          <w:jc w:val="center"/>
        </w:trPr>
        <w:tc>
          <w:tcPr>
            <w:tcW w:w="2954" w:type="pct"/>
            <w:tcBorders>
              <w:top w:val="nil"/>
              <w:left w:val="nil"/>
              <w:bottom w:val="single" w:sz="4" w:space="0" w:color="auto"/>
              <w:right w:val="nil"/>
            </w:tcBorders>
            <w:shd w:val="clear" w:color="auto" w:fill="BDD7EE"/>
            <w:noWrap/>
            <w:vAlign w:val="bottom"/>
          </w:tcPr>
          <w:p w14:paraId="54D0CE25" w14:textId="77777777" w:rsidR="00FA543A" w:rsidRPr="008E6EF2" w:rsidRDefault="00FA543A" w:rsidP="00FA543A">
            <w:pPr>
              <w:spacing w:after="0" w:line="240" w:lineRule="auto"/>
              <w:rPr>
                <w:rFonts w:ascii="Times New Roman" w:hAnsi="Times New Roman"/>
                <w:b/>
                <w:bCs/>
                <w:color w:val="FF0000"/>
                <w:sz w:val="18"/>
                <w:szCs w:val="18"/>
                <w:lang w:eastAsia="sk-SK"/>
              </w:rPr>
            </w:pPr>
            <w:r w:rsidRPr="008E6EF2">
              <w:rPr>
                <w:rFonts w:ascii="Times New Roman" w:hAnsi="Times New Roman"/>
                <w:b/>
                <w:bCs/>
                <w:color w:val="FF0000"/>
                <w:sz w:val="18"/>
                <w:szCs w:val="18"/>
                <w:lang w:eastAsia="sk-SK"/>
              </w:rPr>
              <w:t> </w:t>
            </w:r>
          </w:p>
        </w:tc>
        <w:tc>
          <w:tcPr>
            <w:tcW w:w="643" w:type="pct"/>
            <w:tcBorders>
              <w:top w:val="nil"/>
              <w:left w:val="nil"/>
              <w:bottom w:val="single" w:sz="4" w:space="0" w:color="auto"/>
              <w:right w:val="nil"/>
            </w:tcBorders>
            <w:shd w:val="clear" w:color="auto" w:fill="BDD7EE"/>
            <w:noWrap/>
            <w:vAlign w:val="bottom"/>
          </w:tcPr>
          <w:p w14:paraId="69813F40" w14:textId="65C29BE0" w:rsidR="00FA543A" w:rsidRPr="008E6EF2" w:rsidRDefault="00FA543A" w:rsidP="00FA543A">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530" w:type="pct"/>
            <w:tcBorders>
              <w:top w:val="nil"/>
              <w:left w:val="nil"/>
              <w:bottom w:val="single" w:sz="4" w:space="0" w:color="auto"/>
              <w:right w:val="nil"/>
            </w:tcBorders>
            <w:shd w:val="clear" w:color="auto" w:fill="BDD7EE"/>
            <w:noWrap/>
            <w:vAlign w:val="bottom"/>
          </w:tcPr>
          <w:p w14:paraId="1E6463FA" w14:textId="1BC85C42" w:rsidR="00FA543A" w:rsidRPr="008E6EF2" w:rsidRDefault="00FA543A" w:rsidP="00FA543A">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679" w:type="pct"/>
            <w:tcBorders>
              <w:top w:val="nil"/>
              <w:left w:val="nil"/>
              <w:bottom w:val="single" w:sz="4" w:space="0" w:color="auto"/>
              <w:right w:val="nil"/>
            </w:tcBorders>
            <w:shd w:val="clear" w:color="auto" w:fill="BDD7EE"/>
            <w:vAlign w:val="bottom"/>
          </w:tcPr>
          <w:p w14:paraId="0C5C2C9D" w14:textId="4476CE89" w:rsidR="00FA543A" w:rsidRPr="008E6EF2" w:rsidRDefault="00FA543A" w:rsidP="00FA543A">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c>
          <w:tcPr>
            <w:tcW w:w="193" w:type="pct"/>
            <w:tcBorders>
              <w:top w:val="nil"/>
              <w:left w:val="nil"/>
              <w:bottom w:val="single" w:sz="4" w:space="0" w:color="auto"/>
              <w:right w:val="nil"/>
            </w:tcBorders>
            <w:shd w:val="clear" w:color="auto" w:fill="BDD7EE"/>
          </w:tcPr>
          <w:p w14:paraId="47283EC1" w14:textId="77777777" w:rsidR="00FA543A" w:rsidRPr="008E6EF2" w:rsidRDefault="00FA543A" w:rsidP="00FA543A">
            <w:pPr>
              <w:spacing w:after="0" w:line="240" w:lineRule="auto"/>
              <w:jc w:val="right"/>
              <w:rPr>
                <w:rFonts w:ascii="Times New Roman" w:hAnsi="Times New Roman"/>
                <w:b/>
                <w:bCs/>
                <w:sz w:val="18"/>
                <w:szCs w:val="18"/>
                <w:lang w:eastAsia="sk-SK"/>
              </w:rPr>
            </w:pPr>
          </w:p>
        </w:tc>
      </w:tr>
      <w:tr w:rsidR="00FA543A" w:rsidRPr="008E6EF2" w14:paraId="3C24B648" w14:textId="77777777" w:rsidTr="00FA543A">
        <w:trPr>
          <w:trHeight w:val="135"/>
          <w:jc w:val="center"/>
        </w:trPr>
        <w:tc>
          <w:tcPr>
            <w:tcW w:w="2954" w:type="pct"/>
            <w:tcBorders>
              <w:top w:val="single" w:sz="4" w:space="0" w:color="auto"/>
              <w:left w:val="nil"/>
              <w:bottom w:val="single" w:sz="4" w:space="0" w:color="auto"/>
              <w:right w:val="nil"/>
            </w:tcBorders>
            <w:shd w:val="clear" w:color="000000" w:fill="FFFFFF"/>
          </w:tcPr>
          <w:p w14:paraId="01A490B5" w14:textId="77777777" w:rsidR="00FA543A" w:rsidRPr="008E6EF2" w:rsidRDefault="00FA543A" w:rsidP="00FA543A">
            <w:pPr>
              <w:spacing w:after="0" w:line="240" w:lineRule="auto"/>
              <w:jc w:val="both"/>
              <w:rPr>
                <w:rFonts w:ascii="Times New Roman" w:hAnsi="Times New Roman"/>
                <w:b/>
                <w:bCs/>
                <w:sz w:val="18"/>
                <w:szCs w:val="18"/>
                <w:lang w:eastAsia="sk-SK"/>
              </w:rPr>
            </w:pPr>
            <w:r w:rsidRPr="008E6EF2">
              <w:rPr>
                <w:rFonts w:ascii="Times New Roman" w:hAnsi="Times New Roman"/>
                <w:b/>
                <w:bCs/>
                <w:sz w:val="18"/>
                <w:szCs w:val="18"/>
                <w:lang w:eastAsia="sk-SK"/>
              </w:rPr>
              <w:t>Súhrnný celok spolu</w:t>
            </w:r>
          </w:p>
        </w:tc>
        <w:tc>
          <w:tcPr>
            <w:tcW w:w="643" w:type="pct"/>
            <w:tcBorders>
              <w:top w:val="single" w:sz="4" w:space="0" w:color="auto"/>
              <w:left w:val="nil"/>
              <w:bottom w:val="single" w:sz="4" w:space="0" w:color="auto"/>
              <w:right w:val="nil"/>
            </w:tcBorders>
            <w:shd w:val="clear" w:color="000000" w:fill="FFFFFF"/>
            <w:vAlign w:val="center"/>
          </w:tcPr>
          <w:p w14:paraId="21501A8A" w14:textId="1687D639" w:rsidR="00FA543A" w:rsidRPr="005950B6" w:rsidRDefault="00FA543A" w:rsidP="00FA543A">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8 397</w:t>
            </w:r>
          </w:p>
        </w:tc>
        <w:tc>
          <w:tcPr>
            <w:tcW w:w="530" w:type="pct"/>
            <w:tcBorders>
              <w:top w:val="single" w:sz="4" w:space="0" w:color="auto"/>
              <w:left w:val="nil"/>
              <w:bottom w:val="single" w:sz="4" w:space="0" w:color="auto"/>
              <w:right w:val="nil"/>
            </w:tcBorders>
            <w:shd w:val="clear" w:color="000000" w:fill="FFFFFF"/>
            <w:vAlign w:val="center"/>
          </w:tcPr>
          <w:p w14:paraId="1916EF1C" w14:textId="743217E7" w:rsidR="00FA543A" w:rsidRPr="005950B6" w:rsidRDefault="00FA543A" w:rsidP="00FA543A">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8 356</w:t>
            </w:r>
          </w:p>
        </w:tc>
        <w:tc>
          <w:tcPr>
            <w:tcW w:w="679" w:type="pct"/>
            <w:tcBorders>
              <w:top w:val="single" w:sz="4" w:space="0" w:color="auto"/>
              <w:left w:val="nil"/>
              <w:bottom w:val="single" w:sz="4" w:space="0" w:color="auto"/>
              <w:right w:val="nil"/>
            </w:tcBorders>
            <w:shd w:val="clear" w:color="000000" w:fill="FFFFFF"/>
            <w:vAlign w:val="center"/>
          </w:tcPr>
          <w:p w14:paraId="1FDFD563" w14:textId="40CBF8E5" w:rsidR="00FA543A" w:rsidRPr="005950B6" w:rsidRDefault="00FA543A" w:rsidP="00FA543A">
            <w:pPr>
              <w:tabs>
                <w:tab w:val="center" w:pos="659"/>
                <w:tab w:val="right" w:pos="1318"/>
              </w:tabs>
              <w:spacing w:after="0" w:line="240" w:lineRule="auto"/>
              <w:ind w:hanging="30"/>
              <w:jc w:val="right"/>
              <w:rPr>
                <w:rFonts w:ascii="Times New Roman" w:hAnsi="Times New Roman"/>
                <w:b/>
                <w:bCs/>
                <w:sz w:val="18"/>
                <w:szCs w:val="18"/>
                <w:lang w:eastAsia="sk-SK"/>
              </w:rPr>
            </w:pPr>
            <w:r>
              <w:rPr>
                <w:rFonts w:ascii="Times New Roman" w:hAnsi="Times New Roman"/>
                <w:b/>
                <w:bCs/>
                <w:sz w:val="18"/>
                <w:szCs w:val="18"/>
                <w:lang w:eastAsia="sk-SK"/>
              </w:rPr>
              <w:t>+</w:t>
            </w:r>
            <w:r w:rsidRPr="00C66720">
              <w:rPr>
                <w:rFonts w:ascii="Times New Roman" w:hAnsi="Times New Roman"/>
                <w:b/>
                <w:bCs/>
                <w:sz w:val="18"/>
                <w:szCs w:val="18"/>
                <w:lang w:eastAsia="sk-SK"/>
              </w:rPr>
              <w:t>41</w:t>
            </w:r>
          </w:p>
        </w:tc>
        <w:tc>
          <w:tcPr>
            <w:tcW w:w="193" w:type="pct"/>
            <w:tcBorders>
              <w:top w:val="single" w:sz="4" w:space="0" w:color="auto"/>
              <w:left w:val="nil"/>
              <w:bottom w:val="single" w:sz="4" w:space="0" w:color="auto"/>
              <w:right w:val="nil"/>
            </w:tcBorders>
            <w:shd w:val="clear" w:color="000000" w:fill="FFFFFF"/>
          </w:tcPr>
          <w:p w14:paraId="6909E861" w14:textId="77777777" w:rsidR="00FA543A" w:rsidRPr="008E6EF2" w:rsidRDefault="00FA543A" w:rsidP="00FA543A">
            <w:pPr>
              <w:tabs>
                <w:tab w:val="center" w:pos="659"/>
                <w:tab w:val="right" w:pos="1318"/>
              </w:tabs>
              <w:spacing w:after="0" w:line="240" w:lineRule="auto"/>
              <w:ind w:hanging="30"/>
              <w:jc w:val="right"/>
              <w:rPr>
                <w:rFonts w:ascii="Times New Roman" w:hAnsi="Times New Roman"/>
                <w:b/>
                <w:bCs/>
                <w:color w:val="FF0000"/>
                <w:sz w:val="18"/>
                <w:szCs w:val="18"/>
                <w:lang w:eastAsia="sk-SK"/>
              </w:rPr>
            </w:pPr>
          </w:p>
        </w:tc>
      </w:tr>
      <w:tr w:rsidR="00FA543A" w:rsidRPr="008E6EF2" w14:paraId="2CA0359E" w14:textId="77777777" w:rsidTr="00FA543A">
        <w:trPr>
          <w:trHeight w:val="80"/>
          <w:jc w:val="center"/>
        </w:trPr>
        <w:tc>
          <w:tcPr>
            <w:tcW w:w="2954" w:type="pct"/>
            <w:tcBorders>
              <w:top w:val="single" w:sz="4" w:space="0" w:color="auto"/>
              <w:left w:val="nil"/>
              <w:bottom w:val="nil"/>
              <w:right w:val="nil"/>
            </w:tcBorders>
            <w:shd w:val="clear" w:color="000000" w:fill="FFFFFF"/>
            <w:noWrap/>
            <w:vAlign w:val="bottom"/>
          </w:tcPr>
          <w:p w14:paraId="6771ACA3" w14:textId="77777777" w:rsidR="00FA543A" w:rsidRPr="008E6EF2" w:rsidRDefault="00FA543A" w:rsidP="00241F33">
            <w:pPr>
              <w:spacing w:after="0" w:line="240" w:lineRule="auto"/>
              <w:rPr>
                <w:rFonts w:ascii="Times New Roman" w:hAnsi="Times New Roman"/>
                <w:b/>
                <w:sz w:val="18"/>
                <w:szCs w:val="18"/>
                <w:lang w:eastAsia="sk-SK"/>
              </w:rPr>
            </w:pPr>
            <w:r w:rsidRPr="008E6EF2">
              <w:rPr>
                <w:rFonts w:ascii="Times New Roman" w:hAnsi="Times New Roman"/>
                <w:b/>
                <w:sz w:val="18"/>
                <w:szCs w:val="18"/>
                <w:lang w:eastAsia="sk-SK"/>
              </w:rPr>
              <w:t>v tom</w:t>
            </w:r>
          </w:p>
        </w:tc>
        <w:tc>
          <w:tcPr>
            <w:tcW w:w="643" w:type="pct"/>
            <w:tcBorders>
              <w:top w:val="single" w:sz="4" w:space="0" w:color="auto"/>
              <w:left w:val="nil"/>
              <w:bottom w:val="nil"/>
              <w:right w:val="nil"/>
            </w:tcBorders>
            <w:shd w:val="clear" w:color="000000" w:fill="FFFFFF"/>
            <w:noWrap/>
            <w:vAlign w:val="center"/>
          </w:tcPr>
          <w:p w14:paraId="0EF8EA2B" w14:textId="77777777" w:rsidR="00FA543A" w:rsidRPr="008E6EF2" w:rsidRDefault="00FA543A" w:rsidP="00241F33">
            <w:pPr>
              <w:spacing w:after="0" w:line="240" w:lineRule="auto"/>
              <w:jc w:val="center"/>
              <w:rPr>
                <w:rFonts w:ascii="Times New Roman" w:hAnsi="Times New Roman"/>
                <w:color w:val="FF0000"/>
                <w:sz w:val="18"/>
                <w:szCs w:val="18"/>
                <w:lang w:eastAsia="sk-SK"/>
              </w:rPr>
            </w:pPr>
          </w:p>
        </w:tc>
        <w:tc>
          <w:tcPr>
            <w:tcW w:w="530" w:type="pct"/>
            <w:tcBorders>
              <w:top w:val="single" w:sz="4" w:space="0" w:color="auto"/>
              <w:left w:val="nil"/>
              <w:bottom w:val="nil"/>
              <w:right w:val="nil"/>
            </w:tcBorders>
            <w:shd w:val="clear" w:color="000000" w:fill="FFFFFF"/>
            <w:noWrap/>
            <w:vAlign w:val="center"/>
          </w:tcPr>
          <w:p w14:paraId="7E3C3E3F" w14:textId="77777777" w:rsidR="00FA543A" w:rsidRPr="008E6EF2" w:rsidRDefault="00FA543A" w:rsidP="00241F33">
            <w:pPr>
              <w:spacing w:after="0" w:line="240" w:lineRule="auto"/>
              <w:jc w:val="center"/>
              <w:rPr>
                <w:rFonts w:ascii="Times New Roman" w:hAnsi="Times New Roman"/>
                <w:sz w:val="18"/>
                <w:szCs w:val="18"/>
                <w:lang w:eastAsia="sk-SK"/>
              </w:rPr>
            </w:pPr>
          </w:p>
        </w:tc>
        <w:tc>
          <w:tcPr>
            <w:tcW w:w="679" w:type="pct"/>
            <w:tcBorders>
              <w:top w:val="single" w:sz="4" w:space="0" w:color="auto"/>
              <w:left w:val="nil"/>
              <w:bottom w:val="nil"/>
              <w:right w:val="nil"/>
            </w:tcBorders>
            <w:shd w:val="clear" w:color="000000" w:fill="FFFFFF"/>
            <w:vAlign w:val="center"/>
          </w:tcPr>
          <w:p w14:paraId="682CF3CA" w14:textId="77777777" w:rsidR="00FA543A" w:rsidRPr="008E6EF2" w:rsidRDefault="00FA543A" w:rsidP="00241F33">
            <w:pPr>
              <w:spacing w:after="0" w:line="240" w:lineRule="auto"/>
              <w:jc w:val="right"/>
              <w:rPr>
                <w:rFonts w:ascii="Times New Roman" w:hAnsi="Times New Roman"/>
                <w:color w:val="FF0000"/>
                <w:sz w:val="18"/>
                <w:szCs w:val="18"/>
                <w:lang w:eastAsia="sk-SK"/>
              </w:rPr>
            </w:pPr>
          </w:p>
        </w:tc>
        <w:tc>
          <w:tcPr>
            <w:tcW w:w="193" w:type="pct"/>
            <w:tcBorders>
              <w:top w:val="single" w:sz="4" w:space="0" w:color="auto"/>
              <w:left w:val="nil"/>
              <w:bottom w:val="nil"/>
              <w:right w:val="nil"/>
            </w:tcBorders>
            <w:shd w:val="clear" w:color="000000" w:fill="FFFFFF"/>
          </w:tcPr>
          <w:p w14:paraId="1F9184CB" w14:textId="77777777" w:rsidR="00FA543A" w:rsidRPr="008E6EF2" w:rsidRDefault="00FA543A" w:rsidP="00241F33">
            <w:pPr>
              <w:spacing w:after="0" w:line="240" w:lineRule="auto"/>
              <w:jc w:val="right"/>
              <w:rPr>
                <w:rFonts w:ascii="Times New Roman" w:hAnsi="Times New Roman"/>
                <w:color w:val="FF0000"/>
                <w:sz w:val="18"/>
                <w:szCs w:val="18"/>
                <w:lang w:eastAsia="sk-SK"/>
              </w:rPr>
            </w:pPr>
          </w:p>
        </w:tc>
      </w:tr>
      <w:tr w:rsidR="00FA543A" w:rsidRPr="008E6EF2" w14:paraId="2DE4BFB6" w14:textId="77777777" w:rsidTr="00FA543A">
        <w:trPr>
          <w:trHeight w:val="137"/>
          <w:jc w:val="center"/>
        </w:trPr>
        <w:tc>
          <w:tcPr>
            <w:tcW w:w="2954" w:type="pct"/>
            <w:tcBorders>
              <w:top w:val="nil"/>
              <w:left w:val="nil"/>
              <w:bottom w:val="nil"/>
              <w:right w:val="nil"/>
            </w:tcBorders>
            <w:shd w:val="clear" w:color="000000" w:fill="FFFFFF"/>
            <w:noWrap/>
            <w:vAlign w:val="bottom"/>
          </w:tcPr>
          <w:p w14:paraId="1935A805" w14:textId="77777777" w:rsidR="00FA543A" w:rsidRPr="005950B6" w:rsidRDefault="00FA543A" w:rsidP="00FA543A">
            <w:pPr>
              <w:spacing w:after="0" w:line="240" w:lineRule="auto"/>
              <w:jc w:val="both"/>
              <w:rPr>
                <w:rFonts w:ascii="Times New Roman" w:hAnsi="Times New Roman"/>
                <w:b/>
                <w:sz w:val="18"/>
                <w:szCs w:val="18"/>
                <w:lang w:eastAsia="sk-SK"/>
              </w:rPr>
            </w:pPr>
            <w:r w:rsidRPr="005950B6">
              <w:rPr>
                <w:rFonts w:ascii="Times New Roman" w:hAnsi="Times New Roman"/>
                <w:b/>
                <w:sz w:val="18"/>
                <w:szCs w:val="18"/>
                <w:lang w:eastAsia="sk-SK"/>
              </w:rPr>
              <w:t>Ústredná správa</w:t>
            </w:r>
          </w:p>
        </w:tc>
        <w:tc>
          <w:tcPr>
            <w:tcW w:w="643" w:type="pct"/>
            <w:tcBorders>
              <w:top w:val="nil"/>
              <w:left w:val="nil"/>
              <w:bottom w:val="nil"/>
              <w:right w:val="nil"/>
            </w:tcBorders>
            <w:shd w:val="clear" w:color="000000" w:fill="FFFFFF"/>
            <w:noWrap/>
            <w:vAlign w:val="center"/>
          </w:tcPr>
          <w:p w14:paraId="3A7B9571" w14:textId="444997E5" w:rsidR="00FA543A" w:rsidRPr="005950B6" w:rsidRDefault="00FA543A" w:rsidP="00FA543A">
            <w:pPr>
              <w:spacing w:after="0" w:line="240" w:lineRule="auto"/>
              <w:jc w:val="center"/>
              <w:rPr>
                <w:rFonts w:ascii="Times New Roman" w:hAnsi="Times New Roman"/>
                <w:b/>
                <w:sz w:val="18"/>
                <w:szCs w:val="18"/>
                <w:lang w:eastAsia="sk-SK"/>
              </w:rPr>
            </w:pPr>
            <w:r w:rsidRPr="00C66720">
              <w:rPr>
                <w:rFonts w:ascii="Times New Roman" w:hAnsi="Times New Roman"/>
                <w:b/>
                <w:sz w:val="18"/>
                <w:szCs w:val="18"/>
                <w:lang w:eastAsia="sk-SK"/>
              </w:rPr>
              <w:t>908</w:t>
            </w:r>
          </w:p>
        </w:tc>
        <w:tc>
          <w:tcPr>
            <w:tcW w:w="530" w:type="pct"/>
            <w:tcBorders>
              <w:top w:val="nil"/>
              <w:left w:val="nil"/>
              <w:bottom w:val="nil"/>
              <w:right w:val="nil"/>
            </w:tcBorders>
            <w:shd w:val="clear" w:color="000000" w:fill="FFFFFF"/>
            <w:noWrap/>
            <w:vAlign w:val="center"/>
          </w:tcPr>
          <w:p w14:paraId="3220F0C9" w14:textId="5654F758" w:rsidR="00FA543A" w:rsidRPr="005950B6" w:rsidRDefault="00FA543A" w:rsidP="00FA543A">
            <w:pPr>
              <w:spacing w:after="0" w:line="240" w:lineRule="auto"/>
              <w:jc w:val="center"/>
              <w:rPr>
                <w:rFonts w:ascii="Times New Roman" w:hAnsi="Times New Roman"/>
                <w:b/>
                <w:sz w:val="18"/>
                <w:szCs w:val="18"/>
                <w:lang w:eastAsia="sk-SK"/>
              </w:rPr>
            </w:pPr>
            <w:r w:rsidRPr="00C66720">
              <w:rPr>
                <w:rFonts w:ascii="Times New Roman" w:hAnsi="Times New Roman"/>
                <w:b/>
                <w:sz w:val="18"/>
                <w:szCs w:val="18"/>
                <w:lang w:eastAsia="sk-SK"/>
              </w:rPr>
              <w:t>883</w:t>
            </w:r>
          </w:p>
        </w:tc>
        <w:tc>
          <w:tcPr>
            <w:tcW w:w="679" w:type="pct"/>
            <w:tcBorders>
              <w:top w:val="nil"/>
              <w:left w:val="nil"/>
              <w:bottom w:val="nil"/>
              <w:right w:val="nil"/>
            </w:tcBorders>
            <w:shd w:val="clear" w:color="000000" w:fill="FFFFFF"/>
            <w:vAlign w:val="center"/>
          </w:tcPr>
          <w:p w14:paraId="34C2159A" w14:textId="14A1CBEE" w:rsidR="00FA543A" w:rsidRPr="005950B6" w:rsidRDefault="00FA543A" w:rsidP="00FA543A">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25</w:t>
            </w:r>
          </w:p>
        </w:tc>
        <w:tc>
          <w:tcPr>
            <w:tcW w:w="193" w:type="pct"/>
            <w:tcBorders>
              <w:top w:val="nil"/>
              <w:left w:val="nil"/>
              <w:bottom w:val="nil"/>
              <w:right w:val="nil"/>
            </w:tcBorders>
            <w:shd w:val="clear" w:color="000000" w:fill="FFFFFF"/>
          </w:tcPr>
          <w:p w14:paraId="14C392D5" w14:textId="77777777" w:rsidR="00FA543A" w:rsidRPr="008E6EF2" w:rsidRDefault="00FA543A" w:rsidP="00FA543A">
            <w:pPr>
              <w:spacing w:after="0" w:line="240" w:lineRule="auto"/>
              <w:jc w:val="right"/>
              <w:rPr>
                <w:rFonts w:ascii="Times New Roman" w:hAnsi="Times New Roman"/>
                <w:b/>
                <w:color w:val="FF0000"/>
                <w:sz w:val="18"/>
                <w:szCs w:val="18"/>
                <w:lang w:eastAsia="sk-SK"/>
              </w:rPr>
            </w:pPr>
          </w:p>
        </w:tc>
      </w:tr>
      <w:tr w:rsidR="00FA543A" w:rsidRPr="008E6EF2" w14:paraId="51D964BE" w14:textId="77777777" w:rsidTr="00FA543A">
        <w:trPr>
          <w:trHeight w:val="211"/>
          <w:jc w:val="center"/>
        </w:trPr>
        <w:tc>
          <w:tcPr>
            <w:tcW w:w="2954" w:type="pct"/>
            <w:tcBorders>
              <w:top w:val="nil"/>
              <w:left w:val="nil"/>
              <w:bottom w:val="nil"/>
              <w:right w:val="nil"/>
            </w:tcBorders>
            <w:shd w:val="clear" w:color="000000" w:fill="FFFFFF"/>
            <w:noWrap/>
            <w:vAlign w:val="bottom"/>
          </w:tcPr>
          <w:p w14:paraId="3B9B63C9" w14:textId="1E191E96"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Rozpočtové organizácie </w:t>
            </w:r>
          </w:p>
        </w:tc>
        <w:tc>
          <w:tcPr>
            <w:tcW w:w="643" w:type="pct"/>
            <w:tcBorders>
              <w:top w:val="nil"/>
              <w:left w:val="nil"/>
              <w:bottom w:val="nil"/>
              <w:right w:val="nil"/>
            </w:tcBorders>
            <w:shd w:val="clear" w:color="000000" w:fill="FFFFFF"/>
            <w:noWrap/>
            <w:vAlign w:val="center"/>
          </w:tcPr>
          <w:p w14:paraId="534FF879" w14:textId="44B73204" w:rsidR="00FA543A" w:rsidRPr="00375DEA"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663</w:t>
            </w:r>
          </w:p>
        </w:tc>
        <w:tc>
          <w:tcPr>
            <w:tcW w:w="530" w:type="pct"/>
            <w:tcBorders>
              <w:top w:val="nil"/>
              <w:left w:val="nil"/>
              <w:bottom w:val="nil"/>
              <w:right w:val="nil"/>
            </w:tcBorders>
            <w:shd w:val="clear" w:color="000000" w:fill="FFFFFF"/>
            <w:noWrap/>
            <w:vAlign w:val="center"/>
          </w:tcPr>
          <w:p w14:paraId="3DFC2DB9" w14:textId="43068EE8" w:rsidR="00FA543A" w:rsidRPr="00375DEA"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669</w:t>
            </w:r>
          </w:p>
        </w:tc>
        <w:tc>
          <w:tcPr>
            <w:tcW w:w="679" w:type="pct"/>
            <w:tcBorders>
              <w:top w:val="nil"/>
              <w:left w:val="nil"/>
              <w:bottom w:val="nil"/>
              <w:right w:val="nil"/>
            </w:tcBorders>
            <w:shd w:val="clear" w:color="000000" w:fill="FFFFFF"/>
            <w:vAlign w:val="center"/>
          </w:tcPr>
          <w:p w14:paraId="0E72DE0A" w14:textId="754C00C0" w:rsidR="00FA543A" w:rsidRPr="00375DEA"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w:t>
            </w:r>
          </w:p>
        </w:tc>
        <w:tc>
          <w:tcPr>
            <w:tcW w:w="193" w:type="pct"/>
            <w:tcBorders>
              <w:top w:val="nil"/>
              <w:left w:val="nil"/>
              <w:bottom w:val="nil"/>
              <w:right w:val="nil"/>
            </w:tcBorders>
            <w:shd w:val="clear" w:color="000000" w:fill="FFFFFF"/>
          </w:tcPr>
          <w:p w14:paraId="67BCD237"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2211E5AC" w14:textId="77777777" w:rsidTr="00FA543A">
        <w:trPr>
          <w:trHeight w:val="143"/>
          <w:jc w:val="center"/>
        </w:trPr>
        <w:tc>
          <w:tcPr>
            <w:tcW w:w="2954" w:type="pct"/>
            <w:tcBorders>
              <w:top w:val="nil"/>
              <w:left w:val="nil"/>
              <w:bottom w:val="nil"/>
              <w:right w:val="nil"/>
            </w:tcBorders>
            <w:shd w:val="clear" w:color="000000" w:fill="FFFFFF"/>
            <w:noWrap/>
            <w:vAlign w:val="bottom"/>
          </w:tcPr>
          <w:p w14:paraId="1BFAA1EB" w14:textId="7FC5BF35"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Príspevkové organizácie </w:t>
            </w:r>
          </w:p>
        </w:tc>
        <w:tc>
          <w:tcPr>
            <w:tcW w:w="643" w:type="pct"/>
            <w:tcBorders>
              <w:top w:val="nil"/>
              <w:left w:val="nil"/>
              <w:bottom w:val="nil"/>
              <w:right w:val="nil"/>
            </w:tcBorders>
            <w:shd w:val="clear" w:color="000000" w:fill="FFFFFF"/>
            <w:noWrap/>
            <w:vAlign w:val="center"/>
          </w:tcPr>
          <w:p w14:paraId="7922867D" w14:textId="60453F06" w:rsidR="00FA543A" w:rsidRPr="00375DEA"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114</w:t>
            </w:r>
          </w:p>
        </w:tc>
        <w:tc>
          <w:tcPr>
            <w:tcW w:w="530" w:type="pct"/>
            <w:tcBorders>
              <w:top w:val="nil"/>
              <w:left w:val="nil"/>
              <w:bottom w:val="nil"/>
              <w:right w:val="nil"/>
            </w:tcBorders>
            <w:shd w:val="clear" w:color="000000" w:fill="FFFFFF"/>
            <w:noWrap/>
            <w:vAlign w:val="center"/>
          </w:tcPr>
          <w:p w14:paraId="3C8E6C9C" w14:textId="5B8FC33D" w:rsidR="00FA543A" w:rsidRPr="00375DEA"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132</w:t>
            </w:r>
          </w:p>
        </w:tc>
        <w:tc>
          <w:tcPr>
            <w:tcW w:w="679" w:type="pct"/>
            <w:tcBorders>
              <w:top w:val="nil"/>
              <w:left w:val="nil"/>
              <w:bottom w:val="nil"/>
              <w:right w:val="nil"/>
            </w:tcBorders>
            <w:shd w:val="clear" w:color="000000" w:fill="FFFFFF"/>
            <w:vAlign w:val="center"/>
          </w:tcPr>
          <w:p w14:paraId="3EE9789C" w14:textId="3541D0E1" w:rsidR="00FA543A" w:rsidRPr="00375DEA"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-18</w:t>
            </w:r>
          </w:p>
        </w:tc>
        <w:tc>
          <w:tcPr>
            <w:tcW w:w="193" w:type="pct"/>
            <w:tcBorders>
              <w:top w:val="nil"/>
              <w:left w:val="nil"/>
              <w:bottom w:val="nil"/>
              <w:right w:val="nil"/>
            </w:tcBorders>
            <w:shd w:val="clear" w:color="000000" w:fill="FFFFFF"/>
          </w:tcPr>
          <w:p w14:paraId="1DC4CDA5"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121DCB16" w14:textId="77777777" w:rsidTr="00FA543A">
        <w:trPr>
          <w:trHeight w:val="217"/>
          <w:jc w:val="center"/>
        </w:trPr>
        <w:tc>
          <w:tcPr>
            <w:tcW w:w="2954" w:type="pct"/>
            <w:tcBorders>
              <w:top w:val="nil"/>
              <w:left w:val="nil"/>
              <w:bottom w:val="nil"/>
              <w:right w:val="nil"/>
            </w:tcBorders>
            <w:shd w:val="clear" w:color="000000" w:fill="FFFFFF"/>
            <w:noWrap/>
            <w:vAlign w:val="bottom"/>
          </w:tcPr>
          <w:p w14:paraId="23A4A9D7" w14:textId="38F719C9"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Verejné výskumné inštitúcie </w:t>
            </w:r>
          </w:p>
        </w:tc>
        <w:tc>
          <w:tcPr>
            <w:tcW w:w="643" w:type="pct"/>
            <w:tcBorders>
              <w:top w:val="nil"/>
              <w:left w:val="nil"/>
              <w:bottom w:val="nil"/>
              <w:right w:val="nil"/>
            </w:tcBorders>
            <w:shd w:val="clear" w:color="000000" w:fill="FFFFFF"/>
            <w:noWrap/>
            <w:vAlign w:val="center"/>
          </w:tcPr>
          <w:p w14:paraId="7F1452FA" w14:textId="7AA509E2" w:rsidR="00FA543A" w:rsidRPr="001F6FF4"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47</w:t>
            </w:r>
          </w:p>
        </w:tc>
        <w:tc>
          <w:tcPr>
            <w:tcW w:w="530" w:type="pct"/>
            <w:tcBorders>
              <w:top w:val="nil"/>
              <w:left w:val="nil"/>
              <w:bottom w:val="nil"/>
              <w:right w:val="nil"/>
            </w:tcBorders>
            <w:shd w:val="clear" w:color="000000" w:fill="FFFFFF"/>
            <w:noWrap/>
            <w:vAlign w:val="center"/>
          </w:tcPr>
          <w:p w14:paraId="49C031A9" w14:textId="28792973" w:rsidR="00FA543A" w:rsidRPr="001F6FF4"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0</w:t>
            </w:r>
          </w:p>
        </w:tc>
        <w:tc>
          <w:tcPr>
            <w:tcW w:w="679" w:type="pct"/>
            <w:tcBorders>
              <w:top w:val="nil"/>
              <w:left w:val="nil"/>
              <w:bottom w:val="nil"/>
              <w:right w:val="nil"/>
            </w:tcBorders>
            <w:shd w:val="clear" w:color="000000" w:fill="FFFFFF"/>
            <w:vAlign w:val="center"/>
          </w:tcPr>
          <w:p w14:paraId="6D3E0F83" w14:textId="4B37EE7A" w:rsidR="00FA543A" w:rsidRPr="001F6FF4"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47</w:t>
            </w:r>
          </w:p>
        </w:tc>
        <w:tc>
          <w:tcPr>
            <w:tcW w:w="193" w:type="pct"/>
            <w:tcBorders>
              <w:top w:val="nil"/>
              <w:left w:val="nil"/>
              <w:bottom w:val="nil"/>
              <w:right w:val="nil"/>
            </w:tcBorders>
            <w:shd w:val="clear" w:color="000000" w:fill="FFFFFF"/>
          </w:tcPr>
          <w:p w14:paraId="00E5FCBF"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5381AED7" w14:textId="77777777" w:rsidTr="00FA543A">
        <w:trPr>
          <w:trHeight w:val="217"/>
          <w:jc w:val="center"/>
        </w:trPr>
        <w:tc>
          <w:tcPr>
            <w:tcW w:w="2954" w:type="pct"/>
            <w:tcBorders>
              <w:top w:val="nil"/>
              <w:left w:val="nil"/>
              <w:bottom w:val="nil"/>
              <w:right w:val="nil"/>
            </w:tcBorders>
            <w:shd w:val="clear" w:color="000000" w:fill="FFFFFF"/>
            <w:noWrap/>
            <w:vAlign w:val="bottom"/>
          </w:tcPr>
          <w:p w14:paraId="11F6D1A9" w14:textId="4C62FDC4"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Obchodné spoločnosti štátu a štátne podniky</w:t>
            </w:r>
          </w:p>
        </w:tc>
        <w:tc>
          <w:tcPr>
            <w:tcW w:w="643" w:type="pct"/>
            <w:tcBorders>
              <w:top w:val="nil"/>
              <w:left w:val="nil"/>
              <w:bottom w:val="nil"/>
              <w:right w:val="nil"/>
            </w:tcBorders>
            <w:shd w:val="clear" w:color="000000" w:fill="FFFFFF"/>
            <w:noWrap/>
            <w:vAlign w:val="center"/>
          </w:tcPr>
          <w:p w14:paraId="44D5F13F" w14:textId="0CAE2ABD" w:rsidR="00FA543A" w:rsidRPr="001F6FF4"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81</w:t>
            </w:r>
          </w:p>
        </w:tc>
        <w:tc>
          <w:tcPr>
            <w:tcW w:w="530" w:type="pct"/>
            <w:tcBorders>
              <w:top w:val="nil"/>
              <w:left w:val="nil"/>
              <w:bottom w:val="nil"/>
              <w:right w:val="nil"/>
            </w:tcBorders>
            <w:shd w:val="clear" w:color="000000" w:fill="FFFFFF"/>
            <w:noWrap/>
            <w:vAlign w:val="center"/>
          </w:tcPr>
          <w:p w14:paraId="5E94E835" w14:textId="10AA42AB" w:rsidR="00FA543A" w:rsidRPr="001F6FF4"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79</w:t>
            </w:r>
          </w:p>
        </w:tc>
        <w:tc>
          <w:tcPr>
            <w:tcW w:w="679" w:type="pct"/>
            <w:tcBorders>
              <w:top w:val="nil"/>
              <w:left w:val="nil"/>
              <w:bottom w:val="nil"/>
              <w:right w:val="nil"/>
            </w:tcBorders>
            <w:shd w:val="clear" w:color="000000" w:fill="FFFFFF"/>
            <w:vAlign w:val="center"/>
          </w:tcPr>
          <w:p w14:paraId="119D2FCB" w14:textId="6ECC61D3" w:rsidR="00FA543A" w:rsidRPr="001F6FF4"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w:t>
            </w:r>
          </w:p>
        </w:tc>
        <w:tc>
          <w:tcPr>
            <w:tcW w:w="193" w:type="pct"/>
            <w:tcBorders>
              <w:top w:val="nil"/>
              <w:left w:val="nil"/>
              <w:bottom w:val="nil"/>
              <w:right w:val="nil"/>
            </w:tcBorders>
            <w:shd w:val="clear" w:color="000000" w:fill="FFFFFF"/>
          </w:tcPr>
          <w:p w14:paraId="563F3FDC"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39A59BA5" w14:textId="77777777" w:rsidTr="00FA543A">
        <w:trPr>
          <w:trHeight w:val="217"/>
          <w:jc w:val="center"/>
        </w:trPr>
        <w:tc>
          <w:tcPr>
            <w:tcW w:w="2954" w:type="pct"/>
            <w:tcBorders>
              <w:top w:val="nil"/>
              <w:left w:val="nil"/>
              <w:bottom w:val="nil"/>
              <w:right w:val="nil"/>
            </w:tcBorders>
            <w:shd w:val="clear" w:color="000000" w:fill="FFFFFF"/>
            <w:noWrap/>
            <w:vAlign w:val="bottom"/>
          </w:tcPr>
          <w:p w14:paraId="76E47498" w14:textId="31D1D556"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Štátne účelové fondy</w:t>
            </w:r>
          </w:p>
        </w:tc>
        <w:tc>
          <w:tcPr>
            <w:tcW w:w="643" w:type="pct"/>
            <w:tcBorders>
              <w:top w:val="nil"/>
              <w:left w:val="nil"/>
              <w:bottom w:val="nil"/>
              <w:right w:val="nil"/>
            </w:tcBorders>
            <w:shd w:val="clear" w:color="000000" w:fill="FFFFFF"/>
            <w:noWrap/>
            <w:vAlign w:val="center"/>
          </w:tcPr>
          <w:p w14:paraId="3559EE92" w14:textId="59F21D7B" w:rsidR="00FA543A" w:rsidRPr="001F6FF4"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3</w:t>
            </w:r>
          </w:p>
        </w:tc>
        <w:tc>
          <w:tcPr>
            <w:tcW w:w="530" w:type="pct"/>
            <w:tcBorders>
              <w:top w:val="nil"/>
              <w:left w:val="nil"/>
              <w:bottom w:val="nil"/>
              <w:right w:val="nil"/>
            </w:tcBorders>
            <w:shd w:val="clear" w:color="000000" w:fill="FFFFFF"/>
            <w:noWrap/>
            <w:vAlign w:val="center"/>
          </w:tcPr>
          <w:p w14:paraId="56221A8C" w14:textId="3861DE56" w:rsidR="00FA543A" w:rsidRPr="001F6FF4"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3</w:t>
            </w:r>
          </w:p>
        </w:tc>
        <w:tc>
          <w:tcPr>
            <w:tcW w:w="679" w:type="pct"/>
            <w:tcBorders>
              <w:top w:val="nil"/>
              <w:left w:val="nil"/>
              <w:bottom w:val="nil"/>
              <w:right w:val="nil"/>
            </w:tcBorders>
            <w:shd w:val="clear" w:color="000000" w:fill="FFFFFF"/>
            <w:vAlign w:val="center"/>
          </w:tcPr>
          <w:p w14:paraId="75615FF2" w14:textId="1D9B5D3D" w:rsidR="00FA543A" w:rsidRPr="001F6FF4"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c>
          <w:tcPr>
            <w:tcW w:w="193" w:type="pct"/>
            <w:tcBorders>
              <w:top w:val="nil"/>
              <w:left w:val="nil"/>
              <w:bottom w:val="nil"/>
              <w:right w:val="nil"/>
            </w:tcBorders>
            <w:shd w:val="clear" w:color="000000" w:fill="FFFFFF"/>
          </w:tcPr>
          <w:p w14:paraId="33AAC71E"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5DD08B23" w14:textId="77777777" w:rsidTr="00FA543A">
        <w:trPr>
          <w:trHeight w:val="149"/>
          <w:jc w:val="center"/>
        </w:trPr>
        <w:tc>
          <w:tcPr>
            <w:tcW w:w="2954" w:type="pct"/>
            <w:tcBorders>
              <w:top w:val="nil"/>
              <w:left w:val="nil"/>
              <w:bottom w:val="nil"/>
              <w:right w:val="nil"/>
            </w:tcBorders>
            <w:shd w:val="clear" w:color="000000" w:fill="FFFFFF"/>
            <w:noWrap/>
            <w:vAlign w:val="bottom"/>
          </w:tcPr>
          <w:p w14:paraId="1C04B81A" w14:textId="77777777" w:rsidR="00FA543A" w:rsidRPr="008E6EF2" w:rsidRDefault="00FA543A" w:rsidP="00FA543A">
            <w:pPr>
              <w:spacing w:after="0" w:line="240" w:lineRule="auto"/>
              <w:rPr>
                <w:rFonts w:ascii="Times New Roman" w:hAnsi="Times New Roman"/>
                <w:b/>
                <w:sz w:val="18"/>
                <w:szCs w:val="18"/>
                <w:lang w:eastAsia="sk-SK"/>
              </w:rPr>
            </w:pPr>
            <w:r w:rsidRPr="008E6EF2">
              <w:rPr>
                <w:rFonts w:ascii="Times New Roman" w:hAnsi="Times New Roman"/>
                <w:b/>
                <w:sz w:val="18"/>
                <w:szCs w:val="18"/>
                <w:lang w:eastAsia="sk-SK"/>
              </w:rPr>
              <w:t>Územná samospráva</w:t>
            </w:r>
          </w:p>
        </w:tc>
        <w:tc>
          <w:tcPr>
            <w:tcW w:w="643" w:type="pct"/>
            <w:tcBorders>
              <w:top w:val="nil"/>
              <w:left w:val="nil"/>
              <w:bottom w:val="nil"/>
              <w:right w:val="nil"/>
            </w:tcBorders>
            <w:shd w:val="clear" w:color="000000" w:fill="FFFFFF"/>
            <w:noWrap/>
            <w:vAlign w:val="center"/>
          </w:tcPr>
          <w:p w14:paraId="7C1789C2" w14:textId="52C25A78" w:rsidR="00FA543A" w:rsidRPr="00825692" w:rsidRDefault="00FA543A" w:rsidP="00FA543A">
            <w:pPr>
              <w:spacing w:after="0" w:line="240" w:lineRule="auto"/>
              <w:jc w:val="center"/>
              <w:rPr>
                <w:rFonts w:ascii="Times New Roman" w:hAnsi="Times New Roman"/>
                <w:b/>
                <w:sz w:val="18"/>
                <w:szCs w:val="18"/>
                <w:lang w:eastAsia="sk-SK"/>
              </w:rPr>
            </w:pPr>
            <w:r w:rsidRPr="00C66720">
              <w:rPr>
                <w:rFonts w:ascii="Times New Roman" w:hAnsi="Times New Roman"/>
                <w:b/>
                <w:sz w:val="18"/>
                <w:szCs w:val="18"/>
                <w:lang w:eastAsia="sk-SK"/>
              </w:rPr>
              <w:t>6 898</w:t>
            </w:r>
          </w:p>
        </w:tc>
        <w:tc>
          <w:tcPr>
            <w:tcW w:w="530" w:type="pct"/>
            <w:tcBorders>
              <w:top w:val="nil"/>
              <w:left w:val="nil"/>
              <w:bottom w:val="nil"/>
              <w:right w:val="nil"/>
            </w:tcBorders>
            <w:shd w:val="clear" w:color="000000" w:fill="FFFFFF"/>
            <w:noWrap/>
            <w:vAlign w:val="center"/>
          </w:tcPr>
          <w:p w14:paraId="2E0CC489" w14:textId="0515862A" w:rsidR="00FA543A" w:rsidRPr="00825692" w:rsidRDefault="00FA543A" w:rsidP="00FA543A">
            <w:pPr>
              <w:spacing w:after="0" w:line="240" w:lineRule="auto"/>
              <w:jc w:val="center"/>
              <w:rPr>
                <w:rFonts w:ascii="Times New Roman" w:hAnsi="Times New Roman"/>
                <w:b/>
                <w:sz w:val="18"/>
                <w:szCs w:val="18"/>
                <w:lang w:eastAsia="sk-SK"/>
              </w:rPr>
            </w:pPr>
            <w:r w:rsidRPr="00C66720">
              <w:rPr>
                <w:rFonts w:ascii="Times New Roman" w:hAnsi="Times New Roman"/>
                <w:b/>
                <w:sz w:val="18"/>
                <w:szCs w:val="18"/>
                <w:lang w:eastAsia="sk-SK"/>
              </w:rPr>
              <w:t>6 905</w:t>
            </w:r>
          </w:p>
        </w:tc>
        <w:tc>
          <w:tcPr>
            <w:tcW w:w="679" w:type="pct"/>
            <w:tcBorders>
              <w:top w:val="nil"/>
              <w:left w:val="nil"/>
              <w:bottom w:val="nil"/>
              <w:right w:val="nil"/>
            </w:tcBorders>
            <w:shd w:val="clear" w:color="000000" w:fill="FFFFFF"/>
            <w:vAlign w:val="center"/>
          </w:tcPr>
          <w:p w14:paraId="3ADC90F7" w14:textId="25C8A132" w:rsidR="00FA543A" w:rsidRPr="00825692" w:rsidRDefault="00FA543A" w:rsidP="00FA543A">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-7</w:t>
            </w:r>
          </w:p>
        </w:tc>
        <w:tc>
          <w:tcPr>
            <w:tcW w:w="193" w:type="pct"/>
            <w:tcBorders>
              <w:top w:val="nil"/>
              <w:left w:val="nil"/>
              <w:bottom w:val="nil"/>
              <w:right w:val="nil"/>
            </w:tcBorders>
            <w:shd w:val="clear" w:color="000000" w:fill="FFFFFF"/>
          </w:tcPr>
          <w:p w14:paraId="3AB21B5D" w14:textId="77777777" w:rsidR="00FA543A" w:rsidRPr="008E6EF2" w:rsidRDefault="00FA543A" w:rsidP="00FA543A">
            <w:pPr>
              <w:spacing w:after="0" w:line="240" w:lineRule="auto"/>
              <w:jc w:val="right"/>
              <w:rPr>
                <w:rFonts w:ascii="Times New Roman" w:hAnsi="Times New Roman"/>
                <w:b/>
                <w:color w:val="FF0000"/>
                <w:sz w:val="18"/>
                <w:szCs w:val="18"/>
                <w:lang w:eastAsia="sk-SK"/>
              </w:rPr>
            </w:pPr>
          </w:p>
        </w:tc>
      </w:tr>
      <w:tr w:rsidR="00FA543A" w:rsidRPr="008E6EF2" w14:paraId="11BCD412" w14:textId="77777777" w:rsidTr="00FA543A">
        <w:trPr>
          <w:trHeight w:val="223"/>
          <w:jc w:val="center"/>
        </w:trPr>
        <w:tc>
          <w:tcPr>
            <w:tcW w:w="2954" w:type="pct"/>
            <w:tcBorders>
              <w:top w:val="nil"/>
              <w:left w:val="nil"/>
              <w:bottom w:val="nil"/>
              <w:right w:val="nil"/>
            </w:tcBorders>
            <w:shd w:val="clear" w:color="000000" w:fill="FFFFFF"/>
            <w:noWrap/>
            <w:vAlign w:val="bottom"/>
          </w:tcPr>
          <w:p w14:paraId="24769B14" w14:textId="1CDCCDE3"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Rozpočtové organizácie </w:t>
            </w:r>
          </w:p>
        </w:tc>
        <w:tc>
          <w:tcPr>
            <w:tcW w:w="643" w:type="pct"/>
            <w:tcBorders>
              <w:top w:val="nil"/>
              <w:left w:val="nil"/>
              <w:bottom w:val="nil"/>
              <w:right w:val="nil"/>
            </w:tcBorders>
            <w:shd w:val="clear" w:color="000000" w:fill="FFFFFF"/>
            <w:noWrap/>
            <w:vAlign w:val="center"/>
          </w:tcPr>
          <w:p w14:paraId="75280E2D" w14:textId="5DD34552" w:rsidR="00FA543A" w:rsidRPr="00825692"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2 660</w:t>
            </w:r>
          </w:p>
        </w:tc>
        <w:tc>
          <w:tcPr>
            <w:tcW w:w="530" w:type="pct"/>
            <w:tcBorders>
              <w:top w:val="nil"/>
              <w:left w:val="nil"/>
              <w:bottom w:val="nil"/>
              <w:right w:val="nil"/>
            </w:tcBorders>
            <w:shd w:val="clear" w:color="000000" w:fill="FFFFFF"/>
            <w:noWrap/>
            <w:vAlign w:val="center"/>
          </w:tcPr>
          <w:p w14:paraId="1CB4D23B" w14:textId="0D173C0D" w:rsidR="00FA543A" w:rsidRPr="00825692"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2 694</w:t>
            </w:r>
          </w:p>
        </w:tc>
        <w:tc>
          <w:tcPr>
            <w:tcW w:w="679" w:type="pct"/>
            <w:tcBorders>
              <w:top w:val="nil"/>
              <w:left w:val="nil"/>
              <w:bottom w:val="nil"/>
              <w:right w:val="nil"/>
            </w:tcBorders>
            <w:shd w:val="clear" w:color="000000" w:fill="FFFFFF"/>
            <w:vAlign w:val="center"/>
          </w:tcPr>
          <w:p w14:paraId="5FF1DAE7" w14:textId="4F67695B" w:rsidR="00FA543A" w:rsidRPr="00825692"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-34</w:t>
            </w:r>
          </w:p>
        </w:tc>
        <w:tc>
          <w:tcPr>
            <w:tcW w:w="193" w:type="pct"/>
            <w:tcBorders>
              <w:top w:val="nil"/>
              <w:left w:val="nil"/>
              <w:bottom w:val="nil"/>
              <w:right w:val="nil"/>
            </w:tcBorders>
            <w:shd w:val="clear" w:color="000000" w:fill="FFFFFF"/>
          </w:tcPr>
          <w:p w14:paraId="5C67B5F8"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29CF12CA" w14:textId="77777777" w:rsidTr="00FA543A">
        <w:trPr>
          <w:trHeight w:val="141"/>
          <w:jc w:val="center"/>
        </w:trPr>
        <w:tc>
          <w:tcPr>
            <w:tcW w:w="2954" w:type="pct"/>
            <w:tcBorders>
              <w:top w:val="nil"/>
              <w:left w:val="nil"/>
              <w:bottom w:val="nil"/>
              <w:right w:val="nil"/>
            </w:tcBorders>
            <w:shd w:val="clear" w:color="000000" w:fill="FFFFFF"/>
            <w:noWrap/>
            <w:vAlign w:val="bottom"/>
          </w:tcPr>
          <w:p w14:paraId="14207C60" w14:textId="4D41AF76"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Príspevkové organizácie </w:t>
            </w:r>
          </w:p>
        </w:tc>
        <w:tc>
          <w:tcPr>
            <w:tcW w:w="643" w:type="pct"/>
            <w:tcBorders>
              <w:top w:val="nil"/>
              <w:left w:val="nil"/>
              <w:bottom w:val="nil"/>
              <w:right w:val="nil"/>
            </w:tcBorders>
            <w:shd w:val="clear" w:color="000000" w:fill="FFFFFF"/>
            <w:noWrap/>
            <w:vAlign w:val="center"/>
          </w:tcPr>
          <w:p w14:paraId="3D502D71" w14:textId="6BF50ED1"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605</w:t>
            </w:r>
          </w:p>
        </w:tc>
        <w:tc>
          <w:tcPr>
            <w:tcW w:w="530" w:type="pct"/>
            <w:tcBorders>
              <w:top w:val="nil"/>
              <w:left w:val="nil"/>
              <w:bottom w:val="nil"/>
              <w:right w:val="nil"/>
            </w:tcBorders>
            <w:shd w:val="clear" w:color="000000" w:fill="FFFFFF"/>
            <w:noWrap/>
            <w:vAlign w:val="center"/>
          </w:tcPr>
          <w:p w14:paraId="47EC153A" w14:textId="334656AC"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617</w:t>
            </w:r>
          </w:p>
        </w:tc>
        <w:tc>
          <w:tcPr>
            <w:tcW w:w="679" w:type="pct"/>
            <w:tcBorders>
              <w:top w:val="nil"/>
              <w:left w:val="nil"/>
              <w:bottom w:val="nil"/>
              <w:right w:val="nil"/>
            </w:tcBorders>
            <w:shd w:val="clear" w:color="000000" w:fill="FFFFFF"/>
            <w:vAlign w:val="center"/>
          </w:tcPr>
          <w:p w14:paraId="46F72F5B" w14:textId="2C77C9F2" w:rsidR="00FA543A" w:rsidRPr="00953A7B" w:rsidRDefault="00FA543A" w:rsidP="00FA543A">
            <w:pPr>
              <w:tabs>
                <w:tab w:val="center" w:pos="659"/>
                <w:tab w:val="right" w:pos="1318"/>
              </w:tabs>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w:t>
            </w:r>
          </w:p>
        </w:tc>
        <w:tc>
          <w:tcPr>
            <w:tcW w:w="193" w:type="pct"/>
            <w:tcBorders>
              <w:top w:val="nil"/>
              <w:left w:val="nil"/>
              <w:bottom w:val="nil"/>
              <w:right w:val="nil"/>
            </w:tcBorders>
            <w:shd w:val="clear" w:color="000000" w:fill="FFFFFF"/>
          </w:tcPr>
          <w:p w14:paraId="13E0955F" w14:textId="77777777" w:rsidR="00FA543A" w:rsidRPr="008E6EF2" w:rsidRDefault="00FA543A" w:rsidP="00FA543A">
            <w:pPr>
              <w:tabs>
                <w:tab w:val="center" w:pos="659"/>
                <w:tab w:val="right" w:pos="1318"/>
              </w:tabs>
              <w:spacing w:after="0" w:line="240" w:lineRule="auto"/>
              <w:jc w:val="right"/>
              <w:rPr>
                <w:rFonts w:ascii="Times New Roman" w:hAnsi="Times New Roman"/>
                <w:color w:val="FF0000"/>
                <w:sz w:val="18"/>
                <w:szCs w:val="18"/>
                <w:lang w:eastAsia="sk-SK"/>
              </w:rPr>
            </w:pPr>
          </w:p>
        </w:tc>
      </w:tr>
      <w:tr w:rsidR="00FA543A" w:rsidRPr="008E6EF2" w14:paraId="783C44A8" w14:textId="77777777" w:rsidTr="00FA543A">
        <w:trPr>
          <w:trHeight w:val="216"/>
          <w:jc w:val="center"/>
        </w:trPr>
        <w:tc>
          <w:tcPr>
            <w:tcW w:w="2954" w:type="pct"/>
            <w:tcBorders>
              <w:top w:val="nil"/>
              <w:left w:val="nil"/>
              <w:bottom w:val="nil"/>
              <w:right w:val="nil"/>
            </w:tcBorders>
            <w:shd w:val="clear" w:color="000000" w:fill="FFFFFF"/>
            <w:noWrap/>
            <w:vAlign w:val="bottom"/>
          </w:tcPr>
          <w:p w14:paraId="0810887B" w14:textId="0A8B0B01"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Obchodné spoločnosti územnej samosprávy</w:t>
            </w:r>
          </w:p>
        </w:tc>
        <w:tc>
          <w:tcPr>
            <w:tcW w:w="643" w:type="pct"/>
            <w:tcBorders>
              <w:top w:val="nil"/>
              <w:left w:val="nil"/>
              <w:bottom w:val="nil"/>
              <w:right w:val="nil"/>
            </w:tcBorders>
            <w:shd w:val="clear" w:color="000000" w:fill="FFFFFF"/>
            <w:noWrap/>
            <w:vAlign w:val="center"/>
          </w:tcPr>
          <w:p w14:paraId="7D5099E4" w14:textId="1331E0C9"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699</w:t>
            </w:r>
          </w:p>
        </w:tc>
        <w:tc>
          <w:tcPr>
            <w:tcW w:w="530" w:type="pct"/>
            <w:tcBorders>
              <w:top w:val="nil"/>
              <w:left w:val="nil"/>
              <w:bottom w:val="nil"/>
              <w:right w:val="nil"/>
            </w:tcBorders>
            <w:shd w:val="clear" w:color="000000" w:fill="FFFFFF"/>
            <w:noWrap/>
            <w:vAlign w:val="center"/>
          </w:tcPr>
          <w:p w14:paraId="182CBD69" w14:textId="7B893411"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660</w:t>
            </w:r>
          </w:p>
        </w:tc>
        <w:tc>
          <w:tcPr>
            <w:tcW w:w="679" w:type="pct"/>
            <w:tcBorders>
              <w:top w:val="nil"/>
              <w:left w:val="nil"/>
              <w:bottom w:val="nil"/>
              <w:right w:val="nil"/>
            </w:tcBorders>
            <w:shd w:val="clear" w:color="000000" w:fill="FFFFFF"/>
            <w:vAlign w:val="center"/>
          </w:tcPr>
          <w:p w14:paraId="076B291C" w14:textId="599F6117" w:rsidR="00FA543A" w:rsidRPr="00953A7B"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39</w:t>
            </w:r>
          </w:p>
        </w:tc>
        <w:tc>
          <w:tcPr>
            <w:tcW w:w="193" w:type="pct"/>
            <w:tcBorders>
              <w:top w:val="nil"/>
              <w:left w:val="nil"/>
              <w:bottom w:val="nil"/>
              <w:right w:val="nil"/>
            </w:tcBorders>
            <w:shd w:val="clear" w:color="000000" w:fill="FFFFFF"/>
          </w:tcPr>
          <w:p w14:paraId="3514C0FC"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3547E3F2" w14:textId="77777777" w:rsidTr="00FA543A">
        <w:trPr>
          <w:trHeight w:val="147"/>
          <w:jc w:val="center"/>
        </w:trPr>
        <w:tc>
          <w:tcPr>
            <w:tcW w:w="2954" w:type="pct"/>
            <w:tcBorders>
              <w:top w:val="nil"/>
              <w:left w:val="nil"/>
              <w:bottom w:val="nil"/>
              <w:right w:val="nil"/>
            </w:tcBorders>
            <w:shd w:val="clear" w:color="000000" w:fill="FFFFFF"/>
            <w:noWrap/>
            <w:vAlign w:val="bottom"/>
          </w:tcPr>
          <w:p w14:paraId="3B22DB51" w14:textId="525CA55E"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Obce</w:t>
            </w:r>
          </w:p>
        </w:tc>
        <w:tc>
          <w:tcPr>
            <w:tcW w:w="643" w:type="pct"/>
            <w:tcBorders>
              <w:top w:val="nil"/>
              <w:left w:val="nil"/>
              <w:bottom w:val="nil"/>
              <w:right w:val="nil"/>
            </w:tcBorders>
            <w:shd w:val="clear" w:color="000000" w:fill="FFFFFF"/>
            <w:noWrap/>
            <w:vAlign w:val="center"/>
          </w:tcPr>
          <w:p w14:paraId="434476B0" w14:textId="4740E436"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2 926</w:t>
            </w:r>
          </w:p>
        </w:tc>
        <w:tc>
          <w:tcPr>
            <w:tcW w:w="530" w:type="pct"/>
            <w:tcBorders>
              <w:top w:val="nil"/>
              <w:left w:val="nil"/>
              <w:bottom w:val="nil"/>
              <w:right w:val="nil"/>
            </w:tcBorders>
            <w:shd w:val="clear" w:color="000000" w:fill="FFFFFF"/>
            <w:noWrap/>
            <w:vAlign w:val="center"/>
          </w:tcPr>
          <w:p w14:paraId="348A039F" w14:textId="1F7FB606"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2 926</w:t>
            </w:r>
          </w:p>
        </w:tc>
        <w:tc>
          <w:tcPr>
            <w:tcW w:w="679" w:type="pct"/>
            <w:tcBorders>
              <w:top w:val="nil"/>
              <w:left w:val="nil"/>
              <w:bottom w:val="nil"/>
              <w:right w:val="nil"/>
            </w:tcBorders>
            <w:shd w:val="clear" w:color="000000" w:fill="FFFFFF"/>
            <w:vAlign w:val="center"/>
          </w:tcPr>
          <w:p w14:paraId="2DB9C1C1" w14:textId="0176C5D2" w:rsidR="00FA543A" w:rsidRPr="00953A7B"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c>
          <w:tcPr>
            <w:tcW w:w="193" w:type="pct"/>
            <w:tcBorders>
              <w:top w:val="nil"/>
              <w:left w:val="nil"/>
              <w:bottom w:val="nil"/>
              <w:right w:val="nil"/>
            </w:tcBorders>
            <w:shd w:val="clear" w:color="000000" w:fill="FFFFFF"/>
          </w:tcPr>
          <w:p w14:paraId="4A4ADE88"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6BEDB124" w14:textId="77777777" w:rsidTr="00FA543A">
        <w:trPr>
          <w:trHeight w:val="147"/>
          <w:jc w:val="center"/>
        </w:trPr>
        <w:tc>
          <w:tcPr>
            <w:tcW w:w="2954" w:type="pct"/>
            <w:tcBorders>
              <w:top w:val="nil"/>
              <w:left w:val="nil"/>
              <w:bottom w:val="nil"/>
              <w:right w:val="nil"/>
            </w:tcBorders>
            <w:shd w:val="clear" w:color="000000" w:fill="FFFFFF"/>
            <w:noWrap/>
            <w:vAlign w:val="bottom"/>
          </w:tcPr>
          <w:p w14:paraId="61DC67F4" w14:textId="31A30F05"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Vyššie územné celky</w:t>
            </w:r>
          </w:p>
        </w:tc>
        <w:tc>
          <w:tcPr>
            <w:tcW w:w="643" w:type="pct"/>
            <w:tcBorders>
              <w:top w:val="nil"/>
              <w:left w:val="nil"/>
              <w:bottom w:val="nil"/>
              <w:right w:val="nil"/>
            </w:tcBorders>
            <w:shd w:val="clear" w:color="000000" w:fill="FFFFFF"/>
            <w:noWrap/>
            <w:vAlign w:val="center"/>
          </w:tcPr>
          <w:p w14:paraId="5F8CF459" w14:textId="5783F5F3"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8</w:t>
            </w:r>
          </w:p>
        </w:tc>
        <w:tc>
          <w:tcPr>
            <w:tcW w:w="530" w:type="pct"/>
            <w:tcBorders>
              <w:top w:val="nil"/>
              <w:left w:val="nil"/>
              <w:bottom w:val="nil"/>
              <w:right w:val="nil"/>
            </w:tcBorders>
            <w:shd w:val="clear" w:color="000000" w:fill="FFFFFF"/>
            <w:noWrap/>
            <w:vAlign w:val="center"/>
          </w:tcPr>
          <w:p w14:paraId="3D86EC13" w14:textId="7C7F61E3"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8</w:t>
            </w:r>
          </w:p>
        </w:tc>
        <w:tc>
          <w:tcPr>
            <w:tcW w:w="679" w:type="pct"/>
            <w:tcBorders>
              <w:top w:val="nil"/>
              <w:left w:val="nil"/>
              <w:bottom w:val="nil"/>
              <w:right w:val="nil"/>
            </w:tcBorders>
            <w:shd w:val="clear" w:color="000000" w:fill="FFFFFF"/>
            <w:vAlign w:val="center"/>
          </w:tcPr>
          <w:p w14:paraId="7C1B6466" w14:textId="3DDB2FE9" w:rsidR="00FA543A" w:rsidRPr="00953A7B"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c>
          <w:tcPr>
            <w:tcW w:w="193" w:type="pct"/>
            <w:tcBorders>
              <w:top w:val="nil"/>
              <w:left w:val="nil"/>
              <w:bottom w:val="nil"/>
              <w:right w:val="nil"/>
            </w:tcBorders>
            <w:shd w:val="clear" w:color="000000" w:fill="FFFFFF"/>
          </w:tcPr>
          <w:p w14:paraId="41E7928B"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4F813CF5" w14:textId="77777777" w:rsidTr="00FA543A">
        <w:trPr>
          <w:trHeight w:val="221"/>
          <w:jc w:val="center"/>
        </w:trPr>
        <w:tc>
          <w:tcPr>
            <w:tcW w:w="2954" w:type="pct"/>
            <w:tcBorders>
              <w:top w:val="nil"/>
              <w:left w:val="nil"/>
              <w:bottom w:val="nil"/>
              <w:right w:val="nil"/>
            </w:tcBorders>
            <w:shd w:val="clear" w:color="000000" w:fill="FFFFFF"/>
            <w:noWrap/>
            <w:vAlign w:val="bottom"/>
          </w:tcPr>
          <w:p w14:paraId="22007AE8" w14:textId="77777777" w:rsidR="00FA543A" w:rsidRPr="008E6EF2" w:rsidRDefault="00FA543A" w:rsidP="00FA543A">
            <w:pPr>
              <w:spacing w:after="0" w:line="240" w:lineRule="auto"/>
              <w:rPr>
                <w:rFonts w:ascii="Times New Roman" w:hAnsi="Times New Roman"/>
                <w:b/>
                <w:sz w:val="18"/>
                <w:szCs w:val="18"/>
                <w:lang w:eastAsia="sk-SK"/>
              </w:rPr>
            </w:pPr>
            <w:r w:rsidRPr="008E6EF2">
              <w:rPr>
                <w:rFonts w:ascii="Times New Roman" w:hAnsi="Times New Roman"/>
                <w:b/>
                <w:sz w:val="18"/>
                <w:szCs w:val="18"/>
                <w:lang w:eastAsia="sk-SK"/>
              </w:rPr>
              <w:t xml:space="preserve">Ostatné subjekty </w:t>
            </w:r>
          </w:p>
        </w:tc>
        <w:tc>
          <w:tcPr>
            <w:tcW w:w="643" w:type="pct"/>
            <w:tcBorders>
              <w:top w:val="nil"/>
              <w:left w:val="nil"/>
              <w:bottom w:val="nil"/>
              <w:right w:val="nil"/>
            </w:tcBorders>
            <w:shd w:val="clear" w:color="000000" w:fill="FFFFFF"/>
            <w:noWrap/>
            <w:vAlign w:val="center"/>
          </w:tcPr>
          <w:p w14:paraId="0777CE68" w14:textId="4B5D54B8" w:rsidR="00FA543A" w:rsidRPr="00953A7B" w:rsidRDefault="00FA543A" w:rsidP="00FA543A">
            <w:pPr>
              <w:spacing w:after="0" w:line="240" w:lineRule="auto"/>
              <w:jc w:val="center"/>
              <w:rPr>
                <w:rFonts w:ascii="Times New Roman" w:hAnsi="Times New Roman"/>
                <w:b/>
                <w:sz w:val="18"/>
                <w:szCs w:val="18"/>
                <w:lang w:eastAsia="sk-SK"/>
              </w:rPr>
            </w:pPr>
            <w:r w:rsidRPr="00C66720">
              <w:rPr>
                <w:rFonts w:ascii="Times New Roman" w:hAnsi="Times New Roman"/>
                <w:b/>
                <w:sz w:val="18"/>
                <w:szCs w:val="18"/>
                <w:lang w:eastAsia="sk-SK"/>
              </w:rPr>
              <w:t>611</w:t>
            </w:r>
          </w:p>
        </w:tc>
        <w:tc>
          <w:tcPr>
            <w:tcW w:w="530" w:type="pct"/>
            <w:tcBorders>
              <w:top w:val="nil"/>
              <w:left w:val="nil"/>
              <w:bottom w:val="nil"/>
              <w:right w:val="nil"/>
            </w:tcBorders>
            <w:shd w:val="clear" w:color="000000" w:fill="FFFFFF"/>
            <w:noWrap/>
            <w:vAlign w:val="center"/>
          </w:tcPr>
          <w:p w14:paraId="1A362122" w14:textId="5687F0E8" w:rsidR="00FA543A" w:rsidRPr="00953A7B" w:rsidRDefault="00FA543A" w:rsidP="00FA543A">
            <w:pPr>
              <w:spacing w:after="0" w:line="240" w:lineRule="auto"/>
              <w:jc w:val="center"/>
              <w:rPr>
                <w:rFonts w:ascii="Times New Roman" w:hAnsi="Times New Roman"/>
                <w:b/>
                <w:sz w:val="18"/>
                <w:szCs w:val="18"/>
                <w:lang w:eastAsia="sk-SK"/>
              </w:rPr>
            </w:pPr>
            <w:r w:rsidRPr="00C66720">
              <w:rPr>
                <w:rFonts w:ascii="Times New Roman" w:hAnsi="Times New Roman"/>
                <w:b/>
                <w:sz w:val="18"/>
                <w:szCs w:val="18"/>
                <w:lang w:eastAsia="sk-SK"/>
              </w:rPr>
              <w:t>568</w:t>
            </w:r>
          </w:p>
        </w:tc>
        <w:tc>
          <w:tcPr>
            <w:tcW w:w="679" w:type="pct"/>
            <w:tcBorders>
              <w:top w:val="nil"/>
              <w:left w:val="nil"/>
              <w:bottom w:val="nil"/>
              <w:right w:val="nil"/>
            </w:tcBorders>
            <w:shd w:val="clear" w:color="000000" w:fill="FFFFFF"/>
            <w:vAlign w:val="center"/>
          </w:tcPr>
          <w:p w14:paraId="29A1D56B" w14:textId="3831DADC" w:rsidR="00FA543A" w:rsidRPr="00953A7B" w:rsidRDefault="00FA543A" w:rsidP="00FA543A">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23</w:t>
            </w:r>
          </w:p>
        </w:tc>
        <w:tc>
          <w:tcPr>
            <w:tcW w:w="193" w:type="pct"/>
            <w:tcBorders>
              <w:top w:val="nil"/>
              <w:left w:val="nil"/>
              <w:bottom w:val="nil"/>
              <w:right w:val="nil"/>
            </w:tcBorders>
            <w:shd w:val="clear" w:color="000000" w:fill="FFFFFF"/>
          </w:tcPr>
          <w:p w14:paraId="408528F6" w14:textId="77777777" w:rsidR="00FA543A" w:rsidRPr="008E6EF2" w:rsidRDefault="00FA543A" w:rsidP="00FA543A">
            <w:pPr>
              <w:spacing w:after="0" w:line="240" w:lineRule="auto"/>
              <w:jc w:val="right"/>
              <w:rPr>
                <w:rFonts w:ascii="Times New Roman" w:hAnsi="Times New Roman"/>
                <w:b/>
                <w:color w:val="FF0000"/>
                <w:sz w:val="18"/>
                <w:szCs w:val="18"/>
                <w:lang w:eastAsia="sk-SK"/>
              </w:rPr>
            </w:pPr>
          </w:p>
        </w:tc>
      </w:tr>
      <w:tr w:rsidR="00FA543A" w:rsidRPr="008E6EF2" w14:paraId="75749391" w14:textId="77777777" w:rsidTr="00FA543A">
        <w:trPr>
          <w:trHeight w:val="139"/>
          <w:jc w:val="center"/>
        </w:trPr>
        <w:tc>
          <w:tcPr>
            <w:tcW w:w="2954" w:type="pct"/>
            <w:tcBorders>
              <w:top w:val="nil"/>
              <w:left w:val="nil"/>
              <w:right w:val="nil"/>
            </w:tcBorders>
            <w:shd w:val="clear" w:color="000000" w:fill="FFFFFF"/>
            <w:noWrap/>
            <w:vAlign w:val="bottom"/>
          </w:tcPr>
          <w:p w14:paraId="2C0C69CF" w14:textId="6BA5F6F2"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Verejné vysoké školy</w:t>
            </w:r>
          </w:p>
        </w:tc>
        <w:tc>
          <w:tcPr>
            <w:tcW w:w="643" w:type="pct"/>
            <w:tcBorders>
              <w:top w:val="nil"/>
              <w:left w:val="nil"/>
              <w:right w:val="nil"/>
            </w:tcBorders>
            <w:shd w:val="clear" w:color="000000" w:fill="FFFFFF"/>
            <w:noWrap/>
            <w:vAlign w:val="center"/>
          </w:tcPr>
          <w:p w14:paraId="7343E5C4" w14:textId="58FF97A0"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20</w:t>
            </w:r>
          </w:p>
        </w:tc>
        <w:tc>
          <w:tcPr>
            <w:tcW w:w="530" w:type="pct"/>
            <w:tcBorders>
              <w:top w:val="nil"/>
              <w:left w:val="nil"/>
              <w:right w:val="nil"/>
            </w:tcBorders>
            <w:shd w:val="clear" w:color="000000" w:fill="FFFFFF"/>
            <w:noWrap/>
            <w:vAlign w:val="center"/>
          </w:tcPr>
          <w:p w14:paraId="0ED2798E" w14:textId="6068BCC0"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20</w:t>
            </w:r>
          </w:p>
        </w:tc>
        <w:tc>
          <w:tcPr>
            <w:tcW w:w="679" w:type="pct"/>
            <w:tcBorders>
              <w:top w:val="nil"/>
              <w:left w:val="nil"/>
              <w:right w:val="nil"/>
            </w:tcBorders>
            <w:shd w:val="clear" w:color="000000" w:fill="FFFFFF"/>
            <w:vAlign w:val="center"/>
          </w:tcPr>
          <w:p w14:paraId="3B8DFF0C" w14:textId="2D1DF39C" w:rsidR="00FA543A" w:rsidRPr="00953A7B"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c>
          <w:tcPr>
            <w:tcW w:w="193" w:type="pct"/>
            <w:tcBorders>
              <w:top w:val="nil"/>
              <w:left w:val="nil"/>
              <w:right w:val="nil"/>
            </w:tcBorders>
            <w:shd w:val="clear" w:color="000000" w:fill="FFFFFF"/>
          </w:tcPr>
          <w:p w14:paraId="517E4D9E"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12FFC60E" w14:textId="77777777" w:rsidTr="00FA543A">
        <w:trPr>
          <w:trHeight w:val="213"/>
          <w:jc w:val="center"/>
        </w:trPr>
        <w:tc>
          <w:tcPr>
            <w:tcW w:w="2954" w:type="pct"/>
            <w:tcBorders>
              <w:top w:val="nil"/>
              <w:left w:val="nil"/>
              <w:right w:val="nil"/>
            </w:tcBorders>
            <w:shd w:val="clear" w:color="000000" w:fill="FFFFFF"/>
            <w:noWrap/>
            <w:vAlign w:val="bottom"/>
          </w:tcPr>
          <w:p w14:paraId="144E1478" w14:textId="711763B0" w:rsidR="00FA543A" w:rsidRPr="008E6EF2" w:rsidRDefault="00FA543A" w:rsidP="00FA543A">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     Subjekty založené zákonom a neziskové org. v ústrednej správe</w:t>
            </w:r>
          </w:p>
        </w:tc>
        <w:tc>
          <w:tcPr>
            <w:tcW w:w="643" w:type="pct"/>
            <w:tcBorders>
              <w:top w:val="nil"/>
              <w:left w:val="nil"/>
              <w:right w:val="nil"/>
            </w:tcBorders>
            <w:shd w:val="clear" w:color="000000" w:fill="FFFFFF"/>
            <w:noWrap/>
            <w:vAlign w:val="center"/>
          </w:tcPr>
          <w:p w14:paraId="1273FD90" w14:textId="3A2B533F"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45</w:t>
            </w:r>
          </w:p>
        </w:tc>
        <w:tc>
          <w:tcPr>
            <w:tcW w:w="530" w:type="pct"/>
            <w:tcBorders>
              <w:top w:val="nil"/>
              <w:left w:val="nil"/>
              <w:right w:val="nil"/>
            </w:tcBorders>
            <w:shd w:val="clear" w:color="000000" w:fill="FFFFFF"/>
            <w:noWrap/>
            <w:vAlign w:val="center"/>
          </w:tcPr>
          <w:p w14:paraId="06D3391C" w14:textId="2B256A76"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27</w:t>
            </w:r>
          </w:p>
        </w:tc>
        <w:tc>
          <w:tcPr>
            <w:tcW w:w="679" w:type="pct"/>
            <w:tcBorders>
              <w:top w:val="nil"/>
              <w:left w:val="nil"/>
              <w:right w:val="nil"/>
            </w:tcBorders>
            <w:shd w:val="clear" w:color="000000" w:fill="FFFFFF"/>
            <w:vAlign w:val="center"/>
          </w:tcPr>
          <w:p w14:paraId="704298B2" w14:textId="5571EAC9" w:rsidR="00FA543A" w:rsidRPr="00953A7B"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18</w:t>
            </w:r>
          </w:p>
        </w:tc>
        <w:tc>
          <w:tcPr>
            <w:tcW w:w="193" w:type="pct"/>
            <w:tcBorders>
              <w:top w:val="nil"/>
              <w:left w:val="nil"/>
              <w:right w:val="nil"/>
            </w:tcBorders>
            <w:shd w:val="clear" w:color="000000" w:fill="FFFFFF"/>
          </w:tcPr>
          <w:p w14:paraId="45E8E757"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r w:rsidR="00FA543A" w:rsidRPr="008E6EF2" w14:paraId="21FD1049" w14:textId="77777777" w:rsidTr="00FA543A">
        <w:trPr>
          <w:trHeight w:val="145"/>
          <w:jc w:val="center"/>
        </w:trPr>
        <w:tc>
          <w:tcPr>
            <w:tcW w:w="2954" w:type="pct"/>
            <w:tcBorders>
              <w:top w:val="nil"/>
              <w:left w:val="nil"/>
              <w:bottom w:val="single" w:sz="4" w:space="0" w:color="auto"/>
              <w:right w:val="nil"/>
            </w:tcBorders>
            <w:shd w:val="clear" w:color="000000" w:fill="FFFFFF"/>
            <w:noWrap/>
            <w:vAlign w:val="bottom"/>
          </w:tcPr>
          <w:p w14:paraId="795DCB91" w14:textId="0E490A86" w:rsidR="00FA543A" w:rsidRPr="008E6EF2" w:rsidRDefault="00FA543A" w:rsidP="00FA543A">
            <w:pPr>
              <w:spacing w:after="0" w:line="240" w:lineRule="auto"/>
              <w:ind w:left="209" w:hanging="209"/>
              <w:rPr>
                <w:rFonts w:ascii="Times New Roman" w:hAnsi="Times New Roman"/>
                <w:sz w:val="18"/>
                <w:szCs w:val="18"/>
                <w:lang w:eastAsia="sk-SK"/>
              </w:rPr>
            </w:pPr>
            <w:r w:rsidRPr="00C66720">
              <w:rPr>
                <w:rFonts w:ascii="Times New Roman" w:hAnsi="Times New Roman"/>
                <w:sz w:val="18"/>
                <w:szCs w:val="18"/>
                <w:lang w:eastAsia="sk-SK"/>
              </w:rPr>
              <w:t xml:space="preserve">     Neziskové organizácie  územnej  samosprávy</w:t>
            </w:r>
          </w:p>
        </w:tc>
        <w:tc>
          <w:tcPr>
            <w:tcW w:w="643" w:type="pct"/>
            <w:tcBorders>
              <w:top w:val="nil"/>
              <w:left w:val="nil"/>
              <w:bottom w:val="single" w:sz="4" w:space="0" w:color="auto"/>
              <w:right w:val="nil"/>
            </w:tcBorders>
            <w:shd w:val="clear" w:color="000000" w:fill="FFFFFF"/>
            <w:noWrap/>
            <w:vAlign w:val="center"/>
          </w:tcPr>
          <w:p w14:paraId="1E577AA1" w14:textId="23256091"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526</w:t>
            </w:r>
          </w:p>
        </w:tc>
        <w:tc>
          <w:tcPr>
            <w:tcW w:w="530" w:type="pct"/>
            <w:tcBorders>
              <w:top w:val="nil"/>
              <w:left w:val="nil"/>
              <w:bottom w:val="single" w:sz="4" w:space="0" w:color="auto"/>
              <w:right w:val="nil"/>
            </w:tcBorders>
            <w:shd w:val="clear" w:color="000000" w:fill="FFFFFF"/>
            <w:noWrap/>
            <w:vAlign w:val="center"/>
          </w:tcPr>
          <w:p w14:paraId="1D083D32" w14:textId="6BF662C1" w:rsidR="00FA543A" w:rsidRPr="00953A7B" w:rsidRDefault="00FA543A" w:rsidP="00FA543A">
            <w:pPr>
              <w:spacing w:after="0" w:line="240" w:lineRule="auto"/>
              <w:jc w:val="center"/>
              <w:rPr>
                <w:rFonts w:ascii="Times New Roman" w:hAnsi="Times New Roman"/>
                <w:sz w:val="18"/>
                <w:szCs w:val="18"/>
                <w:lang w:eastAsia="sk-SK"/>
              </w:rPr>
            </w:pPr>
            <w:r w:rsidRPr="00C66720">
              <w:rPr>
                <w:rFonts w:ascii="Times New Roman" w:hAnsi="Times New Roman"/>
                <w:sz w:val="18"/>
                <w:szCs w:val="18"/>
                <w:lang w:eastAsia="sk-SK"/>
              </w:rPr>
              <w:t>521</w:t>
            </w:r>
          </w:p>
        </w:tc>
        <w:tc>
          <w:tcPr>
            <w:tcW w:w="679" w:type="pct"/>
            <w:tcBorders>
              <w:top w:val="nil"/>
              <w:left w:val="nil"/>
              <w:bottom w:val="single" w:sz="4" w:space="0" w:color="auto"/>
              <w:right w:val="nil"/>
            </w:tcBorders>
            <w:shd w:val="clear" w:color="000000" w:fill="FFFFFF"/>
            <w:vAlign w:val="center"/>
          </w:tcPr>
          <w:p w14:paraId="60205E4F" w14:textId="66377C46" w:rsidR="00FA543A" w:rsidRPr="00953A7B" w:rsidRDefault="00FA543A" w:rsidP="00FA543A">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w:t>
            </w:r>
          </w:p>
        </w:tc>
        <w:tc>
          <w:tcPr>
            <w:tcW w:w="193" w:type="pct"/>
            <w:tcBorders>
              <w:top w:val="nil"/>
              <w:left w:val="nil"/>
              <w:bottom w:val="single" w:sz="4" w:space="0" w:color="auto"/>
              <w:right w:val="nil"/>
            </w:tcBorders>
            <w:shd w:val="clear" w:color="000000" w:fill="FFFFFF"/>
          </w:tcPr>
          <w:p w14:paraId="54CEF0E9" w14:textId="77777777" w:rsidR="00FA543A" w:rsidRPr="008E6EF2" w:rsidRDefault="00FA543A" w:rsidP="00FA543A">
            <w:pPr>
              <w:spacing w:after="0" w:line="240" w:lineRule="auto"/>
              <w:jc w:val="right"/>
              <w:rPr>
                <w:rFonts w:ascii="Times New Roman" w:hAnsi="Times New Roman"/>
                <w:color w:val="FF0000"/>
                <w:sz w:val="18"/>
                <w:szCs w:val="18"/>
                <w:lang w:eastAsia="sk-SK"/>
              </w:rPr>
            </w:pPr>
          </w:p>
        </w:tc>
      </w:tr>
    </w:tbl>
    <w:p w14:paraId="04667ABE" w14:textId="1075EFCE" w:rsidR="00FA543A" w:rsidRDefault="00FA543A" w:rsidP="00FA543A">
      <w:pPr>
        <w:spacing w:after="0" w:line="240" w:lineRule="auto"/>
        <w:jc w:val="center"/>
        <w:rPr>
          <w:rFonts w:ascii="Times New Roman" w:hAnsi="Times New Roman"/>
          <w:sz w:val="18"/>
          <w:szCs w:val="18"/>
        </w:rPr>
      </w:pPr>
      <w:r>
        <w:rPr>
          <w:rFonts w:ascii="Times New Roman" w:hAnsi="Times New Roman"/>
          <w:sz w:val="18"/>
          <w:szCs w:val="18"/>
        </w:rPr>
        <w:t xml:space="preserve">                                                                                                        </w:t>
      </w:r>
      <w:r w:rsidR="00B64706">
        <w:rPr>
          <w:rFonts w:ascii="Times New Roman" w:hAnsi="Times New Roman"/>
          <w:sz w:val="18"/>
          <w:szCs w:val="18"/>
        </w:rPr>
        <w:t xml:space="preserve">       </w:t>
      </w:r>
      <w:r>
        <w:rPr>
          <w:rFonts w:ascii="Times New Roman" w:hAnsi="Times New Roman"/>
          <w:sz w:val="18"/>
          <w:szCs w:val="18"/>
        </w:rPr>
        <w:t xml:space="preserve">    Zdroj: MF SR, Centrálny konsolidačný systém</w:t>
      </w:r>
    </w:p>
    <w:p w14:paraId="5A2F5BCE" w14:textId="58FE1E02" w:rsidR="00953A7B" w:rsidRPr="00C66720" w:rsidRDefault="00EE44D4" w:rsidP="00B64706">
      <w:pPr>
        <w:spacing w:after="0" w:line="240" w:lineRule="auto"/>
        <w:ind w:left="284" w:right="282"/>
        <w:jc w:val="both"/>
        <w:rPr>
          <w:rFonts w:ascii="Times New Roman" w:hAnsi="Times New Roman"/>
          <w:sz w:val="18"/>
          <w:szCs w:val="18"/>
          <w:highlight w:val="yellow"/>
        </w:rPr>
      </w:pPr>
      <w:r w:rsidRPr="00C66720">
        <w:rPr>
          <w:rFonts w:ascii="Times New Roman" w:hAnsi="Times New Roman"/>
          <w:sz w:val="18"/>
          <w:szCs w:val="18"/>
        </w:rPr>
        <w:t>Pozn: Do zostavenia výkazov súhrnnej účtovnej závierky za rok 2022 nebolo započítaných 13 IUZ obcí, 24 KUZ obcí a 183 IUZ neziskových organizácií z dôvodu ich nepredloženia</w:t>
      </w:r>
    </w:p>
    <w:p w14:paraId="3A462561" w14:textId="77777777" w:rsidR="00D727C0" w:rsidRPr="00C66720" w:rsidRDefault="00D727C0" w:rsidP="008F097E">
      <w:pPr>
        <w:spacing w:after="0" w:line="240" w:lineRule="auto"/>
        <w:jc w:val="both"/>
        <w:rPr>
          <w:rFonts w:ascii="Times New Roman" w:hAnsi="Times New Roman"/>
          <w:b/>
          <w:i/>
          <w:szCs w:val="22"/>
          <w:highlight w:val="yellow"/>
        </w:rPr>
      </w:pPr>
    </w:p>
    <w:p w14:paraId="0C972878" w14:textId="727AB6EE" w:rsidR="008D25C5" w:rsidRPr="00C66720" w:rsidRDefault="00394D14" w:rsidP="00DC6285">
      <w:pPr>
        <w:spacing w:after="0" w:line="240" w:lineRule="auto"/>
        <w:jc w:val="both"/>
        <w:rPr>
          <w:rFonts w:ascii="Times New Roman" w:hAnsi="Times New Roman"/>
          <w:b/>
          <w:i/>
          <w:szCs w:val="22"/>
        </w:rPr>
      </w:pPr>
      <w:r w:rsidRPr="00C66720">
        <w:rPr>
          <w:rFonts w:ascii="Times New Roman" w:hAnsi="Times New Roman"/>
          <w:b/>
          <w:i/>
          <w:szCs w:val="22"/>
        </w:rPr>
        <w:t>Bližší p</w:t>
      </w:r>
      <w:r w:rsidR="00F607B7" w:rsidRPr="00C66720">
        <w:rPr>
          <w:rFonts w:ascii="Times New Roman" w:hAnsi="Times New Roman"/>
          <w:b/>
          <w:i/>
          <w:szCs w:val="22"/>
        </w:rPr>
        <w:t>rehľad o</w:t>
      </w:r>
      <w:r w:rsidR="00EE392B" w:rsidRPr="00C66720">
        <w:rPr>
          <w:rFonts w:ascii="Times New Roman" w:hAnsi="Times New Roman"/>
          <w:b/>
          <w:i/>
          <w:szCs w:val="22"/>
        </w:rPr>
        <w:t xml:space="preserve"> počte </w:t>
      </w:r>
      <w:r w:rsidR="00F607B7" w:rsidRPr="00C66720">
        <w:rPr>
          <w:rFonts w:ascii="Times New Roman" w:hAnsi="Times New Roman"/>
          <w:b/>
          <w:i/>
          <w:szCs w:val="22"/>
        </w:rPr>
        <w:t>subjekto</w:t>
      </w:r>
      <w:r w:rsidR="00EE392B" w:rsidRPr="00C66720">
        <w:rPr>
          <w:rFonts w:ascii="Times New Roman" w:hAnsi="Times New Roman"/>
          <w:b/>
          <w:i/>
          <w:szCs w:val="22"/>
        </w:rPr>
        <w:t>v</w:t>
      </w:r>
      <w:r w:rsidR="00F607B7" w:rsidRPr="00C66720">
        <w:rPr>
          <w:rFonts w:ascii="Times New Roman" w:hAnsi="Times New Roman"/>
          <w:b/>
          <w:i/>
          <w:szCs w:val="22"/>
        </w:rPr>
        <w:t xml:space="preserve"> súhrnného celku je uvedený v</w:t>
      </w:r>
      <w:r w:rsidR="00BE31A0" w:rsidRPr="00C66720">
        <w:rPr>
          <w:rFonts w:ascii="Times New Roman" w:hAnsi="Times New Roman"/>
          <w:b/>
          <w:i/>
          <w:szCs w:val="22"/>
        </w:rPr>
        <w:t> </w:t>
      </w:r>
      <w:r w:rsidR="00621522" w:rsidRPr="00C66720">
        <w:rPr>
          <w:rFonts w:ascii="Times New Roman" w:hAnsi="Times New Roman"/>
          <w:b/>
          <w:i/>
          <w:szCs w:val="22"/>
        </w:rPr>
        <w:t>prílohe</w:t>
      </w:r>
      <w:r w:rsidR="00BE31A0" w:rsidRPr="00C66720">
        <w:rPr>
          <w:rFonts w:ascii="Times New Roman" w:hAnsi="Times New Roman"/>
          <w:b/>
          <w:i/>
          <w:szCs w:val="22"/>
        </w:rPr>
        <w:t xml:space="preserve"> č. 1</w:t>
      </w:r>
      <w:r w:rsidR="00F607B7" w:rsidRPr="00C66720">
        <w:rPr>
          <w:rFonts w:ascii="Times New Roman" w:hAnsi="Times New Roman"/>
          <w:b/>
          <w:i/>
          <w:szCs w:val="22"/>
        </w:rPr>
        <w:t xml:space="preserve"> poznámok súhrnnej účtovnej závierky.</w:t>
      </w:r>
    </w:p>
    <w:p w14:paraId="76F56594" w14:textId="3957639E" w:rsidR="005135BF" w:rsidRPr="00C66720" w:rsidRDefault="008D25C5" w:rsidP="005922B1">
      <w:pPr>
        <w:spacing w:before="240" w:after="120" w:line="240" w:lineRule="auto"/>
        <w:jc w:val="both"/>
        <w:rPr>
          <w:rFonts w:ascii="Times New Roman" w:hAnsi="Times New Roman"/>
        </w:rPr>
      </w:pPr>
      <w:r w:rsidRPr="00C66720">
        <w:rPr>
          <w:rFonts w:ascii="Times New Roman" w:hAnsi="Times New Roman"/>
          <w:b/>
          <w:szCs w:val="22"/>
        </w:rPr>
        <w:t>Významné zmeny v súhrnnom celku</w:t>
      </w:r>
      <w:r w:rsidRPr="00C66720">
        <w:rPr>
          <w:rFonts w:ascii="Times New Roman" w:hAnsi="Times New Roman"/>
          <w:szCs w:val="22"/>
        </w:rPr>
        <w:t xml:space="preserve"> sa udiali najmä v ústrednej správe. </w:t>
      </w:r>
      <w:r w:rsidR="005135BF" w:rsidRPr="00C66720">
        <w:rPr>
          <w:rFonts w:ascii="Times New Roman" w:hAnsi="Times New Roman"/>
        </w:rPr>
        <w:t>Najvýznamnejšie organizačné zmeny v roku 2022 boli v rezorte vnútra, školstva, spravodlivosti a životného prostredia. Na základe zákona č. 271/2021 Z. z. ktorým sa mení a dopĺňa zákon č. 596/2003 Z. z. o štátnej správe v školstve a školskej samospráve a o zmene a doplnení niektorých zákonov v znení neskorších predpisov a ktorým sa menia a dopĺňajú niektoré zákony, všetky školy a školské zariadenia, ktoré majú naďalej vlastnú právnu subjektivitu, prešli od 1.1.2022 spod kapitoly MV SR pod kapitolu MŠVVaŠ SR. Vrátili sa tak do pôvodného stavu kompetencie MŠVVaŠ SR nad školskými zariadeniami, ktoré boli v roku 2013 v rámci tzv. ESO reformy prerozdelené medzi vnútro a školstvo.</w:t>
      </w:r>
    </w:p>
    <w:p w14:paraId="3F46D082" w14:textId="77777777" w:rsidR="005135BF" w:rsidRPr="00C66720" w:rsidRDefault="005135BF" w:rsidP="005135BF">
      <w:pPr>
        <w:spacing w:before="120" w:after="120" w:line="240" w:lineRule="auto"/>
        <w:jc w:val="both"/>
        <w:rPr>
          <w:rFonts w:ascii="Times New Roman" w:hAnsi="Times New Roman"/>
        </w:rPr>
      </w:pPr>
      <w:r w:rsidRPr="00C66720">
        <w:rPr>
          <w:rFonts w:ascii="Times New Roman" w:hAnsi="Times New Roman"/>
        </w:rPr>
        <w:t>Zároveň v rámci rezortu školstva na základe zákona 271/2022 Z. z. vznikli k 1.1.2022 Regionálne úrady školskej správy, ako samostatné právne subjekty, ktoré majú za úlohu vykonávať doterajšiu agendu odborov školstva okresných úradov v sídle kraja. Obdoba týchto regionálnych úradov bola v minulosti v podobe krajských školských úradov.</w:t>
      </w:r>
    </w:p>
    <w:p w14:paraId="1AB9DAE1" w14:textId="77777777" w:rsidR="005135BF" w:rsidRPr="00C66720" w:rsidRDefault="005135BF" w:rsidP="005135BF">
      <w:pPr>
        <w:spacing w:before="120" w:after="120" w:line="240" w:lineRule="auto"/>
        <w:jc w:val="both"/>
        <w:rPr>
          <w:rFonts w:ascii="Times New Roman" w:hAnsi="Times New Roman"/>
        </w:rPr>
      </w:pPr>
      <w:r w:rsidRPr="00C66720">
        <w:rPr>
          <w:rFonts w:ascii="Times New Roman" w:hAnsi="Times New Roman"/>
        </w:rPr>
        <w:t>Ministerstvo spravodlivosti SR zriadilo tri správne súdy na riešenie sporov občanov so štátom. Cieľom je vyčleniť túto agendu na riešenie špecializovaným súdom. Súdy vznikli 1.6.2022 na základe zákona č. 151/2022 Z. z. o zriadení správnych súdov a o zmene a doplnení niektorých zákonov.</w:t>
      </w:r>
    </w:p>
    <w:p w14:paraId="670EA06F" w14:textId="77777777" w:rsidR="005135BF" w:rsidRPr="00C66720" w:rsidRDefault="005135BF" w:rsidP="005135BF">
      <w:pPr>
        <w:spacing w:before="120" w:after="120" w:line="240" w:lineRule="auto"/>
        <w:jc w:val="both"/>
        <w:rPr>
          <w:rFonts w:ascii="Times New Roman" w:hAnsi="Times New Roman"/>
        </w:rPr>
      </w:pPr>
      <w:r w:rsidRPr="00C66720">
        <w:rPr>
          <w:rFonts w:ascii="Times New Roman" w:hAnsi="Times New Roman"/>
        </w:rPr>
        <w:t>V rezorte životného prostredia na základe prijatia zákona č. 6/2022 Z. z., ktorým sa mení a dopĺňa zákon</w:t>
      </w:r>
      <w:r w:rsidRPr="00C66720">
        <w:rPr>
          <w:rFonts w:ascii="Times New Roman" w:hAnsi="Times New Roman"/>
        </w:rPr>
        <w:br/>
        <w:t>č. 543/2002 Z. z. o ochrane prírody a krajiny v znení neskorších predpisov a ktorým sa menia a dopĺňajú niektoré zákony, vznikli od 31.3.2022 príspevkové organizácie (9) pre správu národných parkov, ako samostatné organizácie ochrany prírody a krajiny. Na správy národných parkov prešiel k 1.4.2022 aj majetok vo vlastníctve štátu v správe Štátnej ochrany prírody SR. Od začiatku apríla 2022 sa tiež zlúčili Štátne lesy Tatranského národného parku (TANAP) so správou TANAP-u.</w:t>
      </w:r>
    </w:p>
    <w:p w14:paraId="372DB318" w14:textId="77777777" w:rsidR="005135BF" w:rsidRPr="00C66720" w:rsidRDefault="005135BF" w:rsidP="005135BF">
      <w:pPr>
        <w:spacing w:before="120" w:after="120" w:line="240" w:lineRule="auto"/>
        <w:jc w:val="both"/>
        <w:rPr>
          <w:rFonts w:ascii="Times New Roman" w:hAnsi="Times New Roman"/>
        </w:rPr>
      </w:pPr>
      <w:r w:rsidRPr="00C66720">
        <w:rPr>
          <w:rFonts w:ascii="Times New Roman" w:hAnsi="Times New Roman"/>
        </w:rPr>
        <w:t>Úrad pre územné plánovanie a výstavbu SR vznikol ako samostatná kapitola štátneho rozpočtu, vyčlenením agendy z Ministerstva dopravy SR, na základe zákona č. 172/2022 Z. z., ktorým sa mení a dopĺňa zákon č. 575/2001 Z. z. o organizácii činnosti vlády a organizácii ústrednej štátnej správy v znení neskorších predpisov a ktorým sa menia a dopĺňajú niektoré zákony. Odo dňa svojho zriadenia vykonáva všetky činnosti potrebné na zabezpečenie riadneho chodu úradu a na prechod práv a povinností v oblasti územného plánovania, výstavby a vyvlastnenia podľa doterajších všeobecne záväzných právnych predpisov z Ministerstva dopravy SR na úrad od 1. januára 2023.</w:t>
      </w:r>
    </w:p>
    <w:p w14:paraId="2C9515F2" w14:textId="47E8E4AF" w:rsidR="00801AD5" w:rsidRDefault="008D25C5" w:rsidP="000466EA">
      <w:pPr>
        <w:spacing w:before="120" w:after="120" w:line="240" w:lineRule="auto"/>
        <w:jc w:val="both"/>
        <w:rPr>
          <w:rFonts w:ascii="Times New Roman" w:hAnsi="Times New Roman"/>
          <w:szCs w:val="22"/>
        </w:rPr>
      </w:pPr>
      <w:r w:rsidRPr="00C66720">
        <w:rPr>
          <w:rFonts w:ascii="Times New Roman" w:hAnsi="Times New Roman"/>
          <w:szCs w:val="22"/>
        </w:rPr>
        <w:lastRenderedPageBreak/>
        <w:t>V rámci územnej samosprávy došlo k zakladaniu nových obchodných spoločností. V roku 2022 vzniklo 25 nových spoločností v konsolidovaných celkoch obcí a miest SR.</w:t>
      </w:r>
    </w:p>
    <w:p w14:paraId="65629DB5" w14:textId="1B5E5B12" w:rsidR="002D6290" w:rsidRPr="00C66720" w:rsidRDefault="002D6290" w:rsidP="00DA0456">
      <w:pPr>
        <w:spacing w:before="240" w:after="120" w:line="240" w:lineRule="auto"/>
        <w:jc w:val="both"/>
        <w:rPr>
          <w:rFonts w:ascii="Times New Roman" w:hAnsi="Times New Roman"/>
          <w:b/>
          <w:sz w:val="24"/>
          <w:szCs w:val="24"/>
        </w:rPr>
      </w:pPr>
      <w:r w:rsidRPr="00C66720">
        <w:rPr>
          <w:rFonts w:ascii="Times New Roman" w:hAnsi="Times New Roman"/>
          <w:b/>
          <w:sz w:val="24"/>
          <w:szCs w:val="24"/>
        </w:rPr>
        <w:t>3.</w:t>
      </w:r>
      <w:r w:rsidR="00036F71" w:rsidRPr="00C66720">
        <w:rPr>
          <w:rFonts w:ascii="Times New Roman" w:hAnsi="Times New Roman"/>
          <w:b/>
          <w:sz w:val="24"/>
          <w:szCs w:val="24"/>
        </w:rPr>
        <w:t xml:space="preserve"> </w:t>
      </w:r>
      <w:r w:rsidRPr="00C66720">
        <w:rPr>
          <w:rFonts w:ascii="Times New Roman" w:hAnsi="Times New Roman"/>
          <w:b/>
          <w:sz w:val="24"/>
          <w:szCs w:val="24"/>
        </w:rPr>
        <w:t>Informácie o účtovných zásadách a účtovných metódach</w:t>
      </w:r>
    </w:p>
    <w:p w14:paraId="13491148" w14:textId="67C3BFAC" w:rsidR="008D2E7F" w:rsidRPr="00C66720" w:rsidRDefault="002D6290" w:rsidP="008F097E">
      <w:pPr>
        <w:spacing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Účtovné zásady a účtovné metódy sú uplatňované </w:t>
      </w:r>
      <w:r w:rsidR="00C50672" w:rsidRPr="00C66720">
        <w:rPr>
          <w:rFonts w:ascii="Times New Roman" w:hAnsi="Times New Roman"/>
          <w:szCs w:val="22"/>
          <w:lang w:eastAsia="sk-SK"/>
        </w:rPr>
        <w:t>v súlade</w:t>
      </w:r>
      <w:r w:rsidRPr="00C66720">
        <w:rPr>
          <w:rFonts w:ascii="Times New Roman" w:hAnsi="Times New Roman"/>
          <w:szCs w:val="22"/>
          <w:lang w:eastAsia="sk-SK"/>
        </w:rPr>
        <w:t xml:space="preserve"> </w:t>
      </w:r>
      <w:r w:rsidR="00C50672" w:rsidRPr="00C66720">
        <w:rPr>
          <w:rFonts w:ascii="Times New Roman" w:hAnsi="Times New Roman"/>
          <w:szCs w:val="22"/>
          <w:lang w:eastAsia="sk-SK"/>
        </w:rPr>
        <w:t xml:space="preserve">so </w:t>
      </w:r>
      <w:r w:rsidRPr="00C66720">
        <w:rPr>
          <w:rFonts w:ascii="Times New Roman" w:hAnsi="Times New Roman"/>
          <w:szCs w:val="22"/>
          <w:lang w:eastAsia="sk-SK"/>
        </w:rPr>
        <w:t>zákon</w:t>
      </w:r>
      <w:r w:rsidR="00C50672" w:rsidRPr="00C66720">
        <w:rPr>
          <w:rFonts w:ascii="Times New Roman" w:hAnsi="Times New Roman"/>
          <w:szCs w:val="22"/>
          <w:lang w:eastAsia="sk-SK"/>
        </w:rPr>
        <w:t>om</w:t>
      </w:r>
      <w:r w:rsidRPr="00C66720">
        <w:rPr>
          <w:rFonts w:ascii="Times New Roman" w:hAnsi="Times New Roman"/>
          <w:szCs w:val="22"/>
          <w:lang w:eastAsia="sk-SK"/>
        </w:rPr>
        <w:t xml:space="preserve"> o účtovníctve a</w:t>
      </w:r>
      <w:r w:rsidR="00AE63F4" w:rsidRPr="00C66720">
        <w:rPr>
          <w:rFonts w:ascii="Times New Roman" w:hAnsi="Times New Roman"/>
          <w:szCs w:val="22"/>
          <w:lang w:eastAsia="sk-SK"/>
        </w:rPr>
        <w:t> postup</w:t>
      </w:r>
      <w:r w:rsidR="00C50672" w:rsidRPr="00C66720">
        <w:rPr>
          <w:rFonts w:ascii="Times New Roman" w:hAnsi="Times New Roman"/>
          <w:szCs w:val="22"/>
          <w:lang w:eastAsia="sk-SK"/>
        </w:rPr>
        <w:t>mi</w:t>
      </w:r>
      <w:r w:rsidR="00AE63F4" w:rsidRPr="00C66720">
        <w:rPr>
          <w:rFonts w:ascii="Times New Roman" w:hAnsi="Times New Roman"/>
          <w:szCs w:val="22"/>
          <w:lang w:eastAsia="sk-SK"/>
        </w:rPr>
        <w:t xml:space="preserve"> účtovania pre jednotlivé právne formy</w:t>
      </w:r>
      <w:r w:rsidR="00C50672" w:rsidRPr="00C66720">
        <w:rPr>
          <w:rFonts w:ascii="Times New Roman" w:hAnsi="Times New Roman"/>
          <w:szCs w:val="22"/>
          <w:lang w:eastAsia="sk-SK"/>
        </w:rPr>
        <w:t xml:space="preserve"> účtovných jednotiek, ktoré sú definované</w:t>
      </w:r>
      <w:r w:rsidR="008D2E7F" w:rsidRPr="00C66720">
        <w:rPr>
          <w:rFonts w:ascii="Times New Roman" w:hAnsi="Times New Roman"/>
          <w:szCs w:val="22"/>
          <w:lang w:eastAsia="sk-SK"/>
        </w:rPr>
        <w:t>:</w:t>
      </w:r>
    </w:p>
    <w:p w14:paraId="7528B98A" w14:textId="17622122" w:rsidR="008D2E7F" w:rsidRPr="00C66720" w:rsidRDefault="002D6290" w:rsidP="008F097E">
      <w:pPr>
        <w:pStyle w:val="Odsekzoznamu"/>
        <w:numPr>
          <w:ilvl w:val="0"/>
          <w:numId w:val="32"/>
        </w:numPr>
        <w:spacing w:after="120" w:line="240" w:lineRule="auto"/>
        <w:jc w:val="both"/>
        <w:rPr>
          <w:rFonts w:ascii="Times New Roman" w:hAnsi="Times New Roman"/>
          <w:szCs w:val="22"/>
          <w:lang w:eastAsia="sk-SK"/>
        </w:rPr>
      </w:pPr>
      <w:r w:rsidRPr="00C66720">
        <w:rPr>
          <w:rFonts w:ascii="Times New Roman" w:hAnsi="Times New Roman"/>
          <w:szCs w:val="22"/>
          <w:lang w:eastAsia="sk-SK"/>
        </w:rPr>
        <w:t>opatren</w:t>
      </w:r>
      <w:r w:rsidR="00C50672" w:rsidRPr="00C66720">
        <w:rPr>
          <w:rFonts w:ascii="Times New Roman" w:hAnsi="Times New Roman"/>
          <w:szCs w:val="22"/>
          <w:lang w:eastAsia="sk-SK"/>
        </w:rPr>
        <w:t>ím</w:t>
      </w:r>
      <w:r w:rsidRPr="00C66720">
        <w:rPr>
          <w:rFonts w:ascii="Times New Roman" w:hAnsi="Times New Roman"/>
          <w:szCs w:val="22"/>
          <w:lang w:eastAsia="sk-SK"/>
        </w:rPr>
        <w:t xml:space="preserve"> MF SR č. MF/</w:t>
      </w:r>
      <w:r w:rsidR="002704F7" w:rsidRPr="00C66720">
        <w:rPr>
          <w:rFonts w:ascii="Times New Roman" w:hAnsi="Times New Roman"/>
          <w:szCs w:val="22"/>
          <w:lang w:eastAsia="sk-SK"/>
        </w:rPr>
        <w:t>14522/2022-36</w:t>
      </w:r>
      <w:r w:rsidRPr="00C66720">
        <w:rPr>
          <w:rFonts w:ascii="Times New Roman" w:hAnsi="Times New Roman"/>
          <w:szCs w:val="22"/>
          <w:lang w:eastAsia="sk-SK"/>
        </w:rPr>
        <w:t>, ktorým sa ustanovujú podrobnosti o postupoch účtovan</w:t>
      </w:r>
      <w:r w:rsidR="00C1104E" w:rsidRPr="00C66720">
        <w:rPr>
          <w:rFonts w:ascii="Times New Roman" w:hAnsi="Times New Roman"/>
          <w:szCs w:val="22"/>
          <w:lang w:eastAsia="sk-SK"/>
        </w:rPr>
        <w:t>ia</w:t>
      </w:r>
      <w:r w:rsidRPr="00C66720">
        <w:rPr>
          <w:rFonts w:ascii="Times New Roman" w:hAnsi="Times New Roman"/>
          <w:szCs w:val="22"/>
          <w:lang w:eastAsia="sk-SK"/>
        </w:rPr>
        <w:t xml:space="preserve"> a rámcovej účtovej osnove pre </w:t>
      </w:r>
      <w:r w:rsidR="002704F7" w:rsidRPr="00C66720">
        <w:rPr>
          <w:rFonts w:ascii="Times New Roman" w:hAnsi="Times New Roman"/>
          <w:szCs w:val="22"/>
          <w:lang w:eastAsia="sk-SK"/>
        </w:rPr>
        <w:t>štátne rozpočtové organizácie, štátne príspevkové organizácie a štátne účelové fondy</w:t>
      </w:r>
      <w:r w:rsidR="008D2E7F" w:rsidRPr="00C66720">
        <w:rPr>
          <w:rFonts w:ascii="Times New Roman" w:hAnsi="Times New Roman"/>
          <w:szCs w:val="22"/>
          <w:lang w:eastAsia="sk-SK"/>
        </w:rPr>
        <w:t>,</w:t>
      </w:r>
    </w:p>
    <w:p w14:paraId="2A9DCFDF" w14:textId="5F4A8A4C" w:rsidR="00BF6104" w:rsidRPr="00C66720" w:rsidRDefault="00BF6104" w:rsidP="008F097E">
      <w:pPr>
        <w:pStyle w:val="Odsekzoznamu"/>
        <w:numPr>
          <w:ilvl w:val="0"/>
          <w:numId w:val="32"/>
        </w:numPr>
        <w:spacing w:after="120" w:line="240" w:lineRule="auto"/>
        <w:jc w:val="both"/>
        <w:rPr>
          <w:rFonts w:ascii="Times New Roman" w:hAnsi="Times New Roman"/>
          <w:szCs w:val="22"/>
          <w:lang w:eastAsia="sk-SK"/>
        </w:rPr>
      </w:pPr>
      <w:r w:rsidRPr="00C66720">
        <w:rPr>
          <w:rFonts w:ascii="Times New Roman" w:hAnsi="Times New Roman"/>
          <w:szCs w:val="22"/>
          <w:lang w:eastAsia="sk-SK"/>
        </w:rPr>
        <w:t>opatrením MF SR č. MF/014454/2022-36, ktorým sa ustanovujú podrobnosti o postupoch účtovania rámcovej účtovej osnove pre obce, vyššie územné celky a nimi zriadené rozpočtové organizácie a príspevkové organizácie,</w:t>
      </w:r>
    </w:p>
    <w:p w14:paraId="3662E0CA" w14:textId="4AB43387" w:rsidR="008D2E7F" w:rsidRPr="00C66720" w:rsidRDefault="002D6290" w:rsidP="008F097E">
      <w:pPr>
        <w:pStyle w:val="Odsekzoznamu"/>
        <w:numPr>
          <w:ilvl w:val="0"/>
          <w:numId w:val="32"/>
        </w:numPr>
        <w:spacing w:after="120" w:line="240" w:lineRule="auto"/>
        <w:jc w:val="both"/>
        <w:rPr>
          <w:rFonts w:ascii="Times New Roman" w:hAnsi="Times New Roman"/>
          <w:szCs w:val="22"/>
          <w:lang w:eastAsia="sk-SK"/>
        </w:rPr>
      </w:pPr>
      <w:r w:rsidRPr="00C66720">
        <w:rPr>
          <w:rFonts w:ascii="Times New Roman" w:hAnsi="Times New Roman"/>
          <w:szCs w:val="22"/>
          <w:lang w:eastAsia="sk-SK"/>
        </w:rPr>
        <w:t>opatren</w:t>
      </w:r>
      <w:r w:rsidR="00C50672" w:rsidRPr="00C66720">
        <w:rPr>
          <w:rFonts w:ascii="Times New Roman" w:hAnsi="Times New Roman"/>
          <w:szCs w:val="22"/>
          <w:lang w:eastAsia="sk-SK"/>
        </w:rPr>
        <w:t>ím</w:t>
      </w:r>
      <w:r w:rsidRPr="00C66720">
        <w:rPr>
          <w:rFonts w:ascii="Times New Roman" w:hAnsi="Times New Roman"/>
          <w:szCs w:val="22"/>
          <w:lang w:eastAsia="sk-SK"/>
        </w:rPr>
        <w:t xml:space="preserve"> MF SR č. MF/23054/2002-92, ktorým sa ustanovujú podrobnosti o postupoch účtovania a rámcovej účtovej osnove pre podnikateľov účtujúcich v sústave podvojného účtovníctv</w:t>
      </w:r>
      <w:r w:rsidR="008D2E7F" w:rsidRPr="00C66720">
        <w:rPr>
          <w:rFonts w:ascii="Times New Roman" w:hAnsi="Times New Roman"/>
          <w:szCs w:val="22"/>
          <w:lang w:eastAsia="sk-SK"/>
        </w:rPr>
        <w:t>a v znení neskorších predpisov,</w:t>
      </w:r>
    </w:p>
    <w:p w14:paraId="0A567064" w14:textId="3A41FF3D" w:rsidR="008D2E7F" w:rsidRPr="00C66720" w:rsidRDefault="002D6290" w:rsidP="008F097E">
      <w:pPr>
        <w:pStyle w:val="Odsekzoznamu"/>
        <w:numPr>
          <w:ilvl w:val="0"/>
          <w:numId w:val="32"/>
        </w:numPr>
        <w:spacing w:after="120" w:line="240" w:lineRule="auto"/>
        <w:jc w:val="both"/>
        <w:rPr>
          <w:rFonts w:ascii="Times New Roman" w:hAnsi="Times New Roman"/>
          <w:szCs w:val="22"/>
          <w:lang w:eastAsia="sk-SK"/>
        </w:rPr>
      </w:pPr>
      <w:r w:rsidRPr="00C66720">
        <w:rPr>
          <w:rFonts w:ascii="Times New Roman" w:hAnsi="Times New Roman"/>
          <w:szCs w:val="22"/>
          <w:lang w:eastAsia="sk-SK"/>
        </w:rPr>
        <w:t>opatren</w:t>
      </w:r>
      <w:r w:rsidR="00C50672" w:rsidRPr="00C66720">
        <w:rPr>
          <w:rFonts w:ascii="Times New Roman" w:hAnsi="Times New Roman"/>
          <w:szCs w:val="22"/>
          <w:lang w:eastAsia="sk-SK"/>
        </w:rPr>
        <w:t>ím</w:t>
      </w:r>
      <w:r w:rsidRPr="00C66720">
        <w:rPr>
          <w:rFonts w:ascii="Times New Roman" w:hAnsi="Times New Roman"/>
          <w:szCs w:val="22"/>
          <w:lang w:eastAsia="sk-SK"/>
        </w:rPr>
        <w:t xml:space="preserve"> MF SR č. MF/22930/2005-74, ktorým sa ustanovujú podrobnosti o postupo</w:t>
      </w:r>
      <w:r w:rsidR="00A47F31" w:rsidRPr="00C66720">
        <w:rPr>
          <w:rFonts w:ascii="Times New Roman" w:hAnsi="Times New Roman"/>
          <w:szCs w:val="22"/>
          <w:lang w:eastAsia="sk-SK"/>
        </w:rPr>
        <w:t>ch účtovania a rámcovej účtovej</w:t>
      </w:r>
      <w:r w:rsidRPr="00C66720">
        <w:rPr>
          <w:rFonts w:ascii="Times New Roman" w:hAnsi="Times New Roman"/>
          <w:szCs w:val="22"/>
          <w:lang w:eastAsia="sk-SK"/>
        </w:rPr>
        <w:t xml:space="preserve"> osnove pre zdravotné poisťovne</w:t>
      </w:r>
      <w:r w:rsidR="005B08FF" w:rsidRPr="00C66720">
        <w:rPr>
          <w:rFonts w:ascii="Times New Roman" w:hAnsi="Times New Roman"/>
          <w:szCs w:val="22"/>
          <w:lang w:eastAsia="sk-SK"/>
        </w:rPr>
        <w:t>,</w:t>
      </w:r>
    </w:p>
    <w:p w14:paraId="10E989D9" w14:textId="23EC3A02" w:rsidR="005B08FF" w:rsidRPr="00C66720" w:rsidRDefault="005B08FF" w:rsidP="008F097E">
      <w:pPr>
        <w:pStyle w:val="Odsekzoznamu"/>
        <w:numPr>
          <w:ilvl w:val="0"/>
          <w:numId w:val="32"/>
        </w:numPr>
        <w:spacing w:after="120" w:line="240" w:lineRule="auto"/>
        <w:jc w:val="both"/>
        <w:rPr>
          <w:rFonts w:ascii="Times New Roman" w:hAnsi="Times New Roman"/>
          <w:szCs w:val="22"/>
          <w:lang w:eastAsia="sk-SK"/>
        </w:rPr>
      </w:pPr>
      <w:r w:rsidRPr="00C66720">
        <w:rPr>
          <w:rFonts w:ascii="Times New Roman" w:hAnsi="Times New Roman"/>
          <w:szCs w:val="22"/>
          <w:lang w:eastAsia="sk-SK"/>
        </w:rPr>
        <w:t>opatrením MF SR č. MF/24035/2005-74, ktorým sa ustanovujú podrobnosti o postupoch účtovania a účtovej osnove pre Sociálnu poisťovňu,</w:t>
      </w:r>
    </w:p>
    <w:p w14:paraId="08B1B152" w14:textId="0A7BBFCC" w:rsidR="005B08FF" w:rsidRPr="00C66720" w:rsidRDefault="005B08FF" w:rsidP="008F097E">
      <w:pPr>
        <w:pStyle w:val="Odsekzoznamu"/>
        <w:numPr>
          <w:ilvl w:val="0"/>
          <w:numId w:val="32"/>
        </w:numPr>
        <w:spacing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opatrením MF SR č. MF/24342/2007-74, ktorým sa ustanovujú podrobnosti o postupoch účtovania a účtovej osnove pre účtovné jednotky, ktoré nie sú založené alebo zriadené na účel podnikania a </w:t>
      </w:r>
    </w:p>
    <w:p w14:paraId="312258FD" w14:textId="560CF309" w:rsidR="002D6290" w:rsidRPr="00C66720" w:rsidRDefault="00C50672" w:rsidP="008F097E">
      <w:pPr>
        <w:pStyle w:val="Odsekzoznamu"/>
        <w:numPr>
          <w:ilvl w:val="0"/>
          <w:numId w:val="32"/>
        </w:numPr>
        <w:spacing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medzinárodnými štandardami pre finančné výkazníctvo (IFRS) </w:t>
      </w:r>
      <w:r w:rsidR="002D6290" w:rsidRPr="00C66720">
        <w:rPr>
          <w:rFonts w:ascii="Times New Roman" w:hAnsi="Times New Roman"/>
          <w:szCs w:val="22"/>
          <w:lang w:eastAsia="sk-SK"/>
        </w:rPr>
        <w:t>v prípade niektorých obchodných spoločností.</w:t>
      </w:r>
    </w:p>
    <w:p w14:paraId="18373792" w14:textId="1B5FB1EB" w:rsidR="00144CAB" w:rsidRPr="00C66720" w:rsidRDefault="002D6290" w:rsidP="008F097E">
      <w:pPr>
        <w:spacing w:after="0" w:line="240" w:lineRule="auto"/>
        <w:jc w:val="both"/>
        <w:rPr>
          <w:rFonts w:ascii="Times New Roman" w:hAnsi="Times New Roman"/>
          <w:szCs w:val="22"/>
          <w:lang w:eastAsia="sk-SK"/>
        </w:rPr>
      </w:pPr>
      <w:r w:rsidRPr="00C66720">
        <w:rPr>
          <w:rFonts w:ascii="Times New Roman" w:hAnsi="Times New Roman"/>
          <w:szCs w:val="22"/>
          <w:lang w:eastAsia="sk-SK"/>
        </w:rPr>
        <w:t>Pre účely zostavenia</w:t>
      </w:r>
      <w:r w:rsidR="00187FBE" w:rsidRPr="00C66720">
        <w:rPr>
          <w:rFonts w:ascii="Times New Roman" w:hAnsi="Times New Roman"/>
          <w:szCs w:val="22"/>
          <w:lang w:eastAsia="sk-SK"/>
        </w:rPr>
        <w:t xml:space="preserve"> súhrnnej účtovnej závierky sa výkazy</w:t>
      </w:r>
      <w:r w:rsidR="00FD1D26" w:rsidRPr="00C66720">
        <w:rPr>
          <w:rFonts w:ascii="Times New Roman" w:hAnsi="Times New Roman"/>
          <w:szCs w:val="22"/>
          <w:lang w:eastAsia="sk-SK"/>
        </w:rPr>
        <w:t xml:space="preserve"> </w:t>
      </w:r>
      <w:r w:rsidR="00187FBE" w:rsidRPr="00C66720">
        <w:rPr>
          <w:rFonts w:ascii="Times New Roman" w:hAnsi="Times New Roman"/>
          <w:szCs w:val="22"/>
          <w:lang w:eastAsia="sk-SK"/>
        </w:rPr>
        <w:t>účtovných</w:t>
      </w:r>
      <w:r w:rsidRPr="00C66720">
        <w:rPr>
          <w:rFonts w:ascii="Times New Roman" w:hAnsi="Times New Roman"/>
          <w:szCs w:val="22"/>
          <w:lang w:eastAsia="sk-SK"/>
        </w:rPr>
        <w:t xml:space="preserve"> jednot</w:t>
      </w:r>
      <w:r w:rsidR="00187FBE" w:rsidRPr="00C66720">
        <w:rPr>
          <w:rFonts w:ascii="Times New Roman" w:hAnsi="Times New Roman"/>
          <w:szCs w:val="22"/>
          <w:lang w:eastAsia="sk-SK"/>
        </w:rPr>
        <w:t>iek</w:t>
      </w:r>
      <w:r w:rsidR="00FD1D26" w:rsidRPr="00C66720">
        <w:rPr>
          <w:rFonts w:ascii="Times New Roman" w:hAnsi="Times New Roman"/>
          <w:szCs w:val="22"/>
          <w:lang w:eastAsia="sk-SK"/>
        </w:rPr>
        <w:t>, ktorých právna forma je iná než</w:t>
      </w:r>
      <w:r w:rsidRPr="00C66720">
        <w:rPr>
          <w:rFonts w:ascii="Times New Roman" w:hAnsi="Times New Roman"/>
          <w:szCs w:val="22"/>
          <w:lang w:eastAsia="sk-SK"/>
        </w:rPr>
        <w:t xml:space="preserve"> rozpočtov</w:t>
      </w:r>
      <w:r w:rsidR="00FD1D26" w:rsidRPr="00C66720">
        <w:rPr>
          <w:rFonts w:ascii="Times New Roman" w:hAnsi="Times New Roman"/>
          <w:szCs w:val="22"/>
          <w:lang w:eastAsia="sk-SK"/>
        </w:rPr>
        <w:t>á</w:t>
      </w:r>
      <w:r w:rsidR="00AC5254" w:rsidRPr="00C66720">
        <w:rPr>
          <w:rFonts w:ascii="Times New Roman" w:hAnsi="Times New Roman"/>
          <w:szCs w:val="22"/>
          <w:lang w:eastAsia="sk-SK"/>
        </w:rPr>
        <w:t xml:space="preserve"> organizácia</w:t>
      </w:r>
      <w:r w:rsidR="008603A1" w:rsidRPr="00C66720">
        <w:rPr>
          <w:rFonts w:ascii="Times New Roman" w:hAnsi="Times New Roman"/>
          <w:szCs w:val="22"/>
          <w:lang w:eastAsia="sk-SK"/>
        </w:rPr>
        <w:t>,</w:t>
      </w:r>
      <w:r w:rsidRPr="00C66720">
        <w:rPr>
          <w:rFonts w:ascii="Times New Roman" w:hAnsi="Times New Roman"/>
          <w:szCs w:val="22"/>
          <w:lang w:eastAsia="sk-SK"/>
        </w:rPr>
        <w:t xml:space="preserve"> upravili prostredníctvom </w:t>
      </w:r>
      <w:r w:rsidRPr="00C66720">
        <w:rPr>
          <w:rFonts w:ascii="Times New Roman" w:hAnsi="Times New Roman"/>
          <w:i/>
          <w:szCs w:val="22"/>
          <w:lang w:eastAsia="sk-SK"/>
        </w:rPr>
        <w:t>prevodových mostíkov</w:t>
      </w:r>
      <w:r w:rsidR="00FD1D26" w:rsidRPr="00C66720">
        <w:rPr>
          <w:rFonts w:ascii="Times New Roman" w:hAnsi="Times New Roman"/>
          <w:szCs w:val="22"/>
          <w:lang w:eastAsia="sk-SK"/>
        </w:rPr>
        <w:t xml:space="preserve"> na </w:t>
      </w:r>
      <w:r w:rsidR="005469CF" w:rsidRPr="00C66720">
        <w:rPr>
          <w:rFonts w:ascii="Times New Roman" w:hAnsi="Times New Roman"/>
          <w:szCs w:val="22"/>
          <w:lang w:eastAsia="sk-SK"/>
        </w:rPr>
        <w:t xml:space="preserve">štruktúru </w:t>
      </w:r>
      <w:r w:rsidR="00FD1D26" w:rsidRPr="00C66720">
        <w:rPr>
          <w:rFonts w:ascii="Times New Roman" w:hAnsi="Times New Roman"/>
          <w:szCs w:val="22"/>
          <w:lang w:eastAsia="sk-SK"/>
        </w:rPr>
        <w:t>výkaz</w:t>
      </w:r>
      <w:r w:rsidR="005469CF" w:rsidRPr="00C66720">
        <w:rPr>
          <w:rFonts w:ascii="Times New Roman" w:hAnsi="Times New Roman"/>
          <w:szCs w:val="22"/>
          <w:lang w:eastAsia="sk-SK"/>
        </w:rPr>
        <w:t>ov</w:t>
      </w:r>
      <w:r w:rsidR="00FD1D26" w:rsidRPr="00C66720">
        <w:rPr>
          <w:rFonts w:ascii="Times New Roman" w:hAnsi="Times New Roman"/>
          <w:szCs w:val="22"/>
          <w:lang w:eastAsia="sk-SK"/>
        </w:rPr>
        <w:t xml:space="preserve"> </w:t>
      </w:r>
      <w:r w:rsidR="00AC5254" w:rsidRPr="00C66720">
        <w:rPr>
          <w:rFonts w:ascii="Times New Roman" w:hAnsi="Times New Roman"/>
          <w:szCs w:val="22"/>
          <w:lang w:eastAsia="sk-SK"/>
        </w:rPr>
        <w:t>platných pre Ministerstvo financií SR</w:t>
      </w:r>
      <w:r w:rsidRPr="00C66720">
        <w:rPr>
          <w:rFonts w:ascii="Times New Roman" w:hAnsi="Times New Roman"/>
          <w:szCs w:val="22"/>
          <w:lang w:eastAsia="sk-SK"/>
        </w:rPr>
        <w:t>. T</w:t>
      </w:r>
      <w:r w:rsidR="00A61E52" w:rsidRPr="00C66720">
        <w:rPr>
          <w:rFonts w:ascii="Times New Roman" w:hAnsi="Times New Roman"/>
          <w:szCs w:val="22"/>
          <w:lang w:eastAsia="sk-SK"/>
        </w:rPr>
        <w:t>ým je</w:t>
      </w:r>
      <w:r w:rsidRPr="00C66720">
        <w:rPr>
          <w:rFonts w:ascii="Times New Roman" w:hAnsi="Times New Roman"/>
          <w:szCs w:val="22"/>
          <w:lang w:eastAsia="sk-SK"/>
        </w:rPr>
        <w:t xml:space="preserve"> zabezpečená agregácia </w:t>
      </w:r>
      <w:r w:rsidR="00FD1D26" w:rsidRPr="00C66720">
        <w:rPr>
          <w:rFonts w:ascii="Times New Roman" w:hAnsi="Times New Roman"/>
          <w:szCs w:val="22"/>
          <w:lang w:eastAsia="sk-SK"/>
        </w:rPr>
        <w:t>údajov</w:t>
      </w:r>
      <w:r w:rsidR="00AC5254" w:rsidRPr="00C66720">
        <w:rPr>
          <w:rFonts w:ascii="Times New Roman" w:hAnsi="Times New Roman"/>
          <w:szCs w:val="22"/>
          <w:lang w:eastAsia="sk-SK"/>
        </w:rPr>
        <w:t xml:space="preserve"> v rovnakej štruktúre za všetky účtovné jednotky v</w:t>
      </w:r>
      <w:r w:rsidR="00783C4B" w:rsidRPr="00C66720">
        <w:rPr>
          <w:rFonts w:ascii="Times New Roman" w:hAnsi="Times New Roman"/>
          <w:szCs w:val="22"/>
          <w:lang w:eastAsia="sk-SK"/>
        </w:rPr>
        <w:t xml:space="preserve"> súhrnnom </w:t>
      </w:r>
      <w:r w:rsidR="00AC5254" w:rsidRPr="00C66720">
        <w:rPr>
          <w:rFonts w:ascii="Times New Roman" w:hAnsi="Times New Roman"/>
          <w:szCs w:val="22"/>
          <w:lang w:eastAsia="sk-SK"/>
        </w:rPr>
        <w:t>celku</w:t>
      </w:r>
      <w:r w:rsidR="00A61E52" w:rsidRPr="00C66720">
        <w:rPr>
          <w:rFonts w:ascii="Times New Roman" w:hAnsi="Times New Roman"/>
          <w:szCs w:val="22"/>
          <w:lang w:eastAsia="sk-SK"/>
        </w:rPr>
        <w:t>.</w:t>
      </w:r>
      <w:r w:rsidR="00AC5254" w:rsidRPr="00C66720">
        <w:rPr>
          <w:rFonts w:ascii="Times New Roman" w:hAnsi="Times New Roman"/>
          <w:szCs w:val="22"/>
          <w:lang w:eastAsia="sk-SK"/>
        </w:rPr>
        <w:t xml:space="preserve"> </w:t>
      </w:r>
      <w:r w:rsidR="00144CAB" w:rsidRPr="00C66720">
        <w:rPr>
          <w:rFonts w:ascii="Times New Roman" w:hAnsi="Times New Roman"/>
          <w:szCs w:val="22"/>
          <w:lang w:eastAsia="sk-SK"/>
        </w:rPr>
        <w:t>Číselné údaje v poznámkach súhrnnej účtovnej závierk</w:t>
      </w:r>
      <w:r w:rsidR="00007A84" w:rsidRPr="00C66720">
        <w:rPr>
          <w:rFonts w:ascii="Times New Roman" w:hAnsi="Times New Roman"/>
          <w:szCs w:val="22"/>
          <w:lang w:eastAsia="sk-SK"/>
        </w:rPr>
        <w:t>y</w:t>
      </w:r>
      <w:r w:rsidR="00144CAB" w:rsidRPr="00C66720">
        <w:rPr>
          <w:rFonts w:ascii="Times New Roman" w:hAnsi="Times New Roman"/>
          <w:szCs w:val="22"/>
          <w:lang w:eastAsia="sk-SK"/>
        </w:rPr>
        <w:t xml:space="preserve"> sú vykazované v m</w:t>
      </w:r>
      <w:r w:rsidR="00783C4B" w:rsidRPr="00C66720">
        <w:rPr>
          <w:rFonts w:ascii="Times New Roman" w:hAnsi="Times New Roman"/>
          <w:szCs w:val="22"/>
          <w:lang w:eastAsia="sk-SK"/>
        </w:rPr>
        <w:t>ene euro, zaokrúhlené na tisíce, ak nie je uvedené inak.</w:t>
      </w:r>
    </w:p>
    <w:p w14:paraId="09094EE5" w14:textId="77777777" w:rsidR="007A020B" w:rsidRPr="00C66720" w:rsidRDefault="007A020B" w:rsidP="008F097E">
      <w:pPr>
        <w:spacing w:after="0" w:line="240" w:lineRule="auto"/>
        <w:jc w:val="both"/>
        <w:rPr>
          <w:rFonts w:ascii="Times New Roman" w:hAnsi="Times New Roman"/>
          <w:szCs w:val="22"/>
          <w:lang w:eastAsia="sk-SK"/>
        </w:rPr>
      </w:pPr>
    </w:p>
    <w:p w14:paraId="195B882D" w14:textId="77777777" w:rsidR="00645EE4" w:rsidRPr="00C66720" w:rsidRDefault="00645EE4" w:rsidP="008F097E">
      <w:pPr>
        <w:spacing w:before="120" w:after="0" w:line="240" w:lineRule="auto"/>
        <w:jc w:val="both"/>
        <w:rPr>
          <w:rFonts w:ascii="Times New Roman" w:hAnsi="Times New Roman"/>
          <w:b/>
          <w:sz w:val="24"/>
          <w:szCs w:val="24"/>
          <w:lang w:eastAsia="sk-SK"/>
        </w:rPr>
      </w:pPr>
      <w:r w:rsidRPr="00C66720">
        <w:rPr>
          <w:rFonts w:ascii="Times New Roman" w:hAnsi="Times New Roman"/>
          <w:b/>
          <w:sz w:val="24"/>
          <w:szCs w:val="24"/>
          <w:lang w:eastAsia="sk-SK"/>
        </w:rPr>
        <w:t xml:space="preserve">4. Ďalšie informácie z konsolidovaných a individuálnych účtovných závierok </w:t>
      </w:r>
    </w:p>
    <w:p w14:paraId="6DF77A8B" w14:textId="29A44514" w:rsidR="00980B2C" w:rsidRPr="00C66720" w:rsidRDefault="001F2254" w:rsidP="00980B2C">
      <w:pPr>
        <w:spacing w:before="120" w:after="0" w:line="240" w:lineRule="auto"/>
        <w:jc w:val="both"/>
        <w:rPr>
          <w:rFonts w:ascii="Times New Roman" w:hAnsi="Times New Roman"/>
          <w:szCs w:val="22"/>
          <w:lang w:eastAsia="sk-SK"/>
        </w:rPr>
      </w:pPr>
      <w:r w:rsidRPr="00C66720">
        <w:rPr>
          <w:rFonts w:ascii="Times New Roman" w:hAnsi="Times New Roman"/>
          <w:szCs w:val="22"/>
          <w:lang w:eastAsia="sk-SK"/>
        </w:rPr>
        <w:t>Opis položiek</w:t>
      </w:r>
      <w:r w:rsidR="00D169B9" w:rsidRPr="00C66720">
        <w:rPr>
          <w:rFonts w:ascii="Times New Roman" w:hAnsi="Times New Roman"/>
          <w:szCs w:val="22"/>
          <w:lang w:eastAsia="sk-SK"/>
        </w:rPr>
        <w:t xml:space="preserve"> v </w:t>
      </w:r>
      <w:r w:rsidR="005135BF" w:rsidRPr="00C66720">
        <w:rPr>
          <w:rFonts w:ascii="Times New Roman" w:hAnsi="Times New Roman"/>
          <w:szCs w:val="22"/>
          <w:lang w:eastAsia="sk-SK"/>
        </w:rPr>
        <w:t>SUZ</w:t>
      </w:r>
      <w:r w:rsidR="00D169B9" w:rsidRPr="00C66720">
        <w:rPr>
          <w:rFonts w:ascii="Times New Roman" w:hAnsi="Times New Roman"/>
          <w:szCs w:val="22"/>
          <w:lang w:eastAsia="sk-SK"/>
        </w:rPr>
        <w:t xml:space="preserve"> (súvaha, výkaz ziskov a strát)</w:t>
      </w:r>
      <w:r w:rsidRPr="00C66720">
        <w:rPr>
          <w:rFonts w:ascii="Times New Roman" w:hAnsi="Times New Roman"/>
          <w:szCs w:val="22"/>
          <w:lang w:eastAsia="sk-SK"/>
        </w:rPr>
        <w:t xml:space="preserve"> sa zakladá na informáciách, ktoré sú uvedené v poznámkach individuálnych a</w:t>
      </w:r>
      <w:r w:rsidR="00D169B9" w:rsidRPr="00C66720">
        <w:rPr>
          <w:rFonts w:ascii="Times New Roman" w:hAnsi="Times New Roman"/>
          <w:szCs w:val="22"/>
          <w:lang w:eastAsia="sk-SK"/>
        </w:rPr>
        <w:t>lebo</w:t>
      </w:r>
      <w:r w:rsidRPr="00C66720">
        <w:rPr>
          <w:rFonts w:ascii="Times New Roman" w:hAnsi="Times New Roman"/>
          <w:szCs w:val="22"/>
          <w:lang w:eastAsia="sk-SK"/>
        </w:rPr>
        <w:t xml:space="preserve"> konsolidovaných účtovných závierkach subjektov súhrnného celku, výročných správ a na </w:t>
      </w:r>
      <w:r w:rsidR="006E30D9" w:rsidRPr="00C66720">
        <w:rPr>
          <w:rFonts w:ascii="Times New Roman" w:hAnsi="Times New Roman"/>
          <w:szCs w:val="22"/>
          <w:lang w:eastAsia="sk-SK"/>
        </w:rPr>
        <w:t>informáciách</w:t>
      </w:r>
      <w:r w:rsidRPr="00C66720">
        <w:rPr>
          <w:rFonts w:ascii="Times New Roman" w:hAnsi="Times New Roman"/>
          <w:szCs w:val="22"/>
          <w:lang w:eastAsia="sk-SK"/>
        </w:rPr>
        <w:t xml:space="preserve"> vyžiadaných materskou účtovnou jednotkou. Pre tieto účely je možné nahliadnuť do </w:t>
      </w:r>
      <w:r w:rsidR="00906061" w:rsidRPr="00C66720">
        <w:rPr>
          <w:rFonts w:ascii="Times New Roman" w:hAnsi="Times New Roman"/>
          <w:szCs w:val="22"/>
          <w:lang w:eastAsia="sk-SK"/>
        </w:rPr>
        <w:t xml:space="preserve">Registra </w:t>
      </w:r>
      <w:r w:rsidRPr="00C66720">
        <w:rPr>
          <w:rFonts w:ascii="Times New Roman" w:hAnsi="Times New Roman"/>
          <w:szCs w:val="22"/>
          <w:lang w:eastAsia="sk-SK"/>
        </w:rPr>
        <w:t xml:space="preserve">účtovných závierok na webovom sídle </w:t>
      </w:r>
      <w:hyperlink r:id="rId11" w:history="1">
        <w:r w:rsidRPr="00C66720">
          <w:rPr>
            <w:rStyle w:val="Hypertextovprepojenie"/>
            <w:rFonts w:ascii="Times New Roman" w:hAnsi="Times New Roman"/>
            <w:color w:val="auto"/>
            <w:szCs w:val="22"/>
            <w:lang w:eastAsia="sk-SK"/>
          </w:rPr>
          <w:t>www.registeruz.sk</w:t>
        </w:r>
      </w:hyperlink>
      <w:r w:rsidRPr="00C66720">
        <w:rPr>
          <w:rFonts w:ascii="Times New Roman" w:hAnsi="Times New Roman"/>
          <w:szCs w:val="22"/>
          <w:lang w:eastAsia="sk-SK"/>
        </w:rPr>
        <w:t xml:space="preserve">. </w:t>
      </w:r>
    </w:p>
    <w:p w14:paraId="0396D52A" w14:textId="1F93B305" w:rsidR="009A3C58" w:rsidRPr="00C66720" w:rsidRDefault="009A3C58">
      <w:pPr>
        <w:spacing w:after="0" w:line="240" w:lineRule="auto"/>
        <w:rPr>
          <w:rFonts w:ascii="Times New Roman" w:hAnsi="Times New Roman"/>
          <w:szCs w:val="22"/>
          <w:lang w:eastAsia="sk-SK"/>
        </w:rPr>
      </w:pPr>
      <w:r w:rsidRPr="00C66720">
        <w:rPr>
          <w:rFonts w:ascii="Times New Roman" w:hAnsi="Times New Roman"/>
          <w:szCs w:val="22"/>
          <w:lang w:eastAsia="sk-SK"/>
        </w:rPr>
        <w:br w:type="page"/>
      </w:r>
    </w:p>
    <w:p w14:paraId="4834263B" w14:textId="0B20C79F" w:rsidR="002D6290" w:rsidRPr="00C66720" w:rsidRDefault="002D6290" w:rsidP="00980B2C">
      <w:pPr>
        <w:spacing w:before="120" w:after="0" w:line="240" w:lineRule="auto"/>
        <w:jc w:val="both"/>
        <w:rPr>
          <w:rFonts w:ascii="Times New Roman" w:hAnsi="Times New Roman"/>
          <w:b/>
          <w:caps/>
          <w:sz w:val="24"/>
          <w:szCs w:val="24"/>
        </w:rPr>
      </w:pPr>
      <w:r w:rsidRPr="00C66720">
        <w:rPr>
          <w:rFonts w:ascii="Times New Roman" w:hAnsi="Times New Roman"/>
          <w:b/>
          <w:caps/>
          <w:sz w:val="24"/>
          <w:szCs w:val="24"/>
        </w:rPr>
        <w:lastRenderedPageBreak/>
        <w:t>Informácie</w:t>
      </w:r>
      <w:r w:rsidR="0049438C" w:rsidRPr="00C66720">
        <w:rPr>
          <w:rFonts w:ascii="Times New Roman" w:hAnsi="Times New Roman"/>
          <w:b/>
          <w:caps/>
          <w:sz w:val="24"/>
          <w:szCs w:val="24"/>
        </w:rPr>
        <w:t xml:space="preserve"> </w:t>
      </w:r>
      <w:r w:rsidRPr="00C66720">
        <w:rPr>
          <w:rFonts w:ascii="Times New Roman" w:hAnsi="Times New Roman"/>
          <w:b/>
          <w:caps/>
          <w:sz w:val="24"/>
          <w:szCs w:val="24"/>
        </w:rPr>
        <w:t>o</w:t>
      </w:r>
      <w:r w:rsidR="0049438C" w:rsidRPr="00C66720">
        <w:rPr>
          <w:rFonts w:ascii="Times New Roman" w:hAnsi="Times New Roman"/>
          <w:b/>
          <w:caps/>
          <w:sz w:val="24"/>
          <w:szCs w:val="24"/>
        </w:rPr>
        <w:t xml:space="preserve"> </w:t>
      </w:r>
      <w:r w:rsidRPr="00C66720">
        <w:rPr>
          <w:rFonts w:ascii="Times New Roman" w:hAnsi="Times New Roman"/>
          <w:b/>
          <w:caps/>
          <w:sz w:val="24"/>
          <w:szCs w:val="24"/>
        </w:rPr>
        <w:t>metódach</w:t>
      </w:r>
      <w:r w:rsidR="0049438C" w:rsidRPr="00C66720">
        <w:rPr>
          <w:rFonts w:ascii="Times New Roman" w:hAnsi="Times New Roman"/>
          <w:b/>
          <w:caps/>
          <w:sz w:val="24"/>
          <w:szCs w:val="24"/>
        </w:rPr>
        <w:t xml:space="preserve"> </w:t>
      </w:r>
      <w:r w:rsidRPr="00C66720">
        <w:rPr>
          <w:rFonts w:ascii="Times New Roman" w:hAnsi="Times New Roman"/>
          <w:b/>
          <w:caps/>
          <w:sz w:val="24"/>
          <w:szCs w:val="24"/>
        </w:rPr>
        <w:t>a</w:t>
      </w:r>
      <w:r w:rsidR="0049438C" w:rsidRPr="00C66720">
        <w:rPr>
          <w:rFonts w:ascii="Times New Roman" w:hAnsi="Times New Roman"/>
          <w:b/>
          <w:caps/>
          <w:sz w:val="24"/>
          <w:szCs w:val="24"/>
        </w:rPr>
        <w:t xml:space="preserve"> </w:t>
      </w:r>
      <w:r w:rsidRPr="00C66720">
        <w:rPr>
          <w:rFonts w:ascii="Times New Roman" w:hAnsi="Times New Roman"/>
          <w:b/>
          <w:caps/>
          <w:sz w:val="24"/>
          <w:szCs w:val="24"/>
        </w:rPr>
        <w:t>postup</w:t>
      </w:r>
      <w:r w:rsidR="00797246" w:rsidRPr="00C66720">
        <w:rPr>
          <w:rFonts w:ascii="Times New Roman" w:hAnsi="Times New Roman"/>
          <w:b/>
          <w:caps/>
          <w:sz w:val="24"/>
          <w:szCs w:val="24"/>
        </w:rPr>
        <w:t>E</w:t>
      </w:r>
      <w:r w:rsidRPr="00C66720">
        <w:rPr>
          <w:rFonts w:ascii="Times New Roman" w:hAnsi="Times New Roman"/>
          <w:b/>
          <w:caps/>
          <w:sz w:val="24"/>
          <w:szCs w:val="24"/>
        </w:rPr>
        <w:t xml:space="preserve"> konsolidácie</w:t>
      </w:r>
    </w:p>
    <w:p w14:paraId="13AB754F" w14:textId="77777777" w:rsidR="002D6290" w:rsidRPr="00C66720" w:rsidRDefault="002D6290" w:rsidP="008F097E">
      <w:pPr>
        <w:tabs>
          <w:tab w:val="left" w:pos="284"/>
        </w:tabs>
        <w:spacing w:before="120" w:after="120" w:line="240" w:lineRule="auto"/>
        <w:jc w:val="both"/>
        <w:rPr>
          <w:rFonts w:ascii="Times New Roman" w:hAnsi="Times New Roman"/>
          <w:b/>
          <w:sz w:val="24"/>
          <w:szCs w:val="24"/>
        </w:rPr>
      </w:pPr>
      <w:r w:rsidRPr="00C66720">
        <w:rPr>
          <w:rFonts w:ascii="Times New Roman" w:hAnsi="Times New Roman"/>
          <w:b/>
          <w:sz w:val="24"/>
          <w:szCs w:val="24"/>
        </w:rPr>
        <w:t>1.</w:t>
      </w:r>
      <w:r w:rsidRPr="00C66720">
        <w:rPr>
          <w:rFonts w:ascii="Times New Roman" w:hAnsi="Times New Roman"/>
          <w:b/>
          <w:sz w:val="24"/>
          <w:szCs w:val="24"/>
        </w:rPr>
        <w:tab/>
        <w:t>Informácie o použitých metódach konsolidácie</w:t>
      </w:r>
    </w:p>
    <w:p w14:paraId="33C0234E" w14:textId="00AC7B3B" w:rsidR="002D6290" w:rsidRDefault="002D6290" w:rsidP="008F097E">
      <w:pPr>
        <w:spacing w:after="120" w:line="240" w:lineRule="auto"/>
        <w:jc w:val="both"/>
        <w:rPr>
          <w:rFonts w:ascii="Times New Roman" w:hAnsi="Times New Roman"/>
          <w:szCs w:val="22"/>
        </w:rPr>
      </w:pPr>
      <w:r w:rsidRPr="00C66720">
        <w:rPr>
          <w:rFonts w:ascii="Times New Roman" w:hAnsi="Times New Roman"/>
          <w:szCs w:val="22"/>
        </w:rPr>
        <w:t xml:space="preserve">Na </w:t>
      </w:r>
      <w:r w:rsidR="0096476C" w:rsidRPr="00C66720">
        <w:rPr>
          <w:rFonts w:ascii="Times New Roman" w:hAnsi="Times New Roman"/>
          <w:szCs w:val="22"/>
        </w:rPr>
        <w:t xml:space="preserve">zostavenie </w:t>
      </w:r>
      <w:r w:rsidRPr="00C66720">
        <w:rPr>
          <w:rFonts w:ascii="Times New Roman" w:hAnsi="Times New Roman"/>
          <w:szCs w:val="22"/>
        </w:rPr>
        <w:t>súhrnn</w:t>
      </w:r>
      <w:r w:rsidR="0096476C" w:rsidRPr="00C66720">
        <w:rPr>
          <w:rFonts w:ascii="Times New Roman" w:hAnsi="Times New Roman"/>
          <w:szCs w:val="22"/>
        </w:rPr>
        <w:t>ej</w:t>
      </w:r>
      <w:r w:rsidRPr="00C66720">
        <w:rPr>
          <w:rFonts w:ascii="Times New Roman" w:hAnsi="Times New Roman"/>
          <w:szCs w:val="22"/>
        </w:rPr>
        <w:t xml:space="preserve"> účtovn</w:t>
      </w:r>
      <w:r w:rsidR="0096476C" w:rsidRPr="00C66720">
        <w:rPr>
          <w:rFonts w:ascii="Times New Roman" w:hAnsi="Times New Roman"/>
          <w:szCs w:val="22"/>
        </w:rPr>
        <w:t>ej</w:t>
      </w:r>
      <w:r w:rsidRPr="00C66720">
        <w:rPr>
          <w:rFonts w:ascii="Times New Roman" w:hAnsi="Times New Roman"/>
          <w:szCs w:val="22"/>
        </w:rPr>
        <w:t xml:space="preserve"> závierk</w:t>
      </w:r>
      <w:r w:rsidR="0096476C" w:rsidRPr="00C66720">
        <w:rPr>
          <w:rFonts w:ascii="Times New Roman" w:hAnsi="Times New Roman"/>
          <w:szCs w:val="22"/>
        </w:rPr>
        <w:t>y</w:t>
      </w:r>
      <w:r w:rsidRPr="00C66720">
        <w:rPr>
          <w:rFonts w:ascii="Times New Roman" w:hAnsi="Times New Roman"/>
          <w:szCs w:val="22"/>
        </w:rPr>
        <w:t xml:space="preserve"> boli primerane použité metódy a postupy konsolidácie podľa opatrenia </w:t>
      </w:r>
      <w:r w:rsidR="00701477" w:rsidRPr="00C66720">
        <w:rPr>
          <w:rFonts w:ascii="Times New Roman" w:hAnsi="Times New Roman"/>
          <w:szCs w:val="22"/>
        </w:rPr>
        <w:t>ku konsolidácii vo verejnej správe</w:t>
      </w:r>
      <w:r w:rsidRPr="00C66720">
        <w:rPr>
          <w:rFonts w:ascii="Times New Roman" w:hAnsi="Times New Roman"/>
          <w:szCs w:val="22"/>
        </w:rPr>
        <w:t>.</w:t>
      </w:r>
      <w:r w:rsidR="00701477" w:rsidRPr="00C66720">
        <w:rPr>
          <w:rFonts w:ascii="Times New Roman" w:hAnsi="Times New Roman"/>
          <w:szCs w:val="22"/>
        </w:rPr>
        <w:t xml:space="preserve"> </w:t>
      </w:r>
      <w:r w:rsidRPr="00C66720">
        <w:rPr>
          <w:rFonts w:ascii="Times New Roman" w:hAnsi="Times New Roman"/>
          <w:szCs w:val="22"/>
        </w:rPr>
        <w:t xml:space="preserve">Účtovné jednotky boli zahrnuté do súhrnnej účtovnej závierky nasledovnými metódami: </w:t>
      </w:r>
    </w:p>
    <w:p w14:paraId="146C897B" w14:textId="77777777" w:rsidR="00ED4D99" w:rsidRPr="00177FDD" w:rsidRDefault="00ED4D99" w:rsidP="00ED4D99">
      <w:pPr>
        <w:spacing w:before="120" w:after="0" w:line="240" w:lineRule="auto"/>
        <w:jc w:val="both"/>
        <w:rPr>
          <w:rFonts w:ascii="Times New Roman" w:hAnsi="Times New Roman"/>
          <w:color w:val="000000"/>
          <w:sz w:val="18"/>
          <w:szCs w:val="18"/>
        </w:rPr>
      </w:pPr>
      <w:r>
        <w:rPr>
          <w:rFonts w:ascii="Times New Roman" w:hAnsi="Times New Roman"/>
          <w:b/>
          <w:color w:val="000000"/>
          <w:sz w:val="18"/>
          <w:szCs w:val="18"/>
        </w:rPr>
        <w:t xml:space="preserve">         Tabuľka 2</w:t>
      </w:r>
    </w:p>
    <w:tbl>
      <w:tblPr>
        <w:tblW w:w="4501" w:type="pct"/>
        <w:jc w:val="center"/>
        <w:tblLayout w:type="fixed"/>
        <w:tblCellMar>
          <w:left w:w="70" w:type="dxa"/>
          <w:right w:w="70" w:type="dxa"/>
        </w:tblCellMar>
        <w:tblLook w:val="00A0" w:firstRow="1" w:lastRow="0" w:firstColumn="1" w:lastColumn="0" w:noHBand="0" w:noVBand="0"/>
      </w:tblPr>
      <w:tblGrid>
        <w:gridCol w:w="5141"/>
        <w:gridCol w:w="3025"/>
      </w:tblGrid>
      <w:tr w:rsidR="00ED4D99" w:rsidRPr="00AD1DD7" w14:paraId="7893C17E" w14:textId="77777777" w:rsidTr="00241F33">
        <w:trPr>
          <w:trHeight w:val="330"/>
          <w:jc w:val="center"/>
        </w:trPr>
        <w:tc>
          <w:tcPr>
            <w:tcW w:w="5000" w:type="pct"/>
            <w:gridSpan w:val="2"/>
            <w:tcBorders>
              <w:top w:val="single" w:sz="4" w:space="0" w:color="auto"/>
              <w:left w:val="nil"/>
              <w:bottom w:val="single" w:sz="4" w:space="0" w:color="auto"/>
              <w:right w:val="nil"/>
            </w:tcBorders>
            <w:shd w:val="clear" w:color="auto" w:fill="F4B084"/>
            <w:noWrap/>
            <w:vAlign w:val="center"/>
          </w:tcPr>
          <w:p w14:paraId="22E2F9BE" w14:textId="77777777" w:rsidR="00ED4D99" w:rsidRPr="00AD1DD7" w:rsidRDefault="00ED4D99" w:rsidP="00241F33">
            <w:pPr>
              <w:spacing w:after="0" w:line="240" w:lineRule="auto"/>
              <w:rPr>
                <w:rFonts w:ascii="Times New Roman" w:hAnsi="Times New Roman"/>
                <w:b/>
                <w:bCs/>
                <w:sz w:val="18"/>
                <w:szCs w:val="18"/>
                <w:lang w:eastAsia="sk-SK"/>
              </w:rPr>
            </w:pPr>
            <w:r w:rsidRPr="00AD1DD7">
              <w:rPr>
                <w:rFonts w:ascii="Times New Roman" w:hAnsi="Times New Roman"/>
                <w:b/>
                <w:bCs/>
                <w:sz w:val="18"/>
                <w:szCs w:val="18"/>
                <w:lang w:eastAsia="sk-SK"/>
              </w:rPr>
              <w:t>Metóda zahrnutia účtovných jednotiek do súhrnného celku</w:t>
            </w:r>
          </w:p>
        </w:tc>
      </w:tr>
      <w:tr w:rsidR="00ED4D99" w:rsidRPr="008627D1" w14:paraId="2408098E" w14:textId="77777777" w:rsidTr="00241F33">
        <w:trPr>
          <w:trHeight w:val="330"/>
          <w:jc w:val="center"/>
        </w:trPr>
        <w:tc>
          <w:tcPr>
            <w:tcW w:w="3148" w:type="pct"/>
            <w:tcBorders>
              <w:top w:val="nil"/>
              <w:left w:val="nil"/>
              <w:bottom w:val="single" w:sz="4" w:space="0" w:color="auto"/>
              <w:right w:val="nil"/>
            </w:tcBorders>
            <w:shd w:val="clear" w:color="auto" w:fill="BDD7EE"/>
            <w:noWrap/>
            <w:vAlign w:val="bottom"/>
          </w:tcPr>
          <w:p w14:paraId="5772E5F3" w14:textId="77777777" w:rsidR="00ED4D99" w:rsidRPr="008627D1" w:rsidRDefault="00ED4D99" w:rsidP="00241F33">
            <w:pPr>
              <w:spacing w:after="0" w:line="240" w:lineRule="auto"/>
              <w:rPr>
                <w:rFonts w:ascii="Times New Roman" w:hAnsi="Times New Roman"/>
                <w:b/>
                <w:bCs/>
                <w:sz w:val="18"/>
                <w:szCs w:val="18"/>
                <w:lang w:eastAsia="sk-SK"/>
              </w:rPr>
            </w:pPr>
            <w:r w:rsidRPr="008627D1">
              <w:rPr>
                <w:rFonts w:ascii="Times New Roman" w:hAnsi="Times New Roman"/>
                <w:b/>
                <w:bCs/>
                <w:sz w:val="18"/>
                <w:szCs w:val="18"/>
                <w:lang w:eastAsia="sk-SK"/>
              </w:rPr>
              <w:t> Druh účtovnej jednotky</w:t>
            </w:r>
          </w:p>
        </w:tc>
        <w:tc>
          <w:tcPr>
            <w:tcW w:w="1852" w:type="pct"/>
            <w:tcBorders>
              <w:top w:val="nil"/>
              <w:left w:val="nil"/>
              <w:bottom w:val="single" w:sz="4" w:space="0" w:color="auto"/>
              <w:right w:val="nil"/>
            </w:tcBorders>
            <w:shd w:val="clear" w:color="auto" w:fill="BDD7EE"/>
            <w:noWrap/>
            <w:vAlign w:val="bottom"/>
          </w:tcPr>
          <w:p w14:paraId="6DEC79C2" w14:textId="77777777" w:rsidR="00ED4D99" w:rsidRPr="008627D1" w:rsidRDefault="00ED4D99" w:rsidP="00241F33">
            <w:pPr>
              <w:spacing w:after="0" w:line="240" w:lineRule="auto"/>
              <w:ind w:firstLine="335"/>
              <w:jc w:val="center"/>
              <w:rPr>
                <w:rFonts w:ascii="Times New Roman" w:hAnsi="Times New Roman"/>
                <w:b/>
                <w:bCs/>
                <w:sz w:val="18"/>
                <w:szCs w:val="18"/>
                <w:lang w:eastAsia="sk-SK"/>
              </w:rPr>
            </w:pPr>
            <w:r w:rsidRPr="008627D1">
              <w:rPr>
                <w:rFonts w:ascii="Times New Roman" w:hAnsi="Times New Roman"/>
                <w:b/>
                <w:bCs/>
                <w:sz w:val="18"/>
                <w:szCs w:val="18"/>
                <w:lang w:eastAsia="sk-SK"/>
              </w:rPr>
              <w:t>Metóda</w:t>
            </w:r>
          </w:p>
        </w:tc>
      </w:tr>
      <w:tr w:rsidR="00ED4D99" w:rsidRPr="008627D1" w14:paraId="1F332712" w14:textId="77777777" w:rsidTr="00241F33">
        <w:trPr>
          <w:trHeight w:val="283"/>
          <w:jc w:val="center"/>
        </w:trPr>
        <w:tc>
          <w:tcPr>
            <w:tcW w:w="3148" w:type="pct"/>
            <w:tcBorders>
              <w:top w:val="nil"/>
              <w:left w:val="nil"/>
              <w:bottom w:val="nil"/>
              <w:right w:val="nil"/>
            </w:tcBorders>
            <w:shd w:val="clear" w:color="000000" w:fill="FFFFFF"/>
            <w:vAlign w:val="center"/>
          </w:tcPr>
          <w:p w14:paraId="63634CA6" w14:textId="77777777" w:rsidR="00ED4D99" w:rsidRPr="008627D1" w:rsidRDefault="00ED4D99" w:rsidP="00241F33">
            <w:pPr>
              <w:spacing w:after="0" w:line="240" w:lineRule="auto"/>
              <w:rPr>
                <w:rFonts w:ascii="Times New Roman" w:hAnsi="Times New Roman"/>
                <w:sz w:val="18"/>
                <w:szCs w:val="18"/>
              </w:rPr>
            </w:pPr>
            <w:r w:rsidRPr="008627D1">
              <w:rPr>
                <w:rFonts w:ascii="Times New Roman" w:hAnsi="Times New Roman"/>
                <w:sz w:val="18"/>
                <w:szCs w:val="18"/>
              </w:rPr>
              <w:t>Rozpočtové a príspevkové organizácie</w:t>
            </w:r>
          </w:p>
        </w:tc>
        <w:tc>
          <w:tcPr>
            <w:tcW w:w="1852" w:type="pct"/>
            <w:tcBorders>
              <w:top w:val="nil"/>
              <w:left w:val="nil"/>
              <w:bottom w:val="nil"/>
            </w:tcBorders>
            <w:shd w:val="clear" w:color="000000" w:fill="FFFFFF"/>
            <w:vAlign w:val="center"/>
          </w:tcPr>
          <w:p w14:paraId="738061C1" w14:textId="77777777" w:rsidR="00ED4D99" w:rsidRPr="008627D1" w:rsidRDefault="00ED4D99" w:rsidP="00241F33">
            <w:pPr>
              <w:spacing w:after="0" w:line="240" w:lineRule="auto"/>
              <w:jc w:val="center"/>
              <w:rPr>
                <w:rFonts w:ascii="Times New Roman" w:hAnsi="Times New Roman"/>
                <w:b/>
                <w:bCs/>
                <w:sz w:val="18"/>
                <w:szCs w:val="18"/>
                <w:lang w:eastAsia="sk-SK"/>
              </w:rPr>
            </w:pPr>
            <w:r w:rsidRPr="008627D1">
              <w:rPr>
                <w:rFonts w:ascii="Times New Roman" w:hAnsi="Times New Roman"/>
                <w:sz w:val="18"/>
                <w:szCs w:val="18"/>
              </w:rPr>
              <w:t>metóda úplnej konsolidácie</w:t>
            </w:r>
          </w:p>
        </w:tc>
      </w:tr>
      <w:tr w:rsidR="00ED4D99" w:rsidRPr="008627D1" w14:paraId="4F8C55FD" w14:textId="77777777" w:rsidTr="00241F33">
        <w:trPr>
          <w:trHeight w:val="283"/>
          <w:jc w:val="center"/>
        </w:trPr>
        <w:tc>
          <w:tcPr>
            <w:tcW w:w="3148" w:type="pct"/>
            <w:tcBorders>
              <w:top w:val="nil"/>
              <w:left w:val="nil"/>
              <w:bottom w:val="nil"/>
              <w:right w:val="nil"/>
            </w:tcBorders>
            <w:shd w:val="clear" w:color="000000" w:fill="FFFFFF"/>
            <w:noWrap/>
            <w:vAlign w:val="center"/>
          </w:tcPr>
          <w:p w14:paraId="086E9E0E" w14:textId="77777777" w:rsidR="00ED4D99" w:rsidRPr="008627D1" w:rsidRDefault="00ED4D99" w:rsidP="00241F33">
            <w:pPr>
              <w:spacing w:after="0" w:line="240" w:lineRule="auto"/>
              <w:rPr>
                <w:rFonts w:ascii="Times New Roman" w:hAnsi="Times New Roman"/>
                <w:sz w:val="18"/>
                <w:szCs w:val="18"/>
              </w:rPr>
            </w:pPr>
            <w:r w:rsidRPr="008627D1">
              <w:rPr>
                <w:rFonts w:ascii="Times New Roman" w:hAnsi="Times New Roman"/>
                <w:sz w:val="18"/>
                <w:szCs w:val="18"/>
              </w:rPr>
              <w:t>Obce a vyššie územné celky</w:t>
            </w:r>
          </w:p>
        </w:tc>
        <w:tc>
          <w:tcPr>
            <w:tcW w:w="1852" w:type="pct"/>
            <w:tcBorders>
              <w:top w:val="nil"/>
              <w:left w:val="nil"/>
              <w:bottom w:val="nil"/>
              <w:right w:val="nil"/>
            </w:tcBorders>
            <w:shd w:val="clear" w:color="000000" w:fill="FFFFFF"/>
            <w:noWrap/>
            <w:vAlign w:val="center"/>
          </w:tcPr>
          <w:p w14:paraId="16B241A0" w14:textId="77777777" w:rsidR="00ED4D99" w:rsidRPr="008627D1" w:rsidRDefault="00ED4D99" w:rsidP="00241F33">
            <w:pPr>
              <w:spacing w:after="0" w:line="240" w:lineRule="auto"/>
              <w:jc w:val="center"/>
              <w:rPr>
                <w:rFonts w:ascii="Times New Roman" w:hAnsi="Times New Roman"/>
                <w:sz w:val="18"/>
                <w:szCs w:val="18"/>
                <w:lang w:eastAsia="sk-SK"/>
              </w:rPr>
            </w:pPr>
            <w:r w:rsidRPr="008627D1">
              <w:rPr>
                <w:rFonts w:ascii="Times New Roman" w:hAnsi="Times New Roman"/>
                <w:sz w:val="18"/>
                <w:szCs w:val="18"/>
              </w:rPr>
              <w:t>metóda úplnej konsolidácie</w:t>
            </w:r>
          </w:p>
        </w:tc>
      </w:tr>
      <w:tr w:rsidR="00ED4D99" w:rsidRPr="008627D1" w14:paraId="28709F6E" w14:textId="77777777" w:rsidTr="00241F33">
        <w:trPr>
          <w:trHeight w:val="283"/>
          <w:jc w:val="center"/>
        </w:trPr>
        <w:tc>
          <w:tcPr>
            <w:tcW w:w="3148" w:type="pct"/>
            <w:tcBorders>
              <w:top w:val="nil"/>
              <w:left w:val="nil"/>
              <w:bottom w:val="nil"/>
              <w:right w:val="nil"/>
            </w:tcBorders>
            <w:shd w:val="clear" w:color="000000" w:fill="FFFFFF"/>
            <w:noWrap/>
            <w:vAlign w:val="center"/>
          </w:tcPr>
          <w:p w14:paraId="55CBB3F5" w14:textId="77777777" w:rsidR="00ED4D99" w:rsidRPr="008627D1" w:rsidRDefault="00ED4D99" w:rsidP="00241F33">
            <w:pPr>
              <w:spacing w:after="0" w:line="240" w:lineRule="auto"/>
              <w:rPr>
                <w:rFonts w:ascii="Times New Roman" w:hAnsi="Times New Roman"/>
                <w:sz w:val="18"/>
                <w:szCs w:val="18"/>
              </w:rPr>
            </w:pPr>
            <w:r w:rsidRPr="008627D1">
              <w:rPr>
                <w:rFonts w:ascii="Times New Roman" w:hAnsi="Times New Roman"/>
                <w:sz w:val="18"/>
                <w:szCs w:val="18"/>
              </w:rPr>
              <w:t xml:space="preserve">Štátne fondy </w:t>
            </w:r>
          </w:p>
        </w:tc>
        <w:tc>
          <w:tcPr>
            <w:tcW w:w="1852" w:type="pct"/>
            <w:tcBorders>
              <w:top w:val="nil"/>
              <w:left w:val="nil"/>
              <w:bottom w:val="nil"/>
              <w:right w:val="nil"/>
            </w:tcBorders>
            <w:shd w:val="clear" w:color="000000" w:fill="FFFFFF"/>
            <w:noWrap/>
            <w:vAlign w:val="center"/>
          </w:tcPr>
          <w:p w14:paraId="02C3B12C" w14:textId="77777777" w:rsidR="00ED4D99" w:rsidRPr="008627D1" w:rsidRDefault="00ED4D99" w:rsidP="00241F33">
            <w:pPr>
              <w:spacing w:after="0" w:line="240" w:lineRule="auto"/>
              <w:jc w:val="center"/>
              <w:rPr>
                <w:rFonts w:ascii="Times New Roman" w:hAnsi="Times New Roman"/>
                <w:sz w:val="18"/>
                <w:szCs w:val="18"/>
              </w:rPr>
            </w:pPr>
            <w:r w:rsidRPr="008627D1">
              <w:rPr>
                <w:rFonts w:ascii="Times New Roman" w:hAnsi="Times New Roman"/>
                <w:sz w:val="18"/>
                <w:szCs w:val="18"/>
              </w:rPr>
              <w:t>metóda úplnej konsolidácie</w:t>
            </w:r>
          </w:p>
        </w:tc>
      </w:tr>
      <w:tr w:rsidR="00ED4D99" w:rsidRPr="008627D1" w14:paraId="7EEA010E" w14:textId="77777777" w:rsidTr="00241F33">
        <w:trPr>
          <w:trHeight w:val="283"/>
          <w:jc w:val="center"/>
        </w:trPr>
        <w:tc>
          <w:tcPr>
            <w:tcW w:w="3148" w:type="pct"/>
            <w:tcBorders>
              <w:top w:val="nil"/>
              <w:left w:val="nil"/>
              <w:bottom w:val="nil"/>
              <w:right w:val="nil"/>
            </w:tcBorders>
            <w:shd w:val="clear" w:color="000000" w:fill="FFFFFF"/>
            <w:noWrap/>
            <w:vAlign w:val="center"/>
          </w:tcPr>
          <w:p w14:paraId="03A10C85" w14:textId="77777777" w:rsidR="00ED4D99" w:rsidRPr="008627D1" w:rsidRDefault="00ED4D99" w:rsidP="00241F33">
            <w:pPr>
              <w:spacing w:after="0" w:line="240" w:lineRule="auto"/>
              <w:rPr>
                <w:rFonts w:ascii="Times New Roman" w:hAnsi="Times New Roman"/>
                <w:sz w:val="18"/>
                <w:szCs w:val="18"/>
              </w:rPr>
            </w:pPr>
            <w:r w:rsidRPr="008627D1">
              <w:rPr>
                <w:rFonts w:ascii="Times New Roman" w:hAnsi="Times New Roman"/>
                <w:sz w:val="18"/>
                <w:szCs w:val="18"/>
              </w:rPr>
              <w:t>Obchodné spoločnosti štátu (dcérske ÚJ) a štátne podniky</w:t>
            </w:r>
          </w:p>
        </w:tc>
        <w:tc>
          <w:tcPr>
            <w:tcW w:w="1852" w:type="pct"/>
            <w:tcBorders>
              <w:top w:val="nil"/>
              <w:left w:val="nil"/>
              <w:bottom w:val="nil"/>
              <w:right w:val="nil"/>
            </w:tcBorders>
            <w:shd w:val="clear" w:color="000000" w:fill="FFFFFF"/>
            <w:noWrap/>
            <w:vAlign w:val="center"/>
          </w:tcPr>
          <w:p w14:paraId="5469EE5B" w14:textId="77777777" w:rsidR="00ED4D99" w:rsidRPr="008627D1" w:rsidRDefault="00ED4D99" w:rsidP="00241F33">
            <w:pPr>
              <w:spacing w:after="0" w:line="240" w:lineRule="auto"/>
              <w:jc w:val="center"/>
              <w:rPr>
                <w:rFonts w:ascii="Times New Roman" w:hAnsi="Times New Roman"/>
                <w:sz w:val="18"/>
                <w:szCs w:val="18"/>
              </w:rPr>
            </w:pPr>
            <w:r w:rsidRPr="008627D1">
              <w:rPr>
                <w:rFonts w:ascii="Times New Roman" w:hAnsi="Times New Roman"/>
                <w:sz w:val="18"/>
                <w:szCs w:val="18"/>
              </w:rPr>
              <w:t>metóda úplnej konsolidácie</w:t>
            </w:r>
          </w:p>
        </w:tc>
      </w:tr>
      <w:tr w:rsidR="00ED4D99" w:rsidRPr="008627D1" w14:paraId="016EC05D" w14:textId="77777777" w:rsidTr="00241F33">
        <w:trPr>
          <w:trHeight w:val="283"/>
          <w:jc w:val="center"/>
        </w:trPr>
        <w:tc>
          <w:tcPr>
            <w:tcW w:w="3148" w:type="pct"/>
            <w:tcBorders>
              <w:top w:val="nil"/>
              <w:left w:val="nil"/>
              <w:bottom w:val="nil"/>
              <w:right w:val="nil"/>
            </w:tcBorders>
            <w:shd w:val="clear" w:color="000000" w:fill="FFFFFF"/>
            <w:noWrap/>
            <w:vAlign w:val="center"/>
          </w:tcPr>
          <w:p w14:paraId="72377AC8" w14:textId="77777777" w:rsidR="00ED4D99" w:rsidRPr="008627D1" w:rsidRDefault="00ED4D99" w:rsidP="00241F33">
            <w:pPr>
              <w:spacing w:after="0" w:line="240" w:lineRule="auto"/>
              <w:rPr>
                <w:rFonts w:ascii="Times New Roman" w:hAnsi="Times New Roman"/>
                <w:sz w:val="18"/>
                <w:szCs w:val="18"/>
              </w:rPr>
            </w:pPr>
            <w:r w:rsidRPr="008627D1">
              <w:rPr>
                <w:rFonts w:ascii="Times New Roman" w:hAnsi="Times New Roman"/>
                <w:sz w:val="18"/>
                <w:szCs w:val="18"/>
              </w:rPr>
              <w:t>Verejné vysoké školy</w:t>
            </w:r>
          </w:p>
        </w:tc>
        <w:tc>
          <w:tcPr>
            <w:tcW w:w="1852" w:type="pct"/>
            <w:tcBorders>
              <w:top w:val="nil"/>
              <w:left w:val="nil"/>
              <w:bottom w:val="nil"/>
              <w:right w:val="nil"/>
            </w:tcBorders>
            <w:shd w:val="clear" w:color="000000" w:fill="FFFFFF"/>
            <w:noWrap/>
            <w:vAlign w:val="center"/>
          </w:tcPr>
          <w:p w14:paraId="556E3EDE" w14:textId="77777777" w:rsidR="00ED4D99" w:rsidRPr="008627D1" w:rsidRDefault="00ED4D99" w:rsidP="00241F33">
            <w:pPr>
              <w:spacing w:after="0" w:line="240" w:lineRule="auto"/>
              <w:jc w:val="center"/>
              <w:rPr>
                <w:rFonts w:ascii="Times New Roman" w:hAnsi="Times New Roman"/>
                <w:sz w:val="18"/>
                <w:szCs w:val="18"/>
              </w:rPr>
            </w:pPr>
            <w:r w:rsidRPr="008627D1">
              <w:rPr>
                <w:rFonts w:ascii="Times New Roman" w:hAnsi="Times New Roman"/>
                <w:sz w:val="18"/>
                <w:szCs w:val="18"/>
              </w:rPr>
              <w:t>metóda úplnej konsolidácie</w:t>
            </w:r>
          </w:p>
        </w:tc>
      </w:tr>
      <w:tr w:rsidR="00ED4D99" w:rsidRPr="008627D1" w14:paraId="3068ABCB" w14:textId="77777777" w:rsidTr="00241F33">
        <w:trPr>
          <w:trHeight w:val="283"/>
          <w:jc w:val="center"/>
        </w:trPr>
        <w:tc>
          <w:tcPr>
            <w:tcW w:w="3148" w:type="pct"/>
            <w:tcBorders>
              <w:top w:val="nil"/>
              <w:left w:val="nil"/>
              <w:bottom w:val="nil"/>
              <w:right w:val="nil"/>
            </w:tcBorders>
            <w:shd w:val="clear" w:color="000000" w:fill="FFFFFF"/>
            <w:noWrap/>
            <w:vAlign w:val="center"/>
          </w:tcPr>
          <w:p w14:paraId="52B64D69" w14:textId="5B86FB80" w:rsidR="00ED4D99" w:rsidRPr="008627D1" w:rsidRDefault="00ED4D99" w:rsidP="00ED4D99">
            <w:pPr>
              <w:spacing w:after="0" w:line="240" w:lineRule="auto"/>
              <w:rPr>
                <w:rFonts w:ascii="Times New Roman" w:hAnsi="Times New Roman"/>
                <w:sz w:val="18"/>
                <w:szCs w:val="18"/>
              </w:rPr>
            </w:pPr>
            <w:r w:rsidRPr="00C66720">
              <w:rPr>
                <w:rFonts w:ascii="Times New Roman" w:hAnsi="Times New Roman"/>
                <w:sz w:val="18"/>
                <w:szCs w:val="18"/>
              </w:rPr>
              <w:t>Verejné výskumné inštitúcie</w:t>
            </w:r>
          </w:p>
        </w:tc>
        <w:tc>
          <w:tcPr>
            <w:tcW w:w="1852" w:type="pct"/>
            <w:tcBorders>
              <w:top w:val="nil"/>
              <w:left w:val="nil"/>
              <w:bottom w:val="nil"/>
              <w:right w:val="nil"/>
            </w:tcBorders>
            <w:shd w:val="clear" w:color="000000" w:fill="FFFFFF"/>
            <w:noWrap/>
            <w:vAlign w:val="center"/>
          </w:tcPr>
          <w:p w14:paraId="36C4A131" w14:textId="646B542F" w:rsidR="00ED4D99" w:rsidRPr="008627D1" w:rsidRDefault="00ED4D99" w:rsidP="00ED4D99">
            <w:pPr>
              <w:spacing w:after="0" w:line="240" w:lineRule="auto"/>
              <w:jc w:val="center"/>
              <w:rPr>
                <w:rFonts w:ascii="Times New Roman" w:hAnsi="Times New Roman"/>
                <w:sz w:val="18"/>
                <w:szCs w:val="18"/>
              </w:rPr>
            </w:pPr>
            <w:r w:rsidRPr="00C66720">
              <w:rPr>
                <w:rFonts w:ascii="Times New Roman" w:hAnsi="Times New Roman"/>
                <w:sz w:val="18"/>
                <w:szCs w:val="18"/>
              </w:rPr>
              <w:t>metóda úplnej konsolidácie</w:t>
            </w:r>
          </w:p>
        </w:tc>
      </w:tr>
      <w:tr w:rsidR="00ED4D99" w:rsidRPr="008627D1" w14:paraId="07C3B0FA" w14:textId="77777777" w:rsidTr="00241F33">
        <w:trPr>
          <w:trHeight w:val="283"/>
          <w:jc w:val="center"/>
        </w:trPr>
        <w:tc>
          <w:tcPr>
            <w:tcW w:w="3148" w:type="pct"/>
            <w:tcBorders>
              <w:top w:val="nil"/>
              <w:left w:val="nil"/>
              <w:right w:val="nil"/>
            </w:tcBorders>
            <w:shd w:val="clear" w:color="000000" w:fill="FFFFFF"/>
            <w:noWrap/>
            <w:vAlign w:val="center"/>
          </w:tcPr>
          <w:p w14:paraId="10D670FA" w14:textId="77777777" w:rsidR="00ED4D99" w:rsidRPr="008627D1" w:rsidRDefault="00ED4D99" w:rsidP="00ED4D99">
            <w:pPr>
              <w:spacing w:after="0" w:line="240" w:lineRule="auto"/>
              <w:rPr>
                <w:rFonts w:ascii="Times New Roman" w:hAnsi="Times New Roman"/>
                <w:sz w:val="18"/>
                <w:szCs w:val="18"/>
              </w:rPr>
            </w:pPr>
            <w:r w:rsidRPr="008627D1">
              <w:rPr>
                <w:rFonts w:ascii="Times New Roman" w:hAnsi="Times New Roman"/>
                <w:sz w:val="18"/>
                <w:szCs w:val="18"/>
              </w:rPr>
              <w:t>Ostatné subjekty podľa osobitného zákona</w:t>
            </w:r>
          </w:p>
        </w:tc>
        <w:tc>
          <w:tcPr>
            <w:tcW w:w="1852" w:type="pct"/>
            <w:tcBorders>
              <w:top w:val="nil"/>
              <w:left w:val="nil"/>
              <w:right w:val="nil"/>
            </w:tcBorders>
            <w:shd w:val="clear" w:color="000000" w:fill="FFFFFF"/>
            <w:noWrap/>
            <w:vAlign w:val="center"/>
          </w:tcPr>
          <w:p w14:paraId="0DB8DB5A" w14:textId="77777777" w:rsidR="00ED4D99" w:rsidRPr="008627D1" w:rsidRDefault="00ED4D99" w:rsidP="00ED4D99">
            <w:pPr>
              <w:spacing w:after="0" w:line="240" w:lineRule="auto"/>
              <w:jc w:val="center"/>
              <w:rPr>
                <w:rFonts w:ascii="Times New Roman" w:hAnsi="Times New Roman"/>
                <w:sz w:val="18"/>
                <w:szCs w:val="18"/>
              </w:rPr>
            </w:pPr>
            <w:r w:rsidRPr="008627D1">
              <w:rPr>
                <w:rFonts w:ascii="Times New Roman" w:hAnsi="Times New Roman"/>
                <w:sz w:val="18"/>
                <w:szCs w:val="18"/>
              </w:rPr>
              <w:t>metóda úplnej konsolidácie</w:t>
            </w:r>
          </w:p>
        </w:tc>
      </w:tr>
      <w:tr w:rsidR="00ED4D99" w:rsidRPr="008627D1" w14:paraId="5AA0F912" w14:textId="77777777" w:rsidTr="00241F33">
        <w:trPr>
          <w:trHeight w:val="283"/>
          <w:jc w:val="center"/>
        </w:trPr>
        <w:tc>
          <w:tcPr>
            <w:tcW w:w="3148" w:type="pct"/>
            <w:tcBorders>
              <w:top w:val="nil"/>
              <w:left w:val="nil"/>
              <w:bottom w:val="single" w:sz="4" w:space="0" w:color="auto"/>
              <w:right w:val="nil"/>
            </w:tcBorders>
            <w:shd w:val="clear" w:color="000000" w:fill="FFFFFF"/>
            <w:noWrap/>
            <w:vAlign w:val="center"/>
          </w:tcPr>
          <w:p w14:paraId="79691529" w14:textId="77777777" w:rsidR="00ED4D99" w:rsidRPr="008627D1" w:rsidRDefault="00ED4D99" w:rsidP="00ED4D99">
            <w:pPr>
              <w:spacing w:after="0" w:line="240" w:lineRule="auto"/>
              <w:rPr>
                <w:rFonts w:ascii="Times New Roman" w:hAnsi="Times New Roman"/>
                <w:sz w:val="18"/>
                <w:szCs w:val="18"/>
              </w:rPr>
            </w:pPr>
            <w:r w:rsidRPr="008627D1">
              <w:rPr>
                <w:rFonts w:ascii="Times New Roman" w:hAnsi="Times New Roman"/>
                <w:sz w:val="18"/>
                <w:szCs w:val="18"/>
              </w:rPr>
              <w:t>Spoločné a pridružené účtovné jednotky</w:t>
            </w:r>
          </w:p>
        </w:tc>
        <w:tc>
          <w:tcPr>
            <w:tcW w:w="1852" w:type="pct"/>
            <w:tcBorders>
              <w:top w:val="nil"/>
              <w:left w:val="nil"/>
              <w:bottom w:val="single" w:sz="4" w:space="0" w:color="auto"/>
              <w:right w:val="nil"/>
            </w:tcBorders>
            <w:shd w:val="clear" w:color="000000" w:fill="FFFFFF"/>
            <w:noWrap/>
            <w:vAlign w:val="center"/>
          </w:tcPr>
          <w:p w14:paraId="4F5DC024" w14:textId="77777777" w:rsidR="00ED4D99" w:rsidRPr="008627D1" w:rsidRDefault="00ED4D99" w:rsidP="00ED4D99">
            <w:pPr>
              <w:spacing w:after="0" w:line="240" w:lineRule="auto"/>
              <w:jc w:val="center"/>
              <w:rPr>
                <w:rFonts w:ascii="Times New Roman" w:hAnsi="Times New Roman"/>
                <w:sz w:val="18"/>
                <w:szCs w:val="18"/>
              </w:rPr>
            </w:pPr>
            <w:r w:rsidRPr="008627D1">
              <w:rPr>
                <w:rFonts w:ascii="Times New Roman" w:hAnsi="Times New Roman"/>
                <w:sz w:val="18"/>
                <w:szCs w:val="18"/>
              </w:rPr>
              <w:t>metóda vlastného imania</w:t>
            </w:r>
          </w:p>
        </w:tc>
      </w:tr>
    </w:tbl>
    <w:p w14:paraId="6C801921" w14:textId="77777777" w:rsidR="00ED4D99" w:rsidRDefault="00ED4D99" w:rsidP="00ED4D99">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6AB08D09" w14:textId="30114590" w:rsidR="00EA240F" w:rsidRPr="00C66720" w:rsidRDefault="009253B1" w:rsidP="00FC7D2E">
      <w:pPr>
        <w:spacing w:before="240" w:after="0" w:line="240" w:lineRule="auto"/>
        <w:rPr>
          <w:rFonts w:ascii="Times New Roman" w:hAnsi="Times New Roman"/>
          <w:b/>
          <w:szCs w:val="22"/>
        </w:rPr>
      </w:pPr>
      <w:r w:rsidRPr="00C66720">
        <w:rPr>
          <w:rFonts w:ascii="Times New Roman" w:hAnsi="Times New Roman"/>
          <w:b/>
          <w:szCs w:val="22"/>
        </w:rPr>
        <w:t>Popis metód konsolidácie</w:t>
      </w:r>
    </w:p>
    <w:p w14:paraId="121F86DC" w14:textId="77777777" w:rsidR="00624D5B" w:rsidRPr="00C66720" w:rsidRDefault="009253B1" w:rsidP="008F097E">
      <w:pPr>
        <w:numPr>
          <w:ilvl w:val="0"/>
          <w:numId w:val="26"/>
        </w:numPr>
        <w:spacing w:before="120" w:after="0" w:line="240" w:lineRule="auto"/>
        <w:ind w:left="714" w:hanging="357"/>
        <w:jc w:val="both"/>
        <w:rPr>
          <w:rFonts w:ascii="Times New Roman" w:hAnsi="Times New Roman"/>
          <w:szCs w:val="22"/>
          <w:u w:val="single"/>
        </w:rPr>
      </w:pPr>
      <w:r w:rsidRPr="00C66720">
        <w:rPr>
          <w:rFonts w:ascii="Times New Roman" w:hAnsi="Times New Roman"/>
          <w:i/>
          <w:szCs w:val="22"/>
          <w:u w:val="single"/>
        </w:rPr>
        <w:t>Metóda úplnej konsolidácie</w:t>
      </w:r>
    </w:p>
    <w:p w14:paraId="5E8571AC" w14:textId="3F7F7B11" w:rsidR="008F6F24" w:rsidRPr="00C66720" w:rsidRDefault="009253B1" w:rsidP="008F097E">
      <w:pPr>
        <w:spacing w:before="120" w:after="0" w:line="240" w:lineRule="auto"/>
        <w:jc w:val="both"/>
        <w:rPr>
          <w:rFonts w:ascii="Times New Roman" w:hAnsi="Times New Roman"/>
          <w:szCs w:val="22"/>
          <w:u w:val="single"/>
        </w:rPr>
      </w:pPr>
      <w:r w:rsidRPr="00C66720">
        <w:rPr>
          <w:rFonts w:ascii="Times New Roman" w:hAnsi="Times New Roman"/>
          <w:szCs w:val="22"/>
        </w:rPr>
        <w:t xml:space="preserve">Pri </w:t>
      </w:r>
      <w:r w:rsidR="009F6F9E" w:rsidRPr="00C66720">
        <w:rPr>
          <w:rFonts w:ascii="Times New Roman" w:hAnsi="Times New Roman"/>
          <w:szCs w:val="22"/>
        </w:rPr>
        <w:t xml:space="preserve">použití </w:t>
      </w:r>
      <w:r w:rsidRPr="00C66720">
        <w:rPr>
          <w:rFonts w:ascii="Times New Roman" w:hAnsi="Times New Roman"/>
          <w:szCs w:val="22"/>
        </w:rPr>
        <w:t>tejto metód</w:t>
      </w:r>
      <w:r w:rsidR="009F6F9E" w:rsidRPr="00C66720">
        <w:rPr>
          <w:rFonts w:ascii="Times New Roman" w:hAnsi="Times New Roman"/>
          <w:szCs w:val="22"/>
        </w:rPr>
        <w:t>y</w:t>
      </w:r>
      <w:r w:rsidRPr="00C66720">
        <w:rPr>
          <w:rFonts w:ascii="Times New Roman" w:hAnsi="Times New Roman"/>
          <w:szCs w:val="22"/>
        </w:rPr>
        <w:t xml:space="preserve"> sa prispôsobujú účtovné výkazy všetkých </w:t>
      </w:r>
      <w:r w:rsidR="004B7FD8" w:rsidRPr="00C66720">
        <w:rPr>
          <w:rFonts w:ascii="Times New Roman" w:hAnsi="Times New Roman"/>
          <w:szCs w:val="22"/>
        </w:rPr>
        <w:t xml:space="preserve">dcérskych </w:t>
      </w:r>
      <w:r w:rsidRPr="00C66720">
        <w:rPr>
          <w:rFonts w:ascii="Times New Roman" w:hAnsi="Times New Roman"/>
          <w:szCs w:val="22"/>
        </w:rPr>
        <w:t>účtovných jednotiek na štruktúru výkazov účtovnej závierky pre rozpočtov</w:t>
      </w:r>
      <w:r w:rsidR="008F6F24" w:rsidRPr="00C66720">
        <w:rPr>
          <w:rFonts w:ascii="Times New Roman" w:hAnsi="Times New Roman"/>
          <w:szCs w:val="22"/>
        </w:rPr>
        <w:t>é</w:t>
      </w:r>
      <w:r w:rsidRPr="00C66720">
        <w:rPr>
          <w:rFonts w:ascii="Times New Roman" w:hAnsi="Times New Roman"/>
          <w:szCs w:val="22"/>
        </w:rPr>
        <w:t xml:space="preserve"> organizáci</w:t>
      </w:r>
      <w:r w:rsidR="008F6F24" w:rsidRPr="00C66720">
        <w:rPr>
          <w:rFonts w:ascii="Times New Roman" w:hAnsi="Times New Roman"/>
          <w:szCs w:val="22"/>
        </w:rPr>
        <w:t>e</w:t>
      </w:r>
      <w:r w:rsidRPr="00C66720">
        <w:rPr>
          <w:rFonts w:ascii="Times New Roman" w:hAnsi="Times New Roman"/>
          <w:szCs w:val="22"/>
        </w:rPr>
        <w:t xml:space="preserve">. </w:t>
      </w:r>
      <w:r w:rsidR="00A86242" w:rsidRPr="00C66720">
        <w:rPr>
          <w:rFonts w:ascii="Times New Roman" w:hAnsi="Times New Roman"/>
          <w:szCs w:val="22"/>
        </w:rPr>
        <w:t>Položky</w:t>
      </w:r>
      <w:r w:rsidRPr="00C66720">
        <w:rPr>
          <w:rFonts w:ascii="Times New Roman" w:hAnsi="Times New Roman"/>
          <w:szCs w:val="22"/>
        </w:rPr>
        <w:t xml:space="preserve"> účtovných výkazov sa do </w:t>
      </w:r>
      <w:r w:rsidR="003C7875" w:rsidRPr="00C66720">
        <w:rPr>
          <w:rFonts w:ascii="Times New Roman" w:hAnsi="Times New Roman"/>
          <w:szCs w:val="22"/>
        </w:rPr>
        <w:t>agregácie</w:t>
      </w:r>
      <w:r w:rsidRPr="00C66720">
        <w:rPr>
          <w:rFonts w:ascii="Times New Roman" w:hAnsi="Times New Roman"/>
          <w:szCs w:val="22"/>
        </w:rPr>
        <w:t xml:space="preserve"> preberajú v plnej miere a identifikované vzájomné vzťahy v rámci súhrnného celku sa vylučujú </w:t>
      </w:r>
      <w:r w:rsidR="008F6F24" w:rsidRPr="00C66720">
        <w:rPr>
          <w:rFonts w:ascii="Times New Roman" w:hAnsi="Times New Roman"/>
          <w:szCs w:val="22"/>
        </w:rPr>
        <w:t>v plnej výške.</w:t>
      </w:r>
    </w:p>
    <w:p w14:paraId="4066C5D3" w14:textId="77777777" w:rsidR="00A86242" w:rsidRPr="00C66720" w:rsidRDefault="00A86242" w:rsidP="008F097E">
      <w:pPr>
        <w:numPr>
          <w:ilvl w:val="0"/>
          <w:numId w:val="26"/>
        </w:numPr>
        <w:spacing w:before="120" w:after="0" w:line="240" w:lineRule="auto"/>
        <w:ind w:left="714" w:hanging="357"/>
        <w:jc w:val="both"/>
        <w:rPr>
          <w:rFonts w:ascii="Times New Roman" w:hAnsi="Times New Roman"/>
          <w:szCs w:val="22"/>
          <w:u w:val="single"/>
        </w:rPr>
      </w:pPr>
      <w:r w:rsidRPr="00C66720">
        <w:rPr>
          <w:rFonts w:ascii="Times New Roman" w:hAnsi="Times New Roman"/>
          <w:i/>
          <w:szCs w:val="22"/>
          <w:u w:val="single"/>
        </w:rPr>
        <w:t>Metóda vlastného imania</w:t>
      </w:r>
    </w:p>
    <w:p w14:paraId="5C5B6DB3" w14:textId="0E7D2A13" w:rsidR="007057B5" w:rsidRPr="00C66720" w:rsidRDefault="00A86242" w:rsidP="008F097E">
      <w:pPr>
        <w:spacing w:before="120" w:after="0" w:line="240" w:lineRule="auto"/>
        <w:jc w:val="both"/>
        <w:rPr>
          <w:rFonts w:ascii="Times New Roman" w:hAnsi="Times New Roman"/>
          <w:b/>
          <w:szCs w:val="22"/>
        </w:rPr>
      </w:pPr>
      <w:r w:rsidRPr="00C66720">
        <w:rPr>
          <w:rFonts w:ascii="Times New Roman" w:hAnsi="Times New Roman"/>
          <w:szCs w:val="22"/>
        </w:rPr>
        <w:t>Pri</w:t>
      </w:r>
      <w:r w:rsidR="004B7FD8" w:rsidRPr="00C66720">
        <w:rPr>
          <w:rFonts w:ascii="Times New Roman" w:hAnsi="Times New Roman"/>
          <w:szCs w:val="22"/>
        </w:rPr>
        <w:t xml:space="preserve"> použití</w:t>
      </w:r>
      <w:r w:rsidRPr="00C66720">
        <w:rPr>
          <w:rFonts w:ascii="Times New Roman" w:hAnsi="Times New Roman"/>
          <w:szCs w:val="22"/>
        </w:rPr>
        <w:t xml:space="preserve"> tejto metód</w:t>
      </w:r>
      <w:r w:rsidR="004B7FD8" w:rsidRPr="00C66720">
        <w:rPr>
          <w:rFonts w:ascii="Times New Roman" w:hAnsi="Times New Roman"/>
          <w:szCs w:val="22"/>
        </w:rPr>
        <w:t>y</w:t>
      </w:r>
      <w:r w:rsidRPr="00C66720">
        <w:rPr>
          <w:rFonts w:ascii="Times New Roman" w:hAnsi="Times New Roman"/>
          <w:szCs w:val="22"/>
        </w:rPr>
        <w:t xml:space="preserve"> sa</w:t>
      </w:r>
      <w:r w:rsidR="00C224B6" w:rsidRPr="00C66720">
        <w:rPr>
          <w:rFonts w:ascii="Times New Roman" w:hAnsi="Times New Roman"/>
          <w:szCs w:val="22"/>
        </w:rPr>
        <w:t xml:space="preserve"> p</w:t>
      </w:r>
      <w:r w:rsidRPr="00C66720">
        <w:rPr>
          <w:rFonts w:ascii="Times New Roman" w:hAnsi="Times New Roman"/>
          <w:szCs w:val="22"/>
        </w:rPr>
        <w:t xml:space="preserve">oložky účtovných výkazov </w:t>
      </w:r>
      <w:r w:rsidR="004B7FD8" w:rsidRPr="00C66720">
        <w:rPr>
          <w:rFonts w:ascii="Times New Roman" w:hAnsi="Times New Roman"/>
          <w:szCs w:val="22"/>
        </w:rPr>
        <w:t xml:space="preserve">spoločných a pridružených účtovných jednotiek </w:t>
      </w:r>
      <w:r w:rsidRPr="00C66720">
        <w:rPr>
          <w:rFonts w:ascii="Times New Roman" w:hAnsi="Times New Roman"/>
          <w:szCs w:val="22"/>
        </w:rPr>
        <w:t xml:space="preserve">do </w:t>
      </w:r>
      <w:r w:rsidR="003C7875" w:rsidRPr="00C66720">
        <w:rPr>
          <w:rFonts w:ascii="Times New Roman" w:hAnsi="Times New Roman"/>
          <w:szCs w:val="22"/>
        </w:rPr>
        <w:t>agregácie</w:t>
      </w:r>
      <w:r w:rsidRPr="00C66720">
        <w:rPr>
          <w:rFonts w:ascii="Times New Roman" w:hAnsi="Times New Roman"/>
          <w:szCs w:val="22"/>
        </w:rPr>
        <w:t xml:space="preserve"> </w:t>
      </w:r>
      <w:r w:rsidR="009E27CE" w:rsidRPr="00C66720">
        <w:rPr>
          <w:rFonts w:ascii="Times New Roman" w:hAnsi="Times New Roman"/>
          <w:szCs w:val="22"/>
        </w:rPr>
        <w:t>ne</w:t>
      </w:r>
      <w:r w:rsidRPr="00C66720">
        <w:rPr>
          <w:rFonts w:ascii="Times New Roman" w:hAnsi="Times New Roman"/>
          <w:szCs w:val="22"/>
        </w:rPr>
        <w:t>preberajú</w:t>
      </w:r>
      <w:r w:rsidR="009E27CE" w:rsidRPr="00C66720">
        <w:rPr>
          <w:rFonts w:ascii="Times New Roman" w:hAnsi="Times New Roman"/>
          <w:szCs w:val="22"/>
        </w:rPr>
        <w:t>.</w:t>
      </w:r>
      <w:r w:rsidRPr="00C66720">
        <w:rPr>
          <w:rFonts w:ascii="Times New Roman" w:hAnsi="Times New Roman"/>
          <w:szCs w:val="22"/>
        </w:rPr>
        <w:t xml:space="preserve"> </w:t>
      </w:r>
      <w:r w:rsidR="00C224B6" w:rsidRPr="00C66720">
        <w:rPr>
          <w:rFonts w:ascii="Times New Roman" w:hAnsi="Times New Roman"/>
          <w:szCs w:val="22"/>
        </w:rPr>
        <w:t>Z</w:t>
      </w:r>
      <w:r w:rsidR="004B7FD8" w:rsidRPr="00C66720">
        <w:rPr>
          <w:rFonts w:ascii="Times New Roman" w:hAnsi="Times New Roman"/>
          <w:szCs w:val="22"/>
        </w:rPr>
        <w:t>osúlaďuje</w:t>
      </w:r>
      <w:r w:rsidR="00391472" w:rsidRPr="00C66720">
        <w:rPr>
          <w:rFonts w:ascii="Times New Roman" w:hAnsi="Times New Roman"/>
          <w:szCs w:val="22"/>
        </w:rPr>
        <w:t xml:space="preserve"> </w:t>
      </w:r>
      <w:r w:rsidR="00C224B6" w:rsidRPr="00C66720">
        <w:rPr>
          <w:rFonts w:ascii="Times New Roman" w:hAnsi="Times New Roman"/>
          <w:szCs w:val="22"/>
        </w:rPr>
        <w:t xml:space="preserve">sa </w:t>
      </w:r>
      <w:r w:rsidR="00391472" w:rsidRPr="00C66720">
        <w:rPr>
          <w:rFonts w:ascii="Times New Roman" w:hAnsi="Times New Roman"/>
          <w:szCs w:val="22"/>
        </w:rPr>
        <w:t>hodnota podielov</w:t>
      </w:r>
      <w:r w:rsidR="00CA1346" w:rsidRPr="00C66720">
        <w:rPr>
          <w:rFonts w:ascii="Times New Roman" w:hAnsi="Times New Roman"/>
          <w:szCs w:val="22"/>
        </w:rPr>
        <w:t xml:space="preserve"> konsolidujúcej účtovnej jednotky na </w:t>
      </w:r>
      <w:r w:rsidR="004B7FD8" w:rsidRPr="00C66720">
        <w:rPr>
          <w:rFonts w:ascii="Times New Roman" w:hAnsi="Times New Roman"/>
          <w:szCs w:val="22"/>
        </w:rPr>
        <w:t xml:space="preserve">konsolidovanej </w:t>
      </w:r>
      <w:r w:rsidR="00CA1346" w:rsidRPr="00C66720">
        <w:rPr>
          <w:rFonts w:ascii="Times New Roman" w:hAnsi="Times New Roman"/>
          <w:szCs w:val="22"/>
        </w:rPr>
        <w:t>účtovnej jednotke s tou časťou reálnej hodnoty majetku a záväzkov účtovnej jednotky, ktorá na tieto podiely pripadá.</w:t>
      </w:r>
    </w:p>
    <w:p w14:paraId="00472C4B" w14:textId="0A0AD35E" w:rsidR="002D6290" w:rsidRPr="00C66720" w:rsidRDefault="002D6290" w:rsidP="008F097E">
      <w:pPr>
        <w:spacing w:before="200" w:after="0" w:line="240" w:lineRule="auto"/>
        <w:jc w:val="both"/>
        <w:rPr>
          <w:rFonts w:ascii="Times New Roman" w:hAnsi="Times New Roman"/>
          <w:b/>
          <w:szCs w:val="22"/>
        </w:rPr>
      </w:pPr>
      <w:r w:rsidRPr="00C66720">
        <w:rPr>
          <w:rFonts w:ascii="Times New Roman" w:hAnsi="Times New Roman"/>
          <w:b/>
          <w:szCs w:val="22"/>
        </w:rPr>
        <w:t>Postup pri zosta</w:t>
      </w:r>
      <w:r w:rsidR="0083378A" w:rsidRPr="00C66720">
        <w:rPr>
          <w:rFonts w:ascii="Times New Roman" w:hAnsi="Times New Roman"/>
          <w:b/>
          <w:szCs w:val="22"/>
        </w:rPr>
        <w:t>vení súhrnnej účtovnej závierky</w:t>
      </w:r>
    </w:p>
    <w:p w14:paraId="457AE887" w14:textId="77777777" w:rsidR="002D6290" w:rsidRPr="00C66720" w:rsidRDefault="002D6290" w:rsidP="008F097E">
      <w:pPr>
        <w:numPr>
          <w:ilvl w:val="0"/>
          <w:numId w:val="19"/>
        </w:numPr>
        <w:spacing w:before="120" w:after="120" w:line="240" w:lineRule="auto"/>
        <w:ind w:left="425" w:hanging="425"/>
        <w:jc w:val="both"/>
        <w:rPr>
          <w:rFonts w:ascii="Times New Roman" w:hAnsi="Times New Roman"/>
          <w:i/>
          <w:szCs w:val="22"/>
          <w:u w:val="single"/>
        </w:rPr>
      </w:pPr>
      <w:r w:rsidRPr="00C66720">
        <w:rPr>
          <w:rFonts w:ascii="Times New Roman" w:hAnsi="Times New Roman"/>
          <w:i/>
          <w:szCs w:val="22"/>
          <w:u w:val="single"/>
        </w:rPr>
        <w:t>Prevod účtovných výkazov na rovnaký základ a štruktúru</w:t>
      </w:r>
    </w:p>
    <w:p w14:paraId="17374E20" w14:textId="498DB7D1" w:rsidR="002D6290" w:rsidRPr="00C66720" w:rsidRDefault="002D6290" w:rsidP="008F097E">
      <w:pPr>
        <w:spacing w:after="0" w:line="240" w:lineRule="auto"/>
        <w:jc w:val="both"/>
        <w:rPr>
          <w:rFonts w:ascii="Times New Roman" w:hAnsi="Times New Roman"/>
          <w:szCs w:val="22"/>
        </w:rPr>
      </w:pPr>
      <w:r w:rsidRPr="00C66720">
        <w:rPr>
          <w:rFonts w:ascii="Times New Roman" w:hAnsi="Times New Roman"/>
          <w:szCs w:val="22"/>
        </w:rPr>
        <w:t xml:space="preserve">Za spoločný základ účtovných výkazov bola použitá </w:t>
      </w:r>
      <w:r w:rsidR="0049438C" w:rsidRPr="00C66720">
        <w:rPr>
          <w:rFonts w:ascii="Times New Roman" w:hAnsi="Times New Roman"/>
          <w:szCs w:val="22"/>
        </w:rPr>
        <w:t>štruktúra individuálnej účtovnej závierky</w:t>
      </w:r>
      <w:r w:rsidRPr="00C66720">
        <w:rPr>
          <w:rFonts w:ascii="Times New Roman" w:hAnsi="Times New Roman"/>
          <w:szCs w:val="22"/>
        </w:rPr>
        <w:t xml:space="preserve"> pre rozpočtové organizácie, príspevkové organizácie, štátne fondy, obce a vyššie územné celky. Týkalo sa to všetkých obchodných spoločností, štátnych podn</w:t>
      </w:r>
      <w:r w:rsidR="0049438C" w:rsidRPr="00C66720">
        <w:rPr>
          <w:rFonts w:ascii="Times New Roman" w:hAnsi="Times New Roman"/>
          <w:szCs w:val="22"/>
        </w:rPr>
        <w:t>ikov, verejných vyso</w:t>
      </w:r>
      <w:r w:rsidR="00FC0927" w:rsidRPr="00C66720">
        <w:rPr>
          <w:rFonts w:ascii="Times New Roman" w:hAnsi="Times New Roman"/>
          <w:szCs w:val="22"/>
        </w:rPr>
        <w:t xml:space="preserve">kých škôl, </w:t>
      </w:r>
      <w:r w:rsidR="009A65A9" w:rsidRPr="00C66720">
        <w:rPr>
          <w:rFonts w:ascii="Times New Roman" w:hAnsi="Times New Roman"/>
          <w:szCs w:val="22"/>
        </w:rPr>
        <w:t xml:space="preserve">verejných výskumných inštitúcií, </w:t>
      </w:r>
      <w:r w:rsidR="00FC0927" w:rsidRPr="00C66720">
        <w:rPr>
          <w:rFonts w:ascii="Times New Roman" w:hAnsi="Times New Roman"/>
          <w:szCs w:val="22"/>
        </w:rPr>
        <w:t xml:space="preserve">Sociálnej poisťovne </w:t>
      </w:r>
      <w:r w:rsidRPr="00C66720">
        <w:rPr>
          <w:rFonts w:ascii="Times New Roman" w:hAnsi="Times New Roman"/>
          <w:szCs w:val="22"/>
        </w:rPr>
        <w:t>a ostatných subjektov verejnej správy. Prevod údajov sa zabezpeč</w:t>
      </w:r>
      <w:r w:rsidR="00FC0927" w:rsidRPr="00C66720">
        <w:rPr>
          <w:rFonts w:ascii="Times New Roman" w:hAnsi="Times New Roman"/>
          <w:szCs w:val="22"/>
        </w:rPr>
        <w:t>uje</w:t>
      </w:r>
      <w:r w:rsidRPr="00C66720">
        <w:rPr>
          <w:rFonts w:ascii="Times New Roman" w:hAnsi="Times New Roman"/>
          <w:szCs w:val="22"/>
        </w:rPr>
        <w:t xml:space="preserve"> použitím prevodových mostíkov, ktoré vypracovalo </w:t>
      </w:r>
      <w:r w:rsidR="002D36F3" w:rsidRPr="00C66720">
        <w:rPr>
          <w:rFonts w:ascii="Times New Roman" w:hAnsi="Times New Roman"/>
          <w:szCs w:val="22"/>
        </w:rPr>
        <w:t>M</w:t>
      </w:r>
      <w:r w:rsidRPr="00C66720">
        <w:rPr>
          <w:rFonts w:ascii="Times New Roman" w:hAnsi="Times New Roman"/>
          <w:szCs w:val="22"/>
        </w:rPr>
        <w:t>inisterstvo</w:t>
      </w:r>
      <w:r w:rsidR="0049438C" w:rsidRPr="00C66720">
        <w:rPr>
          <w:rFonts w:ascii="Times New Roman" w:hAnsi="Times New Roman"/>
          <w:szCs w:val="22"/>
        </w:rPr>
        <w:t xml:space="preserve"> financií</w:t>
      </w:r>
      <w:r w:rsidR="002D36F3" w:rsidRPr="00C66720">
        <w:rPr>
          <w:rFonts w:ascii="Times New Roman" w:hAnsi="Times New Roman"/>
          <w:szCs w:val="22"/>
        </w:rPr>
        <w:t xml:space="preserve"> SR </w:t>
      </w:r>
      <w:r w:rsidR="0049438C" w:rsidRPr="00C66720">
        <w:rPr>
          <w:rFonts w:ascii="Times New Roman" w:hAnsi="Times New Roman"/>
          <w:szCs w:val="22"/>
        </w:rPr>
        <w:t>ako zostavovateľ súhrnnej účtovnej závierky verejnej správy</w:t>
      </w:r>
      <w:r w:rsidRPr="00C66720">
        <w:rPr>
          <w:rFonts w:ascii="Times New Roman" w:hAnsi="Times New Roman"/>
          <w:szCs w:val="22"/>
        </w:rPr>
        <w:t xml:space="preserve">. </w:t>
      </w:r>
      <w:r w:rsidR="00FC0927" w:rsidRPr="00C66720">
        <w:rPr>
          <w:rFonts w:ascii="Times New Roman" w:hAnsi="Times New Roman"/>
          <w:szCs w:val="22"/>
          <w:lang w:eastAsia="sk-SK"/>
        </w:rPr>
        <w:t>V rámci spracovania údajov dochádza aj k zosúladeniu metodických odlišností vyplývajúcich z rôznych postupov účtovania (napríklad odúročovanie pohľadávok a záväzkov, vykazovanie rezervy a opravných položiek).</w:t>
      </w:r>
    </w:p>
    <w:p w14:paraId="3FBCE3A3" w14:textId="77777777" w:rsidR="000B437B" w:rsidRPr="00C66720" w:rsidRDefault="002D6290" w:rsidP="008F097E">
      <w:pPr>
        <w:numPr>
          <w:ilvl w:val="0"/>
          <w:numId w:val="19"/>
        </w:numPr>
        <w:spacing w:before="120" w:after="120" w:line="240" w:lineRule="auto"/>
        <w:ind w:left="425" w:hanging="425"/>
        <w:jc w:val="both"/>
        <w:rPr>
          <w:rFonts w:ascii="Times New Roman" w:hAnsi="Times New Roman"/>
          <w:i/>
          <w:szCs w:val="22"/>
          <w:u w:val="single"/>
        </w:rPr>
      </w:pPr>
      <w:r w:rsidRPr="00C66720">
        <w:rPr>
          <w:rFonts w:ascii="Times New Roman" w:hAnsi="Times New Roman"/>
          <w:i/>
          <w:szCs w:val="22"/>
          <w:u w:val="single"/>
        </w:rPr>
        <w:t>Agregácia údajov</w:t>
      </w:r>
    </w:p>
    <w:p w14:paraId="4C75BF07" w14:textId="690EEC8A" w:rsidR="002D6290" w:rsidRPr="00C66720" w:rsidRDefault="0049438C" w:rsidP="008F097E">
      <w:pPr>
        <w:spacing w:after="0" w:line="240" w:lineRule="auto"/>
        <w:jc w:val="both"/>
        <w:rPr>
          <w:rFonts w:ascii="Times New Roman" w:hAnsi="Times New Roman"/>
          <w:szCs w:val="22"/>
        </w:rPr>
      </w:pPr>
      <w:r w:rsidRPr="00C66720">
        <w:rPr>
          <w:rFonts w:ascii="Times New Roman" w:hAnsi="Times New Roman"/>
          <w:szCs w:val="22"/>
        </w:rPr>
        <w:t>Agregovali sa konsolidované účtovné závier</w:t>
      </w:r>
      <w:r w:rsidR="002D6290" w:rsidRPr="00C66720">
        <w:rPr>
          <w:rFonts w:ascii="Times New Roman" w:hAnsi="Times New Roman"/>
          <w:szCs w:val="22"/>
        </w:rPr>
        <w:t>k</w:t>
      </w:r>
      <w:r w:rsidRPr="00C66720">
        <w:rPr>
          <w:rFonts w:ascii="Times New Roman" w:hAnsi="Times New Roman"/>
          <w:szCs w:val="22"/>
        </w:rPr>
        <w:t>y, individuálne účtovné závier</w:t>
      </w:r>
      <w:r w:rsidR="002D6290" w:rsidRPr="00C66720">
        <w:rPr>
          <w:rFonts w:ascii="Times New Roman" w:hAnsi="Times New Roman"/>
          <w:szCs w:val="22"/>
        </w:rPr>
        <w:t>k</w:t>
      </w:r>
      <w:r w:rsidRPr="00C66720">
        <w:rPr>
          <w:rFonts w:ascii="Times New Roman" w:hAnsi="Times New Roman"/>
          <w:szCs w:val="22"/>
        </w:rPr>
        <w:t>y a podklady</w:t>
      </w:r>
      <w:r w:rsidR="002D6290" w:rsidRPr="00C66720">
        <w:rPr>
          <w:rFonts w:ascii="Times New Roman" w:hAnsi="Times New Roman"/>
          <w:szCs w:val="22"/>
        </w:rPr>
        <w:t xml:space="preserve"> pre identifikáciu vzájomných vzťahov.</w:t>
      </w:r>
      <w:r w:rsidRPr="00C66720">
        <w:rPr>
          <w:rFonts w:ascii="Times New Roman" w:hAnsi="Times New Roman"/>
          <w:szCs w:val="22"/>
        </w:rPr>
        <w:t xml:space="preserve"> Ak bola</w:t>
      </w:r>
      <w:r w:rsidR="002D6290" w:rsidRPr="00C66720">
        <w:rPr>
          <w:rFonts w:ascii="Times New Roman" w:hAnsi="Times New Roman"/>
          <w:szCs w:val="22"/>
        </w:rPr>
        <w:t xml:space="preserve"> účtovná jednotka súčasťou konsolidovaného celku na nižšej úrovni, bola </w:t>
      </w:r>
      <w:r w:rsidR="00FC0927" w:rsidRPr="00C66720">
        <w:rPr>
          <w:rFonts w:ascii="Times New Roman" w:hAnsi="Times New Roman"/>
          <w:szCs w:val="22"/>
        </w:rPr>
        <w:t>vykázaná</w:t>
      </w:r>
      <w:r w:rsidR="002D6290" w:rsidRPr="00C66720">
        <w:rPr>
          <w:rFonts w:ascii="Times New Roman" w:hAnsi="Times New Roman"/>
          <w:szCs w:val="22"/>
        </w:rPr>
        <w:t xml:space="preserve"> v rámci konsolidovaných výkazov materskej účtovnej jednot</w:t>
      </w:r>
      <w:r w:rsidRPr="00C66720">
        <w:rPr>
          <w:rFonts w:ascii="Times New Roman" w:hAnsi="Times New Roman"/>
          <w:szCs w:val="22"/>
        </w:rPr>
        <w:t>ky</w:t>
      </w:r>
      <w:r w:rsidR="00375816" w:rsidRPr="00C66720">
        <w:rPr>
          <w:rFonts w:ascii="Times New Roman" w:hAnsi="Times New Roman"/>
          <w:szCs w:val="22"/>
        </w:rPr>
        <w:br/>
      </w:r>
      <w:r w:rsidRPr="00C66720">
        <w:rPr>
          <w:rFonts w:ascii="Times New Roman" w:hAnsi="Times New Roman"/>
          <w:szCs w:val="22"/>
        </w:rPr>
        <w:t xml:space="preserve">(napr. </w:t>
      </w:r>
      <w:r w:rsidR="00FC0927" w:rsidRPr="00C66720">
        <w:rPr>
          <w:rFonts w:ascii="Times New Roman" w:hAnsi="Times New Roman"/>
          <w:szCs w:val="22"/>
        </w:rPr>
        <w:t xml:space="preserve">obchodná spoločnosť </w:t>
      </w:r>
      <w:r w:rsidRPr="00C66720">
        <w:rPr>
          <w:rFonts w:ascii="Times New Roman" w:hAnsi="Times New Roman"/>
          <w:szCs w:val="22"/>
        </w:rPr>
        <w:t>obc</w:t>
      </w:r>
      <w:r w:rsidR="00FC0927" w:rsidRPr="00C66720">
        <w:rPr>
          <w:rFonts w:ascii="Times New Roman" w:hAnsi="Times New Roman"/>
          <w:szCs w:val="22"/>
        </w:rPr>
        <w:t>e</w:t>
      </w:r>
      <w:r w:rsidR="002D6290" w:rsidRPr="00C66720">
        <w:rPr>
          <w:rFonts w:ascii="Times New Roman" w:hAnsi="Times New Roman"/>
          <w:szCs w:val="22"/>
        </w:rPr>
        <w:t>).</w:t>
      </w:r>
    </w:p>
    <w:p w14:paraId="1F4F1EBB" w14:textId="77777777" w:rsidR="000E4E43" w:rsidRPr="00C66720" w:rsidRDefault="000E4E43">
      <w:pPr>
        <w:spacing w:after="0" w:line="240" w:lineRule="auto"/>
        <w:rPr>
          <w:rFonts w:ascii="Times New Roman" w:hAnsi="Times New Roman"/>
          <w:i/>
          <w:szCs w:val="22"/>
          <w:u w:val="single"/>
        </w:rPr>
      </w:pPr>
      <w:r w:rsidRPr="00C66720">
        <w:rPr>
          <w:rFonts w:ascii="Times New Roman" w:hAnsi="Times New Roman"/>
          <w:i/>
          <w:szCs w:val="22"/>
          <w:u w:val="single"/>
        </w:rPr>
        <w:br w:type="page"/>
      </w:r>
    </w:p>
    <w:p w14:paraId="5C2E4F13" w14:textId="269E3B21" w:rsidR="002D6290" w:rsidRPr="00C66720" w:rsidRDefault="002D6290" w:rsidP="008F097E">
      <w:pPr>
        <w:numPr>
          <w:ilvl w:val="0"/>
          <w:numId w:val="19"/>
        </w:numPr>
        <w:spacing w:before="120" w:after="120" w:line="240" w:lineRule="auto"/>
        <w:ind w:left="425" w:hanging="425"/>
        <w:jc w:val="both"/>
        <w:rPr>
          <w:rFonts w:ascii="Times New Roman" w:hAnsi="Times New Roman"/>
          <w:i/>
          <w:szCs w:val="22"/>
          <w:u w:val="single"/>
        </w:rPr>
      </w:pPr>
      <w:r w:rsidRPr="00C66720">
        <w:rPr>
          <w:rFonts w:ascii="Times New Roman" w:hAnsi="Times New Roman"/>
          <w:i/>
          <w:szCs w:val="22"/>
          <w:u w:val="single"/>
        </w:rPr>
        <w:lastRenderedPageBreak/>
        <w:t>Konsolidačné operácie</w:t>
      </w:r>
    </w:p>
    <w:p w14:paraId="779C7C71" w14:textId="77777777" w:rsidR="002D6290" w:rsidRPr="00C66720" w:rsidRDefault="002D6290" w:rsidP="008F097E">
      <w:pPr>
        <w:spacing w:after="120" w:line="240" w:lineRule="auto"/>
        <w:jc w:val="both"/>
        <w:rPr>
          <w:rFonts w:ascii="Times New Roman" w:hAnsi="Times New Roman"/>
          <w:szCs w:val="22"/>
        </w:rPr>
      </w:pPr>
      <w:r w:rsidRPr="00C66720">
        <w:rPr>
          <w:rFonts w:ascii="Times New Roman" w:hAnsi="Times New Roman"/>
          <w:szCs w:val="22"/>
        </w:rPr>
        <w:t xml:space="preserve">V rámci súhrnného celku boli vykonané konsolidačné operácie v oblasti pohľadávok a záväzkov, nákladov a výnosov. V prípade </w:t>
      </w:r>
      <w:r w:rsidR="0049438C" w:rsidRPr="00C66720">
        <w:rPr>
          <w:rFonts w:ascii="Times New Roman" w:hAnsi="Times New Roman"/>
          <w:szCs w:val="22"/>
        </w:rPr>
        <w:t xml:space="preserve">nekonzistentne </w:t>
      </w:r>
      <w:r w:rsidRPr="00C66720">
        <w:rPr>
          <w:rFonts w:ascii="Times New Roman" w:hAnsi="Times New Roman"/>
          <w:szCs w:val="22"/>
        </w:rPr>
        <w:t>vykázaných vzájomných vzťahov</w:t>
      </w:r>
      <w:r w:rsidR="0049438C" w:rsidRPr="00C66720">
        <w:rPr>
          <w:rFonts w:ascii="Times New Roman" w:hAnsi="Times New Roman"/>
          <w:szCs w:val="22"/>
        </w:rPr>
        <w:t xml:space="preserve"> sa pred elimináciou </w:t>
      </w:r>
      <w:r w:rsidR="000B437B" w:rsidRPr="00C66720">
        <w:rPr>
          <w:rFonts w:ascii="Times New Roman" w:hAnsi="Times New Roman"/>
          <w:szCs w:val="22"/>
        </w:rPr>
        <w:t>vykonal</w:t>
      </w:r>
      <w:r w:rsidR="0049438C" w:rsidRPr="00C66720">
        <w:rPr>
          <w:rFonts w:ascii="Times New Roman" w:hAnsi="Times New Roman"/>
          <w:szCs w:val="22"/>
        </w:rPr>
        <w:t xml:space="preserve">a ich úprava. </w:t>
      </w:r>
      <w:r w:rsidRPr="00C66720">
        <w:rPr>
          <w:rFonts w:ascii="Times New Roman" w:hAnsi="Times New Roman"/>
          <w:szCs w:val="22"/>
        </w:rPr>
        <w:t xml:space="preserve">Na identifikáciu vzájomných vzťahov boli spracované </w:t>
      </w:r>
      <w:r w:rsidRPr="00C66720">
        <w:rPr>
          <w:rFonts w:ascii="Times New Roman" w:hAnsi="Times New Roman"/>
          <w:i/>
          <w:szCs w:val="22"/>
        </w:rPr>
        <w:t>konsolidačné balíky</w:t>
      </w:r>
      <w:r w:rsidRPr="00C66720">
        <w:rPr>
          <w:rFonts w:ascii="Times New Roman" w:hAnsi="Times New Roman"/>
          <w:szCs w:val="22"/>
        </w:rPr>
        <w:t xml:space="preserve"> a za obce a ich organizácie </w:t>
      </w:r>
      <w:r w:rsidR="002D36F3" w:rsidRPr="00C66720">
        <w:rPr>
          <w:rFonts w:ascii="Times New Roman" w:hAnsi="Times New Roman"/>
          <w:szCs w:val="22"/>
        </w:rPr>
        <w:t xml:space="preserve">boli spracované </w:t>
      </w:r>
      <w:r w:rsidRPr="00C66720">
        <w:rPr>
          <w:rFonts w:ascii="Times New Roman" w:hAnsi="Times New Roman"/>
          <w:szCs w:val="22"/>
        </w:rPr>
        <w:t>formuláre vzájomných vzťahov.</w:t>
      </w:r>
    </w:p>
    <w:p w14:paraId="495EF482" w14:textId="77777777" w:rsidR="002D6290" w:rsidRPr="00C66720" w:rsidRDefault="002D6290" w:rsidP="008F097E">
      <w:pPr>
        <w:spacing w:after="120" w:line="240" w:lineRule="auto"/>
        <w:jc w:val="both"/>
        <w:rPr>
          <w:rFonts w:ascii="Times New Roman" w:hAnsi="Times New Roman"/>
          <w:szCs w:val="22"/>
        </w:rPr>
      </w:pPr>
      <w:r w:rsidRPr="00C66720">
        <w:rPr>
          <w:rFonts w:ascii="Times New Roman" w:hAnsi="Times New Roman"/>
          <w:szCs w:val="22"/>
        </w:rPr>
        <w:t xml:space="preserve">V rámci súhrnného celku nebola vykonaná konsolidácia kapitálu a ani </w:t>
      </w:r>
      <w:r w:rsidR="0049438C" w:rsidRPr="00C66720">
        <w:rPr>
          <w:rFonts w:ascii="Times New Roman" w:hAnsi="Times New Roman"/>
          <w:szCs w:val="22"/>
        </w:rPr>
        <w:t xml:space="preserve">konsolidácia </w:t>
      </w:r>
      <w:r w:rsidRPr="00C66720">
        <w:rPr>
          <w:rFonts w:ascii="Times New Roman" w:hAnsi="Times New Roman"/>
          <w:szCs w:val="22"/>
        </w:rPr>
        <w:t>medzivýsledku.</w:t>
      </w:r>
    </w:p>
    <w:p w14:paraId="5AD70A00" w14:textId="77777777" w:rsidR="002D6290" w:rsidRPr="00C66720" w:rsidRDefault="002D6290" w:rsidP="008F097E">
      <w:pPr>
        <w:spacing w:after="0" w:line="240" w:lineRule="auto"/>
        <w:jc w:val="both"/>
        <w:rPr>
          <w:rFonts w:ascii="Times New Roman" w:hAnsi="Times New Roman"/>
          <w:szCs w:val="22"/>
        </w:rPr>
      </w:pPr>
      <w:r w:rsidRPr="00C66720">
        <w:rPr>
          <w:rFonts w:ascii="Times New Roman" w:hAnsi="Times New Roman"/>
          <w:szCs w:val="22"/>
        </w:rPr>
        <w:t>Z dôvodu odlišnej metodiky účtovania niektorých transakcií</w:t>
      </w:r>
      <w:r w:rsidR="000B437B" w:rsidRPr="00C66720">
        <w:rPr>
          <w:rFonts w:ascii="Times New Roman" w:hAnsi="Times New Roman"/>
          <w:szCs w:val="22"/>
        </w:rPr>
        <w:t>,</w:t>
      </w:r>
      <w:r w:rsidR="003C7875" w:rsidRPr="00C66720">
        <w:rPr>
          <w:rFonts w:ascii="Times New Roman" w:hAnsi="Times New Roman"/>
          <w:szCs w:val="22"/>
        </w:rPr>
        <w:t xml:space="preserve"> časového posunu vykázania vzájomných hodnôt</w:t>
      </w:r>
      <w:r w:rsidR="008A599D" w:rsidRPr="00C66720">
        <w:rPr>
          <w:rFonts w:ascii="Times New Roman" w:hAnsi="Times New Roman"/>
          <w:szCs w:val="22"/>
        </w:rPr>
        <w:t>,</w:t>
      </w:r>
      <w:r w:rsidR="000B437B" w:rsidRPr="00C66720">
        <w:rPr>
          <w:rFonts w:ascii="Times New Roman" w:hAnsi="Times New Roman"/>
          <w:szCs w:val="22"/>
        </w:rPr>
        <w:t xml:space="preserve"> </w:t>
      </w:r>
      <w:r w:rsidRPr="00C66720">
        <w:rPr>
          <w:rFonts w:ascii="Times New Roman" w:hAnsi="Times New Roman"/>
          <w:szCs w:val="22"/>
        </w:rPr>
        <w:t>ako aj z dôvodu neidentifikovaných vzájomných vzťahov v rovnakej hodnote neboli na úrovni súhrnnej účtovnej závierky eliminované nasledovné vzťahy:</w:t>
      </w:r>
    </w:p>
    <w:p w14:paraId="06A775A0" w14:textId="279E5AAC" w:rsidR="007D79A3" w:rsidRPr="00C66720" w:rsidRDefault="00340483" w:rsidP="008F097E">
      <w:pPr>
        <w:numPr>
          <w:ilvl w:val="0"/>
          <w:numId w:val="23"/>
        </w:numPr>
        <w:spacing w:after="0" w:line="240" w:lineRule="auto"/>
        <w:jc w:val="both"/>
        <w:rPr>
          <w:rFonts w:ascii="Times New Roman" w:hAnsi="Times New Roman"/>
          <w:szCs w:val="22"/>
        </w:rPr>
      </w:pPr>
      <w:r w:rsidRPr="00C66720">
        <w:rPr>
          <w:rFonts w:ascii="Times New Roman" w:hAnsi="Times New Roman"/>
          <w:szCs w:val="22"/>
        </w:rPr>
        <w:t xml:space="preserve">v súvahe </w:t>
      </w:r>
      <w:r w:rsidR="007D79A3" w:rsidRPr="00C66720">
        <w:rPr>
          <w:rFonts w:ascii="Times New Roman" w:hAnsi="Times New Roman"/>
          <w:szCs w:val="22"/>
        </w:rPr>
        <w:t>daň z príjmu právnických osôb, fyzických osôb, daň z pridanej hodnoty,</w:t>
      </w:r>
    </w:p>
    <w:p w14:paraId="2294B117" w14:textId="50587660" w:rsidR="009F3D81" w:rsidRPr="00C66720" w:rsidRDefault="007D79A3" w:rsidP="00523B02">
      <w:pPr>
        <w:numPr>
          <w:ilvl w:val="0"/>
          <w:numId w:val="23"/>
        </w:numPr>
        <w:spacing w:after="0" w:line="240" w:lineRule="auto"/>
        <w:jc w:val="both"/>
        <w:rPr>
          <w:rFonts w:ascii="Times New Roman" w:hAnsi="Times New Roman"/>
          <w:szCs w:val="22"/>
        </w:rPr>
      </w:pPr>
      <w:r w:rsidRPr="00C66720">
        <w:rPr>
          <w:rFonts w:ascii="Times New Roman" w:hAnsi="Times New Roman"/>
          <w:szCs w:val="22"/>
        </w:rPr>
        <w:t>sociálne poistenie v oblasti pohľadávo</w:t>
      </w:r>
      <w:r w:rsidR="009F3D81" w:rsidRPr="00C66720">
        <w:rPr>
          <w:rFonts w:ascii="Times New Roman" w:hAnsi="Times New Roman"/>
          <w:szCs w:val="22"/>
        </w:rPr>
        <w:t>k, záväzkov, nákladov a</w:t>
      </w:r>
      <w:r w:rsidR="00523B02" w:rsidRPr="00C66720">
        <w:rPr>
          <w:rFonts w:ascii="Times New Roman" w:hAnsi="Times New Roman"/>
          <w:szCs w:val="22"/>
        </w:rPr>
        <w:t> </w:t>
      </w:r>
      <w:r w:rsidR="009F3D81" w:rsidRPr="00C66720">
        <w:rPr>
          <w:rFonts w:ascii="Times New Roman" w:hAnsi="Times New Roman"/>
          <w:szCs w:val="22"/>
        </w:rPr>
        <w:t>výnosov</w:t>
      </w:r>
      <w:r w:rsidR="00523B02" w:rsidRPr="00C66720">
        <w:rPr>
          <w:rFonts w:ascii="Times New Roman" w:hAnsi="Times New Roman"/>
          <w:szCs w:val="22"/>
        </w:rPr>
        <w:t>,</w:t>
      </w:r>
      <w:r w:rsidR="009F3D81" w:rsidRPr="00C66720">
        <w:rPr>
          <w:rFonts w:ascii="Times New Roman" w:hAnsi="Times New Roman"/>
          <w:szCs w:val="22"/>
        </w:rPr>
        <w:t xml:space="preserve"> </w:t>
      </w:r>
    </w:p>
    <w:p w14:paraId="0D572EC3" w14:textId="5A65C267" w:rsidR="007D79A3" w:rsidRPr="00C66720" w:rsidRDefault="007D79A3" w:rsidP="008F097E">
      <w:pPr>
        <w:numPr>
          <w:ilvl w:val="0"/>
          <w:numId w:val="23"/>
        </w:numPr>
        <w:spacing w:after="0" w:line="240" w:lineRule="auto"/>
        <w:jc w:val="both"/>
        <w:rPr>
          <w:rFonts w:ascii="Times New Roman" w:hAnsi="Times New Roman"/>
          <w:szCs w:val="22"/>
        </w:rPr>
      </w:pPr>
      <w:r w:rsidRPr="00C66720">
        <w:rPr>
          <w:rFonts w:ascii="Times New Roman" w:hAnsi="Times New Roman"/>
          <w:szCs w:val="22"/>
        </w:rPr>
        <w:t xml:space="preserve">ostatné pohľadávky, záväzky, náklady a výnosy </w:t>
      </w:r>
      <w:r w:rsidR="00710CCF" w:rsidRPr="00C66720">
        <w:rPr>
          <w:rFonts w:ascii="Times New Roman" w:hAnsi="Times New Roman"/>
          <w:szCs w:val="22"/>
        </w:rPr>
        <w:t xml:space="preserve">a časové rozlíšenie nákladov a výnosov </w:t>
      </w:r>
      <w:r w:rsidRPr="00C66720">
        <w:rPr>
          <w:rFonts w:ascii="Times New Roman" w:hAnsi="Times New Roman"/>
          <w:szCs w:val="22"/>
        </w:rPr>
        <w:t>s rozdielnou hodnotou vykázanou v podkladoch pre eliminácie za jednotlivé účtovné jednotky.</w:t>
      </w:r>
    </w:p>
    <w:p w14:paraId="31E27A39" w14:textId="77777777" w:rsidR="008B4085" w:rsidRPr="00C66720" w:rsidRDefault="008B4085" w:rsidP="008F097E">
      <w:pPr>
        <w:numPr>
          <w:ilvl w:val="0"/>
          <w:numId w:val="19"/>
        </w:numPr>
        <w:spacing w:before="120" w:after="120" w:line="240" w:lineRule="auto"/>
        <w:ind w:left="425" w:hanging="425"/>
        <w:jc w:val="both"/>
        <w:rPr>
          <w:rFonts w:ascii="Times New Roman" w:hAnsi="Times New Roman"/>
          <w:i/>
          <w:szCs w:val="22"/>
          <w:u w:val="single"/>
        </w:rPr>
      </w:pPr>
      <w:r w:rsidRPr="00C66720">
        <w:rPr>
          <w:rFonts w:ascii="Times New Roman" w:hAnsi="Times New Roman"/>
          <w:i/>
          <w:szCs w:val="22"/>
          <w:u w:val="single"/>
        </w:rPr>
        <w:t>Spracovanie výkazov súhrnnej účtovnej závierky</w:t>
      </w:r>
    </w:p>
    <w:p w14:paraId="009F3B7B" w14:textId="113542AF" w:rsidR="0039105F" w:rsidRPr="00C66720" w:rsidRDefault="008B4085" w:rsidP="008F097E">
      <w:pPr>
        <w:spacing w:after="120" w:line="240" w:lineRule="auto"/>
        <w:jc w:val="both"/>
        <w:rPr>
          <w:rFonts w:ascii="Times New Roman" w:hAnsi="Times New Roman"/>
          <w:b/>
          <w:szCs w:val="22"/>
        </w:rPr>
      </w:pPr>
      <w:r w:rsidRPr="00C66720">
        <w:rPr>
          <w:rFonts w:ascii="Times New Roman" w:hAnsi="Times New Roman"/>
          <w:szCs w:val="22"/>
        </w:rPr>
        <w:t xml:space="preserve">Výkazy </w:t>
      </w:r>
      <w:r w:rsidR="000E4E43" w:rsidRPr="00C66720">
        <w:rPr>
          <w:rFonts w:ascii="Times New Roman" w:hAnsi="Times New Roman"/>
          <w:szCs w:val="22"/>
        </w:rPr>
        <w:t>SUZ</w:t>
      </w:r>
      <w:r w:rsidR="009376FD" w:rsidRPr="00C66720">
        <w:rPr>
          <w:rFonts w:ascii="Times New Roman" w:hAnsi="Times New Roman"/>
          <w:szCs w:val="22"/>
        </w:rPr>
        <w:t xml:space="preserve"> verejnej správy za rok 202</w:t>
      </w:r>
      <w:r w:rsidR="007805F2" w:rsidRPr="00C66720">
        <w:rPr>
          <w:rFonts w:ascii="Times New Roman" w:hAnsi="Times New Roman"/>
          <w:szCs w:val="22"/>
        </w:rPr>
        <w:t>2</w:t>
      </w:r>
      <w:r w:rsidRPr="00C66720">
        <w:rPr>
          <w:rFonts w:ascii="Times New Roman" w:hAnsi="Times New Roman"/>
          <w:szCs w:val="22"/>
        </w:rPr>
        <w:t xml:space="preserve"> sa predkladajú v </w:t>
      </w:r>
      <w:r w:rsidR="00A60F4A" w:rsidRPr="00C66720">
        <w:rPr>
          <w:rFonts w:ascii="Times New Roman" w:hAnsi="Times New Roman"/>
          <w:szCs w:val="22"/>
        </w:rPr>
        <w:t xml:space="preserve">osobitnej </w:t>
      </w:r>
      <w:r w:rsidRPr="00C66720">
        <w:rPr>
          <w:rFonts w:ascii="Times New Roman" w:hAnsi="Times New Roman"/>
          <w:szCs w:val="22"/>
        </w:rPr>
        <w:t>štruktúre.</w:t>
      </w:r>
      <w:r w:rsidR="00A60F4A" w:rsidRPr="00C66720">
        <w:rPr>
          <w:rFonts w:ascii="Times New Roman" w:hAnsi="Times New Roman"/>
          <w:szCs w:val="22"/>
        </w:rPr>
        <w:t xml:space="preserve"> </w:t>
      </w:r>
      <w:r w:rsidR="00B74FCA" w:rsidRPr="00C66720">
        <w:rPr>
          <w:rFonts w:ascii="Times New Roman" w:hAnsi="Times New Roman"/>
          <w:szCs w:val="22"/>
        </w:rPr>
        <w:t>Vzhľadom na to, že ich štruktúra nie je predpísaná žiadnym všeobecne záväzným právnym predpisom, boli použité princípy medzinárodných účtovných štandardov pre verejný sektor (IPSAS), ktoré kladú dôraz na významnosť a prehľadnosť údajov.</w:t>
      </w:r>
      <w:r w:rsidR="000E4E43" w:rsidRPr="00C66720">
        <w:rPr>
          <w:rFonts w:ascii="Times New Roman" w:hAnsi="Times New Roman"/>
          <w:szCs w:val="22"/>
        </w:rPr>
        <w:t xml:space="preserve"> Z tohto dôvodu je štruktúra SUZ odlišná od individuálnej účtovnej závierky jednotlivých právnych foriem v súhrnnom celku, ale aj od štruktúry konsolidovanej účtovnej závierky subjektu verejnej správy</w:t>
      </w:r>
      <w:r w:rsidR="00B74FCA" w:rsidRPr="00C66720">
        <w:rPr>
          <w:rFonts w:ascii="Times New Roman" w:hAnsi="Times New Roman"/>
          <w:szCs w:val="22"/>
        </w:rPr>
        <w:t xml:space="preserve"> </w:t>
      </w:r>
      <w:r w:rsidR="0039105F" w:rsidRPr="00C66720">
        <w:rPr>
          <w:rFonts w:ascii="Times New Roman" w:hAnsi="Times New Roman"/>
          <w:b/>
          <w:szCs w:val="22"/>
        </w:rPr>
        <w:t>V porovna</w:t>
      </w:r>
      <w:r w:rsidR="007805F2" w:rsidRPr="00C66720">
        <w:rPr>
          <w:rFonts w:ascii="Times New Roman" w:hAnsi="Times New Roman"/>
          <w:b/>
          <w:szCs w:val="22"/>
        </w:rPr>
        <w:t>ní so SUZ zostavenou za rok 2021</w:t>
      </w:r>
      <w:r w:rsidR="0039105F" w:rsidRPr="00C66720">
        <w:rPr>
          <w:rFonts w:ascii="Times New Roman" w:hAnsi="Times New Roman"/>
          <w:b/>
          <w:szCs w:val="22"/>
        </w:rPr>
        <w:t xml:space="preserve"> nedošlo k zmene š</w:t>
      </w:r>
      <w:r w:rsidR="007805F2" w:rsidRPr="00C66720">
        <w:rPr>
          <w:rFonts w:ascii="Times New Roman" w:hAnsi="Times New Roman"/>
          <w:b/>
          <w:szCs w:val="22"/>
        </w:rPr>
        <w:t>truktúry výkazov SUZ za rok 2022</w:t>
      </w:r>
      <w:r w:rsidR="0039105F" w:rsidRPr="00C66720">
        <w:rPr>
          <w:rFonts w:ascii="Times New Roman" w:hAnsi="Times New Roman"/>
          <w:b/>
          <w:szCs w:val="22"/>
        </w:rPr>
        <w:t>.</w:t>
      </w:r>
    </w:p>
    <w:p w14:paraId="505B35C2" w14:textId="77777777" w:rsidR="000E4E43" w:rsidRPr="00C66720" w:rsidRDefault="000E4E43" w:rsidP="000E4E43">
      <w:pPr>
        <w:numPr>
          <w:ilvl w:val="0"/>
          <w:numId w:val="19"/>
        </w:numPr>
        <w:spacing w:before="120" w:after="120" w:line="240" w:lineRule="auto"/>
        <w:ind w:left="425" w:hanging="425"/>
        <w:jc w:val="both"/>
        <w:rPr>
          <w:rFonts w:ascii="Times New Roman" w:hAnsi="Times New Roman"/>
          <w:i/>
          <w:szCs w:val="22"/>
          <w:u w:val="single"/>
        </w:rPr>
      </w:pPr>
      <w:r w:rsidRPr="00C66720">
        <w:rPr>
          <w:rFonts w:ascii="Times New Roman" w:hAnsi="Times New Roman"/>
          <w:i/>
          <w:szCs w:val="22"/>
          <w:u w:val="single"/>
        </w:rPr>
        <w:t>Hodnota konsolidácie na úrovni súhrnného celku</w:t>
      </w:r>
    </w:p>
    <w:p w14:paraId="4CA5C3DA" w14:textId="3CD76F2F" w:rsidR="00E5533F" w:rsidRPr="00C66720" w:rsidRDefault="00E2189A" w:rsidP="008F097E">
      <w:pPr>
        <w:spacing w:before="120" w:after="0" w:line="240" w:lineRule="auto"/>
        <w:jc w:val="both"/>
        <w:rPr>
          <w:rFonts w:ascii="Times New Roman" w:hAnsi="Times New Roman"/>
          <w:szCs w:val="22"/>
        </w:rPr>
      </w:pPr>
      <w:r w:rsidRPr="00C66720">
        <w:rPr>
          <w:rFonts w:ascii="Times New Roman" w:hAnsi="Times New Roman"/>
          <w:szCs w:val="22"/>
        </w:rPr>
        <w:t>V </w:t>
      </w:r>
      <w:r w:rsidR="002F6529" w:rsidRPr="00C66720">
        <w:rPr>
          <w:rFonts w:ascii="Times New Roman" w:hAnsi="Times New Roman"/>
          <w:szCs w:val="22"/>
        </w:rPr>
        <w:t>roku 2022</w:t>
      </w:r>
      <w:r w:rsidR="001E5B82" w:rsidRPr="00C66720">
        <w:rPr>
          <w:rFonts w:ascii="Times New Roman" w:hAnsi="Times New Roman"/>
          <w:szCs w:val="22"/>
        </w:rPr>
        <w:t xml:space="preserve"> dosiahla výška konsolidácie aktív/pasív </w:t>
      </w:r>
      <w:r w:rsidR="002F6529" w:rsidRPr="00C66720">
        <w:rPr>
          <w:rFonts w:ascii="Times New Roman" w:hAnsi="Times New Roman"/>
          <w:szCs w:val="22"/>
        </w:rPr>
        <w:t>3 077 665</w:t>
      </w:r>
      <w:r w:rsidR="001E5B82" w:rsidRPr="00C66720">
        <w:rPr>
          <w:rFonts w:ascii="Times New Roman" w:hAnsi="Times New Roman"/>
          <w:szCs w:val="22"/>
        </w:rPr>
        <w:t xml:space="preserve"> tis. eur a nákladov/výnosov </w:t>
      </w:r>
      <w:r w:rsidR="00942F01" w:rsidRPr="00C66720">
        <w:rPr>
          <w:rFonts w:ascii="Times New Roman" w:hAnsi="Times New Roman"/>
          <w:szCs w:val="22"/>
        </w:rPr>
        <w:br/>
      </w:r>
      <w:r w:rsidR="00F45A00" w:rsidRPr="00C66720">
        <w:rPr>
          <w:rFonts w:ascii="Times New Roman" w:hAnsi="Times New Roman"/>
          <w:szCs w:val="22"/>
        </w:rPr>
        <w:t>1 763 976</w:t>
      </w:r>
      <w:r w:rsidR="00392FA4" w:rsidRPr="00C66720">
        <w:rPr>
          <w:rFonts w:ascii="Times New Roman" w:hAnsi="Times New Roman"/>
          <w:szCs w:val="22"/>
        </w:rPr>
        <w:t xml:space="preserve"> </w:t>
      </w:r>
      <w:r w:rsidR="001E5B82" w:rsidRPr="00C66720">
        <w:rPr>
          <w:rFonts w:ascii="Times New Roman" w:hAnsi="Times New Roman"/>
          <w:szCs w:val="22"/>
        </w:rPr>
        <w:t>tis. eur.</w:t>
      </w:r>
      <w:r w:rsidR="00D61DB7" w:rsidRPr="00C66720">
        <w:rPr>
          <w:rFonts w:ascii="Times New Roman" w:hAnsi="Times New Roman"/>
          <w:szCs w:val="22"/>
        </w:rPr>
        <w:t xml:space="preserve"> </w:t>
      </w:r>
      <w:r w:rsidR="002E3F99" w:rsidRPr="00C66720">
        <w:rPr>
          <w:rFonts w:ascii="Times New Roman" w:hAnsi="Times New Roman"/>
          <w:szCs w:val="22"/>
        </w:rPr>
        <w:t xml:space="preserve">V rámci konsolidácie došlo k eliminácii zostatkov účtov klientov v ŠP medziročne </w:t>
      </w:r>
      <w:r w:rsidR="00C8567E" w:rsidRPr="00C66720">
        <w:rPr>
          <w:rFonts w:ascii="Times New Roman" w:hAnsi="Times New Roman"/>
          <w:szCs w:val="22"/>
        </w:rPr>
        <w:t>menej</w:t>
      </w:r>
      <w:r w:rsidR="002E3F99" w:rsidRPr="00C66720">
        <w:rPr>
          <w:rFonts w:ascii="Times New Roman" w:hAnsi="Times New Roman"/>
          <w:szCs w:val="22"/>
        </w:rPr>
        <w:t xml:space="preserve"> o</w:t>
      </w:r>
      <w:r w:rsidR="00C8567E" w:rsidRPr="00C66720">
        <w:rPr>
          <w:rFonts w:ascii="Times New Roman" w:hAnsi="Times New Roman"/>
          <w:szCs w:val="22"/>
        </w:rPr>
        <w:t> 122 849</w:t>
      </w:r>
      <w:r w:rsidR="002E3F99" w:rsidRPr="00C66720">
        <w:rPr>
          <w:rFonts w:ascii="Times New Roman" w:hAnsi="Times New Roman"/>
          <w:szCs w:val="22"/>
        </w:rPr>
        <w:t xml:space="preserve"> tis. eur z dôvodu </w:t>
      </w:r>
      <w:r w:rsidR="00C8567E" w:rsidRPr="00C66720">
        <w:rPr>
          <w:rFonts w:ascii="Times New Roman" w:hAnsi="Times New Roman"/>
          <w:szCs w:val="22"/>
        </w:rPr>
        <w:t>poklesu zostatkov štátnych finančných aktív a nižších</w:t>
      </w:r>
      <w:r w:rsidR="002E3F99" w:rsidRPr="00C66720">
        <w:rPr>
          <w:rFonts w:ascii="Times New Roman" w:hAnsi="Times New Roman"/>
          <w:szCs w:val="22"/>
        </w:rPr>
        <w:t xml:space="preserve"> zostatkov účtov dobrovoľných klientov a ostatných subjektov verejnej správy vedených na účtoch v Štátnej pokladnici. Z dôvodu bezodplatného poskytnutia a prijatia zásob (liekov, vakcín, iného zdravotníckeho materiálu) </w:t>
      </w:r>
      <w:r w:rsidR="00E5533F" w:rsidRPr="00C66720">
        <w:rPr>
          <w:rFonts w:ascii="Times New Roman" w:hAnsi="Times New Roman"/>
          <w:szCs w:val="22"/>
        </w:rPr>
        <w:t xml:space="preserve">medzi subjektami verejnej správy </w:t>
      </w:r>
      <w:r w:rsidR="002E3F99" w:rsidRPr="00C66720">
        <w:rPr>
          <w:rFonts w:ascii="Times New Roman" w:hAnsi="Times New Roman"/>
          <w:szCs w:val="22"/>
        </w:rPr>
        <w:t>v súvislosti s</w:t>
      </w:r>
      <w:r w:rsidR="00E5533F" w:rsidRPr="00C66720">
        <w:rPr>
          <w:rFonts w:ascii="Times New Roman" w:hAnsi="Times New Roman"/>
          <w:szCs w:val="22"/>
        </w:rPr>
        <w:t> </w:t>
      </w:r>
      <w:r w:rsidR="002E3F99" w:rsidRPr="00C66720">
        <w:rPr>
          <w:rFonts w:ascii="Times New Roman" w:hAnsi="Times New Roman"/>
          <w:szCs w:val="22"/>
        </w:rPr>
        <w:t>mimoriadnou</w:t>
      </w:r>
      <w:r w:rsidR="00E5533F" w:rsidRPr="00C66720">
        <w:rPr>
          <w:rFonts w:ascii="Times New Roman" w:hAnsi="Times New Roman"/>
          <w:szCs w:val="22"/>
        </w:rPr>
        <w:t xml:space="preserve"> pandemickou situáciou COVID-19 boli eliminované vzájomné vzťahy v súvahe v hodnote </w:t>
      </w:r>
      <w:r w:rsidR="00BD557C" w:rsidRPr="00C66720">
        <w:rPr>
          <w:rFonts w:ascii="Times New Roman" w:hAnsi="Times New Roman"/>
          <w:szCs w:val="22"/>
        </w:rPr>
        <w:t>2 173</w:t>
      </w:r>
      <w:r w:rsidR="00E5533F" w:rsidRPr="00C66720">
        <w:rPr>
          <w:rFonts w:ascii="Times New Roman" w:hAnsi="Times New Roman"/>
          <w:szCs w:val="22"/>
        </w:rPr>
        <w:t xml:space="preserve"> tis. eur (časovo rozlíšené náklady a výnosy) a vo výkaze ziskov a strát v hodnote </w:t>
      </w:r>
      <w:r w:rsidR="00BD557C" w:rsidRPr="00C66720">
        <w:rPr>
          <w:rFonts w:ascii="Times New Roman" w:hAnsi="Times New Roman"/>
          <w:szCs w:val="22"/>
        </w:rPr>
        <w:t>38 533</w:t>
      </w:r>
      <w:r w:rsidR="00E5533F" w:rsidRPr="00C66720">
        <w:rPr>
          <w:rFonts w:ascii="Times New Roman" w:hAnsi="Times New Roman"/>
          <w:szCs w:val="22"/>
        </w:rPr>
        <w:t xml:space="preserve"> tis. eur (náklady na bezodplatne poskytnutý transfer a výnosy z ich zúčtovania). </w:t>
      </w:r>
      <w:r w:rsidR="00BD557C" w:rsidRPr="00C66720">
        <w:rPr>
          <w:rFonts w:ascii="Times New Roman" w:hAnsi="Times New Roman"/>
          <w:szCs w:val="22"/>
        </w:rPr>
        <w:t>Obdobne ako v roku 2021 aj v roku 2022</w:t>
      </w:r>
      <w:r w:rsidR="00E5533F" w:rsidRPr="00C66720">
        <w:rPr>
          <w:rFonts w:ascii="Times New Roman" w:hAnsi="Times New Roman"/>
          <w:szCs w:val="22"/>
        </w:rPr>
        <w:t xml:space="preserve"> bol predmetom eliminácie vo vzájomných nákladoch a výnosoch transfer poskytnutý zo štátnych finančných aktív Sociálnej poisťovni zo Všeobecnej pokladničnej správy v celkov</w:t>
      </w:r>
      <w:r w:rsidR="00BD557C" w:rsidRPr="00C66720">
        <w:rPr>
          <w:rFonts w:ascii="Times New Roman" w:hAnsi="Times New Roman"/>
          <w:szCs w:val="22"/>
        </w:rPr>
        <w:t xml:space="preserve">om objeme </w:t>
      </w:r>
      <w:r w:rsidR="009A4A85" w:rsidRPr="00C66720">
        <w:rPr>
          <w:rFonts w:ascii="Times New Roman" w:hAnsi="Times New Roman"/>
          <w:szCs w:val="22"/>
        </w:rPr>
        <w:t>103 903</w:t>
      </w:r>
      <w:r w:rsidR="00BD557C" w:rsidRPr="00C66720">
        <w:rPr>
          <w:rFonts w:ascii="Times New Roman" w:hAnsi="Times New Roman"/>
          <w:szCs w:val="22"/>
        </w:rPr>
        <w:t xml:space="preserve"> tis. eur (2021</w:t>
      </w:r>
      <w:r w:rsidR="00E5533F" w:rsidRPr="00C66720">
        <w:rPr>
          <w:rFonts w:ascii="Times New Roman" w:hAnsi="Times New Roman"/>
          <w:szCs w:val="22"/>
        </w:rPr>
        <w:t xml:space="preserve">: </w:t>
      </w:r>
      <w:r w:rsidR="00BD557C" w:rsidRPr="00C66720">
        <w:rPr>
          <w:rFonts w:ascii="Times New Roman" w:hAnsi="Times New Roman"/>
          <w:szCs w:val="22"/>
        </w:rPr>
        <w:t xml:space="preserve">840 000 </w:t>
      </w:r>
      <w:r w:rsidR="00E5533F" w:rsidRPr="00C66720">
        <w:rPr>
          <w:rFonts w:ascii="Times New Roman" w:hAnsi="Times New Roman"/>
          <w:szCs w:val="22"/>
        </w:rPr>
        <w:t>tis. eur)</w:t>
      </w:r>
      <w:r w:rsidR="00DC63BE" w:rsidRPr="00C66720">
        <w:rPr>
          <w:rFonts w:ascii="Times New Roman" w:hAnsi="Times New Roman"/>
          <w:szCs w:val="22"/>
        </w:rPr>
        <w:t xml:space="preserve"> v rámci ktorého je vykazovaný aj transfer do základného fondu poistenia v nezamestnanosti na poskytnutie podpory na čiastočnú úhradu nákladov zamestnávateľa na náhradu mzdy zamestnanca v súlade so zákonom č. 215/2021 Z. z. o podpore v čase skrátenej práce a o zmene a doplnení niektorých zákonov v z.n.p</w:t>
      </w:r>
      <w:r w:rsidR="00E5533F" w:rsidRPr="00C66720">
        <w:rPr>
          <w:rFonts w:ascii="Times New Roman" w:hAnsi="Times New Roman"/>
          <w:szCs w:val="22"/>
        </w:rPr>
        <w:t>.</w:t>
      </w:r>
      <w:r w:rsidR="00601296" w:rsidRPr="00C66720">
        <w:rPr>
          <w:rFonts w:ascii="Times New Roman" w:hAnsi="Times New Roman"/>
          <w:szCs w:val="22"/>
        </w:rPr>
        <w:t xml:space="preserve"> Zároveň pri zostavení súhrnnej účtovnej závierky za rok 2022 </w:t>
      </w:r>
      <w:r w:rsidR="005B4135" w:rsidRPr="00C66720">
        <w:rPr>
          <w:rFonts w:ascii="Times New Roman" w:hAnsi="Times New Roman"/>
          <w:szCs w:val="22"/>
        </w:rPr>
        <w:t xml:space="preserve">došlo k akrualizácii </w:t>
      </w:r>
      <w:r w:rsidR="00DC63BE" w:rsidRPr="00C66720">
        <w:rPr>
          <w:rFonts w:ascii="Times New Roman" w:hAnsi="Times New Roman"/>
          <w:szCs w:val="22"/>
        </w:rPr>
        <w:t xml:space="preserve"> </w:t>
      </w:r>
      <w:r w:rsidR="009F2153" w:rsidRPr="00C66720">
        <w:rPr>
          <w:rFonts w:ascii="Times New Roman" w:hAnsi="Times New Roman"/>
          <w:szCs w:val="22"/>
        </w:rPr>
        <w:t>pohľadávok Sociálnej poisťovne z odvodu poistného za december bežného účtovného obdobia, ktorý sa uhrádza v januári nasledujúceho účtovného obdobia v celkovej sume 1 092 967 tis. eur a</w:t>
      </w:r>
      <w:r w:rsidR="000E4E43" w:rsidRPr="00C66720">
        <w:rPr>
          <w:rFonts w:ascii="Times New Roman" w:hAnsi="Times New Roman"/>
          <w:szCs w:val="22"/>
        </w:rPr>
        <w:t> </w:t>
      </w:r>
      <w:r w:rsidR="009F2153" w:rsidRPr="00C66720">
        <w:rPr>
          <w:rFonts w:ascii="Times New Roman" w:hAnsi="Times New Roman"/>
          <w:szCs w:val="22"/>
        </w:rPr>
        <w:t>k</w:t>
      </w:r>
      <w:r w:rsidR="000E4E43" w:rsidRPr="00C66720">
        <w:rPr>
          <w:rFonts w:ascii="Times New Roman" w:hAnsi="Times New Roman"/>
          <w:szCs w:val="22"/>
        </w:rPr>
        <w:t xml:space="preserve"> vnútornej</w:t>
      </w:r>
      <w:r w:rsidR="009F2153" w:rsidRPr="00C66720">
        <w:rPr>
          <w:rFonts w:ascii="Times New Roman" w:hAnsi="Times New Roman"/>
          <w:szCs w:val="22"/>
        </w:rPr>
        <w:t> eliminácii pohľadávok a záväzkov (2 551 tis. eur) a nákladov a výnosov (84 169 tis. eur) z odvodu poistného za zamestnancov samotnej Sociálnej poisťovne. Taktiež došlo k vylúčeniu nákladov a vý</w:t>
      </w:r>
      <w:r w:rsidR="00954BEE" w:rsidRPr="00C66720">
        <w:rPr>
          <w:rFonts w:ascii="Times New Roman" w:hAnsi="Times New Roman"/>
          <w:szCs w:val="22"/>
        </w:rPr>
        <w:t>nosov z dôvodu tvorby a použitia fondov Sociálnej poisťovne tvorených podľa Zákona č. 461/2003 Z. z. o sociálnom poistení v znení neskorších predpisov v sume 4 156 924 tis. eur.</w:t>
      </w:r>
    </w:p>
    <w:p w14:paraId="4C242744" w14:textId="488E52CD" w:rsidR="00313889" w:rsidRPr="00C66720" w:rsidRDefault="00313889">
      <w:pPr>
        <w:spacing w:after="0" w:line="240" w:lineRule="auto"/>
        <w:rPr>
          <w:rFonts w:ascii="Times New Roman" w:hAnsi="Times New Roman"/>
          <w:szCs w:val="22"/>
        </w:rPr>
      </w:pPr>
      <w:r w:rsidRPr="00C66720">
        <w:rPr>
          <w:rFonts w:ascii="Times New Roman" w:hAnsi="Times New Roman"/>
          <w:szCs w:val="22"/>
        </w:rPr>
        <w:br w:type="page"/>
      </w:r>
    </w:p>
    <w:p w14:paraId="70E89C48" w14:textId="3A8C60D7" w:rsidR="00F359C0" w:rsidRPr="00C66720" w:rsidRDefault="00454A86" w:rsidP="00EC542C">
      <w:pPr>
        <w:tabs>
          <w:tab w:val="left" w:pos="284"/>
        </w:tabs>
        <w:spacing w:before="120" w:after="120" w:line="240" w:lineRule="auto"/>
        <w:jc w:val="both"/>
        <w:rPr>
          <w:rFonts w:ascii="Times New Roman" w:hAnsi="Times New Roman"/>
          <w:b/>
          <w:sz w:val="24"/>
          <w:szCs w:val="24"/>
        </w:rPr>
      </w:pPr>
      <w:r w:rsidRPr="00C66720">
        <w:rPr>
          <w:rFonts w:ascii="Times New Roman" w:hAnsi="Times New Roman"/>
          <w:b/>
          <w:sz w:val="24"/>
          <w:szCs w:val="24"/>
        </w:rPr>
        <w:lastRenderedPageBreak/>
        <w:t xml:space="preserve">2. </w:t>
      </w:r>
      <w:r w:rsidR="00F359C0" w:rsidRPr="00C66720">
        <w:rPr>
          <w:rFonts w:ascii="Times New Roman" w:hAnsi="Times New Roman"/>
          <w:b/>
          <w:sz w:val="24"/>
          <w:szCs w:val="24"/>
        </w:rPr>
        <w:t>Zmeny účtovných metód a účtovných zásad</w:t>
      </w:r>
    </w:p>
    <w:p w14:paraId="6695789C" w14:textId="04F3B8D6" w:rsidR="00E63841" w:rsidRPr="00C66720" w:rsidRDefault="00E63841" w:rsidP="008F097E">
      <w:pPr>
        <w:spacing w:after="120" w:line="240" w:lineRule="auto"/>
        <w:jc w:val="both"/>
        <w:rPr>
          <w:rFonts w:ascii="Times New Roman" w:hAnsi="Times New Roman"/>
          <w:szCs w:val="22"/>
          <w:u w:val="single"/>
          <w:lang w:eastAsia="sk-SK"/>
        </w:rPr>
      </w:pPr>
      <w:r w:rsidRPr="00C66720">
        <w:rPr>
          <w:rFonts w:ascii="Times New Roman" w:hAnsi="Times New Roman"/>
          <w:szCs w:val="22"/>
          <w:u w:val="single"/>
          <w:lang w:eastAsia="sk-SK"/>
        </w:rPr>
        <w:t>Rezervy na vyraďovanie jadrových elektrární A1, V1, nereaktorových zariadení, skladovanie a trvalé uloženie vyhoretého jadrového paliva</w:t>
      </w:r>
    </w:p>
    <w:p w14:paraId="1506AF5B" w14:textId="62716D82" w:rsidR="00E63841" w:rsidRPr="00C66720" w:rsidRDefault="002074BD" w:rsidP="008F097E">
      <w:pPr>
        <w:spacing w:after="120" w:line="240" w:lineRule="auto"/>
        <w:jc w:val="both"/>
        <w:rPr>
          <w:rFonts w:ascii="Times New Roman" w:hAnsi="Times New Roman"/>
          <w:szCs w:val="22"/>
          <w:lang w:eastAsia="sk-SK"/>
        </w:rPr>
      </w:pPr>
      <w:r w:rsidRPr="00C66720">
        <w:rPr>
          <w:rFonts w:ascii="Times New Roman" w:hAnsi="Times New Roman"/>
          <w:szCs w:val="22"/>
          <w:lang w:eastAsia="sk-SK"/>
        </w:rPr>
        <w:t>V roku 2022 pristúpila spoločnosť JAVYS, a.s. k aktualizácii modelu výpočtu rezerv na vyraďovanie reaktorových, nereaktorových jadrových zariadení, skladovanie a trvalé uloženie vyhoretého jadrového paliva, ktorá reflektuje na odborné štúdie schválené v r. 2022. Aktualizácia spôsobila významné zmeny v celkovej výške rezervy k 31. 12. 2022 (</w:t>
      </w:r>
      <w:r w:rsidR="003032B6" w:rsidRPr="00C66720">
        <w:rPr>
          <w:rFonts w:ascii="Times New Roman" w:hAnsi="Times New Roman"/>
          <w:szCs w:val="22"/>
          <w:lang w:eastAsia="sk-SK"/>
        </w:rPr>
        <w:t>o 737 746 tis. eur</w:t>
      </w:r>
      <w:r w:rsidRPr="00C66720">
        <w:rPr>
          <w:rFonts w:ascii="Times New Roman" w:hAnsi="Times New Roman"/>
          <w:szCs w:val="22"/>
          <w:lang w:eastAsia="sk-SK"/>
        </w:rPr>
        <w:t>). Spoločnosť vykázala rezervy na jadrové vyraďovanie reaktorových a nereaktorových zariadení v plnej výške predpokladaných budúcich peňažných tokov diskontovaných reálnou diskontnou sadzbou vo výške 1,47 % (pri nominálnej diskontnej sadzbe vo výške 3,7 % a inflačnej sadzbe 2</w:t>
      </w:r>
      <w:r w:rsidR="00C66720">
        <w:rPr>
          <w:rFonts w:ascii="Times New Roman" w:hAnsi="Times New Roman"/>
          <w:szCs w:val="22"/>
          <w:lang w:eastAsia="sk-SK"/>
        </w:rPr>
        <w:t xml:space="preserve"> </w:t>
      </w:r>
      <w:r w:rsidRPr="00C66720">
        <w:rPr>
          <w:rFonts w:ascii="Times New Roman" w:hAnsi="Times New Roman"/>
          <w:szCs w:val="22"/>
          <w:lang w:eastAsia="sk-SK"/>
        </w:rPr>
        <w:t>%)</w:t>
      </w:r>
      <w:r w:rsidR="00F619DB" w:rsidRPr="00C66720">
        <w:rPr>
          <w:rFonts w:ascii="Times New Roman" w:hAnsi="Times New Roman"/>
          <w:szCs w:val="22"/>
          <w:lang w:eastAsia="sk-SK"/>
        </w:rPr>
        <w:t xml:space="preserve">. </w:t>
      </w:r>
      <w:r w:rsidRPr="00C66720">
        <w:rPr>
          <w:rFonts w:ascii="Times New Roman" w:hAnsi="Times New Roman"/>
          <w:szCs w:val="22"/>
          <w:lang w:eastAsia="sk-SK"/>
        </w:rPr>
        <w:t xml:space="preserve">Zmena výšky rezerv v roku 2022 je v súlade s aktualizáciou odhadov očakávaných nákladov na vyradenie na základe odborných štúdií vypracovaných v roku 2022, zvýšená o vplyv uvoľňovania úroku a znížená o použitie rezervy na vyraďovanie jadrovej elektrárne A1 a V1 vo výške skutočných nákladov vynaložených počas roku 2022. </w:t>
      </w:r>
      <w:r w:rsidR="00054049">
        <w:rPr>
          <w:rFonts w:ascii="Times New Roman" w:hAnsi="Times New Roman"/>
          <w:szCs w:val="22"/>
          <w:lang w:eastAsia="sk-SK"/>
        </w:rPr>
        <w:t>Rezerva</w:t>
      </w:r>
      <w:r w:rsidR="005D4032" w:rsidRPr="00C66720">
        <w:rPr>
          <w:rFonts w:ascii="Times New Roman" w:hAnsi="Times New Roman"/>
          <w:szCs w:val="22"/>
          <w:lang w:eastAsia="sk-SK"/>
        </w:rPr>
        <w:t xml:space="preserve"> na vyraďovanie jadrových elektrární A1, V1, nereaktorových zariadení, skladovanie a trvalé uloženie vyhoretého jadrového paliva </w:t>
      </w:r>
      <w:r w:rsidR="00054049">
        <w:rPr>
          <w:rFonts w:ascii="Times New Roman" w:hAnsi="Times New Roman"/>
          <w:szCs w:val="22"/>
          <w:lang w:eastAsia="sk-SK"/>
        </w:rPr>
        <w:t>je vypočítaná</w:t>
      </w:r>
      <w:r w:rsidR="005D4032" w:rsidRPr="00C66720">
        <w:rPr>
          <w:rFonts w:ascii="Times New Roman" w:hAnsi="Times New Roman"/>
          <w:szCs w:val="22"/>
          <w:lang w:eastAsia="sk-SK"/>
        </w:rPr>
        <w:t xml:space="preserve"> </w:t>
      </w:r>
      <w:r w:rsidR="00054049">
        <w:rPr>
          <w:rFonts w:ascii="Times New Roman" w:hAnsi="Times New Roman"/>
          <w:szCs w:val="22"/>
          <w:lang w:eastAsia="sk-SK"/>
        </w:rPr>
        <w:t xml:space="preserve">do roku </w:t>
      </w:r>
      <w:r w:rsidR="005D4032" w:rsidRPr="00C66720">
        <w:rPr>
          <w:rFonts w:ascii="Times New Roman" w:hAnsi="Times New Roman"/>
          <w:szCs w:val="22"/>
          <w:lang w:eastAsia="sk-SK"/>
        </w:rPr>
        <w:t>2137.</w:t>
      </w:r>
    </w:p>
    <w:p w14:paraId="136A8070" w14:textId="1BC0A8A1" w:rsidR="008B7A72" w:rsidRDefault="008B7A72" w:rsidP="00C66720">
      <w:pPr>
        <w:spacing w:after="120" w:line="240" w:lineRule="auto"/>
        <w:jc w:val="both"/>
        <w:rPr>
          <w:rFonts w:ascii="Times New Roman" w:hAnsi="Times New Roman"/>
          <w:szCs w:val="22"/>
          <w:highlight w:val="yellow"/>
          <w:lang w:eastAsia="sk-SK"/>
        </w:rPr>
      </w:pPr>
      <w:r w:rsidRPr="00C66720">
        <w:rPr>
          <w:rFonts w:ascii="Times New Roman" w:hAnsi="Times New Roman"/>
          <w:szCs w:val="22"/>
          <w:lang w:eastAsia="sk-SK"/>
        </w:rPr>
        <w:t>V prípade ostatných subjektov súhrnného celku v porovnaní s predchádzajúcim rokom nedošlo k významnej zmene účtovných metód a zásad.</w:t>
      </w:r>
    </w:p>
    <w:p w14:paraId="29C5836C" w14:textId="7EC6625F" w:rsidR="002D6290" w:rsidRPr="00C66720" w:rsidRDefault="002D6290" w:rsidP="006636EE">
      <w:pPr>
        <w:spacing w:before="240" w:after="120" w:line="240" w:lineRule="auto"/>
        <w:jc w:val="both"/>
        <w:rPr>
          <w:rFonts w:ascii="Times New Roman" w:hAnsi="Times New Roman"/>
          <w:b/>
          <w:bCs/>
          <w:sz w:val="24"/>
          <w:szCs w:val="24"/>
        </w:rPr>
      </w:pPr>
      <w:r w:rsidRPr="00C66720">
        <w:rPr>
          <w:rFonts w:ascii="Times New Roman" w:hAnsi="Times New Roman"/>
          <w:b/>
          <w:bCs/>
          <w:sz w:val="24"/>
          <w:szCs w:val="24"/>
        </w:rPr>
        <w:t xml:space="preserve">III. </w:t>
      </w:r>
      <w:r w:rsidRPr="00C66720">
        <w:rPr>
          <w:rFonts w:ascii="Times New Roman" w:hAnsi="Times New Roman"/>
          <w:b/>
          <w:bCs/>
          <w:caps/>
          <w:sz w:val="24"/>
          <w:szCs w:val="24"/>
        </w:rPr>
        <w:t>Informácie o údajoch na strane aktív a pasív súvahy</w:t>
      </w:r>
    </w:p>
    <w:p w14:paraId="194F9E6D" w14:textId="77777777" w:rsidR="002D6290" w:rsidRPr="00C66720" w:rsidRDefault="00300B3C" w:rsidP="00EA68CC">
      <w:pPr>
        <w:spacing w:after="180" w:line="240" w:lineRule="auto"/>
        <w:ind w:left="425" w:hanging="425"/>
        <w:rPr>
          <w:rFonts w:ascii="Times New Roman" w:hAnsi="Times New Roman"/>
          <w:b/>
          <w:sz w:val="24"/>
          <w:szCs w:val="24"/>
          <w:lang w:eastAsia="sk-SK"/>
        </w:rPr>
      </w:pPr>
      <w:r w:rsidRPr="00C66720">
        <w:rPr>
          <w:rFonts w:ascii="Times New Roman" w:hAnsi="Times New Roman"/>
          <w:b/>
          <w:sz w:val="24"/>
          <w:szCs w:val="24"/>
          <w:lang w:eastAsia="sk-SK"/>
        </w:rPr>
        <w:t>AKTÍVA</w:t>
      </w:r>
    </w:p>
    <w:p w14:paraId="1E7D8D6C" w14:textId="10F50BE3" w:rsidR="002D6290" w:rsidRPr="00C66720" w:rsidRDefault="002D6290" w:rsidP="008F097E">
      <w:pPr>
        <w:spacing w:after="120" w:line="240" w:lineRule="auto"/>
        <w:jc w:val="both"/>
        <w:rPr>
          <w:rFonts w:ascii="Times New Roman" w:hAnsi="Times New Roman"/>
          <w:szCs w:val="22"/>
          <w:lang w:eastAsia="sk-SK"/>
        </w:rPr>
      </w:pPr>
      <w:r w:rsidRPr="00C66720">
        <w:rPr>
          <w:rFonts w:ascii="Times New Roman" w:hAnsi="Times New Roman"/>
          <w:szCs w:val="22"/>
          <w:lang w:eastAsia="sk-SK"/>
        </w:rPr>
        <w:t>Cel</w:t>
      </w:r>
      <w:r w:rsidR="007E7F4B" w:rsidRPr="00C66720">
        <w:rPr>
          <w:rFonts w:ascii="Times New Roman" w:hAnsi="Times New Roman"/>
          <w:szCs w:val="22"/>
          <w:lang w:eastAsia="sk-SK"/>
        </w:rPr>
        <w:t>ko</w:t>
      </w:r>
      <w:r w:rsidR="00331463" w:rsidRPr="00C66720">
        <w:rPr>
          <w:rFonts w:ascii="Times New Roman" w:hAnsi="Times New Roman"/>
          <w:szCs w:val="22"/>
          <w:lang w:eastAsia="sk-SK"/>
        </w:rPr>
        <w:t>vé aktíva dosiahli k 31.12.2022</w:t>
      </w:r>
      <w:r w:rsidRPr="00C66720">
        <w:rPr>
          <w:rFonts w:ascii="Times New Roman" w:hAnsi="Times New Roman"/>
          <w:szCs w:val="22"/>
          <w:lang w:eastAsia="sk-SK"/>
        </w:rPr>
        <w:t xml:space="preserve"> hodnotu </w:t>
      </w:r>
      <w:r w:rsidR="00331463" w:rsidRPr="00C66720">
        <w:rPr>
          <w:rFonts w:ascii="Times New Roman" w:hAnsi="Times New Roman"/>
          <w:szCs w:val="22"/>
          <w:lang w:eastAsia="sk-SK"/>
        </w:rPr>
        <w:t>85</w:t>
      </w:r>
      <w:r w:rsidR="00B07BC0" w:rsidRPr="00C66720">
        <w:rPr>
          <w:rFonts w:ascii="Times New Roman" w:hAnsi="Times New Roman"/>
          <w:szCs w:val="22"/>
          <w:lang w:eastAsia="sk-SK"/>
        </w:rPr>
        <w:t> 585 279</w:t>
      </w:r>
      <w:r w:rsidR="00424DE9" w:rsidRPr="00C66720">
        <w:rPr>
          <w:rFonts w:ascii="Times New Roman" w:hAnsi="Times New Roman"/>
          <w:szCs w:val="22"/>
          <w:lang w:eastAsia="sk-SK"/>
        </w:rPr>
        <w:t xml:space="preserve"> tis. eur</w:t>
      </w:r>
      <w:r w:rsidR="00331463" w:rsidRPr="00C66720">
        <w:rPr>
          <w:rFonts w:ascii="Times New Roman" w:hAnsi="Times New Roman"/>
          <w:szCs w:val="22"/>
          <w:lang w:eastAsia="sk-SK"/>
        </w:rPr>
        <w:t>, čo je v porovnaní s rokom 2021</w:t>
      </w:r>
      <w:r w:rsidRPr="00C66720">
        <w:rPr>
          <w:rFonts w:ascii="Times New Roman" w:hAnsi="Times New Roman"/>
          <w:szCs w:val="22"/>
          <w:lang w:eastAsia="sk-SK"/>
        </w:rPr>
        <w:t xml:space="preserve"> </w:t>
      </w:r>
      <w:r w:rsidR="007E7F4B" w:rsidRPr="00C66720">
        <w:rPr>
          <w:rFonts w:ascii="Times New Roman" w:hAnsi="Times New Roman"/>
          <w:szCs w:val="22"/>
          <w:lang w:eastAsia="sk-SK"/>
        </w:rPr>
        <w:t>viac</w:t>
      </w:r>
      <w:r w:rsidR="00270FCB" w:rsidRPr="00C66720">
        <w:rPr>
          <w:rFonts w:ascii="Times New Roman" w:hAnsi="Times New Roman"/>
          <w:szCs w:val="22"/>
          <w:lang w:eastAsia="sk-SK"/>
        </w:rPr>
        <w:t xml:space="preserve"> o</w:t>
      </w:r>
      <w:r w:rsidR="009F56A6" w:rsidRPr="00C66720">
        <w:rPr>
          <w:rFonts w:ascii="Times New Roman" w:hAnsi="Times New Roman"/>
          <w:szCs w:val="22"/>
          <w:lang w:eastAsia="sk-SK"/>
        </w:rPr>
        <w:t> 6</w:t>
      </w:r>
      <w:r w:rsidR="003A3150" w:rsidRPr="00C66720">
        <w:rPr>
          <w:rFonts w:ascii="Times New Roman" w:hAnsi="Times New Roman"/>
          <w:szCs w:val="22"/>
          <w:lang w:eastAsia="sk-SK"/>
        </w:rPr>
        <w:t> 517 441</w:t>
      </w:r>
      <w:r w:rsidR="00DD0B59" w:rsidRPr="00C66720">
        <w:rPr>
          <w:rFonts w:ascii="Times New Roman" w:hAnsi="Times New Roman"/>
          <w:szCs w:val="22"/>
          <w:lang w:eastAsia="sk-SK"/>
        </w:rPr>
        <w:t xml:space="preserve">  </w:t>
      </w:r>
      <w:r w:rsidR="00CD668A" w:rsidRPr="00C66720">
        <w:rPr>
          <w:rFonts w:ascii="Times New Roman" w:hAnsi="Times New Roman"/>
          <w:szCs w:val="22"/>
          <w:lang w:eastAsia="sk-SK"/>
        </w:rPr>
        <w:t xml:space="preserve">tis. </w:t>
      </w:r>
      <w:r w:rsidRPr="00C66720">
        <w:rPr>
          <w:rFonts w:ascii="Times New Roman" w:hAnsi="Times New Roman"/>
          <w:szCs w:val="22"/>
          <w:lang w:eastAsia="sk-SK"/>
        </w:rPr>
        <w:t>eur</w:t>
      </w:r>
      <w:r w:rsidR="000967C3" w:rsidRPr="00C66720">
        <w:rPr>
          <w:rFonts w:ascii="Times New Roman" w:hAnsi="Times New Roman"/>
          <w:szCs w:val="22"/>
          <w:lang w:eastAsia="sk-SK"/>
        </w:rPr>
        <w:t xml:space="preserve">. </w:t>
      </w:r>
      <w:r w:rsidRPr="00C66720">
        <w:rPr>
          <w:rFonts w:ascii="Times New Roman" w:hAnsi="Times New Roman"/>
          <w:szCs w:val="22"/>
          <w:lang w:eastAsia="sk-SK"/>
        </w:rPr>
        <w:t>Celkové aktíva sú tvorené najmä dlhodobým hmotným majetkom (</w:t>
      </w:r>
      <w:r w:rsidR="00C2298E" w:rsidRPr="00C66720">
        <w:rPr>
          <w:rFonts w:ascii="Times New Roman" w:hAnsi="Times New Roman"/>
          <w:szCs w:val="22"/>
          <w:lang w:eastAsia="sk-SK"/>
        </w:rPr>
        <w:t>6</w:t>
      </w:r>
      <w:r w:rsidR="003A3150" w:rsidRPr="00C66720">
        <w:rPr>
          <w:rFonts w:ascii="Times New Roman" w:hAnsi="Times New Roman"/>
          <w:szCs w:val="22"/>
          <w:lang w:eastAsia="sk-SK"/>
        </w:rPr>
        <w:t>3,8</w:t>
      </w:r>
      <w:r w:rsidR="000967C3" w:rsidRPr="00C66720">
        <w:rPr>
          <w:rFonts w:ascii="Times New Roman" w:hAnsi="Times New Roman"/>
          <w:szCs w:val="22"/>
          <w:lang w:eastAsia="sk-SK"/>
        </w:rPr>
        <w:t xml:space="preserve"> </w:t>
      </w:r>
      <w:r w:rsidRPr="00C66720">
        <w:rPr>
          <w:rFonts w:ascii="Times New Roman" w:hAnsi="Times New Roman"/>
          <w:szCs w:val="22"/>
          <w:lang w:eastAsia="sk-SK"/>
        </w:rPr>
        <w:t>%),</w:t>
      </w:r>
      <w:r w:rsidR="000967C3" w:rsidRPr="00C66720">
        <w:rPr>
          <w:rFonts w:ascii="Times New Roman" w:hAnsi="Times New Roman"/>
          <w:szCs w:val="22"/>
          <w:lang w:eastAsia="sk-SK"/>
        </w:rPr>
        <w:t xml:space="preserve"> </w:t>
      </w:r>
      <w:r w:rsidR="00C2298E" w:rsidRPr="00C66720">
        <w:rPr>
          <w:rFonts w:ascii="Times New Roman" w:hAnsi="Times New Roman"/>
          <w:szCs w:val="22"/>
          <w:lang w:eastAsia="sk-SK"/>
        </w:rPr>
        <w:t>pohľadávkami (</w:t>
      </w:r>
      <w:r w:rsidR="00C84F44" w:rsidRPr="00C66720">
        <w:rPr>
          <w:rFonts w:ascii="Times New Roman" w:hAnsi="Times New Roman"/>
          <w:szCs w:val="22"/>
          <w:lang w:eastAsia="sk-SK"/>
        </w:rPr>
        <w:t>16,3</w:t>
      </w:r>
      <w:r w:rsidR="00C2298E" w:rsidRPr="00C66720">
        <w:rPr>
          <w:rFonts w:ascii="Times New Roman" w:hAnsi="Times New Roman"/>
          <w:szCs w:val="22"/>
          <w:lang w:eastAsia="sk-SK"/>
        </w:rPr>
        <w:t xml:space="preserve"> %), </w:t>
      </w:r>
      <w:r w:rsidR="00C84F44" w:rsidRPr="00C66720">
        <w:rPr>
          <w:rFonts w:ascii="Times New Roman" w:hAnsi="Times New Roman"/>
          <w:szCs w:val="22"/>
          <w:lang w:eastAsia="sk-SK"/>
        </w:rPr>
        <w:t xml:space="preserve">dlhodobým finančným majetkom (8,4 %) a </w:t>
      </w:r>
      <w:r w:rsidR="00C2298E" w:rsidRPr="00C66720">
        <w:rPr>
          <w:rFonts w:ascii="Times New Roman" w:hAnsi="Times New Roman"/>
          <w:szCs w:val="22"/>
          <w:lang w:eastAsia="sk-SK"/>
        </w:rPr>
        <w:t>finančnými účtami</w:t>
      </w:r>
      <w:r w:rsidR="00550FAA" w:rsidRPr="00C66720">
        <w:rPr>
          <w:rFonts w:ascii="Times New Roman" w:hAnsi="Times New Roman"/>
          <w:szCs w:val="22"/>
          <w:lang w:eastAsia="sk-SK"/>
        </w:rPr>
        <w:t xml:space="preserve"> vrátane krátkodobého finančného majetku</w:t>
      </w:r>
      <w:r w:rsidR="00C2298E" w:rsidRPr="00C66720">
        <w:rPr>
          <w:rFonts w:ascii="Times New Roman" w:hAnsi="Times New Roman"/>
          <w:szCs w:val="22"/>
          <w:lang w:eastAsia="sk-SK"/>
        </w:rPr>
        <w:t xml:space="preserve"> (</w:t>
      </w:r>
      <w:r w:rsidR="00C84F44" w:rsidRPr="00C66720">
        <w:rPr>
          <w:rFonts w:ascii="Times New Roman" w:hAnsi="Times New Roman"/>
          <w:szCs w:val="22"/>
          <w:lang w:eastAsia="sk-SK"/>
        </w:rPr>
        <w:t>6</w:t>
      </w:r>
      <w:r w:rsidR="005E3F79" w:rsidRPr="00C66720">
        <w:rPr>
          <w:rFonts w:ascii="Times New Roman" w:hAnsi="Times New Roman"/>
          <w:szCs w:val="22"/>
          <w:lang w:eastAsia="sk-SK"/>
        </w:rPr>
        <w:t xml:space="preserve"> %)</w:t>
      </w:r>
      <w:r w:rsidR="00C84F44" w:rsidRPr="00C66720">
        <w:rPr>
          <w:rFonts w:ascii="Times New Roman" w:hAnsi="Times New Roman"/>
          <w:szCs w:val="22"/>
          <w:lang w:eastAsia="sk-SK"/>
        </w:rPr>
        <w:t>.</w:t>
      </w:r>
      <w:r w:rsidRPr="00C66720">
        <w:rPr>
          <w:rFonts w:ascii="Times New Roman" w:hAnsi="Times New Roman"/>
          <w:szCs w:val="22"/>
          <w:lang w:eastAsia="sk-SK"/>
        </w:rPr>
        <w:t xml:space="preserve"> </w:t>
      </w:r>
    </w:p>
    <w:p w14:paraId="71DA8E2F" w14:textId="11B1A1A2" w:rsidR="00C35F58" w:rsidRPr="00C66720" w:rsidRDefault="00BC1462" w:rsidP="008F097E">
      <w:pPr>
        <w:spacing w:after="120" w:line="240" w:lineRule="auto"/>
        <w:jc w:val="both"/>
        <w:rPr>
          <w:rFonts w:ascii="Times New Roman" w:hAnsi="Times New Roman"/>
          <w:b/>
          <w:szCs w:val="22"/>
          <w:lang w:eastAsia="sk-SK"/>
        </w:rPr>
      </w:pPr>
      <w:r w:rsidRPr="00C66720">
        <w:rPr>
          <w:rFonts w:ascii="Times New Roman" w:hAnsi="Times New Roman"/>
          <w:b/>
          <w:szCs w:val="22"/>
          <w:lang w:eastAsia="sk-SK"/>
        </w:rPr>
        <w:t xml:space="preserve">V medziročnom porovnaní </w:t>
      </w:r>
      <w:r w:rsidR="00C35F58" w:rsidRPr="00C66720">
        <w:rPr>
          <w:rFonts w:ascii="Times New Roman" w:hAnsi="Times New Roman"/>
          <w:b/>
          <w:szCs w:val="22"/>
          <w:lang w:eastAsia="sk-SK"/>
        </w:rPr>
        <w:t xml:space="preserve">vzrástli najmä </w:t>
      </w:r>
      <w:r w:rsidR="0004285A" w:rsidRPr="00C66720">
        <w:rPr>
          <w:rFonts w:ascii="Times New Roman" w:hAnsi="Times New Roman"/>
          <w:b/>
          <w:szCs w:val="22"/>
          <w:lang w:eastAsia="sk-SK"/>
        </w:rPr>
        <w:t xml:space="preserve">krátkodobé </w:t>
      </w:r>
      <w:r w:rsidR="00C35F58" w:rsidRPr="00C66720">
        <w:rPr>
          <w:rFonts w:ascii="Times New Roman" w:hAnsi="Times New Roman"/>
          <w:b/>
          <w:szCs w:val="22"/>
          <w:lang w:eastAsia="sk-SK"/>
        </w:rPr>
        <w:t>pohľadávky o 5</w:t>
      </w:r>
      <w:r w:rsidR="00695E52" w:rsidRPr="00C66720">
        <w:rPr>
          <w:rFonts w:ascii="Times New Roman" w:hAnsi="Times New Roman"/>
          <w:b/>
          <w:szCs w:val="22"/>
          <w:lang w:eastAsia="sk-SK"/>
        </w:rPr>
        <w:t> </w:t>
      </w:r>
      <w:r w:rsidR="0004285A" w:rsidRPr="00C66720">
        <w:rPr>
          <w:rFonts w:ascii="Times New Roman" w:hAnsi="Times New Roman"/>
          <w:b/>
          <w:szCs w:val="22"/>
          <w:lang w:eastAsia="sk-SK"/>
        </w:rPr>
        <w:t>43</w:t>
      </w:r>
      <w:r w:rsidR="00695E52" w:rsidRPr="00C66720">
        <w:rPr>
          <w:rFonts w:ascii="Times New Roman" w:hAnsi="Times New Roman"/>
          <w:b/>
          <w:szCs w:val="22"/>
          <w:lang w:eastAsia="sk-SK"/>
        </w:rPr>
        <w:t>8 008</w:t>
      </w:r>
      <w:r w:rsidR="00C35F58" w:rsidRPr="00C66720">
        <w:rPr>
          <w:rFonts w:ascii="Times New Roman" w:hAnsi="Times New Roman"/>
          <w:b/>
          <w:szCs w:val="22"/>
          <w:lang w:eastAsia="sk-SK"/>
        </w:rPr>
        <w:t xml:space="preserve"> tis. eur, dlhodobý hmotný majetok o 1</w:t>
      </w:r>
      <w:r w:rsidR="00932959" w:rsidRPr="00C66720">
        <w:rPr>
          <w:rFonts w:ascii="Times New Roman" w:hAnsi="Times New Roman"/>
          <w:b/>
          <w:szCs w:val="22"/>
          <w:lang w:eastAsia="sk-SK"/>
        </w:rPr>
        <w:t> </w:t>
      </w:r>
      <w:r w:rsidR="00C35F58" w:rsidRPr="00C66720">
        <w:rPr>
          <w:rFonts w:ascii="Times New Roman" w:hAnsi="Times New Roman"/>
          <w:b/>
          <w:szCs w:val="22"/>
          <w:lang w:eastAsia="sk-SK"/>
        </w:rPr>
        <w:t>88</w:t>
      </w:r>
      <w:r w:rsidR="00932959" w:rsidRPr="00C66720">
        <w:rPr>
          <w:rFonts w:ascii="Times New Roman" w:hAnsi="Times New Roman"/>
          <w:b/>
          <w:szCs w:val="22"/>
          <w:lang w:eastAsia="sk-SK"/>
        </w:rPr>
        <w:t>8 206</w:t>
      </w:r>
      <w:r w:rsidR="00C35F58" w:rsidRPr="00C66720">
        <w:rPr>
          <w:rFonts w:ascii="Times New Roman" w:hAnsi="Times New Roman"/>
          <w:b/>
          <w:szCs w:val="22"/>
          <w:lang w:eastAsia="sk-SK"/>
        </w:rPr>
        <w:t xml:space="preserve"> tis. eur a zásoby o 1 546</w:t>
      </w:r>
      <w:r w:rsidR="00932959" w:rsidRPr="00C66720">
        <w:rPr>
          <w:rFonts w:ascii="Times New Roman" w:hAnsi="Times New Roman"/>
          <w:b/>
          <w:szCs w:val="22"/>
          <w:lang w:eastAsia="sk-SK"/>
        </w:rPr>
        <w:t xml:space="preserve"> 254 </w:t>
      </w:r>
      <w:r w:rsidR="00C35F58" w:rsidRPr="00C66720">
        <w:rPr>
          <w:rFonts w:ascii="Times New Roman" w:hAnsi="Times New Roman"/>
          <w:b/>
          <w:szCs w:val="22"/>
          <w:lang w:eastAsia="sk-SK"/>
        </w:rPr>
        <w:t xml:space="preserve">tis. eur. </w:t>
      </w:r>
      <w:r w:rsidR="005B1C9E" w:rsidRPr="00C66720">
        <w:rPr>
          <w:rFonts w:ascii="Times New Roman" w:hAnsi="Times New Roman"/>
          <w:b/>
          <w:szCs w:val="22"/>
          <w:lang w:eastAsia="sk-SK"/>
        </w:rPr>
        <w:t xml:space="preserve">Naopak, k medziročnému poklesu došlo najmä </w:t>
      </w:r>
      <w:r w:rsidR="0004285A" w:rsidRPr="00C66720">
        <w:rPr>
          <w:rFonts w:ascii="Times New Roman" w:hAnsi="Times New Roman"/>
          <w:b/>
          <w:szCs w:val="22"/>
          <w:lang w:eastAsia="sk-SK"/>
        </w:rPr>
        <w:t>v prípade zostatkov účtov Štátnej pokladnice o 4 339 139 tis. eur, dlhodobých pohľadávok o</w:t>
      </w:r>
      <w:r w:rsidR="00A010E1" w:rsidRPr="00C66720">
        <w:rPr>
          <w:rFonts w:ascii="Times New Roman" w:hAnsi="Times New Roman"/>
          <w:b/>
          <w:szCs w:val="22"/>
          <w:lang w:eastAsia="sk-SK"/>
        </w:rPr>
        <w:t> </w:t>
      </w:r>
      <w:r w:rsidR="0004285A" w:rsidRPr="00C66720">
        <w:rPr>
          <w:rFonts w:ascii="Times New Roman" w:hAnsi="Times New Roman"/>
          <w:b/>
          <w:szCs w:val="22"/>
          <w:lang w:eastAsia="sk-SK"/>
        </w:rPr>
        <w:t>6</w:t>
      </w:r>
      <w:r w:rsidR="00A010E1" w:rsidRPr="00C66720">
        <w:rPr>
          <w:rFonts w:ascii="Times New Roman" w:hAnsi="Times New Roman"/>
          <w:b/>
          <w:szCs w:val="22"/>
          <w:lang w:eastAsia="sk-SK"/>
        </w:rPr>
        <w:t>2 147</w:t>
      </w:r>
      <w:r w:rsidR="0004285A" w:rsidRPr="00C66720">
        <w:rPr>
          <w:rFonts w:ascii="Times New Roman" w:hAnsi="Times New Roman"/>
          <w:b/>
          <w:szCs w:val="22"/>
          <w:lang w:eastAsia="sk-SK"/>
        </w:rPr>
        <w:t xml:space="preserve"> tis. eur a pohľadávok zo zúčtovania s</w:t>
      </w:r>
      <w:r w:rsidR="00A010E1" w:rsidRPr="00C66720">
        <w:rPr>
          <w:rFonts w:ascii="Times New Roman" w:hAnsi="Times New Roman"/>
          <w:b/>
          <w:szCs w:val="22"/>
          <w:lang w:eastAsia="sk-SK"/>
        </w:rPr>
        <w:t> </w:t>
      </w:r>
      <w:r w:rsidR="0004285A" w:rsidRPr="00C66720">
        <w:rPr>
          <w:rFonts w:ascii="Times New Roman" w:hAnsi="Times New Roman"/>
          <w:b/>
          <w:szCs w:val="22"/>
          <w:lang w:eastAsia="sk-SK"/>
        </w:rPr>
        <w:t>EÚ</w:t>
      </w:r>
      <w:r w:rsidR="00A010E1" w:rsidRPr="00C66720">
        <w:rPr>
          <w:rFonts w:ascii="Times New Roman" w:hAnsi="Times New Roman"/>
          <w:b/>
          <w:szCs w:val="22"/>
          <w:lang w:eastAsia="sk-SK"/>
        </w:rPr>
        <w:t xml:space="preserve"> o 61 589 tis. eur</w:t>
      </w:r>
      <w:r w:rsidR="0004285A" w:rsidRPr="00C66720">
        <w:rPr>
          <w:rFonts w:ascii="Times New Roman" w:hAnsi="Times New Roman"/>
          <w:b/>
          <w:szCs w:val="22"/>
          <w:lang w:eastAsia="sk-SK"/>
        </w:rPr>
        <w:t>.</w:t>
      </w:r>
    </w:p>
    <w:p w14:paraId="25F0EFB1" w14:textId="73BAAD5C" w:rsidR="00AD5262" w:rsidRPr="00C66720" w:rsidRDefault="00AD5262" w:rsidP="00AD5262">
      <w:pPr>
        <w:spacing w:after="120" w:line="240" w:lineRule="auto"/>
        <w:jc w:val="both"/>
        <w:rPr>
          <w:rFonts w:ascii="Times New Roman" w:hAnsi="Times New Roman"/>
          <w:szCs w:val="22"/>
          <w:highlight w:val="yellow"/>
          <w:lang w:eastAsia="sk-SK"/>
        </w:rPr>
      </w:pPr>
      <w:r w:rsidRPr="00C66720">
        <w:rPr>
          <w:rFonts w:ascii="Times New Roman" w:hAnsi="Times New Roman"/>
          <w:szCs w:val="22"/>
          <w:u w:val="single"/>
          <w:lang w:eastAsia="sk-SK"/>
        </w:rPr>
        <w:t>Prírastok hodnoty</w:t>
      </w:r>
      <w:r w:rsidR="00194266" w:rsidRPr="00C66720">
        <w:rPr>
          <w:rFonts w:ascii="Times New Roman" w:hAnsi="Times New Roman"/>
          <w:szCs w:val="22"/>
          <w:u w:val="single"/>
          <w:lang w:eastAsia="sk-SK"/>
        </w:rPr>
        <w:t xml:space="preserve"> krátkodobých</w:t>
      </w:r>
      <w:r w:rsidRPr="00C66720">
        <w:rPr>
          <w:rFonts w:ascii="Times New Roman" w:hAnsi="Times New Roman"/>
          <w:szCs w:val="22"/>
          <w:u w:val="single"/>
          <w:lang w:eastAsia="sk-SK"/>
        </w:rPr>
        <w:t xml:space="preserve"> pohľadávok</w:t>
      </w:r>
      <w:r w:rsidRPr="00C66720">
        <w:rPr>
          <w:rFonts w:ascii="Times New Roman" w:hAnsi="Times New Roman"/>
          <w:szCs w:val="22"/>
          <w:lang w:eastAsia="sk-SK"/>
        </w:rPr>
        <w:t xml:space="preserve"> o</w:t>
      </w:r>
      <w:r w:rsidR="00194266" w:rsidRPr="00C66720">
        <w:rPr>
          <w:rFonts w:ascii="Times New Roman" w:hAnsi="Times New Roman"/>
          <w:szCs w:val="22"/>
          <w:lang w:eastAsia="sk-SK"/>
        </w:rPr>
        <w:t> 5</w:t>
      </w:r>
      <w:r w:rsidR="006B7E4E" w:rsidRPr="00C66720">
        <w:rPr>
          <w:rFonts w:ascii="Times New Roman" w:hAnsi="Times New Roman"/>
          <w:szCs w:val="22"/>
          <w:lang w:eastAsia="sk-SK"/>
        </w:rPr>
        <w:t> </w:t>
      </w:r>
      <w:r w:rsidR="00194266" w:rsidRPr="00C66720">
        <w:rPr>
          <w:rFonts w:ascii="Times New Roman" w:hAnsi="Times New Roman"/>
          <w:szCs w:val="22"/>
          <w:lang w:eastAsia="sk-SK"/>
        </w:rPr>
        <w:t>43</w:t>
      </w:r>
      <w:r w:rsidR="006B7E4E" w:rsidRPr="00C66720">
        <w:rPr>
          <w:rFonts w:ascii="Times New Roman" w:hAnsi="Times New Roman"/>
          <w:szCs w:val="22"/>
          <w:lang w:eastAsia="sk-SK"/>
        </w:rPr>
        <w:t>8 008</w:t>
      </w:r>
      <w:r w:rsidRPr="00C66720">
        <w:rPr>
          <w:rFonts w:ascii="Times New Roman" w:hAnsi="Times New Roman"/>
          <w:szCs w:val="22"/>
          <w:lang w:eastAsia="sk-SK"/>
        </w:rPr>
        <w:t xml:space="preserve"> tis. eur bol spôsobený najmä </w:t>
      </w:r>
      <w:r w:rsidR="00722313" w:rsidRPr="00C66720">
        <w:rPr>
          <w:rFonts w:ascii="Times New Roman" w:hAnsi="Times New Roman"/>
          <w:szCs w:val="22"/>
          <w:lang w:eastAsia="sk-SK"/>
        </w:rPr>
        <w:t>vyššími ostatnými pohľadávkami o 1</w:t>
      </w:r>
      <w:r w:rsidR="00F23C71" w:rsidRPr="00C66720">
        <w:rPr>
          <w:rFonts w:ascii="Times New Roman" w:hAnsi="Times New Roman"/>
          <w:szCs w:val="22"/>
          <w:lang w:eastAsia="sk-SK"/>
        </w:rPr>
        <w:t> </w:t>
      </w:r>
      <w:r w:rsidR="00722313" w:rsidRPr="00C66720">
        <w:rPr>
          <w:rFonts w:ascii="Times New Roman" w:hAnsi="Times New Roman"/>
          <w:szCs w:val="22"/>
          <w:lang w:eastAsia="sk-SK"/>
        </w:rPr>
        <w:t>14</w:t>
      </w:r>
      <w:r w:rsidR="00F23C71" w:rsidRPr="00C66720">
        <w:rPr>
          <w:rFonts w:ascii="Times New Roman" w:hAnsi="Times New Roman"/>
          <w:szCs w:val="22"/>
          <w:lang w:eastAsia="sk-SK"/>
        </w:rPr>
        <w:t>8 670</w:t>
      </w:r>
      <w:r w:rsidR="00722313" w:rsidRPr="00C66720">
        <w:rPr>
          <w:rFonts w:ascii="Times New Roman" w:hAnsi="Times New Roman"/>
          <w:szCs w:val="22"/>
          <w:lang w:eastAsia="sk-SK"/>
        </w:rPr>
        <w:t xml:space="preserve"> tis. eur najmä v dôsledku akrualizácie predpisov poistného Sociálnej poisťovne o 1 092 967 tis. eur</w:t>
      </w:r>
      <w:r w:rsidR="005D4C9B" w:rsidRPr="00C66720">
        <w:rPr>
          <w:rFonts w:ascii="Times New Roman" w:hAnsi="Times New Roman"/>
          <w:szCs w:val="22"/>
          <w:lang w:eastAsia="sk-SK"/>
        </w:rPr>
        <w:t xml:space="preserve"> a</w:t>
      </w:r>
      <w:r w:rsidR="00722313" w:rsidRPr="00C66720">
        <w:rPr>
          <w:rFonts w:ascii="Times New Roman" w:hAnsi="Times New Roman"/>
          <w:szCs w:val="22"/>
          <w:lang w:eastAsia="sk-SK"/>
        </w:rPr>
        <w:t xml:space="preserve"> </w:t>
      </w:r>
      <w:r w:rsidRPr="00C66720">
        <w:rPr>
          <w:rFonts w:ascii="Times New Roman" w:hAnsi="Times New Roman"/>
          <w:szCs w:val="22"/>
          <w:lang w:eastAsia="sk-SK"/>
        </w:rPr>
        <w:t>vyššími úložkami Ministerstva financií SR v komerčných bankách, medziročne viac o</w:t>
      </w:r>
      <w:r w:rsidR="005D4C9B" w:rsidRPr="00C66720">
        <w:rPr>
          <w:rFonts w:ascii="Times New Roman" w:hAnsi="Times New Roman"/>
          <w:szCs w:val="22"/>
          <w:lang w:eastAsia="sk-SK"/>
        </w:rPr>
        <w:t> 3 710 000 tis. eur.</w:t>
      </w:r>
      <w:r w:rsidR="00C52149">
        <w:rPr>
          <w:rFonts w:ascii="Times New Roman" w:hAnsi="Times New Roman"/>
          <w:szCs w:val="22"/>
          <w:lang w:eastAsia="sk-SK"/>
        </w:rPr>
        <w:t xml:space="preserve"> Prírastok pohľadávok Ministerstva financií SR z uloženia prostriedkov v komerčných bankách priamo súvisí s poklesom účtov Štátnej pokladnice zriadených v NBS z dôvodu zníženia stavu finančných prostriedkov na PM účte.</w:t>
      </w:r>
      <w:r w:rsidR="005D4C9B" w:rsidRPr="00C66720">
        <w:rPr>
          <w:rFonts w:ascii="Times New Roman" w:hAnsi="Times New Roman"/>
          <w:szCs w:val="22"/>
          <w:lang w:eastAsia="sk-SK"/>
        </w:rPr>
        <w:t xml:space="preserve"> Prírastok bol zaznamenaný aj v prípade pohľadávok voči odberateľom o 356 9</w:t>
      </w:r>
      <w:r w:rsidR="00F23C71" w:rsidRPr="00C66720">
        <w:rPr>
          <w:rFonts w:ascii="Times New Roman" w:hAnsi="Times New Roman"/>
          <w:szCs w:val="22"/>
          <w:lang w:eastAsia="sk-SK"/>
        </w:rPr>
        <w:t>98</w:t>
      </w:r>
      <w:r w:rsidR="005D4C9B" w:rsidRPr="00C66720">
        <w:rPr>
          <w:rFonts w:ascii="Times New Roman" w:hAnsi="Times New Roman"/>
          <w:szCs w:val="22"/>
          <w:lang w:eastAsia="sk-SK"/>
        </w:rPr>
        <w:t xml:space="preserve"> tis. eur, daňových a colných pohľadávok </w:t>
      </w:r>
      <w:r w:rsidR="002623A6">
        <w:rPr>
          <w:rFonts w:ascii="Times New Roman" w:hAnsi="Times New Roman"/>
          <w:szCs w:val="22"/>
          <w:lang w:eastAsia="sk-SK"/>
        </w:rPr>
        <w:br/>
      </w:r>
      <w:r w:rsidR="005D4C9B" w:rsidRPr="00C66720">
        <w:rPr>
          <w:rFonts w:ascii="Times New Roman" w:hAnsi="Times New Roman"/>
          <w:szCs w:val="22"/>
          <w:lang w:eastAsia="sk-SK"/>
        </w:rPr>
        <w:t>o 150 074 tis. eur a pohľadávok z poskytnutých prevádzkových preddavkov o 99 070 tis. eur. Medziročne boli nižšie pohľadávky z pevných termínovaných operácií o 156 254 tis. eur</w:t>
      </w:r>
      <w:r w:rsidR="00462D02" w:rsidRPr="00C66720">
        <w:rPr>
          <w:rFonts w:ascii="Times New Roman" w:hAnsi="Times New Roman"/>
          <w:szCs w:val="22"/>
          <w:lang w:eastAsia="sk-SK"/>
        </w:rPr>
        <w:t>,</w:t>
      </w:r>
      <w:r w:rsidR="005D4C9B" w:rsidRPr="00C66720">
        <w:rPr>
          <w:rFonts w:ascii="Times New Roman" w:hAnsi="Times New Roman"/>
          <w:szCs w:val="22"/>
          <w:lang w:eastAsia="sk-SK"/>
        </w:rPr>
        <w:t xml:space="preserve"> pohľadávky vyplývajúce </w:t>
      </w:r>
      <w:r w:rsidR="00C66720">
        <w:rPr>
          <w:rFonts w:ascii="Times New Roman" w:hAnsi="Times New Roman"/>
          <w:szCs w:val="22"/>
          <w:lang w:eastAsia="sk-SK"/>
        </w:rPr>
        <w:t>z</w:t>
      </w:r>
      <w:r w:rsidR="005D4C9B" w:rsidRPr="00C66720">
        <w:rPr>
          <w:rFonts w:ascii="Times New Roman" w:hAnsi="Times New Roman"/>
          <w:szCs w:val="22"/>
          <w:lang w:eastAsia="sk-SK"/>
        </w:rPr>
        <w:t xml:space="preserve"> transferov a ostatných zúčtovaní so subjektami mimo verejnej správy o 89 528 </w:t>
      </w:r>
      <w:r w:rsidR="00462D02" w:rsidRPr="00C66720">
        <w:rPr>
          <w:rFonts w:ascii="Times New Roman" w:hAnsi="Times New Roman"/>
          <w:szCs w:val="22"/>
          <w:lang w:eastAsia="sk-SK"/>
        </w:rPr>
        <w:t>tis. eur a pohľadávky zo zúčtovania s EÚ o 61 589 tis. eur.</w:t>
      </w:r>
      <w:r w:rsidR="005D4C9B" w:rsidRPr="00C66720">
        <w:rPr>
          <w:rFonts w:ascii="Times New Roman" w:hAnsi="Times New Roman"/>
          <w:szCs w:val="22"/>
          <w:lang w:eastAsia="sk-SK"/>
        </w:rPr>
        <w:t xml:space="preserve"> </w:t>
      </w:r>
    </w:p>
    <w:p w14:paraId="6F256AE9" w14:textId="390ABDAA" w:rsidR="005F330F" w:rsidRPr="00C66720" w:rsidRDefault="00AA2BEE" w:rsidP="008F097E">
      <w:pPr>
        <w:spacing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V rámci </w:t>
      </w:r>
      <w:r w:rsidR="002B5595" w:rsidRPr="00C66720">
        <w:rPr>
          <w:rFonts w:ascii="Times New Roman" w:hAnsi="Times New Roman"/>
          <w:szCs w:val="22"/>
          <w:u w:val="single"/>
          <w:lang w:eastAsia="sk-SK"/>
        </w:rPr>
        <w:t>dlhodobého hmotného majetku</w:t>
      </w:r>
      <w:r w:rsidR="002B5595" w:rsidRPr="00C66720">
        <w:rPr>
          <w:rFonts w:ascii="Times New Roman" w:hAnsi="Times New Roman"/>
          <w:szCs w:val="22"/>
          <w:lang w:eastAsia="sk-SK"/>
        </w:rPr>
        <w:t xml:space="preserve"> </w:t>
      </w:r>
      <w:r w:rsidR="0086466C">
        <w:rPr>
          <w:rFonts w:ascii="Times New Roman" w:hAnsi="Times New Roman"/>
          <w:szCs w:val="22"/>
          <w:lang w:eastAsia="sk-SK"/>
        </w:rPr>
        <w:t>zaznamenali</w:t>
      </w:r>
      <w:r w:rsidR="0086466C" w:rsidRPr="00C66720">
        <w:rPr>
          <w:rFonts w:ascii="Times New Roman" w:hAnsi="Times New Roman"/>
          <w:szCs w:val="22"/>
          <w:lang w:eastAsia="sk-SK"/>
        </w:rPr>
        <w:t xml:space="preserve"> </w:t>
      </w:r>
      <w:r w:rsidR="002B5595" w:rsidRPr="00C66720">
        <w:rPr>
          <w:rFonts w:ascii="Times New Roman" w:hAnsi="Times New Roman"/>
          <w:szCs w:val="22"/>
          <w:lang w:eastAsia="sk-SK"/>
        </w:rPr>
        <w:t xml:space="preserve">nárast </w:t>
      </w:r>
      <w:r w:rsidR="00111E45" w:rsidRPr="00C66720">
        <w:rPr>
          <w:rFonts w:ascii="Times New Roman" w:hAnsi="Times New Roman"/>
          <w:szCs w:val="22"/>
          <w:lang w:eastAsia="sk-SK"/>
        </w:rPr>
        <w:t xml:space="preserve">hodnoty </w:t>
      </w:r>
      <w:r w:rsidR="005F330F" w:rsidRPr="00C66720">
        <w:rPr>
          <w:rFonts w:ascii="Times New Roman" w:hAnsi="Times New Roman"/>
          <w:szCs w:val="22"/>
          <w:lang w:eastAsia="sk-SK"/>
        </w:rPr>
        <w:t xml:space="preserve">skoro </w:t>
      </w:r>
      <w:r w:rsidR="008D74FD" w:rsidRPr="00C66720">
        <w:rPr>
          <w:rFonts w:ascii="Times New Roman" w:hAnsi="Times New Roman"/>
          <w:szCs w:val="22"/>
          <w:lang w:eastAsia="sk-SK"/>
        </w:rPr>
        <w:t xml:space="preserve">všetky položky majetku, pričom najväčší nárast bol zaznamenaný najmä na: </w:t>
      </w:r>
      <w:r w:rsidR="00EA79B4" w:rsidRPr="00C66720">
        <w:rPr>
          <w:rFonts w:ascii="Times New Roman" w:hAnsi="Times New Roman"/>
          <w:szCs w:val="22"/>
          <w:lang w:eastAsia="sk-SK"/>
        </w:rPr>
        <w:t>poskytnuté preddavky na obstaranie dlhodobého hmotného majetku o 653 080 tis. eur, stavby o 552 849 tis. eur</w:t>
      </w:r>
      <w:r w:rsidR="007B7045" w:rsidRPr="00C66720">
        <w:rPr>
          <w:rFonts w:ascii="Times New Roman" w:hAnsi="Times New Roman"/>
          <w:szCs w:val="22"/>
          <w:lang w:eastAsia="sk-SK"/>
        </w:rPr>
        <w:t>, obstaranie dlhodobého hmotného majetku o </w:t>
      </w:r>
      <w:r w:rsidR="00B355E7" w:rsidRPr="00C66720">
        <w:rPr>
          <w:rFonts w:ascii="Times New Roman" w:hAnsi="Times New Roman"/>
          <w:szCs w:val="22"/>
          <w:lang w:eastAsia="sk-SK"/>
        </w:rPr>
        <w:t>504 322</w:t>
      </w:r>
      <w:r w:rsidR="007B7045" w:rsidRPr="00C66720">
        <w:rPr>
          <w:rFonts w:ascii="Times New Roman" w:hAnsi="Times New Roman"/>
          <w:szCs w:val="22"/>
          <w:lang w:eastAsia="sk-SK"/>
        </w:rPr>
        <w:t xml:space="preserve"> tis. eur a pozemky o 117 090 tis. eur. </w:t>
      </w:r>
      <w:r w:rsidR="005F330F" w:rsidRPr="00C66720">
        <w:rPr>
          <w:rFonts w:ascii="Times New Roman" w:hAnsi="Times New Roman"/>
          <w:szCs w:val="22"/>
          <w:lang w:eastAsia="sk-SK"/>
        </w:rPr>
        <w:t>Naopak pokles bol zaznamenaný na položke</w:t>
      </w:r>
      <w:r w:rsidR="007B7045" w:rsidRPr="00C66720">
        <w:rPr>
          <w:rFonts w:ascii="Times New Roman" w:hAnsi="Times New Roman"/>
          <w:szCs w:val="22"/>
          <w:lang w:eastAsia="sk-SK"/>
        </w:rPr>
        <w:t xml:space="preserve"> dopravné prostriedky o 43 7</w:t>
      </w:r>
      <w:r w:rsidR="00DE45AE" w:rsidRPr="00C66720">
        <w:rPr>
          <w:rFonts w:ascii="Times New Roman" w:hAnsi="Times New Roman"/>
          <w:szCs w:val="22"/>
          <w:lang w:eastAsia="sk-SK"/>
        </w:rPr>
        <w:t>17</w:t>
      </w:r>
      <w:r w:rsidR="007B7045" w:rsidRPr="00C66720">
        <w:rPr>
          <w:rFonts w:ascii="Times New Roman" w:hAnsi="Times New Roman"/>
          <w:szCs w:val="22"/>
          <w:lang w:eastAsia="sk-SK"/>
        </w:rPr>
        <w:t xml:space="preserve"> tis. eur v súvislosti s odpisovaním daného majetku. </w:t>
      </w:r>
      <w:r w:rsidR="00E11A6A" w:rsidRPr="00C66720">
        <w:rPr>
          <w:rFonts w:ascii="Times New Roman" w:hAnsi="Times New Roman"/>
          <w:szCs w:val="22"/>
          <w:lang w:eastAsia="sk-SK"/>
        </w:rPr>
        <w:t>Na celkovom náraste dlhodobého hmotného majetku sa podieľala najmä ústredná správa o</w:t>
      </w:r>
      <w:r w:rsidR="00E338A8" w:rsidRPr="00C66720">
        <w:rPr>
          <w:rFonts w:ascii="Times New Roman" w:hAnsi="Times New Roman"/>
          <w:szCs w:val="22"/>
          <w:lang w:eastAsia="sk-SK"/>
        </w:rPr>
        <w:t> 1 048 990</w:t>
      </w:r>
      <w:r w:rsidR="00E11A6A" w:rsidRPr="00C66720">
        <w:rPr>
          <w:rFonts w:ascii="Times New Roman" w:hAnsi="Times New Roman"/>
          <w:szCs w:val="22"/>
          <w:lang w:eastAsia="sk-SK"/>
        </w:rPr>
        <w:t xml:space="preserve"> tis. eur (v tom na položke </w:t>
      </w:r>
      <w:r w:rsidR="00E338A8" w:rsidRPr="00C66720">
        <w:rPr>
          <w:rFonts w:ascii="Times New Roman" w:hAnsi="Times New Roman"/>
          <w:szCs w:val="22"/>
          <w:lang w:eastAsia="sk-SK"/>
        </w:rPr>
        <w:t>poskytnuté preddavky na obstaranie dlhodobého hmotného majetku</w:t>
      </w:r>
      <w:r w:rsidR="00E11A6A" w:rsidRPr="00C66720">
        <w:rPr>
          <w:rFonts w:ascii="Times New Roman" w:hAnsi="Times New Roman"/>
          <w:szCs w:val="22"/>
          <w:lang w:eastAsia="sk-SK"/>
        </w:rPr>
        <w:t xml:space="preserve"> </w:t>
      </w:r>
      <w:r w:rsidR="00E338A8" w:rsidRPr="00C66720">
        <w:rPr>
          <w:rFonts w:ascii="Times New Roman" w:hAnsi="Times New Roman"/>
          <w:szCs w:val="22"/>
          <w:lang w:eastAsia="sk-SK"/>
        </w:rPr>
        <w:br/>
      </w:r>
      <w:r w:rsidR="00E11A6A" w:rsidRPr="00C66720">
        <w:rPr>
          <w:rFonts w:ascii="Times New Roman" w:hAnsi="Times New Roman"/>
          <w:szCs w:val="22"/>
          <w:lang w:eastAsia="sk-SK"/>
        </w:rPr>
        <w:t>o</w:t>
      </w:r>
      <w:r w:rsidR="00E338A8" w:rsidRPr="00C66720">
        <w:rPr>
          <w:rFonts w:ascii="Times New Roman" w:hAnsi="Times New Roman"/>
          <w:szCs w:val="22"/>
          <w:lang w:eastAsia="sk-SK"/>
        </w:rPr>
        <w:t> 636 584</w:t>
      </w:r>
      <w:r w:rsidR="00E11A6A" w:rsidRPr="00C66720">
        <w:rPr>
          <w:rFonts w:ascii="Times New Roman" w:hAnsi="Times New Roman"/>
          <w:szCs w:val="22"/>
          <w:lang w:eastAsia="sk-SK"/>
        </w:rPr>
        <w:t xml:space="preserve"> tis. eur).</w:t>
      </w:r>
    </w:p>
    <w:p w14:paraId="758FEA3F" w14:textId="02D7F173" w:rsidR="00995C46" w:rsidRPr="00C66720" w:rsidRDefault="00D51553" w:rsidP="00D51553">
      <w:pPr>
        <w:spacing w:after="120" w:line="240" w:lineRule="auto"/>
        <w:jc w:val="both"/>
        <w:rPr>
          <w:rFonts w:ascii="Times New Roman" w:hAnsi="Times New Roman"/>
          <w:szCs w:val="22"/>
          <w:lang w:eastAsia="sk-SK"/>
        </w:rPr>
      </w:pPr>
      <w:r w:rsidRPr="00C66720">
        <w:rPr>
          <w:rFonts w:ascii="Times New Roman" w:hAnsi="Times New Roman"/>
          <w:szCs w:val="22"/>
          <w:u w:val="single"/>
          <w:lang w:eastAsia="sk-SK"/>
        </w:rPr>
        <w:t>V zásobách</w:t>
      </w:r>
      <w:r w:rsidRPr="00C66720">
        <w:rPr>
          <w:rFonts w:ascii="Times New Roman" w:hAnsi="Times New Roman"/>
          <w:szCs w:val="22"/>
          <w:lang w:eastAsia="sk-SK"/>
        </w:rPr>
        <w:t xml:space="preserve">, ktoré medziročne vykazujú prírastok </w:t>
      </w:r>
      <w:r w:rsidR="00D50EF1" w:rsidRPr="00C66720">
        <w:rPr>
          <w:rFonts w:ascii="Times New Roman" w:hAnsi="Times New Roman"/>
          <w:szCs w:val="22"/>
          <w:lang w:eastAsia="sk-SK"/>
        </w:rPr>
        <w:t xml:space="preserve">1 546 </w:t>
      </w:r>
      <w:r w:rsidR="00C6022C" w:rsidRPr="00C66720">
        <w:rPr>
          <w:rFonts w:ascii="Times New Roman" w:hAnsi="Times New Roman"/>
          <w:szCs w:val="22"/>
          <w:lang w:eastAsia="sk-SK"/>
        </w:rPr>
        <w:t>253</w:t>
      </w:r>
      <w:r w:rsidRPr="00C66720">
        <w:rPr>
          <w:rFonts w:ascii="Times New Roman" w:hAnsi="Times New Roman"/>
          <w:szCs w:val="22"/>
          <w:lang w:eastAsia="sk-SK"/>
        </w:rPr>
        <w:t xml:space="preserve"> tis. eur došlo k prírastku hodnoty </w:t>
      </w:r>
      <w:r w:rsidR="00995C46" w:rsidRPr="00C66720">
        <w:rPr>
          <w:rFonts w:ascii="Times New Roman" w:hAnsi="Times New Roman"/>
          <w:szCs w:val="22"/>
          <w:lang w:eastAsia="sk-SK"/>
        </w:rPr>
        <w:t>výrobkov o 1 355 161 tis. eur</w:t>
      </w:r>
      <w:r w:rsidR="00C172F3" w:rsidRPr="00C66720">
        <w:rPr>
          <w:rFonts w:ascii="Times New Roman" w:hAnsi="Times New Roman"/>
          <w:szCs w:val="22"/>
          <w:lang w:eastAsia="sk-SK"/>
        </w:rPr>
        <w:t xml:space="preserve"> (z toho v ústrednej správe o 1 354 987 tis. eur)</w:t>
      </w:r>
      <w:r w:rsidR="00995C46" w:rsidRPr="00C66720">
        <w:rPr>
          <w:rFonts w:ascii="Times New Roman" w:hAnsi="Times New Roman"/>
          <w:szCs w:val="22"/>
          <w:lang w:eastAsia="sk-SK"/>
        </w:rPr>
        <w:t>, materiálu o 155 </w:t>
      </w:r>
      <w:r w:rsidR="004F2219" w:rsidRPr="00C66720">
        <w:rPr>
          <w:rFonts w:ascii="Times New Roman" w:hAnsi="Times New Roman"/>
          <w:szCs w:val="22"/>
          <w:lang w:eastAsia="sk-SK"/>
        </w:rPr>
        <w:t>413</w:t>
      </w:r>
      <w:r w:rsidR="00995C46" w:rsidRPr="00C66720">
        <w:rPr>
          <w:rFonts w:ascii="Times New Roman" w:hAnsi="Times New Roman"/>
          <w:szCs w:val="22"/>
          <w:lang w:eastAsia="sk-SK"/>
        </w:rPr>
        <w:t xml:space="preserve"> tis. eur, pričom hodnota tovaru poklesla o 13 </w:t>
      </w:r>
      <w:r w:rsidR="004F2219" w:rsidRPr="00C66720">
        <w:rPr>
          <w:rFonts w:ascii="Times New Roman" w:hAnsi="Times New Roman"/>
          <w:szCs w:val="22"/>
          <w:lang w:eastAsia="sk-SK"/>
        </w:rPr>
        <w:t>523</w:t>
      </w:r>
      <w:r w:rsidR="00995C46" w:rsidRPr="00C66720">
        <w:rPr>
          <w:rFonts w:ascii="Times New Roman" w:hAnsi="Times New Roman"/>
          <w:szCs w:val="22"/>
          <w:lang w:eastAsia="sk-SK"/>
        </w:rPr>
        <w:t xml:space="preserve"> tis. eur.</w:t>
      </w:r>
    </w:p>
    <w:p w14:paraId="52074605" w14:textId="6121A5A0" w:rsidR="00407EC9" w:rsidRPr="00C66720" w:rsidRDefault="00407EC9" w:rsidP="00407EC9">
      <w:pPr>
        <w:spacing w:after="120" w:line="240" w:lineRule="auto"/>
        <w:jc w:val="both"/>
        <w:rPr>
          <w:rFonts w:ascii="Times New Roman" w:hAnsi="Times New Roman"/>
          <w:szCs w:val="22"/>
          <w:lang w:eastAsia="sk-SK"/>
        </w:rPr>
      </w:pPr>
      <w:r w:rsidRPr="00C66720">
        <w:rPr>
          <w:rFonts w:ascii="Times New Roman" w:hAnsi="Times New Roman"/>
          <w:szCs w:val="22"/>
          <w:u w:val="single"/>
          <w:lang w:eastAsia="sk-SK"/>
        </w:rPr>
        <w:lastRenderedPageBreak/>
        <w:t>Dlhodobý finančný majetok</w:t>
      </w:r>
      <w:r w:rsidRPr="00C66720">
        <w:rPr>
          <w:rFonts w:ascii="Times New Roman" w:hAnsi="Times New Roman"/>
          <w:szCs w:val="22"/>
          <w:lang w:eastAsia="sk-SK"/>
        </w:rPr>
        <w:t xml:space="preserve"> </w:t>
      </w:r>
      <w:r w:rsidR="007D5B6B" w:rsidRPr="00C66720">
        <w:rPr>
          <w:rFonts w:ascii="Times New Roman" w:hAnsi="Times New Roman"/>
          <w:szCs w:val="22"/>
          <w:lang w:eastAsia="sk-SK"/>
        </w:rPr>
        <w:t>narástol</w:t>
      </w:r>
      <w:r w:rsidRPr="00C66720">
        <w:rPr>
          <w:rFonts w:ascii="Times New Roman" w:hAnsi="Times New Roman"/>
          <w:szCs w:val="22"/>
          <w:lang w:eastAsia="sk-SK"/>
        </w:rPr>
        <w:t xml:space="preserve"> o</w:t>
      </w:r>
      <w:r w:rsidR="00F55728" w:rsidRPr="00C66720">
        <w:rPr>
          <w:rFonts w:ascii="Times New Roman" w:hAnsi="Times New Roman"/>
          <w:szCs w:val="22"/>
          <w:lang w:eastAsia="sk-SK"/>
        </w:rPr>
        <w:t> 629 872</w:t>
      </w:r>
      <w:r w:rsidRPr="00C66720">
        <w:rPr>
          <w:rFonts w:ascii="Times New Roman" w:hAnsi="Times New Roman"/>
          <w:szCs w:val="22"/>
          <w:lang w:eastAsia="sk-SK"/>
        </w:rPr>
        <w:t xml:space="preserve"> tis. eur, a to najmä v podobe podielových cenných papierov a podielov v pridružených účtovných jednotkách o</w:t>
      </w:r>
      <w:r w:rsidR="000A510E" w:rsidRPr="00C66720">
        <w:rPr>
          <w:rFonts w:ascii="Times New Roman" w:hAnsi="Times New Roman"/>
          <w:szCs w:val="22"/>
          <w:lang w:eastAsia="sk-SK"/>
        </w:rPr>
        <w:t> 405 596</w:t>
      </w:r>
      <w:r w:rsidRPr="00C66720">
        <w:rPr>
          <w:rFonts w:ascii="Times New Roman" w:hAnsi="Times New Roman"/>
          <w:szCs w:val="22"/>
          <w:lang w:eastAsia="sk-SK"/>
        </w:rPr>
        <w:t xml:space="preserve"> tis. eur</w:t>
      </w:r>
      <w:r w:rsidR="0086466C">
        <w:rPr>
          <w:rFonts w:ascii="Times New Roman" w:hAnsi="Times New Roman"/>
          <w:szCs w:val="22"/>
          <w:lang w:eastAsia="sk-SK"/>
        </w:rPr>
        <w:t xml:space="preserve"> a</w:t>
      </w:r>
      <w:r w:rsidRPr="00C66720">
        <w:rPr>
          <w:rFonts w:ascii="Times New Roman" w:hAnsi="Times New Roman"/>
          <w:szCs w:val="22"/>
          <w:lang w:eastAsia="sk-SK"/>
        </w:rPr>
        <w:t xml:space="preserve"> podielových cenných papierov a podielov v dcérskej účtovnej jednotke o</w:t>
      </w:r>
      <w:r w:rsidR="003700FE" w:rsidRPr="00C66720">
        <w:rPr>
          <w:rFonts w:ascii="Times New Roman" w:hAnsi="Times New Roman"/>
          <w:szCs w:val="22"/>
          <w:lang w:eastAsia="sk-SK"/>
        </w:rPr>
        <w:t> 90 116</w:t>
      </w:r>
      <w:r w:rsidRPr="00C66720">
        <w:rPr>
          <w:rFonts w:ascii="Times New Roman" w:hAnsi="Times New Roman"/>
          <w:szCs w:val="22"/>
          <w:lang w:eastAsia="sk-SK"/>
        </w:rPr>
        <w:t xml:space="preserve"> tis. eur</w:t>
      </w:r>
      <w:r w:rsidR="0086466C">
        <w:rPr>
          <w:rFonts w:ascii="Times New Roman" w:hAnsi="Times New Roman"/>
          <w:szCs w:val="22"/>
          <w:lang w:eastAsia="sk-SK"/>
        </w:rPr>
        <w:t xml:space="preserve">. </w:t>
      </w:r>
      <w:r w:rsidRPr="00C66720">
        <w:rPr>
          <w:rFonts w:ascii="Times New Roman" w:hAnsi="Times New Roman"/>
          <w:szCs w:val="22"/>
          <w:lang w:eastAsia="sk-SK"/>
        </w:rPr>
        <w:t xml:space="preserve">Medziročná zmena hodnoty podielových cenných papierov a podielov v pridružených účtovných jednotkách je najvýznamnejšia v rámci ústrednej správy v podobe </w:t>
      </w:r>
      <w:r w:rsidR="000A510E" w:rsidRPr="00C66720">
        <w:rPr>
          <w:rFonts w:ascii="Times New Roman" w:hAnsi="Times New Roman"/>
          <w:szCs w:val="22"/>
          <w:lang w:eastAsia="sk-SK"/>
        </w:rPr>
        <w:t>nárastu</w:t>
      </w:r>
      <w:r w:rsidRPr="00C66720">
        <w:rPr>
          <w:rFonts w:ascii="Times New Roman" w:hAnsi="Times New Roman"/>
          <w:szCs w:val="22"/>
          <w:lang w:eastAsia="sk-SK"/>
        </w:rPr>
        <w:t xml:space="preserve"> o</w:t>
      </w:r>
      <w:r w:rsidR="000A510E" w:rsidRPr="00C66720">
        <w:rPr>
          <w:rFonts w:ascii="Times New Roman" w:hAnsi="Times New Roman"/>
          <w:szCs w:val="22"/>
          <w:lang w:eastAsia="sk-SK"/>
        </w:rPr>
        <w:t> 405 508</w:t>
      </w:r>
      <w:r w:rsidRPr="00C66720">
        <w:rPr>
          <w:rFonts w:ascii="Times New Roman" w:hAnsi="Times New Roman"/>
          <w:szCs w:val="22"/>
          <w:lang w:eastAsia="sk-SK"/>
        </w:rPr>
        <w:t xml:space="preserve"> tis. eur.</w:t>
      </w:r>
      <w:r w:rsidR="003700FE" w:rsidRPr="00C66720">
        <w:rPr>
          <w:rFonts w:ascii="Times New Roman" w:hAnsi="Times New Roman"/>
          <w:szCs w:val="22"/>
          <w:lang w:eastAsia="sk-SK"/>
        </w:rPr>
        <w:t xml:space="preserve"> </w:t>
      </w:r>
      <w:r w:rsidR="00327CC7" w:rsidRPr="00C66720">
        <w:rPr>
          <w:rFonts w:ascii="Times New Roman" w:hAnsi="Times New Roman"/>
          <w:szCs w:val="22"/>
          <w:lang w:eastAsia="sk-SK"/>
        </w:rPr>
        <w:t xml:space="preserve">Hodnota ostatného dlhodobého finančného majetku je v porovnaní s rokom 2021 vyššia o 44 752 tis. eur a pôžičky s dobou splatnosti dlhšou ako </w:t>
      </w:r>
      <w:r w:rsidR="002623A6">
        <w:rPr>
          <w:rFonts w:ascii="Times New Roman" w:hAnsi="Times New Roman"/>
          <w:szCs w:val="22"/>
          <w:lang w:eastAsia="sk-SK"/>
        </w:rPr>
        <w:br/>
      </w:r>
      <w:r w:rsidR="00327CC7" w:rsidRPr="00C66720">
        <w:rPr>
          <w:rFonts w:ascii="Times New Roman" w:hAnsi="Times New Roman"/>
          <w:szCs w:val="22"/>
          <w:lang w:eastAsia="sk-SK"/>
        </w:rPr>
        <w:t>1 rok narástli o 86 985 tis. eur.</w:t>
      </w:r>
    </w:p>
    <w:p w14:paraId="31DFDC40" w14:textId="1FD9FC64" w:rsidR="00BB3131" w:rsidRPr="00C66720" w:rsidRDefault="00504F2A" w:rsidP="00504F2A">
      <w:pPr>
        <w:spacing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Pri </w:t>
      </w:r>
      <w:r w:rsidR="00BB3131" w:rsidRPr="00C66720">
        <w:rPr>
          <w:rFonts w:ascii="Times New Roman" w:hAnsi="Times New Roman"/>
          <w:szCs w:val="22"/>
          <w:lang w:eastAsia="sk-SK"/>
        </w:rPr>
        <w:t>náraste</w:t>
      </w:r>
      <w:r w:rsidRPr="00C66720">
        <w:rPr>
          <w:rFonts w:ascii="Times New Roman" w:hAnsi="Times New Roman"/>
          <w:szCs w:val="22"/>
          <w:lang w:eastAsia="sk-SK"/>
        </w:rPr>
        <w:t xml:space="preserve"> </w:t>
      </w:r>
      <w:r w:rsidRPr="00C66720">
        <w:rPr>
          <w:rFonts w:ascii="Times New Roman" w:hAnsi="Times New Roman"/>
          <w:szCs w:val="22"/>
          <w:u w:val="single"/>
          <w:lang w:eastAsia="sk-SK"/>
        </w:rPr>
        <w:t>dlhodobého nehmotného majetku</w:t>
      </w:r>
      <w:r w:rsidRPr="00C66720">
        <w:rPr>
          <w:rFonts w:ascii="Times New Roman" w:hAnsi="Times New Roman"/>
          <w:szCs w:val="22"/>
          <w:lang w:eastAsia="sk-SK"/>
        </w:rPr>
        <w:t xml:space="preserve"> išlo najmä o </w:t>
      </w:r>
      <w:r w:rsidR="00BB3131" w:rsidRPr="00C66720">
        <w:rPr>
          <w:rFonts w:ascii="Times New Roman" w:hAnsi="Times New Roman"/>
          <w:szCs w:val="22"/>
          <w:lang w:eastAsia="sk-SK"/>
        </w:rPr>
        <w:t>nárast</w:t>
      </w:r>
      <w:r w:rsidRPr="00C66720">
        <w:rPr>
          <w:rFonts w:ascii="Times New Roman" w:hAnsi="Times New Roman"/>
          <w:szCs w:val="22"/>
          <w:lang w:eastAsia="sk-SK"/>
        </w:rPr>
        <w:t xml:space="preserve"> hodnoty </w:t>
      </w:r>
      <w:r w:rsidR="00BB3131" w:rsidRPr="00C66720">
        <w:rPr>
          <w:rFonts w:ascii="Times New Roman" w:hAnsi="Times New Roman"/>
          <w:szCs w:val="22"/>
          <w:lang w:eastAsia="sk-SK"/>
        </w:rPr>
        <w:t>obstarania dlhodobého nehmotného majetku o 39 515 tis. eur, softvéru o</w:t>
      </w:r>
      <w:r w:rsidR="00BB35C9" w:rsidRPr="00C66720">
        <w:rPr>
          <w:rFonts w:ascii="Times New Roman" w:hAnsi="Times New Roman"/>
          <w:szCs w:val="22"/>
          <w:lang w:eastAsia="sk-SK"/>
        </w:rPr>
        <w:t> </w:t>
      </w:r>
      <w:r w:rsidR="00BB3131" w:rsidRPr="00C66720">
        <w:rPr>
          <w:rFonts w:ascii="Times New Roman" w:hAnsi="Times New Roman"/>
          <w:szCs w:val="22"/>
          <w:lang w:eastAsia="sk-SK"/>
        </w:rPr>
        <w:t>2</w:t>
      </w:r>
      <w:r w:rsidR="00BB35C9" w:rsidRPr="00C66720">
        <w:rPr>
          <w:rFonts w:ascii="Times New Roman" w:hAnsi="Times New Roman"/>
          <w:szCs w:val="22"/>
          <w:lang w:eastAsia="sk-SK"/>
        </w:rPr>
        <w:t>7 750</w:t>
      </w:r>
      <w:r w:rsidR="00BB3131" w:rsidRPr="00C66720">
        <w:rPr>
          <w:rFonts w:ascii="Times New Roman" w:hAnsi="Times New Roman"/>
          <w:szCs w:val="22"/>
          <w:lang w:eastAsia="sk-SK"/>
        </w:rPr>
        <w:t xml:space="preserve"> tis. eur, oceniteľných práv o 7 7</w:t>
      </w:r>
      <w:r w:rsidR="00BB35C9" w:rsidRPr="00C66720">
        <w:rPr>
          <w:rFonts w:ascii="Times New Roman" w:hAnsi="Times New Roman"/>
          <w:szCs w:val="22"/>
          <w:lang w:eastAsia="sk-SK"/>
        </w:rPr>
        <w:t>20</w:t>
      </w:r>
      <w:r w:rsidR="00BB3131" w:rsidRPr="00C66720">
        <w:rPr>
          <w:rFonts w:ascii="Times New Roman" w:hAnsi="Times New Roman"/>
          <w:szCs w:val="22"/>
          <w:lang w:eastAsia="sk-SK"/>
        </w:rPr>
        <w:t xml:space="preserve"> tis. eur a ostatného dlhodobého nehmotného majetku o 11 </w:t>
      </w:r>
      <w:r w:rsidR="00BB35C9" w:rsidRPr="00C66720">
        <w:rPr>
          <w:rFonts w:ascii="Times New Roman" w:hAnsi="Times New Roman"/>
          <w:szCs w:val="22"/>
          <w:lang w:eastAsia="sk-SK"/>
        </w:rPr>
        <w:t>115</w:t>
      </w:r>
      <w:r w:rsidR="00BB3131" w:rsidRPr="00C66720">
        <w:rPr>
          <w:rFonts w:ascii="Times New Roman" w:hAnsi="Times New Roman"/>
          <w:szCs w:val="22"/>
          <w:lang w:eastAsia="sk-SK"/>
        </w:rPr>
        <w:t xml:space="preserve"> tis. eur.</w:t>
      </w:r>
    </w:p>
    <w:p w14:paraId="2785E0E3" w14:textId="568CD2EA" w:rsidR="003D507D" w:rsidRPr="00C66720" w:rsidRDefault="001C4271" w:rsidP="001C4271">
      <w:pPr>
        <w:spacing w:after="120" w:line="240" w:lineRule="auto"/>
        <w:jc w:val="both"/>
        <w:rPr>
          <w:rFonts w:ascii="Times New Roman" w:hAnsi="Times New Roman"/>
          <w:szCs w:val="22"/>
          <w:lang w:eastAsia="sk-SK"/>
        </w:rPr>
      </w:pPr>
      <w:r w:rsidRPr="00C66720">
        <w:rPr>
          <w:rFonts w:ascii="Times New Roman" w:hAnsi="Times New Roman"/>
          <w:szCs w:val="22"/>
          <w:u w:val="single"/>
          <w:lang w:eastAsia="sk-SK"/>
        </w:rPr>
        <w:t>Finančné účty</w:t>
      </w:r>
      <w:r w:rsidR="008E0A5C" w:rsidRPr="00C66720">
        <w:rPr>
          <w:rFonts w:ascii="Times New Roman" w:hAnsi="Times New Roman"/>
          <w:szCs w:val="22"/>
          <w:u w:val="single"/>
          <w:lang w:eastAsia="sk-SK"/>
        </w:rPr>
        <w:t xml:space="preserve"> a krátkodobý finančný majetok</w:t>
      </w:r>
      <w:r w:rsidRPr="00C66720">
        <w:rPr>
          <w:rFonts w:ascii="Times New Roman" w:hAnsi="Times New Roman"/>
          <w:szCs w:val="22"/>
          <w:lang w:eastAsia="sk-SK"/>
        </w:rPr>
        <w:t xml:space="preserve"> zaznamenali </w:t>
      </w:r>
      <w:r w:rsidR="008E0A5C" w:rsidRPr="00C66720">
        <w:rPr>
          <w:rFonts w:ascii="Times New Roman" w:hAnsi="Times New Roman"/>
          <w:szCs w:val="22"/>
          <w:lang w:eastAsia="sk-SK"/>
        </w:rPr>
        <w:t>pokles</w:t>
      </w:r>
      <w:r w:rsidRPr="00C66720">
        <w:rPr>
          <w:rFonts w:ascii="Times New Roman" w:hAnsi="Times New Roman"/>
          <w:szCs w:val="22"/>
          <w:lang w:eastAsia="sk-SK"/>
        </w:rPr>
        <w:t xml:space="preserve"> najmä v ústrednej správe </w:t>
      </w:r>
      <w:r w:rsidR="003D507D" w:rsidRPr="00C66720">
        <w:rPr>
          <w:rFonts w:ascii="Times New Roman" w:hAnsi="Times New Roman"/>
          <w:szCs w:val="22"/>
          <w:lang w:eastAsia="sk-SK"/>
        </w:rPr>
        <w:t>vplyvom poklesu zostatkov účtov Štátnej pokladnice o 4 339 139 tis. eur</w:t>
      </w:r>
      <w:r w:rsidR="00A610E7" w:rsidRPr="00C66720">
        <w:rPr>
          <w:rFonts w:ascii="Times New Roman" w:hAnsi="Times New Roman"/>
          <w:szCs w:val="22"/>
          <w:lang w:eastAsia="sk-SK"/>
        </w:rPr>
        <w:t xml:space="preserve"> z dôvodu poklesu zostatku účtov Štátnej pokladnice zriadených v NBS vplyvom zníženia stavu finančných prostriedkov na PM účte. Likviditu systému štátnej pokladnice na PM účte spravuje Agentúra pre riadenie dlhu a likvidity.</w:t>
      </w:r>
    </w:p>
    <w:p w14:paraId="738446AD" w14:textId="4CA312A2" w:rsidR="00477A79" w:rsidRPr="00C66720" w:rsidRDefault="00477A79" w:rsidP="001C4271">
      <w:pPr>
        <w:spacing w:after="120" w:line="240" w:lineRule="auto"/>
        <w:jc w:val="both"/>
        <w:rPr>
          <w:rFonts w:ascii="Times New Roman" w:hAnsi="Times New Roman"/>
          <w:szCs w:val="22"/>
          <w:lang w:eastAsia="sk-SK"/>
        </w:rPr>
      </w:pPr>
      <w:r w:rsidRPr="00C66720">
        <w:rPr>
          <w:rFonts w:ascii="Times New Roman" w:hAnsi="Times New Roman"/>
          <w:szCs w:val="22"/>
          <w:u w:val="single"/>
          <w:lang w:eastAsia="sk-SK"/>
        </w:rPr>
        <w:t>Dlhodobé pohľadávky</w:t>
      </w:r>
      <w:r w:rsidRPr="00C66720">
        <w:rPr>
          <w:rFonts w:ascii="Times New Roman" w:hAnsi="Times New Roman"/>
          <w:szCs w:val="22"/>
          <w:lang w:eastAsia="sk-SK"/>
        </w:rPr>
        <w:t xml:space="preserve"> boli medziročne nižšie o</w:t>
      </w:r>
      <w:r w:rsidR="007D737F" w:rsidRPr="00C66720">
        <w:rPr>
          <w:rFonts w:ascii="Times New Roman" w:hAnsi="Times New Roman"/>
          <w:szCs w:val="22"/>
          <w:lang w:eastAsia="sk-SK"/>
        </w:rPr>
        <w:t> 62 146</w:t>
      </w:r>
      <w:r w:rsidRPr="00C66720">
        <w:rPr>
          <w:rFonts w:ascii="Times New Roman" w:hAnsi="Times New Roman"/>
          <w:szCs w:val="22"/>
          <w:lang w:eastAsia="sk-SK"/>
        </w:rPr>
        <w:t xml:space="preserve"> tis. eur najmä vplyvom poklesu ostatných dlhodobých pohľadávok o 61 145 tis. eur </w:t>
      </w:r>
      <w:r w:rsidR="00AC7661" w:rsidRPr="00C66720">
        <w:rPr>
          <w:rFonts w:ascii="Times New Roman" w:hAnsi="Times New Roman"/>
          <w:szCs w:val="22"/>
          <w:lang w:eastAsia="sk-SK"/>
        </w:rPr>
        <w:t xml:space="preserve">v dôsledku zníženia pohľadávok EXIM banky </w:t>
      </w:r>
      <w:r w:rsidR="002623A6">
        <w:rPr>
          <w:rFonts w:ascii="Times New Roman" w:hAnsi="Times New Roman"/>
          <w:szCs w:val="22"/>
          <w:lang w:eastAsia="sk-SK"/>
        </w:rPr>
        <w:br/>
      </w:r>
      <w:r w:rsidR="00AC7661" w:rsidRPr="00C66720">
        <w:rPr>
          <w:rFonts w:ascii="Times New Roman" w:hAnsi="Times New Roman"/>
          <w:szCs w:val="22"/>
          <w:lang w:eastAsia="sk-SK"/>
        </w:rPr>
        <w:t>(o 39 505 tis. eur) a SZBR (o 21 915 tis. eur)</w:t>
      </w:r>
      <w:r w:rsidR="006478ED" w:rsidRPr="00C66720">
        <w:rPr>
          <w:rFonts w:ascii="Times New Roman" w:hAnsi="Times New Roman"/>
          <w:szCs w:val="22"/>
          <w:lang w:eastAsia="sk-SK"/>
        </w:rPr>
        <w:t xml:space="preserve"> voči klientom a iným bankám.</w:t>
      </w:r>
    </w:p>
    <w:p w14:paraId="35A1B139" w14:textId="2B08B126" w:rsidR="0085285E" w:rsidRPr="00C66720" w:rsidRDefault="007E2F11" w:rsidP="00BC208E">
      <w:pPr>
        <w:spacing w:after="240" w:line="240" w:lineRule="auto"/>
        <w:jc w:val="both"/>
        <w:rPr>
          <w:rFonts w:ascii="Times New Roman" w:hAnsi="Times New Roman"/>
          <w:b/>
          <w:color w:val="FF0000"/>
          <w:szCs w:val="22"/>
          <w:highlight w:val="yellow"/>
          <w:lang w:eastAsia="sk-SK"/>
        </w:rPr>
      </w:pPr>
      <w:r w:rsidRPr="00C66720">
        <w:rPr>
          <w:rFonts w:ascii="Times New Roman" w:hAnsi="Times New Roman"/>
          <w:b/>
          <w:szCs w:val="22"/>
          <w:lang w:eastAsia="sk-SK"/>
        </w:rPr>
        <w:t xml:space="preserve">Pri </w:t>
      </w:r>
      <w:r w:rsidR="001345F0" w:rsidRPr="00C66720">
        <w:rPr>
          <w:rFonts w:ascii="Times New Roman" w:hAnsi="Times New Roman"/>
          <w:b/>
          <w:szCs w:val="22"/>
          <w:lang w:eastAsia="sk-SK"/>
        </w:rPr>
        <w:t xml:space="preserve">nasledovnom podrobnejšom </w:t>
      </w:r>
      <w:r w:rsidRPr="00C66720">
        <w:rPr>
          <w:rFonts w:ascii="Times New Roman" w:hAnsi="Times New Roman"/>
          <w:b/>
          <w:szCs w:val="22"/>
          <w:lang w:eastAsia="sk-SK"/>
        </w:rPr>
        <w:t>opise jednotlivých</w:t>
      </w:r>
      <w:r w:rsidR="0071238C" w:rsidRPr="00C66720">
        <w:rPr>
          <w:rFonts w:ascii="Times New Roman" w:hAnsi="Times New Roman"/>
          <w:b/>
          <w:szCs w:val="22"/>
          <w:lang w:eastAsia="sk-SK"/>
        </w:rPr>
        <w:t xml:space="preserve"> položiek majetku je dôležité</w:t>
      </w:r>
      <w:r w:rsidRPr="00C66720">
        <w:rPr>
          <w:rFonts w:ascii="Times New Roman" w:hAnsi="Times New Roman"/>
          <w:b/>
          <w:szCs w:val="22"/>
          <w:lang w:eastAsia="sk-SK"/>
        </w:rPr>
        <w:t xml:space="preserve"> vnímať prírastky a úbytky </w:t>
      </w:r>
      <w:r w:rsidR="0071238C" w:rsidRPr="00C66720">
        <w:rPr>
          <w:rFonts w:ascii="Times New Roman" w:hAnsi="Times New Roman"/>
          <w:b/>
          <w:szCs w:val="22"/>
          <w:lang w:eastAsia="sk-SK"/>
        </w:rPr>
        <w:t>ako celkovú zmenu medzi dvomi obdobiami.</w:t>
      </w:r>
      <w:r w:rsidR="008E71BD" w:rsidRPr="00C66720">
        <w:rPr>
          <w:rFonts w:ascii="Times New Roman" w:hAnsi="Times New Roman"/>
          <w:b/>
          <w:szCs w:val="22"/>
          <w:lang w:eastAsia="sk-SK"/>
        </w:rPr>
        <w:t xml:space="preserve"> Celkový prírastok však môže obsahovať aj zníženie hodnoty danej položky majetku, pričom </w:t>
      </w:r>
      <w:r w:rsidR="00ED66D5" w:rsidRPr="00C66720">
        <w:rPr>
          <w:rFonts w:ascii="Times New Roman" w:hAnsi="Times New Roman"/>
          <w:b/>
          <w:szCs w:val="22"/>
          <w:lang w:eastAsia="sk-SK"/>
        </w:rPr>
        <w:t xml:space="preserve">pri opise konkrétnych </w:t>
      </w:r>
      <w:r w:rsidR="001345F0" w:rsidRPr="00C66720">
        <w:rPr>
          <w:rFonts w:ascii="Times New Roman" w:hAnsi="Times New Roman"/>
          <w:b/>
          <w:szCs w:val="22"/>
          <w:lang w:eastAsia="sk-SK"/>
        </w:rPr>
        <w:t xml:space="preserve">jednotiek </w:t>
      </w:r>
      <w:r w:rsidR="008E71BD" w:rsidRPr="00C66720">
        <w:rPr>
          <w:rFonts w:ascii="Times New Roman" w:hAnsi="Times New Roman"/>
          <w:b/>
          <w:szCs w:val="22"/>
          <w:lang w:eastAsia="sk-SK"/>
        </w:rPr>
        <w:t>súhrnného c</w:t>
      </w:r>
      <w:r w:rsidR="009D6F1B" w:rsidRPr="00C66720">
        <w:rPr>
          <w:rFonts w:ascii="Times New Roman" w:hAnsi="Times New Roman"/>
          <w:b/>
          <w:szCs w:val="22"/>
          <w:lang w:eastAsia="sk-SK"/>
        </w:rPr>
        <w:t xml:space="preserve">elku </w:t>
      </w:r>
      <w:r w:rsidR="00BD3AD8" w:rsidRPr="00C66720">
        <w:rPr>
          <w:rFonts w:ascii="Times New Roman" w:hAnsi="Times New Roman"/>
          <w:b/>
          <w:szCs w:val="22"/>
          <w:lang w:eastAsia="sk-SK"/>
        </w:rPr>
        <w:t xml:space="preserve">je tento prístup v texte </w:t>
      </w:r>
      <w:r w:rsidR="00ED66D5" w:rsidRPr="00C66720">
        <w:rPr>
          <w:rFonts w:ascii="Times New Roman" w:hAnsi="Times New Roman"/>
          <w:b/>
          <w:szCs w:val="22"/>
          <w:lang w:eastAsia="sk-SK"/>
        </w:rPr>
        <w:t xml:space="preserve">použitý </w:t>
      </w:r>
      <w:r w:rsidR="00BD3AD8" w:rsidRPr="00C66720">
        <w:rPr>
          <w:rFonts w:ascii="Times New Roman" w:hAnsi="Times New Roman"/>
          <w:b/>
          <w:szCs w:val="22"/>
          <w:lang w:eastAsia="sk-SK"/>
        </w:rPr>
        <w:t>primerane</w:t>
      </w:r>
      <w:r w:rsidR="007877E7" w:rsidRPr="00C66720">
        <w:rPr>
          <w:rFonts w:ascii="Times New Roman" w:hAnsi="Times New Roman"/>
          <w:b/>
          <w:szCs w:val="22"/>
          <w:lang w:eastAsia="sk-SK"/>
        </w:rPr>
        <w:t xml:space="preserve"> na základe dostupnosti údajov</w:t>
      </w:r>
      <w:r w:rsidR="008E71BD" w:rsidRPr="00C66720">
        <w:rPr>
          <w:rFonts w:ascii="Times New Roman" w:hAnsi="Times New Roman"/>
          <w:b/>
          <w:szCs w:val="22"/>
          <w:lang w:eastAsia="sk-SK"/>
        </w:rPr>
        <w:t>.</w:t>
      </w:r>
      <w:r w:rsidR="00BC208E" w:rsidRPr="00C66720">
        <w:rPr>
          <w:rFonts w:ascii="Times New Roman" w:hAnsi="Times New Roman"/>
          <w:b/>
          <w:szCs w:val="22"/>
          <w:lang w:eastAsia="sk-SK"/>
        </w:rPr>
        <w:t xml:space="preserve"> </w:t>
      </w:r>
    </w:p>
    <w:p w14:paraId="6638337E" w14:textId="7E168E2C" w:rsidR="00A970C0" w:rsidRPr="00C66720" w:rsidRDefault="00A970C0" w:rsidP="00927424">
      <w:pPr>
        <w:pStyle w:val="Nadpis3"/>
      </w:pPr>
      <w:r w:rsidRPr="00C66720">
        <w:t xml:space="preserve">A. </w:t>
      </w:r>
      <w:r w:rsidR="00EB5252" w:rsidRPr="00C66720">
        <w:t>Dlhodobý</w:t>
      </w:r>
      <w:r w:rsidRPr="00C66720">
        <w:t xml:space="preserve"> majetok</w:t>
      </w:r>
    </w:p>
    <w:p w14:paraId="151C557F" w14:textId="6E00ADB7" w:rsidR="002D6290" w:rsidRPr="00C66720" w:rsidRDefault="002D6290" w:rsidP="00886CD7">
      <w:pPr>
        <w:pStyle w:val="Nadpis2"/>
      </w:pPr>
      <w:r w:rsidRPr="00C66720">
        <w:t xml:space="preserve">A.I. </w:t>
      </w:r>
      <w:r w:rsidR="00EB5252" w:rsidRPr="00C66720">
        <w:t>N</w:t>
      </w:r>
      <w:r w:rsidRPr="00C66720">
        <w:t>ehmotný majetok</w:t>
      </w:r>
    </w:p>
    <w:p w14:paraId="2CAC5241" w14:textId="2D988383" w:rsidR="00FC6A89" w:rsidRDefault="002D6290" w:rsidP="003036DD">
      <w:pPr>
        <w:tabs>
          <w:tab w:val="num" w:pos="0"/>
        </w:tabs>
        <w:spacing w:after="120" w:line="240" w:lineRule="auto"/>
        <w:jc w:val="both"/>
        <w:rPr>
          <w:rFonts w:ascii="Times New Roman" w:hAnsi="Times New Roman"/>
          <w:szCs w:val="22"/>
          <w:lang w:eastAsia="sk-SK"/>
        </w:rPr>
      </w:pPr>
      <w:r w:rsidRPr="00C66720">
        <w:rPr>
          <w:rFonts w:ascii="Times New Roman" w:hAnsi="Times New Roman"/>
          <w:szCs w:val="22"/>
          <w:lang w:eastAsia="sk-SK"/>
        </w:rPr>
        <w:t>Dlhodobý nehmotný majetok súhr</w:t>
      </w:r>
      <w:r w:rsidR="008167C0" w:rsidRPr="00C66720">
        <w:rPr>
          <w:rFonts w:ascii="Times New Roman" w:hAnsi="Times New Roman"/>
          <w:szCs w:val="22"/>
          <w:lang w:eastAsia="sk-SK"/>
        </w:rPr>
        <w:t>n</w:t>
      </w:r>
      <w:r w:rsidR="008D1BA4" w:rsidRPr="00C66720">
        <w:rPr>
          <w:rFonts w:ascii="Times New Roman" w:hAnsi="Times New Roman"/>
          <w:szCs w:val="22"/>
          <w:lang w:eastAsia="sk-SK"/>
        </w:rPr>
        <w:t>ného celku dosiahol k 31.12.2022</w:t>
      </w:r>
      <w:r w:rsidRPr="00C66720">
        <w:rPr>
          <w:rFonts w:ascii="Times New Roman" w:hAnsi="Times New Roman"/>
          <w:szCs w:val="22"/>
          <w:lang w:eastAsia="sk-SK"/>
        </w:rPr>
        <w:t xml:space="preserve"> hodnotu </w:t>
      </w:r>
      <w:r w:rsidR="008D1BA4" w:rsidRPr="00C66720">
        <w:rPr>
          <w:rFonts w:ascii="Times New Roman" w:hAnsi="Times New Roman"/>
          <w:szCs w:val="22"/>
          <w:lang w:eastAsia="sk-SK"/>
        </w:rPr>
        <w:t>64</w:t>
      </w:r>
      <w:r w:rsidR="006A5C3F" w:rsidRPr="00C66720">
        <w:rPr>
          <w:rFonts w:ascii="Times New Roman" w:hAnsi="Times New Roman"/>
          <w:szCs w:val="22"/>
          <w:lang w:eastAsia="sk-SK"/>
        </w:rPr>
        <w:t>8 146</w:t>
      </w:r>
      <w:r w:rsidR="00421B09" w:rsidRPr="00C66720">
        <w:rPr>
          <w:rFonts w:ascii="Times New Roman" w:hAnsi="Times New Roman"/>
          <w:szCs w:val="22"/>
          <w:lang w:eastAsia="sk-SK"/>
        </w:rPr>
        <w:t xml:space="preserve"> tis. eur</w:t>
      </w:r>
      <w:r w:rsidRPr="00C66720">
        <w:rPr>
          <w:rFonts w:ascii="Times New Roman" w:hAnsi="Times New Roman"/>
          <w:szCs w:val="22"/>
          <w:lang w:eastAsia="sk-SK"/>
        </w:rPr>
        <w:t>. Najväčší podiel tvorí softvér (</w:t>
      </w:r>
      <w:r w:rsidR="008D1BA4" w:rsidRPr="00C66720">
        <w:rPr>
          <w:rFonts w:ascii="Times New Roman" w:hAnsi="Times New Roman"/>
          <w:szCs w:val="22"/>
          <w:lang w:eastAsia="sk-SK"/>
        </w:rPr>
        <w:t>4</w:t>
      </w:r>
      <w:r w:rsidR="006A5C3F" w:rsidRPr="00C66720">
        <w:rPr>
          <w:rFonts w:ascii="Times New Roman" w:hAnsi="Times New Roman"/>
          <w:szCs w:val="22"/>
          <w:lang w:eastAsia="sk-SK"/>
        </w:rPr>
        <w:t>42 576</w:t>
      </w:r>
      <w:r w:rsidR="00292AD1" w:rsidRPr="00C66720">
        <w:rPr>
          <w:rFonts w:ascii="Times New Roman" w:hAnsi="Times New Roman"/>
          <w:szCs w:val="22"/>
          <w:lang w:eastAsia="sk-SK"/>
        </w:rPr>
        <w:t xml:space="preserve"> </w:t>
      </w:r>
      <w:r w:rsidR="00EF3F31" w:rsidRPr="00C66720">
        <w:rPr>
          <w:rFonts w:ascii="Times New Roman" w:hAnsi="Times New Roman"/>
          <w:szCs w:val="22"/>
          <w:lang w:eastAsia="sk-SK"/>
        </w:rPr>
        <w:t>tis</w:t>
      </w:r>
      <w:r w:rsidRPr="00C66720">
        <w:rPr>
          <w:rFonts w:ascii="Times New Roman" w:hAnsi="Times New Roman"/>
          <w:szCs w:val="22"/>
          <w:lang w:eastAsia="sk-SK"/>
        </w:rPr>
        <w:t>. eur)</w:t>
      </w:r>
      <w:r w:rsidR="00B60988" w:rsidRPr="00C66720">
        <w:rPr>
          <w:rFonts w:ascii="Times New Roman" w:hAnsi="Times New Roman"/>
          <w:szCs w:val="22"/>
          <w:lang w:eastAsia="sk-SK"/>
        </w:rPr>
        <w:t>,</w:t>
      </w:r>
      <w:r w:rsidRPr="00C66720">
        <w:rPr>
          <w:rFonts w:ascii="Times New Roman" w:hAnsi="Times New Roman"/>
          <w:szCs w:val="22"/>
          <w:lang w:eastAsia="sk-SK"/>
        </w:rPr>
        <w:t xml:space="preserve"> obstaranie dl</w:t>
      </w:r>
      <w:r w:rsidR="00375816" w:rsidRPr="00C66720">
        <w:rPr>
          <w:rFonts w:ascii="Times New Roman" w:hAnsi="Times New Roman"/>
          <w:szCs w:val="22"/>
          <w:lang w:eastAsia="sk-SK"/>
        </w:rPr>
        <w:t>hodobého nehmotného majetku</w:t>
      </w:r>
      <w:r w:rsidR="00375816" w:rsidRPr="00C66720">
        <w:rPr>
          <w:rFonts w:ascii="Times New Roman" w:hAnsi="Times New Roman"/>
          <w:szCs w:val="22"/>
          <w:lang w:eastAsia="sk-SK"/>
        </w:rPr>
        <w:br/>
      </w:r>
      <w:r w:rsidRPr="00C66720">
        <w:rPr>
          <w:rFonts w:ascii="Times New Roman" w:hAnsi="Times New Roman"/>
          <w:szCs w:val="22"/>
          <w:lang w:eastAsia="sk-SK"/>
        </w:rPr>
        <w:t>(</w:t>
      </w:r>
      <w:r w:rsidR="00912D62" w:rsidRPr="00C66720">
        <w:rPr>
          <w:rFonts w:ascii="Times New Roman" w:hAnsi="Times New Roman"/>
          <w:szCs w:val="22"/>
          <w:lang w:eastAsia="sk-SK"/>
        </w:rPr>
        <w:t>135 204</w:t>
      </w:r>
      <w:r w:rsidR="00B73F85" w:rsidRPr="00C66720">
        <w:rPr>
          <w:rFonts w:ascii="Times New Roman" w:hAnsi="Times New Roman"/>
          <w:szCs w:val="22"/>
          <w:lang w:eastAsia="sk-SK"/>
        </w:rPr>
        <w:t xml:space="preserve"> </w:t>
      </w:r>
      <w:r w:rsidR="00EF3F31" w:rsidRPr="00C66720">
        <w:rPr>
          <w:rFonts w:ascii="Times New Roman" w:hAnsi="Times New Roman"/>
          <w:szCs w:val="22"/>
          <w:lang w:eastAsia="sk-SK"/>
        </w:rPr>
        <w:t>tis</w:t>
      </w:r>
      <w:r w:rsidRPr="00C66720">
        <w:rPr>
          <w:rFonts w:ascii="Times New Roman" w:hAnsi="Times New Roman"/>
          <w:szCs w:val="22"/>
          <w:lang w:eastAsia="sk-SK"/>
        </w:rPr>
        <w:t>. eur)</w:t>
      </w:r>
      <w:r w:rsidR="00E96210" w:rsidRPr="00C66720">
        <w:rPr>
          <w:rFonts w:ascii="Times New Roman" w:hAnsi="Times New Roman"/>
          <w:szCs w:val="22"/>
          <w:lang w:eastAsia="sk-SK"/>
        </w:rPr>
        <w:t>,</w:t>
      </w:r>
      <w:r w:rsidR="008A05DC" w:rsidRPr="00C66720">
        <w:rPr>
          <w:rFonts w:ascii="Times New Roman" w:hAnsi="Times New Roman"/>
          <w:szCs w:val="22"/>
          <w:lang w:eastAsia="sk-SK"/>
        </w:rPr>
        <w:t> ostatný dlhodobý nehmotný majetok</w:t>
      </w:r>
      <w:r w:rsidR="00B60988" w:rsidRPr="00C66720">
        <w:rPr>
          <w:rFonts w:ascii="Times New Roman" w:hAnsi="Times New Roman"/>
          <w:szCs w:val="22"/>
          <w:lang w:eastAsia="sk-SK"/>
        </w:rPr>
        <w:t xml:space="preserve"> (</w:t>
      </w:r>
      <w:r w:rsidR="00912D62" w:rsidRPr="00C66720">
        <w:rPr>
          <w:rFonts w:ascii="Times New Roman" w:hAnsi="Times New Roman"/>
          <w:szCs w:val="22"/>
          <w:lang w:eastAsia="sk-SK"/>
        </w:rPr>
        <w:t xml:space="preserve">41 </w:t>
      </w:r>
      <w:r w:rsidR="008D00FC" w:rsidRPr="00C66720">
        <w:rPr>
          <w:rFonts w:ascii="Times New Roman" w:hAnsi="Times New Roman"/>
          <w:szCs w:val="22"/>
          <w:lang w:eastAsia="sk-SK"/>
        </w:rPr>
        <w:t>408</w:t>
      </w:r>
      <w:r w:rsidR="00292AD1" w:rsidRPr="00C66720">
        <w:rPr>
          <w:rFonts w:ascii="Times New Roman" w:hAnsi="Times New Roman"/>
          <w:szCs w:val="22"/>
          <w:lang w:eastAsia="sk-SK"/>
        </w:rPr>
        <w:t xml:space="preserve"> </w:t>
      </w:r>
      <w:r w:rsidR="00B60988" w:rsidRPr="00C66720">
        <w:rPr>
          <w:rFonts w:ascii="Times New Roman" w:hAnsi="Times New Roman"/>
          <w:szCs w:val="22"/>
          <w:lang w:eastAsia="sk-SK"/>
        </w:rPr>
        <w:t>tis. eur)</w:t>
      </w:r>
      <w:r w:rsidR="00E96210" w:rsidRPr="00C66720">
        <w:rPr>
          <w:rFonts w:ascii="Times New Roman" w:hAnsi="Times New Roman"/>
          <w:szCs w:val="22"/>
          <w:lang w:eastAsia="sk-SK"/>
        </w:rPr>
        <w:t xml:space="preserve"> a oceniteľné práva </w:t>
      </w:r>
      <w:r w:rsidR="008D00FC" w:rsidRPr="00C66720">
        <w:rPr>
          <w:rFonts w:ascii="Times New Roman" w:hAnsi="Times New Roman"/>
          <w:szCs w:val="22"/>
          <w:lang w:eastAsia="sk-SK"/>
        </w:rPr>
        <w:br/>
      </w:r>
      <w:r w:rsidR="00E96210" w:rsidRPr="00C66720">
        <w:rPr>
          <w:rFonts w:ascii="Times New Roman" w:hAnsi="Times New Roman"/>
          <w:szCs w:val="22"/>
          <w:lang w:eastAsia="sk-SK"/>
        </w:rPr>
        <w:t>(2</w:t>
      </w:r>
      <w:r w:rsidR="00912D62" w:rsidRPr="00C66720">
        <w:rPr>
          <w:rFonts w:ascii="Times New Roman" w:hAnsi="Times New Roman"/>
          <w:szCs w:val="22"/>
          <w:lang w:eastAsia="sk-SK"/>
        </w:rPr>
        <w:t>8 9</w:t>
      </w:r>
      <w:r w:rsidR="008D00FC" w:rsidRPr="00C66720">
        <w:rPr>
          <w:rFonts w:ascii="Times New Roman" w:hAnsi="Times New Roman"/>
          <w:szCs w:val="22"/>
          <w:lang w:eastAsia="sk-SK"/>
        </w:rPr>
        <w:t>58</w:t>
      </w:r>
      <w:r w:rsidR="00E96210" w:rsidRPr="00C66720">
        <w:rPr>
          <w:rFonts w:ascii="Times New Roman" w:hAnsi="Times New Roman"/>
          <w:szCs w:val="22"/>
          <w:lang w:eastAsia="sk-SK"/>
        </w:rPr>
        <w:t xml:space="preserve"> tis. eur)</w:t>
      </w:r>
      <w:r w:rsidR="00B60988" w:rsidRPr="00C66720">
        <w:rPr>
          <w:rFonts w:ascii="Times New Roman" w:hAnsi="Times New Roman"/>
          <w:szCs w:val="22"/>
          <w:lang w:eastAsia="sk-SK"/>
        </w:rPr>
        <w:t>.</w:t>
      </w:r>
    </w:p>
    <w:p w14:paraId="22C30939" w14:textId="77777777" w:rsidR="0071743E" w:rsidRPr="00177FDD" w:rsidRDefault="0071743E" w:rsidP="0071743E">
      <w:pPr>
        <w:spacing w:before="120" w:after="0" w:line="240" w:lineRule="auto"/>
        <w:jc w:val="both"/>
        <w:rPr>
          <w:rFonts w:ascii="Times New Roman" w:hAnsi="Times New Roman"/>
          <w:color w:val="000000"/>
          <w:sz w:val="18"/>
          <w:szCs w:val="18"/>
        </w:rPr>
      </w:pPr>
      <w:r>
        <w:rPr>
          <w:rFonts w:ascii="Times New Roman" w:hAnsi="Times New Roman"/>
          <w:b/>
          <w:color w:val="000000"/>
          <w:sz w:val="18"/>
          <w:szCs w:val="18"/>
        </w:rPr>
        <w:t>Tabuľka 3</w:t>
      </w:r>
    </w:p>
    <w:tbl>
      <w:tblPr>
        <w:tblW w:w="5000" w:type="pct"/>
        <w:jc w:val="center"/>
        <w:tblLayout w:type="fixed"/>
        <w:tblCellMar>
          <w:left w:w="70" w:type="dxa"/>
          <w:right w:w="70" w:type="dxa"/>
        </w:tblCellMar>
        <w:tblLook w:val="00A0" w:firstRow="1" w:lastRow="0" w:firstColumn="1" w:lastColumn="0" w:noHBand="0" w:noVBand="0"/>
      </w:tblPr>
      <w:tblGrid>
        <w:gridCol w:w="5203"/>
        <w:gridCol w:w="1304"/>
        <w:gridCol w:w="1283"/>
        <w:gridCol w:w="1281"/>
      </w:tblGrid>
      <w:tr w:rsidR="0071743E" w:rsidRPr="00AD1DD7" w14:paraId="1BEB4F8A" w14:textId="77777777" w:rsidTr="00241F33">
        <w:trPr>
          <w:trHeight w:val="284"/>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2F45982A" w14:textId="77777777" w:rsidR="0071743E" w:rsidRPr="00AD1DD7" w:rsidRDefault="0071743E" w:rsidP="00241F33">
            <w:pPr>
              <w:spacing w:after="0" w:line="240" w:lineRule="auto"/>
              <w:rPr>
                <w:rFonts w:ascii="Times New Roman" w:hAnsi="Times New Roman"/>
                <w:sz w:val="18"/>
                <w:szCs w:val="18"/>
                <w:lang w:eastAsia="sk-SK"/>
              </w:rPr>
            </w:pPr>
            <w:r w:rsidRPr="00AD1DD7">
              <w:rPr>
                <w:rFonts w:ascii="Times New Roman" w:hAnsi="Times New Roman"/>
                <w:sz w:val="18"/>
                <w:szCs w:val="18"/>
                <w:lang w:eastAsia="sk-SK"/>
              </w:rPr>
              <w:t xml:space="preserve"> </w:t>
            </w:r>
            <w:r w:rsidRPr="00AD1DD7">
              <w:rPr>
                <w:rFonts w:ascii="Times New Roman" w:hAnsi="Times New Roman"/>
                <w:b/>
                <w:bCs/>
                <w:sz w:val="18"/>
                <w:szCs w:val="18"/>
                <w:lang w:eastAsia="sk-SK"/>
              </w:rPr>
              <w:t xml:space="preserve">Dlhodobý nehmotný majetok súhrnného celku                                                                              </w:t>
            </w:r>
            <w:r>
              <w:rPr>
                <w:rFonts w:ascii="Times New Roman" w:hAnsi="Times New Roman"/>
                <w:b/>
                <w:bCs/>
                <w:sz w:val="18"/>
                <w:szCs w:val="18"/>
                <w:lang w:eastAsia="sk-SK"/>
              </w:rPr>
              <w:t xml:space="preserve">                  </w:t>
            </w:r>
            <w:r w:rsidRPr="00AD1DD7">
              <w:rPr>
                <w:rFonts w:ascii="Times New Roman" w:hAnsi="Times New Roman"/>
                <w:b/>
                <w:bCs/>
                <w:sz w:val="18"/>
                <w:szCs w:val="18"/>
                <w:lang w:eastAsia="sk-SK"/>
              </w:rPr>
              <w:t xml:space="preserve"> (v tis. eur) </w:t>
            </w:r>
          </w:p>
        </w:tc>
      </w:tr>
      <w:tr w:rsidR="0071743E" w:rsidRPr="00975467" w14:paraId="7E504177" w14:textId="77777777" w:rsidTr="00241F33">
        <w:trPr>
          <w:trHeight w:val="284"/>
          <w:jc w:val="center"/>
        </w:trPr>
        <w:tc>
          <w:tcPr>
            <w:tcW w:w="2868" w:type="pct"/>
            <w:tcBorders>
              <w:top w:val="nil"/>
              <w:left w:val="nil"/>
              <w:bottom w:val="single" w:sz="4" w:space="0" w:color="auto"/>
              <w:right w:val="nil"/>
            </w:tcBorders>
            <w:shd w:val="clear" w:color="auto" w:fill="BDD7EE"/>
            <w:noWrap/>
            <w:vAlign w:val="bottom"/>
          </w:tcPr>
          <w:p w14:paraId="2D57112A" w14:textId="77777777" w:rsidR="0071743E" w:rsidRPr="002F52EF" w:rsidRDefault="0071743E" w:rsidP="0071743E">
            <w:pPr>
              <w:spacing w:after="0" w:line="240" w:lineRule="auto"/>
              <w:rPr>
                <w:rFonts w:ascii="Times New Roman" w:hAnsi="Times New Roman"/>
                <w:b/>
                <w:bCs/>
                <w:sz w:val="18"/>
                <w:szCs w:val="18"/>
                <w:lang w:eastAsia="sk-SK"/>
              </w:rPr>
            </w:pPr>
            <w:r w:rsidRPr="002F52EF">
              <w:rPr>
                <w:rFonts w:ascii="Times New Roman" w:hAnsi="Times New Roman"/>
                <w:b/>
                <w:bCs/>
                <w:sz w:val="18"/>
                <w:szCs w:val="18"/>
                <w:lang w:eastAsia="sk-SK"/>
              </w:rPr>
              <w:t>Druh nehmotného majetku</w:t>
            </w:r>
          </w:p>
        </w:tc>
        <w:tc>
          <w:tcPr>
            <w:tcW w:w="719" w:type="pct"/>
            <w:tcBorders>
              <w:top w:val="nil"/>
              <w:left w:val="nil"/>
              <w:bottom w:val="single" w:sz="4" w:space="0" w:color="auto"/>
              <w:right w:val="nil"/>
            </w:tcBorders>
            <w:shd w:val="clear" w:color="auto" w:fill="BDD7EE"/>
            <w:noWrap/>
            <w:vAlign w:val="bottom"/>
          </w:tcPr>
          <w:p w14:paraId="003A3C4C" w14:textId="07EC356F" w:rsidR="0071743E" w:rsidRPr="002F52EF" w:rsidRDefault="0071743E" w:rsidP="0071743E">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 xml:space="preserve">           2022</w:t>
            </w:r>
          </w:p>
        </w:tc>
        <w:tc>
          <w:tcPr>
            <w:tcW w:w="707" w:type="pct"/>
            <w:tcBorders>
              <w:top w:val="nil"/>
              <w:left w:val="nil"/>
              <w:bottom w:val="single" w:sz="4" w:space="0" w:color="auto"/>
              <w:right w:val="nil"/>
            </w:tcBorders>
            <w:shd w:val="clear" w:color="auto" w:fill="BDD7EE"/>
            <w:noWrap/>
            <w:vAlign w:val="bottom"/>
          </w:tcPr>
          <w:p w14:paraId="5527E063" w14:textId="7619475E" w:rsidR="0071743E" w:rsidRPr="002F52EF" w:rsidRDefault="0071743E" w:rsidP="0071743E">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 xml:space="preserve">           2021</w:t>
            </w:r>
          </w:p>
        </w:tc>
        <w:tc>
          <w:tcPr>
            <w:tcW w:w="706" w:type="pct"/>
            <w:tcBorders>
              <w:top w:val="nil"/>
              <w:left w:val="nil"/>
              <w:bottom w:val="single" w:sz="4" w:space="0" w:color="auto"/>
              <w:right w:val="nil"/>
            </w:tcBorders>
            <w:shd w:val="clear" w:color="auto" w:fill="BDD7EE"/>
            <w:vAlign w:val="bottom"/>
          </w:tcPr>
          <w:p w14:paraId="75D81951" w14:textId="42D3C82D" w:rsidR="0071743E" w:rsidRPr="002F52EF" w:rsidRDefault="0071743E" w:rsidP="0071743E">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71743E" w:rsidRPr="00975467" w14:paraId="7EB49C95" w14:textId="77777777" w:rsidTr="0071743E">
        <w:trPr>
          <w:trHeight w:val="284"/>
          <w:jc w:val="center"/>
        </w:trPr>
        <w:tc>
          <w:tcPr>
            <w:tcW w:w="2868" w:type="pct"/>
            <w:tcBorders>
              <w:top w:val="nil"/>
              <w:left w:val="nil"/>
              <w:bottom w:val="nil"/>
              <w:right w:val="nil"/>
            </w:tcBorders>
            <w:vAlign w:val="center"/>
          </w:tcPr>
          <w:p w14:paraId="67EC7AF9" w14:textId="77777777" w:rsidR="0071743E" w:rsidRPr="002F52EF" w:rsidRDefault="0071743E" w:rsidP="0071743E">
            <w:pPr>
              <w:spacing w:after="0" w:line="240" w:lineRule="auto"/>
              <w:rPr>
                <w:rFonts w:ascii="Times New Roman" w:hAnsi="Times New Roman"/>
                <w:sz w:val="18"/>
                <w:szCs w:val="18"/>
                <w:lang w:eastAsia="sk-SK"/>
              </w:rPr>
            </w:pPr>
            <w:r w:rsidRPr="002F52EF">
              <w:rPr>
                <w:rFonts w:ascii="Times New Roman" w:hAnsi="Times New Roman"/>
                <w:sz w:val="18"/>
                <w:szCs w:val="18"/>
                <w:lang w:eastAsia="sk-SK"/>
              </w:rPr>
              <w:t>Softvér</w:t>
            </w:r>
          </w:p>
        </w:tc>
        <w:tc>
          <w:tcPr>
            <w:tcW w:w="719" w:type="pct"/>
            <w:tcBorders>
              <w:top w:val="nil"/>
              <w:left w:val="nil"/>
              <w:bottom w:val="nil"/>
              <w:right w:val="nil"/>
            </w:tcBorders>
            <w:vAlign w:val="center"/>
          </w:tcPr>
          <w:p w14:paraId="76368F53" w14:textId="797D2F05" w:rsidR="0071743E" w:rsidRPr="002F52EF" w:rsidRDefault="0071743E" w:rsidP="007174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442 576</w:t>
            </w:r>
          </w:p>
        </w:tc>
        <w:tc>
          <w:tcPr>
            <w:tcW w:w="707" w:type="pct"/>
            <w:tcBorders>
              <w:top w:val="nil"/>
              <w:left w:val="nil"/>
              <w:bottom w:val="nil"/>
              <w:right w:val="nil"/>
            </w:tcBorders>
            <w:vAlign w:val="center"/>
          </w:tcPr>
          <w:p w14:paraId="2625606F" w14:textId="5281DEA2" w:rsidR="0071743E" w:rsidRPr="002F52EF" w:rsidRDefault="0071743E" w:rsidP="007174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414 826</w:t>
            </w:r>
          </w:p>
        </w:tc>
        <w:tc>
          <w:tcPr>
            <w:tcW w:w="706" w:type="pct"/>
            <w:tcBorders>
              <w:top w:val="nil"/>
              <w:left w:val="nil"/>
              <w:bottom w:val="nil"/>
              <w:right w:val="nil"/>
            </w:tcBorders>
            <w:vAlign w:val="center"/>
          </w:tcPr>
          <w:p w14:paraId="02F150C7" w14:textId="44F0C998" w:rsidR="0071743E" w:rsidRPr="002F52EF" w:rsidRDefault="0071743E" w:rsidP="007174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27 750</w:t>
            </w:r>
          </w:p>
        </w:tc>
      </w:tr>
      <w:tr w:rsidR="0071743E" w:rsidRPr="00975467" w14:paraId="389488E2" w14:textId="77777777" w:rsidTr="0071743E">
        <w:trPr>
          <w:trHeight w:val="284"/>
          <w:jc w:val="center"/>
        </w:trPr>
        <w:tc>
          <w:tcPr>
            <w:tcW w:w="2868" w:type="pct"/>
            <w:tcBorders>
              <w:top w:val="nil"/>
              <w:left w:val="nil"/>
              <w:right w:val="nil"/>
            </w:tcBorders>
            <w:shd w:val="clear" w:color="000000" w:fill="auto"/>
            <w:vAlign w:val="center"/>
          </w:tcPr>
          <w:p w14:paraId="71E80C78" w14:textId="77777777" w:rsidR="0071743E" w:rsidRPr="002F52EF" w:rsidRDefault="0071743E" w:rsidP="0071743E">
            <w:pPr>
              <w:spacing w:after="0" w:line="240" w:lineRule="auto"/>
              <w:rPr>
                <w:rFonts w:ascii="Times New Roman" w:hAnsi="Times New Roman"/>
                <w:bCs/>
                <w:sz w:val="18"/>
                <w:szCs w:val="18"/>
                <w:lang w:eastAsia="sk-SK"/>
              </w:rPr>
            </w:pPr>
            <w:r w:rsidRPr="002F52EF">
              <w:rPr>
                <w:rFonts w:ascii="Times New Roman" w:hAnsi="Times New Roman"/>
                <w:bCs/>
                <w:sz w:val="18"/>
                <w:szCs w:val="18"/>
                <w:lang w:eastAsia="sk-SK"/>
              </w:rPr>
              <w:t>Obstaranie nehmotného majetku</w:t>
            </w:r>
          </w:p>
        </w:tc>
        <w:tc>
          <w:tcPr>
            <w:tcW w:w="719" w:type="pct"/>
            <w:tcBorders>
              <w:top w:val="nil"/>
              <w:left w:val="nil"/>
              <w:right w:val="nil"/>
            </w:tcBorders>
            <w:shd w:val="clear" w:color="000000" w:fill="auto"/>
            <w:vAlign w:val="center"/>
          </w:tcPr>
          <w:p w14:paraId="6E33509A" w14:textId="6472A5E8" w:rsidR="0071743E" w:rsidRPr="002F52EF" w:rsidRDefault="0071743E" w:rsidP="0071743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135 204</w:t>
            </w:r>
          </w:p>
        </w:tc>
        <w:tc>
          <w:tcPr>
            <w:tcW w:w="707" w:type="pct"/>
            <w:tcBorders>
              <w:top w:val="nil"/>
              <w:left w:val="nil"/>
              <w:right w:val="nil"/>
            </w:tcBorders>
            <w:shd w:val="clear" w:color="000000" w:fill="auto"/>
            <w:vAlign w:val="center"/>
          </w:tcPr>
          <w:p w14:paraId="41A80B46" w14:textId="1D539F62" w:rsidR="0071743E" w:rsidRPr="002F52EF" w:rsidRDefault="0071743E" w:rsidP="0071743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95 689</w:t>
            </w:r>
          </w:p>
        </w:tc>
        <w:tc>
          <w:tcPr>
            <w:tcW w:w="706" w:type="pct"/>
            <w:tcBorders>
              <w:top w:val="nil"/>
              <w:left w:val="nil"/>
              <w:right w:val="nil"/>
            </w:tcBorders>
            <w:shd w:val="clear" w:color="000000" w:fill="auto"/>
            <w:vAlign w:val="center"/>
          </w:tcPr>
          <w:p w14:paraId="66C5427C" w14:textId="69EA917C" w:rsidR="0071743E" w:rsidRPr="002F52EF" w:rsidRDefault="0071743E" w:rsidP="0071743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39 515</w:t>
            </w:r>
          </w:p>
        </w:tc>
      </w:tr>
      <w:tr w:rsidR="0071743E" w:rsidRPr="00975467" w14:paraId="6BA63C27" w14:textId="77777777" w:rsidTr="0071743E">
        <w:trPr>
          <w:trHeight w:val="284"/>
          <w:jc w:val="center"/>
        </w:trPr>
        <w:tc>
          <w:tcPr>
            <w:tcW w:w="2868" w:type="pct"/>
            <w:tcBorders>
              <w:top w:val="nil"/>
              <w:left w:val="nil"/>
              <w:bottom w:val="nil"/>
              <w:right w:val="nil"/>
            </w:tcBorders>
            <w:vAlign w:val="center"/>
          </w:tcPr>
          <w:p w14:paraId="355406EA" w14:textId="77777777" w:rsidR="0071743E" w:rsidRPr="002F52EF" w:rsidRDefault="0071743E" w:rsidP="0071743E">
            <w:pPr>
              <w:spacing w:after="0" w:line="240" w:lineRule="auto"/>
              <w:rPr>
                <w:rFonts w:ascii="Times New Roman" w:hAnsi="Times New Roman"/>
                <w:sz w:val="18"/>
                <w:szCs w:val="18"/>
                <w:lang w:eastAsia="sk-SK"/>
              </w:rPr>
            </w:pPr>
            <w:r w:rsidRPr="002F52EF">
              <w:rPr>
                <w:rFonts w:ascii="Times New Roman" w:hAnsi="Times New Roman"/>
                <w:bCs/>
                <w:sz w:val="18"/>
                <w:szCs w:val="18"/>
                <w:lang w:eastAsia="sk-SK"/>
              </w:rPr>
              <w:t>Ostatný dlhodobý nehmotný majetok</w:t>
            </w:r>
          </w:p>
        </w:tc>
        <w:tc>
          <w:tcPr>
            <w:tcW w:w="719" w:type="pct"/>
            <w:tcBorders>
              <w:top w:val="nil"/>
              <w:left w:val="nil"/>
              <w:bottom w:val="nil"/>
              <w:right w:val="nil"/>
            </w:tcBorders>
            <w:vAlign w:val="center"/>
          </w:tcPr>
          <w:p w14:paraId="739A1D6A" w14:textId="66DC3B34" w:rsidR="0071743E" w:rsidRPr="002F52EF" w:rsidRDefault="0071743E" w:rsidP="007174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41 408</w:t>
            </w:r>
          </w:p>
        </w:tc>
        <w:tc>
          <w:tcPr>
            <w:tcW w:w="707" w:type="pct"/>
            <w:tcBorders>
              <w:top w:val="nil"/>
              <w:left w:val="nil"/>
              <w:bottom w:val="nil"/>
              <w:right w:val="nil"/>
            </w:tcBorders>
            <w:vAlign w:val="center"/>
          </w:tcPr>
          <w:p w14:paraId="7A67669D" w14:textId="29D82F15" w:rsidR="0071743E" w:rsidRPr="002F52EF" w:rsidRDefault="0071743E" w:rsidP="0071743E">
            <w:pPr>
              <w:spacing w:after="0" w:line="240" w:lineRule="auto"/>
              <w:jc w:val="right"/>
              <w:rPr>
                <w:rFonts w:ascii="Times New Roman" w:hAnsi="Times New Roman"/>
                <w:sz w:val="18"/>
                <w:szCs w:val="18"/>
                <w:lang w:eastAsia="sk-SK"/>
              </w:rPr>
            </w:pPr>
            <w:r w:rsidRPr="00C66720">
              <w:rPr>
                <w:rFonts w:ascii="Times New Roman" w:hAnsi="Times New Roman"/>
                <w:bCs/>
                <w:sz w:val="18"/>
                <w:szCs w:val="18"/>
                <w:lang w:eastAsia="sk-SK"/>
              </w:rPr>
              <w:t>30 293</w:t>
            </w:r>
          </w:p>
        </w:tc>
        <w:tc>
          <w:tcPr>
            <w:tcW w:w="706" w:type="pct"/>
            <w:tcBorders>
              <w:top w:val="nil"/>
              <w:left w:val="nil"/>
              <w:bottom w:val="nil"/>
              <w:right w:val="nil"/>
            </w:tcBorders>
            <w:vAlign w:val="center"/>
          </w:tcPr>
          <w:p w14:paraId="6BD87FA8" w14:textId="6592EF66" w:rsidR="0071743E" w:rsidRPr="002F52EF" w:rsidRDefault="0071743E" w:rsidP="007174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11 115</w:t>
            </w:r>
          </w:p>
        </w:tc>
      </w:tr>
      <w:tr w:rsidR="0071743E" w:rsidRPr="00975467" w14:paraId="2CE76933" w14:textId="77777777" w:rsidTr="0071743E">
        <w:trPr>
          <w:trHeight w:val="284"/>
          <w:jc w:val="center"/>
        </w:trPr>
        <w:tc>
          <w:tcPr>
            <w:tcW w:w="2868" w:type="pct"/>
            <w:tcBorders>
              <w:top w:val="nil"/>
              <w:left w:val="nil"/>
              <w:bottom w:val="single" w:sz="4" w:space="0" w:color="auto"/>
              <w:right w:val="nil"/>
            </w:tcBorders>
            <w:vAlign w:val="center"/>
          </w:tcPr>
          <w:p w14:paraId="635E8233" w14:textId="77777777" w:rsidR="0071743E" w:rsidRPr="002F52EF" w:rsidRDefault="0071743E" w:rsidP="0071743E">
            <w:pPr>
              <w:spacing w:after="0" w:line="240" w:lineRule="auto"/>
              <w:rPr>
                <w:rFonts w:ascii="Times New Roman" w:hAnsi="Times New Roman"/>
                <w:sz w:val="18"/>
                <w:szCs w:val="18"/>
                <w:lang w:eastAsia="sk-SK"/>
              </w:rPr>
            </w:pPr>
            <w:r w:rsidRPr="002F52EF">
              <w:rPr>
                <w:rFonts w:ascii="Times New Roman" w:hAnsi="Times New Roman"/>
                <w:sz w:val="18"/>
                <w:szCs w:val="18"/>
                <w:lang w:eastAsia="sk-SK"/>
              </w:rPr>
              <w:t>Oceniteľné práva</w:t>
            </w:r>
          </w:p>
        </w:tc>
        <w:tc>
          <w:tcPr>
            <w:tcW w:w="719" w:type="pct"/>
            <w:tcBorders>
              <w:top w:val="nil"/>
              <w:left w:val="nil"/>
              <w:bottom w:val="single" w:sz="4" w:space="0" w:color="auto"/>
              <w:right w:val="nil"/>
            </w:tcBorders>
            <w:vAlign w:val="center"/>
          </w:tcPr>
          <w:p w14:paraId="3BB5DD3B" w14:textId="50F713CA" w:rsidR="0071743E" w:rsidRPr="002F52EF" w:rsidRDefault="0071743E" w:rsidP="007174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28 958</w:t>
            </w:r>
          </w:p>
        </w:tc>
        <w:tc>
          <w:tcPr>
            <w:tcW w:w="707" w:type="pct"/>
            <w:tcBorders>
              <w:top w:val="nil"/>
              <w:left w:val="nil"/>
              <w:bottom w:val="single" w:sz="4" w:space="0" w:color="auto"/>
              <w:right w:val="nil"/>
            </w:tcBorders>
            <w:vAlign w:val="center"/>
          </w:tcPr>
          <w:p w14:paraId="4AF50031" w14:textId="31BF1043" w:rsidR="0071743E" w:rsidRPr="002F52EF" w:rsidRDefault="0071743E" w:rsidP="007174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21 238</w:t>
            </w:r>
          </w:p>
        </w:tc>
        <w:tc>
          <w:tcPr>
            <w:tcW w:w="706" w:type="pct"/>
            <w:tcBorders>
              <w:top w:val="nil"/>
              <w:left w:val="nil"/>
              <w:bottom w:val="single" w:sz="4" w:space="0" w:color="auto"/>
              <w:right w:val="nil"/>
            </w:tcBorders>
            <w:vAlign w:val="center"/>
          </w:tcPr>
          <w:p w14:paraId="341536E3" w14:textId="66CAF1F9" w:rsidR="0071743E" w:rsidRPr="002F52EF" w:rsidRDefault="0071743E" w:rsidP="007174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7 720</w:t>
            </w:r>
          </w:p>
        </w:tc>
      </w:tr>
      <w:tr w:rsidR="0071743E" w:rsidRPr="00975467" w14:paraId="1C1AAC13" w14:textId="77777777" w:rsidTr="00241F33">
        <w:trPr>
          <w:trHeight w:val="284"/>
          <w:jc w:val="center"/>
        </w:trPr>
        <w:tc>
          <w:tcPr>
            <w:tcW w:w="2868" w:type="pct"/>
            <w:tcBorders>
              <w:top w:val="single" w:sz="4" w:space="0" w:color="auto"/>
              <w:left w:val="nil"/>
              <w:bottom w:val="single" w:sz="4" w:space="0" w:color="000000"/>
              <w:right w:val="nil"/>
            </w:tcBorders>
            <w:shd w:val="clear" w:color="000000" w:fill="auto"/>
            <w:vAlign w:val="center"/>
          </w:tcPr>
          <w:p w14:paraId="44BB8EFC" w14:textId="77777777" w:rsidR="0071743E" w:rsidRPr="002F52EF" w:rsidRDefault="0071743E" w:rsidP="0071743E">
            <w:pPr>
              <w:spacing w:after="0" w:line="240" w:lineRule="auto"/>
              <w:rPr>
                <w:rFonts w:ascii="Times New Roman" w:hAnsi="Times New Roman"/>
                <w:b/>
                <w:bCs/>
                <w:sz w:val="18"/>
                <w:szCs w:val="18"/>
                <w:lang w:eastAsia="sk-SK"/>
              </w:rPr>
            </w:pPr>
            <w:r w:rsidRPr="002F52EF">
              <w:rPr>
                <w:rFonts w:ascii="Times New Roman" w:hAnsi="Times New Roman"/>
                <w:b/>
                <w:bCs/>
                <w:sz w:val="18"/>
                <w:szCs w:val="18"/>
                <w:lang w:eastAsia="sk-SK"/>
              </w:rPr>
              <w:t>Spolu</w:t>
            </w:r>
          </w:p>
        </w:tc>
        <w:tc>
          <w:tcPr>
            <w:tcW w:w="719" w:type="pct"/>
            <w:tcBorders>
              <w:top w:val="single" w:sz="4" w:space="0" w:color="auto"/>
              <w:left w:val="nil"/>
              <w:bottom w:val="single" w:sz="4" w:space="0" w:color="000000"/>
              <w:right w:val="nil"/>
            </w:tcBorders>
            <w:shd w:val="clear" w:color="000000" w:fill="auto"/>
            <w:vAlign w:val="center"/>
          </w:tcPr>
          <w:p w14:paraId="6A6941FF" w14:textId="12B1DDE3" w:rsidR="0071743E" w:rsidRPr="002F52EF" w:rsidRDefault="0071743E" w:rsidP="0071743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648 146</w:t>
            </w:r>
          </w:p>
        </w:tc>
        <w:tc>
          <w:tcPr>
            <w:tcW w:w="707" w:type="pct"/>
            <w:tcBorders>
              <w:top w:val="single" w:sz="4" w:space="0" w:color="auto"/>
              <w:left w:val="nil"/>
              <w:bottom w:val="single" w:sz="4" w:space="0" w:color="000000"/>
              <w:right w:val="nil"/>
            </w:tcBorders>
            <w:shd w:val="clear" w:color="000000" w:fill="auto"/>
            <w:vAlign w:val="center"/>
          </w:tcPr>
          <w:p w14:paraId="6315B56B" w14:textId="4C9A0DAE" w:rsidR="0071743E" w:rsidRPr="002F52EF" w:rsidRDefault="0071743E" w:rsidP="0071743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562 046</w:t>
            </w:r>
          </w:p>
        </w:tc>
        <w:tc>
          <w:tcPr>
            <w:tcW w:w="706" w:type="pct"/>
            <w:tcBorders>
              <w:top w:val="single" w:sz="4" w:space="0" w:color="auto"/>
              <w:left w:val="nil"/>
              <w:bottom w:val="single" w:sz="4" w:space="0" w:color="000000"/>
              <w:right w:val="nil"/>
            </w:tcBorders>
            <w:shd w:val="clear" w:color="000000" w:fill="auto"/>
            <w:vAlign w:val="center"/>
          </w:tcPr>
          <w:p w14:paraId="52DDA548" w14:textId="51028882" w:rsidR="0071743E" w:rsidRPr="002F52EF" w:rsidRDefault="0071743E" w:rsidP="0071743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86 100</w:t>
            </w:r>
          </w:p>
        </w:tc>
      </w:tr>
    </w:tbl>
    <w:p w14:paraId="4EF9F68E" w14:textId="4648247A" w:rsidR="0071743E" w:rsidRPr="00C66720" w:rsidRDefault="0071743E" w:rsidP="0071390C">
      <w:pPr>
        <w:tabs>
          <w:tab w:val="num" w:pos="0"/>
        </w:tabs>
        <w:spacing w:after="120" w:line="240" w:lineRule="auto"/>
        <w:jc w:val="right"/>
        <w:rPr>
          <w:rFonts w:ascii="Times New Roman" w:hAnsi="Times New Roman"/>
          <w:szCs w:val="22"/>
          <w:lang w:eastAsia="sk-SK"/>
        </w:rPr>
      </w:pPr>
      <w:r>
        <w:rPr>
          <w:rFonts w:ascii="Times New Roman" w:hAnsi="Times New Roman"/>
          <w:sz w:val="18"/>
          <w:szCs w:val="18"/>
        </w:rPr>
        <w:t>Zdroj: MF SR, Centrálny konsolidačný systém</w:t>
      </w:r>
    </w:p>
    <w:p w14:paraId="0A2FADAA" w14:textId="3C75AF17" w:rsidR="00187193" w:rsidRPr="00B240A3" w:rsidRDefault="002D6290" w:rsidP="003036DD">
      <w:pPr>
        <w:tabs>
          <w:tab w:val="num" w:pos="0"/>
        </w:tabs>
        <w:spacing w:before="180" w:after="120" w:line="240" w:lineRule="auto"/>
        <w:jc w:val="both"/>
        <w:rPr>
          <w:rFonts w:ascii="Times New Roman" w:hAnsi="Times New Roman"/>
          <w:b/>
          <w:szCs w:val="22"/>
          <w:lang w:eastAsia="sk-SK"/>
        </w:rPr>
      </w:pPr>
      <w:r w:rsidRPr="00B240A3">
        <w:rPr>
          <w:rFonts w:ascii="Times New Roman" w:hAnsi="Times New Roman"/>
          <w:b/>
          <w:szCs w:val="22"/>
          <w:lang w:eastAsia="sk-SK"/>
        </w:rPr>
        <w:t>Dlhodobý nehmotný majetok</w:t>
      </w:r>
      <w:r w:rsidR="00187193" w:rsidRPr="00B240A3">
        <w:rPr>
          <w:rFonts w:ascii="Times New Roman" w:hAnsi="Times New Roman"/>
          <w:b/>
          <w:szCs w:val="22"/>
          <w:lang w:eastAsia="sk-SK"/>
        </w:rPr>
        <w:t xml:space="preserve"> oproti roku 2021</w:t>
      </w:r>
      <w:r w:rsidR="00EF3F31" w:rsidRPr="00B240A3">
        <w:rPr>
          <w:rFonts w:ascii="Times New Roman" w:hAnsi="Times New Roman"/>
          <w:b/>
          <w:szCs w:val="22"/>
          <w:lang w:eastAsia="sk-SK"/>
        </w:rPr>
        <w:t xml:space="preserve"> </w:t>
      </w:r>
      <w:r w:rsidR="00184DAE" w:rsidRPr="00B240A3">
        <w:rPr>
          <w:rFonts w:ascii="Times New Roman" w:hAnsi="Times New Roman"/>
          <w:b/>
          <w:szCs w:val="22"/>
          <w:lang w:eastAsia="sk-SK"/>
        </w:rPr>
        <w:t xml:space="preserve">celkovo </w:t>
      </w:r>
      <w:r w:rsidR="008D7BE2" w:rsidRPr="00B240A3">
        <w:rPr>
          <w:rFonts w:ascii="Times New Roman" w:hAnsi="Times New Roman"/>
          <w:b/>
          <w:szCs w:val="22"/>
          <w:lang w:eastAsia="sk-SK"/>
        </w:rPr>
        <w:t>vzrástol</w:t>
      </w:r>
      <w:r w:rsidR="00EF3F31" w:rsidRPr="00B240A3">
        <w:rPr>
          <w:rFonts w:ascii="Times New Roman" w:hAnsi="Times New Roman"/>
          <w:b/>
          <w:szCs w:val="22"/>
          <w:lang w:eastAsia="sk-SK"/>
        </w:rPr>
        <w:t xml:space="preserve"> o</w:t>
      </w:r>
      <w:r w:rsidR="000E2B3F" w:rsidRPr="00B240A3">
        <w:rPr>
          <w:rFonts w:ascii="Times New Roman" w:hAnsi="Times New Roman"/>
          <w:b/>
          <w:szCs w:val="22"/>
          <w:lang w:eastAsia="sk-SK"/>
        </w:rPr>
        <w:t> </w:t>
      </w:r>
      <w:r w:rsidR="00187193" w:rsidRPr="00B240A3">
        <w:rPr>
          <w:rFonts w:ascii="Times New Roman" w:hAnsi="Times New Roman"/>
          <w:b/>
          <w:szCs w:val="22"/>
          <w:lang w:eastAsia="sk-SK"/>
        </w:rPr>
        <w:t>8</w:t>
      </w:r>
      <w:r w:rsidR="000E2B3F" w:rsidRPr="00B240A3">
        <w:rPr>
          <w:rFonts w:ascii="Times New Roman" w:hAnsi="Times New Roman"/>
          <w:b/>
          <w:szCs w:val="22"/>
          <w:lang w:eastAsia="sk-SK"/>
        </w:rPr>
        <w:t>6 100</w:t>
      </w:r>
      <w:r w:rsidR="00F560B9" w:rsidRPr="00B240A3">
        <w:rPr>
          <w:rFonts w:ascii="Times New Roman" w:hAnsi="Times New Roman"/>
          <w:b/>
          <w:szCs w:val="22"/>
          <w:lang w:eastAsia="sk-SK"/>
        </w:rPr>
        <w:t xml:space="preserve"> tis. eur</w:t>
      </w:r>
      <w:r w:rsidR="00245927" w:rsidRPr="00B240A3">
        <w:rPr>
          <w:rFonts w:ascii="Times New Roman" w:hAnsi="Times New Roman"/>
          <w:b/>
          <w:szCs w:val="22"/>
          <w:lang w:eastAsia="sk-SK"/>
        </w:rPr>
        <w:t>.</w:t>
      </w:r>
      <w:r w:rsidR="00327AE1" w:rsidRPr="00B240A3">
        <w:rPr>
          <w:rFonts w:ascii="Times New Roman" w:hAnsi="Times New Roman"/>
          <w:b/>
          <w:szCs w:val="22"/>
          <w:lang w:eastAsia="sk-SK"/>
        </w:rPr>
        <w:t xml:space="preserve"> </w:t>
      </w:r>
      <w:r w:rsidR="00187193" w:rsidRPr="00B240A3">
        <w:rPr>
          <w:rFonts w:ascii="Times New Roman" w:hAnsi="Times New Roman"/>
          <w:b/>
          <w:szCs w:val="22"/>
          <w:lang w:eastAsia="sk-SK"/>
        </w:rPr>
        <w:t>Prírastok</w:t>
      </w:r>
      <w:r w:rsidR="00245927" w:rsidRPr="00B240A3">
        <w:rPr>
          <w:rFonts w:ascii="Times New Roman" w:hAnsi="Times New Roman"/>
          <w:b/>
          <w:szCs w:val="22"/>
          <w:lang w:eastAsia="sk-SK"/>
        </w:rPr>
        <w:t xml:space="preserve"> bol zazn</w:t>
      </w:r>
      <w:r w:rsidR="00A14FFD" w:rsidRPr="00B240A3">
        <w:rPr>
          <w:rFonts w:ascii="Times New Roman" w:hAnsi="Times New Roman"/>
          <w:b/>
          <w:szCs w:val="22"/>
          <w:lang w:eastAsia="sk-SK"/>
        </w:rPr>
        <w:t>amenaný</w:t>
      </w:r>
      <w:r w:rsidR="00187193" w:rsidRPr="00B240A3">
        <w:rPr>
          <w:rFonts w:ascii="Times New Roman" w:hAnsi="Times New Roman"/>
          <w:b/>
          <w:szCs w:val="22"/>
          <w:lang w:eastAsia="sk-SK"/>
        </w:rPr>
        <w:t xml:space="preserve"> na všetkých položkách nehmotného majetku (</w:t>
      </w:r>
      <w:r w:rsidR="00A14FFD" w:rsidRPr="00B240A3">
        <w:rPr>
          <w:rFonts w:ascii="Times New Roman" w:hAnsi="Times New Roman"/>
          <w:b/>
          <w:szCs w:val="22"/>
          <w:lang w:eastAsia="sk-SK"/>
        </w:rPr>
        <w:t xml:space="preserve">na položke </w:t>
      </w:r>
      <w:r w:rsidR="00187193" w:rsidRPr="00B240A3">
        <w:rPr>
          <w:rFonts w:ascii="Times New Roman" w:hAnsi="Times New Roman"/>
          <w:b/>
          <w:szCs w:val="22"/>
          <w:lang w:eastAsia="sk-SK"/>
        </w:rPr>
        <w:t>obstarania dlhodobého nehmotného majetku o 39 515 tis. eur, softvéru o</w:t>
      </w:r>
      <w:r w:rsidR="000E2B3F" w:rsidRPr="00B240A3">
        <w:rPr>
          <w:rFonts w:ascii="Times New Roman" w:hAnsi="Times New Roman"/>
          <w:b/>
          <w:szCs w:val="22"/>
          <w:lang w:eastAsia="sk-SK"/>
        </w:rPr>
        <w:t> </w:t>
      </w:r>
      <w:r w:rsidR="00187193" w:rsidRPr="00B240A3">
        <w:rPr>
          <w:rFonts w:ascii="Times New Roman" w:hAnsi="Times New Roman"/>
          <w:b/>
          <w:szCs w:val="22"/>
          <w:lang w:eastAsia="sk-SK"/>
        </w:rPr>
        <w:t>2</w:t>
      </w:r>
      <w:r w:rsidR="000E2B3F" w:rsidRPr="00B240A3">
        <w:rPr>
          <w:rFonts w:ascii="Times New Roman" w:hAnsi="Times New Roman"/>
          <w:b/>
          <w:szCs w:val="22"/>
          <w:lang w:eastAsia="sk-SK"/>
        </w:rPr>
        <w:t>7 750</w:t>
      </w:r>
      <w:r w:rsidR="00187193" w:rsidRPr="00B240A3">
        <w:rPr>
          <w:rFonts w:ascii="Times New Roman" w:hAnsi="Times New Roman"/>
          <w:b/>
          <w:szCs w:val="22"/>
          <w:lang w:eastAsia="sk-SK"/>
        </w:rPr>
        <w:t xml:space="preserve"> tis. eur, oceniteľných práv o 7 7</w:t>
      </w:r>
      <w:r w:rsidR="000E2B3F" w:rsidRPr="00B240A3">
        <w:rPr>
          <w:rFonts w:ascii="Times New Roman" w:hAnsi="Times New Roman"/>
          <w:b/>
          <w:szCs w:val="22"/>
          <w:lang w:eastAsia="sk-SK"/>
        </w:rPr>
        <w:t>20</w:t>
      </w:r>
      <w:r w:rsidR="00187193" w:rsidRPr="00B240A3">
        <w:rPr>
          <w:rFonts w:ascii="Times New Roman" w:hAnsi="Times New Roman"/>
          <w:b/>
          <w:szCs w:val="22"/>
          <w:lang w:eastAsia="sk-SK"/>
        </w:rPr>
        <w:t xml:space="preserve"> </w:t>
      </w:r>
      <w:r w:rsidR="004204A6" w:rsidRPr="00B240A3">
        <w:rPr>
          <w:rFonts w:ascii="Times New Roman" w:hAnsi="Times New Roman"/>
          <w:b/>
          <w:szCs w:val="22"/>
          <w:lang w:eastAsia="sk-SK"/>
        </w:rPr>
        <w:t>tis eur</w:t>
      </w:r>
      <w:r w:rsidR="00187193" w:rsidRPr="00B240A3">
        <w:rPr>
          <w:rFonts w:ascii="Times New Roman" w:hAnsi="Times New Roman"/>
          <w:b/>
          <w:szCs w:val="22"/>
          <w:lang w:eastAsia="sk-SK"/>
        </w:rPr>
        <w:t xml:space="preserve"> a ostatného dlhodobého nehmotného majetku o 11 </w:t>
      </w:r>
      <w:r w:rsidR="000E2B3F" w:rsidRPr="00B240A3">
        <w:rPr>
          <w:rFonts w:ascii="Times New Roman" w:hAnsi="Times New Roman"/>
          <w:b/>
          <w:szCs w:val="22"/>
          <w:lang w:eastAsia="sk-SK"/>
        </w:rPr>
        <w:t>115</w:t>
      </w:r>
      <w:r w:rsidR="00187193" w:rsidRPr="00B240A3">
        <w:rPr>
          <w:rFonts w:ascii="Times New Roman" w:hAnsi="Times New Roman"/>
          <w:b/>
          <w:szCs w:val="22"/>
          <w:lang w:eastAsia="sk-SK"/>
        </w:rPr>
        <w:t xml:space="preserve"> tis. eur).</w:t>
      </w:r>
    </w:p>
    <w:p w14:paraId="1DDDEFBA" w14:textId="613CA42C" w:rsidR="00B21BDF" w:rsidRPr="00C66720" w:rsidRDefault="00B21BDF" w:rsidP="006B7F8A">
      <w:pPr>
        <w:pStyle w:val="Pismenka"/>
        <w:numPr>
          <w:ilvl w:val="0"/>
          <w:numId w:val="44"/>
        </w:numPr>
        <w:spacing w:before="240" w:after="120"/>
        <w:ind w:left="284" w:hanging="284"/>
        <w:rPr>
          <w:bCs w:val="0"/>
          <w:i/>
          <w:sz w:val="22"/>
          <w:szCs w:val="22"/>
          <w:u w:val="single"/>
        </w:rPr>
      </w:pPr>
      <w:bookmarkStart w:id="2" w:name="_Ref86049431"/>
      <w:r w:rsidRPr="00C66720">
        <w:rPr>
          <w:bCs w:val="0"/>
          <w:i/>
          <w:sz w:val="22"/>
          <w:szCs w:val="22"/>
          <w:u w:val="single"/>
        </w:rPr>
        <w:t>Softvér</w:t>
      </w:r>
      <w:bookmarkEnd w:id="2"/>
    </w:p>
    <w:p w14:paraId="26ACC533" w14:textId="677C0C7A" w:rsidR="00605542" w:rsidRPr="00C66720" w:rsidRDefault="00AA6EA7" w:rsidP="003036DD">
      <w:pPr>
        <w:pStyle w:val="Pismenka"/>
        <w:tabs>
          <w:tab w:val="clear" w:pos="426"/>
          <w:tab w:val="num" w:pos="0"/>
        </w:tabs>
        <w:spacing w:before="120" w:after="120"/>
        <w:ind w:left="0" w:firstLine="0"/>
        <w:rPr>
          <w:b w:val="0"/>
          <w:bCs w:val="0"/>
          <w:sz w:val="22"/>
          <w:szCs w:val="22"/>
        </w:rPr>
      </w:pPr>
      <w:r w:rsidRPr="00C66720">
        <w:rPr>
          <w:b w:val="0"/>
          <w:bCs w:val="0"/>
          <w:sz w:val="22"/>
          <w:szCs w:val="22"/>
        </w:rPr>
        <w:t>Najväčší podiel na zostatkovej hodnote s</w:t>
      </w:r>
      <w:r w:rsidR="00931D30" w:rsidRPr="00C66720">
        <w:rPr>
          <w:b w:val="0"/>
          <w:bCs w:val="0"/>
          <w:sz w:val="22"/>
          <w:szCs w:val="22"/>
        </w:rPr>
        <w:t>oftvér</w:t>
      </w:r>
      <w:r w:rsidRPr="00C66720">
        <w:rPr>
          <w:b w:val="0"/>
          <w:bCs w:val="0"/>
          <w:sz w:val="22"/>
          <w:szCs w:val="22"/>
        </w:rPr>
        <w:t xml:space="preserve">u má </w:t>
      </w:r>
      <w:r w:rsidR="00931D30" w:rsidRPr="00C66720">
        <w:rPr>
          <w:b w:val="0"/>
          <w:bCs w:val="0"/>
          <w:sz w:val="22"/>
          <w:szCs w:val="22"/>
        </w:rPr>
        <w:t>ústredn</w:t>
      </w:r>
      <w:r w:rsidRPr="00C66720">
        <w:rPr>
          <w:b w:val="0"/>
          <w:bCs w:val="0"/>
          <w:sz w:val="22"/>
          <w:szCs w:val="22"/>
        </w:rPr>
        <w:t>á</w:t>
      </w:r>
      <w:r w:rsidR="00931D30" w:rsidRPr="00C66720">
        <w:rPr>
          <w:b w:val="0"/>
          <w:bCs w:val="0"/>
          <w:sz w:val="22"/>
          <w:szCs w:val="22"/>
        </w:rPr>
        <w:t xml:space="preserve"> správ</w:t>
      </w:r>
      <w:r w:rsidRPr="00C66720">
        <w:rPr>
          <w:b w:val="0"/>
          <w:bCs w:val="0"/>
          <w:sz w:val="22"/>
          <w:szCs w:val="22"/>
        </w:rPr>
        <w:t xml:space="preserve">a, pričom ide najmä o ministerstvá a ostatné štátne rozpočtové a príspevkové organizácie. Ústredná správa </w:t>
      </w:r>
      <w:r w:rsidR="00931D30" w:rsidRPr="00C66720">
        <w:rPr>
          <w:b w:val="0"/>
          <w:bCs w:val="0"/>
          <w:sz w:val="22"/>
          <w:szCs w:val="22"/>
        </w:rPr>
        <w:t>tvorí z</w:t>
      </w:r>
      <w:r w:rsidR="000F5AFC" w:rsidRPr="00C66720">
        <w:rPr>
          <w:b w:val="0"/>
          <w:bCs w:val="0"/>
          <w:sz w:val="22"/>
          <w:szCs w:val="22"/>
        </w:rPr>
        <w:t xml:space="preserve"> jeho</w:t>
      </w:r>
      <w:r w:rsidR="00931D30" w:rsidRPr="00C66720">
        <w:rPr>
          <w:b w:val="0"/>
          <w:bCs w:val="0"/>
          <w:sz w:val="22"/>
          <w:szCs w:val="22"/>
        </w:rPr>
        <w:t xml:space="preserve"> celkovej hodnoty </w:t>
      </w:r>
      <w:r w:rsidR="000F5AFC" w:rsidRPr="00C66720">
        <w:rPr>
          <w:b w:val="0"/>
          <w:bCs w:val="0"/>
          <w:sz w:val="22"/>
          <w:szCs w:val="22"/>
        </w:rPr>
        <w:t>v súhrnnom celku</w:t>
      </w:r>
      <w:r w:rsidR="00931D30" w:rsidRPr="00C66720">
        <w:rPr>
          <w:b w:val="0"/>
          <w:bCs w:val="0"/>
          <w:sz w:val="22"/>
          <w:szCs w:val="22"/>
        </w:rPr>
        <w:t xml:space="preserve"> </w:t>
      </w:r>
      <w:r w:rsidR="002D1669" w:rsidRPr="00C66720">
        <w:rPr>
          <w:b w:val="0"/>
          <w:bCs w:val="0"/>
          <w:sz w:val="22"/>
          <w:szCs w:val="22"/>
        </w:rPr>
        <w:t>9</w:t>
      </w:r>
      <w:r w:rsidR="000D616F" w:rsidRPr="00C66720">
        <w:rPr>
          <w:b w:val="0"/>
          <w:bCs w:val="0"/>
          <w:sz w:val="22"/>
          <w:szCs w:val="22"/>
        </w:rPr>
        <w:t>3,2</w:t>
      </w:r>
      <w:r w:rsidR="00931D30" w:rsidRPr="00C66720">
        <w:rPr>
          <w:b w:val="0"/>
          <w:bCs w:val="0"/>
          <w:sz w:val="22"/>
          <w:szCs w:val="22"/>
        </w:rPr>
        <w:t xml:space="preserve"> %, v absolútnej hodnote je to</w:t>
      </w:r>
      <w:r w:rsidR="00D83FA3" w:rsidRPr="00C66720">
        <w:rPr>
          <w:b w:val="0"/>
          <w:bCs w:val="0"/>
          <w:sz w:val="22"/>
          <w:szCs w:val="22"/>
        </w:rPr>
        <w:t xml:space="preserve"> </w:t>
      </w:r>
      <w:r w:rsidR="0069604C" w:rsidRPr="00C66720">
        <w:rPr>
          <w:b w:val="0"/>
          <w:bCs w:val="0"/>
          <w:sz w:val="22"/>
          <w:szCs w:val="22"/>
        </w:rPr>
        <w:t>412 595 tis. eur (2021</w:t>
      </w:r>
      <w:r w:rsidR="002D1669" w:rsidRPr="00C66720">
        <w:rPr>
          <w:b w:val="0"/>
          <w:bCs w:val="0"/>
          <w:sz w:val="22"/>
          <w:szCs w:val="22"/>
        </w:rPr>
        <w:t xml:space="preserve">: </w:t>
      </w:r>
      <w:r w:rsidR="0069604C" w:rsidRPr="00C66720">
        <w:rPr>
          <w:b w:val="0"/>
          <w:bCs w:val="0"/>
          <w:sz w:val="22"/>
          <w:szCs w:val="22"/>
        </w:rPr>
        <w:t>392 931</w:t>
      </w:r>
      <w:r w:rsidR="00632D0C" w:rsidRPr="00C66720">
        <w:rPr>
          <w:b w:val="0"/>
          <w:bCs w:val="0"/>
          <w:sz w:val="22"/>
          <w:szCs w:val="22"/>
        </w:rPr>
        <w:t xml:space="preserve"> </w:t>
      </w:r>
      <w:r w:rsidR="00B17194" w:rsidRPr="00C66720">
        <w:rPr>
          <w:b w:val="0"/>
          <w:bCs w:val="0"/>
          <w:sz w:val="22"/>
          <w:szCs w:val="22"/>
        </w:rPr>
        <w:t>tis. eur</w:t>
      </w:r>
      <w:r w:rsidR="002D1669" w:rsidRPr="00C66720">
        <w:rPr>
          <w:b w:val="0"/>
          <w:bCs w:val="0"/>
          <w:sz w:val="22"/>
          <w:szCs w:val="22"/>
        </w:rPr>
        <w:t>)</w:t>
      </w:r>
      <w:r w:rsidR="000C711D" w:rsidRPr="00C66720">
        <w:rPr>
          <w:b w:val="0"/>
          <w:bCs w:val="0"/>
          <w:sz w:val="22"/>
          <w:szCs w:val="22"/>
        </w:rPr>
        <w:t xml:space="preserve">, </w:t>
      </w:r>
      <w:r w:rsidR="00310BCC" w:rsidRPr="00C66720">
        <w:rPr>
          <w:b w:val="0"/>
          <w:bCs w:val="0"/>
          <w:sz w:val="22"/>
          <w:szCs w:val="22"/>
        </w:rPr>
        <w:t>a zároveň má aj</w:t>
      </w:r>
      <w:r w:rsidR="000C711D" w:rsidRPr="00C66720">
        <w:rPr>
          <w:b w:val="0"/>
          <w:bCs w:val="0"/>
          <w:sz w:val="22"/>
          <w:szCs w:val="22"/>
        </w:rPr>
        <w:t xml:space="preserve"> rozhodujúci podiel na medziročnom </w:t>
      </w:r>
      <w:r w:rsidR="0069604C" w:rsidRPr="00C66720">
        <w:rPr>
          <w:b w:val="0"/>
          <w:bCs w:val="0"/>
          <w:sz w:val="22"/>
          <w:szCs w:val="22"/>
        </w:rPr>
        <w:t>prírastku</w:t>
      </w:r>
      <w:r w:rsidR="000C711D" w:rsidRPr="00C66720">
        <w:rPr>
          <w:b w:val="0"/>
          <w:bCs w:val="0"/>
          <w:sz w:val="22"/>
          <w:szCs w:val="22"/>
        </w:rPr>
        <w:t xml:space="preserve"> </w:t>
      </w:r>
      <w:r w:rsidR="00D83FA3" w:rsidRPr="00C66720">
        <w:rPr>
          <w:b w:val="0"/>
          <w:bCs w:val="0"/>
          <w:sz w:val="22"/>
          <w:szCs w:val="22"/>
        </w:rPr>
        <w:t>o</w:t>
      </w:r>
      <w:r w:rsidR="0069604C" w:rsidRPr="00C66720">
        <w:rPr>
          <w:b w:val="0"/>
          <w:bCs w:val="0"/>
          <w:sz w:val="22"/>
          <w:szCs w:val="22"/>
        </w:rPr>
        <w:t> 19 665</w:t>
      </w:r>
      <w:r w:rsidR="00972386" w:rsidRPr="00C66720">
        <w:rPr>
          <w:b w:val="0"/>
          <w:bCs w:val="0"/>
          <w:sz w:val="22"/>
          <w:szCs w:val="22"/>
        </w:rPr>
        <w:t xml:space="preserve"> tis. eur</w:t>
      </w:r>
      <w:r w:rsidR="00605542" w:rsidRPr="00C66720">
        <w:rPr>
          <w:b w:val="0"/>
          <w:bCs w:val="0"/>
          <w:sz w:val="22"/>
          <w:szCs w:val="22"/>
        </w:rPr>
        <w:t>.</w:t>
      </w:r>
    </w:p>
    <w:p w14:paraId="664284D7" w14:textId="1F716F16" w:rsidR="00055AA2" w:rsidRPr="00C66720" w:rsidRDefault="003B2588" w:rsidP="003036DD">
      <w:pPr>
        <w:pStyle w:val="Pismenka"/>
        <w:tabs>
          <w:tab w:val="clear" w:pos="426"/>
          <w:tab w:val="num" w:pos="0"/>
        </w:tabs>
        <w:spacing w:before="120" w:after="120"/>
        <w:ind w:left="0" w:firstLine="0"/>
        <w:rPr>
          <w:b w:val="0"/>
          <w:bCs w:val="0"/>
          <w:sz w:val="22"/>
          <w:szCs w:val="22"/>
        </w:rPr>
      </w:pPr>
      <w:r w:rsidRPr="00C66720">
        <w:rPr>
          <w:b w:val="0"/>
          <w:bCs w:val="0"/>
          <w:sz w:val="22"/>
          <w:szCs w:val="22"/>
        </w:rPr>
        <w:lastRenderedPageBreak/>
        <w:t xml:space="preserve">V rozhodujúcej miere ide o informačné systémy, ktoré sú budované s cieľom </w:t>
      </w:r>
      <w:r w:rsidR="00AA6EA7" w:rsidRPr="00C66720">
        <w:rPr>
          <w:b w:val="0"/>
          <w:bCs w:val="0"/>
          <w:sz w:val="22"/>
          <w:szCs w:val="22"/>
        </w:rPr>
        <w:t>zvyšovani</w:t>
      </w:r>
      <w:r w:rsidR="00E83E1B" w:rsidRPr="00C66720">
        <w:rPr>
          <w:b w:val="0"/>
          <w:bCs w:val="0"/>
          <w:sz w:val="22"/>
          <w:szCs w:val="22"/>
        </w:rPr>
        <w:t>a</w:t>
      </w:r>
      <w:r w:rsidR="00BA57FB" w:rsidRPr="00C66720">
        <w:rPr>
          <w:b w:val="0"/>
          <w:bCs w:val="0"/>
          <w:sz w:val="22"/>
          <w:szCs w:val="22"/>
        </w:rPr>
        <w:t xml:space="preserve"> </w:t>
      </w:r>
      <w:r w:rsidRPr="00C66720">
        <w:rPr>
          <w:b w:val="0"/>
          <w:bCs w:val="0"/>
          <w:sz w:val="22"/>
          <w:szCs w:val="22"/>
        </w:rPr>
        <w:t xml:space="preserve">elektronizácie </w:t>
      </w:r>
      <w:r w:rsidR="00E83E1B" w:rsidRPr="00C66720">
        <w:rPr>
          <w:b w:val="0"/>
          <w:bCs w:val="0"/>
          <w:sz w:val="22"/>
          <w:szCs w:val="22"/>
        </w:rPr>
        <w:t>verejnej správy, zjednodušovania</w:t>
      </w:r>
      <w:r w:rsidRPr="00C66720">
        <w:rPr>
          <w:b w:val="0"/>
          <w:bCs w:val="0"/>
          <w:sz w:val="22"/>
          <w:szCs w:val="22"/>
        </w:rPr>
        <w:t xml:space="preserve"> komunikácie občanov </w:t>
      </w:r>
      <w:r w:rsidR="00E83E1B" w:rsidRPr="00C66720">
        <w:rPr>
          <w:b w:val="0"/>
          <w:bCs w:val="0"/>
          <w:sz w:val="22"/>
          <w:szCs w:val="22"/>
        </w:rPr>
        <w:t>so štátnymi úradmi, zabezpečenia</w:t>
      </w:r>
      <w:r w:rsidRPr="00C66720">
        <w:rPr>
          <w:b w:val="0"/>
          <w:bCs w:val="0"/>
          <w:sz w:val="22"/>
          <w:szCs w:val="22"/>
        </w:rPr>
        <w:t xml:space="preserve"> nových úloh a kompetencií štátnych organizácií a</w:t>
      </w:r>
      <w:r w:rsidR="00BA57FB" w:rsidRPr="00C66720">
        <w:rPr>
          <w:b w:val="0"/>
          <w:bCs w:val="0"/>
          <w:sz w:val="22"/>
          <w:szCs w:val="22"/>
        </w:rPr>
        <w:t> </w:t>
      </w:r>
      <w:r w:rsidR="00E83E1B" w:rsidRPr="00C66720">
        <w:rPr>
          <w:b w:val="0"/>
          <w:bCs w:val="0"/>
          <w:sz w:val="22"/>
          <w:szCs w:val="22"/>
        </w:rPr>
        <w:t>elektronizácie</w:t>
      </w:r>
      <w:r w:rsidRPr="00C66720">
        <w:rPr>
          <w:b w:val="0"/>
          <w:bCs w:val="0"/>
          <w:sz w:val="22"/>
          <w:szCs w:val="22"/>
        </w:rPr>
        <w:t xml:space="preserve"> ich súčasných procesov</w:t>
      </w:r>
      <w:r w:rsidR="00AA6EA7" w:rsidRPr="00C66720">
        <w:rPr>
          <w:b w:val="0"/>
          <w:bCs w:val="0"/>
          <w:sz w:val="22"/>
          <w:szCs w:val="22"/>
        </w:rPr>
        <w:t xml:space="preserve"> (napríklad účtovníctvo, výkazníctvo, registre,</w:t>
      </w:r>
      <w:r w:rsidR="00A14FFD" w:rsidRPr="00C66720">
        <w:rPr>
          <w:b w:val="0"/>
          <w:bCs w:val="0"/>
          <w:sz w:val="22"/>
          <w:szCs w:val="22"/>
        </w:rPr>
        <w:t xml:space="preserve"> údajové databázy,</w:t>
      </w:r>
      <w:r w:rsidR="00AA6EA7" w:rsidRPr="00C66720">
        <w:rPr>
          <w:b w:val="0"/>
          <w:bCs w:val="0"/>
          <w:sz w:val="22"/>
          <w:szCs w:val="22"/>
        </w:rPr>
        <w:t xml:space="preserve"> komunikačné systémy a podobne)</w:t>
      </w:r>
      <w:r w:rsidRPr="00C66720">
        <w:rPr>
          <w:b w:val="0"/>
          <w:bCs w:val="0"/>
          <w:sz w:val="22"/>
          <w:szCs w:val="22"/>
        </w:rPr>
        <w:t xml:space="preserve">. Medzi </w:t>
      </w:r>
      <w:r w:rsidR="00A14FFD" w:rsidRPr="00C66720">
        <w:rPr>
          <w:b w:val="0"/>
          <w:bCs w:val="0"/>
          <w:sz w:val="22"/>
          <w:szCs w:val="22"/>
        </w:rPr>
        <w:t>takéto</w:t>
      </w:r>
      <w:r w:rsidRPr="00C66720">
        <w:rPr>
          <w:b w:val="0"/>
          <w:bCs w:val="0"/>
          <w:sz w:val="22"/>
          <w:szCs w:val="22"/>
        </w:rPr>
        <w:t xml:space="preserve"> projekty patrí napríklad elektronizácia súdnych</w:t>
      </w:r>
      <w:r w:rsidR="00ED3C71" w:rsidRPr="00C66720">
        <w:rPr>
          <w:b w:val="0"/>
          <w:bCs w:val="0"/>
          <w:sz w:val="22"/>
          <w:szCs w:val="22"/>
        </w:rPr>
        <w:t xml:space="preserve"> služieb,</w:t>
      </w:r>
      <w:r w:rsidRPr="00C66720">
        <w:rPr>
          <w:b w:val="0"/>
          <w:bCs w:val="0"/>
          <w:sz w:val="22"/>
          <w:szCs w:val="22"/>
        </w:rPr>
        <w:t xml:space="preserve"> poskytovanie služieb verejnosti a podnikateľským subjektom cez elektronický priečinok, </w:t>
      </w:r>
      <w:r w:rsidR="00145CA5" w:rsidRPr="00C66720">
        <w:rPr>
          <w:b w:val="0"/>
          <w:bCs w:val="0"/>
          <w:sz w:val="22"/>
          <w:szCs w:val="22"/>
        </w:rPr>
        <w:t>jednotný informačný systém cestnej dopravy</w:t>
      </w:r>
      <w:r w:rsidR="00055AA2" w:rsidRPr="00C66720">
        <w:rPr>
          <w:b w:val="0"/>
          <w:bCs w:val="0"/>
          <w:sz w:val="22"/>
          <w:szCs w:val="22"/>
        </w:rPr>
        <w:t>,</w:t>
      </w:r>
      <w:r w:rsidR="00ED3C71" w:rsidRPr="00C66720">
        <w:rPr>
          <w:b w:val="0"/>
          <w:bCs w:val="0"/>
          <w:sz w:val="22"/>
          <w:szCs w:val="22"/>
        </w:rPr>
        <w:t xml:space="preserve"> elektronizácia vzdelávacieho systému regionálneho školstva,</w:t>
      </w:r>
      <w:r w:rsidR="00055AA2" w:rsidRPr="00C66720">
        <w:rPr>
          <w:b w:val="0"/>
          <w:bCs w:val="0"/>
          <w:sz w:val="22"/>
          <w:szCs w:val="22"/>
        </w:rPr>
        <w:t xml:space="preserve"> </w:t>
      </w:r>
      <w:r w:rsidR="00ED3C71" w:rsidRPr="00C66720">
        <w:rPr>
          <w:b w:val="0"/>
          <w:bCs w:val="0"/>
          <w:sz w:val="22"/>
          <w:szCs w:val="22"/>
        </w:rPr>
        <w:t>internetizácia Národného emisného informačného systému, povodňový a predpovedný systém, elektronické služby katastra nehnuteľností,</w:t>
      </w:r>
      <w:r w:rsidR="00C44636" w:rsidRPr="00C66720">
        <w:rPr>
          <w:b w:val="0"/>
          <w:bCs w:val="0"/>
          <w:sz w:val="22"/>
          <w:szCs w:val="22"/>
        </w:rPr>
        <w:t xml:space="preserve"> informačn</w:t>
      </w:r>
      <w:r w:rsidR="007D0763">
        <w:rPr>
          <w:b w:val="0"/>
          <w:bCs w:val="0"/>
          <w:sz w:val="22"/>
          <w:szCs w:val="22"/>
        </w:rPr>
        <w:t>é</w:t>
      </w:r>
      <w:r w:rsidR="00C44636" w:rsidRPr="00C66720">
        <w:rPr>
          <w:b w:val="0"/>
          <w:bCs w:val="0"/>
          <w:sz w:val="22"/>
          <w:szCs w:val="22"/>
        </w:rPr>
        <w:t xml:space="preserve"> systém</w:t>
      </w:r>
      <w:r w:rsidR="007D0763">
        <w:rPr>
          <w:b w:val="0"/>
          <w:bCs w:val="0"/>
          <w:sz w:val="22"/>
          <w:szCs w:val="22"/>
        </w:rPr>
        <w:t>y</w:t>
      </w:r>
      <w:r w:rsidR="00C44636" w:rsidRPr="00C66720">
        <w:rPr>
          <w:b w:val="0"/>
          <w:bCs w:val="0"/>
          <w:sz w:val="22"/>
          <w:szCs w:val="22"/>
        </w:rPr>
        <w:t xml:space="preserve"> Finančnej správy</w:t>
      </w:r>
      <w:r w:rsidR="00ED3C71" w:rsidRPr="00C66720">
        <w:rPr>
          <w:b w:val="0"/>
          <w:bCs w:val="0"/>
          <w:sz w:val="22"/>
          <w:szCs w:val="22"/>
        </w:rPr>
        <w:t xml:space="preserve"> a</w:t>
      </w:r>
      <w:r w:rsidR="00BA57FB" w:rsidRPr="00C66720">
        <w:rPr>
          <w:b w:val="0"/>
          <w:bCs w:val="0"/>
          <w:sz w:val="22"/>
          <w:szCs w:val="22"/>
        </w:rPr>
        <w:t xml:space="preserve"> mnohé </w:t>
      </w:r>
      <w:r w:rsidR="00ED3C71" w:rsidRPr="00C66720">
        <w:rPr>
          <w:b w:val="0"/>
          <w:bCs w:val="0"/>
          <w:sz w:val="22"/>
          <w:szCs w:val="22"/>
        </w:rPr>
        <w:t>ďalšie.</w:t>
      </w:r>
    </w:p>
    <w:p w14:paraId="20EF16E1" w14:textId="71BD2F14" w:rsidR="00931D30" w:rsidRPr="00C66720" w:rsidRDefault="00055AA2" w:rsidP="003036DD">
      <w:pPr>
        <w:pStyle w:val="Pismenka"/>
        <w:tabs>
          <w:tab w:val="clear" w:pos="426"/>
          <w:tab w:val="num" w:pos="0"/>
        </w:tabs>
        <w:ind w:left="0" w:firstLine="0"/>
        <w:rPr>
          <w:b w:val="0"/>
          <w:bCs w:val="0"/>
          <w:sz w:val="22"/>
          <w:szCs w:val="22"/>
        </w:rPr>
      </w:pPr>
      <w:r w:rsidRPr="00C66720">
        <w:rPr>
          <w:b w:val="0"/>
          <w:bCs w:val="0"/>
          <w:sz w:val="22"/>
          <w:szCs w:val="22"/>
        </w:rPr>
        <w:t xml:space="preserve">Do </w:t>
      </w:r>
      <w:r w:rsidR="00BA57FB" w:rsidRPr="00C66720">
        <w:rPr>
          <w:b w:val="0"/>
          <w:bCs w:val="0"/>
          <w:sz w:val="22"/>
          <w:szCs w:val="22"/>
        </w:rPr>
        <w:t>druhej</w:t>
      </w:r>
      <w:r w:rsidRPr="00C66720">
        <w:rPr>
          <w:b w:val="0"/>
          <w:bCs w:val="0"/>
          <w:sz w:val="22"/>
          <w:szCs w:val="22"/>
        </w:rPr>
        <w:t xml:space="preserve"> kategórie softvérov </w:t>
      </w:r>
      <w:r w:rsidR="00E83E1B" w:rsidRPr="00C66720">
        <w:rPr>
          <w:b w:val="0"/>
          <w:bCs w:val="0"/>
          <w:sz w:val="22"/>
          <w:szCs w:val="22"/>
        </w:rPr>
        <w:t>patria</w:t>
      </w:r>
      <w:r w:rsidRPr="00C66720">
        <w:rPr>
          <w:b w:val="0"/>
          <w:bCs w:val="0"/>
          <w:sz w:val="22"/>
          <w:szCs w:val="22"/>
        </w:rPr>
        <w:t xml:space="preserve"> systémy, ktoré majú </w:t>
      </w:r>
      <w:r w:rsidR="00BA57FB" w:rsidRPr="00C66720">
        <w:rPr>
          <w:b w:val="0"/>
          <w:bCs w:val="0"/>
          <w:sz w:val="22"/>
          <w:szCs w:val="22"/>
        </w:rPr>
        <w:t>slúžiť na</w:t>
      </w:r>
      <w:r w:rsidRPr="00C66720">
        <w:rPr>
          <w:b w:val="0"/>
          <w:bCs w:val="0"/>
          <w:sz w:val="22"/>
          <w:szCs w:val="22"/>
        </w:rPr>
        <w:t xml:space="preserve"> zber, analýzu a vyhodnocovanie dát od fyzických a právnických </w:t>
      </w:r>
      <w:r w:rsidR="00102CEE" w:rsidRPr="00C66720">
        <w:rPr>
          <w:b w:val="0"/>
          <w:bCs w:val="0"/>
          <w:sz w:val="22"/>
          <w:szCs w:val="22"/>
        </w:rPr>
        <w:t>osôb</w:t>
      </w:r>
      <w:r w:rsidRPr="00C66720">
        <w:rPr>
          <w:b w:val="0"/>
          <w:bCs w:val="0"/>
          <w:sz w:val="22"/>
          <w:szCs w:val="22"/>
        </w:rPr>
        <w:t xml:space="preserve">, napríklad Register obyvateľov, </w:t>
      </w:r>
      <w:r w:rsidR="00ED3C71" w:rsidRPr="00C66720">
        <w:rPr>
          <w:b w:val="0"/>
          <w:bCs w:val="0"/>
          <w:sz w:val="22"/>
          <w:szCs w:val="22"/>
        </w:rPr>
        <w:t>R</w:t>
      </w:r>
      <w:r w:rsidR="00AE63F4" w:rsidRPr="00C66720">
        <w:rPr>
          <w:b w:val="0"/>
          <w:bCs w:val="0"/>
          <w:sz w:val="22"/>
          <w:szCs w:val="22"/>
        </w:rPr>
        <w:t>ezortný informačný systém</w:t>
      </w:r>
      <w:r w:rsidR="00ED3C71" w:rsidRPr="00C66720">
        <w:rPr>
          <w:b w:val="0"/>
          <w:bCs w:val="0"/>
          <w:sz w:val="22"/>
          <w:szCs w:val="22"/>
        </w:rPr>
        <w:t xml:space="preserve"> pod rezortom </w:t>
      </w:r>
      <w:r w:rsidRPr="00C66720">
        <w:rPr>
          <w:b w:val="0"/>
          <w:bCs w:val="0"/>
          <w:sz w:val="22"/>
          <w:szCs w:val="22"/>
        </w:rPr>
        <w:t>školstva,</w:t>
      </w:r>
      <w:r w:rsidR="00BA57FB" w:rsidRPr="00C66720">
        <w:rPr>
          <w:b w:val="0"/>
          <w:bCs w:val="0"/>
          <w:sz w:val="22"/>
          <w:szCs w:val="22"/>
        </w:rPr>
        <w:t xml:space="preserve"> </w:t>
      </w:r>
      <w:r w:rsidR="00ED3C71" w:rsidRPr="00C66720">
        <w:rPr>
          <w:b w:val="0"/>
          <w:bCs w:val="0"/>
          <w:sz w:val="22"/>
          <w:szCs w:val="22"/>
        </w:rPr>
        <w:t>regist</w:t>
      </w:r>
      <w:r w:rsidR="00BA57FB" w:rsidRPr="00C66720">
        <w:rPr>
          <w:b w:val="0"/>
          <w:bCs w:val="0"/>
          <w:sz w:val="22"/>
          <w:szCs w:val="22"/>
        </w:rPr>
        <w:t>e</w:t>
      </w:r>
      <w:r w:rsidR="00ED3C71" w:rsidRPr="00C66720">
        <w:rPr>
          <w:b w:val="0"/>
          <w:bCs w:val="0"/>
          <w:sz w:val="22"/>
          <w:szCs w:val="22"/>
        </w:rPr>
        <w:t xml:space="preserve">r úpadcov v rezorte spravodlivosti, </w:t>
      </w:r>
      <w:r w:rsidRPr="00C66720">
        <w:rPr>
          <w:b w:val="0"/>
          <w:bCs w:val="0"/>
          <w:sz w:val="22"/>
          <w:szCs w:val="22"/>
        </w:rPr>
        <w:t>Centrálny konsolidačný systém</w:t>
      </w:r>
      <w:r w:rsidR="00ED3C71" w:rsidRPr="00C66720">
        <w:rPr>
          <w:b w:val="0"/>
          <w:bCs w:val="0"/>
          <w:sz w:val="22"/>
          <w:szCs w:val="22"/>
        </w:rPr>
        <w:t xml:space="preserve"> a</w:t>
      </w:r>
      <w:r w:rsidR="003966B5" w:rsidRPr="00C66720">
        <w:rPr>
          <w:b w:val="0"/>
          <w:bCs w:val="0"/>
          <w:sz w:val="22"/>
          <w:szCs w:val="22"/>
        </w:rPr>
        <w:t> </w:t>
      </w:r>
      <w:r w:rsidRPr="00C66720">
        <w:rPr>
          <w:b w:val="0"/>
          <w:bCs w:val="0"/>
          <w:sz w:val="22"/>
          <w:szCs w:val="22"/>
        </w:rPr>
        <w:t xml:space="preserve">Rozpočtový informačný systém Ministerstva financií SR, informačný systém Štátnej pokladnice, </w:t>
      </w:r>
      <w:r w:rsidR="001C6445" w:rsidRPr="00C66720">
        <w:rPr>
          <w:b w:val="0"/>
          <w:bCs w:val="0"/>
          <w:sz w:val="22"/>
          <w:szCs w:val="22"/>
        </w:rPr>
        <w:t xml:space="preserve">Nadrezortný ekonomický systém, </w:t>
      </w:r>
      <w:r w:rsidR="007D7894" w:rsidRPr="00C66720">
        <w:rPr>
          <w:b w:val="0"/>
          <w:bCs w:val="0"/>
          <w:sz w:val="22"/>
          <w:szCs w:val="22"/>
        </w:rPr>
        <w:t xml:space="preserve">Centrálny ekonomický systém, </w:t>
      </w:r>
      <w:r w:rsidRPr="00C66720">
        <w:rPr>
          <w:b w:val="0"/>
          <w:bCs w:val="0"/>
          <w:sz w:val="22"/>
          <w:szCs w:val="22"/>
        </w:rPr>
        <w:t>Register účtovných závierok, ekonomické softvéry ministerstiev a organizácií štátnej správy.</w:t>
      </w:r>
      <w:r w:rsidR="00102CEE" w:rsidRPr="00C66720">
        <w:rPr>
          <w:b w:val="0"/>
          <w:bCs w:val="0"/>
          <w:sz w:val="22"/>
          <w:szCs w:val="22"/>
        </w:rPr>
        <w:t xml:space="preserve"> </w:t>
      </w:r>
    </w:p>
    <w:p w14:paraId="3A153957" w14:textId="191F3116" w:rsidR="004204A6" w:rsidRPr="00C66720" w:rsidRDefault="00AA2E57" w:rsidP="000500D4">
      <w:pPr>
        <w:pStyle w:val="Pismenka"/>
        <w:tabs>
          <w:tab w:val="clear" w:pos="426"/>
          <w:tab w:val="num" w:pos="0"/>
        </w:tabs>
        <w:spacing w:before="120" w:after="120"/>
        <w:ind w:left="0" w:firstLine="0"/>
        <w:rPr>
          <w:b w:val="0"/>
          <w:bCs w:val="0"/>
          <w:sz w:val="22"/>
          <w:szCs w:val="22"/>
        </w:rPr>
      </w:pPr>
      <w:r w:rsidRPr="00C66720">
        <w:rPr>
          <w:b w:val="0"/>
          <w:bCs w:val="0"/>
          <w:sz w:val="22"/>
          <w:szCs w:val="22"/>
        </w:rPr>
        <w:t>V ústrednej správe došlo medziročne k</w:t>
      </w:r>
      <w:r w:rsidR="00E153E0" w:rsidRPr="00C66720">
        <w:rPr>
          <w:b w:val="0"/>
          <w:bCs w:val="0"/>
          <w:sz w:val="22"/>
          <w:szCs w:val="22"/>
        </w:rPr>
        <w:t> </w:t>
      </w:r>
      <w:r w:rsidR="008223A5" w:rsidRPr="00C66720">
        <w:rPr>
          <w:b w:val="0"/>
          <w:bCs w:val="0"/>
          <w:sz w:val="22"/>
          <w:szCs w:val="22"/>
        </w:rPr>
        <w:t>prírastku</w:t>
      </w:r>
      <w:r w:rsidR="00E153E0" w:rsidRPr="00C66720">
        <w:rPr>
          <w:b w:val="0"/>
          <w:bCs w:val="0"/>
          <w:sz w:val="22"/>
          <w:szCs w:val="22"/>
        </w:rPr>
        <w:t xml:space="preserve"> hodnoty softvéru</w:t>
      </w:r>
      <w:r w:rsidR="00694973" w:rsidRPr="00C66720">
        <w:rPr>
          <w:b w:val="0"/>
          <w:bCs w:val="0"/>
          <w:sz w:val="22"/>
          <w:szCs w:val="22"/>
        </w:rPr>
        <w:t xml:space="preserve"> najmä na Ministerstve vnútra SR o 12 035 tis. eur, Ministerstve školstva, vedy, výskumu a športu SR o 11 970 tis. eur a Ministerstve investícií, regionálneho rozvoja a informatizácie SR o 11 106 tis. eur.</w:t>
      </w:r>
    </w:p>
    <w:p w14:paraId="754B8AD5" w14:textId="3EB7C499" w:rsidR="005C1FD8" w:rsidRPr="00C66720" w:rsidRDefault="00B61F33" w:rsidP="000500D4">
      <w:pPr>
        <w:pStyle w:val="Pismenka"/>
        <w:tabs>
          <w:tab w:val="clear" w:pos="426"/>
          <w:tab w:val="num" w:pos="0"/>
        </w:tabs>
        <w:spacing w:before="120" w:after="120"/>
        <w:ind w:left="0" w:firstLine="0"/>
        <w:rPr>
          <w:b w:val="0"/>
          <w:bCs w:val="0"/>
          <w:sz w:val="22"/>
          <w:szCs w:val="22"/>
        </w:rPr>
      </w:pPr>
      <w:r w:rsidRPr="00C66720">
        <w:rPr>
          <w:b w:val="0"/>
          <w:bCs w:val="0"/>
          <w:sz w:val="22"/>
          <w:szCs w:val="22"/>
        </w:rPr>
        <w:t xml:space="preserve">Naopak najvýraznejší celkový </w:t>
      </w:r>
      <w:r w:rsidR="005C1FD8" w:rsidRPr="00C66720">
        <w:rPr>
          <w:b w:val="0"/>
          <w:bCs w:val="0"/>
          <w:sz w:val="22"/>
          <w:szCs w:val="22"/>
        </w:rPr>
        <w:t>pokles</w:t>
      </w:r>
      <w:r w:rsidRPr="00C66720">
        <w:rPr>
          <w:b w:val="0"/>
          <w:bCs w:val="0"/>
          <w:sz w:val="22"/>
          <w:szCs w:val="22"/>
        </w:rPr>
        <w:t xml:space="preserve"> zaz</w:t>
      </w:r>
      <w:r w:rsidR="002B6092" w:rsidRPr="00C66720">
        <w:rPr>
          <w:b w:val="0"/>
          <w:bCs w:val="0"/>
          <w:sz w:val="22"/>
          <w:szCs w:val="22"/>
        </w:rPr>
        <w:t>namenal</w:t>
      </w:r>
      <w:r w:rsidR="005C1FD8" w:rsidRPr="00C66720">
        <w:rPr>
          <w:b w:val="0"/>
          <w:bCs w:val="0"/>
          <w:sz w:val="22"/>
          <w:szCs w:val="22"/>
        </w:rPr>
        <w:t>o Finančné riaditeľstvo SR o 10 762 tis. eur a Ministerstvo financií SR o 7 801 tis. eur.</w:t>
      </w:r>
    </w:p>
    <w:p w14:paraId="77417E31" w14:textId="01EEC476" w:rsidR="0010597E" w:rsidRPr="00C66720" w:rsidRDefault="0010597E" w:rsidP="005C1FD8">
      <w:pPr>
        <w:pStyle w:val="Pismenka"/>
        <w:tabs>
          <w:tab w:val="clear" w:pos="426"/>
          <w:tab w:val="num" w:pos="0"/>
        </w:tabs>
        <w:spacing w:before="120" w:after="120"/>
        <w:ind w:left="0" w:firstLine="0"/>
        <w:rPr>
          <w:b w:val="0"/>
          <w:bCs w:val="0"/>
          <w:sz w:val="22"/>
          <w:szCs w:val="22"/>
        </w:rPr>
      </w:pPr>
      <w:r w:rsidRPr="00C66720">
        <w:rPr>
          <w:b w:val="0"/>
          <w:bCs w:val="0"/>
          <w:sz w:val="22"/>
          <w:szCs w:val="22"/>
        </w:rPr>
        <w:t>V rámci kapitoly Ministerstva financií SR (</w:t>
      </w:r>
      <w:r w:rsidR="009C61F3" w:rsidRPr="00C66720">
        <w:rPr>
          <w:b w:val="0"/>
          <w:bCs w:val="0"/>
          <w:sz w:val="22"/>
          <w:szCs w:val="22"/>
        </w:rPr>
        <w:t>115 308</w:t>
      </w:r>
      <w:r w:rsidRPr="00C66720">
        <w:rPr>
          <w:b w:val="0"/>
          <w:bCs w:val="0"/>
          <w:sz w:val="22"/>
          <w:szCs w:val="22"/>
        </w:rPr>
        <w:t xml:space="preserve"> tis. eur) vykazuje najvyššiu hod</w:t>
      </w:r>
      <w:r w:rsidR="00755F67" w:rsidRPr="00C66720">
        <w:rPr>
          <w:b w:val="0"/>
          <w:bCs w:val="0"/>
          <w:sz w:val="22"/>
          <w:szCs w:val="22"/>
        </w:rPr>
        <w:t xml:space="preserve">notu </w:t>
      </w:r>
      <w:r w:rsidR="00755F67" w:rsidRPr="007D7B64">
        <w:rPr>
          <w:b w:val="0"/>
          <w:bCs w:val="0"/>
          <w:sz w:val="22"/>
          <w:szCs w:val="22"/>
          <w:u w:val="single"/>
        </w:rPr>
        <w:t>Finančné riaditeľstvo SR</w:t>
      </w:r>
      <w:r w:rsidR="00755F67" w:rsidRPr="00C66720">
        <w:rPr>
          <w:b w:val="0"/>
          <w:bCs w:val="0"/>
          <w:sz w:val="22"/>
          <w:szCs w:val="22"/>
        </w:rPr>
        <w:t xml:space="preserve"> (</w:t>
      </w:r>
      <w:r w:rsidR="009C61F3" w:rsidRPr="00C66720">
        <w:rPr>
          <w:b w:val="0"/>
          <w:bCs w:val="0"/>
          <w:sz w:val="22"/>
          <w:szCs w:val="22"/>
        </w:rPr>
        <w:t>50 763</w:t>
      </w:r>
      <w:r w:rsidRPr="00C66720">
        <w:rPr>
          <w:b w:val="0"/>
          <w:bCs w:val="0"/>
          <w:sz w:val="22"/>
          <w:szCs w:val="22"/>
        </w:rPr>
        <w:t xml:space="preserve"> tis. eur) a samotné Ministerstvo financií SR (</w:t>
      </w:r>
      <w:r w:rsidR="009C61F3" w:rsidRPr="00C66720">
        <w:rPr>
          <w:b w:val="0"/>
          <w:bCs w:val="0"/>
          <w:sz w:val="22"/>
          <w:szCs w:val="22"/>
        </w:rPr>
        <w:t>45 451</w:t>
      </w:r>
      <w:r w:rsidRPr="00C66720">
        <w:rPr>
          <w:b w:val="0"/>
          <w:bCs w:val="0"/>
          <w:sz w:val="22"/>
          <w:szCs w:val="22"/>
        </w:rPr>
        <w:t xml:space="preserve"> tis. eur). V prípade Finančného riaditeľstva ide o komplex softvérových programov </w:t>
      </w:r>
      <w:r w:rsidR="00C174A6">
        <w:rPr>
          <w:b w:val="0"/>
          <w:bCs w:val="0"/>
          <w:sz w:val="22"/>
          <w:szCs w:val="22"/>
        </w:rPr>
        <w:t xml:space="preserve">a webových aplikácií </w:t>
      </w:r>
      <w:r w:rsidRPr="00C66720">
        <w:rPr>
          <w:b w:val="0"/>
          <w:bCs w:val="0"/>
          <w:sz w:val="22"/>
          <w:szCs w:val="22"/>
        </w:rPr>
        <w:t xml:space="preserve">v oblasti správy, účtovania, evidencie a vymáhania </w:t>
      </w:r>
      <w:r w:rsidR="001E4BA8" w:rsidRPr="00C66720">
        <w:rPr>
          <w:b w:val="0"/>
          <w:bCs w:val="0"/>
          <w:sz w:val="22"/>
          <w:szCs w:val="22"/>
        </w:rPr>
        <w:t>daní</w:t>
      </w:r>
      <w:r w:rsidR="00755F67" w:rsidRPr="00C66720">
        <w:rPr>
          <w:b w:val="0"/>
          <w:bCs w:val="0"/>
          <w:sz w:val="22"/>
          <w:szCs w:val="22"/>
        </w:rPr>
        <w:t>, eKasy</w:t>
      </w:r>
      <w:r w:rsidR="00667311" w:rsidRPr="00C66720">
        <w:rPr>
          <w:b w:val="0"/>
          <w:bCs w:val="0"/>
          <w:sz w:val="22"/>
          <w:szCs w:val="22"/>
        </w:rPr>
        <w:t>, zberu účtovných závierok</w:t>
      </w:r>
      <w:r w:rsidR="00755F67" w:rsidRPr="00C66720">
        <w:rPr>
          <w:b w:val="0"/>
          <w:bCs w:val="0"/>
          <w:sz w:val="22"/>
          <w:szCs w:val="22"/>
        </w:rPr>
        <w:t xml:space="preserve"> a podobne</w:t>
      </w:r>
      <w:r w:rsidR="001E4BA8" w:rsidRPr="00C66720">
        <w:rPr>
          <w:b w:val="0"/>
          <w:bCs w:val="0"/>
          <w:sz w:val="22"/>
          <w:szCs w:val="22"/>
        </w:rPr>
        <w:t>.</w:t>
      </w:r>
      <w:r w:rsidR="00B61C73" w:rsidRPr="00C66720">
        <w:rPr>
          <w:b w:val="0"/>
          <w:bCs w:val="0"/>
          <w:sz w:val="22"/>
          <w:szCs w:val="22"/>
        </w:rPr>
        <w:t xml:space="preserve"> Finančné riaditeľstvo SR vykázalo celkový pokles hodnoty softvéru o</w:t>
      </w:r>
      <w:r w:rsidR="00AB6461" w:rsidRPr="00C66720">
        <w:rPr>
          <w:b w:val="0"/>
          <w:bCs w:val="0"/>
          <w:sz w:val="22"/>
          <w:szCs w:val="22"/>
        </w:rPr>
        <w:t> 10 762</w:t>
      </w:r>
      <w:r w:rsidR="00B61C73" w:rsidRPr="00C66720">
        <w:rPr>
          <w:b w:val="0"/>
          <w:bCs w:val="0"/>
          <w:sz w:val="22"/>
          <w:szCs w:val="22"/>
        </w:rPr>
        <w:t xml:space="preserve"> tis. eur, pričom zníženie hodnoty v podobe ročných účtovných odpisov bolo</w:t>
      </w:r>
      <w:r w:rsidR="00AB6461" w:rsidRPr="00C66720">
        <w:rPr>
          <w:b w:val="0"/>
          <w:bCs w:val="0"/>
          <w:sz w:val="22"/>
          <w:szCs w:val="22"/>
        </w:rPr>
        <w:t xml:space="preserve"> 20 584</w:t>
      </w:r>
      <w:r w:rsidR="007E0BCF" w:rsidRPr="00C66720">
        <w:rPr>
          <w:b w:val="0"/>
          <w:bCs w:val="0"/>
          <w:sz w:val="22"/>
          <w:szCs w:val="22"/>
        </w:rPr>
        <w:t xml:space="preserve"> tis. eur a</w:t>
      </w:r>
      <w:r w:rsidR="00B61C73" w:rsidRPr="00C66720">
        <w:rPr>
          <w:b w:val="0"/>
          <w:bCs w:val="0"/>
          <w:sz w:val="22"/>
          <w:szCs w:val="22"/>
        </w:rPr>
        <w:t xml:space="preserve"> zvýšenie hodnoty zaradením nového majetku </w:t>
      </w:r>
      <w:r w:rsidR="007E0BCF" w:rsidRPr="00C66720">
        <w:rPr>
          <w:b w:val="0"/>
          <w:bCs w:val="0"/>
          <w:sz w:val="22"/>
          <w:szCs w:val="22"/>
        </w:rPr>
        <w:t xml:space="preserve">bolo </w:t>
      </w:r>
      <w:r w:rsidR="00B61C73" w:rsidRPr="00C66720">
        <w:rPr>
          <w:b w:val="0"/>
          <w:bCs w:val="0"/>
          <w:sz w:val="22"/>
          <w:szCs w:val="22"/>
        </w:rPr>
        <w:t xml:space="preserve">v obstarávacej cene </w:t>
      </w:r>
      <w:r w:rsidR="00AB6461" w:rsidRPr="00C66720">
        <w:rPr>
          <w:b w:val="0"/>
          <w:bCs w:val="0"/>
          <w:sz w:val="22"/>
          <w:szCs w:val="22"/>
        </w:rPr>
        <w:t>12 993</w:t>
      </w:r>
      <w:r w:rsidR="00B61C73" w:rsidRPr="00C66720">
        <w:rPr>
          <w:b w:val="0"/>
          <w:bCs w:val="0"/>
          <w:sz w:val="22"/>
          <w:szCs w:val="22"/>
        </w:rPr>
        <w:t xml:space="preserve"> tis. eur</w:t>
      </w:r>
      <w:r w:rsidR="006968C6" w:rsidRPr="00C66720">
        <w:rPr>
          <w:b w:val="0"/>
          <w:bCs w:val="0"/>
          <w:sz w:val="22"/>
          <w:szCs w:val="22"/>
        </w:rPr>
        <w:t>.</w:t>
      </w:r>
      <w:r w:rsidR="00B61C73" w:rsidRPr="00C66720">
        <w:rPr>
          <w:b w:val="0"/>
          <w:bCs w:val="0"/>
          <w:sz w:val="22"/>
          <w:szCs w:val="22"/>
        </w:rPr>
        <w:t xml:space="preserve"> Obstarané boli najmä licencie a upgrade existujúcich informačných systémov, ktoré sa týkali hlavne zabezpečenia nových funkcionalít Informačného systému Finančnej správy – správa daní</w:t>
      </w:r>
      <w:r w:rsidR="00EC7E03" w:rsidRPr="00C66720">
        <w:rPr>
          <w:b w:val="0"/>
          <w:bCs w:val="0"/>
          <w:sz w:val="22"/>
          <w:szCs w:val="22"/>
        </w:rPr>
        <w:t>, rozšírenie funkcionality aplikačného programového vybavenia pre správu nepriamych daní</w:t>
      </w:r>
      <w:r w:rsidR="00911C30" w:rsidRPr="00C66720">
        <w:rPr>
          <w:b w:val="0"/>
          <w:bCs w:val="0"/>
          <w:sz w:val="22"/>
          <w:szCs w:val="22"/>
        </w:rPr>
        <w:t xml:space="preserve"> a iné</w:t>
      </w:r>
      <w:r w:rsidR="00B61C73" w:rsidRPr="00C66720">
        <w:rPr>
          <w:b w:val="0"/>
          <w:bCs w:val="0"/>
          <w:sz w:val="22"/>
          <w:szCs w:val="22"/>
        </w:rPr>
        <w:t xml:space="preserve">. </w:t>
      </w:r>
      <w:r w:rsidR="00B61C73" w:rsidRPr="007D7B64">
        <w:rPr>
          <w:b w:val="0"/>
          <w:bCs w:val="0"/>
          <w:sz w:val="22"/>
          <w:szCs w:val="22"/>
          <w:u w:val="single"/>
        </w:rPr>
        <w:t>Ministerstvo financií SR</w:t>
      </w:r>
      <w:r w:rsidR="00B61C73" w:rsidRPr="00C66720">
        <w:rPr>
          <w:b w:val="0"/>
          <w:bCs w:val="0"/>
          <w:sz w:val="22"/>
          <w:szCs w:val="22"/>
        </w:rPr>
        <w:t xml:space="preserve"> je správcom viacerých rezortných i nadrezortných informačných systémov, ako napr. Rozpočtový informačný systém, Centrálny konsolidačný systém, </w:t>
      </w:r>
      <w:r w:rsidR="00A80585" w:rsidRPr="00C66720">
        <w:rPr>
          <w:b w:val="0"/>
          <w:bCs w:val="0"/>
          <w:sz w:val="22"/>
          <w:szCs w:val="22"/>
        </w:rPr>
        <w:t>Rozpočtový informačný systém pre územnú samosprávu, Register účtovných závierok, ekonomický informačný systém IS ESO</w:t>
      </w:r>
      <w:r w:rsidR="00D02139" w:rsidRPr="00C66720">
        <w:rPr>
          <w:b w:val="0"/>
          <w:bCs w:val="0"/>
          <w:sz w:val="22"/>
          <w:szCs w:val="22"/>
        </w:rPr>
        <w:t>, Centrálny ekonomický systém</w:t>
      </w:r>
      <w:r w:rsidR="00A80585" w:rsidRPr="00C66720">
        <w:rPr>
          <w:b w:val="0"/>
          <w:bCs w:val="0"/>
          <w:sz w:val="22"/>
          <w:szCs w:val="22"/>
        </w:rPr>
        <w:t xml:space="preserve"> a podobne. Uvedenými softvérmi plní ministerstvo úlohy v oblasti riadenia verejných financií a sú prístupné najmä pre štátne organizácie a pre subjekty územnej samosprávy. Netto hodnota softvéru v správe Ministerstva financií SR je </w:t>
      </w:r>
      <w:r w:rsidR="00D02139" w:rsidRPr="00C66720">
        <w:rPr>
          <w:b w:val="0"/>
          <w:bCs w:val="0"/>
          <w:sz w:val="22"/>
          <w:szCs w:val="22"/>
        </w:rPr>
        <w:t>45 451</w:t>
      </w:r>
      <w:r w:rsidR="00A80585" w:rsidRPr="00C66720">
        <w:rPr>
          <w:b w:val="0"/>
          <w:bCs w:val="0"/>
          <w:sz w:val="22"/>
          <w:szCs w:val="22"/>
        </w:rPr>
        <w:t xml:space="preserve"> tis eur, čo predstavuje medziročný pokles o</w:t>
      </w:r>
      <w:r w:rsidR="00D02139" w:rsidRPr="00C66720">
        <w:rPr>
          <w:b w:val="0"/>
          <w:bCs w:val="0"/>
          <w:sz w:val="22"/>
          <w:szCs w:val="22"/>
        </w:rPr>
        <w:t> 7 801</w:t>
      </w:r>
      <w:r w:rsidR="00A80585" w:rsidRPr="00C66720">
        <w:rPr>
          <w:b w:val="0"/>
          <w:bCs w:val="0"/>
          <w:sz w:val="22"/>
          <w:szCs w:val="22"/>
        </w:rPr>
        <w:t xml:space="preserve"> tis. eur. V priebehu roka 202</w:t>
      </w:r>
      <w:r w:rsidR="00EB21EE" w:rsidRPr="00C66720">
        <w:rPr>
          <w:b w:val="0"/>
          <w:bCs w:val="0"/>
          <w:sz w:val="22"/>
          <w:szCs w:val="22"/>
        </w:rPr>
        <w:t>2</w:t>
      </w:r>
      <w:r w:rsidR="00A80585" w:rsidRPr="00C66720">
        <w:rPr>
          <w:b w:val="0"/>
          <w:bCs w:val="0"/>
          <w:sz w:val="22"/>
          <w:szCs w:val="22"/>
        </w:rPr>
        <w:t xml:space="preserve"> došlo k obstaraniu softvéru formou nového resp. rozšírením funkčností jestvujúcich systémov </w:t>
      </w:r>
      <w:r w:rsidR="005F17FA" w:rsidRPr="00C66720">
        <w:rPr>
          <w:b w:val="0"/>
          <w:bCs w:val="0"/>
          <w:sz w:val="22"/>
          <w:szCs w:val="22"/>
        </w:rPr>
        <w:t xml:space="preserve">(napr. </w:t>
      </w:r>
      <w:r w:rsidR="00EB21EE" w:rsidRPr="00C66720">
        <w:rPr>
          <w:b w:val="0"/>
          <w:bCs w:val="0"/>
          <w:sz w:val="22"/>
          <w:szCs w:val="22"/>
        </w:rPr>
        <w:t>IS NES, IS CEP, RIS, Portál finančnej správy</w:t>
      </w:r>
      <w:r w:rsidR="005F17FA" w:rsidRPr="00C66720">
        <w:rPr>
          <w:b w:val="0"/>
          <w:bCs w:val="0"/>
          <w:sz w:val="22"/>
          <w:szCs w:val="22"/>
        </w:rPr>
        <w:t xml:space="preserve">) </w:t>
      </w:r>
      <w:r w:rsidR="00A80585" w:rsidRPr="00C66720">
        <w:rPr>
          <w:b w:val="0"/>
          <w:bCs w:val="0"/>
          <w:sz w:val="22"/>
          <w:szCs w:val="22"/>
        </w:rPr>
        <w:t>v celkovej hodnote</w:t>
      </w:r>
      <w:r w:rsidR="005F17FA" w:rsidRPr="00C66720">
        <w:rPr>
          <w:b w:val="0"/>
          <w:bCs w:val="0"/>
          <w:sz w:val="22"/>
          <w:szCs w:val="22"/>
        </w:rPr>
        <w:t xml:space="preserve"> </w:t>
      </w:r>
      <w:r w:rsidR="00EB21EE" w:rsidRPr="00C66720">
        <w:rPr>
          <w:b w:val="0"/>
          <w:bCs w:val="0"/>
          <w:sz w:val="22"/>
          <w:szCs w:val="22"/>
        </w:rPr>
        <w:t>11 609</w:t>
      </w:r>
      <w:r w:rsidR="005F17FA" w:rsidRPr="00C66720">
        <w:rPr>
          <w:b w:val="0"/>
          <w:bCs w:val="0"/>
          <w:sz w:val="22"/>
          <w:szCs w:val="22"/>
        </w:rPr>
        <w:t xml:space="preserve"> </w:t>
      </w:r>
      <w:r w:rsidR="00A80585" w:rsidRPr="00C66720">
        <w:rPr>
          <w:b w:val="0"/>
          <w:bCs w:val="0"/>
          <w:sz w:val="22"/>
          <w:szCs w:val="22"/>
        </w:rPr>
        <w:t xml:space="preserve"> tis. eur</w:t>
      </w:r>
      <w:r w:rsidR="005F17FA" w:rsidRPr="00C66720">
        <w:rPr>
          <w:b w:val="0"/>
          <w:bCs w:val="0"/>
          <w:sz w:val="22"/>
          <w:szCs w:val="22"/>
        </w:rPr>
        <w:t xml:space="preserve">. </w:t>
      </w:r>
      <w:r w:rsidR="00EB21EE" w:rsidRPr="00C66720">
        <w:rPr>
          <w:b w:val="0"/>
          <w:bCs w:val="0"/>
          <w:sz w:val="22"/>
          <w:szCs w:val="22"/>
        </w:rPr>
        <w:t>Oprávky vytvorené v priebehu roka 2022 boli v sume 19 410 tis. eur.</w:t>
      </w:r>
    </w:p>
    <w:p w14:paraId="572BE840" w14:textId="70B33C8C" w:rsidR="0035708E" w:rsidRPr="00C66720" w:rsidRDefault="00F656E1" w:rsidP="00715255">
      <w:pPr>
        <w:pStyle w:val="Pismenka"/>
        <w:tabs>
          <w:tab w:val="clear" w:pos="426"/>
          <w:tab w:val="num" w:pos="0"/>
        </w:tabs>
        <w:spacing w:after="120"/>
        <w:ind w:left="0" w:firstLine="0"/>
        <w:rPr>
          <w:b w:val="0"/>
          <w:bCs w:val="0"/>
          <w:sz w:val="22"/>
          <w:szCs w:val="22"/>
        </w:rPr>
      </w:pPr>
      <w:r w:rsidRPr="00C66720">
        <w:rPr>
          <w:b w:val="0"/>
          <w:bCs w:val="0"/>
          <w:sz w:val="22"/>
          <w:szCs w:val="22"/>
        </w:rPr>
        <w:t xml:space="preserve">V rámci kapitoly </w:t>
      </w:r>
      <w:r w:rsidRPr="007D7B64">
        <w:rPr>
          <w:b w:val="0"/>
          <w:bCs w:val="0"/>
          <w:sz w:val="22"/>
          <w:szCs w:val="22"/>
          <w:u w:val="single"/>
        </w:rPr>
        <w:t xml:space="preserve">Ministerstva dopravy </w:t>
      </w:r>
      <w:r w:rsidR="00C1104E" w:rsidRPr="007D7B64">
        <w:rPr>
          <w:b w:val="0"/>
          <w:bCs w:val="0"/>
          <w:sz w:val="22"/>
          <w:szCs w:val="22"/>
          <w:u w:val="single"/>
        </w:rPr>
        <w:t>SR</w:t>
      </w:r>
      <w:r w:rsidR="00C1104E" w:rsidRPr="00C66720">
        <w:rPr>
          <w:b w:val="0"/>
          <w:bCs w:val="0"/>
          <w:sz w:val="22"/>
          <w:szCs w:val="22"/>
        </w:rPr>
        <w:t xml:space="preserve"> </w:t>
      </w:r>
      <w:r w:rsidRPr="00C66720">
        <w:rPr>
          <w:b w:val="0"/>
          <w:bCs w:val="0"/>
          <w:sz w:val="22"/>
          <w:szCs w:val="22"/>
        </w:rPr>
        <w:t>(</w:t>
      </w:r>
      <w:r w:rsidR="009701EE" w:rsidRPr="00C66720">
        <w:rPr>
          <w:b w:val="0"/>
          <w:bCs w:val="0"/>
          <w:sz w:val="22"/>
          <w:szCs w:val="22"/>
        </w:rPr>
        <w:t>68 743</w:t>
      </w:r>
      <w:r w:rsidR="00CD72D2" w:rsidRPr="00C66720">
        <w:rPr>
          <w:b w:val="0"/>
          <w:bCs w:val="0"/>
          <w:sz w:val="22"/>
          <w:szCs w:val="22"/>
        </w:rPr>
        <w:t xml:space="preserve"> </w:t>
      </w:r>
      <w:r w:rsidRPr="00C66720">
        <w:rPr>
          <w:b w:val="0"/>
          <w:bCs w:val="0"/>
          <w:sz w:val="22"/>
          <w:szCs w:val="22"/>
        </w:rPr>
        <w:t>tis. eur) sú významné položky softvéru u obchodných spoločností, ako napríklad Slovenská pošta, a.s. (</w:t>
      </w:r>
      <w:r w:rsidR="003C565F" w:rsidRPr="00C66720">
        <w:rPr>
          <w:b w:val="0"/>
          <w:bCs w:val="0"/>
          <w:sz w:val="22"/>
          <w:szCs w:val="22"/>
        </w:rPr>
        <w:t xml:space="preserve">19 </w:t>
      </w:r>
      <w:r w:rsidR="009701EE" w:rsidRPr="00C66720">
        <w:rPr>
          <w:b w:val="0"/>
          <w:bCs w:val="0"/>
          <w:sz w:val="22"/>
          <w:szCs w:val="22"/>
        </w:rPr>
        <w:t>858</w:t>
      </w:r>
      <w:r w:rsidRPr="00C66720">
        <w:rPr>
          <w:b w:val="0"/>
          <w:bCs w:val="0"/>
          <w:sz w:val="22"/>
          <w:szCs w:val="22"/>
        </w:rPr>
        <w:t xml:space="preserve"> tis. eur),</w:t>
      </w:r>
      <w:r w:rsidR="009701EE" w:rsidRPr="00C66720">
        <w:rPr>
          <w:b w:val="0"/>
          <w:bCs w:val="0"/>
          <w:sz w:val="22"/>
          <w:szCs w:val="22"/>
        </w:rPr>
        <w:t xml:space="preserve"> Železnice SR </w:t>
      </w:r>
      <w:r w:rsidR="00CF7C8E" w:rsidRPr="00C66720">
        <w:rPr>
          <w:b w:val="0"/>
          <w:bCs w:val="0"/>
          <w:sz w:val="22"/>
          <w:szCs w:val="22"/>
        </w:rPr>
        <w:br/>
      </w:r>
      <w:r w:rsidR="009701EE" w:rsidRPr="00C66720">
        <w:rPr>
          <w:b w:val="0"/>
          <w:bCs w:val="0"/>
          <w:sz w:val="22"/>
          <w:szCs w:val="22"/>
        </w:rPr>
        <w:t xml:space="preserve">(9 939 tis. eur), Železničná spoločnosť Slovensko, a.s. (8 294 tis. eur) a Železničná spoločnosť Cargo Slovakia, a.s. (7 862 tis. eur). </w:t>
      </w:r>
      <w:r w:rsidRPr="00C66720">
        <w:rPr>
          <w:b w:val="0"/>
          <w:bCs w:val="0"/>
          <w:sz w:val="22"/>
          <w:szCs w:val="22"/>
        </w:rPr>
        <w:t>Väčšinou ide o</w:t>
      </w:r>
      <w:r w:rsidR="00972386" w:rsidRPr="00C66720">
        <w:rPr>
          <w:b w:val="0"/>
          <w:bCs w:val="0"/>
          <w:sz w:val="22"/>
          <w:szCs w:val="22"/>
        </w:rPr>
        <w:t> </w:t>
      </w:r>
      <w:r w:rsidRPr="00C66720">
        <w:rPr>
          <w:b w:val="0"/>
          <w:bCs w:val="0"/>
          <w:sz w:val="22"/>
          <w:szCs w:val="22"/>
        </w:rPr>
        <w:t>prevádzkové informačné systémy,</w:t>
      </w:r>
      <w:r w:rsidR="00972386" w:rsidRPr="00C66720">
        <w:rPr>
          <w:b w:val="0"/>
          <w:bCs w:val="0"/>
          <w:sz w:val="22"/>
          <w:szCs w:val="22"/>
        </w:rPr>
        <w:t xml:space="preserve"> ako aj o systémy pre komunikáciu s verejnosťou v online prostredí (nákupné online systémy)</w:t>
      </w:r>
      <w:r w:rsidRPr="00C66720">
        <w:rPr>
          <w:b w:val="0"/>
          <w:bCs w:val="0"/>
          <w:sz w:val="22"/>
          <w:szCs w:val="22"/>
        </w:rPr>
        <w:t xml:space="preserve"> ktorých úbytky predstavujú ročné oprávky a prírastky znamenajú rozširovanie funkcionalít podľa potrieb resp. legislatívnych požiadaviek. Napríklad Slovenská pošta, a.s. spravuje softvér pre systém úhrad poplatkov štátu cez</w:t>
      </w:r>
      <w:r w:rsidR="00972386" w:rsidRPr="00C66720">
        <w:rPr>
          <w:b w:val="0"/>
          <w:bCs w:val="0"/>
          <w:sz w:val="22"/>
          <w:szCs w:val="22"/>
        </w:rPr>
        <w:br/>
      </w:r>
      <w:r w:rsidRPr="00C66720">
        <w:rPr>
          <w:b w:val="0"/>
          <w:bCs w:val="0"/>
          <w:sz w:val="22"/>
          <w:szCs w:val="22"/>
        </w:rPr>
        <w:t xml:space="preserve">E-kolok, ktorý tvorí súčasť elektronizácie verejnej správy a patrí </w:t>
      </w:r>
      <w:r w:rsidR="00A26DC0" w:rsidRPr="00C66720">
        <w:rPr>
          <w:b w:val="0"/>
          <w:bCs w:val="0"/>
          <w:sz w:val="22"/>
          <w:szCs w:val="22"/>
        </w:rPr>
        <w:t>k</w:t>
      </w:r>
      <w:r w:rsidRPr="00C66720">
        <w:rPr>
          <w:b w:val="0"/>
          <w:bCs w:val="0"/>
          <w:sz w:val="22"/>
          <w:szCs w:val="22"/>
        </w:rPr>
        <w:t xml:space="preserve"> najmodernejším platobným systémom v Európe. </w:t>
      </w:r>
    </w:p>
    <w:p w14:paraId="66602746" w14:textId="3F88626B" w:rsidR="00FC05B7" w:rsidRPr="00C66720" w:rsidRDefault="00E26C26" w:rsidP="001702F9">
      <w:pPr>
        <w:pStyle w:val="Pismenka"/>
        <w:tabs>
          <w:tab w:val="clear" w:pos="426"/>
          <w:tab w:val="num" w:pos="0"/>
        </w:tabs>
        <w:spacing w:after="120"/>
        <w:ind w:left="0" w:firstLine="0"/>
        <w:rPr>
          <w:b w:val="0"/>
          <w:bCs w:val="0"/>
          <w:sz w:val="22"/>
          <w:szCs w:val="22"/>
        </w:rPr>
      </w:pPr>
      <w:r w:rsidRPr="00C66720">
        <w:rPr>
          <w:b w:val="0"/>
          <w:bCs w:val="0"/>
          <w:sz w:val="22"/>
          <w:szCs w:val="22"/>
        </w:rPr>
        <w:t>Z ostatných subjektov súhrnného celku vykazuj</w:t>
      </w:r>
      <w:r w:rsidR="00A544C7" w:rsidRPr="00C66720">
        <w:rPr>
          <w:b w:val="0"/>
          <w:bCs w:val="0"/>
          <w:sz w:val="22"/>
          <w:szCs w:val="22"/>
        </w:rPr>
        <w:t>ú</w:t>
      </w:r>
      <w:r w:rsidRPr="00C66720">
        <w:rPr>
          <w:b w:val="0"/>
          <w:bCs w:val="0"/>
          <w:sz w:val="22"/>
          <w:szCs w:val="22"/>
        </w:rPr>
        <w:t xml:space="preserve"> významnú hodnotu softvéru</w:t>
      </w:r>
      <w:r w:rsidR="00A544C7" w:rsidRPr="00C66720">
        <w:rPr>
          <w:b w:val="0"/>
          <w:bCs w:val="0"/>
          <w:sz w:val="22"/>
          <w:szCs w:val="22"/>
        </w:rPr>
        <w:t xml:space="preserve"> </w:t>
      </w:r>
      <w:r w:rsidR="00B3467E" w:rsidRPr="00C66720">
        <w:rPr>
          <w:b w:val="0"/>
          <w:bCs w:val="0"/>
          <w:sz w:val="22"/>
          <w:szCs w:val="22"/>
        </w:rPr>
        <w:t xml:space="preserve">obce </w:t>
      </w:r>
      <w:r w:rsidR="001702F9" w:rsidRPr="00C66720">
        <w:rPr>
          <w:b w:val="0"/>
          <w:bCs w:val="0"/>
          <w:sz w:val="22"/>
          <w:szCs w:val="22"/>
        </w:rPr>
        <w:t>10 167</w:t>
      </w:r>
      <w:r w:rsidR="00C037C6" w:rsidRPr="00C66720">
        <w:rPr>
          <w:b w:val="0"/>
          <w:bCs w:val="0"/>
          <w:sz w:val="22"/>
          <w:szCs w:val="22"/>
        </w:rPr>
        <w:t xml:space="preserve"> </w:t>
      </w:r>
      <w:r w:rsidR="00B31D07" w:rsidRPr="00C66720">
        <w:rPr>
          <w:b w:val="0"/>
          <w:bCs w:val="0"/>
          <w:sz w:val="22"/>
          <w:szCs w:val="22"/>
        </w:rPr>
        <w:t xml:space="preserve">tis. eur </w:t>
      </w:r>
      <w:r w:rsidR="001702F9" w:rsidRPr="00C66720">
        <w:rPr>
          <w:b w:val="0"/>
          <w:bCs w:val="0"/>
          <w:sz w:val="22"/>
          <w:szCs w:val="22"/>
        </w:rPr>
        <w:t xml:space="preserve">a vyššie územné celky 7 245 tis. eur. </w:t>
      </w:r>
      <w:r w:rsidR="00C43F30" w:rsidRPr="00C66720">
        <w:rPr>
          <w:b w:val="0"/>
          <w:bCs w:val="0"/>
          <w:sz w:val="22"/>
          <w:szCs w:val="22"/>
        </w:rPr>
        <w:t>Zo skupiny ostatných subjektov vykázal</w:t>
      </w:r>
      <w:r w:rsidR="002E4059" w:rsidRPr="00C66720">
        <w:rPr>
          <w:b w:val="0"/>
          <w:bCs w:val="0"/>
          <w:sz w:val="22"/>
          <w:szCs w:val="22"/>
        </w:rPr>
        <w:t>a</w:t>
      </w:r>
      <w:r w:rsidR="0078443D" w:rsidRPr="00C66720">
        <w:rPr>
          <w:b w:val="0"/>
          <w:bCs w:val="0"/>
          <w:sz w:val="22"/>
          <w:szCs w:val="22"/>
        </w:rPr>
        <w:t xml:space="preserve"> Slovak Business Ag</w:t>
      </w:r>
      <w:r w:rsidR="007D7B64">
        <w:rPr>
          <w:b w:val="0"/>
          <w:bCs w:val="0"/>
          <w:sz w:val="22"/>
          <w:szCs w:val="22"/>
        </w:rPr>
        <w:t>e</w:t>
      </w:r>
      <w:r w:rsidR="0078443D" w:rsidRPr="00C66720">
        <w:rPr>
          <w:b w:val="0"/>
          <w:bCs w:val="0"/>
          <w:sz w:val="22"/>
          <w:szCs w:val="22"/>
        </w:rPr>
        <w:t>ncy 3 047 tis. eur,</w:t>
      </w:r>
      <w:r w:rsidR="00FC05B7" w:rsidRPr="00C66720">
        <w:rPr>
          <w:b w:val="0"/>
          <w:bCs w:val="0"/>
          <w:sz w:val="22"/>
          <w:szCs w:val="22"/>
        </w:rPr>
        <w:t xml:space="preserve"> Sociálna poisťovňa 1 </w:t>
      </w:r>
      <w:r w:rsidR="009E4454" w:rsidRPr="00C66720">
        <w:rPr>
          <w:b w:val="0"/>
          <w:bCs w:val="0"/>
          <w:sz w:val="22"/>
          <w:szCs w:val="22"/>
        </w:rPr>
        <w:t>843</w:t>
      </w:r>
      <w:r w:rsidR="00FC05B7" w:rsidRPr="00C66720">
        <w:rPr>
          <w:b w:val="0"/>
          <w:bCs w:val="0"/>
          <w:sz w:val="22"/>
          <w:szCs w:val="22"/>
        </w:rPr>
        <w:t xml:space="preserve"> tis. eur</w:t>
      </w:r>
      <w:r w:rsidR="007D7B64">
        <w:rPr>
          <w:b w:val="0"/>
          <w:bCs w:val="0"/>
          <w:sz w:val="22"/>
          <w:szCs w:val="22"/>
        </w:rPr>
        <w:t>, v</w:t>
      </w:r>
      <w:r w:rsidR="00FC05B7" w:rsidRPr="00C66720">
        <w:rPr>
          <w:b w:val="0"/>
          <w:bCs w:val="0"/>
          <w:sz w:val="22"/>
          <w:szCs w:val="22"/>
        </w:rPr>
        <w:t>erejné vysoké školy vykázali hodnotu softvéru za</w:t>
      </w:r>
      <w:r w:rsidR="007D7B64">
        <w:rPr>
          <w:b w:val="0"/>
          <w:bCs w:val="0"/>
          <w:sz w:val="22"/>
          <w:szCs w:val="22"/>
        </w:rPr>
        <w:br/>
      </w:r>
      <w:r w:rsidR="009E4454" w:rsidRPr="00C66720">
        <w:rPr>
          <w:b w:val="0"/>
          <w:bCs w:val="0"/>
          <w:sz w:val="22"/>
          <w:szCs w:val="22"/>
        </w:rPr>
        <w:t>4 239</w:t>
      </w:r>
      <w:r w:rsidR="00FC05B7" w:rsidRPr="00C66720">
        <w:rPr>
          <w:b w:val="0"/>
          <w:bCs w:val="0"/>
          <w:sz w:val="22"/>
          <w:szCs w:val="22"/>
        </w:rPr>
        <w:t xml:space="preserve"> tis. eur, najviac </w:t>
      </w:r>
      <w:r w:rsidR="009E4454" w:rsidRPr="00C66720">
        <w:rPr>
          <w:b w:val="0"/>
          <w:bCs w:val="0"/>
          <w:sz w:val="22"/>
          <w:szCs w:val="22"/>
        </w:rPr>
        <w:t>Žilinská univerzita v Žiline</w:t>
      </w:r>
      <w:r w:rsidR="00FC05B7" w:rsidRPr="00C66720">
        <w:rPr>
          <w:b w:val="0"/>
          <w:bCs w:val="0"/>
          <w:sz w:val="22"/>
          <w:szCs w:val="22"/>
        </w:rPr>
        <w:t xml:space="preserve"> </w:t>
      </w:r>
      <w:r w:rsidR="009E4454" w:rsidRPr="00C66720">
        <w:rPr>
          <w:b w:val="0"/>
          <w:bCs w:val="0"/>
          <w:sz w:val="22"/>
          <w:szCs w:val="22"/>
        </w:rPr>
        <w:t>1 311</w:t>
      </w:r>
      <w:r w:rsidR="00FC05B7" w:rsidRPr="00C66720">
        <w:rPr>
          <w:b w:val="0"/>
          <w:bCs w:val="0"/>
          <w:sz w:val="22"/>
          <w:szCs w:val="22"/>
        </w:rPr>
        <w:t xml:space="preserve"> tis. eur.</w:t>
      </w:r>
    </w:p>
    <w:p w14:paraId="6EF77C5F" w14:textId="77777777" w:rsidR="00B1137E" w:rsidRPr="00C66720" w:rsidRDefault="00B1137E" w:rsidP="003036DD">
      <w:pPr>
        <w:pStyle w:val="Pismenka"/>
        <w:numPr>
          <w:ilvl w:val="0"/>
          <w:numId w:val="44"/>
        </w:numPr>
        <w:spacing w:after="120"/>
        <w:ind w:left="284" w:hanging="284"/>
        <w:rPr>
          <w:i/>
          <w:szCs w:val="22"/>
          <w:u w:val="single"/>
        </w:rPr>
      </w:pPr>
      <w:bookmarkStart w:id="3" w:name="_Ref86091334"/>
      <w:r w:rsidRPr="00C66720">
        <w:rPr>
          <w:bCs w:val="0"/>
          <w:i/>
          <w:sz w:val="22"/>
          <w:szCs w:val="22"/>
          <w:u w:val="single"/>
        </w:rPr>
        <w:lastRenderedPageBreak/>
        <w:t>Oceniteľné</w:t>
      </w:r>
      <w:r w:rsidRPr="00C66720">
        <w:rPr>
          <w:i/>
          <w:szCs w:val="22"/>
          <w:u w:val="single"/>
        </w:rPr>
        <w:t xml:space="preserve"> práva</w:t>
      </w:r>
      <w:bookmarkEnd w:id="3"/>
    </w:p>
    <w:p w14:paraId="386DB8D1" w14:textId="45A15CB5" w:rsidR="00A96F62" w:rsidRPr="00C66720" w:rsidRDefault="00B1137E" w:rsidP="003036DD">
      <w:pPr>
        <w:tabs>
          <w:tab w:val="num" w:pos="0"/>
        </w:tabs>
        <w:spacing w:before="240" w:line="240" w:lineRule="auto"/>
        <w:jc w:val="both"/>
        <w:rPr>
          <w:rFonts w:ascii="Times New Roman" w:hAnsi="Times New Roman"/>
          <w:szCs w:val="22"/>
          <w:lang w:eastAsia="sk-SK"/>
        </w:rPr>
      </w:pPr>
      <w:r w:rsidRPr="00C66720">
        <w:rPr>
          <w:rFonts w:ascii="Times New Roman" w:hAnsi="Times New Roman"/>
          <w:szCs w:val="22"/>
          <w:lang w:eastAsia="sk-SK"/>
        </w:rPr>
        <w:t xml:space="preserve">Na hodnote oceniteľných práv (rovnako aj na medziročnom </w:t>
      </w:r>
      <w:r w:rsidR="009D4F52" w:rsidRPr="00C66720">
        <w:rPr>
          <w:rFonts w:ascii="Times New Roman" w:hAnsi="Times New Roman"/>
          <w:szCs w:val="22"/>
          <w:lang w:eastAsia="sk-SK"/>
        </w:rPr>
        <w:t>prírastku</w:t>
      </w:r>
      <w:r w:rsidRPr="00C66720">
        <w:rPr>
          <w:rFonts w:ascii="Times New Roman" w:hAnsi="Times New Roman"/>
          <w:szCs w:val="22"/>
          <w:lang w:eastAsia="sk-SK"/>
        </w:rPr>
        <w:t xml:space="preserve">) sa podieľa v rozhodujúcej miere ústredná správa sumou </w:t>
      </w:r>
      <w:r w:rsidR="009D4F52" w:rsidRPr="00C66720">
        <w:rPr>
          <w:rFonts w:ascii="Times New Roman" w:hAnsi="Times New Roman"/>
          <w:szCs w:val="22"/>
          <w:lang w:eastAsia="sk-SK"/>
        </w:rPr>
        <w:t>26 614</w:t>
      </w:r>
      <w:r w:rsidRPr="00C66720">
        <w:rPr>
          <w:rFonts w:ascii="Times New Roman" w:hAnsi="Times New Roman"/>
          <w:szCs w:val="22"/>
          <w:lang w:eastAsia="sk-SK"/>
        </w:rPr>
        <w:t xml:space="preserve"> tis. eur (na </w:t>
      </w:r>
      <w:r w:rsidR="009D4F52" w:rsidRPr="00C66720">
        <w:rPr>
          <w:rFonts w:ascii="Times New Roman" w:hAnsi="Times New Roman"/>
          <w:szCs w:val="22"/>
          <w:lang w:eastAsia="sk-SK"/>
        </w:rPr>
        <w:t>prírastku</w:t>
      </w:r>
      <w:r w:rsidRPr="00C66720">
        <w:rPr>
          <w:rFonts w:ascii="Times New Roman" w:hAnsi="Times New Roman"/>
          <w:szCs w:val="22"/>
          <w:lang w:eastAsia="sk-SK"/>
        </w:rPr>
        <w:t xml:space="preserve"> </w:t>
      </w:r>
      <w:r w:rsidR="009D4F52" w:rsidRPr="00C66720">
        <w:rPr>
          <w:rFonts w:ascii="Times New Roman" w:hAnsi="Times New Roman"/>
          <w:szCs w:val="22"/>
          <w:lang w:eastAsia="sk-SK"/>
        </w:rPr>
        <w:t>7 774</w:t>
      </w:r>
      <w:r w:rsidRPr="00C66720">
        <w:rPr>
          <w:rFonts w:ascii="Times New Roman" w:hAnsi="Times New Roman"/>
          <w:szCs w:val="22"/>
          <w:lang w:eastAsia="sk-SK"/>
        </w:rPr>
        <w:t xml:space="preserve"> tis. eur). V rámci tejto skupiny subjektov ide najmä o</w:t>
      </w:r>
      <w:r w:rsidR="00DD1D8A" w:rsidRPr="00C66720">
        <w:rPr>
          <w:rFonts w:ascii="Times New Roman" w:hAnsi="Times New Roman"/>
          <w:szCs w:val="22"/>
          <w:lang w:eastAsia="sk-SK"/>
        </w:rPr>
        <w:t> </w:t>
      </w:r>
      <w:r w:rsidR="00A96F62" w:rsidRPr="00C66720">
        <w:rPr>
          <w:rFonts w:ascii="Times New Roman" w:hAnsi="Times New Roman"/>
          <w:szCs w:val="22"/>
          <w:lang w:eastAsia="sk-SK"/>
        </w:rPr>
        <w:t xml:space="preserve">SEPS (11 450 tis. eur), Úrad geodézie, kartografie a katastra SR (4 469 tis. eur), Železničnú spoločnosť Slovensko, a.s. (2 032 tis. eur) a Ministerstvo financií SR (1 273 tis. eur). </w:t>
      </w:r>
      <w:r w:rsidRPr="00C66720">
        <w:rPr>
          <w:rFonts w:ascii="Times New Roman" w:hAnsi="Times New Roman"/>
          <w:szCs w:val="22"/>
          <w:lang w:eastAsia="sk-SK"/>
        </w:rPr>
        <w:t xml:space="preserve">Najväčší </w:t>
      </w:r>
      <w:r w:rsidR="00A96F62" w:rsidRPr="00C66720">
        <w:rPr>
          <w:rFonts w:ascii="Times New Roman" w:hAnsi="Times New Roman"/>
          <w:szCs w:val="22"/>
          <w:lang w:eastAsia="sk-SK"/>
        </w:rPr>
        <w:t xml:space="preserve">prírastok </w:t>
      </w:r>
      <w:r w:rsidRPr="00C66720">
        <w:rPr>
          <w:rFonts w:ascii="Times New Roman" w:hAnsi="Times New Roman"/>
          <w:szCs w:val="22"/>
          <w:lang w:eastAsia="sk-SK"/>
        </w:rPr>
        <w:t xml:space="preserve">hodnoty bol zaznamenaný </w:t>
      </w:r>
      <w:r w:rsidR="00465144" w:rsidRPr="00C66720">
        <w:rPr>
          <w:rFonts w:ascii="Times New Roman" w:hAnsi="Times New Roman"/>
          <w:szCs w:val="22"/>
          <w:lang w:eastAsia="sk-SK"/>
        </w:rPr>
        <w:t>u</w:t>
      </w:r>
      <w:r w:rsidR="0090599C" w:rsidRPr="00C66720">
        <w:rPr>
          <w:rFonts w:ascii="Times New Roman" w:hAnsi="Times New Roman"/>
          <w:szCs w:val="22"/>
          <w:lang w:eastAsia="sk-SK"/>
        </w:rPr>
        <w:t> SEPS (o 8 434 tis. eur)</w:t>
      </w:r>
      <w:r w:rsidR="00980F37" w:rsidRPr="00C66720">
        <w:rPr>
          <w:rFonts w:ascii="Times New Roman" w:hAnsi="Times New Roman"/>
          <w:szCs w:val="22"/>
          <w:lang w:eastAsia="sk-SK"/>
        </w:rPr>
        <w:t>, pričom ide o vecné bremená pri výstavbe nových vedení (stavieb základov stožiarov)</w:t>
      </w:r>
      <w:r w:rsidR="0090599C" w:rsidRPr="00C66720">
        <w:rPr>
          <w:rFonts w:ascii="Times New Roman" w:hAnsi="Times New Roman"/>
          <w:szCs w:val="22"/>
          <w:lang w:eastAsia="sk-SK"/>
        </w:rPr>
        <w:t>.</w:t>
      </w:r>
    </w:p>
    <w:p w14:paraId="4F3800E1" w14:textId="77777777" w:rsidR="00B21BDF" w:rsidRPr="00C66720" w:rsidRDefault="00377328" w:rsidP="003036DD">
      <w:pPr>
        <w:pStyle w:val="Pismenka"/>
        <w:numPr>
          <w:ilvl w:val="0"/>
          <w:numId w:val="44"/>
        </w:numPr>
        <w:spacing w:after="120"/>
        <w:ind w:left="284" w:hanging="284"/>
        <w:rPr>
          <w:i/>
          <w:szCs w:val="22"/>
          <w:u w:val="single"/>
        </w:rPr>
      </w:pPr>
      <w:bookmarkStart w:id="4" w:name="_Ref86091348"/>
      <w:r w:rsidRPr="00C66720">
        <w:rPr>
          <w:bCs w:val="0"/>
          <w:i/>
          <w:sz w:val="22"/>
          <w:szCs w:val="22"/>
          <w:u w:val="single"/>
        </w:rPr>
        <w:t>O</w:t>
      </w:r>
      <w:r w:rsidR="00B21BDF" w:rsidRPr="00C66720">
        <w:rPr>
          <w:bCs w:val="0"/>
          <w:i/>
          <w:sz w:val="22"/>
          <w:szCs w:val="22"/>
          <w:u w:val="single"/>
        </w:rPr>
        <w:t>bstaranie dlhodobého nehmotného majetku</w:t>
      </w:r>
      <w:bookmarkEnd w:id="4"/>
    </w:p>
    <w:p w14:paraId="756563C8" w14:textId="56B0F80C" w:rsidR="007135A0" w:rsidRPr="00C66720" w:rsidRDefault="00B21BDF" w:rsidP="00D923EA">
      <w:pPr>
        <w:tabs>
          <w:tab w:val="num" w:pos="0"/>
        </w:tabs>
        <w:spacing w:before="120" w:after="0" w:line="240" w:lineRule="auto"/>
        <w:jc w:val="both"/>
        <w:rPr>
          <w:rFonts w:ascii="Times New Roman" w:hAnsi="Times New Roman"/>
          <w:szCs w:val="22"/>
          <w:lang w:eastAsia="sk-SK"/>
        </w:rPr>
      </w:pPr>
      <w:r w:rsidRPr="00C66720">
        <w:rPr>
          <w:rFonts w:ascii="Times New Roman" w:hAnsi="Times New Roman"/>
          <w:szCs w:val="22"/>
          <w:lang w:eastAsia="sk-SK"/>
        </w:rPr>
        <w:t xml:space="preserve">Hodnota nehmotného majetku </w:t>
      </w:r>
      <w:r w:rsidR="00F71220" w:rsidRPr="00C66720">
        <w:rPr>
          <w:rFonts w:ascii="Times New Roman" w:hAnsi="Times New Roman"/>
          <w:szCs w:val="22"/>
          <w:lang w:eastAsia="sk-SK"/>
        </w:rPr>
        <w:t>zatiaľ nezaradeného do používania</w:t>
      </w:r>
      <w:r w:rsidR="002D6290" w:rsidRPr="00C66720">
        <w:rPr>
          <w:rFonts w:ascii="Times New Roman" w:hAnsi="Times New Roman"/>
          <w:szCs w:val="22"/>
          <w:lang w:eastAsia="sk-SK"/>
        </w:rPr>
        <w:t xml:space="preserve"> dosiahl</w:t>
      </w:r>
      <w:r w:rsidRPr="00C66720">
        <w:rPr>
          <w:rFonts w:ascii="Times New Roman" w:hAnsi="Times New Roman"/>
          <w:szCs w:val="22"/>
          <w:lang w:eastAsia="sk-SK"/>
        </w:rPr>
        <w:t>a</w:t>
      </w:r>
      <w:r w:rsidR="002D6290" w:rsidRPr="00C66720">
        <w:rPr>
          <w:rFonts w:ascii="Times New Roman" w:hAnsi="Times New Roman"/>
          <w:szCs w:val="22"/>
          <w:lang w:eastAsia="sk-SK"/>
        </w:rPr>
        <w:t xml:space="preserve"> k 31.</w:t>
      </w:r>
      <w:r w:rsidR="00D04421" w:rsidRPr="00C66720">
        <w:rPr>
          <w:rFonts w:ascii="Times New Roman" w:hAnsi="Times New Roman"/>
          <w:szCs w:val="22"/>
          <w:lang w:eastAsia="sk-SK"/>
        </w:rPr>
        <w:t>12.2022</w:t>
      </w:r>
      <w:r w:rsidR="0083378A" w:rsidRPr="00C66720">
        <w:rPr>
          <w:rFonts w:ascii="Times New Roman" w:hAnsi="Times New Roman"/>
          <w:szCs w:val="22"/>
          <w:lang w:eastAsia="sk-SK"/>
        </w:rPr>
        <w:t xml:space="preserve"> sumu</w:t>
      </w:r>
      <w:r w:rsidR="0083378A" w:rsidRPr="00C66720">
        <w:rPr>
          <w:rFonts w:ascii="Times New Roman" w:hAnsi="Times New Roman"/>
          <w:szCs w:val="22"/>
          <w:lang w:eastAsia="sk-SK"/>
        </w:rPr>
        <w:br/>
      </w:r>
      <w:r w:rsidR="00D04421" w:rsidRPr="00C66720">
        <w:rPr>
          <w:rFonts w:ascii="Times New Roman" w:hAnsi="Times New Roman"/>
          <w:szCs w:val="22"/>
          <w:lang w:eastAsia="sk-SK"/>
        </w:rPr>
        <w:t>135 204</w:t>
      </w:r>
      <w:r w:rsidR="00820A5F" w:rsidRPr="00C66720">
        <w:rPr>
          <w:rFonts w:ascii="Times New Roman" w:hAnsi="Times New Roman"/>
          <w:szCs w:val="22"/>
          <w:lang w:eastAsia="sk-SK"/>
        </w:rPr>
        <w:t xml:space="preserve"> tis. eur </w:t>
      </w:r>
      <w:r w:rsidR="00C5400B" w:rsidRPr="00C66720">
        <w:rPr>
          <w:rFonts w:ascii="Times New Roman" w:hAnsi="Times New Roman"/>
          <w:szCs w:val="22"/>
          <w:lang w:eastAsia="sk-SK"/>
        </w:rPr>
        <w:t xml:space="preserve">a medziročne je </w:t>
      </w:r>
      <w:r w:rsidR="002872C3" w:rsidRPr="00C66720">
        <w:rPr>
          <w:rFonts w:ascii="Times New Roman" w:hAnsi="Times New Roman"/>
          <w:szCs w:val="22"/>
          <w:lang w:eastAsia="sk-SK"/>
        </w:rPr>
        <w:t xml:space="preserve">úhrnom </w:t>
      </w:r>
      <w:r w:rsidR="00D04421" w:rsidRPr="00C66720">
        <w:rPr>
          <w:rFonts w:ascii="Times New Roman" w:hAnsi="Times New Roman"/>
          <w:szCs w:val="22"/>
          <w:lang w:eastAsia="sk-SK"/>
        </w:rPr>
        <w:t>vyššia</w:t>
      </w:r>
      <w:r w:rsidR="00C5400B" w:rsidRPr="00C66720">
        <w:rPr>
          <w:rFonts w:ascii="Times New Roman" w:hAnsi="Times New Roman"/>
          <w:szCs w:val="22"/>
          <w:lang w:eastAsia="sk-SK"/>
        </w:rPr>
        <w:t xml:space="preserve"> o</w:t>
      </w:r>
      <w:r w:rsidR="00D04421" w:rsidRPr="00C66720">
        <w:rPr>
          <w:rFonts w:ascii="Times New Roman" w:hAnsi="Times New Roman"/>
          <w:szCs w:val="22"/>
          <w:lang w:eastAsia="sk-SK"/>
        </w:rPr>
        <w:t> 39 515</w:t>
      </w:r>
      <w:r w:rsidR="00D54593" w:rsidRPr="00C66720">
        <w:rPr>
          <w:rFonts w:ascii="Times New Roman" w:hAnsi="Times New Roman"/>
          <w:szCs w:val="22"/>
          <w:lang w:eastAsia="sk-SK"/>
        </w:rPr>
        <w:t xml:space="preserve"> </w:t>
      </w:r>
      <w:r w:rsidR="002A5432" w:rsidRPr="00C66720">
        <w:rPr>
          <w:rFonts w:ascii="Times New Roman" w:hAnsi="Times New Roman"/>
          <w:szCs w:val="22"/>
          <w:lang w:eastAsia="sk-SK"/>
        </w:rPr>
        <w:t xml:space="preserve">tis. eur, </w:t>
      </w:r>
      <w:r w:rsidR="00180E28" w:rsidRPr="00C66720">
        <w:rPr>
          <w:rFonts w:ascii="Times New Roman" w:hAnsi="Times New Roman"/>
          <w:szCs w:val="22"/>
          <w:lang w:eastAsia="sk-SK"/>
        </w:rPr>
        <w:t xml:space="preserve">najmä z dôvodu postupného obstarávania informačných systémov. </w:t>
      </w:r>
      <w:r w:rsidR="002D6290" w:rsidRPr="00C66720">
        <w:rPr>
          <w:rFonts w:ascii="Times New Roman" w:hAnsi="Times New Roman"/>
          <w:szCs w:val="22"/>
          <w:lang w:eastAsia="sk-SK"/>
        </w:rPr>
        <w:t>V rámci obstarania dlhodobého nehmotného majetku vykázali organ</w:t>
      </w:r>
      <w:r w:rsidR="00F71220" w:rsidRPr="00C66720">
        <w:rPr>
          <w:rFonts w:ascii="Times New Roman" w:hAnsi="Times New Roman"/>
          <w:szCs w:val="22"/>
          <w:lang w:eastAsia="sk-SK"/>
        </w:rPr>
        <w:t xml:space="preserve">izácie ústrednej správy sumu </w:t>
      </w:r>
      <w:r w:rsidR="00963AC5" w:rsidRPr="00C66720">
        <w:rPr>
          <w:rFonts w:ascii="Times New Roman" w:hAnsi="Times New Roman"/>
          <w:szCs w:val="22"/>
          <w:lang w:eastAsia="sk-SK"/>
        </w:rPr>
        <w:t>119 369</w:t>
      </w:r>
      <w:r w:rsidR="006E48A6" w:rsidRPr="00C66720">
        <w:rPr>
          <w:rFonts w:ascii="Times New Roman" w:hAnsi="Times New Roman"/>
          <w:szCs w:val="22"/>
          <w:lang w:eastAsia="sk-SK"/>
        </w:rPr>
        <w:t xml:space="preserve"> tis. eur</w:t>
      </w:r>
      <w:r w:rsidR="00963AC5" w:rsidRPr="00C66720">
        <w:rPr>
          <w:rFonts w:ascii="Times New Roman" w:hAnsi="Times New Roman"/>
          <w:szCs w:val="22"/>
          <w:lang w:eastAsia="sk-SK"/>
        </w:rPr>
        <w:t xml:space="preserve"> </w:t>
      </w:r>
      <w:r w:rsidR="00557FCF" w:rsidRPr="00C66720">
        <w:rPr>
          <w:rFonts w:ascii="Times New Roman" w:hAnsi="Times New Roman"/>
          <w:szCs w:val="22"/>
          <w:lang w:eastAsia="sk-SK"/>
        </w:rPr>
        <w:t>(</w:t>
      </w:r>
      <w:r w:rsidR="00963AC5" w:rsidRPr="00C66720">
        <w:rPr>
          <w:rFonts w:ascii="Times New Roman" w:hAnsi="Times New Roman"/>
          <w:szCs w:val="22"/>
          <w:lang w:eastAsia="sk-SK"/>
        </w:rPr>
        <w:t>nárast</w:t>
      </w:r>
      <w:r w:rsidR="00557FCF" w:rsidRPr="00C66720">
        <w:rPr>
          <w:rFonts w:ascii="Times New Roman" w:hAnsi="Times New Roman"/>
          <w:szCs w:val="22"/>
          <w:lang w:eastAsia="sk-SK"/>
        </w:rPr>
        <w:t xml:space="preserve"> o</w:t>
      </w:r>
      <w:r w:rsidR="00963AC5" w:rsidRPr="00C66720">
        <w:rPr>
          <w:rFonts w:ascii="Times New Roman" w:hAnsi="Times New Roman"/>
          <w:szCs w:val="22"/>
          <w:lang w:eastAsia="sk-SK"/>
        </w:rPr>
        <w:t xml:space="preserve"> 35 143 </w:t>
      </w:r>
      <w:r w:rsidR="00B67875" w:rsidRPr="00C66720">
        <w:rPr>
          <w:rFonts w:ascii="Times New Roman" w:hAnsi="Times New Roman"/>
          <w:szCs w:val="22"/>
          <w:lang w:eastAsia="sk-SK"/>
        </w:rPr>
        <w:t>tis</w:t>
      </w:r>
      <w:r w:rsidR="002D6290" w:rsidRPr="00C66720">
        <w:rPr>
          <w:rFonts w:ascii="Times New Roman" w:hAnsi="Times New Roman"/>
          <w:szCs w:val="22"/>
          <w:lang w:eastAsia="sk-SK"/>
        </w:rPr>
        <w:t>. eur</w:t>
      </w:r>
      <w:r w:rsidR="00557FCF" w:rsidRPr="00C66720">
        <w:rPr>
          <w:rFonts w:ascii="Times New Roman" w:hAnsi="Times New Roman"/>
          <w:szCs w:val="22"/>
          <w:lang w:eastAsia="sk-SK"/>
        </w:rPr>
        <w:t>)</w:t>
      </w:r>
      <w:r w:rsidR="002D6290" w:rsidRPr="00C66720">
        <w:rPr>
          <w:rFonts w:ascii="Times New Roman" w:hAnsi="Times New Roman"/>
          <w:szCs w:val="22"/>
          <w:lang w:eastAsia="sk-SK"/>
        </w:rPr>
        <w:t xml:space="preserve">, územná samospráva spolu </w:t>
      </w:r>
      <w:r w:rsidR="00963AC5" w:rsidRPr="00C66720">
        <w:rPr>
          <w:rFonts w:ascii="Times New Roman" w:hAnsi="Times New Roman"/>
          <w:szCs w:val="22"/>
          <w:lang w:eastAsia="sk-SK"/>
        </w:rPr>
        <w:t>12 262</w:t>
      </w:r>
      <w:r w:rsidR="002D6290" w:rsidRPr="00C66720">
        <w:rPr>
          <w:rFonts w:ascii="Times New Roman" w:hAnsi="Times New Roman"/>
          <w:szCs w:val="22"/>
          <w:lang w:eastAsia="sk-SK"/>
        </w:rPr>
        <w:t xml:space="preserve"> </w:t>
      </w:r>
      <w:r w:rsidR="00B67875" w:rsidRPr="00C66720">
        <w:rPr>
          <w:rFonts w:ascii="Times New Roman" w:hAnsi="Times New Roman"/>
          <w:szCs w:val="22"/>
          <w:lang w:eastAsia="sk-SK"/>
        </w:rPr>
        <w:t>tis</w:t>
      </w:r>
      <w:r w:rsidR="00F12F56" w:rsidRPr="00C66720">
        <w:rPr>
          <w:rFonts w:ascii="Times New Roman" w:hAnsi="Times New Roman"/>
          <w:szCs w:val="22"/>
          <w:lang w:eastAsia="sk-SK"/>
        </w:rPr>
        <w:t>. eur a ostatné subjekty</w:t>
      </w:r>
      <w:r w:rsidR="00964EFD" w:rsidRPr="00C66720">
        <w:rPr>
          <w:rFonts w:ascii="Times New Roman" w:hAnsi="Times New Roman"/>
          <w:szCs w:val="22"/>
          <w:lang w:eastAsia="sk-SK"/>
        </w:rPr>
        <w:t xml:space="preserve"> </w:t>
      </w:r>
      <w:r w:rsidR="00963AC5" w:rsidRPr="00C66720">
        <w:rPr>
          <w:rFonts w:ascii="Times New Roman" w:hAnsi="Times New Roman"/>
          <w:szCs w:val="22"/>
          <w:lang w:eastAsia="sk-SK"/>
        </w:rPr>
        <w:t>3 574</w:t>
      </w:r>
      <w:r w:rsidR="00120F88" w:rsidRPr="00C66720">
        <w:rPr>
          <w:rFonts w:ascii="Times New Roman" w:hAnsi="Times New Roman"/>
          <w:szCs w:val="22"/>
          <w:lang w:eastAsia="sk-SK"/>
        </w:rPr>
        <w:t xml:space="preserve"> tis.</w:t>
      </w:r>
      <w:r w:rsidR="007135A0" w:rsidRPr="00C66720">
        <w:rPr>
          <w:rFonts w:ascii="Times New Roman" w:hAnsi="Times New Roman"/>
          <w:szCs w:val="22"/>
          <w:lang w:eastAsia="sk-SK"/>
        </w:rPr>
        <w:t xml:space="preserve"> eur.</w:t>
      </w:r>
    </w:p>
    <w:p w14:paraId="32868FEE" w14:textId="4DB1F88D" w:rsidR="000E2E96" w:rsidRPr="00C66720" w:rsidRDefault="001B43D5" w:rsidP="00D923EA">
      <w:pPr>
        <w:tabs>
          <w:tab w:val="num" w:pos="0"/>
        </w:tabs>
        <w:spacing w:before="120" w:after="0" w:line="240" w:lineRule="auto"/>
        <w:jc w:val="both"/>
        <w:rPr>
          <w:rFonts w:ascii="Times New Roman" w:hAnsi="Times New Roman"/>
          <w:szCs w:val="22"/>
          <w:lang w:eastAsia="sk-SK"/>
        </w:rPr>
      </w:pPr>
      <w:r w:rsidRPr="00C66720">
        <w:rPr>
          <w:rFonts w:ascii="Times New Roman" w:hAnsi="Times New Roman"/>
          <w:szCs w:val="22"/>
          <w:lang w:eastAsia="sk-SK"/>
        </w:rPr>
        <w:t>Najvyššiu</w:t>
      </w:r>
      <w:r w:rsidR="00F02EE4" w:rsidRPr="00C66720">
        <w:rPr>
          <w:rFonts w:ascii="Times New Roman" w:hAnsi="Times New Roman"/>
          <w:szCs w:val="22"/>
          <w:lang w:eastAsia="sk-SK"/>
        </w:rPr>
        <w:t xml:space="preserve"> ho</w:t>
      </w:r>
      <w:r w:rsidR="00373751" w:rsidRPr="00C66720">
        <w:rPr>
          <w:rFonts w:ascii="Times New Roman" w:hAnsi="Times New Roman"/>
          <w:szCs w:val="22"/>
          <w:lang w:eastAsia="sk-SK"/>
        </w:rPr>
        <w:t>dnotu majetku ústrednej správy z celého súhrnného celku (a to aj za predchádzajúce účtovné obdobia)</w:t>
      </w:r>
      <w:r w:rsidR="00F02EE4" w:rsidRPr="00C66720">
        <w:rPr>
          <w:rFonts w:ascii="Times New Roman" w:hAnsi="Times New Roman"/>
          <w:szCs w:val="22"/>
          <w:lang w:eastAsia="sk-SK"/>
        </w:rPr>
        <w:t xml:space="preserve"> je možné </w:t>
      </w:r>
      <w:r w:rsidRPr="00C66720">
        <w:rPr>
          <w:rFonts w:ascii="Times New Roman" w:hAnsi="Times New Roman"/>
          <w:szCs w:val="22"/>
          <w:lang w:eastAsia="sk-SK"/>
        </w:rPr>
        <w:t>odôvodniť</w:t>
      </w:r>
      <w:r w:rsidR="00373751" w:rsidRPr="00C66720">
        <w:rPr>
          <w:rFonts w:ascii="Times New Roman" w:hAnsi="Times New Roman"/>
          <w:szCs w:val="22"/>
          <w:lang w:eastAsia="sk-SK"/>
        </w:rPr>
        <w:t xml:space="preserve"> tým</w:t>
      </w:r>
      <w:r w:rsidR="00F02EE4" w:rsidRPr="00C66720">
        <w:rPr>
          <w:rFonts w:ascii="Times New Roman" w:hAnsi="Times New Roman"/>
          <w:szCs w:val="22"/>
          <w:lang w:eastAsia="sk-SK"/>
        </w:rPr>
        <w:t>, že predmetom obstarávania sú softvérové riešenia, ktorých proces obstarávani</w:t>
      </w:r>
      <w:r w:rsidR="00972A4F" w:rsidRPr="00C66720">
        <w:rPr>
          <w:rFonts w:ascii="Times New Roman" w:hAnsi="Times New Roman"/>
          <w:szCs w:val="22"/>
          <w:lang w:eastAsia="sk-SK"/>
        </w:rPr>
        <w:t>a</w:t>
      </w:r>
      <w:r w:rsidR="00F02EE4" w:rsidRPr="00C66720">
        <w:rPr>
          <w:rFonts w:ascii="Times New Roman" w:hAnsi="Times New Roman"/>
          <w:szCs w:val="22"/>
          <w:lang w:eastAsia="sk-SK"/>
        </w:rPr>
        <w:t xml:space="preserve"> </w:t>
      </w:r>
      <w:r w:rsidR="00880340" w:rsidRPr="00C66720">
        <w:rPr>
          <w:rFonts w:ascii="Times New Roman" w:hAnsi="Times New Roman"/>
          <w:szCs w:val="22"/>
          <w:lang w:eastAsia="sk-SK"/>
        </w:rPr>
        <w:t>často presahu</w:t>
      </w:r>
      <w:r w:rsidR="00F02EE4" w:rsidRPr="00C66720">
        <w:rPr>
          <w:rFonts w:ascii="Times New Roman" w:hAnsi="Times New Roman"/>
          <w:szCs w:val="22"/>
          <w:lang w:eastAsia="sk-SK"/>
        </w:rPr>
        <w:t xml:space="preserve">je </w:t>
      </w:r>
      <w:r w:rsidR="00880340" w:rsidRPr="00C66720">
        <w:rPr>
          <w:rFonts w:ascii="Times New Roman" w:hAnsi="Times New Roman"/>
          <w:szCs w:val="22"/>
          <w:lang w:eastAsia="sk-SK"/>
        </w:rPr>
        <w:t>jedno účtovné obdobie vzhľadom na ich zložitosť a</w:t>
      </w:r>
      <w:r w:rsidR="00B84EB8" w:rsidRPr="00C66720">
        <w:rPr>
          <w:rFonts w:ascii="Times New Roman" w:hAnsi="Times New Roman"/>
          <w:szCs w:val="22"/>
          <w:lang w:eastAsia="sk-SK"/>
        </w:rPr>
        <w:t> </w:t>
      </w:r>
      <w:r w:rsidR="00880340" w:rsidRPr="00C66720">
        <w:rPr>
          <w:rFonts w:ascii="Times New Roman" w:hAnsi="Times New Roman"/>
          <w:szCs w:val="22"/>
          <w:lang w:eastAsia="sk-SK"/>
        </w:rPr>
        <w:t>komplexnosť</w:t>
      </w:r>
      <w:r w:rsidR="00B84EB8" w:rsidRPr="00C66720">
        <w:rPr>
          <w:rFonts w:ascii="Times New Roman" w:hAnsi="Times New Roman"/>
          <w:szCs w:val="22"/>
          <w:lang w:eastAsia="sk-SK"/>
        </w:rPr>
        <w:t>.</w:t>
      </w:r>
    </w:p>
    <w:p w14:paraId="4C50D897" w14:textId="2D99D209" w:rsidR="00091FFE" w:rsidRPr="00C66720" w:rsidRDefault="004F464B" w:rsidP="00D923EA">
      <w:pPr>
        <w:tabs>
          <w:tab w:val="num" w:pos="0"/>
        </w:tabs>
        <w:spacing w:before="120" w:after="0" w:line="240" w:lineRule="auto"/>
        <w:jc w:val="both"/>
        <w:rPr>
          <w:rFonts w:ascii="Times New Roman" w:hAnsi="Times New Roman"/>
          <w:szCs w:val="22"/>
          <w:lang w:eastAsia="sk-SK"/>
        </w:rPr>
      </w:pPr>
      <w:r w:rsidRPr="00C66720">
        <w:rPr>
          <w:rFonts w:ascii="Times New Roman" w:hAnsi="Times New Roman"/>
          <w:szCs w:val="22"/>
          <w:lang w:eastAsia="sk-SK"/>
        </w:rPr>
        <w:t>Väčšinu hodnoty tohto ma</w:t>
      </w:r>
      <w:r w:rsidR="002452E4" w:rsidRPr="00C66720">
        <w:rPr>
          <w:rFonts w:ascii="Times New Roman" w:hAnsi="Times New Roman"/>
          <w:szCs w:val="22"/>
          <w:lang w:eastAsia="sk-SK"/>
        </w:rPr>
        <w:t>jetku v </w:t>
      </w:r>
      <w:r w:rsidR="002452E4" w:rsidRPr="007D7B64">
        <w:rPr>
          <w:rFonts w:ascii="Times New Roman" w:hAnsi="Times New Roman"/>
          <w:szCs w:val="22"/>
          <w:u w:val="single"/>
          <w:lang w:eastAsia="sk-SK"/>
        </w:rPr>
        <w:t>ústrednej správe</w:t>
      </w:r>
      <w:r w:rsidR="002452E4" w:rsidRPr="00C66720">
        <w:rPr>
          <w:rFonts w:ascii="Times New Roman" w:hAnsi="Times New Roman"/>
          <w:szCs w:val="22"/>
          <w:lang w:eastAsia="sk-SK"/>
        </w:rPr>
        <w:t xml:space="preserve"> tvorí 21</w:t>
      </w:r>
      <w:r w:rsidRPr="00C66720">
        <w:rPr>
          <w:rFonts w:ascii="Times New Roman" w:hAnsi="Times New Roman"/>
          <w:szCs w:val="22"/>
          <w:lang w:eastAsia="sk-SK"/>
        </w:rPr>
        <w:t xml:space="preserve"> subjektov s hodnot</w:t>
      </w:r>
      <w:r w:rsidR="008B203F" w:rsidRPr="00C66720">
        <w:rPr>
          <w:rFonts w:ascii="Times New Roman" w:hAnsi="Times New Roman"/>
          <w:szCs w:val="22"/>
          <w:lang w:eastAsia="sk-SK"/>
        </w:rPr>
        <w:t>o</w:t>
      </w:r>
      <w:r w:rsidRPr="00C66720">
        <w:rPr>
          <w:rFonts w:ascii="Times New Roman" w:hAnsi="Times New Roman"/>
          <w:szCs w:val="22"/>
          <w:lang w:eastAsia="sk-SK"/>
        </w:rPr>
        <w:t>u obstarávaného nehmotného majetku nad 1 000 tis. eur. Ide hl</w:t>
      </w:r>
      <w:r w:rsidR="00B92432" w:rsidRPr="00C66720">
        <w:rPr>
          <w:rFonts w:ascii="Times New Roman" w:hAnsi="Times New Roman"/>
          <w:szCs w:val="22"/>
          <w:lang w:eastAsia="sk-SK"/>
        </w:rPr>
        <w:t>avne o</w:t>
      </w:r>
      <w:r w:rsidR="00C52C8E" w:rsidRPr="00C66720">
        <w:rPr>
          <w:rFonts w:ascii="Times New Roman" w:hAnsi="Times New Roman"/>
          <w:szCs w:val="22"/>
          <w:lang w:eastAsia="sk-SK"/>
        </w:rPr>
        <w:t xml:space="preserve"> Ministerstvo financií SR (15 610 tis. eur), Ministerstvo životného prostredia SR (15 487 tis. eur), Železničnú spoločnosť Slovensko, a.s. </w:t>
      </w:r>
      <w:r w:rsidR="00EE0B54">
        <w:rPr>
          <w:rFonts w:ascii="Times New Roman" w:hAnsi="Times New Roman"/>
          <w:szCs w:val="22"/>
          <w:lang w:eastAsia="sk-SK"/>
        </w:rPr>
        <w:br/>
      </w:r>
      <w:r w:rsidR="00C52C8E" w:rsidRPr="00C66720">
        <w:rPr>
          <w:rFonts w:ascii="Times New Roman" w:hAnsi="Times New Roman"/>
          <w:szCs w:val="22"/>
          <w:lang w:eastAsia="sk-SK"/>
        </w:rPr>
        <w:t xml:space="preserve">(12 076 tis. eur), Národnú agentúru pre sieťové a elektronické služby (10 124 tis. eur), Finančné riaditeľstvo SR (9 139 tis. eur), Ministerstvo obrany SR (6 594 tis. eur). </w:t>
      </w:r>
      <w:r w:rsidR="00091FFE" w:rsidRPr="00C66720">
        <w:rPr>
          <w:rFonts w:ascii="Times New Roman" w:hAnsi="Times New Roman"/>
          <w:szCs w:val="22"/>
          <w:lang w:eastAsia="sk-SK"/>
        </w:rPr>
        <w:t>Najväčšiu hodnotu ako aj n</w:t>
      </w:r>
      <w:r w:rsidR="00DC28FB" w:rsidRPr="00C66720">
        <w:rPr>
          <w:rFonts w:ascii="Times New Roman" w:hAnsi="Times New Roman"/>
          <w:szCs w:val="22"/>
          <w:lang w:eastAsia="sk-SK"/>
        </w:rPr>
        <w:t xml:space="preserve">ajväčší medziročný </w:t>
      </w:r>
      <w:r w:rsidR="00091FFE" w:rsidRPr="00C66720">
        <w:rPr>
          <w:rFonts w:ascii="Times New Roman" w:hAnsi="Times New Roman"/>
          <w:szCs w:val="22"/>
          <w:lang w:eastAsia="sk-SK"/>
        </w:rPr>
        <w:t>prírastok</w:t>
      </w:r>
      <w:r w:rsidR="00DC28FB" w:rsidRPr="00C66720">
        <w:rPr>
          <w:rFonts w:ascii="Times New Roman" w:hAnsi="Times New Roman"/>
          <w:szCs w:val="22"/>
          <w:lang w:eastAsia="sk-SK"/>
        </w:rPr>
        <w:t xml:space="preserve"> </w:t>
      </w:r>
      <w:r w:rsidR="00091FFE" w:rsidRPr="00C66720">
        <w:rPr>
          <w:rFonts w:ascii="Times New Roman" w:hAnsi="Times New Roman"/>
          <w:szCs w:val="22"/>
          <w:lang w:eastAsia="sk-SK"/>
        </w:rPr>
        <w:t xml:space="preserve">o 12 001 tis. eur bol zaznamenaný </w:t>
      </w:r>
      <w:r w:rsidR="00DC28FB" w:rsidRPr="00C66720">
        <w:rPr>
          <w:rFonts w:ascii="Times New Roman" w:hAnsi="Times New Roman"/>
          <w:szCs w:val="22"/>
          <w:lang w:eastAsia="sk-SK"/>
        </w:rPr>
        <w:t xml:space="preserve">v prípade </w:t>
      </w:r>
      <w:r w:rsidR="00091FFE" w:rsidRPr="00C66720">
        <w:rPr>
          <w:rFonts w:ascii="Times New Roman" w:hAnsi="Times New Roman"/>
          <w:szCs w:val="22"/>
          <w:lang w:eastAsia="sk-SK"/>
        </w:rPr>
        <w:t>Ministerstva financií SR, pričom ide o novoobstarané informačné systémy alebo rozšírenia už existujúcich informačných systémov (napr. Centrálny ekonomický systém, Centrálny konsolidačný systém, Centrálny register účtov). Celková hodnota dlhodobého nehmotného majetku zaradeného do používania v priebehu roka 2022 bola</w:t>
      </w:r>
      <w:r w:rsidR="00EE0B54">
        <w:rPr>
          <w:rFonts w:ascii="Times New Roman" w:hAnsi="Times New Roman"/>
          <w:szCs w:val="22"/>
          <w:lang w:eastAsia="sk-SK"/>
        </w:rPr>
        <w:t xml:space="preserve"> </w:t>
      </w:r>
      <w:r w:rsidR="00091FFE" w:rsidRPr="00C66720">
        <w:rPr>
          <w:rFonts w:ascii="Times New Roman" w:hAnsi="Times New Roman"/>
          <w:szCs w:val="22"/>
          <w:lang w:eastAsia="sk-SK"/>
        </w:rPr>
        <w:t xml:space="preserve">11 769 tis. eur, pričom prírastky </w:t>
      </w:r>
      <w:r w:rsidR="007D7B64">
        <w:rPr>
          <w:rFonts w:ascii="Times New Roman" w:hAnsi="Times New Roman"/>
          <w:szCs w:val="22"/>
          <w:lang w:eastAsia="sk-SK"/>
        </w:rPr>
        <w:t>nového</w:t>
      </w:r>
      <w:r w:rsidR="00091FFE" w:rsidRPr="00C66720">
        <w:rPr>
          <w:rFonts w:ascii="Times New Roman" w:hAnsi="Times New Roman"/>
          <w:szCs w:val="22"/>
          <w:lang w:eastAsia="sk-SK"/>
        </w:rPr>
        <w:t xml:space="preserve"> obstarávania boli v sume 23 770 tis. eur.</w:t>
      </w:r>
    </w:p>
    <w:p w14:paraId="70C62E09" w14:textId="0A9576BA" w:rsidR="00612D8D" w:rsidRPr="00C66720" w:rsidRDefault="009B76EE" w:rsidP="008851C5">
      <w:pPr>
        <w:tabs>
          <w:tab w:val="num" w:pos="0"/>
        </w:tabs>
        <w:spacing w:before="120" w:line="240" w:lineRule="auto"/>
        <w:jc w:val="both"/>
        <w:rPr>
          <w:rFonts w:ascii="Times New Roman" w:hAnsi="Times New Roman"/>
          <w:szCs w:val="22"/>
          <w:highlight w:val="yellow"/>
          <w:lang w:eastAsia="sk-SK"/>
        </w:rPr>
      </w:pPr>
      <w:r w:rsidRPr="00C66720">
        <w:rPr>
          <w:rFonts w:ascii="Times New Roman" w:hAnsi="Times New Roman"/>
          <w:szCs w:val="22"/>
          <w:lang w:eastAsia="sk-SK"/>
        </w:rPr>
        <w:t>Ministerstvo životného prostredia SR obstaráva Informačný</w:t>
      </w:r>
      <w:r w:rsidR="00DE591F" w:rsidRPr="00C66720">
        <w:rPr>
          <w:rFonts w:ascii="Times New Roman" w:hAnsi="Times New Roman"/>
          <w:szCs w:val="22"/>
          <w:lang w:eastAsia="sk-SK"/>
        </w:rPr>
        <w:t xml:space="preserve"> systém odpadového hospodárstva.</w:t>
      </w:r>
      <w:r w:rsidRPr="00C66720">
        <w:rPr>
          <w:rFonts w:ascii="Times New Roman" w:hAnsi="Times New Roman"/>
          <w:szCs w:val="22"/>
          <w:lang w:eastAsia="sk-SK"/>
        </w:rPr>
        <w:t xml:space="preserve"> </w:t>
      </w:r>
      <w:r w:rsidR="00DE591F" w:rsidRPr="00C66720">
        <w:rPr>
          <w:rFonts w:ascii="Times New Roman" w:hAnsi="Times New Roman"/>
          <w:szCs w:val="22"/>
          <w:lang w:eastAsia="sk-SK"/>
        </w:rPr>
        <w:t>Železničná spoločnosť Slovensko, a.s. vykazuje na danej položke hodnotu obstaraného ekonomického systému, softvéru pre predaj cestovných dokladov v rámci realizácie projektu TAP TSI, bezpečnostné systémy</w:t>
      </w:r>
      <w:r w:rsidR="0092748D" w:rsidRPr="00C66720">
        <w:rPr>
          <w:rFonts w:ascii="Times New Roman" w:hAnsi="Times New Roman"/>
          <w:szCs w:val="22"/>
          <w:lang w:eastAsia="sk-SK"/>
        </w:rPr>
        <w:t>, komplexné komunikačné systémy</w:t>
      </w:r>
      <w:r w:rsidR="00DE591F" w:rsidRPr="00C66720">
        <w:rPr>
          <w:rFonts w:ascii="Times New Roman" w:hAnsi="Times New Roman"/>
          <w:szCs w:val="22"/>
          <w:lang w:eastAsia="sk-SK"/>
        </w:rPr>
        <w:t xml:space="preserve"> a podobne.</w:t>
      </w:r>
      <w:r w:rsidR="00D349A3" w:rsidRPr="00C66720">
        <w:rPr>
          <w:rFonts w:ascii="Times New Roman" w:hAnsi="Times New Roman"/>
          <w:szCs w:val="22"/>
          <w:lang w:eastAsia="sk-SK"/>
        </w:rPr>
        <w:t xml:space="preserve"> </w:t>
      </w:r>
      <w:r w:rsidR="008851C5" w:rsidRPr="00C66720">
        <w:rPr>
          <w:rFonts w:ascii="Times New Roman" w:hAnsi="Times New Roman"/>
          <w:szCs w:val="22"/>
          <w:lang w:eastAsia="sk-SK"/>
        </w:rPr>
        <w:t xml:space="preserve">Národná agentúra pre sieťové a elektronické služby obstaráva unikátny softvér „Ústredný portál verejnej správy“. </w:t>
      </w:r>
      <w:r w:rsidR="00D349A3" w:rsidRPr="00C66720">
        <w:rPr>
          <w:rFonts w:ascii="Times New Roman" w:hAnsi="Times New Roman"/>
          <w:szCs w:val="22"/>
          <w:lang w:eastAsia="sk-SK"/>
        </w:rPr>
        <w:t>Finančné riaditeľstvo SR medzi nehmotným majetkom v procese obstarávania vykazuje upgrade existujúcich informačných systémov, ktoré sa týka hlavne zabezpečenia nových funkcionalít Informačného systému FS – správa daní, rozšírenie funkcionality aplikačného programového vybavenia pre správu nepriamych daní, upgrade Administratívneho informačného systému a ďalších.</w:t>
      </w:r>
      <w:r w:rsidR="006418ED" w:rsidRPr="00C66720">
        <w:rPr>
          <w:rFonts w:ascii="Times New Roman" w:hAnsi="Times New Roman"/>
          <w:szCs w:val="22"/>
          <w:lang w:eastAsia="sk-SK"/>
        </w:rPr>
        <w:t xml:space="preserve"> </w:t>
      </w:r>
      <w:r w:rsidR="00542EC5" w:rsidRPr="00C66720">
        <w:rPr>
          <w:rFonts w:ascii="Times New Roman" w:hAnsi="Times New Roman"/>
          <w:szCs w:val="22"/>
          <w:lang w:eastAsia="sk-SK"/>
        </w:rPr>
        <w:t>Ministerstvo obrany SR</w:t>
      </w:r>
      <w:r w:rsidR="00771D7C" w:rsidRPr="00C66720">
        <w:rPr>
          <w:rFonts w:ascii="Times New Roman" w:hAnsi="Times New Roman"/>
          <w:szCs w:val="22"/>
          <w:lang w:eastAsia="sk-SK"/>
        </w:rPr>
        <w:t xml:space="preserve"> vykazuje prírastok nehmotného majetku v procese obstarávania o 6 594 tis. eur z dôvodu modernizácie komunikačných a informačných systémov.</w:t>
      </w:r>
      <w:r w:rsidR="001C1B7D" w:rsidRPr="00C66720">
        <w:rPr>
          <w:rFonts w:ascii="Times New Roman" w:hAnsi="Times New Roman"/>
          <w:szCs w:val="22"/>
          <w:highlight w:val="yellow"/>
          <w:lang w:eastAsia="sk-SK"/>
        </w:rPr>
        <w:t xml:space="preserve"> </w:t>
      </w:r>
      <w:bookmarkStart w:id="5" w:name="_Ref86091360"/>
    </w:p>
    <w:p w14:paraId="1BEF1770" w14:textId="16C3D247" w:rsidR="000A6254" w:rsidRPr="00C66720" w:rsidRDefault="000A6254" w:rsidP="00612D8D">
      <w:pPr>
        <w:pStyle w:val="Pismenka"/>
        <w:numPr>
          <w:ilvl w:val="0"/>
          <w:numId w:val="44"/>
        </w:numPr>
        <w:spacing w:after="120"/>
        <w:ind w:left="284" w:hanging="284"/>
        <w:rPr>
          <w:bCs w:val="0"/>
          <w:i/>
          <w:sz w:val="22"/>
          <w:szCs w:val="22"/>
          <w:u w:val="single"/>
        </w:rPr>
      </w:pPr>
      <w:r w:rsidRPr="00C66720">
        <w:rPr>
          <w:bCs w:val="0"/>
          <w:i/>
          <w:sz w:val="22"/>
          <w:szCs w:val="22"/>
          <w:u w:val="single"/>
        </w:rPr>
        <w:t xml:space="preserve">Ostatný </w:t>
      </w:r>
      <w:r w:rsidR="007C562B" w:rsidRPr="00C66720">
        <w:rPr>
          <w:bCs w:val="0"/>
          <w:i/>
          <w:sz w:val="22"/>
          <w:szCs w:val="22"/>
          <w:u w:val="single"/>
        </w:rPr>
        <w:t xml:space="preserve">dlhodobý </w:t>
      </w:r>
      <w:r w:rsidRPr="00C66720">
        <w:rPr>
          <w:bCs w:val="0"/>
          <w:i/>
          <w:sz w:val="22"/>
          <w:szCs w:val="22"/>
          <w:u w:val="single"/>
        </w:rPr>
        <w:t>nehmotný majetok</w:t>
      </w:r>
      <w:bookmarkEnd w:id="5"/>
    </w:p>
    <w:p w14:paraId="1E684BE6" w14:textId="71A79712" w:rsidR="00095A23" w:rsidRPr="00C66720" w:rsidRDefault="00C8394A" w:rsidP="00DC6285">
      <w:pPr>
        <w:tabs>
          <w:tab w:val="num" w:pos="0"/>
        </w:tabs>
        <w:spacing w:before="120" w:after="0" w:line="240" w:lineRule="auto"/>
        <w:jc w:val="both"/>
        <w:rPr>
          <w:rFonts w:ascii="Times New Roman" w:hAnsi="Times New Roman"/>
          <w:szCs w:val="22"/>
          <w:lang w:eastAsia="sk-SK"/>
        </w:rPr>
      </w:pPr>
      <w:r w:rsidRPr="00C66720">
        <w:rPr>
          <w:rFonts w:ascii="Times New Roman" w:hAnsi="Times New Roman"/>
          <w:szCs w:val="22"/>
          <w:lang w:eastAsia="sk-SK"/>
        </w:rPr>
        <w:t>V rámci ostatného nehmotného majetku sa vykazujú najmä aktivované náklady na rôznu dokumentáciu, územné plány miest a obcí, plány hospodárskeho a sociálneho rozvoja miest a obcí, mapy a ostatný drobný nehmotný majetok</w:t>
      </w:r>
      <w:r w:rsidR="00A2188F" w:rsidRPr="00C66720">
        <w:rPr>
          <w:rFonts w:ascii="Times New Roman" w:hAnsi="Times New Roman"/>
          <w:szCs w:val="22"/>
          <w:lang w:eastAsia="sk-SK"/>
        </w:rPr>
        <w:t xml:space="preserve"> (26</w:t>
      </w:r>
      <w:r w:rsidR="00F02DB7" w:rsidRPr="00C66720">
        <w:rPr>
          <w:rFonts w:ascii="Times New Roman" w:hAnsi="Times New Roman"/>
          <w:szCs w:val="22"/>
          <w:lang w:eastAsia="sk-SK"/>
        </w:rPr>
        <w:t> </w:t>
      </w:r>
      <w:r w:rsidR="00A2188F" w:rsidRPr="00C66720">
        <w:rPr>
          <w:rFonts w:ascii="Times New Roman" w:hAnsi="Times New Roman"/>
          <w:szCs w:val="22"/>
          <w:lang w:eastAsia="sk-SK"/>
        </w:rPr>
        <w:t>9</w:t>
      </w:r>
      <w:r w:rsidR="00F02DB7" w:rsidRPr="00C66720">
        <w:rPr>
          <w:rFonts w:ascii="Times New Roman" w:hAnsi="Times New Roman"/>
          <w:szCs w:val="22"/>
          <w:lang w:eastAsia="sk-SK"/>
        </w:rPr>
        <w:t xml:space="preserve">77 </w:t>
      </w:r>
      <w:r w:rsidR="00A2188F" w:rsidRPr="00C66720">
        <w:rPr>
          <w:rFonts w:ascii="Times New Roman" w:hAnsi="Times New Roman"/>
          <w:szCs w:val="22"/>
          <w:lang w:eastAsia="sk-SK"/>
        </w:rPr>
        <w:t>tis. eur)</w:t>
      </w:r>
      <w:r w:rsidRPr="00C66720">
        <w:rPr>
          <w:rFonts w:ascii="Times New Roman" w:hAnsi="Times New Roman"/>
          <w:szCs w:val="22"/>
          <w:lang w:eastAsia="sk-SK"/>
        </w:rPr>
        <w:t>,</w:t>
      </w:r>
      <w:r w:rsidR="0011035A" w:rsidRPr="00C66720">
        <w:rPr>
          <w:rFonts w:ascii="Times New Roman" w:hAnsi="Times New Roman"/>
          <w:szCs w:val="22"/>
          <w:lang w:eastAsia="sk-SK"/>
        </w:rPr>
        <w:t xml:space="preserve"> poskytnuté preddavky na obstaranie dlhodobého nehmotného majetku (10 492 tis. eur),</w:t>
      </w:r>
      <w:r w:rsidRPr="00C66720">
        <w:rPr>
          <w:rFonts w:ascii="Times New Roman" w:hAnsi="Times New Roman"/>
          <w:szCs w:val="22"/>
          <w:lang w:eastAsia="sk-SK"/>
        </w:rPr>
        <w:t xml:space="preserve"> aktivované nák</w:t>
      </w:r>
      <w:r w:rsidR="004513D2" w:rsidRPr="00C66720">
        <w:rPr>
          <w:rFonts w:ascii="Times New Roman" w:hAnsi="Times New Roman"/>
          <w:szCs w:val="22"/>
          <w:lang w:eastAsia="sk-SK"/>
        </w:rPr>
        <w:t>lady na vývoj</w:t>
      </w:r>
      <w:r w:rsidR="00960372" w:rsidRPr="00C66720">
        <w:rPr>
          <w:rFonts w:ascii="Times New Roman" w:hAnsi="Times New Roman"/>
          <w:szCs w:val="22"/>
          <w:lang w:eastAsia="sk-SK"/>
        </w:rPr>
        <w:t xml:space="preserve"> (</w:t>
      </w:r>
      <w:r w:rsidR="0011035A" w:rsidRPr="00C66720">
        <w:rPr>
          <w:rFonts w:ascii="Times New Roman" w:hAnsi="Times New Roman"/>
          <w:szCs w:val="22"/>
          <w:lang w:eastAsia="sk-SK"/>
        </w:rPr>
        <w:t>2 168</w:t>
      </w:r>
      <w:r w:rsidRPr="00C66720">
        <w:rPr>
          <w:rFonts w:ascii="Times New Roman" w:hAnsi="Times New Roman"/>
          <w:szCs w:val="22"/>
          <w:lang w:eastAsia="sk-SK"/>
        </w:rPr>
        <w:t xml:space="preserve"> tis. eur) a goodwill </w:t>
      </w:r>
      <w:r w:rsidR="00F02DB7" w:rsidRPr="00C66720">
        <w:rPr>
          <w:rFonts w:ascii="Times New Roman" w:hAnsi="Times New Roman"/>
          <w:szCs w:val="22"/>
          <w:lang w:eastAsia="sk-SK"/>
        </w:rPr>
        <w:br/>
      </w:r>
      <w:r w:rsidRPr="00C66720">
        <w:rPr>
          <w:rFonts w:ascii="Times New Roman" w:hAnsi="Times New Roman"/>
          <w:szCs w:val="22"/>
          <w:lang w:eastAsia="sk-SK"/>
        </w:rPr>
        <w:t>(</w:t>
      </w:r>
      <w:r w:rsidR="0011035A" w:rsidRPr="00C66720">
        <w:rPr>
          <w:rFonts w:ascii="Times New Roman" w:hAnsi="Times New Roman"/>
          <w:szCs w:val="22"/>
          <w:lang w:eastAsia="sk-SK"/>
        </w:rPr>
        <w:t>1 343</w:t>
      </w:r>
      <w:r w:rsidRPr="00C66720">
        <w:rPr>
          <w:rFonts w:ascii="Times New Roman" w:hAnsi="Times New Roman"/>
          <w:szCs w:val="22"/>
          <w:lang w:eastAsia="sk-SK"/>
        </w:rPr>
        <w:t xml:space="preserve"> tis. eur). </w:t>
      </w:r>
      <w:r w:rsidR="005E2C4A" w:rsidRPr="00C66720">
        <w:rPr>
          <w:rFonts w:ascii="Times New Roman" w:hAnsi="Times New Roman"/>
          <w:szCs w:val="22"/>
          <w:lang w:eastAsia="sk-SK"/>
        </w:rPr>
        <w:t>Ú</w:t>
      </w:r>
      <w:r w:rsidRPr="00C66720">
        <w:rPr>
          <w:rFonts w:ascii="Times New Roman" w:hAnsi="Times New Roman"/>
          <w:szCs w:val="22"/>
          <w:lang w:eastAsia="sk-SK"/>
        </w:rPr>
        <w:t xml:space="preserve">stredná správa </w:t>
      </w:r>
      <w:r w:rsidR="005E2C4A" w:rsidRPr="00C66720">
        <w:rPr>
          <w:rFonts w:ascii="Times New Roman" w:hAnsi="Times New Roman"/>
          <w:szCs w:val="22"/>
          <w:lang w:eastAsia="sk-SK"/>
        </w:rPr>
        <w:t xml:space="preserve">vykázala </w:t>
      </w:r>
      <w:r w:rsidR="006B0985" w:rsidRPr="00C66720">
        <w:rPr>
          <w:rFonts w:ascii="Times New Roman" w:hAnsi="Times New Roman"/>
          <w:szCs w:val="22"/>
          <w:lang w:eastAsia="sk-SK"/>
        </w:rPr>
        <w:t>24 247</w:t>
      </w:r>
      <w:r w:rsidRPr="00C66720">
        <w:rPr>
          <w:rFonts w:ascii="Times New Roman" w:hAnsi="Times New Roman"/>
          <w:szCs w:val="22"/>
          <w:lang w:eastAsia="sk-SK"/>
        </w:rPr>
        <w:t xml:space="preserve"> tis. eur</w:t>
      </w:r>
      <w:r w:rsidR="005E2C4A" w:rsidRPr="00C66720">
        <w:rPr>
          <w:rFonts w:ascii="Times New Roman" w:hAnsi="Times New Roman"/>
          <w:szCs w:val="22"/>
          <w:lang w:eastAsia="sk-SK"/>
        </w:rPr>
        <w:t xml:space="preserve"> a územná samospráva hodnotu </w:t>
      </w:r>
      <w:r w:rsidR="006B0985" w:rsidRPr="00C66720">
        <w:rPr>
          <w:rFonts w:ascii="Times New Roman" w:hAnsi="Times New Roman"/>
          <w:szCs w:val="22"/>
          <w:lang w:eastAsia="sk-SK"/>
        </w:rPr>
        <w:t>16 946</w:t>
      </w:r>
      <w:r w:rsidR="005E2C4A" w:rsidRPr="00C66720">
        <w:rPr>
          <w:rFonts w:ascii="Times New Roman" w:hAnsi="Times New Roman"/>
          <w:szCs w:val="22"/>
          <w:lang w:eastAsia="sk-SK"/>
        </w:rPr>
        <w:t xml:space="preserve"> </w:t>
      </w:r>
      <w:r w:rsidR="00DD05E9" w:rsidRPr="00C66720">
        <w:rPr>
          <w:rFonts w:ascii="Times New Roman" w:hAnsi="Times New Roman"/>
          <w:szCs w:val="22"/>
          <w:lang w:eastAsia="sk-SK"/>
        </w:rPr>
        <w:t>tis. eur.</w:t>
      </w:r>
      <w:r w:rsidR="00DC6285" w:rsidRPr="00C66720">
        <w:rPr>
          <w:rFonts w:ascii="Times New Roman" w:hAnsi="Times New Roman"/>
          <w:szCs w:val="22"/>
          <w:lang w:eastAsia="sk-SK"/>
        </w:rPr>
        <w:t xml:space="preserve"> </w:t>
      </w:r>
    </w:p>
    <w:p w14:paraId="4F741247" w14:textId="146FC1BE" w:rsidR="002D6290" w:rsidRPr="00C66720" w:rsidRDefault="002D6290" w:rsidP="00014B3A">
      <w:pPr>
        <w:tabs>
          <w:tab w:val="num" w:pos="0"/>
        </w:tabs>
        <w:spacing w:before="240" w:line="240" w:lineRule="auto"/>
        <w:jc w:val="both"/>
        <w:rPr>
          <w:rFonts w:ascii="Times New Roman" w:hAnsi="Times New Roman"/>
          <w:sz w:val="24"/>
          <w:szCs w:val="24"/>
          <w:lang w:eastAsia="sk-SK"/>
        </w:rPr>
      </w:pPr>
      <w:r w:rsidRPr="00C66720">
        <w:rPr>
          <w:rFonts w:ascii="Times New Roman" w:hAnsi="Times New Roman"/>
          <w:b/>
          <w:sz w:val="24"/>
          <w:szCs w:val="24"/>
          <w:lang w:eastAsia="sk-SK"/>
        </w:rPr>
        <w:t xml:space="preserve">A.II. </w:t>
      </w:r>
      <w:r w:rsidR="00EB5252" w:rsidRPr="00C66720">
        <w:rPr>
          <w:rFonts w:ascii="Times New Roman" w:hAnsi="Times New Roman"/>
          <w:b/>
          <w:sz w:val="24"/>
          <w:szCs w:val="24"/>
          <w:lang w:eastAsia="sk-SK"/>
        </w:rPr>
        <w:t>H</w:t>
      </w:r>
      <w:r w:rsidRPr="00C66720">
        <w:rPr>
          <w:rFonts w:ascii="Times New Roman" w:hAnsi="Times New Roman"/>
          <w:b/>
          <w:sz w:val="24"/>
          <w:szCs w:val="24"/>
          <w:lang w:eastAsia="sk-SK"/>
        </w:rPr>
        <w:t>motný majetok</w:t>
      </w:r>
    </w:p>
    <w:p w14:paraId="131F3922" w14:textId="7ED08A59" w:rsidR="00E95771" w:rsidRDefault="002D6290" w:rsidP="00D073F4">
      <w:pPr>
        <w:tabs>
          <w:tab w:val="num" w:pos="0"/>
        </w:tabs>
        <w:spacing w:after="120" w:line="240" w:lineRule="auto"/>
        <w:jc w:val="both"/>
        <w:rPr>
          <w:rFonts w:ascii="Times New Roman" w:hAnsi="Times New Roman"/>
          <w:szCs w:val="22"/>
          <w:lang w:eastAsia="sk-SK"/>
        </w:rPr>
      </w:pPr>
      <w:r w:rsidRPr="00C66720">
        <w:rPr>
          <w:rFonts w:ascii="Times New Roman" w:hAnsi="Times New Roman"/>
          <w:szCs w:val="22"/>
          <w:lang w:eastAsia="sk-SK"/>
        </w:rPr>
        <w:t>Dlhodobý hmotný majetok súhrnného celku dosiahol k 31.</w:t>
      </w:r>
      <w:r w:rsidR="000B52AF" w:rsidRPr="00C66720">
        <w:rPr>
          <w:rFonts w:ascii="Times New Roman" w:hAnsi="Times New Roman"/>
          <w:szCs w:val="22"/>
          <w:lang w:eastAsia="sk-SK"/>
        </w:rPr>
        <w:t>12.2</w:t>
      </w:r>
      <w:r w:rsidR="00D900EF" w:rsidRPr="00C66720">
        <w:rPr>
          <w:rFonts w:ascii="Times New Roman" w:hAnsi="Times New Roman"/>
          <w:szCs w:val="22"/>
          <w:lang w:eastAsia="sk-SK"/>
        </w:rPr>
        <w:t>022</w:t>
      </w:r>
      <w:r w:rsidR="00F71220" w:rsidRPr="00C66720">
        <w:rPr>
          <w:rFonts w:ascii="Times New Roman" w:hAnsi="Times New Roman"/>
          <w:szCs w:val="22"/>
          <w:lang w:eastAsia="sk-SK"/>
        </w:rPr>
        <w:t xml:space="preserve"> hodnotu </w:t>
      </w:r>
      <w:r w:rsidR="00A836CC" w:rsidRPr="00C66720">
        <w:rPr>
          <w:rFonts w:ascii="Times New Roman" w:hAnsi="Times New Roman"/>
          <w:szCs w:val="22"/>
          <w:lang w:eastAsia="sk-SK"/>
        </w:rPr>
        <w:t>54</w:t>
      </w:r>
      <w:r w:rsidR="005C6942" w:rsidRPr="00C66720">
        <w:rPr>
          <w:rFonts w:ascii="Times New Roman" w:hAnsi="Times New Roman"/>
          <w:szCs w:val="22"/>
          <w:lang w:eastAsia="sk-SK"/>
        </w:rPr>
        <w:t> </w:t>
      </w:r>
      <w:r w:rsidR="00A836CC" w:rsidRPr="00C66720">
        <w:rPr>
          <w:rFonts w:ascii="Times New Roman" w:hAnsi="Times New Roman"/>
          <w:szCs w:val="22"/>
          <w:lang w:eastAsia="sk-SK"/>
        </w:rPr>
        <w:t>61</w:t>
      </w:r>
      <w:r w:rsidR="005C6942" w:rsidRPr="00C66720">
        <w:rPr>
          <w:rFonts w:ascii="Times New Roman" w:hAnsi="Times New Roman"/>
          <w:szCs w:val="22"/>
          <w:lang w:eastAsia="sk-SK"/>
        </w:rPr>
        <w:t>6 052</w:t>
      </w:r>
      <w:r w:rsidR="003505A4" w:rsidRPr="00C66720">
        <w:rPr>
          <w:rFonts w:ascii="Times New Roman" w:hAnsi="Times New Roman"/>
          <w:szCs w:val="22"/>
          <w:lang w:eastAsia="sk-SK"/>
        </w:rPr>
        <w:t xml:space="preserve"> </w:t>
      </w:r>
      <w:r w:rsidR="00664D85" w:rsidRPr="00C66720">
        <w:rPr>
          <w:rFonts w:ascii="Times New Roman" w:hAnsi="Times New Roman"/>
          <w:szCs w:val="22"/>
          <w:lang w:eastAsia="sk-SK"/>
        </w:rPr>
        <w:t>tis. eur</w:t>
      </w:r>
      <w:r w:rsidRPr="00C66720">
        <w:rPr>
          <w:rFonts w:ascii="Times New Roman" w:hAnsi="Times New Roman"/>
          <w:szCs w:val="22"/>
          <w:lang w:eastAsia="sk-SK"/>
        </w:rPr>
        <w:t>. Najväčší podiel tvoria stavby</w:t>
      </w:r>
      <w:r w:rsidR="00706051" w:rsidRPr="00C66720">
        <w:rPr>
          <w:rFonts w:ascii="Times New Roman" w:hAnsi="Times New Roman"/>
          <w:szCs w:val="22"/>
          <w:lang w:eastAsia="sk-SK"/>
        </w:rPr>
        <w:t>,</w:t>
      </w:r>
      <w:r w:rsidR="00F71220" w:rsidRPr="00C66720">
        <w:rPr>
          <w:rFonts w:ascii="Times New Roman" w:hAnsi="Times New Roman"/>
          <w:szCs w:val="22"/>
          <w:lang w:eastAsia="sk-SK"/>
        </w:rPr>
        <w:t xml:space="preserve"> </w:t>
      </w:r>
      <w:r w:rsidRPr="00C66720">
        <w:rPr>
          <w:rFonts w:ascii="Times New Roman" w:hAnsi="Times New Roman"/>
          <w:szCs w:val="22"/>
          <w:lang w:eastAsia="sk-SK"/>
        </w:rPr>
        <w:t>pozemky</w:t>
      </w:r>
      <w:r w:rsidR="00706051" w:rsidRPr="00C66720">
        <w:rPr>
          <w:rFonts w:ascii="Times New Roman" w:hAnsi="Times New Roman"/>
          <w:szCs w:val="22"/>
          <w:lang w:eastAsia="sk-SK"/>
        </w:rPr>
        <w:t xml:space="preserve"> a obstaranie majetku.</w:t>
      </w:r>
      <w:r w:rsidR="00B27A93" w:rsidRPr="00C66720">
        <w:rPr>
          <w:rFonts w:ascii="Times New Roman" w:hAnsi="Times New Roman"/>
          <w:szCs w:val="22"/>
          <w:lang w:eastAsia="sk-SK"/>
        </w:rPr>
        <w:t xml:space="preserve"> </w:t>
      </w:r>
      <w:r w:rsidR="004D6101" w:rsidRPr="00C66720">
        <w:rPr>
          <w:rFonts w:ascii="Times New Roman" w:hAnsi="Times New Roman"/>
          <w:szCs w:val="22"/>
          <w:lang w:eastAsia="sk-SK"/>
        </w:rPr>
        <w:t>Celková medziročná zmena predstavovala nárast o</w:t>
      </w:r>
      <w:r w:rsidR="00A30E05" w:rsidRPr="00C66720">
        <w:rPr>
          <w:rFonts w:ascii="Times New Roman" w:hAnsi="Times New Roman"/>
          <w:szCs w:val="22"/>
          <w:lang w:eastAsia="sk-SK"/>
        </w:rPr>
        <w:t> 1</w:t>
      </w:r>
      <w:r w:rsidR="009469A9" w:rsidRPr="00C66720">
        <w:rPr>
          <w:rFonts w:ascii="Times New Roman" w:hAnsi="Times New Roman"/>
          <w:szCs w:val="22"/>
          <w:lang w:eastAsia="sk-SK"/>
        </w:rPr>
        <w:t> </w:t>
      </w:r>
      <w:r w:rsidR="00A30E05" w:rsidRPr="00C66720">
        <w:rPr>
          <w:rFonts w:ascii="Times New Roman" w:hAnsi="Times New Roman"/>
          <w:szCs w:val="22"/>
          <w:lang w:eastAsia="sk-SK"/>
        </w:rPr>
        <w:t>88</w:t>
      </w:r>
      <w:r w:rsidR="009469A9" w:rsidRPr="00C66720">
        <w:rPr>
          <w:rFonts w:ascii="Times New Roman" w:hAnsi="Times New Roman"/>
          <w:szCs w:val="22"/>
          <w:lang w:eastAsia="sk-SK"/>
        </w:rPr>
        <w:t>8 206</w:t>
      </w:r>
      <w:r w:rsidR="00E64BC6" w:rsidRPr="00C66720">
        <w:rPr>
          <w:rFonts w:ascii="Times New Roman" w:hAnsi="Times New Roman"/>
          <w:szCs w:val="22"/>
          <w:lang w:eastAsia="sk-SK"/>
        </w:rPr>
        <w:t xml:space="preserve"> tis. eur (</w:t>
      </w:r>
      <w:r w:rsidR="00613118" w:rsidRPr="00C66720">
        <w:rPr>
          <w:rFonts w:ascii="Times New Roman" w:hAnsi="Times New Roman"/>
          <w:szCs w:val="22"/>
          <w:lang w:eastAsia="sk-SK"/>
        </w:rPr>
        <w:t xml:space="preserve">v </w:t>
      </w:r>
      <w:r w:rsidR="00E64BC6" w:rsidRPr="00C66720">
        <w:rPr>
          <w:rFonts w:ascii="Times New Roman" w:hAnsi="Times New Roman"/>
          <w:szCs w:val="22"/>
          <w:lang w:eastAsia="sk-SK"/>
        </w:rPr>
        <w:t>rok</w:t>
      </w:r>
      <w:r w:rsidR="00613118" w:rsidRPr="00C66720">
        <w:rPr>
          <w:rFonts w:ascii="Times New Roman" w:hAnsi="Times New Roman"/>
          <w:szCs w:val="22"/>
          <w:lang w:eastAsia="sk-SK"/>
        </w:rPr>
        <w:t>u</w:t>
      </w:r>
      <w:r w:rsidR="00B60B5E" w:rsidRPr="00C66720">
        <w:rPr>
          <w:rFonts w:ascii="Times New Roman" w:hAnsi="Times New Roman"/>
          <w:szCs w:val="22"/>
          <w:lang w:eastAsia="sk-SK"/>
        </w:rPr>
        <w:t xml:space="preserve"> 202</w:t>
      </w:r>
      <w:r w:rsidR="00A30E05" w:rsidRPr="00C66720">
        <w:rPr>
          <w:rFonts w:ascii="Times New Roman" w:hAnsi="Times New Roman"/>
          <w:szCs w:val="22"/>
          <w:lang w:eastAsia="sk-SK"/>
        </w:rPr>
        <w:t>1</w:t>
      </w:r>
      <w:r w:rsidR="00E64BC6" w:rsidRPr="00C66720">
        <w:rPr>
          <w:rFonts w:ascii="Times New Roman" w:hAnsi="Times New Roman"/>
          <w:szCs w:val="22"/>
          <w:lang w:eastAsia="sk-SK"/>
        </w:rPr>
        <w:t xml:space="preserve"> bol prírastok o </w:t>
      </w:r>
      <w:r w:rsidR="00A30E05" w:rsidRPr="00C66720">
        <w:rPr>
          <w:rFonts w:ascii="Times New Roman" w:hAnsi="Times New Roman"/>
          <w:szCs w:val="22"/>
          <w:lang w:eastAsia="sk-SK"/>
        </w:rPr>
        <w:t xml:space="preserve">1 716 052 </w:t>
      </w:r>
      <w:r w:rsidR="00EB6818" w:rsidRPr="00C66720">
        <w:rPr>
          <w:rFonts w:ascii="Times New Roman" w:hAnsi="Times New Roman"/>
          <w:szCs w:val="22"/>
          <w:lang w:eastAsia="sk-SK"/>
        </w:rPr>
        <w:t>tis.</w:t>
      </w:r>
      <w:r w:rsidR="000B2FE2" w:rsidRPr="00C66720">
        <w:rPr>
          <w:rFonts w:ascii="Times New Roman" w:hAnsi="Times New Roman"/>
          <w:szCs w:val="22"/>
          <w:lang w:eastAsia="sk-SK"/>
        </w:rPr>
        <w:t xml:space="preserve"> eur</w:t>
      </w:r>
      <w:r w:rsidR="00E64BC6" w:rsidRPr="00C66720">
        <w:rPr>
          <w:rFonts w:ascii="Times New Roman" w:hAnsi="Times New Roman"/>
          <w:szCs w:val="22"/>
          <w:lang w:eastAsia="sk-SK"/>
        </w:rPr>
        <w:t>)</w:t>
      </w:r>
      <w:r w:rsidR="004D6101" w:rsidRPr="00C66720">
        <w:rPr>
          <w:rFonts w:ascii="Times New Roman" w:hAnsi="Times New Roman"/>
          <w:szCs w:val="22"/>
          <w:lang w:eastAsia="sk-SK"/>
        </w:rPr>
        <w:t xml:space="preserve">, a to najmä </w:t>
      </w:r>
      <w:r w:rsidR="00614932" w:rsidRPr="00C66720">
        <w:rPr>
          <w:rFonts w:ascii="Times New Roman" w:hAnsi="Times New Roman"/>
          <w:szCs w:val="22"/>
          <w:lang w:eastAsia="sk-SK"/>
        </w:rPr>
        <w:t>v</w:t>
      </w:r>
      <w:r w:rsidR="00EB6818" w:rsidRPr="00C66720">
        <w:rPr>
          <w:rFonts w:ascii="Times New Roman" w:hAnsi="Times New Roman"/>
          <w:szCs w:val="22"/>
          <w:lang w:eastAsia="sk-SK"/>
        </w:rPr>
        <w:t> </w:t>
      </w:r>
      <w:r w:rsidR="00614932" w:rsidRPr="00C66720">
        <w:rPr>
          <w:rFonts w:ascii="Times New Roman" w:hAnsi="Times New Roman"/>
          <w:szCs w:val="22"/>
          <w:lang w:eastAsia="sk-SK"/>
        </w:rPr>
        <w:t>prípade</w:t>
      </w:r>
      <w:r w:rsidR="00EB6818" w:rsidRPr="00C66720">
        <w:rPr>
          <w:rFonts w:ascii="Times New Roman" w:hAnsi="Times New Roman"/>
          <w:szCs w:val="22"/>
          <w:lang w:eastAsia="sk-SK"/>
        </w:rPr>
        <w:t xml:space="preserve"> prírastku</w:t>
      </w:r>
      <w:r w:rsidR="008837E4" w:rsidRPr="00C66720">
        <w:rPr>
          <w:rFonts w:ascii="Times New Roman" w:hAnsi="Times New Roman"/>
          <w:szCs w:val="22"/>
          <w:lang w:eastAsia="sk-SK"/>
        </w:rPr>
        <w:t xml:space="preserve"> </w:t>
      </w:r>
      <w:r w:rsidR="00902B8D" w:rsidRPr="00C66720">
        <w:rPr>
          <w:rFonts w:ascii="Times New Roman" w:hAnsi="Times New Roman"/>
          <w:szCs w:val="22"/>
          <w:lang w:eastAsia="sk-SK"/>
        </w:rPr>
        <w:t>hodnoty</w:t>
      </w:r>
      <w:r w:rsidR="00A62731" w:rsidRPr="00C66720">
        <w:rPr>
          <w:rFonts w:ascii="Times New Roman" w:hAnsi="Times New Roman"/>
          <w:szCs w:val="22"/>
          <w:lang w:eastAsia="sk-SK"/>
        </w:rPr>
        <w:t xml:space="preserve"> poskytnutých preddavkov na obstaranie dlhodobého hmotného majetku o 653 080 tis. eur, </w:t>
      </w:r>
      <w:r w:rsidR="00A62731" w:rsidRPr="00C66720">
        <w:rPr>
          <w:rFonts w:ascii="Times New Roman" w:hAnsi="Times New Roman"/>
          <w:szCs w:val="22"/>
          <w:lang w:eastAsia="sk-SK"/>
        </w:rPr>
        <w:lastRenderedPageBreak/>
        <w:t xml:space="preserve">stavieb o 552 849 tis. eur, dlhodobého majetku </w:t>
      </w:r>
      <w:r w:rsidR="00CA466F" w:rsidRPr="00C66720">
        <w:rPr>
          <w:rFonts w:ascii="Times New Roman" w:hAnsi="Times New Roman"/>
          <w:szCs w:val="22"/>
          <w:lang w:eastAsia="sk-SK"/>
        </w:rPr>
        <w:t>v procese obstarávania o 504 322</w:t>
      </w:r>
      <w:r w:rsidR="00A62731" w:rsidRPr="00C66720">
        <w:rPr>
          <w:rFonts w:ascii="Times New Roman" w:hAnsi="Times New Roman"/>
          <w:szCs w:val="22"/>
          <w:lang w:eastAsia="sk-SK"/>
        </w:rPr>
        <w:t xml:space="preserve"> tis. eur, pozemkov o 117 090 tis. eur, samostatných hnuteľných vecí a súborov hnuteľných vecí o 93</w:t>
      </w:r>
      <w:r w:rsidR="00CA466F" w:rsidRPr="00C66720">
        <w:rPr>
          <w:rFonts w:ascii="Times New Roman" w:hAnsi="Times New Roman"/>
          <w:szCs w:val="22"/>
          <w:lang w:eastAsia="sk-SK"/>
        </w:rPr>
        <w:t xml:space="preserve"> 792 </w:t>
      </w:r>
      <w:r w:rsidR="00A62731" w:rsidRPr="00C66720">
        <w:rPr>
          <w:rFonts w:ascii="Times New Roman" w:hAnsi="Times New Roman"/>
          <w:szCs w:val="22"/>
          <w:lang w:eastAsia="sk-SK"/>
        </w:rPr>
        <w:t>tis. eur.</w:t>
      </w:r>
      <w:r w:rsidR="00412148" w:rsidRPr="00C66720">
        <w:rPr>
          <w:rFonts w:ascii="Times New Roman" w:hAnsi="Times New Roman"/>
          <w:szCs w:val="22"/>
          <w:lang w:eastAsia="sk-SK"/>
        </w:rPr>
        <w:t xml:space="preserve"> Hodnota dopravných prostriedkov bola v porovnaní s predchádzajúcim rokom nižšia o 43 7</w:t>
      </w:r>
      <w:r w:rsidR="00CA466F" w:rsidRPr="00C66720">
        <w:rPr>
          <w:rFonts w:ascii="Times New Roman" w:hAnsi="Times New Roman"/>
          <w:szCs w:val="22"/>
          <w:lang w:eastAsia="sk-SK"/>
        </w:rPr>
        <w:t>17</w:t>
      </w:r>
      <w:r w:rsidR="00412148" w:rsidRPr="00C66720">
        <w:rPr>
          <w:rFonts w:ascii="Times New Roman" w:hAnsi="Times New Roman"/>
          <w:szCs w:val="22"/>
          <w:lang w:eastAsia="sk-SK"/>
        </w:rPr>
        <w:t xml:space="preserve"> tis. eur z dôvodu postupného opotrebovania majetku. Najvýznamnejší prírastok dlhodobého hmotného majetku bol zaznamenaný medzi subjektami ústrednej správy o 1 048 990 tis. eur a to predovšetkým v prípade poskytnutých preddavkov na obstaranie dlhodobého hmotného majetku o 636 584 tis. eur a obstarania dlhodobého hmotného majetku o 288 480 tis. eur.</w:t>
      </w:r>
    </w:p>
    <w:p w14:paraId="2E07D61C" w14:textId="77777777" w:rsidR="003E09E2" w:rsidRPr="00845473" w:rsidRDefault="003E09E2" w:rsidP="003E09E2">
      <w:pPr>
        <w:tabs>
          <w:tab w:val="num" w:pos="0"/>
        </w:tabs>
        <w:spacing w:after="0" w:line="240" w:lineRule="auto"/>
        <w:jc w:val="both"/>
        <w:rPr>
          <w:rFonts w:ascii="Times New Roman" w:hAnsi="Times New Roman"/>
          <w:b/>
          <w:sz w:val="18"/>
          <w:szCs w:val="18"/>
          <w:lang w:eastAsia="sk-SK"/>
        </w:rPr>
      </w:pPr>
      <w:r w:rsidRPr="00845473">
        <w:rPr>
          <w:rFonts w:ascii="Times New Roman" w:hAnsi="Times New Roman"/>
          <w:b/>
          <w:sz w:val="18"/>
          <w:szCs w:val="18"/>
          <w:lang w:eastAsia="sk-SK"/>
        </w:rPr>
        <w:t>Tabuľka 4</w:t>
      </w:r>
    </w:p>
    <w:tbl>
      <w:tblPr>
        <w:tblW w:w="5000" w:type="pct"/>
        <w:jc w:val="center"/>
        <w:tblLayout w:type="fixed"/>
        <w:tblCellMar>
          <w:left w:w="70" w:type="dxa"/>
          <w:right w:w="70" w:type="dxa"/>
        </w:tblCellMar>
        <w:tblLook w:val="00A0" w:firstRow="1" w:lastRow="0" w:firstColumn="1" w:lastColumn="0" w:noHBand="0" w:noVBand="0"/>
      </w:tblPr>
      <w:tblGrid>
        <w:gridCol w:w="5181"/>
        <w:gridCol w:w="1421"/>
        <w:gridCol w:w="1235"/>
        <w:gridCol w:w="1234"/>
      </w:tblGrid>
      <w:tr w:rsidR="003E09E2" w:rsidRPr="00752401" w14:paraId="0F37263F" w14:textId="77777777" w:rsidTr="00241F33">
        <w:trPr>
          <w:trHeight w:val="255"/>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7DADCA4F" w14:textId="77777777" w:rsidR="003E09E2" w:rsidRPr="00752401" w:rsidRDefault="003E09E2" w:rsidP="00241F33">
            <w:pPr>
              <w:spacing w:after="0" w:line="240" w:lineRule="auto"/>
              <w:rPr>
                <w:sz w:val="18"/>
                <w:szCs w:val="18"/>
              </w:rPr>
            </w:pPr>
            <w:r w:rsidRPr="00752401">
              <w:rPr>
                <w:sz w:val="18"/>
                <w:szCs w:val="18"/>
              </w:rPr>
              <w:br w:type="page"/>
            </w:r>
            <w:r w:rsidRPr="00752401">
              <w:rPr>
                <w:sz w:val="18"/>
                <w:szCs w:val="18"/>
              </w:rPr>
              <w:br w:type="page"/>
            </w:r>
            <w:r w:rsidRPr="00752401">
              <w:rPr>
                <w:rFonts w:ascii="Times New Roman" w:hAnsi="Times New Roman"/>
                <w:sz w:val="18"/>
                <w:szCs w:val="18"/>
                <w:lang w:eastAsia="sk-SK"/>
              </w:rPr>
              <w:br w:type="page"/>
            </w:r>
            <w:r w:rsidRPr="00752401">
              <w:rPr>
                <w:sz w:val="18"/>
                <w:szCs w:val="18"/>
              </w:rPr>
              <w:br w:type="page"/>
            </w:r>
            <w:r w:rsidRPr="00752401">
              <w:rPr>
                <w:rFonts w:ascii="Times New Roman" w:hAnsi="Times New Roman"/>
                <w:sz w:val="18"/>
                <w:szCs w:val="18"/>
                <w:lang w:eastAsia="sk-SK"/>
              </w:rPr>
              <w:br w:type="page"/>
            </w:r>
            <w:r w:rsidRPr="00752401">
              <w:rPr>
                <w:rFonts w:ascii="Times New Roman" w:hAnsi="Times New Roman"/>
                <w:b/>
                <w:bCs/>
                <w:sz w:val="18"/>
                <w:szCs w:val="18"/>
                <w:lang w:eastAsia="sk-SK"/>
              </w:rPr>
              <w:t xml:space="preserve">Dlhodobý hmotný majetok súhrnného celku                                                                                     </w:t>
            </w:r>
            <w:r>
              <w:rPr>
                <w:rFonts w:ascii="Times New Roman" w:hAnsi="Times New Roman"/>
                <w:b/>
                <w:bCs/>
                <w:sz w:val="18"/>
                <w:szCs w:val="18"/>
                <w:lang w:eastAsia="sk-SK"/>
              </w:rPr>
              <w:t xml:space="preserve">                  </w:t>
            </w:r>
            <w:r w:rsidRPr="00752401">
              <w:rPr>
                <w:rFonts w:ascii="Times New Roman" w:hAnsi="Times New Roman"/>
                <w:b/>
                <w:bCs/>
                <w:sz w:val="18"/>
                <w:szCs w:val="18"/>
                <w:lang w:eastAsia="sk-SK"/>
              </w:rPr>
              <w:t>(v tis. eur) </w:t>
            </w:r>
          </w:p>
        </w:tc>
      </w:tr>
      <w:tr w:rsidR="009576B7" w:rsidRPr="00975467" w14:paraId="7711E1E4" w14:textId="77777777" w:rsidTr="00241F33">
        <w:trPr>
          <w:trHeight w:val="255"/>
          <w:jc w:val="center"/>
        </w:trPr>
        <w:tc>
          <w:tcPr>
            <w:tcW w:w="2856" w:type="pct"/>
            <w:tcBorders>
              <w:top w:val="nil"/>
              <w:left w:val="nil"/>
              <w:bottom w:val="single" w:sz="4" w:space="0" w:color="auto"/>
              <w:right w:val="nil"/>
            </w:tcBorders>
            <w:shd w:val="clear" w:color="auto" w:fill="BDD7EE"/>
            <w:noWrap/>
            <w:vAlign w:val="bottom"/>
          </w:tcPr>
          <w:p w14:paraId="51C307F1" w14:textId="77777777" w:rsidR="009576B7" w:rsidRPr="00752401" w:rsidRDefault="009576B7" w:rsidP="009576B7">
            <w:pPr>
              <w:spacing w:after="0" w:line="240" w:lineRule="auto"/>
              <w:rPr>
                <w:rFonts w:ascii="Times New Roman" w:hAnsi="Times New Roman"/>
                <w:b/>
                <w:bCs/>
                <w:sz w:val="18"/>
                <w:szCs w:val="18"/>
                <w:lang w:eastAsia="sk-SK"/>
              </w:rPr>
            </w:pPr>
            <w:r w:rsidRPr="00752401">
              <w:rPr>
                <w:rFonts w:ascii="Times New Roman" w:hAnsi="Times New Roman"/>
                <w:b/>
                <w:bCs/>
                <w:sz w:val="18"/>
                <w:szCs w:val="18"/>
                <w:lang w:eastAsia="sk-SK"/>
              </w:rPr>
              <w:t>Druh hmotného majetku</w:t>
            </w:r>
          </w:p>
        </w:tc>
        <w:tc>
          <w:tcPr>
            <w:tcW w:w="783" w:type="pct"/>
            <w:tcBorders>
              <w:top w:val="nil"/>
              <w:left w:val="nil"/>
              <w:bottom w:val="single" w:sz="4" w:space="0" w:color="auto"/>
              <w:right w:val="nil"/>
            </w:tcBorders>
            <w:shd w:val="clear" w:color="auto" w:fill="BDD7EE"/>
            <w:noWrap/>
            <w:vAlign w:val="bottom"/>
          </w:tcPr>
          <w:p w14:paraId="42148636" w14:textId="6DC8C7B3" w:rsidR="009576B7" w:rsidRPr="00752401" w:rsidRDefault="009576B7" w:rsidP="009576B7">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 xml:space="preserve">          2022</w:t>
            </w:r>
          </w:p>
        </w:tc>
        <w:tc>
          <w:tcPr>
            <w:tcW w:w="681" w:type="pct"/>
            <w:tcBorders>
              <w:top w:val="nil"/>
              <w:left w:val="nil"/>
              <w:bottom w:val="single" w:sz="4" w:space="0" w:color="auto"/>
              <w:right w:val="nil"/>
            </w:tcBorders>
            <w:shd w:val="clear" w:color="auto" w:fill="BDD7EE"/>
            <w:noWrap/>
            <w:vAlign w:val="bottom"/>
          </w:tcPr>
          <w:p w14:paraId="286DA168" w14:textId="4AA20C3F" w:rsidR="009576B7" w:rsidRPr="00752401" w:rsidRDefault="009576B7" w:rsidP="009576B7">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 xml:space="preserve">          2021</w:t>
            </w:r>
          </w:p>
        </w:tc>
        <w:tc>
          <w:tcPr>
            <w:tcW w:w="680" w:type="pct"/>
            <w:tcBorders>
              <w:top w:val="nil"/>
              <w:left w:val="nil"/>
              <w:bottom w:val="single" w:sz="4" w:space="0" w:color="auto"/>
              <w:right w:val="nil"/>
            </w:tcBorders>
            <w:shd w:val="clear" w:color="auto" w:fill="BDD7EE"/>
            <w:vAlign w:val="bottom"/>
          </w:tcPr>
          <w:p w14:paraId="10D5D9D1" w14:textId="45BCAE38" w:rsidR="009576B7" w:rsidRPr="00752401" w:rsidRDefault="009576B7" w:rsidP="009576B7">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1D726F" w:rsidRPr="00975467" w14:paraId="1CD38D6A" w14:textId="77777777" w:rsidTr="00241F33">
        <w:trPr>
          <w:trHeight w:val="255"/>
          <w:jc w:val="center"/>
        </w:trPr>
        <w:tc>
          <w:tcPr>
            <w:tcW w:w="2856" w:type="pct"/>
            <w:tcBorders>
              <w:top w:val="nil"/>
              <w:left w:val="nil"/>
              <w:bottom w:val="nil"/>
              <w:right w:val="nil"/>
            </w:tcBorders>
            <w:vAlign w:val="center"/>
          </w:tcPr>
          <w:p w14:paraId="0413E629" w14:textId="77777777" w:rsidR="001D726F" w:rsidRPr="00752401" w:rsidRDefault="001D726F" w:rsidP="001D726F">
            <w:pPr>
              <w:spacing w:after="0" w:line="240" w:lineRule="auto"/>
              <w:rPr>
                <w:rFonts w:ascii="Times New Roman" w:hAnsi="Times New Roman"/>
                <w:sz w:val="18"/>
                <w:szCs w:val="18"/>
                <w:lang w:eastAsia="sk-SK"/>
              </w:rPr>
            </w:pPr>
            <w:r w:rsidRPr="00752401">
              <w:rPr>
                <w:rFonts w:ascii="Times New Roman" w:hAnsi="Times New Roman"/>
                <w:sz w:val="18"/>
                <w:szCs w:val="18"/>
                <w:lang w:eastAsia="sk-SK"/>
              </w:rPr>
              <w:t>Stavby</w:t>
            </w:r>
          </w:p>
        </w:tc>
        <w:tc>
          <w:tcPr>
            <w:tcW w:w="783" w:type="pct"/>
            <w:tcBorders>
              <w:top w:val="nil"/>
              <w:left w:val="nil"/>
              <w:bottom w:val="nil"/>
              <w:right w:val="nil"/>
            </w:tcBorders>
            <w:vAlign w:val="center"/>
          </w:tcPr>
          <w:p w14:paraId="0A716FF7" w14:textId="58C470FA"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31 674 602</w:t>
            </w:r>
          </w:p>
        </w:tc>
        <w:tc>
          <w:tcPr>
            <w:tcW w:w="681" w:type="pct"/>
            <w:tcBorders>
              <w:top w:val="nil"/>
              <w:left w:val="nil"/>
              <w:bottom w:val="nil"/>
              <w:right w:val="nil"/>
            </w:tcBorders>
            <w:vAlign w:val="center"/>
          </w:tcPr>
          <w:p w14:paraId="3CE10BA1" w14:textId="032EFC78"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31 121 753</w:t>
            </w:r>
          </w:p>
        </w:tc>
        <w:tc>
          <w:tcPr>
            <w:tcW w:w="680" w:type="pct"/>
            <w:tcBorders>
              <w:top w:val="nil"/>
              <w:left w:val="nil"/>
              <w:bottom w:val="nil"/>
              <w:right w:val="nil"/>
            </w:tcBorders>
            <w:vAlign w:val="center"/>
          </w:tcPr>
          <w:p w14:paraId="20880279" w14:textId="34E8ACB1"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552 849</w:t>
            </w:r>
          </w:p>
        </w:tc>
      </w:tr>
      <w:tr w:rsidR="001D726F" w:rsidRPr="00975467" w14:paraId="50C30813" w14:textId="77777777" w:rsidTr="00241F33">
        <w:trPr>
          <w:trHeight w:val="255"/>
          <w:jc w:val="center"/>
        </w:trPr>
        <w:tc>
          <w:tcPr>
            <w:tcW w:w="2856" w:type="pct"/>
            <w:tcBorders>
              <w:top w:val="nil"/>
              <w:left w:val="nil"/>
              <w:bottom w:val="nil"/>
              <w:right w:val="nil"/>
            </w:tcBorders>
            <w:vAlign w:val="center"/>
          </w:tcPr>
          <w:p w14:paraId="7AE4CA7C" w14:textId="77777777" w:rsidR="001D726F" w:rsidRPr="00752401" w:rsidRDefault="001D726F" w:rsidP="001D726F">
            <w:pPr>
              <w:spacing w:after="0" w:line="240" w:lineRule="auto"/>
              <w:rPr>
                <w:rFonts w:ascii="Times New Roman" w:hAnsi="Times New Roman"/>
                <w:sz w:val="18"/>
                <w:szCs w:val="18"/>
                <w:lang w:eastAsia="sk-SK"/>
              </w:rPr>
            </w:pPr>
            <w:r w:rsidRPr="00752401">
              <w:rPr>
                <w:rFonts w:ascii="Times New Roman" w:hAnsi="Times New Roman"/>
                <w:sz w:val="18"/>
                <w:szCs w:val="18"/>
                <w:lang w:eastAsia="sk-SK"/>
              </w:rPr>
              <w:t>Pozemky</w:t>
            </w:r>
          </w:p>
        </w:tc>
        <w:tc>
          <w:tcPr>
            <w:tcW w:w="783" w:type="pct"/>
            <w:tcBorders>
              <w:top w:val="nil"/>
              <w:left w:val="nil"/>
              <w:bottom w:val="nil"/>
              <w:right w:val="nil"/>
            </w:tcBorders>
            <w:vAlign w:val="center"/>
          </w:tcPr>
          <w:p w14:paraId="3638F2FB" w14:textId="5D35D28C"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10 202 245</w:t>
            </w:r>
          </w:p>
        </w:tc>
        <w:tc>
          <w:tcPr>
            <w:tcW w:w="681" w:type="pct"/>
            <w:tcBorders>
              <w:top w:val="nil"/>
              <w:left w:val="nil"/>
              <w:bottom w:val="nil"/>
              <w:right w:val="nil"/>
            </w:tcBorders>
            <w:vAlign w:val="center"/>
          </w:tcPr>
          <w:p w14:paraId="41CE4B72" w14:textId="74DB334D"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10 085 155</w:t>
            </w:r>
          </w:p>
        </w:tc>
        <w:tc>
          <w:tcPr>
            <w:tcW w:w="680" w:type="pct"/>
            <w:tcBorders>
              <w:top w:val="nil"/>
              <w:left w:val="nil"/>
              <w:bottom w:val="nil"/>
              <w:right w:val="nil"/>
            </w:tcBorders>
            <w:vAlign w:val="center"/>
          </w:tcPr>
          <w:p w14:paraId="22311A19" w14:textId="184C0723"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117 090</w:t>
            </w:r>
          </w:p>
        </w:tc>
      </w:tr>
      <w:tr w:rsidR="001D726F" w:rsidRPr="00975467" w14:paraId="772C730B" w14:textId="77777777" w:rsidTr="00241F33">
        <w:trPr>
          <w:trHeight w:val="255"/>
          <w:jc w:val="center"/>
        </w:trPr>
        <w:tc>
          <w:tcPr>
            <w:tcW w:w="2856" w:type="pct"/>
            <w:tcBorders>
              <w:top w:val="nil"/>
              <w:left w:val="nil"/>
              <w:right w:val="nil"/>
            </w:tcBorders>
            <w:shd w:val="clear" w:color="000000" w:fill="auto"/>
            <w:vAlign w:val="center"/>
          </w:tcPr>
          <w:p w14:paraId="65199652" w14:textId="77777777" w:rsidR="001D726F" w:rsidRPr="00752401" w:rsidRDefault="001D726F" w:rsidP="001D726F">
            <w:pPr>
              <w:spacing w:after="0" w:line="240" w:lineRule="auto"/>
              <w:rPr>
                <w:rFonts w:ascii="Times New Roman" w:hAnsi="Times New Roman"/>
                <w:bCs/>
                <w:color w:val="FF0000"/>
                <w:sz w:val="18"/>
                <w:szCs w:val="18"/>
                <w:lang w:eastAsia="sk-SK"/>
              </w:rPr>
            </w:pPr>
            <w:r w:rsidRPr="00752401">
              <w:rPr>
                <w:rFonts w:ascii="Times New Roman" w:hAnsi="Times New Roman"/>
                <w:bCs/>
                <w:sz w:val="18"/>
                <w:szCs w:val="18"/>
                <w:lang w:eastAsia="sk-SK"/>
              </w:rPr>
              <w:t>Obstaranie dlhodobého hmotného majetku</w:t>
            </w:r>
          </w:p>
        </w:tc>
        <w:tc>
          <w:tcPr>
            <w:tcW w:w="783" w:type="pct"/>
            <w:tcBorders>
              <w:top w:val="nil"/>
              <w:left w:val="nil"/>
              <w:right w:val="nil"/>
            </w:tcBorders>
            <w:shd w:val="clear" w:color="000000" w:fill="auto"/>
            <w:vAlign w:val="center"/>
          </w:tcPr>
          <w:p w14:paraId="21A8A454" w14:textId="37BA8E6D" w:rsidR="001D726F" w:rsidRPr="00752401" w:rsidRDefault="001D726F" w:rsidP="001D726F">
            <w:pPr>
              <w:spacing w:after="0" w:line="240" w:lineRule="auto"/>
              <w:jc w:val="right"/>
              <w:rPr>
                <w:rFonts w:ascii="Arial" w:hAnsi="Arial" w:cs="Arial"/>
                <w:sz w:val="18"/>
                <w:szCs w:val="18"/>
                <w:lang w:eastAsia="sk-SK"/>
              </w:rPr>
            </w:pPr>
            <w:r w:rsidRPr="00FA543A">
              <w:rPr>
                <w:rFonts w:ascii="Times New Roman" w:hAnsi="Times New Roman"/>
                <w:sz w:val="18"/>
                <w:szCs w:val="18"/>
                <w:lang w:eastAsia="sk-SK"/>
              </w:rPr>
              <w:t>5 024 920</w:t>
            </w:r>
          </w:p>
        </w:tc>
        <w:tc>
          <w:tcPr>
            <w:tcW w:w="681" w:type="pct"/>
            <w:tcBorders>
              <w:top w:val="nil"/>
              <w:left w:val="nil"/>
              <w:right w:val="nil"/>
            </w:tcBorders>
            <w:shd w:val="clear" w:color="000000" w:fill="auto"/>
            <w:vAlign w:val="center"/>
          </w:tcPr>
          <w:p w14:paraId="5DB4EA81" w14:textId="0AF6B4BB" w:rsidR="001D726F" w:rsidRPr="00752401" w:rsidRDefault="001D726F" w:rsidP="001D726F">
            <w:pPr>
              <w:spacing w:after="0" w:line="240" w:lineRule="auto"/>
              <w:jc w:val="right"/>
              <w:rPr>
                <w:rFonts w:ascii="Times New Roman" w:hAnsi="Times New Roman"/>
                <w:bCs/>
                <w:sz w:val="18"/>
                <w:szCs w:val="18"/>
                <w:lang w:eastAsia="sk-SK"/>
              </w:rPr>
            </w:pPr>
            <w:r w:rsidRPr="00FA543A">
              <w:rPr>
                <w:rFonts w:ascii="Times New Roman" w:hAnsi="Times New Roman"/>
                <w:sz w:val="18"/>
                <w:szCs w:val="18"/>
                <w:lang w:eastAsia="sk-SK"/>
              </w:rPr>
              <w:t>4 520 598</w:t>
            </w:r>
          </w:p>
        </w:tc>
        <w:tc>
          <w:tcPr>
            <w:tcW w:w="680" w:type="pct"/>
            <w:tcBorders>
              <w:top w:val="nil"/>
              <w:left w:val="nil"/>
              <w:right w:val="nil"/>
            </w:tcBorders>
            <w:shd w:val="clear" w:color="000000" w:fill="auto"/>
            <w:vAlign w:val="center"/>
          </w:tcPr>
          <w:p w14:paraId="0095355A" w14:textId="35802833" w:rsidR="001D726F" w:rsidRPr="00752401" w:rsidRDefault="001D726F" w:rsidP="001D726F">
            <w:pPr>
              <w:spacing w:after="0" w:line="240" w:lineRule="auto"/>
              <w:jc w:val="right"/>
              <w:rPr>
                <w:rFonts w:ascii="Times New Roman" w:hAnsi="Times New Roman"/>
                <w:bCs/>
                <w:sz w:val="18"/>
                <w:szCs w:val="18"/>
                <w:lang w:eastAsia="sk-SK"/>
              </w:rPr>
            </w:pPr>
            <w:r w:rsidRPr="00FA543A">
              <w:rPr>
                <w:rFonts w:ascii="Times New Roman" w:hAnsi="Times New Roman"/>
                <w:sz w:val="18"/>
                <w:szCs w:val="18"/>
                <w:lang w:eastAsia="sk-SK"/>
              </w:rPr>
              <w:t>504 322</w:t>
            </w:r>
          </w:p>
        </w:tc>
      </w:tr>
      <w:tr w:rsidR="001D726F" w:rsidRPr="00975467" w14:paraId="6BFC8CB8" w14:textId="77777777" w:rsidTr="00241F33">
        <w:trPr>
          <w:trHeight w:val="255"/>
          <w:jc w:val="center"/>
        </w:trPr>
        <w:tc>
          <w:tcPr>
            <w:tcW w:w="2856" w:type="pct"/>
            <w:tcBorders>
              <w:top w:val="nil"/>
              <w:left w:val="nil"/>
              <w:right w:val="nil"/>
            </w:tcBorders>
            <w:vAlign w:val="center"/>
          </w:tcPr>
          <w:p w14:paraId="7F46536C" w14:textId="77777777" w:rsidR="001D726F" w:rsidRPr="00752401" w:rsidRDefault="001D726F" w:rsidP="001D726F">
            <w:pPr>
              <w:spacing w:after="0" w:line="240" w:lineRule="auto"/>
              <w:rPr>
                <w:rFonts w:ascii="Times New Roman" w:hAnsi="Times New Roman"/>
                <w:sz w:val="18"/>
                <w:szCs w:val="18"/>
                <w:lang w:eastAsia="sk-SK"/>
              </w:rPr>
            </w:pPr>
            <w:r w:rsidRPr="00752401">
              <w:rPr>
                <w:rFonts w:ascii="Times New Roman" w:hAnsi="Times New Roman"/>
                <w:sz w:val="18"/>
                <w:szCs w:val="18"/>
                <w:lang w:eastAsia="sk-SK"/>
              </w:rPr>
              <w:t>Samostatné hnuteľné veci a súbory hnuteľných vecí</w:t>
            </w:r>
          </w:p>
        </w:tc>
        <w:tc>
          <w:tcPr>
            <w:tcW w:w="783" w:type="pct"/>
            <w:tcBorders>
              <w:top w:val="nil"/>
              <w:left w:val="nil"/>
              <w:right w:val="nil"/>
            </w:tcBorders>
            <w:vAlign w:val="center"/>
          </w:tcPr>
          <w:p w14:paraId="47FB474D" w14:textId="10930432"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2 729 910</w:t>
            </w:r>
          </w:p>
        </w:tc>
        <w:tc>
          <w:tcPr>
            <w:tcW w:w="681" w:type="pct"/>
            <w:tcBorders>
              <w:top w:val="nil"/>
              <w:left w:val="nil"/>
              <w:right w:val="nil"/>
            </w:tcBorders>
            <w:vAlign w:val="center"/>
          </w:tcPr>
          <w:p w14:paraId="0DEB3290" w14:textId="7314B991"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2 636 118</w:t>
            </w:r>
          </w:p>
        </w:tc>
        <w:tc>
          <w:tcPr>
            <w:tcW w:w="680" w:type="pct"/>
            <w:tcBorders>
              <w:top w:val="nil"/>
              <w:left w:val="nil"/>
              <w:right w:val="nil"/>
            </w:tcBorders>
            <w:vAlign w:val="center"/>
          </w:tcPr>
          <w:p w14:paraId="12FF6CC5" w14:textId="7D1FF3D9"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93 792</w:t>
            </w:r>
          </w:p>
        </w:tc>
      </w:tr>
      <w:tr w:rsidR="001D726F" w:rsidRPr="00975467" w14:paraId="79559B07" w14:textId="77777777" w:rsidTr="00241F33">
        <w:trPr>
          <w:trHeight w:val="255"/>
          <w:jc w:val="center"/>
        </w:trPr>
        <w:tc>
          <w:tcPr>
            <w:tcW w:w="2856" w:type="pct"/>
            <w:tcBorders>
              <w:top w:val="nil"/>
              <w:left w:val="nil"/>
              <w:right w:val="nil"/>
            </w:tcBorders>
            <w:shd w:val="clear" w:color="000000" w:fill="auto"/>
            <w:vAlign w:val="center"/>
          </w:tcPr>
          <w:p w14:paraId="52AF4FCD" w14:textId="77777777" w:rsidR="001D726F" w:rsidRPr="00752401" w:rsidRDefault="001D726F" w:rsidP="001D726F">
            <w:pPr>
              <w:spacing w:after="0" w:line="240" w:lineRule="auto"/>
              <w:rPr>
                <w:rFonts w:ascii="Times New Roman" w:hAnsi="Times New Roman"/>
                <w:bCs/>
                <w:color w:val="FF0000"/>
                <w:sz w:val="18"/>
                <w:szCs w:val="18"/>
                <w:lang w:eastAsia="sk-SK"/>
              </w:rPr>
            </w:pPr>
            <w:r w:rsidRPr="00752401">
              <w:rPr>
                <w:rFonts w:ascii="Times New Roman" w:hAnsi="Times New Roman"/>
                <w:bCs/>
                <w:sz w:val="18"/>
                <w:szCs w:val="18"/>
                <w:lang w:eastAsia="sk-SK"/>
              </w:rPr>
              <w:t>Dopravné prostriedky</w:t>
            </w:r>
          </w:p>
        </w:tc>
        <w:tc>
          <w:tcPr>
            <w:tcW w:w="783" w:type="pct"/>
            <w:tcBorders>
              <w:top w:val="nil"/>
              <w:left w:val="nil"/>
              <w:right w:val="nil"/>
            </w:tcBorders>
            <w:shd w:val="clear" w:color="000000" w:fill="auto"/>
            <w:vAlign w:val="center"/>
          </w:tcPr>
          <w:p w14:paraId="2A95471D" w14:textId="4DDAB58E" w:rsidR="001D726F" w:rsidRPr="00752401" w:rsidRDefault="001D726F" w:rsidP="001D726F">
            <w:pPr>
              <w:spacing w:after="0" w:line="240" w:lineRule="auto"/>
              <w:jc w:val="right"/>
              <w:rPr>
                <w:rFonts w:ascii="Arial" w:hAnsi="Arial" w:cs="Arial"/>
                <w:sz w:val="18"/>
                <w:szCs w:val="18"/>
                <w:lang w:eastAsia="sk-SK"/>
              </w:rPr>
            </w:pPr>
            <w:r w:rsidRPr="00FA543A">
              <w:rPr>
                <w:rFonts w:ascii="Times New Roman" w:hAnsi="Times New Roman"/>
                <w:sz w:val="18"/>
                <w:szCs w:val="18"/>
                <w:lang w:eastAsia="sk-SK"/>
              </w:rPr>
              <w:t>2 127 518</w:t>
            </w:r>
          </w:p>
        </w:tc>
        <w:tc>
          <w:tcPr>
            <w:tcW w:w="681" w:type="pct"/>
            <w:tcBorders>
              <w:top w:val="nil"/>
              <w:left w:val="nil"/>
              <w:right w:val="nil"/>
            </w:tcBorders>
            <w:shd w:val="clear" w:color="000000" w:fill="auto"/>
            <w:vAlign w:val="center"/>
          </w:tcPr>
          <w:p w14:paraId="3BD5DCA2" w14:textId="5A73EDD0" w:rsidR="001D726F" w:rsidRPr="00752401" w:rsidRDefault="001D726F" w:rsidP="001D726F">
            <w:pPr>
              <w:spacing w:after="0" w:line="240" w:lineRule="auto"/>
              <w:jc w:val="right"/>
              <w:rPr>
                <w:rFonts w:ascii="Times New Roman" w:hAnsi="Times New Roman"/>
                <w:bCs/>
                <w:sz w:val="18"/>
                <w:szCs w:val="18"/>
                <w:lang w:eastAsia="sk-SK"/>
              </w:rPr>
            </w:pPr>
            <w:r w:rsidRPr="00FA543A">
              <w:rPr>
                <w:rFonts w:ascii="Times New Roman" w:hAnsi="Times New Roman"/>
                <w:sz w:val="18"/>
                <w:szCs w:val="18"/>
                <w:lang w:eastAsia="sk-SK"/>
              </w:rPr>
              <w:t>1 474 438</w:t>
            </w:r>
          </w:p>
        </w:tc>
        <w:tc>
          <w:tcPr>
            <w:tcW w:w="680" w:type="pct"/>
            <w:tcBorders>
              <w:top w:val="nil"/>
              <w:left w:val="nil"/>
              <w:right w:val="nil"/>
            </w:tcBorders>
            <w:shd w:val="clear" w:color="000000" w:fill="auto"/>
            <w:vAlign w:val="center"/>
          </w:tcPr>
          <w:p w14:paraId="167DF611" w14:textId="2C772D9D"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653 080</w:t>
            </w:r>
          </w:p>
        </w:tc>
      </w:tr>
      <w:tr w:rsidR="001D726F" w:rsidRPr="00975467" w14:paraId="3D38B717" w14:textId="77777777" w:rsidTr="00241F33">
        <w:trPr>
          <w:trHeight w:val="255"/>
          <w:jc w:val="center"/>
        </w:trPr>
        <w:tc>
          <w:tcPr>
            <w:tcW w:w="2856" w:type="pct"/>
            <w:tcBorders>
              <w:top w:val="nil"/>
              <w:left w:val="nil"/>
              <w:right w:val="nil"/>
            </w:tcBorders>
            <w:shd w:val="clear" w:color="000000" w:fill="auto"/>
            <w:vAlign w:val="center"/>
          </w:tcPr>
          <w:p w14:paraId="642945DD" w14:textId="77777777" w:rsidR="001D726F" w:rsidRPr="00752401" w:rsidRDefault="001D726F" w:rsidP="001D726F">
            <w:pPr>
              <w:spacing w:after="0" w:line="240" w:lineRule="auto"/>
              <w:rPr>
                <w:rFonts w:ascii="Times New Roman" w:hAnsi="Times New Roman"/>
                <w:bCs/>
                <w:sz w:val="18"/>
                <w:szCs w:val="18"/>
                <w:lang w:eastAsia="sk-SK"/>
              </w:rPr>
            </w:pPr>
            <w:r w:rsidRPr="00752401">
              <w:rPr>
                <w:rFonts w:ascii="Times New Roman" w:hAnsi="Times New Roman"/>
                <w:bCs/>
                <w:sz w:val="18"/>
                <w:szCs w:val="18"/>
                <w:lang w:eastAsia="sk-SK"/>
              </w:rPr>
              <w:t>Poskytnuté preddavky</w:t>
            </w:r>
          </w:p>
        </w:tc>
        <w:tc>
          <w:tcPr>
            <w:tcW w:w="783" w:type="pct"/>
            <w:tcBorders>
              <w:top w:val="nil"/>
              <w:left w:val="nil"/>
              <w:right w:val="nil"/>
            </w:tcBorders>
            <w:shd w:val="clear" w:color="000000" w:fill="auto"/>
            <w:vAlign w:val="center"/>
          </w:tcPr>
          <w:p w14:paraId="1E6A25E6" w14:textId="731DACD5" w:rsidR="001D726F" w:rsidRPr="00752401" w:rsidRDefault="001D726F" w:rsidP="001D726F">
            <w:pPr>
              <w:spacing w:after="0" w:line="240" w:lineRule="auto"/>
              <w:jc w:val="right"/>
              <w:rPr>
                <w:rFonts w:ascii="Arial" w:hAnsi="Arial" w:cs="Arial"/>
                <w:sz w:val="18"/>
                <w:szCs w:val="18"/>
                <w:lang w:eastAsia="sk-SK"/>
              </w:rPr>
            </w:pPr>
            <w:r w:rsidRPr="00FA543A">
              <w:rPr>
                <w:rFonts w:ascii="Times New Roman" w:hAnsi="Times New Roman"/>
                <w:sz w:val="18"/>
                <w:szCs w:val="18"/>
                <w:lang w:eastAsia="sk-SK"/>
              </w:rPr>
              <w:t>2 103 258</w:t>
            </w:r>
          </w:p>
        </w:tc>
        <w:tc>
          <w:tcPr>
            <w:tcW w:w="681" w:type="pct"/>
            <w:tcBorders>
              <w:top w:val="nil"/>
              <w:left w:val="nil"/>
              <w:right w:val="nil"/>
            </w:tcBorders>
            <w:shd w:val="clear" w:color="000000" w:fill="auto"/>
            <w:vAlign w:val="center"/>
          </w:tcPr>
          <w:p w14:paraId="693CB0A2" w14:textId="547C6E8C" w:rsidR="001D726F" w:rsidRPr="00752401" w:rsidRDefault="001D726F" w:rsidP="001D726F">
            <w:pPr>
              <w:spacing w:after="0" w:line="240" w:lineRule="auto"/>
              <w:jc w:val="right"/>
              <w:rPr>
                <w:rFonts w:ascii="Times New Roman" w:hAnsi="Times New Roman"/>
                <w:bCs/>
                <w:sz w:val="18"/>
                <w:szCs w:val="18"/>
                <w:lang w:eastAsia="sk-SK"/>
              </w:rPr>
            </w:pPr>
            <w:r w:rsidRPr="00FA543A">
              <w:rPr>
                <w:rFonts w:ascii="Times New Roman" w:hAnsi="Times New Roman"/>
                <w:sz w:val="18"/>
                <w:szCs w:val="18"/>
                <w:lang w:eastAsia="sk-SK"/>
              </w:rPr>
              <w:t>2 146 975</w:t>
            </w:r>
          </w:p>
        </w:tc>
        <w:tc>
          <w:tcPr>
            <w:tcW w:w="680" w:type="pct"/>
            <w:tcBorders>
              <w:top w:val="nil"/>
              <w:left w:val="nil"/>
              <w:right w:val="nil"/>
            </w:tcBorders>
            <w:shd w:val="clear" w:color="000000" w:fill="auto"/>
            <w:vAlign w:val="center"/>
          </w:tcPr>
          <w:p w14:paraId="58512D03" w14:textId="44A9E4C6"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-43 717</w:t>
            </w:r>
          </w:p>
        </w:tc>
      </w:tr>
      <w:tr w:rsidR="001D726F" w:rsidRPr="00975467" w14:paraId="1DE633EB" w14:textId="77777777" w:rsidTr="00241F33">
        <w:trPr>
          <w:trHeight w:val="255"/>
          <w:jc w:val="center"/>
        </w:trPr>
        <w:tc>
          <w:tcPr>
            <w:tcW w:w="2856" w:type="pct"/>
            <w:tcBorders>
              <w:top w:val="nil"/>
              <w:left w:val="nil"/>
              <w:bottom w:val="single" w:sz="4" w:space="0" w:color="auto"/>
              <w:right w:val="nil"/>
            </w:tcBorders>
            <w:shd w:val="clear" w:color="000000" w:fill="auto"/>
            <w:vAlign w:val="center"/>
          </w:tcPr>
          <w:p w14:paraId="43D4AF84" w14:textId="77777777" w:rsidR="001D726F" w:rsidRPr="00752401" w:rsidRDefault="001D726F" w:rsidP="001D726F">
            <w:pPr>
              <w:spacing w:after="0" w:line="240" w:lineRule="auto"/>
              <w:rPr>
                <w:rFonts w:ascii="Times New Roman" w:hAnsi="Times New Roman"/>
                <w:bCs/>
                <w:sz w:val="18"/>
                <w:szCs w:val="18"/>
                <w:lang w:eastAsia="sk-SK"/>
              </w:rPr>
            </w:pPr>
            <w:r w:rsidRPr="00752401">
              <w:rPr>
                <w:rFonts w:ascii="Times New Roman" w:hAnsi="Times New Roman"/>
                <w:bCs/>
                <w:sz w:val="18"/>
                <w:szCs w:val="18"/>
                <w:lang w:eastAsia="sk-SK"/>
              </w:rPr>
              <w:t>Ostatný dlhodobý hmotný majetok</w:t>
            </w:r>
          </w:p>
        </w:tc>
        <w:tc>
          <w:tcPr>
            <w:tcW w:w="783" w:type="pct"/>
            <w:tcBorders>
              <w:top w:val="nil"/>
              <w:left w:val="nil"/>
              <w:bottom w:val="single" w:sz="4" w:space="0" w:color="auto"/>
              <w:right w:val="nil"/>
            </w:tcBorders>
            <w:shd w:val="clear" w:color="000000" w:fill="auto"/>
            <w:vAlign w:val="center"/>
          </w:tcPr>
          <w:p w14:paraId="515E43B4" w14:textId="44BA59B2" w:rsidR="001D726F" w:rsidRPr="00752401" w:rsidRDefault="001D726F" w:rsidP="001D726F">
            <w:pPr>
              <w:spacing w:after="0" w:line="240" w:lineRule="auto"/>
              <w:jc w:val="right"/>
              <w:rPr>
                <w:rFonts w:ascii="Times New Roman" w:hAnsi="Times New Roman"/>
                <w:bCs/>
                <w:sz w:val="18"/>
                <w:szCs w:val="18"/>
                <w:lang w:eastAsia="sk-SK"/>
              </w:rPr>
            </w:pPr>
            <w:r w:rsidRPr="00FA543A">
              <w:rPr>
                <w:rFonts w:ascii="Times New Roman" w:hAnsi="Times New Roman"/>
                <w:sz w:val="18"/>
                <w:szCs w:val="18"/>
                <w:lang w:eastAsia="sk-SK"/>
              </w:rPr>
              <w:t>753 599</w:t>
            </w:r>
          </w:p>
        </w:tc>
        <w:tc>
          <w:tcPr>
            <w:tcW w:w="681" w:type="pct"/>
            <w:tcBorders>
              <w:top w:val="nil"/>
              <w:left w:val="nil"/>
              <w:bottom w:val="single" w:sz="4" w:space="0" w:color="auto"/>
              <w:right w:val="nil"/>
            </w:tcBorders>
            <w:shd w:val="clear" w:color="000000" w:fill="auto"/>
            <w:vAlign w:val="center"/>
          </w:tcPr>
          <w:p w14:paraId="285827AF" w14:textId="3C0FCC5E" w:rsidR="001D726F" w:rsidRPr="00752401" w:rsidRDefault="001D726F" w:rsidP="001D726F">
            <w:pPr>
              <w:spacing w:after="0" w:line="240" w:lineRule="auto"/>
              <w:jc w:val="right"/>
              <w:rPr>
                <w:rFonts w:ascii="Times New Roman" w:hAnsi="Times New Roman"/>
                <w:bCs/>
                <w:sz w:val="18"/>
                <w:szCs w:val="18"/>
                <w:lang w:eastAsia="sk-SK"/>
              </w:rPr>
            </w:pPr>
            <w:r w:rsidRPr="00FA543A">
              <w:rPr>
                <w:rFonts w:ascii="Times New Roman" w:hAnsi="Times New Roman"/>
                <w:sz w:val="18"/>
                <w:szCs w:val="18"/>
                <w:lang w:eastAsia="sk-SK"/>
              </w:rPr>
              <w:t>742 809</w:t>
            </w:r>
          </w:p>
        </w:tc>
        <w:tc>
          <w:tcPr>
            <w:tcW w:w="680" w:type="pct"/>
            <w:tcBorders>
              <w:top w:val="nil"/>
              <w:left w:val="nil"/>
              <w:bottom w:val="single" w:sz="4" w:space="0" w:color="auto"/>
              <w:right w:val="nil"/>
            </w:tcBorders>
            <w:shd w:val="clear" w:color="000000" w:fill="auto"/>
            <w:vAlign w:val="center"/>
          </w:tcPr>
          <w:p w14:paraId="58F72F80" w14:textId="45200FA9" w:rsidR="001D726F" w:rsidRPr="00752401" w:rsidRDefault="001D726F" w:rsidP="001D726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10 790</w:t>
            </w:r>
          </w:p>
        </w:tc>
      </w:tr>
      <w:tr w:rsidR="001D726F" w:rsidRPr="00975467" w14:paraId="769EE1DB" w14:textId="77777777" w:rsidTr="00241F33">
        <w:trPr>
          <w:trHeight w:val="255"/>
          <w:jc w:val="center"/>
        </w:trPr>
        <w:tc>
          <w:tcPr>
            <w:tcW w:w="2856" w:type="pct"/>
            <w:tcBorders>
              <w:top w:val="single" w:sz="4" w:space="0" w:color="auto"/>
              <w:left w:val="nil"/>
              <w:bottom w:val="single" w:sz="4" w:space="0" w:color="000000"/>
              <w:right w:val="nil"/>
            </w:tcBorders>
            <w:shd w:val="clear" w:color="000000" w:fill="auto"/>
            <w:vAlign w:val="center"/>
          </w:tcPr>
          <w:p w14:paraId="23627FDC" w14:textId="77777777" w:rsidR="001D726F" w:rsidRPr="00752401" w:rsidRDefault="001D726F" w:rsidP="001D726F">
            <w:pPr>
              <w:spacing w:after="0" w:line="240" w:lineRule="auto"/>
              <w:rPr>
                <w:rFonts w:ascii="Times New Roman" w:hAnsi="Times New Roman"/>
                <w:b/>
                <w:bCs/>
                <w:color w:val="FF0000"/>
                <w:sz w:val="18"/>
                <w:szCs w:val="18"/>
                <w:lang w:eastAsia="sk-SK"/>
              </w:rPr>
            </w:pPr>
            <w:r w:rsidRPr="00752401">
              <w:rPr>
                <w:rFonts w:ascii="Times New Roman" w:hAnsi="Times New Roman"/>
                <w:b/>
                <w:bCs/>
                <w:sz w:val="18"/>
                <w:szCs w:val="18"/>
                <w:lang w:eastAsia="sk-SK"/>
              </w:rPr>
              <w:t>Spolu</w:t>
            </w:r>
          </w:p>
        </w:tc>
        <w:tc>
          <w:tcPr>
            <w:tcW w:w="783" w:type="pct"/>
            <w:tcBorders>
              <w:top w:val="single" w:sz="4" w:space="0" w:color="auto"/>
              <w:left w:val="nil"/>
              <w:bottom w:val="single" w:sz="4" w:space="0" w:color="000000"/>
              <w:right w:val="nil"/>
            </w:tcBorders>
            <w:shd w:val="clear" w:color="000000" w:fill="auto"/>
            <w:vAlign w:val="center"/>
          </w:tcPr>
          <w:p w14:paraId="14CFEB53" w14:textId="7A05943E" w:rsidR="001D726F" w:rsidRPr="00752401" w:rsidRDefault="001D726F" w:rsidP="001D726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54 616 052</w:t>
            </w:r>
          </w:p>
        </w:tc>
        <w:tc>
          <w:tcPr>
            <w:tcW w:w="681" w:type="pct"/>
            <w:tcBorders>
              <w:top w:val="single" w:sz="4" w:space="0" w:color="auto"/>
              <w:left w:val="nil"/>
              <w:bottom w:val="single" w:sz="4" w:space="0" w:color="000000"/>
              <w:right w:val="nil"/>
            </w:tcBorders>
            <w:shd w:val="clear" w:color="000000" w:fill="auto"/>
            <w:vAlign w:val="center"/>
          </w:tcPr>
          <w:p w14:paraId="07837ECF" w14:textId="43150429" w:rsidR="001D726F" w:rsidRPr="00752401" w:rsidRDefault="001D726F" w:rsidP="001D726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52 727 846</w:t>
            </w:r>
          </w:p>
        </w:tc>
        <w:tc>
          <w:tcPr>
            <w:tcW w:w="680" w:type="pct"/>
            <w:tcBorders>
              <w:top w:val="single" w:sz="4" w:space="0" w:color="auto"/>
              <w:left w:val="nil"/>
              <w:bottom w:val="single" w:sz="4" w:space="0" w:color="000000"/>
              <w:right w:val="nil"/>
            </w:tcBorders>
            <w:shd w:val="clear" w:color="000000" w:fill="auto"/>
            <w:vAlign w:val="center"/>
          </w:tcPr>
          <w:p w14:paraId="5AA492C1" w14:textId="184D79A1" w:rsidR="001D726F" w:rsidRPr="00752401" w:rsidRDefault="001D726F" w:rsidP="001D726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1 888 206</w:t>
            </w:r>
          </w:p>
        </w:tc>
      </w:tr>
    </w:tbl>
    <w:p w14:paraId="484B9667" w14:textId="77777777" w:rsidR="003E09E2" w:rsidRDefault="003E09E2" w:rsidP="003E09E2">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2F890F2E" w14:textId="77777777" w:rsidR="004721DB" w:rsidRPr="00C66720" w:rsidRDefault="004721DB" w:rsidP="001D726F">
      <w:pPr>
        <w:pStyle w:val="Pismenka"/>
        <w:numPr>
          <w:ilvl w:val="0"/>
          <w:numId w:val="44"/>
        </w:numPr>
        <w:spacing w:before="240" w:after="120"/>
        <w:ind w:left="284" w:hanging="284"/>
        <w:rPr>
          <w:i/>
          <w:szCs w:val="22"/>
          <w:u w:val="single"/>
        </w:rPr>
      </w:pPr>
      <w:bookmarkStart w:id="6" w:name="_Ref86091385"/>
      <w:r w:rsidRPr="00C66720">
        <w:rPr>
          <w:bCs w:val="0"/>
          <w:i/>
          <w:sz w:val="22"/>
          <w:szCs w:val="22"/>
          <w:u w:val="single"/>
        </w:rPr>
        <w:t>Stavby</w:t>
      </w:r>
      <w:bookmarkEnd w:id="6"/>
    </w:p>
    <w:p w14:paraId="386A40CB" w14:textId="4C21E8E3" w:rsidR="00EB457B" w:rsidRPr="00C66720" w:rsidRDefault="004721DB" w:rsidP="007E2C34">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Hodnota stavieb medziročne vzrástla o</w:t>
      </w:r>
      <w:r w:rsidR="00BB5F02" w:rsidRPr="00C66720">
        <w:rPr>
          <w:rFonts w:ascii="Times New Roman" w:hAnsi="Times New Roman"/>
          <w:szCs w:val="22"/>
          <w:lang w:eastAsia="sk-SK"/>
        </w:rPr>
        <w:t> 552 849</w:t>
      </w:r>
      <w:r w:rsidR="00785461" w:rsidRPr="00C66720">
        <w:rPr>
          <w:rFonts w:ascii="Times New Roman" w:hAnsi="Times New Roman"/>
          <w:szCs w:val="22"/>
          <w:lang w:eastAsia="sk-SK"/>
        </w:rPr>
        <w:t xml:space="preserve"> </w:t>
      </w:r>
      <w:r w:rsidR="00933543" w:rsidRPr="00C66720">
        <w:rPr>
          <w:rFonts w:ascii="Times New Roman" w:hAnsi="Times New Roman"/>
          <w:szCs w:val="22"/>
          <w:lang w:eastAsia="sk-SK"/>
        </w:rPr>
        <w:t>tis. eur</w:t>
      </w:r>
      <w:r w:rsidR="00C46526" w:rsidRPr="00C66720">
        <w:rPr>
          <w:rFonts w:ascii="Times New Roman" w:hAnsi="Times New Roman"/>
          <w:szCs w:val="22"/>
          <w:lang w:eastAsia="sk-SK"/>
        </w:rPr>
        <w:t xml:space="preserve"> a tvorí</w:t>
      </w:r>
      <w:r w:rsidR="00785461" w:rsidRPr="00C66720">
        <w:rPr>
          <w:rFonts w:ascii="Times New Roman" w:hAnsi="Times New Roman"/>
          <w:szCs w:val="22"/>
          <w:lang w:eastAsia="sk-SK"/>
        </w:rPr>
        <w:t xml:space="preserve"> </w:t>
      </w:r>
      <w:r w:rsidR="00BF1BF4" w:rsidRPr="00C66720">
        <w:rPr>
          <w:rFonts w:ascii="Times New Roman" w:hAnsi="Times New Roman"/>
          <w:szCs w:val="22"/>
          <w:lang w:eastAsia="sk-SK"/>
        </w:rPr>
        <w:t xml:space="preserve">takmer </w:t>
      </w:r>
      <w:r w:rsidR="00BB5F02" w:rsidRPr="00C66720">
        <w:rPr>
          <w:rFonts w:ascii="Times New Roman" w:hAnsi="Times New Roman"/>
          <w:szCs w:val="22"/>
          <w:lang w:eastAsia="sk-SK"/>
        </w:rPr>
        <w:t>58</w:t>
      </w:r>
      <w:r w:rsidR="005172B6" w:rsidRPr="00C66720">
        <w:rPr>
          <w:rFonts w:ascii="Times New Roman" w:hAnsi="Times New Roman"/>
          <w:szCs w:val="22"/>
          <w:lang w:eastAsia="sk-SK"/>
        </w:rPr>
        <w:t xml:space="preserve"> % z celkovej hodnoty dlhodobého hmotného majetku</w:t>
      </w:r>
      <w:r w:rsidR="001A5CD6" w:rsidRPr="00C66720">
        <w:rPr>
          <w:rFonts w:ascii="Times New Roman" w:hAnsi="Times New Roman"/>
          <w:szCs w:val="22"/>
          <w:lang w:eastAsia="sk-SK"/>
        </w:rPr>
        <w:t>.</w:t>
      </w:r>
      <w:r w:rsidRPr="00C66720">
        <w:rPr>
          <w:rFonts w:ascii="Times New Roman" w:hAnsi="Times New Roman"/>
          <w:szCs w:val="22"/>
          <w:lang w:eastAsia="sk-SK"/>
        </w:rPr>
        <w:t xml:space="preserve"> </w:t>
      </w:r>
      <w:r w:rsidR="003D24E7">
        <w:rPr>
          <w:rFonts w:ascii="Times New Roman" w:hAnsi="Times New Roman"/>
          <w:szCs w:val="22"/>
          <w:lang w:eastAsia="sk-SK"/>
        </w:rPr>
        <w:t xml:space="preserve">Kým v roku 2021 zaznamenala ústredná správa celkový prírastok netto hodnoty stavieb o </w:t>
      </w:r>
      <w:r w:rsidR="003D24E7" w:rsidRPr="00EB19CC">
        <w:rPr>
          <w:rFonts w:ascii="Times New Roman" w:hAnsi="Times New Roman"/>
          <w:szCs w:val="22"/>
          <w:lang w:eastAsia="sk-SK"/>
        </w:rPr>
        <w:t>1 727 571 tis. eur</w:t>
      </w:r>
      <w:r w:rsidR="003D24E7">
        <w:rPr>
          <w:rFonts w:ascii="Times New Roman" w:hAnsi="Times New Roman"/>
          <w:szCs w:val="22"/>
          <w:lang w:eastAsia="sk-SK"/>
        </w:rPr>
        <w:t>, v roku 2022 to bolo len 69 094 tis. eur. V roku 20</w:t>
      </w:r>
      <w:r w:rsidR="00AF1060">
        <w:rPr>
          <w:rFonts w:ascii="Times New Roman" w:hAnsi="Times New Roman"/>
          <w:szCs w:val="22"/>
          <w:lang w:eastAsia="sk-SK"/>
        </w:rPr>
        <w:t>2</w:t>
      </w:r>
      <w:r w:rsidR="003D24E7">
        <w:rPr>
          <w:rFonts w:ascii="Times New Roman" w:hAnsi="Times New Roman"/>
          <w:szCs w:val="22"/>
          <w:lang w:eastAsia="sk-SK"/>
        </w:rPr>
        <w:t>1 boli prevzaté do majetku významné objekty dopravnej infraštruktúry. V roku 2022 n</w:t>
      </w:r>
      <w:r w:rsidRPr="00C66720">
        <w:rPr>
          <w:rFonts w:ascii="Times New Roman" w:hAnsi="Times New Roman"/>
          <w:szCs w:val="22"/>
          <w:lang w:eastAsia="sk-SK"/>
        </w:rPr>
        <w:t>ajvyšší prírastok zaznamenal</w:t>
      </w:r>
      <w:r w:rsidR="009B04A2" w:rsidRPr="00C66720">
        <w:rPr>
          <w:rFonts w:ascii="Times New Roman" w:hAnsi="Times New Roman"/>
          <w:szCs w:val="22"/>
          <w:lang w:eastAsia="sk-SK"/>
        </w:rPr>
        <w:t>a</w:t>
      </w:r>
      <w:r w:rsidRPr="00C66720">
        <w:rPr>
          <w:rFonts w:ascii="Times New Roman" w:hAnsi="Times New Roman"/>
          <w:szCs w:val="22"/>
          <w:lang w:eastAsia="sk-SK"/>
        </w:rPr>
        <w:t xml:space="preserve"> </w:t>
      </w:r>
      <w:r w:rsidR="00EB457B" w:rsidRPr="00C66720">
        <w:rPr>
          <w:rFonts w:ascii="Times New Roman" w:hAnsi="Times New Roman"/>
          <w:szCs w:val="22"/>
          <w:lang w:eastAsia="sk-SK"/>
        </w:rPr>
        <w:t xml:space="preserve">územná samospráva o 462 286 tis. eur (v tom obce o 301 207 tis. eur a vyššie územné celky </w:t>
      </w:r>
      <w:r w:rsidR="00D57A41">
        <w:rPr>
          <w:rFonts w:ascii="Times New Roman" w:hAnsi="Times New Roman"/>
          <w:szCs w:val="22"/>
          <w:lang w:eastAsia="sk-SK"/>
        </w:rPr>
        <w:br/>
      </w:r>
      <w:r w:rsidR="00EB457B" w:rsidRPr="00C66720">
        <w:rPr>
          <w:rFonts w:ascii="Times New Roman" w:hAnsi="Times New Roman"/>
          <w:szCs w:val="22"/>
          <w:lang w:eastAsia="sk-SK"/>
        </w:rPr>
        <w:t>o 161 078 tis. eur)</w:t>
      </w:r>
      <w:r w:rsidR="00FD1713" w:rsidRPr="00C66720">
        <w:rPr>
          <w:rFonts w:ascii="Times New Roman" w:hAnsi="Times New Roman"/>
          <w:szCs w:val="22"/>
          <w:lang w:eastAsia="sk-SK"/>
        </w:rPr>
        <w:t xml:space="preserve">, čím dosiahli hodnotu budov a stavieb v sume </w:t>
      </w:r>
      <w:r w:rsidR="00816414" w:rsidRPr="00C66720">
        <w:rPr>
          <w:rFonts w:ascii="Times New Roman" w:hAnsi="Times New Roman"/>
          <w:szCs w:val="22"/>
          <w:lang w:eastAsia="sk-SK"/>
        </w:rPr>
        <w:t xml:space="preserve">11 179 041 </w:t>
      </w:r>
      <w:r w:rsidR="00FD1713" w:rsidRPr="00C66720">
        <w:rPr>
          <w:rFonts w:ascii="Times New Roman" w:hAnsi="Times New Roman"/>
          <w:szCs w:val="22"/>
          <w:lang w:eastAsia="sk-SK"/>
        </w:rPr>
        <w:t>tis. eur</w:t>
      </w:r>
      <w:r w:rsidR="00EB457B" w:rsidRPr="00C66720">
        <w:rPr>
          <w:rFonts w:ascii="Times New Roman" w:hAnsi="Times New Roman"/>
          <w:szCs w:val="22"/>
          <w:lang w:eastAsia="sk-SK"/>
        </w:rPr>
        <w:t xml:space="preserve">. V rámci ústrednej správy došlo k navýšeniu hodnoty </w:t>
      </w:r>
      <w:r w:rsidR="003D24E7">
        <w:rPr>
          <w:rFonts w:ascii="Times New Roman" w:hAnsi="Times New Roman"/>
          <w:szCs w:val="22"/>
          <w:lang w:eastAsia="sk-SK"/>
        </w:rPr>
        <w:t xml:space="preserve">u </w:t>
      </w:r>
      <w:r w:rsidR="00452BB8" w:rsidRPr="00C66720">
        <w:rPr>
          <w:rFonts w:ascii="Times New Roman" w:hAnsi="Times New Roman"/>
          <w:szCs w:val="22"/>
          <w:lang w:eastAsia="sk-SK"/>
        </w:rPr>
        <w:t>Slovensk</w:t>
      </w:r>
      <w:r w:rsidR="003D24E7">
        <w:rPr>
          <w:rFonts w:ascii="Times New Roman" w:hAnsi="Times New Roman"/>
          <w:szCs w:val="22"/>
          <w:lang w:eastAsia="sk-SK"/>
        </w:rPr>
        <w:t>ej</w:t>
      </w:r>
      <w:r w:rsidR="00452BB8" w:rsidRPr="00C66720">
        <w:rPr>
          <w:rFonts w:ascii="Times New Roman" w:hAnsi="Times New Roman"/>
          <w:szCs w:val="22"/>
          <w:lang w:eastAsia="sk-SK"/>
        </w:rPr>
        <w:t xml:space="preserve"> správ</w:t>
      </w:r>
      <w:r w:rsidR="003D24E7">
        <w:rPr>
          <w:rFonts w:ascii="Times New Roman" w:hAnsi="Times New Roman"/>
          <w:szCs w:val="22"/>
          <w:lang w:eastAsia="sk-SK"/>
        </w:rPr>
        <w:t>y</w:t>
      </w:r>
      <w:r w:rsidR="00452BB8" w:rsidRPr="00C66720">
        <w:rPr>
          <w:rFonts w:ascii="Times New Roman" w:hAnsi="Times New Roman"/>
          <w:szCs w:val="22"/>
          <w:lang w:eastAsia="sk-SK"/>
        </w:rPr>
        <w:t xml:space="preserve"> ciest o 68 903 tis. eur, Národn</w:t>
      </w:r>
      <w:r w:rsidR="003D24E7">
        <w:rPr>
          <w:rFonts w:ascii="Times New Roman" w:hAnsi="Times New Roman"/>
          <w:szCs w:val="22"/>
          <w:lang w:eastAsia="sk-SK"/>
        </w:rPr>
        <w:t>ej</w:t>
      </w:r>
      <w:r w:rsidR="00452BB8" w:rsidRPr="00C66720">
        <w:rPr>
          <w:rFonts w:ascii="Times New Roman" w:hAnsi="Times New Roman"/>
          <w:szCs w:val="22"/>
          <w:lang w:eastAsia="sk-SK"/>
        </w:rPr>
        <w:t xml:space="preserve"> diaľničn</w:t>
      </w:r>
      <w:r w:rsidR="003D24E7">
        <w:rPr>
          <w:rFonts w:ascii="Times New Roman" w:hAnsi="Times New Roman"/>
          <w:szCs w:val="22"/>
          <w:lang w:eastAsia="sk-SK"/>
        </w:rPr>
        <w:t>ej</w:t>
      </w:r>
      <w:r w:rsidR="00452BB8" w:rsidRPr="00C66720">
        <w:rPr>
          <w:rFonts w:ascii="Times New Roman" w:hAnsi="Times New Roman"/>
          <w:szCs w:val="22"/>
          <w:lang w:eastAsia="sk-SK"/>
        </w:rPr>
        <w:t xml:space="preserve"> spoločnos</w:t>
      </w:r>
      <w:r w:rsidR="003D24E7">
        <w:rPr>
          <w:rFonts w:ascii="Times New Roman" w:hAnsi="Times New Roman"/>
          <w:szCs w:val="22"/>
          <w:lang w:eastAsia="sk-SK"/>
        </w:rPr>
        <w:t>ti</w:t>
      </w:r>
      <w:r w:rsidR="00452BB8" w:rsidRPr="00C66720">
        <w:rPr>
          <w:rFonts w:ascii="Times New Roman" w:hAnsi="Times New Roman"/>
          <w:szCs w:val="22"/>
          <w:lang w:eastAsia="sk-SK"/>
        </w:rPr>
        <w:t>, a.s. o 32 792 tis. eur a Biomedicínske</w:t>
      </w:r>
      <w:r w:rsidR="003D24E7">
        <w:rPr>
          <w:rFonts w:ascii="Times New Roman" w:hAnsi="Times New Roman"/>
          <w:szCs w:val="22"/>
          <w:lang w:eastAsia="sk-SK"/>
        </w:rPr>
        <w:t>ho</w:t>
      </w:r>
      <w:r w:rsidR="00452BB8" w:rsidRPr="00C66720">
        <w:rPr>
          <w:rFonts w:ascii="Times New Roman" w:hAnsi="Times New Roman"/>
          <w:szCs w:val="22"/>
          <w:lang w:eastAsia="sk-SK"/>
        </w:rPr>
        <w:t xml:space="preserve"> centr</w:t>
      </w:r>
      <w:r w:rsidR="003D24E7">
        <w:rPr>
          <w:rFonts w:ascii="Times New Roman" w:hAnsi="Times New Roman"/>
          <w:szCs w:val="22"/>
          <w:lang w:eastAsia="sk-SK"/>
        </w:rPr>
        <w:t>a</w:t>
      </w:r>
      <w:r w:rsidR="00452BB8" w:rsidRPr="00C66720">
        <w:rPr>
          <w:rFonts w:ascii="Times New Roman" w:hAnsi="Times New Roman"/>
          <w:szCs w:val="22"/>
          <w:lang w:eastAsia="sk-SK"/>
        </w:rPr>
        <w:t xml:space="preserve"> Slovenskej akadémie vied o 30 316 tis. eur</w:t>
      </w:r>
      <w:r w:rsidR="003D24E7">
        <w:rPr>
          <w:rFonts w:ascii="Times New Roman" w:hAnsi="Times New Roman"/>
          <w:szCs w:val="22"/>
          <w:lang w:eastAsia="sk-SK"/>
        </w:rPr>
        <w:t>.</w:t>
      </w:r>
      <w:r w:rsidR="00452BB8" w:rsidRPr="00C66720">
        <w:rPr>
          <w:rFonts w:ascii="Times New Roman" w:hAnsi="Times New Roman"/>
          <w:szCs w:val="22"/>
          <w:lang w:eastAsia="sk-SK"/>
        </w:rPr>
        <w:t xml:space="preserve"> </w:t>
      </w:r>
      <w:r w:rsidR="003D24E7">
        <w:rPr>
          <w:rFonts w:ascii="Times New Roman" w:hAnsi="Times New Roman"/>
          <w:szCs w:val="22"/>
          <w:lang w:eastAsia="sk-SK"/>
        </w:rPr>
        <w:t>Ú</w:t>
      </w:r>
      <w:r w:rsidR="00452BB8" w:rsidRPr="00C66720">
        <w:rPr>
          <w:rFonts w:ascii="Times New Roman" w:hAnsi="Times New Roman"/>
          <w:szCs w:val="22"/>
          <w:lang w:eastAsia="sk-SK"/>
        </w:rPr>
        <w:t>stredná správa drží budovy a stavby v hodnote 19 396 627 tis. eur.</w:t>
      </w:r>
      <w:r w:rsidR="0063363C" w:rsidRPr="00C66720">
        <w:rPr>
          <w:rFonts w:ascii="Times New Roman" w:hAnsi="Times New Roman"/>
          <w:szCs w:val="22"/>
          <w:lang w:eastAsia="sk-SK"/>
        </w:rPr>
        <w:t xml:space="preserve"> </w:t>
      </w:r>
    </w:p>
    <w:p w14:paraId="4A5B2F20" w14:textId="0529E958" w:rsidR="00D15D3D" w:rsidRPr="00C66720" w:rsidRDefault="00593F2D" w:rsidP="00014B3A">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Obchodné spoločnosti </w:t>
      </w:r>
      <w:r w:rsidR="005A2A1C" w:rsidRPr="00C66720">
        <w:rPr>
          <w:rFonts w:ascii="Times New Roman" w:hAnsi="Times New Roman"/>
          <w:szCs w:val="22"/>
          <w:lang w:eastAsia="sk-SK"/>
        </w:rPr>
        <w:t xml:space="preserve">štátu vykázali stavby v hodnote </w:t>
      </w:r>
      <w:r w:rsidR="00FD16C6" w:rsidRPr="00C66720">
        <w:rPr>
          <w:rFonts w:ascii="Times New Roman" w:hAnsi="Times New Roman"/>
          <w:szCs w:val="22"/>
          <w:lang w:eastAsia="sk-SK"/>
        </w:rPr>
        <w:t>9 207 225</w:t>
      </w:r>
      <w:r w:rsidRPr="00C66720">
        <w:rPr>
          <w:rFonts w:ascii="Times New Roman" w:hAnsi="Times New Roman"/>
          <w:szCs w:val="22"/>
          <w:lang w:eastAsia="sk-SK"/>
        </w:rPr>
        <w:t xml:space="preserve"> tis. eur, pričom rozhodujúcim subjektom ostáva Národná diaľničná spoločnosť, a.s., ktorá má vo vlastníctve diaľ</w:t>
      </w:r>
      <w:r w:rsidR="005A2A1C" w:rsidRPr="00C66720">
        <w:rPr>
          <w:rFonts w:ascii="Times New Roman" w:hAnsi="Times New Roman"/>
          <w:szCs w:val="22"/>
          <w:lang w:eastAsia="sk-SK"/>
        </w:rPr>
        <w:t xml:space="preserve">ničnú infraštruktúru v hodnote </w:t>
      </w:r>
      <w:r w:rsidR="00404295" w:rsidRPr="00C66720">
        <w:rPr>
          <w:rFonts w:ascii="Times New Roman" w:hAnsi="Times New Roman"/>
          <w:szCs w:val="22"/>
          <w:lang w:eastAsia="sk-SK"/>
        </w:rPr>
        <w:t>7 548 491</w:t>
      </w:r>
      <w:r w:rsidRPr="00C66720">
        <w:rPr>
          <w:rFonts w:ascii="Times New Roman" w:hAnsi="Times New Roman"/>
          <w:szCs w:val="22"/>
          <w:lang w:eastAsia="sk-SK"/>
        </w:rPr>
        <w:t xml:space="preserve"> tis. eur</w:t>
      </w:r>
      <w:r w:rsidR="003564A7" w:rsidRPr="00C66720">
        <w:rPr>
          <w:rFonts w:ascii="Times New Roman" w:hAnsi="Times New Roman"/>
          <w:szCs w:val="22"/>
          <w:lang w:eastAsia="sk-SK"/>
        </w:rPr>
        <w:t xml:space="preserve"> (v tom diaľnice 5 877 882 tis. eur, rýchlostné cesty 1 535 722 tis. eur)</w:t>
      </w:r>
      <w:r w:rsidRPr="00C66720">
        <w:rPr>
          <w:rFonts w:ascii="Times New Roman" w:hAnsi="Times New Roman"/>
          <w:szCs w:val="22"/>
          <w:lang w:eastAsia="sk-SK"/>
        </w:rPr>
        <w:t xml:space="preserve">. </w:t>
      </w:r>
      <w:r w:rsidR="009D0783" w:rsidRPr="00C66720">
        <w:rPr>
          <w:rFonts w:ascii="Times New Roman" w:hAnsi="Times New Roman"/>
          <w:szCs w:val="22"/>
          <w:lang w:eastAsia="sk-SK"/>
        </w:rPr>
        <w:t>Diaľnice</w:t>
      </w:r>
      <w:r w:rsidR="006D3C19" w:rsidRPr="00C66720">
        <w:rPr>
          <w:rFonts w:ascii="Times New Roman" w:hAnsi="Times New Roman"/>
          <w:szCs w:val="22"/>
          <w:lang w:eastAsia="sk-SK"/>
        </w:rPr>
        <w:t xml:space="preserve"> </w:t>
      </w:r>
      <w:r w:rsidR="009D0783" w:rsidRPr="00C66720">
        <w:rPr>
          <w:rFonts w:ascii="Times New Roman" w:hAnsi="Times New Roman"/>
          <w:szCs w:val="22"/>
          <w:lang w:eastAsia="sk-SK"/>
        </w:rPr>
        <w:t>a rýchlos</w:t>
      </w:r>
      <w:r w:rsidR="003B595A" w:rsidRPr="00C66720">
        <w:rPr>
          <w:rFonts w:ascii="Times New Roman" w:hAnsi="Times New Roman"/>
          <w:szCs w:val="22"/>
          <w:lang w:eastAsia="sk-SK"/>
        </w:rPr>
        <w:t>tné cesty</w:t>
      </w:r>
      <w:r w:rsidR="006D3C19" w:rsidRPr="00C66720">
        <w:rPr>
          <w:rFonts w:ascii="Times New Roman" w:hAnsi="Times New Roman"/>
          <w:szCs w:val="22"/>
          <w:lang w:eastAsia="sk-SK"/>
        </w:rPr>
        <w:t xml:space="preserve"> </w:t>
      </w:r>
      <w:r w:rsidR="003B595A" w:rsidRPr="00C66720">
        <w:rPr>
          <w:rFonts w:ascii="Times New Roman" w:hAnsi="Times New Roman"/>
          <w:szCs w:val="22"/>
          <w:lang w:eastAsia="sk-SK"/>
        </w:rPr>
        <w:t>obsahujú hodnotu telesa</w:t>
      </w:r>
      <w:r w:rsidR="009D0783" w:rsidRPr="00C66720">
        <w:rPr>
          <w:rFonts w:ascii="Times New Roman" w:hAnsi="Times New Roman"/>
          <w:szCs w:val="22"/>
          <w:lang w:eastAsia="sk-SK"/>
        </w:rPr>
        <w:t xml:space="preserve"> vozovky a ostatných komponentov dlhodobého majetku diaľnic a rýchlostných ciest, nosnej konštrukcie tunelov a mostov. </w:t>
      </w:r>
      <w:r w:rsidR="001038B3" w:rsidRPr="00C66720">
        <w:rPr>
          <w:rFonts w:ascii="Times New Roman" w:hAnsi="Times New Roman"/>
          <w:szCs w:val="22"/>
          <w:lang w:eastAsia="sk-SK"/>
        </w:rPr>
        <w:t>Národná diaľničná spoločnosť, a.s. vykázala úhrnom m</w:t>
      </w:r>
      <w:r w:rsidRPr="00C66720">
        <w:rPr>
          <w:rFonts w:ascii="Times New Roman" w:hAnsi="Times New Roman"/>
          <w:szCs w:val="22"/>
          <w:lang w:eastAsia="sk-SK"/>
        </w:rPr>
        <w:t xml:space="preserve">edziročný </w:t>
      </w:r>
      <w:r w:rsidR="003B595A" w:rsidRPr="00C66720">
        <w:rPr>
          <w:rFonts w:ascii="Times New Roman" w:hAnsi="Times New Roman"/>
          <w:szCs w:val="22"/>
          <w:lang w:eastAsia="sk-SK"/>
        </w:rPr>
        <w:t xml:space="preserve">celkový </w:t>
      </w:r>
      <w:r w:rsidR="004C5BDD" w:rsidRPr="00C66720">
        <w:rPr>
          <w:rFonts w:ascii="Times New Roman" w:hAnsi="Times New Roman"/>
          <w:szCs w:val="22"/>
          <w:lang w:eastAsia="sk-SK"/>
        </w:rPr>
        <w:t>prírastok</w:t>
      </w:r>
      <w:r w:rsidR="001038B3" w:rsidRPr="00C66720">
        <w:rPr>
          <w:rFonts w:ascii="Times New Roman" w:hAnsi="Times New Roman"/>
          <w:szCs w:val="22"/>
          <w:lang w:eastAsia="sk-SK"/>
        </w:rPr>
        <w:t xml:space="preserve"> hodnoty stavieb o</w:t>
      </w:r>
      <w:r w:rsidR="00404295" w:rsidRPr="00C66720">
        <w:rPr>
          <w:rFonts w:ascii="Times New Roman" w:hAnsi="Times New Roman"/>
          <w:szCs w:val="22"/>
          <w:lang w:eastAsia="sk-SK"/>
        </w:rPr>
        <w:t xml:space="preserve"> 32 792 </w:t>
      </w:r>
      <w:r w:rsidR="003B595A" w:rsidRPr="00C66720">
        <w:rPr>
          <w:rFonts w:ascii="Times New Roman" w:hAnsi="Times New Roman"/>
          <w:szCs w:val="22"/>
          <w:lang w:eastAsia="sk-SK"/>
        </w:rPr>
        <w:t>tis. eur. Ten</w:t>
      </w:r>
      <w:r w:rsidR="00613118" w:rsidRPr="00C66720">
        <w:rPr>
          <w:rFonts w:ascii="Times New Roman" w:hAnsi="Times New Roman"/>
          <w:szCs w:val="22"/>
          <w:lang w:eastAsia="sk-SK"/>
        </w:rPr>
        <w:t>to</w:t>
      </w:r>
      <w:r w:rsidR="003B595A" w:rsidRPr="00C66720">
        <w:rPr>
          <w:rFonts w:ascii="Times New Roman" w:hAnsi="Times New Roman"/>
          <w:szCs w:val="22"/>
          <w:lang w:eastAsia="sk-SK"/>
        </w:rPr>
        <w:t xml:space="preserve"> je výsledkom zaradenia nového majetku a odpismi k</w:t>
      </w:r>
      <w:r w:rsidR="00DC2647" w:rsidRPr="00C66720">
        <w:rPr>
          <w:rFonts w:ascii="Times New Roman" w:hAnsi="Times New Roman"/>
          <w:szCs w:val="22"/>
          <w:lang w:eastAsia="sk-SK"/>
        </w:rPr>
        <w:t xml:space="preserve"> existujúcemu a používanému </w:t>
      </w:r>
      <w:r w:rsidR="003B595A" w:rsidRPr="00C66720">
        <w:rPr>
          <w:rFonts w:ascii="Times New Roman" w:hAnsi="Times New Roman"/>
          <w:szCs w:val="22"/>
          <w:lang w:eastAsia="sk-SK"/>
        </w:rPr>
        <w:t xml:space="preserve">majetku. V roku </w:t>
      </w:r>
      <w:r w:rsidR="005A2A1C" w:rsidRPr="00C66720">
        <w:rPr>
          <w:rFonts w:ascii="Times New Roman" w:hAnsi="Times New Roman"/>
          <w:szCs w:val="22"/>
          <w:lang w:eastAsia="sk-SK"/>
        </w:rPr>
        <w:t>202</w:t>
      </w:r>
      <w:r w:rsidR="00D15D3D" w:rsidRPr="00C66720">
        <w:rPr>
          <w:rFonts w:ascii="Times New Roman" w:hAnsi="Times New Roman"/>
          <w:szCs w:val="22"/>
          <w:lang w:eastAsia="sk-SK"/>
        </w:rPr>
        <w:t>2</w:t>
      </w:r>
      <w:r w:rsidR="003B595A" w:rsidRPr="00C66720">
        <w:rPr>
          <w:rFonts w:ascii="Times New Roman" w:hAnsi="Times New Roman"/>
          <w:szCs w:val="22"/>
          <w:lang w:eastAsia="sk-SK"/>
        </w:rPr>
        <w:t xml:space="preserve"> sa do používania zaradili</w:t>
      </w:r>
      <w:r w:rsidR="001038B3" w:rsidRPr="00C66720">
        <w:rPr>
          <w:rFonts w:ascii="Times New Roman" w:hAnsi="Times New Roman"/>
          <w:szCs w:val="22"/>
          <w:lang w:eastAsia="sk-SK"/>
        </w:rPr>
        <w:t xml:space="preserve"> viaceré úseky diaľničnej infraštruktúry</w:t>
      </w:r>
      <w:r w:rsidR="00D15D3D" w:rsidRPr="00C66720">
        <w:rPr>
          <w:rFonts w:ascii="Times New Roman" w:hAnsi="Times New Roman"/>
          <w:szCs w:val="22"/>
          <w:lang w:eastAsia="sk-SK"/>
        </w:rPr>
        <w:t xml:space="preserve"> D1 až D3 v hodnote </w:t>
      </w:r>
      <w:r w:rsidR="00D57A41">
        <w:rPr>
          <w:rFonts w:ascii="Times New Roman" w:hAnsi="Times New Roman"/>
          <w:szCs w:val="22"/>
          <w:lang w:eastAsia="sk-SK"/>
        </w:rPr>
        <w:br/>
      </w:r>
      <w:r w:rsidR="00D15D3D" w:rsidRPr="00C66720">
        <w:rPr>
          <w:rFonts w:ascii="Times New Roman" w:hAnsi="Times New Roman"/>
          <w:szCs w:val="22"/>
          <w:lang w:eastAsia="sk-SK"/>
        </w:rPr>
        <w:t>31 141 tis. eur a rýchlostných ciest R1 až R4 v hodnote 143 556 tis. eur. Oprávky boli vytvorené v hodnote 140 983 tis. eur.</w:t>
      </w:r>
    </w:p>
    <w:p w14:paraId="644E01DF" w14:textId="68F867A5" w:rsidR="00593F2D" w:rsidRPr="00C66720" w:rsidRDefault="00593F2D" w:rsidP="00014B3A">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Druhou najvýznamnejšou </w:t>
      </w:r>
      <w:r w:rsidR="00E4199C" w:rsidRPr="00C66720">
        <w:rPr>
          <w:rFonts w:ascii="Times New Roman" w:hAnsi="Times New Roman"/>
          <w:szCs w:val="22"/>
          <w:lang w:eastAsia="sk-SK"/>
        </w:rPr>
        <w:t xml:space="preserve">obchodnou </w:t>
      </w:r>
      <w:r w:rsidRPr="00C66720">
        <w:rPr>
          <w:rFonts w:ascii="Times New Roman" w:hAnsi="Times New Roman"/>
          <w:szCs w:val="22"/>
          <w:lang w:eastAsia="sk-SK"/>
        </w:rPr>
        <w:t xml:space="preserve">spoločnosťou z pohľadu hodnoty stavieb je </w:t>
      </w:r>
      <w:r w:rsidRPr="00AF1060">
        <w:rPr>
          <w:rFonts w:ascii="Times New Roman" w:hAnsi="Times New Roman"/>
          <w:szCs w:val="22"/>
          <w:u w:val="single"/>
          <w:lang w:eastAsia="sk-SK"/>
        </w:rPr>
        <w:t>Slovenská elektrizač</w:t>
      </w:r>
      <w:r w:rsidR="00266AF6" w:rsidRPr="00AF1060">
        <w:rPr>
          <w:rFonts w:ascii="Times New Roman" w:hAnsi="Times New Roman"/>
          <w:szCs w:val="22"/>
          <w:u w:val="single"/>
          <w:lang w:eastAsia="sk-SK"/>
        </w:rPr>
        <w:t>ná prenosová sústava, a.s.</w:t>
      </w:r>
      <w:r w:rsidR="00266AF6" w:rsidRPr="00C66720">
        <w:rPr>
          <w:rFonts w:ascii="Times New Roman" w:hAnsi="Times New Roman"/>
          <w:szCs w:val="22"/>
          <w:lang w:eastAsia="sk-SK"/>
        </w:rPr>
        <w:t xml:space="preserve"> (</w:t>
      </w:r>
      <w:r w:rsidR="009B5A02" w:rsidRPr="00C66720">
        <w:rPr>
          <w:rFonts w:ascii="Times New Roman" w:hAnsi="Times New Roman"/>
          <w:szCs w:val="22"/>
          <w:lang w:eastAsia="sk-SK"/>
        </w:rPr>
        <w:t>557 869</w:t>
      </w:r>
      <w:r w:rsidR="00EF45CC" w:rsidRPr="00C66720">
        <w:rPr>
          <w:rFonts w:ascii="Times New Roman" w:hAnsi="Times New Roman"/>
          <w:szCs w:val="22"/>
          <w:lang w:eastAsia="sk-SK"/>
        </w:rPr>
        <w:t xml:space="preserve"> tis. eur)</w:t>
      </w:r>
      <w:r w:rsidR="003D24E7">
        <w:rPr>
          <w:rFonts w:ascii="Times New Roman" w:hAnsi="Times New Roman"/>
          <w:szCs w:val="22"/>
          <w:lang w:eastAsia="sk-SK"/>
        </w:rPr>
        <w:t>.</w:t>
      </w:r>
      <w:r w:rsidRPr="00C66720">
        <w:rPr>
          <w:rFonts w:ascii="Times New Roman" w:hAnsi="Times New Roman"/>
          <w:szCs w:val="22"/>
          <w:lang w:eastAsia="sk-SK"/>
        </w:rPr>
        <w:t xml:space="preserve"> Ide o stavby slúžiace na prenos elektrickej en</w:t>
      </w:r>
      <w:r w:rsidR="00EF45CC" w:rsidRPr="00C66720">
        <w:rPr>
          <w:rFonts w:ascii="Times New Roman" w:hAnsi="Times New Roman"/>
          <w:szCs w:val="22"/>
          <w:lang w:eastAsia="sk-SK"/>
        </w:rPr>
        <w:t>ergie, stožiare, trafostanice, pričom na prenosovej sústave je realizovaná dlhodobá modernizácia, rekonštrukcia a výstavba nových objektov</w:t>
      </w:r>
      <w:r w:rsidRPr="00C66720">
        <w:rPr>
          <w:rFonts w:ascii="Times New Roman" w:hAnsi="Times New Roman"/>
          <w:szCs w:val="22"/>
          <w:lang w:eastAsia="sk-SK"/>
        </w:rPr>
        <w:t>.</w:t>
      </w:r>
    </w:p>
    <w:p w14:paraId="540EE95C" w14:textId="5483C14D" w:rsidR="00195291" w:rsidRPr="00C66720" w:rsidRDefault="00A337AC" w:rsidP="00014B3A">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Štátne podniky dosiahli hodnotu stavieb vo výške </w:t>
      </w:r>
      <w:r w:rsidR="00497959" w:rsidRPr="00C66720">
        <w:rPr>
          <w:rFonts w:ascii="Times New Roman" w:hAnsi="Times New Roman"/>
          <w:szCs w:val="22"/>
          <w:lang w:eastAsia="sk-SK"/>
        </w:rPr>
        <w:t>4 558 240</w:t>
      </w:r>
      <w:r w:rsidRPr="00C66720">
        <w:rPr>
          <w:rFonts w:ascii="Times New Roman" w:hAnsi="Times New Roman"/>
          <w:szCs w:val="22"/>
          <w:lang w:eastAsia="sk-SK"/>
        </w:rPr>
        <w:t xml:space="preserve"> tis. eur,</w:t>
      </w:r>
      <w:r w:rsidR="00824DDE" w:rsidRPr="00C66720">
        <w:rPr>
          <w:rFonts w:ascii="Times New Roman" w:hAnsi="Times New Roman"/>
          <w:szCs w:val="22"/>
          <w:lang w:eastAsia="sk-SK"/>
        </w:rPr>
        <w:t xml:space="preserve"> pričom medziročný prírastok bol úhrnom</w:t>
      </w:r>
      <w:r w:rsidR="00884615" w:rsidRPr="00C66720">
        <w:rPr>
          <w:rFonts w:ascii="Times New Roman" w:hAnsi="Times New Roman"/>
          <w:szCs w:val="22"/>
          <w:lang w:eastAsia="sk-SK"/>
        </w:rPr>
        <w:t xml:space="preserve"> </w:t>
      </w:r>
      <w:r w:rsidR="00497959" w:rsidRPr="00C66720">
        <w:rPr>
          <w:rFonts w:ascii="Times New Roman" w:hAnsi="Times New Roman"/>
          <w:szCs w:val="22"/>
          <w:lang w:eastAsia="sk-SK"/>
        </w:rPr>
        <w:t>1 641</w:t>
      </w:r>
      <w:r w:rsidR="00613118" w:rsidRPr="00C66720">
        <w:rPr>
          <w:rFonts w:ascii="Times New Roman" w:hAnsi="Times New Roman"/>
          <w:szCs w:val="22"/>
          <w:lang w:eastAsia="sk-SK"/>
        </w:rPr>
        <w:t xml:space="preserve"> tis. eur</w:t>
      </w:r>
      <w:r w:rsidR="00824DDE" w:rsidRPr="00C66720">
        <w:rPr>
          <w:rFonts w:ascii="Times New Roman" w:hAnsi="Times New Roman"/>
          <w:szCs w:val="22"/>
          <w:lang w:eastAsia="sk-SK"/>
        </w:rPr>
        <w:t xml:space="preserve">. </w:t>
      </w:r>
      <w:r w:rsidR="00107BDC" w:rsidRPr="00C66720">
        <w:rPr>
          <w:rFonts w:ascii="Times New Roman" w:hAnsi="Times New Roman"/>
          <w:szCs w:val="22"/>
          <w:lang w:eastAsia="sk-SK"/>
        </w:rPr>
        <w:t>Celkovo štátne podniky tvoria 2</w:t>
      </w:r>
      <w:r w:rsidR="002D26CB" w:rsidRPr="00C66720">
        <w:rPr>
          <w:rFonts w:ascii="Times New Roman" w:hAnsi="Times New Roman"/>
          <w:szCs w:val="22"/>
          <w:lang w:eastAsia="sk-SK"/>
        </w:rPr>
        <w:t>3</w:t>
      </w:r>
      <w:r w:rsidR="00107BDC" w:rsidRPr="00C66720">
        <w:rPr>
          <w:rFonts w:ascii="Times New Roman" w:hAnsi="Times New Roman"/>
          <w:szCs w:val="22"/>
          <w:lang w:eastAsia="sk-SK"/>
        </w:rPr>
        <w:t>,</w:t>
      </w:r>
      <w:r w:rsidR="00497959" w:rsidRPr="00C66720">
        <w:rPr>
          <w:rFonts w:ascii="Times New Roman" w:hAnsi="Times New Roman"/>
          <w:szCs w:val="22"/>
          <w:lang w:eastAsia="sk-SK"/>
        </w:rPr>
        <w:t>5</w:t>
      </w:r>
      <w:r w:rsidR="00613118" w:rsidRPr="00C66720">
        <w:rPr>
          <w:rFonts w:ascii="Times New Roman" w:hAnsi="Times New Roman"/>
          <w:szCs w:val="22"/>
          <w:lang w:eastAsia="sk-SK"/>
        </w:rPr>
        <w:t xml:space="preserve"> % hodnoty stavieb ústrednej správy. </w:t>
      </w:r>
      <w:r w:rsidR="00824DDE" w:rsidRPr="00AF1060">
        <w:rPr>
          <w:rFonts w:ascii="Times New Roman" w:hAnsi="Times New Roman"/>
          <w:szCs w:val="22"/>
          <w:u w:val="single"/>
          <w:lang w:eastAsia="sk-SK"/>
        </w:rPr>
        <w:t>Najvyššiu hodnotu vykazujú</w:t>
      </w:r>
      <w:r w:rsidRPr="00AF1060">
        <w:rPr>
          <w:rFonts w:ascii="Times New Roman" w:hAnsi="Times New Roman"/>
          <w:szCs w:val="22"/>
          <w:u w:val="single"/>
          <w:lang w:eastAsia="sk-SK"/>
        </w:rPr>
        <w:t xml:space="preserve"> Železnice SR</w:t>
      </w:r>
      <w:r w:rsidRPr="00C66720">
        <w:rPr>
          <w:rFonts w:ascii="Times New Roman" w:hAnsi="Times New Roman"/>
          <w:szCs w:val="22"/>
          <w:lang w:eastAsia="sk-SK"/>
        </w:rPr>
        <w:t xml:space="preserve"> (</w:t>
      </w:r>
      <w:r w:rsidR="00346AF4" w:rsidRPr="00C66720">
        <w:rPr>
          <w:rFonts w:ascii="Times New Roman" w:hAnsi="Times New Roman"/>
          <w:szCs w:val="22"/>
          <w:lang w:eastAsia="sk-SK"/>
        </w:rPr>
        <w:t>2</w:t>
      </w:r>
      <w:r w:rsidR="00717C96" w:rsidRPr="00C66720">
        <w:rPr>
          <w:rFonts w:ascii="Times New Roman" w:hAnsi="Times New Roman"/>
          <w:szCs w:val="22"/>
          <w:lang w:eastAsia="sk-SK"/>
        </w:rPr>
        <w:t> </w:t>
      </w:r>
      <w:r w:rsidR="00346AF4" w:rsidRPr="00C66720">
        <w:rPr>
          <w:rFonts w:ascii="Times New Roman" w:hAnsi="Times New Roman"/>
          <w:szCs w:val="22"/>
          <w:lang w:eastAsia="sk-SK"/>
        </w:rPr>
        <w:t>3</w:t>
      </w:r>
      <w:r w:rsidR="00717C96" w:rsidRPr="00C66720">
        <w:rPr>
          <w:rFonts w:ascii="Times New Roman" w:hAnsi="Times New Roman"/>
          <w:szCs w:val="22"/>
          <w:lang w:eastAsia="sk-SK"/>
        </w:rPr>
        <w:t>93 776</w:t>
      </w:r>
      <w:r w:rsidRPr="00C66720">
        <w:rPr>
          <w:rFonts w:ascii="Times New Roman" w:hAnsi="Times New Roman"/>
          <w:szCs w:val="22"/>
          <w:lang w:eastAsia="sk-SK"/>
        </w:rPr>
        <w:t xml:space="preserve"> tis. eur)</w:t>
      </w:r>
      <w:r w:rsidR="009A6686" w:rsidRPr="00C66720">
        <w:rPr>
          <w:rFonts w:ascii="Times New Roman" w:hAnsi="Times New Roman"/>
          <w:szCs w:val="22"/>
          <w:lang w:eastAsia="sk-SK"/>
        </w:rPr>
        <w:t xml:space="preserve"> v podobe železničnej infraštruktúry</w:t>
      </w:r>
      <w:r w:rsidR="00E0690F" w:rsidRPr="00C66720">
        <w:rPr>
          <w:rFonts w:ascii="Times New Roman" w:hAnsi="Times New Roman"/>
          <w:szCs w:val="22"/>
          <w:lang w:eastAsia="sk-SK"/>
        </w:rPr>
        <w:t xml:space="preserve"> </w:t>
      </w:r>
      <w:r w:rsidR="009A6686" w:rsidRPr="00C66720">
        <w:rPr>
          <w:rFonts w:ascii="Times New Roman" w:hAnsi="Times New Roman"/>
          <w:szCs w:val="22"/>
          <w:lang w:eastAsia="sk-SK"/>
        </w:rPr>
        <w:t xml:space="preserve">(budovy, železničný zvršok a spodok, mosty, tunely a iné) </w:t>
      </w:r>
      <w:r w:rsidR="00107BDC" w:rsidRPr="00C66720">
        <w:rPr>
          <w:rFonts w:ascii="Times New Roman" w:hAnsi="Times New Roman"/>
          <w:szCs w:val="22"/>
          <w:lang w:eastAsia="sk-SK"/>
        </w:rPr>
        <w:t>s najvyšším medziročným prírastkom hodnoty stavieb</w:t>
      </w:r>
      <w:r w:rsidR="00380F3F" w:rsidRPr="00C66720">
        <w:rPr>
          <w:rFonts w:ascii="Times New Roman" w:hAnsi="Times New Roman"/>
          <w:szCs w:val="22"/>
          <w:lang w:eastAsia="sk-SK"/>
        </w:rPr>
        <w:t xml:space="preserve"> štátnych podnikov</w:t>
      </w:r>
      <w:r w:rsidR="00E0690F" w:rsidRPr="00C66720">
        <w:rPr>
          <w:rFonts w:ascii="Times New Roman" w:hAnsi="Times New Roman"/>
          <w:szCs w:val="22"/>
          <w:lang w:eastAsia="sk-SK"/>
        </w:rPr>
        <w:t xml:space="preserve"> </w:t>
      </w:r>
      <w:r w:rsidR="00107BDC" w:rsidRPr="00C66720">
        <w:rPr>
          <w:rFonts w:ascii="Times New Roman" w:hAnsi="Times New Roman"/>
          <w:szCs w:val="22"/>
          <w:lang w:eastAsia="sk-SK"/>
        </w:rPr>
        <w:t xml:space="preserve">o </w:t>
      </w:r>
      <w:r w:rsidR="00717C96" w:rsidRPr="00C66720">
        <w:rPr>
          <w:rFonts w:ascii="Times New Roman" w:hAnsi="Times New Roman"/>
          <w:szCs w:val="22"/>
          <w:lang w:eastAsia="sk-SK"/>
        </w:rPr>
        <w:t>24 511</w:t>
      </w:r>
      <w:r w:rsidR="00E0690F" w:rsidRPr="00C66720">
        <w:rPr>
          <w:rFonts w:ascii="Times New Roman" w:hAnsi="Times New Roman"/>
          <w:szCs w:val="22"/>
          <w:lang w:eastAsia="sk-SK"/>
        </w:rPr>
        <w:t xml:space="preserve"> tis. eur</w:t>
      </w:r>
      <w:r w:rsidR="009A6686" w:rsidRPr="00C66720">
        <w:rPr>
          <w:rFonts w:ascii="Times New Roman" w:hAnsi="Times New Roman"/>
          <w:szCs w:val="22"/>
          <w:lang w:eastAsia="sk-SK"/>
        </w:rPr>
        <w:t xml:space="preserve">. </w:t>
      </w:r>
      <w:r w:rsidR="00982E47" w:rsidRPr="00C66720">
        <w:rPr>
          <w:rFonts w:ascii="Times New Roman" w:hAnsi="Times New Roman"/>
          <w:szCs w:val="22"/>
          <w:lang w:eastAsia="sk-SK"/>
        </w:rPr>
        <w:t xml:space="preserve">Najvyššiu netto hodnotu predstavujú modernizované úseky železničnej infraštruktúry na úsekoch Nové Mesto nad Váhom – Púchov </w:t>
      </w:r>
      <w:r w:rsidR="00D60114">
        <w:rPr>
          <w:rFonts w:ascii="Times New Roman" w:hAnsi="Times New Roman"/>
          <w:szCs w:val="22"/>
          <w:lang w:eastAsia="sk-SK"/>
        </w:rPr>
        <w:br/>
      </w:r>
      <w:r w:rsidR="00982E47" w:rsidRPr="00C66720">
        <w:rPr>
          <w:rFonts w:ascii="Times New Roman" w:hAnsi="Times New Roman"/>
          <w:szCs w:val="22"/>
          <w:lang w:eastAsia="sk-SK"/>
        </w:rPr>
        <w:t xml:space="preserve">(531 533 tis. eur), Púchov – Žilina (345 247 tis. eur), Trnava – Nové Mesto nad Váhom </w:t>
      </w:r>
      <w:r w:rsidR="001D32E7" w:rsidRPr="00C66720">
        <w:rPr>
          <w:rFonts w:ascii="Times New Roman" w:hAnsi="Times New Roman"/>
          <w:szCs w:val="22"/>
          <w:lang w:eastAsia="sk-SK"/>
        </w:rPr>
        <w:br/>
      </w:r>
      <w:r w:rsidR="00982E47" w:rsidRPr="00C66720">
        <w:rPr>
          <w:rFonts w:ascii="Times New Roman" w:hAnsi="Times New Roman"/>
          <w:szCs w:val="22"/>
          <w:lang w:eastAsia="sk-SK"/>
        </w:rPr>
        <w:t xml:space="preserve">(168 874 tis. eur) a Bratislava Rača – Trnava (145 951 tis. eur). </w:t>
      </w:r>
      <w:r w:rsidR="00FC03CA" w:rsidRPr="00C66720">
        <w:rPr>
          <w:rFonts w:ascii="Times New Roman" w:hAnsi="Times New Roman"/>
          <w:szCs w:val="22"/>
          <w:lang w:eastAsia="sk-SK"/>
        </w:rPr>
        <w:t xml:space="preserve">Medziročný prírastok bol tvorený jednak prírastkom majetku obstaraného v roku 2022 </w:t>
      </w:r>
      <w:r w:rsidR="008F11ED">
        <w:rPr>
          <w:rFonts w:ascii="Times New Roman" w:hAnsi="Times New Roman"/>
          <w:szCs w:val="22"/>
          <w:lang w:eastAsia="sk-SK"/>
        </w:rPr>
        <w:t xml:space="preserve">v sume 21 506 tis. eur </w:t>
      </w:r>
      <w:r w:rsidR="00AF1060">
        <w:rPr>
          <w:rFonts w:ascii="Times New Roman" w:hAnsi="Times New Roman"/>
          <w:szCs w:val="22"/>
          <w:lang w:eastAsia="sk-SK"/>
        </w:rPr>
        <w:t>t</w:t>
      </w:r>
      <w:r w:rsidR="00FC03CA" w:rsidRPr="00C66720">
        <w:rPr>
          <w:rFonts w:ascii="Times New Roman" w:hAnsi="Times New Roman"/>
          <w:szCs w:val="22"/>
          <w:lang w:eastAsia="sk-SK"/>
        </w:rPr>
        <w:t xml:space="preserve">ak aj zaradením majetku </w:t>
      </w:r>
      <w:r w:rsidR="00FC03CA" w:rsidRPr="00C66720">
        <w:rPr>
          <w:rFonts w:ascii="Times New Roman" w:hAnsi="Times New Roman"/>
          <w:szCs w:val="22"/>
          <w:lang w:eastAsia="sk-SK"/>
        </w:rPr>
        <w:lastRenderedPageBreak/>
        <w:t xml:space="preserve">z predchádzajúceho účtovného obdobia po jeho dokončení v sume </w:t>
      </w:r>
      <w:r w:rsidR="008F11ED">
        <w:rPr>
          <w:rFonts w:ascii="Times New Roman" w:hAnsi="Times New Roman"/>
          <w:szCs w:val="22"/>
          <w:lang w:eastAsia="sk-SK"/>
        </w:rPr>
        <w:t>106 270</w:t>
      </w:r>
      <w:r w:rsidR="00FC03CA" w:rsidRPr="00C66720">
        <w:rPr>
          <w:rFonts w:ascii="Times New Roman" w:hAnsi="Times New Roman"/>
          <w:szCs w:val="22"/>
          <w:lang w:eastAsia="sk-SK"/>
        </w:rPr>
        <w:t xml:space="preserve"> tis. eur</w:t>
      </w:r>
      <w:r w:rsidR="00BE6C0D">
        <w:rPr>
          <w:rFonts w:ascii="Times New Roman" w:hAnsi="Times New Roman"/>
          <w:szCs w:val="22"/>
          <w:lang w:eastAsia="sk-SK"/>
        </w:rPr>
        <w:t xml:space="preserve">. </w:t>
      </w:r>
      <w:r w:rsidR="00FC03CA" w:rsidRPr="00C66720">
        <w:rPr>
          <w:rFonts w:ascii="Times New Roman" w:hAnsi="Times New Roman"/>
          <w:szCs w:val="22"/>
          <w:lang w:eastAsia="sk-SK"/>
        </w:rPr>
        <w:t xml:space="preserve"> </w:t>
      </w:r>
      <w:r w:rsidR="008F11ED">
        <w:rPr>
          <w:rFonts w:ascii="Times New Roman" w:hAnsi="Times New Roman"/>
          <w:szCs w:val="22"/>
          <w:lang w:eastAsia="sk-SK"/>
        </w:rPr>
        <w:t xml:space="preserve">Ide </w:t>
      </w:r>
      <w:r w:rsidR="00A722B6">
        <w:rPr>
          <w:rFonts w:ascii="Times New Roman" w:hAnsi="Times New Roman"/>
          <w:szCs w:val="22"/>
          <w:lang w:eastAsia="sk-SK"/>
        </w:rPr>
        <w:t xml:space="preserve">najmä </w:t>
      </w:r>
      <w:r w:rsidR="008F11ED">
        <w:rPr>
          <w:rFonts w:ascii="Times New Roman" w:hAnsi="Times New Roman"/>
          <w:szCs w:val="22"/>
          <w:lang w:eastAsia="sk-SK"/>
        </w:rPr>
        <w:t>o</w:t>
      </w:r>
      <w:r w:rsidR="00FC03CA" w:rsidRPr="00C66720">
        <w:rPr>
          <w:rFonts w:ascii="Times New Roman" w:hAnsi="Times New Roman"/>
          <w:szCs w:val="22"/>
          <w:lang w:eastAsia="sk-SK"/>
        </w:rPr>
        <w:t xml:space="preserve"> zaradenie modernizácie trate</w:t>
      </w:r>
      <w:r w:rsidR="008F11ED">
        <w:rPr>
          <w:rFonts w:ascii="Times New Roman" w:hAnsi="Times New Roman"/>
          <w:szCs w:val="22"/>
          <w:lang w:eastAsia="sk-SK"/>
        </w:rPr>
        <w:t xml:space="preserve"> </w:t>
      </w:r>
      <w:r w:rsidR="00FC03CA" w:rsidRPr="00C66720">
        <w:rPr>
          <w:rFonts w:ascii="Times New Roman" w:hAnsi="Times New Roman"/>
          <w:szCs w:val="22"/>
          <w:lang w:eastAsia="sk-SK"/>
        </w:rPr>
        <w:t>Púchov – Žilina 67 908 tis. eur, rekonštrukcie ozubnice Štrba – Štrbské pleso 19 923 tis. eur, dostavby zriaďovacej stanice Žilina</w:t>
      </w:r>
      <w:r w:rsidR="00AF1060">
        <w:rPr>
          <w:rFonts w:ascii="Times New Roman" w:hAnsi="Times New Roman"/>
          <w:szCs w:val="22"/>
          <w:lang w:eastAsia="sk-SK"/>
        </w:rPr>
        <w:t>-</w:t>
      </w:r>
      <w:r w:rsidR="00FC03CA" w:rsidRPr="00C66720">
        <w:rPr>
          <w:rFonts w:ascii="Times New Roman" w:hAnsi="Times New Roman"/>
          <w:szCs w:val="22"/>
          <w:lang w:eastAsia="sk-SK"/>
        </w:rPr>
        <w:t xml:space="preserve">Teplička 12 567 tis. eur, modernizácie trate Liptovský Mikuláš – Poprad 8 844 </w:t>
      </w:r>
      <w:r w:rsidR="00A316A5" w:rsidRPr="00C66720">
        <w:rPr>
          <w:rFonts w:ascii="Times New Roman" w:hAnsi="Times New Roman"/>
          <w:szCs w:val="22"/>
          <w:lang w:eastAsia="sk-SK"/>
        </w:rPr>
        <w:t xml:space="preserve">tis. eur. </w:t>
      </w:r>
    </w:p>
    <w:p w14:paraId="1E781377" w14:textId="33372421" w:rsidR="00A337AC" w:rsidRPr="00C66720" w:rsidRDefault="00A337AC" w:rsidP="00014B3A">
      <w:pPr>
        <w:spacing w:before="120" w:after="120" w:line="240" w:lineRule="auto"/>
        <w:jc w:val="both"/>
        <w:rPr>
          <w:rFonts w:ascii="Times New Roman" w:hAnsi="Times New Roman"/>
          <w:szCs w:val="22"/>
          <w:lang w:eastAsia="sk-SK"/>
        </w:rPr>
      </w:pPr>
      <w:r w:rsidRPr="00AF1060">
        <w:rPr>
          <w:rFonts w:ascii="Times New Roman" w:hAnsi="Times New Roman"/>
          <w:szCs w:val="22"/>
          <w:u w:val="single"/>
          <w:lang w:eastAsia="sk-SK"/>
        </w:rPr>
        <w:t>Slovenský vodohospodársky podnik, š.</w:t>
      </w:r>
      <w:r w:rsidR="009A66B7" w:rsidRPr="00AF1060">
        <w:rPr>
          <w:rFonts w:ascii="Times New Roman" w:hAnsi="Times New Roman"/>
          <w:szCs w:val="22"/>
          <w:u w:val="single"/>
          <w:lang w:eastAsia="sk-SK"/>
        </w:rPr>
        <w:t xml:space="preserve"> </w:t>
      </w:r>
      <w:r w:rsidRPr="00AF1060">
        <w:rPr>
          <w:rFonts w:ascii="Times New Roman" w:hAnsi="Times New Roman"/>
          <w:szCs w:val="22"/>
          <w:u w:val="single"/>
          <w:lang w:eastAsia="sk-SK"/>
        </w:rPr>
        <w:t>p.</w:t>
      </w:r>
      <w:r w:rsidR="00167A03" w:rsidRPr="00C66720">
        <w:rPr>
          <w:rFonts w:ascii="Times New Roman" w:hAnsi="Times New Roman"/>
          <w:szCs w:val="22"/>
          <w:lang w:eastAsia="sk-SK"/>
        </w:rPr>
        <w:t xml:space="preserve"> vykázal</w:t>
      </w:r>
      <w:r w:rsidRPr="00C66720">
        <w:rPr>
          <w:rFonts w:ascii="Times New Roman" w:hAnsi="Times New Roman"/>
          <w:szCs w:val="22"/>
          <w:lang w:eastAsia="sk-SK"/>
        </w:rPr>
        <w:t xml:space="preserve"> </w:t>
      </w:r>
      <w:r w:rsidR="00DA7B4B" w:rsidRPr="00C66720">
        <w:rPr>
          <w:rFonts w:ascii="Times New Roman" w:hAnsi="Times New Roman"/>
          <w:szCs w:val="22"/>
          <w:lang w:eastAsia="sk-SK"/>
        </w:rPr>
        <w:t xml:space="preserve">stavby v hodnote </w:t>
      </w:r>
      <w:r w:rsidR="00CF0603" w:rsidRPr="00C66720">
        <w:rPr>
          <w:rFonts w:ascii="Times New Roman" w:hAnsi="Times New Roman"/>
          <w:szCs w:val="22"/>
          <w:lang w:eastAsia="sk-SK"/>
        </w:rPr>
        <w:t>1 021 605</w:t>
      </w:r>
      <w:r w:rsidRPr="00C66720">
        <w:rPr>
          <w:rFonts w:ascii="Times New Roman" w:hAnsi="Times New Roman"/>
          <w:szCs w:val="22"/>
          <w:lang w:eastAsia="sk-SK"/>
        </w:rPr>
        <w:t xml:space="preserve"> tis. eur</w:t>
      </w:r>
      <w:r w:rsidR="006166D6" w:rsidRPr="00C66720">
        <w:rPr>
          <w:rFonts w:ascii="Times New Roman" w:hAnsi="Times New Roman"/>
          <w:szCs w:val="22"/>
          <w:lang w:eastAsia="sk-SK"/>
        </w:rPr>
        <w:t xml:space="preserve"> (prívodn</w:t>
      </w:r>
      <w:r w:rsidR="00F23125" w:rsidRPr="00C66720">
        <w:rPr>
          <w:rFonts w:ascii="Times New Roman" w:hAnsi="Times New Roman"/>
          <w:szCs w:val="22"/>
          <w:lang w:eastAsia="sk-SK"/>
        </w:rPr>
        <w:t>é kanály</w:t>
      </w:r>
      <w:r w:rsidR="006166D6" w:rsidRPr="00C66720">
        <w:rPr>
          <w:rFonts w:ascii="Times New Roman" w:hAnsi="Times New Roman"/>
          <w:szCs w:val="22"/>
          <w:lang w:eastAsia="sk-SK"/>
        </w:rPr>
        <w:t>, vodné stavby a vodné nádrže, ochranné hrádze a podobne)</w:t>
      </w:r>
      <w:r w:rsidRPr="00C66720">
        <w:rPr>
          <w:rFonts w:ascii="Times New Roman" w:hAnsi="Times New Roman"/>
          <w:szCs w:val="22"/>
          <w:lang w:eastAsia="sk-SK"/>
        </w:rPr>
        <w:t xml:space="preserve"> a Vodohospodárska výstavba, š.</w:t>
      </w:r>
      <w:r w:rsidR="009A66B7" w:rsidRPr="00C66720">
        <w:rPr>
          <w:rFonts w:ascii="Times New Roman" w:hAnsi="Times New Roman"/>
          <w:szCs w:val="22"/>
          <w:lang w:eastAsia="sk-SK"/>
        </w:rPr>
        <w:t xml:space="preserve"> </w:t>
      </w:r>
      <w:r w:rsidR="00DC5FD2" w:rsidRPr="00C66720">
        <w:rPr>
          <w:rFonts w:ascii="Times New Roman" w:hAnsi="Times New Roman"/>
          <w:szCs w:val="22"/>
          <w:lang w:eastAsia="sk-SK"/>
        </w:rPr>
        <w:t>p.</w:t>
      </w:r>
      <w:r w:rsidR="00DA7B4B" w:rsidRPr="00C66720">
        <w:rPr>
          <w:rFonts w:ascii="Times New Roman" w:hAnsi="Times New Roman"/>
          <w:szCs w:val="22"/>
          <w:lang w:eastAsia="sk-SK"/>
        </w:rPr>
        <w:t xml:space="preserve"> </w:t>
      </w:r>
      <w:r w:rsidR="00CF0002" w:rsidRPr="00C66720">
        <w:rPr>
          <w:rFonts w:ascii="Times New Roman" w:hAnsi="Times New Roman"/>
          <w:szCs w:val="22"/>
          <w:lang w:eastAsia="sk-SK"/>
        </w:rPr>
        <w:br/>
      </w:r>
      <w:r w:rsidR="00CF0603" w:rsidRPr="00C66720">
        <w:rPr>
          <w:rFonts w:ascii="Times New Roman" w:hAnsi="Times New Roman"/>
          <w:szCs w:val="22"/>
          <w:lang w:eastAsia="sk-SK"/>
        </w:rPr>
        <w:t>823 388</w:t>
      </w:r>
      <w:r w:rsidRPr="00C66720">
        <w:rPr>
          <w:rFonts w:ascii="Times New Roman" w:hAnsi="Times New Roman"/>
          <w:szCs w:val="22"/>
          <w:lang w:eastAsia="sk-SK"/>
        </w:rPr>
        <w:t xml:space="preserve"> tis. eur</w:t>
      </w:r>
      <w:r w:rsidR="00694356" w:rsidRPr="00C66720">
        <w:rPr>
          <w:rFonts w:ascii="Times New Roman" w:hAnsi="Times New Roman"/>
          <w:szCs w:val="22"/>
          <w:lang w:eastAsia="sk-SK"/>
        </w:rPr>
        <w:t xml:space="preserve"> (</w:t>
      </w:r>
      <w:r w:rsidR="00165916" w:rsidRPr="00C66720">
        <w:rPr>
          <w:rFonts w:ascii="Times New Roman" w:hAnsi="Times New Roman"/>
          <w:szCs w:val="22"/>
          <w:lang w:eastAsia="sk-SK"/>
        </w:rPr>
        <w:t xml:space="preserve">hydroenergetické diela ako </w:t>
      </w:r>
      <w:r w:rsidR="00694356" w:rsidRPr="00C66720">
        <w:rPr>
          <w:rFonts w:ascii="Times New Roman" w:hAnsi="Times New Roman"/>
          <w:szCs w:val="22"/>
          <w:lang w:eastAsia="sk-SK"/>
        </w:rPr>
        <w:t xml:space="preserve">napr. </w:t>
      </w:r>
      <w:r w:rsidR="0082352D" w:rsidRPr="00C66720">
        <w:rPr>
          <w:rFonts w:ascii="Times New Roman" w:hAnsi="Times New Roman"/>
          <w:szCs w:val="22"/>
          <w:lang w:eastAsia="sk-SK"/>
        </w:rPr>
        <w:t>vodné diel</w:t>
      </w:r>
      <w:r w:rsidR="00C46526" w:rsidRPr="00C66720">
        <w:rPr>
          <w:rFonts w:ascii="Times New Roman" w:hAnsi="Times New Roman"/>
          <w:szCs w:val="22"/>
          <w:lang w:eastAsia="sk-SK"/>
        </w:rPr>
        <w:t>a</w:t>
      </w:r>
      <w:r w:rsidR="0082352D" w:rsidRPr="00C66720">
        <w:rPr>
          <w:rFonts w:ascii="Times New Roman" w:hAnsi="Times New Roman"/>
          <w:szCs w:val="22"/>
          <w:lang w:eastAsia="sk-SK"/>
        </w:rPr>
        <w:t xml:space="preserve"> </w:t>
      </w:r>
      <w:r w:rsidR="00694356" w:rsidRPr="00C66720">
        <w:rPr>
          <w:rFonts w:ascii="Times New Roman" w:hAnsi="Times New Roman"/>
          <w:szCs w:val="22"/>
          <w:lang w:eastAsia="sk-SK"/>
        </w:rPr>
        <w:t>Gabčíkovo</w:t>
      </w:r>
      <w:r w:rsidR="002A250B" w:rsidRPr="00C66720">
        <w:rPr>
          <w:rFonts w:ascii="Times New Roman" w:hAnsi="Times New Roman"/>
          <w:szCs w:val="22"/>
          <w:lang w:eastAsia="sk-SK"/>
        </w:rPr>
        <w:t xml:space="preserve"> v hodnote </w:t>
      </w:r>
      <w:r w:rsidR="00FE3D81" w:rsidRPr="00C66720">
        <w:rPr>
          <w:rFonts w:ascii="Times New Roman" w:hAnsi="Times New Roman"/>
          <w:szCs w:val="22"/>
          <w:lang w:eastAsia="sk-SK"/>
        </w:rPr>
        <w:t>596 163</w:t>
      </w:r>
      <w:r w:rsidR="002A250B" w:rsidRPr="00C66720">
        <w:rPr>
          <w:rFonts w:ascii="Times New Roman" w:hAnsi="Times New Roman"/>
          <w:szCs w:val="22"/>
          <w:lang w:eastAsia="sk-SK"/>
        </w:rPr>
        <w:t xml:space="preserve"> tis. eur</w:t>
      </w:r>
      <w:r w:rsidR="0082352D" w:rsidRPr="00C66720">
        <w:rPr>
          <w:rFonts w:ascii="Times New Roman" w:hAnsi="Times New Roman"/>
          <w:szCs w:val="22"/>
          <w:lang w:eastAsia="sk-SK"/>
        </w:rPr>
        <w:t>, Žilina</w:t>
      </w:r>
      <w:r w:rsidR="002A250B" w:rsidRPr="00C66720">
        <w:rPr>
          <w:rFonts w:ascii="Times New Roman" w:hAnsi="Times New Roman"/>
          <w:szCs w:val="22"/>
          <w:lang w:eastAsia="sk-SK"/>
        </w:rPr>
        <w:t xml:space="preserve"> v hodnote </w:t>
      </w:r>
      <w:r w:rsidR="00FE3D81" w:rsidRPr="00C66720">
        <w:rPr>
          <w:rFonts w:ascii="Times New Roman" w:hAnsi="Times New Roman"/>
          <w:szCs w:val="22"/>
          <w:lang w:eastAsia="sk-SK"/>
        </w:rPr>
        <w:t>213 765</w:t>
      </w:r>
      <w:r w:rsidR="002A250B" w:rsidRPr="00C66720">
        <w:rPr>
          <w:rFonts w:ascii="Times New Roman" w:hAnsi="Times New Roman"/>
          <w:szCs w:val="22"/>
          <w:lang w:eastAsia="sk-SK"/>
        </w:rPr>
        <w:t xml:space="preserve"> tis. eur</w:t>
      </w:r>
      <w:r w:rsidR="0082352D" w:rsidRPr="00C66720">
        <w:rPr>
          <w:rFonts w:ascii="Times New Roman" w:hAnsi="Times New Roman"/>
          <w:szCs w:val="22"/>
          <w:lang w:eastAsia="sk-SK"/>
        </w:rPr>
        <w:t xml:space="preserve">, </w:t>
      </w:r>
      <w:r w:rsidR="00F23125" w:rsidRPr="00C66720">
        <w:rPr>
          <w:rFonts w:ascii="Times New Roman" w:hAnsi="Times New Roman"/>
          <w:szCs w:val="22"/>
          <w:lang w:eastAsia="sk-SK"/>
        </w:rPr>
        <w:t xml:space="preserve">administratívne budovy v hodnote </w:t>
      </w:r>
      <w:r w:rsidR="00D8067A" w:rsidRPr="00C66720">
        <w:rPr>
          <w:rFonts w:ascii="Times New Roman" w:hAnsi="Times New Roman"/>
          <w:szCs w:val="22"/>
          <w:lang w:eastAsia="sk-SK"/>
        </w:rPr>
        <w:t>5 940</w:t>
      </w:r>
      <w:r w:rsidR="00F23125" w:rsidRPr="00C66720">
        <w:rPr>
          <w:rFonts w:ascii="Times New Roman" w:hAnsi="Times New Roman"/>
          <w:szCs w:val="22"/>
          <w:lang w:eastAsia="sk-SK"/>
        </w:rPr>
        <w:t xml:space="preserve"> tis. eur a ostatné objekty v hodnote </w:t>
      </w:r>
      <w:r w:rsidR="00D8067A" w:rsidRPr="00C66720">
        <w:rPr>
          <w:rFonts w:ascii="Times New Roman" w:hAnsi="Times New Roman"/>
          <w:szCs w:val="22"/>
          <w:lang w:eastAsia="sk-SK"/>
        </w:rPr>
        <w:t>7 520</w:t>
      </w:r>
      <w:r w:rsidR="00F23125" w:rsidRPr="00C66720">
        <w:rPr>
          <w:rFonts w:ascii="Times New Roman" w:hAnsi="Times New Roman"/>
          <w:szCs w:val="22"/>
          <w:lang w:eastAsia="sk-SK"/>
        </w:rPr>
        <w:t xml:space="preserve"> tis. eur</w:t>
      </w:r>
      <w:r w:rsidR="00694356" w:rsidRPr="00C66720">
        <w:rPr>
          <w:rFonts w:ascii="Times New Roman" w:hAnsi="Times New Roman"/>
          <w:szCs w:val="22"/>
          <w:lang w:eastAsia="sk-SK"/>
        </w:rPr>
        <w:t>)</w:t>
      </w:r>
      <w:r w:rsidR="00F23125" w:rsidRPr="00C66720">
        <w:rPr>
          <w:rFonts w:ascii="Times New Roman" w:hAnsi="Times New Roman"/>
          <w:szCs w:val="22"/>
          <w:lang w:eastAsia="sk-SK"/>
        </w:rPr>
        <w:t xml:space="preserve">. </w:t>
      </w:r>
    </w:p>
    <w:p w14:paraId="7B8F7E7A" w14:textId="435D4C30" w:rsidR="00242A3F" w:rsidRPr="00C66720" w:rsidRDefault="009E5E17" w:rsidP="00014B3A">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Zo štátnych rozpočtových a príspevkových organizácií vykazuje najvyššiu hodnotu </w:t>
      </w:r>
      <w:r w:rsidR="000634F7" w:rsidRPr="00AF1060">
        <w:rPr>
          <w:rFonts w:ascii="Times New Roman" w:hAnsi="Times New Roman"/>
          <w:szCs w:val="22"/>
          <w:u w:val="single"/>
          <w:lang w:eastAsia="sk-SK"/>
        </w:rPr>
        <w:t>Ministerstvo dopravy SR</w:t>
      </w:r>
      <w:r w:rsidR="000634F7" w:rsidRPr="00C66720">
        <w:rPr>
          <w:rFonts w:ascii="Times New Roman" w:hAnsi="Times New Roman"/>
          <w:szCs w:val="22"/>
          <w:lang w:eastAsia="sk-SK"/>
        </w:rPr>
        <w:t xml:space="preserve"> (</w:t>
      </w:r>
      <w:r w:rsidR="00BF404F" w:rsidRPr="00C66720">
        <w:rPr>
          <w:rFonts w:ascii="Times New Roman" w:hAnsi="Times New Roman"/>
          <w:szCs w:val="22"/>
          <w:lang w:eastAsia="sk-SK"/>
        </w:rPr>
        <w:t>2 </w:t>
      </w:r>
      <w:r w:rsidR="0035749F" w:rsidRPr="00C66720">
        <w:rPr>
          <w:rFonts w:ascii="Times New Roman" w:hAnsi="Times New Roman"/>
          <w:szCs w:val="22"/>
          <w:lang w:eastAsia="sk-SK"/>
        </w:rPr>
        <w:t>143 293</w:t>
      </w:r>
      <w:r w:rsidR="000634F7" w:rsidRPr="00C66720">
        <w:rPr>
          <w:rFonts w:ascii="Times New Roman" w:hAnsi="Times New Roman"/>
          <w:szCs w:val="22"/>
          <w:lang w:eastAsia="sk-SK"/>
        </w:rPr>
        <w:t xml:space="preserve"> tis. eur), ktoré medziročne </w:t>
      </w:r>
      <w:r w:rsidR="0035749F" w:rsidRPr="00C66720">
        <w:rPr>
          <w:rFonts w:ascii="Times New Roman" w:hAnsi="Times New Roman"/>
          <w:szCs w:val="22"/>
          <w:lang w:eastAsia="sk-SK"/>
        </w:rPr>
        <w:t>znížilo</w:t>
      </w:r>
      <w:r w:rsidR="000634F7" w:rsidRPr="00C66720">
        <w:rPr>
          <w:rFonts w:ascii="Times New Roman" w:hAnsi="Times New Roman"/>
          <w:szCs w:val="22"/>
          <w:lang w:eastAsia="sk-SK"/>
        </w:rPr>
        <w:t xml:space="preserve"> hodnotu stavieb úhrnom </w:t>
      </w:r>
      <w:r w:rsidR="00341523" w:rsidRPr="00C66720">
        <w:rPr>
          <w:rFonts w:ascii="Times New Roman" w:hAnsi="Times New Roman"/>
          <w:szCs w:val="22"/>
          <w:lang w:eastAsia="sk-SK"/>
        </w:rPr>
        <w:br/>
      </w:r>
      <w:r w:rsidR="000634F7" w:rsidRPr="00C66720">
        <w:rPr>
          <w:rFonts w:ascii="Times New Roman" w:hAnsi="Times New Roman"/>
          <w:szCs w:val="22"/>
          <w:lang w:eastAsia="sk-SK"/>
        </w:rPr>
        <w:t>o</w:t>
      </w:r>
      <w:r w:rsidR="00BF404F" w:rsidRPr="00C66720">
        <w:rPr>
          <w:rFonts w:ascii="Times New Roman" w:hAnsi="Times New Roman"/>
          <w:szCs w:val="22"/>
          <w:lang w:eastAsia="sk-SK"/>
        </w:rPr>
        <w:t> </w:t>
      </w:r>
      <w:r w:rsidR="0035749F" w:rsidRPr="00C66720">
        <w:rPr>
          <w:rFonts w:ascii="Times New Roman" w:hAnsi="Times New Roman"/>
          <w:szCs w:val="22"/>
          <w:lang w:eastAsia="sk-SK"/>
        </w:rPr>
        <w:t>45 512</w:t>
      </w:r>
      <w:r w:rsidR="000634F7" w:rsidRPr="00C66720">
        <w:rPr>
          <w:rFonts w:ascii="Times New Roman" w:hAnsi="Times New Roman"/>
          <w:szCs w:val="22"/>
          <w:lang w:eastAsia="sk-SK"/>
        </w:rPr>
        <w:t xml:space="preserve"> tis. eur. </w:t>
      </w:r>
      <w:r w:rsidR="009D1426" w:rsidRPr="00C66720">
        <w:rPr>
          <w:rFonts w:ascii="Times New Roman" w:hAnsi="Times New Roman"/>
          <w:szCs w:val="22"/>
          <w:lang w:eastAsia="sk-SK"/>
        </w:rPr>
        <w:t xml:space="preserve">V najväčšej miere ide o cestnú infraštruktúru v majetku štátu (cestná komunikácia a rýchlostné cesty) vrátane jej vybavenosti (preložky vedení, káblové vedenia, dažďové kanalizácie, oporné múry, protihlukové steny, mosty, križovatky a pod.). </w:t>
      </w:r>
      <w:r w:rsidR="00242A3F" w:rsidRPr="00C66720">
        <w:rPr>
          <w:rFonts w:ascii="Times New Roman" w:hAnsi="Times New Roman"/>
          <w:szCs w:val="22"/>
          <w:lang w:eastAsia="sk-SK"/>
        </w:rPr>
        <w:t xml:space="preserve">Medziročný úbytok v sume 45 512 tis. eur bol spôsobený na </w:t>
      </w:r>
      <w:r w:rsidR="00C078F0" w:rsidRPr="00C66720">
        <w:rPr>
          <w:rFonts w:ascii="Times New Roman" w:hAnsi="Times New Roman"/>
          <w:szCs w:val="22"/>
          <w:lang w:eastAsia="sk-SK"/>
        </w:rPr>
        <w:t>jednej strane zaradením majetku do používania v celkovej hodnote 69 826 tis. eur (technické zhodnotenie budov, časti PPP projektu na úseku D4</w:t>
      </w:r>
      <w:r w:rsidR="00AF1060">
        <w:rPr>
          <w:rFonts w:ascii="Times New Roman" w:hAnsi="Times New Roman"/>
          <w:szCs w:val="22"/>
          <w:lang w:eastAsia="sk-SK"/>
        </w:rPr>
        <w:t>/</w:t>
      </w:r>
      <w:r w:rsidR="00C078F0" w:rsidRPr="00C66720">
        <w:rPr>
          <w:rFonts w:ascii="Times New Roman" w:hAnsi="Times New Roman"/>
          <w:szCs w:val="22"/>
          <w:lang w:eastAsia="sk-SK"/>
        </w:rPr>
        <w:t>R7 a odpočívadla Pohranice) a na strane druhej vyradením majetku na základe zmlúv o bezodplatnom odovzdaní a prevzatí objektov vyvolaných úprav do majetku mesta Nitra, Nitrianskeho samosprávneho kraja a L</w:t>
      </w:r>
      <w:r w:rsidR="00280775">
        <w:rPr>
          <w:rFonts w:ascii="Times New Roman" w:hAnsi="Times New Roman"/>
          <w:szCs w:val="22"/>
          <w:lang w:eastAsia="sk-SK"/>
        </w:rPr>
        <w:t>ia</w:t>
      </w:r>
      <w:r w:rsidR="00C078F0" w:rsidRPr="00C66720">
        <w:rPr>
          <w:rFonts w:ascii="Times New Roman" w:hAnsi="Times New Roman"/>
          <w:szCs w:val="22"/>
          <w:lang w:eastAsia="sk-SK"/>
        </w:rPr>
        <w:t>harenského podniku Nitra, a.s. (24 341 tis. eur).</w:t>
      </w:r>
    </w:p>
    <w:p w14:paraId="467FB8E2" w14:textId="30D3DE0F" w:rsidR="00472B2E" w:rsidRPr="00C66720" w:rsidRDefault="00C75D9F" w:rsidP="00014B3A">
      <w:pPr>
        <w:spacing w:before="120" w:after="120" w:line="240" w:lineRule="auto"/>
        <w:jc w:val="both"/>
        <w:rPr>
          <w:rFonts w:ascii="Times New Roman" w:hAnsi="Times New Roman"/>
          <w:szCs w:val="22"/>
          <w:lang w:eastAsia="sk-SK"/>
        </w:rPr>
      </w:pPr>
      <w:r w:rsidRPr="00AF1060">
        <w:rPr>
          <w:rFonts w:ascii="Times New Roman" w:hAnsi="Times New Roman"/>
          <w:szCs w:val="22"/>
          <w:u w:val="single"/>
          <w:lang w:eastAsia="sk-SK"/>
        </w:rPr>
        <w:t>Slovenská správa ciest</w:t>
      </w:r>
      <w:r w:rsidRPr="00C66720">
        <w:rPr>
          <w:rFonts w:ascii="Times New Roman" w:hAnsi="Times New Roman"/>
          <w:szCs w:val="22"/>
          <w:lang w:eastAsia="sk-SK"/>
        </w:rPr>
        <w:t xml:space="preserve"> </w:t>
      </w:r>
      <w:r w:rsidR="00414FCE" w:rsidRPr="00C66720">
        <w:rPr>
          <w:rFonts w:ascii="Times New Roman" w:hAnsi="Times New Roman"/>
          <w:szCs w:val="22"/>
          <w:lang w:eastAsia="sk-SK"/>
        </w:rPr>
        <w:t xml:space="preserve">vykazuje v rámci stavieb v hodnote </w:t>
      </w:r>
      <w:r w:rsidR="00F551EA" w:rsidRPr="00C66720">
        <w:rPr>
          <w:rFonts w:ascii="Times New Roman" w:hAnsi="Times New Roman"/>
          <w:szCs w:val="22"/>
          <w:lang w:eastAsia="sk-SK"/>
        </w:rPr>
        <w:t>1 386 875</w:t>
      </w:r>
      <w:r w:rsidR="00414FCE" w:rsidRPr="00C66720">
        <w:rPr>
          <w:rFonts w:ascii="Times New Roman" w:hAnsi="Times New Roman"/>
          <w:szCs w:val="22"/>
          <w:lang w:eastAsia="sk-SK"/>
        </w:rPr>
        <w:t xml:space="preserve"> tis. eur najmä cesty I. triedy, mosty I. triedy, bezpečnostné zariadenia I. triedy a budovy a haly.</w:t>
      </w:r>
      <w:r w:rsidR="005F0107" w:rsidRPr="00C66720">
        <w:rPr>
          <w:rFonts w:ascii="Times New Roman" w:hAnsi="Times New Roman"/>
          <w:szCs w:val="22"/>
          <w:lang w:eastAsia="sk-SK"/>
        </w:rPr>
        <w:t xml:space="preserve"> M</w:t>
      </w:r>
      <w:r w:rsidR="0009343D" w:rsidRPr="00C66720">
        <w:rPr>
          <w:rFonts w:ascii="Times New Roman" w:hAnsi="Times New Roman"/>
          <w:szCs w:val="22"/>
          <w:lang w:eastAsia="sk-SK"/>
        </w:rPr>
        <w:t xml:space="preserve">edziročne </w:t>
      </w:r>
      <w:r w:rsidR="00F551EA" w:rsidRPr="00C66720">
        <w:rPr>
          <w:rFonts w:ascii="Times New Roman" w:hAnsi="Times New Roman"/>
          <w:szCs w:val="22"/>
          <w:lang w:eastAsia="sk-SK"/>
        </w:rPr>
        <w:t>zvýšila</w:t>
      </w:r>
      <w:r w:rsidR="0009343D" w:rsidRPr="00C66720">
        <w:rPr>
          <w:rFonts w:ascii="Times New Roman" w:hAnsi="Times New Roman"/>
          <w:szCs w:val="22"/>
          <w:lang w:eastAsia="sk-SK"/>
        </w:rPr>
        <w:t xml:space="preserve"> hodnotu stavieb úhrnom o</w:t>
      </w:r>
      <w:r w:rsidR="00F551EA" w:rsidRPr="00C66720">
        <w:rPr>
          <w:rFonts w:ascii="Times New Roman" w:hAnsi="Times New Roman"/>
          <w:szCs w:val="22"/>
          <w:lang w:eastAsia="sk-SK"/>
        </w:rPr>
        <w:t> 68 903</w:t>
      </w:r>
      <w:r w:rsidR="000011A1" w:rsidRPr="00C66720">
        <w:rPr>
          <w:rFonts w:ascii="Times New Roman" w:hAnsi="Times New Roman"/>
          <w:szCs w:val="22"/>
          <w:lang w:eastAsia="sk-SK"/>
        </w:rPr>
        <w:t xml:space="preserve"> </w:t>
      </w:r>
      <w:r w:rsidR="00C50D3D" w:rsidRPr="00C66720">
        <w:rPr>
          <w:rFonts w:ascii="Times New Roman" w:hAnsi="Times New Roman"/>
          <w:szCs w:val="22"/>
          <w:lang w:eastAsia="sk-SK"/>
        </w:rPr>
        <w:t>tis. eur</w:t>
      </w:r>
      <w:r w:rsidR="005F0107" w:rsidRPr="00C66720">
        <w:rPr>
          <w:rFonts w:ascii="Times New Roman" w:hAnsi="Times New Roman"/>
          <w:szCs w:val="22"/>
          <w:lang w:eastAsia="sk-SK"/>
        </w:rPr>
        <w:t xml:space="preserve"> najmä v dôsledku </w:t>
      </w:r>
      <w:r w:rsidR="00472B2E" w:rsidRPr="00C66720">
        <w:rPr>
          <w:rFonts w:ascii="Times New Roman" w:hAnsi="Times New Roman"/>
          <w:szCs w:val="22"/>
          <w:lang w:eastAsia="sk-SK"/>
        </w:rPr>
        <w:t>zaradenie ciest I. triedy do používania (28 229 tis. eur), mostov na cestách I. triedy do používania (68 910 tis. eur) a technického zhodnotenia ostatného majetku. Naopak, došlo k vyradenie ciest I. triedy (857 tis. eur) a mostov na cestách I. triedy (3 395 tis. eur) z používania v dôsledku ich</w:t>
      </w:r>
      <w:r w:rsidR="00283035" w:rsidRPr="00C66720">
        <w:rPr>
          <w:rFonts w:ascii="Times New Roman" w:hAnsi="Times New Roman"/>
          <w:szCs w:val="22"/>
          <w:lang w:eastAsia="sk-SK"/>
        </w:rPr>
        <w:t xml:space="preserve"> technického</w:t>
      </w:r>
      <w:r w:rsidR="00472B2E" w:rsidRPr="00C66720">
        <w:rPr>
          <w:rFonts w:ascii="Times New Roman" w:hAnsi="Times New Roman"/>
          <w:szCs w:val="22"/>
          <w:lang w:eastAsia="sk-SK"/>
        </w:rPr>
        <w:t xml:space="preserve"> stavu resp. duplicitnej evidencii.</w:t>
      </w:r>
    </w:p>
    <w:p w14:paraId="545528B9" w14:textId="57898DF2" w:rsidR="00011289" w:rsidRPr="00C66720" w:rsidRDefault="001236C1" w:rsidP="00014B3A">
      <w:pPr>
        <w:spacing w:before="120" w:after="120" w:line="240" w:lineRule="auto"/>
        <w:jc w:val="both"/>
        <w:rPr>
          <w:rFonts w:ascii="Times New Roman" w:hAnsi="Times New Roman"/>
          <w:szCs w:val="22"/>
          <w:lang w:eastAsia="sk-SK"/>
        </w:rPr>
      </w:pPr>
      <w:r w:rsidRPr="00AF1060">
        <w:rPr>
          <w:rFonts w:ascii="Times New Roman" w:hAnsi="Times New Roman"/>
          <w:szCs w:val="22"/>
          <w:u w:val="single"/>
          <w:lang w:eastAsia="sk-SK"/>
        </w:rPr>
        <w:t>Ministerstvo vnútra SR</w:t>
      </w:r>
      <w:r w:rsidR="0025545A" w:rsidRPr="00C66720">
        <w:rPr>
          <w:rFonts w:ascii="Times New Roman" w:hAnsi="Times New Roman"/>
          <w:szCs w:val="22"/>
          <w:lang w:eastAsia="sk-SK"/>
        </w:rPr>
        <w:t xml:space="preserve"> vykazuje stavby v hodnote</w:t>
      </w:r>
      <w:r w:rsidRPr="00C66720">
        <w:rPr>
          <w:rFonts w:ascii="Times New Roman" w:hAnsi="Times New Roman"/>
          <w:szCs w:val="22"/>
          <w:lang w:eastAsia="sk-SK"/>
        </w:rPr>
        <w:t xml:space="preserve"> </w:t>
      </w:r>
      <w:r w:rsidR="00F551EA" w:rsidRPr="00C66720">
        <w:rPr>
          <w:rFonts w:ascii="Times New Roman" w:hAnsi="Times New Roman"/>
          <w:szCs w:val="22"/>
          <w:lang w:eastAsia="sk-SK"/>
        </w:rPr>
        <w:t>456 908</w:t>
      </w:r>
      <w:r w:rsidRPr="00C66720">
        <w:rPr>
          <w:rFonts w:ascii="Times New Roman" w:hAnsi="Times New Roman"/>
          <w:szCs w:val="22"/>
          <w:lang w:eastAsia="sk-SK"/>
        </w:rPr>
        <w:t xml:space="preserve"> tis. eur</w:t>
      </w:r>
      <w:r w:rsidR="000011A1" w:rsidRPr="00C66720">
        <w:rPr>
          <w:rFonts w:ascii="Times New Roman" w:hAnsi="Times New Roman"/>
          <w:szCs w:val="22"/>
          <w:lang w:eastAsia="sk-SK"/>
        </w:rPr>
        <w:t xml:space="preserve"> (budovy a stavby okresných úradov, klientskych centier</w:t>
      </w:r>
      <w:r w:rsidR="00E60CFE" w:rsidRPr="00C66720">
        <w:rPr>
          <w:rFonts w:ascii="Times New Roman" w:hAnsi="Times New Roman"/>
          <w:szCs w:val="22"/>
          <w:lang w:eastAsia="sk-SK"/>
        </w:rPr>
        <w:t>,</w:t>
      </w:r>
      <w:r w:rsidR="000011A1" w:rsidRPr="00C66720">
        <w:rPr>
          <w:rFonts w:ascii="Times New Roman" w:hAnsi="Times New Roman"/>
          <w:szCs w:val="22"/>
          <w:lang w:eastAsia="sk-SK"/>
        </w:rPr>
        <w:t xml:space="preserve"> Policajného zboru, Hasičského a</w:t>
      </w:r>
      <w:r w:rsidR="009950A4" w:rsidRPr="00C66720">
        <w:rPr>
          <w:rFonts w:ascii="Times New Roman" w:hAnsi="Times New Roman"/>
          <w:szCs w:val="22"/>
          <w:lang w:eastAsia="sk-SK"/>
        </w:rPr>
        <w:t> </w:t>
      </w:r>
      <w:r w:rsidR="000011A1" w:rsidRPr="00C66720">
        <w:rPr>
          <w:rFonts w:ascii="Times New Roman" w:hAnsi="Times New Roman"/>
          <w:szCs w:val="22"/>
          <w:lang w:eastAsia="sk-SK"/>
        </w:rPr>
        <w:t>zá</w:t>
      </w:r>
      <w:r w:rsidR="009950A4" w:rsidRPr="00C66720">
        <w:rPr>
          <w:rFonts w:ascii="Times New Roman" w:hAnsi="Times New Roman"/>
          <w:szCs w:val="22"/>
          <w:lang w:eastAsia="sk-SK"/>
        </w:rPr>
        <w:t>chranného zboru)</w:t>
      </w:r>
      <w:r w:rsidR="0016440D" w:rsidRPr="00C66720">
        <w:rPr>
          <w:rFonts w:ascii="Times New Roman" w:hAnsi="Times New Roman"/>
          <w:szCs w:val="22"/>
          <w:lang w:eastAsia="sk-SK"/>
        </w:rPr>
        <w:t>, pričom medziročný pokles o</w:t>
      </w:r>
      <w:r w:rsidR="00F551EA" w:rsidRPr="00C66720">
        <w:rPr>
          <w:rFonts w:ascii="Times New Roman" w:hAnsi="Times New Roman"/>
          <w:szCs w:val="22"/>
          <w:lang w:eastAsia="sk-SK"/>
        </w:rPr>
        <w:t> 5 709</w:t>
      </w:r>
      <w:r w:rsidR="0016440D" w:rsidRPr="00C66720">
        <w:rPr>
          <w:rFonts w:ascii="Times New Roman" w:hAnsi="Times New Roman"/>
          <w:szCs w:val="22"/>
          <w:lang w:eastAsia="sk-SK"/>
        </w:rPr>
        <w:t xml:space="preserve"> tis. eur bol spôsobený </w:t>
      </w:r>
      <w:r w:rsidR="00011289" w:rsidRPr="00C66720">
        <w:rPr>
          <w:rFonts w:ascii="Times New Roman" w:hAnsi="Times New Roman"/>
          <w:szCs w:val="22"/>
          <w:lang w:eastAsia="sk-SK"/>
        </w:rPr>
        <w:t>najmä vyradením majetku z dôvodu jeho delimitácie v súvislosti so zmenou organizácie miestnej štátnej správy na úseku školstva v hodnote 4 309 tis. eur.</w:t>
      </w:r>
    </w:p>
    <w:p w14:paraId="5847744C" w14:textId="2FC0FE69" w:rsidR="00014B3A" w:rsidRDefault="00570BF4" w:rsidP="00AF7642">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Obce </w:t>
      </w:r>
      <w:r w:rsidR="009E717B" w:rsidRPr="00C66720">
        <w:rPr>
          <w:rFonts w:ascii="Times New Roman" w:hAnsi="Times New Roman"/>
          <w:szCs w:val="22"/>
          <w:lang w:eastAsia="sk-SK"/>
        </w:rPr>
        <w:t xml:space="preserve">a ich organizácie </w:t>
      </w:r>
      <w:r w:rsidRPr="00C66720">
        <w:rPr>
          <w:rFonts w:ascii="Times New Roman" w:hAnsi="Times New Roman"/>
          <w:szCs w:val="22"/>
          <w:lang w:eastAsia="sk-SK"/>
        </w:rPr>
        <w:t xml:space="preserve">majú vo vlastníctve stavby </w:t>
      </w:r>
      <w:r w:rsidR="009E717B" w:rsidRPr="00C66720">
        <w:rPr>
          <w:rFonts w:ascii="Times New Roman" w:hAnsi="Times New Roman"/>
          <w:szCs w:val="22"/>
          <w:lang w:eastAsia="sk-SK"/>
        </w:rPr>
        <w:t>v hodnote</w:t>
      </w:r>
      <w:r w:rsidRPr="00C66720">
        <w:rPr>
          <w:rFonts w:ascii="Times New Roman" w:hAnsi="Times New Roman"/>
          <w:szCs w:val="22"/>
          <w:lang w:eastAsia="sk-SK"/>
        </w:rPr>
        <w:t xml:space="preserve"> </w:t>
      </w:r>
      <w:r w:rsidR="00AE3BA5" w:rsidRPr="00C66720">
        <w:rPr>
          <w:rFonts w:ascii="Times New Roman" w:hAnsi="Times New Roman"/>
          <w:szCs w:val="22"/>
          <w:lang w:eastAsia="sk-SK"/>
        </w:rPr>
        <w:t>9</w:t>
      </w:r>
      <w:r w:rsidR="00400325" w:rsidRPr="00C66720">
        <w:rPr>
          <w:rFonts w:ascii="Times New Roman" w:hAnsi="Times New Roman"/>
          <w:szCs w:val="22"/>
          <w:lang w:eastAsia="sk-SK"/>
        </w:rPr>
        <w:t> 436 145</w:t>
      </w:r>
      <w:r w:rsidRPr="00C66720">
        <w:rPr>
          <w:rFonts w:ascii="Times New Roman" w:hAnsi="Times New Roman"/>
          <w:szCs w:val="22"/>
          <w:lang w:eastAsia="sk-SK"/>
        </w:rPr>
        <w:t xml:space="preserve"> tis. eur, vyššie územné celky </w:t>
      </w:r>
      <w:r w:rsidR="00C00845" w:rsidRPr="00C66720">
        <w:rPr>
          <w:rFonts w:ascii="Times New Roman" w:hAnsi="Times New Roman"/>
          <w:szCs w:val="22"/>
          <w:lang w:eastAsia="sk-SK"/>
        </w:rPr>
        <w:t>1</w:t>
      </w:r>
      <w:r w:rsidR="00400325" w:rsidRPr="00C66720">
        <w:rPr>
          <w:rFonts w:ascii="Times New Roman" w:hAnsi="Times New Roman"/>
          <w:szCs w:val="22"/>
          <w:lang w:eastAsia="sk-SK"/>
        </w:rPr>
        <w:t> 742 895</w:t>
      </w:r>
      <w:r w:rsidRPr="00C66720">
        <w:rPr>
          <w:rFonts w:ascii="Times New Roman" w:hAnsi="Times New Roman"/>
          <w:szCs w:val="22"/>
          <w:lang w:eastAsia="sk-SK"/>
        </w:rPr>
        <w:t xml:space="preserve"> tis. eur a ostatné subjekty súhrnného celku </w:t>
      </w:r>
      <w:r w:rsidR="00AE3BA5" w:rsidRPr="00C66720">
        <w:rPr>
          <w:rFonts w:ascii="Times New Roman" w:hAnsi="Times New Roman"/>
          <w:szCs w:val="22"/>
          <w:lang w:eastAsia="sk-SK"/>
        </w:rPr>
        <w:t>1</w:t>
      </w:r>
      <w:r w:rsidR="00400325" w:rsidRPr="00C66720">
        <w:rPr>
          <w:rFonts w:ascii="Times New Roman" w:hAnsi="Times New Roman"/>
          <w:szCs w:val="22"/>
          <w:lang w:eastAsia="sk-SK"/>
        </w:rPr>
        <w:t> </w:t>
      </w:r>
      <w:r w:rsidR="00AE3BA5" w:rsidRPr="00C66720">
        <w:rPr>
          <w:rFonts w:ascii="Times New Roman" w:hAnsi="Times New Roman"/>
          <w:szCs w:val="22"/>
          <w:lang w:eastAsia="sk-SK"/>
        </w:rPr>
        <w:t>0</w:t>
      </w:r>
      <w:r w:rsidR="00400325" w:rsidRPr="00C66720">
        <w:rPr>
          <w:rFonts w:ascii="Times New Roman" w:hAnsi="Times New Roman"/>
          <w:szCs w:val="22"/>
          <w:lang w:eastAsia="sk-SK"/>
        </w:rPr>
        <w:t>98 935</w:t>
      </w:r>
      <w:r w:rsidR="00C46526" w:rsidRPr="00C66720">
        <w:rPr>
          <w:rFonts w:ascii="Times New Roman" w:hAnsi="Times New Roman"/>
          <w:szCs w:val="22"/>
          <w:lang w:eastAsia="sk-SK"/>
        </w:rPr>
        <w:t xml:space="preserve"> tis. eur</w:t>
      </w:r>
      <w:r w:rsidR="00027952" w:rsidRPr="00C66720">
        <w:rPr>
          <w:rFonts w:ascii="Times New Roman" w:hAnsi="Times New Roman"/>
          <w:szCs w:val="22"/>
          <w:lang w:eastAsia="sk-SK"/>
        </w:rPr>
        <w:t> </w:t>
      </w:r>
      <w:r w:rsidR="00452821" w:rsidRPr="00C66720">
        <w:rPr>
          <w:rFonts w:ascii="Times New Roman" w:hAnsi="Times New Roman"/>
          <w:szCs w:val="22"/>
          <w:lang w:eastAsia="sk-SK"/>
        </w:rPr>
        <w:t>(</w:t>
      </w:r>
      <w:r w:rsidR="00027952" w:rsidRPr="00C66720">
        <w:rPr>
          <w:rFonts w:ascii="Times New Roman" w:hAnsi="Times New Roman"/>
          <w:szCs w:val="22"/>
          <w:lang w:eastAsia="sk-SK"/>
        </w:rPr>
        <w:t xml:space="preserve">z toho </w:t>
      </w:r>
      <w:r w:rsidR="00C46526" w:rsidRPr="00C66720">
        <w:rPr>
          <w:rFonts w:ascii="Times New Roman" w:hAnsi="Times New Roman"/>
          <w:szCs w:val="22"/>
          <w:lang w:eastAsia="sk-SK"/>
        </w:rPr>
        <w:t xml:space="preserve">verejné vysoké školy </w:t>
      </w:r>
      <w:r w:rsidR="005602CD" w:rsidRPr="00C66720">
        <w:rPr>
          <w:rFonts w:ascii="Times New Roman" w:hAnsi="Times New Roman"/>
          <w:szCs w:val="22"/>
          <w:lang w:eastAsia="sk-SK"/>
        </w:rPr>
        <w:t>895 240</w:t>
      </w:r>
      <w:r w:rsidR="004267F5" w:rsidRPr="00C66720">
        <w:rPr>
          <w:rFonts w:ascii="Times New Roman" w:hAnsi="Times New Roman"/>
          <w:szCs w:val="22"/>
          <w:lang w:eastAsia="sk-SK"/>
        </w:rPr>
        <w:t xml:space="preserve"> </w:t>
      </w:r>
      <w:r w:rsidR="00C46526" w:rsidRPr="00C66720">
        <w:rPr>
          <w:rFonts w:ascii="Times New Roman" w:hAnsi="Times New Roman"/>
          <w:szCs w:val="22"/>
          <w:lang w:eastAsia="sk-SK"/>
        </w:rPr>
        <w:t>tis. eur</w:t>
      </w:r>
      <w:r w:rsidR="00452821" w:rsidRPr="00C66720">
        <w:rPr>
          <w:rFonts w:ascii="Times New Roman" w:hAnsi="Times New Roman"/>
          <w:szCs w:val="22"/>
          <w:lang w:eastAsia="sk-SK"/>
        </w:rPr>
        <w:t>)</w:t>
      </w:r>
      <w:r w:rsidR="00C46526" w:rsidRPr="00C66720">
        <w:rPr>
          <w:rFonts w:ascii="Times New Roman" w:hAnsi="Times New Roman"/>
          <w:szCs w:val="22"/>
          <w:lang w:eastAsia="sk-SK"/>
        </w:rPr>
        <w:t>.</w:t>
      </w:r>
      <w:r w:rsidR="00C13D8B">
        <w:rPr>
          <w:rFonts w:ascii="Times New Roman" w:hAnsi="Times New Roman"/>
          <w:szCs w:val="22"/>
          <w:lang w:eastAsia="sk-SK"/>
        </w:rPr>
        <w:t xml:space="preserve"> Celkový medziročný prírastok stavieb v prípade subjektov územnej samosprávy predstavuje 462 286 tis. eur (z toho obce vrátane ich organizácií 301 207 tis. eur a</w:t>
      </w:r>
      <w:r w:rsidR="00AC7F1B">
        <w:rPr>
          <w:rFonts w:ascii="Times New Roman" w:hAnsi="Times New Roman"/>
          <w:szCs w:val="22"/>
          <w:lang w:eastAsia="sk-SK"/>
        </w:rPr>
        <w:t> vyššie územné celky vrátanej subjektov v ich pôsobnosti</w:t>
      </w:r>
      <w:r w:rsidR="00C13D8B">
        <w:rPr>
          <w:rFonts w:ascii="Times New Roman" w:hAnsi="Times New Roman"/>
          <w:szCs w:val="22"/>
          <w:lang w:eastAsia="sk-SK"/>
        </w:rPr>
        <w:t xml:space="preserve"> 161 078 tis. eur).</w:t>
      </w:r>
    </w:p>
    <w:p w14:paraId="7F7A144D" w14:textId="6530278E" w:rsidR="00AB12E2" w:rsidRDefault="00AB12E2" w:rsidP="00AF7642">
      <w:pPr>
        <w:spacing w:before="120" w:after="120" w:line="240" w:lineRule="auto"/>
        <w:jc w:val="both"/>
        <w:rPr>
          <w:rFonts w:ascii="Times New Roman" w:hAnsi="Times New Roman"/>
          <w:szCs w:val="22"/>
          <w:lang w:eastAsia="sk-SK"/>
        </w:rPr>
      </w:pPr>
      <w:r>
        <w:rPr>
          <w:rFonts w:ascii="Times New Roman" w:hAnsi="Times New Roman"/>
          <w:szCs w:val="22"/>
          <w:lang w:eastAsia="sk-SK"/>
        </w:rPr>
        <w:t>Krajské mestá vlastnia stavby úhrnom v hodnote 1 651 710 tis. eur (2021: 1 618 169 tis. eur)</w:t>
      </w:r>
      <w:r w:rsidR="00217B48">
        <w:rPr>
          <w:rFonts w:ascii="Times New Roman" w:hAnsi="Times New Roman"/>
          <w:szCs w:val="22"/>
          <w:lang w:eastAsia="sk-SK"/>
        </w:rPr>
        <w:t>, pričom ide o stavby všetkých subjektov konsolidovaného celku krajských miest vrátane dcérskych obchodných spoločností H</w:t>
      </w:r>
      <w:r w:rsidR="0010294D">
        <w:rPr>
          <w:rFonts w:ascii="Times New Roman" w:hAnsi="Times New Roman"/>
          <w:szCs w:val="22"/>
          <w:lang w:eastAsia="sk-SK"/>
        </w:rPr>
        <w:t>odnotovo najvýznamnejšie sú stavby Hlavného mesta Slovenskej republiky Bratislavy v sume 700 060 tis. eur (medziročne viac o 7 872 tis. eur).</w:t>
      </w:r>
      <w:r w:rsidR="004E4EAD">
        <w:rPr>
          <w:rFonts w:ascii="Times New Roman" w:hAnsi="Times New Roman"/>
          <w:szCs w:val="22"/>
          <w:lang w:eastAsia="sk-SK"/>
        </w:rPr>
        <w:t xml:space="preserve"> Samotné Hlavné mesto vykazuje stavby v hodnote 271 624 tis. eur a Bratislavská vodárenská spoločnosť, a.s. 263 798 tis. eur.</w:t>
      </w:r>
    </w:p>
    <w:p w14:paraId="53BCDF0D" w14:textId="77777777" w:rsidR="00DD218A" w:rsidRDefault="00DD218A" w:rsidP="00AF7642">
      <w:pPr>
        <w:spacing w:before="120" w:after="120" w:line="240" w:lineRule="auto"/>
        <w:jc w:val="both"/>
        <w:rPr>
          <w:rFonts w:ascii="Times New Roman" w:hAnsi="Times New Roman"/>
          <w:szCs w:val="22"/>
          <w:lang w:eastAsia="sk-SK"/>
        </w:rPr>
      </w:pPr>
      <w:r>
        <w:rPr>
          <w:rFonts w:ascii="Times New Roman" w:hAnsi="Times New Roman"/>
          <w:szCs w:val="22"/>
          <w:lang w:eastAsia="sk-SK"/>
        </w:rPr>
        <w:t>V prípade obce Pohronská Polhora bol prírastok v sume 16 356 tis. eur spôsobený dobudovaním kanalizácie v obci Pohronská Polhora a Michalová. Mesto Banská Bystrica vykazuje prírastok stavieb (6 655 tis. eur) z dôvodu realizácie rekonštrukcií miestnych komunikácií, vnútroblokov, sídlisk, námestia a chodníkov, rozšírenie vybavenosti a modernizácie objektov mesta.</w:t>
      </w:r>
    </w:p>
    <w:p w14:paraId="768D564D" w14:textId="34746429" w:rsidR="00525DAF" w:rsidRPr="00DD218A" w:rsidRDefault="00B44BF1" w:rsidP="009C3C3D">
      <w:pPr>
        <w:spacing w:before="120" w:after="240" w:line="240" w:lineRule="auto"/>
        <w:jc w:val="both"/>
        <w:rPr>
          <w:rFonts w:ascii="Times New Roman" w:hAnsi="Times New Roman"/>
          <w:color w:val="FF0000"/>
          <w:szCs w:val="22"/>
          <w:lang w:eastAsia="sk-SK"/>
        </w:rPr>
      </w:pPr>
      <w:r>
        <w:rPr>
          <w:rFonts w:ascii="Times New Roman" w:hAnsi="Times New Roman"/>
          <w:szCs w:val="22"/>
          <w:lang w:eastAsia="sk-SK"/>
        </w:rPr>
        <w:t>V rámci vyšších územných celkov vykazujú najvyšší prírastok organizácie Prešovského samosprávneho kraja (o 33 988 tis. eur), Banskobystrického samosprávneho kraja (o 30 933 tis. eur), Trenčianskeho samosprávneho kraja (o 21 978 tis. eur), Nitrianskeho samosprávneho kraja (o 19 819 tis. eur) a Bratislavského samosprávneho kraja (o 19 175 tis. eur).</w:t>
      </w:r>
      <w:r w:rsidR="002D627E">
        <w:rPr>
          <w:rFonts w:ascii="Times New Roman" w:hAnsi="Times New Roman"/>
          <w:szCs w:val="22"/>
          <w:lang w:eastAsia="sk-SK"/>
        </w:rPr>
        <w:t xml:space="preserve"> Ide predovšetkým o modernizácie a rekonštrukcie ciest II.</w:t>
      </w:r>
      <w:r w:rsidR="00203F23">
        <w:rPr>
          <w:rFonts w:ascii="Times New Roman" w:hAnsi="Times New Roman"/>
          <w:szCs w:val="22"/>
          <w:lang w:eastAsia="sk-SK"/>
        </w:rPr>
        <w:t xml:space="preserve"> a III.</w:t>
      </w:r>
      <w:r w:rsidR="002D627E">
        <w:rPr>
          <w:rFonts w:ascii="Times New Roman" w:hAnsi="Times New Roman"/>
          <w:szCs w:val="22"/>
          <w:lang w:eastAsia="sk-SK"/>
        </w:rPr>
        <w:t xml:space="preserve"> triedy</w:t>
      </w:r>
      <w:r w:rsidR="006A40C5">
        <w:rPr>
          <w:rFonts w:ascii="Times New Roman" w:hAnsi="Times New Roman"/>
          <w:szCs w:val="22"/>
          <w:lang w:eastAsia="sk-SK"/>
        </w:rPr>
        <w:t>, mostových objektov</w:t>
      </w:r>
      <w:r w:rsidR="003B5C88">
        <w:rPr>
          <w:rFonts w:ascii="Times New Roman" w:hAnsi="Times New Roman"/>
          <w:szCs w:val="22"/>
          <w:lang w:eastAsia="sk-SK"/>
        </w:rPr>
        <w:t>, vybudovanie cyklotrás, technické zhodnotenie škôl a školských objektov, zdravotníckych zariadení</w:t>
      </w:r>
      <w:r w:rsidR="00E65078">
        <w:rPr>
          <w:rFonts w:ascii="Times New Roman" w:hAnsi="Times New Roman"/>
          <w:szCs w:val="22"/>
          <w:lang w:eastAsia="sk-SK"/>
        </w:rPr>
        <w:t>, zariadení sociálnych služieb, administratívnych budov</w:t>
      </w:r>
      <w:r w:rsidR="003B5C88">
        <w:rPr>
          <w:rFonts w:ascii="Times New Roman" w:hAnsi="Times New Roman"/>
          <w:szCs w:val="22"/>
          <w:lang w:eastAsia="sk-SK"/>
        </w:rPr>
        <w:t xml:space="preserve"> vrátane zníženia energeticke</w:t>
      </w:r>
      <w:r w:rsidR="00E65078">
        <w:rPr>
          <w:rFonts w:ascii="Times New Roman" w:hAnsi="Times New Roman"/>
          <w:szCs w:val="22"/>
          <w:lang w:eastAsia="sk-SK"/>
        </w:rPr>
        <w:t xml:space="preserve">j náročnosti týchto objektov. </w:t>
      </w:r>
      <w:r w:rsidR="00203F23">
        <w:rPr>
          <w:rFonts w:ascii="Times New Roman" w:hAnsi="Times New Roman"/>
          <w:szCs w:val="22"/>
          <w:lang w:eastAsia="sk-SK"/>
        </w:rPr>
        <w:t xml:space="preserve">Organizácie spravujúce cestnú infraštruktúru </w:t>
      </w:r>
      <w:r w:rsidR="002B176F">
        <w:rPr>
          <w:rFonts w:ascii="Times New Roman" w:hAnsi="Times New Roman"/>
          <w:szCs w:val="22"/>
          <w:lang w:eastAsia="sk-SK"/>
        </w:rPr>
        <w:t xml:space="preserve">vyšších územných celkov </w:t>
      </w:r>
      <w:r w:rsidR="00203F23">
        <w:rPr>
          <w:rFonts w:ascii="Times New Roman" w:hAnsi="Times New Roman"/>
          <w:szCs w:val="22"/>
          <w:lang w:eastAsia="sk-SK"/>
        </w:rPr>
        <w:t>vykazujú tieto stavby</w:t>
      </w:r>
      <w:r w:rsidR="00377304">
        <w:rPr>
          <w:rFonts w:ascii="Times New Roman" w:hAnsi="Times New Roman"/>
          <w:szCs w:val="22"/>
          <w:lang w:eastAsia="sk-SK"/>
        </w:rPr>
        <w:t>, ktorých správu a údržbu vykonávajú,</w:t>
      </w:r>
      <w:r w:rsidR="00203F23">
        <w:rPr>
          <w:rFonts w:ascii="Times New Roman" w:hAnsi="Times New Roman"/>
          <w:szCs w:val="22"/>
          <w:lang w:eastAsia="sk-SK"/>
        </w:rPr>
        <w:t xml:space="preserve"> </w:t>
      </w:r>
      <w:r w:rsidR="00203F23">
        <w:rPr>
          <w:rFonts w:ascii="Times New Roman" w:hAnsi="Times New Roman"/>
          <w:szCs w:val="22"/>
          <w:lang w:eastAsia="sk-SK"/>
        </w:rPr>
        <w:lastRenderedPageBreak/>
        <w:t xml:space="preserve">v celkovej hodnote 573 980 tis. eur s medziročným prírastkom 87 647 </w:t>
      </w:r>
      <w:r w:rsidR="002B176F">
        <w:rPr>
          <w:rFonts w:ascii="Times New Roman" w:hAnsi="Times New Roman"/>
          <w:szCs w:val="22"/>
          <w:lang w:eastAsia="sk-SK"/>
        </w:rPr>
        <w:t>tis. eur.</w:t>
      </w:r>
      <w:r w:rsidR="00377304">
        <w:rPr>
          <w:rFonts w:ascii="Times New Roman" w:hAnsi="Times New Roman"/>
          <w:szCs w:val="22"/>
          <w:lang w:eastAsia="sk-SK"/>
        </w:rPr>
        <w:t xml:space="preserve"> </w:t>
      </w:r>
      <w:r w:rsidR="00525DAF">
        <w:rPr>
          <w:rFonts w:ascii="Times New Roman" w:hAnsi="Times New Roman"/>
          <w:szCs w:val="22"/>
          <w:lang w:eastAsia="sk-SK"/>
        </w:rPr>
        <w:t>Zároveň v rámci Prešovského samosprávneho kraja sa realizovala výstavba športovej školy</w:t>
      </w:r>
      <w:r w:rsidR="0000127A">
        <w:rPr>
          <w:rFonts w:ascii="Times New Roman" w:hAnsi="Times New Roman"/>
          <w:szCs w:val="22"/>
          <w:lang w:eastAsia="sk-SK"/>
        </w:rPr>
        <w:t xml:space="preserve"> </w:t>
      </w:r>
      <w:r w:rsidR="00525DAF">
        <w:rPr>
          <w:rFonts w:ascii="Times New Roman" w:hAnsi="Times New Roman"/>
          <w:szCs w:val="22"/>
          <w:lang w:eastAsia="sk-SK"/>
        </w:rPr>
        <w:t xml:space="preserve">(13 521 tis. eur), </w:t>
      </w:r>
      <w:r w:rsidR="00E65078">
        <w:rPr>
          <w:rFonts w:ascii="Times New Roman" w:hAnsi="Times New Roman"/>
          <w:szCs w:val="22"/>
          <w:lang w:eastAsia="sk-SK"/>
        </w:rPr>
        <w:t>Nitriansky samosprávny kraj získal stavebné objekty v súvislosti s výstavbou diaľnice R1 bezodplatným prevzatím vlastníctva od Ministerstva dopravy SR (12 808 tis. eur)</w:t>
      </w:r>
      <w:r w:rsidR="00B40555">
        <w:rPr>
          <w:rFonts w:ascii="Times New Roman" w:hAnsi="Times New Roman"/>
          <w:szCs w:val="22"/>
          <w:lang w:eastAsia="sk-SK"/>
        </w:rPr>
        <w:t xml:space="preserve"> a Banskobystrický samosprávny kraj realizoval investície do cestnej infraštruktúry.</w:t>
      </w:r>
    </w:p>
    <w:p w14:paraId="4F0807A1" w14:textId="4794DB20" w:rsidR="000B71FC" w:rsidRPr="00C66720" w:rsidRDefault="00B21BDF" w:rsidP="00014B3A">
      <w:pPr>
        <w:pStyle w:val="Pismenka"/>
        <w:numPr>
          <w:ilvl w:val="0"/>
          <w:numId w:val="44"/>
        </w:numPr>
        <w:spacing w:after="120"/>
        <w:ind w:left="284" w:hanging="284"/>
        <w:rPr>
          <w:i/>
          <w:szCs w:val="22"/>
          <w:u w:val="single"/>
        </w:rPr>
      </w:pPr>
      <w:bookmarkStart w:id="7" w:name="_Ref86091392"/>
      <w:r w:rsidRPr="00C66720">
        <w:rPr>
          <w:bCs w:val="0"/>
          <w:i/>
          <w:sz w:val="22"/>
          <w:szCs w:val="22"/>
          <w:u w:val="single"/>
        </w:rPr>
        <w:t>Pozemky</w:t>
      </w:r>
      <w:bookmarkEnd w:id="7"/>
    </w:p>
    <w:p w14:paraId="4AE67725" w14:textId="2D2D834A" w:rsidR="002C1DC9" w:rsidRPr="00C66720" w:rsidRDefault="00E66832" w:rsidP="00941E27">
      <w:pPr>
        <w:tabs>
          <w:tab w:val="num" w:pos="0"/>
        </w:tabs>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Z hodnoty pozemkov súhrnného celku tvorí ú</w:t>
      </w:r>
      <w:r w:rsidR="00E84443" w:rsidRPr="00C66720">
        <w:rPr>
          <w:rFonts w:ascii="Times New Roman" w:hAnsi="Times New Roman"/>
          <w:szCs w:val="22"/>
          <w:lang w:eastAsia="sk-SK"/>
        </w:rPr>
        <w:t>stredná správa</w:t>
      </w:r>
      <w:r w:rsidR="000B71FC" w:rsidRPr="00C66720">
        <w:rPr>
          <w:rFonts w:ascii="Times New Roman" w:hAnsi="Times New Roman"/>
          <w:szCs w:val="22"/>
          <w:lang w:eastAsia="sk-SK"/>
        </w:rPr>
        <w:t xml:space="preserve"> </w:t>
      </w:r>
      <w:r w:rsidR="00620A50" w:rsidRPr="00C66720">
        <w:rPr>
          <w:rFonts w:ascii="Times New Roman" w:hAnsi="Times New Roman"/>
          <w:szCs w:val="22"/>
          <w:lang w:eastAsia="sk-SK"/>
        </w:rPr>
        <w:t>4</w:t>
      </w:r>
      <w:r w:rsidR="000A7E8E" w:rsidRPr="00C66720">
        <w:rPr>
          <w:rFonts w:ascii="Times New Roman" w:hAnsi="Times New Roman"/>
          <w:szCs w:val="22"/>
          <w:lang w:eastAsia="sk-SK"/>
        </w:rPr>
        <w:t> 660 078</w:t>
      </w:r>
      <w:r w:rsidRPr="00C66720">
        <w:rPr>
          <w:rFonts w:ascii="Times New Roman" w:hAnsi="Times New Roman"/>
          <w:szCs w:val="22"/>
          <w:lang w:eastAsia="sk-SK"/>
        </w:rPr>
        <w:t xml:space="preserve"> tis. eur a obce so svojimi organizáciami </w:t>
      </w:r>
      <w:r w:rsidR="000A7E8E" w:rsidRPr="00C66720">
        <w:rPr>
          <w:rFonts w:ascii="Times New Roman" w:hAnsi="Times New Roman"/>
          <w:szCs w:val="22"/>
          <w:lang w:eastAsia="sk-SK"/>
        </w:rPr>
        <w:t>4 800 853</w:t>
      </w:r>
      <w:r w:rsidRPr="00C66720">
        <w:rPr>
          <w:rFonts w:ascii="Times New Roman" w:hAnsi="Times New Roman"/>
          <w:szCs w:val="22"/>
          <w:lang w:eastAsia="sk-SK"/>
        </w:rPr>
        <w:t xml:space="preserve"> tis. eur, čo predstavuje </w:t>
      </w:r>
      <w:r w:rsidR="00111345" w:rsidRPr="00C66720">
        <w:rPr>
          <w:rFonts w:ascii="Times New Roman" w:hAnsi="Times New Roman"/>
          <w:szCs w:val="22"/>
          <w:lang w:eastAsia="sk-SK"/>
        </w:rPr>
        <w:t xml:space="preserve">spolu </w:t>
      </w:r>
      <w:r w:rsidR="009235E7" w:rsidRPr="00C66720">
        <w:rPr>
          <w:rFonts w:ascii="Times New Roman" w:hAnsi="Times New Roman"/>
          <w:szCs w:val="22"/>
          <w:lang w:eastAsia="sk-SK"/>
        </w:rPr>
        <w:t xml:space="preserve">takmer </w:t>
      </w:r>
      <w:r w:rsidRPr="00C66720">
        <w:rPr>
          <w:rFonts w:ascii="Times New Roman" w:hAnsi="Times New Roman"/>
          <w:szCs w:val="22"/>
          <w:lang w:eastAsia="sk-SK"/>
        </w:rPr>
        <w:t>9</w:t>
      </w:r>
      <w:r w:rsidR="000A7E8E" w:rsidRPr="00C66720">
        <w:rPr>
          <w:rFonts w:ascii="Times New Roman" w:hAnsi="Times New Roman"/>
          <w:szCs w:val="22"/>
          <w:lang w:eastAsia="sk-SK"/>
        </w:rPr>
        <w:t>2,7</w:t>
      </w:r>
      <w:r w:rsidRPr="00C66720">
        <w:rPr>
          <w:rFonts w:ascii="Times New Roman" w:hAnsi="Times New Roman"/>
          <w:szCs w:val="22"/>
          <w:lang w:eastAsia="sk-SK"/>
        </w:rPr>
        <w:t xml:space="preserve"> % </w:t>
      </w:r>
      <w:r w:rsidR="0091785D" w:rsidRPr="00C66720">
        <w:rPr>
          <w:rFonts w:ascii="Times New Roman" w:hAnsi="Times New Roman"/>
          <w:szCs w:val="22"/>
          <w:lang w:eastAsia="sk-SK"/>
        </w:rPr>
        <w:t xml:space="preserve">celkovej </w:t>
      </w:r>
      <w:r w:rsidRPr="00C66720">
        <w:rPr>
          <w:rFonts w:ascii="Times New Roman" w:hAnsi="Times New Roman"/>
          <w:szCs w:val="22"/>
          <w:lang w:eastAsia="sk-SK"/>
        </w:rPr>
        <w:t>hodnoty pozemkov.</w:t>
      </w:r>
      <w:r w:rsidR="002C1DC9" w:rsidRPr="00C66720">
        <w:rPr>
          <w:rFonts w:ascii="Times New Roman" w:hAnsi="Times New Roman"/>
          <w:szCs w:val="22"/>
          <w:lang w:eastAsia="sk-SK"/>
        </w:rPr>
        <w:t xml:space="preserve"> Medziročná zmena hodnoty o</w:t>
      </w:r>
      <w:r w:rsidR="00891D70" w:rsidRPr="00C66720">
        <w:rPr>
          <w:rFonts w:ascii="Times New Roman" w:hAnsi="Times New Roman"/>
          <w:szCs w:val="22"/>
          <w:lang w:eastAsia="sk-SK"/>
        </w:rPr>
        <w:t> 117 090</w:t>
      </w:r>
      <w:r w:rsidR="002C1DC9" w:rsidRPr="00C66720">
        <w:rPr>
          <w:rFonts w:ascii="Times New Roman" w:hAnsi="Times New Roman"/>
          <w:szCs w:val="22"/>
          <w:lang w:eastAsia="sk-SK"/>
        </w:rPr>
        <w:t xml:space="preserve"> tis.</w:t>
      </w:r>
      <w:r w:rsidR="009D7A0B" w:rsidRPr="00C66720">
        <w:rPr>
          <w:rFonts w:ascii="Times New Roman" w:hAnsi="Times New Roman"/>
          <w:szCs w:val="22"/>
          <w:lang w:eastAsia="sk-SK"/>
        </w:rPr>
        <w:t xml:space="preserve"> bola spôsobená prírastkom v ústrednej správe </w:t>
      </w:r>
      <w:r w:rsidR="00983155">
        <w:rPr>
          <w:rFonts w:ascii="Times New Roman" w:hAnsi="Times New Roman"/>
          <w:szCs w:val="22"/>
          <w:lang w:eastAsia="sk-SK"/>
        </w:rPr>
        <w:br/>
      </w:r>
      <w:r w:rsidR="009D7A0B" w:rsidRPr="00C66720">
        <w:rPr>
          <w:rFonts w:ascii="Times New Roman" w:hAnsi="Times New Roman"/>
          <w:szCs w:val="22"/>
          <w:lang w:eastAsia="sk-SK"/>
        </w:rPr>
        <w:t>o</w:t>
      </w:r>
      <w:r w:rsidR="00891D70" w:rsidRPr="00C66720">
        <w:rPr>
          <w:rFonts w:ascii="Times New Roman" w:hAnsi="Times New Roman"/>
          <w:szCs w:val="22"/>
          <w:lang w:eastAsia="sk-SK"/>
        </w:rPr>
        <w:t> 51 684</w:t>
      </w:r>
      <w:r w:rsidR="009D7A0B" w:rsidRPr="00C66720">
        <w:rPr>
          <w:rFonts w:ascii="Times New Roman" w:hAnsi="Times New Roman"/>
          <w:szCs w:val="22"/>
          <w:lang w:eastAsia="sk-SK"/>
        </w:rPr>
        <w:t xml:space="preserve"> tis. eur</w:t>
      </w:r>
      <w:r w:rsidR="00BE1CF4" w:rsidRPr="00C66720">
        <w:rPr>
          <w:rFonts w:ascii="Times New Roman" w:hAnsi="Times New Roman"/>
          <w:szCs w:val="22"/>
          <w:lang w:eastAsia="sk-SK"/>
        </w:rPr>
        <w:t>, v prípade obcí o 47 789 tis. eur,</w:t>
      </w:r>
      <w:r w:rsidR="009D7A0B" w:rsidRPr="00C66720">
        <w:rPr>
          <w:rFonts w:ascii="Times New Roman" w:hAnsi="Times New Roman"/>
          <w:szCs w:val="22"/>
          <w:lang w:eastAsia="sk-SK"/>
        </w:rPr>
        <w:t> v konsolidovaných celkoch vyšších územných celkov o</w:t>
      </w:r>
      <w:r w:rsidR="00BE1CF4" w:rsidRPr="00C66720">
        <w:rPr>
          <w:rFonts w:ascii="Times New Roman" w:hAnsi="Times New Roman"/>
          <w:szCs w:val="22"/>
          <w:lang w:eastAsia="sk-SK"/>
        </w:rPr>
        <w:t> 13 846</w:t>
      </w:r>
      <w:r w:rsidR="009D7A0B" w:rsidRPr="00C66720">
        <w:rPr>
          <w:rFonts w:ascii="Times New Roman" w:hAnsi="Times New Roman"/>
          <w:szCs w:val="22"/>
          <w:lang w:eastAsia="sk-SK"/>
        </w:rPr>
        <w:t xml:space="preserve"> tis. eur </w:t>
      </w:r>
      <w:r w:rsidR="00E97867" w:rsidRPr="00C66720">
        <w:rPr>
          <w:rFonts w:ascii="Times New Roman" w:hAnsi="Times New Roman"/>
          <w:szCs w:val="22"/>
          <w:lang w:eastAsia="sk-SK"/>
        </w:rPr>
        <w:t>u ostatných subjektov verejnej správy o 3 772 tis. eur.</w:t>
      </w:r>
    </w:p>
    <w:p w14:paraId="2792BF66" w14:textId="4BA8273E" w:rsidR="000B71FC" w:rsidRPr="00C66720" w:rsidRDefault="005A4484" w:rsidP="00941E27">
      <w:pPr>
        <w:tabs>
          <w:tab w:val="num" w:pos="0"/>
        </w:tabs>
        <w:spacing w:before="120" w:after="120" w:line="240" w:lineRule="auto"/>
        <w:jc w:val="both"/>
        <w:rPr>
          <w:rFonts w:ascii="Times New Roman" w:hAnsi="Times New Roman"/>
          <w:szCs w:val="22"/>
          <w:highlight w:val="yellow"/>
          <w:lang w:eastAsia="sk-SK"/>
        </w:rPr>
      </w:pPr>
      <w:r w:rsidRPr="00C66720">
        <w:rPr>
          <w:rFonts w:ascii="Times New Roman" w:hAnsi="Times New Roman"/>
          <w:szCs w:val="22"/>
          <w:lang w:eastAsia="sk-SK"/>
        </w:rPr>
        <w:t xml:space="preserve">V ústrednej správe </w:t>
      </w:r>
      <w:r w:rsidR="0091785D" w:rsidRPr="00C66720">
        <w:rPr>
          <w:rFonts w:ascii="Times New Roman" w:hAnsi="Times New Roman"/>
          <w:szCs w:val="22"/>
          <w:lang w:eastAsia="sk-SK"/>
        </w:rPr>
        <w:t>vlastní</w:t>
      </w:r>
      <w:r w:rsidRPr="00C66720">
        <w:rPr>
          <w:rFonts w:ascii="Times New Roman" w:hAnsi="Times New Roman"/>
          <w:szCs w:val="22"/>
          <w:lang w:eastAsia="sk-SK"/>
        </w:rPr>
        <w:t xml:space="preserve"> pozemk</w:t>
      </w:r>
      <w:r w:rsidR="0091785D" w:rsidRPr="00C66720">
        <w:rPr>
          <w:rFonts w:ascii="Times New Roman" w:hAnsi="Times New Roman"/>
          <w:szCs w:val="22"/>
          <w:lang w:eastAsia="sk-SK"/>
        </w:rPr>
        <w:t>y za najvyššiu hodnotu</w:t>
      </w:r>
      <w:r w:rsidRPr="00C66720">
        <w:rPr>
          <w:rFonts w:ascii="Times New Roman" w:hAnsi="Times New Roman"/>
          <w:szCs w:val="22"/>
          <w:lang w:eastAsia="sk-SK"/>
        </w:rPr>
        <w:t xml:space="preserve"> </w:t>
      </w:r>
      <w:r w:rsidR="000B71FC" w:rsidRPr="00C66720">
        <w:rPr>
          <w:rFonts w:ascii="Times New Roman" w:hAnsi="Times New Roman"/>
          <w:szCs w:val="22"/>
          <w:lang w:eastAsia="sk-SK"/>
        </w:rPr>
        <w:t>Národná</w:t>
      </w:r>
      <w:r w:rsidR="006A38D6" w:rsidRPr="00C66720">
        <w:rPr>
          <w:rFonts w:ascii="Times New Roman" w:hAnsi="Times New Roman"/>
          <w:szCs w:val="22"/>
          <w:lang w:eastAsia="sk-SK"/>
        </w:rPr>
        <w:t xml:space="preserve"> diaľničná spoločnosť, a.s.</w:t>
      </w:r>
      <w:r w:rsidR="00374147" w:rsidRPr="00C66720">
        <w:rPr>
          <w:rFonts w:ascii="Times New Roman" w:hAnsi="Times New Roman"/>
          <w:szCs w:val="22"/>
          <w:lang w:eastAsia="sk-SK"/>
        </w:rPr>
        <w:t xml:space="preserve"> </w:t>
      </w:r>
      <w:r w:rsidR="00B501CA" w:rsidRPr="00C66720">
        <w:rPr>
          <w:rFonts w:ascii="Times New Roman" w:hAnsi="Times New Roman"/>
          <w:szCs w:val="22"/>
          <w:lang w:eastAsia="sk-SK"/>
        </w:rPr>
        <w:br/>
        <w:t>1</w:t>
      </w:r>
      <w:r w:rsidR="00941726" w:rsidRPr="00C66720">
        <w:rPr>
          <w:rFonts w:ascii="Times New Roman" w:hAnsi="Times New Roman"/>
          <w:szCs w:val="22"/>
          <w:lang w:eastAsia="sk-SK"/>
        </w:rPr>
        <w:t> </w:t>
      </w:r>
      <w:r w:rsidR="004837B0" w:rsidRPr="00C66720">
        <w:rPr>
          <w:rFonts w:ascii="Times New Roman" w:hAnsi="Times New Roman"/>
          <w:szCs w:val="22"/>
          <w:lang w:eastAsia="sk-SK"/>
        </w:rPr>
        <w:t>2</w:t>
      </w:r>
      <w:r w:rsidR="00941726" w:rsidRPr="00C66720">
        <w:rPr>
          <w:rFonts w:ascii="Times New Roman" w:hAnsi="Times New Roman"/>
          <w:szCs w:val="22"/>
          <w:lang w:eastAsia="sk-SK"/>
        </w:rPr>
        <w:t>58 561</w:t>
      </w:r>
      <w:r w:rsidR="00374147" w:rsidRPr="00C66720">
        <w:rPr>
          <w:rFonts w:ascii="Times New Roman" w:hAnsi="Times New Roman"/>
          <w:szCs w:val="22"/>
          <w:lang w:eastAsia="sk-SK"/>
        </w:rPr>
        <w:t xml:space="preserve"> tis. eur</w:t>
      </w:r>
      <w:r w:rsidR="007B6860" w:rsidRPr="00C66720">
        <w:rPr>
          <w:rFonts w:ascii="Times New Roman" w:hAnsi="Times New Roman"/>
          <w:szCs w:val="22"/>
          <w:lang w:eastAsia="sk-SK"/>
        </w:rPr>
        <w:t xml:space="preserve"> (2021: 1 244 501 tis. eur)</w:t>
      </w:r>
      <w:r w:rsidR="006A38D6" w:rsidRPr="00C66720">
        <w:rPr>
          <w:rFonts w:ascii="Times New Roman" w:hAnsi="Times New Roman"/>
          <w:szCs w:val="22"/>
          <w:lang w:eastAsia="sk-SK"/>
        </w:rPr>
        <w:t xml:space="preserve">, ide najmä o </w:t>
      </w:r>
      <w:r w:rsidR="000B71FC" w:rsidRPr="00C66720">
        <w:rPr>
          <w:rFonts w:ascii="Times New Roman" w:hAnsi="Times New Roman"/>
          <w:szCs w:val="22"/>
          <w:lang w:eastAsia="sk-SK"/>
        </w:rPr>
        <w:t>pozemk</w:t>
      </w:r>
      <w:r w:rsidR="006A38D6" w:rsidRPr="00C66720">
        <w:rPr>
          <w:rFonts w:ascii="Times New Roman" w:hAnsi="Times New Roman"/>
          <w:szCs w:val="22"/>
          <w:lang w:eastAsia="sk-SK"/>
        </w:rPr>
        <w:t>y</w:t>
      </w:r>
      <w:r w:rsidR="000B71FC" w:rsidRPr="00C66720">
        <w:rPr>
          <w:rFonts w:ascii="Times New Roman" w:hAnsi="Times New Roman"/>
          <w:szCs w:val="22"/>
          <w:lang w:eastAsia="sk-SK"/>
        </w:rPr>
        <w:t xml:space="preserve"> pod </w:t>
      </w:r>
      <w:r w:rsidR="00B405FB" w:rsidRPr="00C66720">
        <w:rPr>
          <w:rFonts w:ascii="Times New Roman" w:hAnsi="Times New Roman"/>
          <w:szCs w:val="22"/>
          <w:lang w:eastAsia="sk-SK"/>
        </w:rPr>
        <w:t xml:space="preserve">existujúcou a </w:t>
      </w:r>
      <w:r w:rsidR="000B71FC" w:rsidRPr="00C66720">
        <w:rPr>
          <w:rFonts w:ascii="Times New Roman" w:hAnsi="Times New Roman"/>
          <w:szCs w:val="22"/>
          <w:lang w:eastAsia="sk-SK"/>
        </w:rPr>
        <w:t>pripravovanou diaľničnou a cestno</w:t>
      </w:r>
      <w:r w:rsidR="00B405FB" w:rsidRPr="00C66720">
        <w:rPr>
          <w:rFonts w:ascii="Times New Roman" w:hAnsi="Times New Roman"/>
          <w:szCs w:val="22"/>
          <w:lang w:eastAsia="sk-SK"/>
        </w:rPr>
        <w:t>u infraštruktúrou</w:t>
      </w:r>
      <w:r w:rsidR="006A38D6" w:rsidRPr="00C66720">
        <w:rPr>
          <w:rFonts w:ascii="Times New Roman" w:hAnsi="Times New Roman"/>
          <w:szCs w:val="22"/>
          <w:lang w:eastAsia="sk-SK"/>
        </w:rPr>
        <w:t>.</w:t>
      </w:r>
      <w:r w:rsidR="00B501CA" w:rsidRPr="00C66720">
        <w:rPr>
          <w:rFonts w:ascii="Times New Roman" w:hAnsi="Times New Roman"/>
          <w:szCs w:val="22"/>
          <w:lang w:eastAsia="sk-SK"/>
        </w:rPr>
        <w:t xml:space="preserve"> </w:t>
      </w:r>
      <w:r w:rsidR="00941726" w:rsidRPr="00C66720">
        <w:rPr>
          <w:rFonts w:ascii="Times New Roman" w:hAnsi="Times New Roman"/>
          <w:szCs w:val="22"/>
          <w:lang w:eastAsia="sk-SK"/>
        </w:rPr>
        <w:t>V roku 2022</w:t>
      </w:r>
      <w:r w:rsidRPr="00C66720">
        <w:rPr>
          <w:rFonts w:ascii="Times New Roman" w:hAnsi="Times New Roman"/>
          <w:szCs w:val="22"/>
          <w:lang w:eastAsia="sk-SK"/>
        </w:rPr>
        <w:t xml:space="preserve"> predstavoval</w:t>
      </w:r>
      <w:r w:rsidR="006829DA" w:rsidRPr="00C66720">
        <w:rPr>
          <w:rFonts w:ascii="Times New Roman" w:hAnsi="Times New Roman"/>
          <w:szCs w:val="22"/>
          <w:lang w:eastAsia="sk-SK"/>
        </w:rPr>
        <w:t xml:space="preserve"> prírastok pozemkov pod rôznymi rozpracovanými </w:t>
      </w:r>
      <w:r w:rsidRPr="00C66720">
        <w:rPr>
          <w:rFonts w:ascii="Times New Roman" w:hAnsi="Times New Roman"/>
          <w:szCs w:val="22"/>
          <w:lang w:eastAsia="sk-SK"/>
        </w:rPr>
        <w:t>úsekmi ciest</w:t>
      </w:r>
      <w:r w:rsidR="006829DA" w:rsidRPr="00C66720">
        <w:rPr>
          <w:rFonts w:ascii="Times New Roman" w:hAnsi="Times New Roman"/>
          <w:szCs w:val="22"/>
          <w:lang w:eastAsia="sk-SK"/>
        </w:rPr>
        <w:t xml:space="preserve"> </w:t>
      </w:r>
      <w:r w:rsidR="00941726" w:rsidRPr="00C66720">
        <w:rPr>
          <w:rFonts w:ascii="Times New Roman" w:hAnsi="Times New Roman"/>
          <w:szCs w:val="22"/>
          <w:lang w:eastAsia="sk-SK"/>
        </w:rPr>
        <w:t>14 059</w:t>
      </w:r>
      <w:r w:rsidR="00C22E78" w:rsidRPr="00C66720">
        <w:rPr>
          <w:rFonts w:ascii="Times New Roman" w:hAnsi="Times New Roman"/>
          <w:szCs w:val="22"/>
          <w:lang w:eastAsia="sk-SK"/>
        </w:rPr>
        <w:t xml:space="preserve"> </w:t>
      </w:r>
      <w:r w:rsidR="00374147" w:rsidRPr="00C66720">
        <w:rPr>
          <w:rFonts w:ascii="Times New Roman" w:hAnsi="Times New Roman"/>
          <w:szCs w:val="22"/>
          <w:lang w:eastAsia="sk-SK"/>
        </w:rPr>
        <w:t>tis. eur</w:t>
      </w:r>
      <w:r w:rsidR="00033707" w:rsidRPr="00C66720">
        <w:rPr>
          <w:rFonts w:ascii="Times New Roman" w:hAnsi="Times New Roman"/>
          <w:szCs w:val="22"/>
          <w:lang w:eastAsia="sk-SK"/>
        </w:rPr>
        <w:t xml:space="preserve"> (napr. D1 – D4 </w:t>
      </w:r>
      <w:r w:rsidR="0077445D" w:rsidRPr="00C66720">
        <w:rPr>
          <w:rFonts w:ascii="Times New Roman" w:hAnsi="Times New Roman"/>
          <w:szCs w:val="22"/>
          <w:lang w:eastAsia="sk-SK"/>
        </w:rPr>
        <w:t xml:space="preserve">za </w:t>
      </w:r>
      <w:r w:rsidR="00376625" w:rsidRPr="00C66720">
        <w:rPr>
          <w:rFonts w:ascii="Times New Roman" w:hAnsi="Times New Roman"/>
          <w:szCs w:val="22"/>
          <w:lang w:eastAsia="sk-SK"/>
        </w:rPr>
        <w:t>7 558</w:t>
      </w:r>
      <w:r w:rsidR="001E3680" w:rsidRPr="00C66720">
        <w:rPr>
          <w:rFonts w:ascii="Times New Roman" w:hAnsi="Times New Roman"/>
          <w:szCs w:val="22"/>
          <w:lang w:eastAsia="sk-SK"/>
        </w:rPr>
        <w:t xml:space="preserve"> tis. eur a</w:t>
      </w:r>
      <w:r w:rsidR="00E16F89" w:rsidRPr="00C66720">
        <w:rPr>
          <w:rFonts w:ascii="Times New Roman" w:hAnsi="Times New Roman"/>
          <w:szCs w:val="22"/>
          <w:lang w:eastAsia="sk-SK"/>
        </w:rPr>
        <w:t xml:space="preserve"> R1 </w:t>
      </w:r>
      <w:r w:rsidR="001E3680" w:rsidRPr="00C66720">
        <w:rPr>
          <w:rFonts w:ascii="Times New Roman" w:hAnsi="Times New Roman"/>
          <w:szCs w:val="22"/>
          <w:lang w:eastAsia="sk-SK"/>
        </w:rPr>
        <w:t xml:space="preserve">– R7 </w:t>
      </w:r>
      <w:r w:rsidR="009B1EFA" w:rsidRPr="00C66720">
        <w:rPr>
          <w:rFonts w:ascii="Times New Roman" w:hAnsi="Times New Roman"/>
          <w:szCs w:val="22"/>
          <w:lang w:eastAsia="sk-SK"/>
        </w:rPr>
        <w:br/>
      </w:r>
      <w:r w:rsidR="00E16F89" w:rsidRPr="00C66720">
        <w:rPr>
          <w:rFonts w:ascii="Times New Roman" w:hAnsi="Times New Roman"/>
          <w:szCs w:val="22"/>
          <w:lang w:eastAsia="sk-SK"/>
        </w:rPr>
        <w:t xml:space="preserve">za </w:t>
      </w:r>
      <w:r w:rsidR="00376625" w:rsidRPr="00C66720">
        <w:rPr>
          <w:rFonts w:ascii="Times New Roman" w:hAnsi="Times New Roman"/>
          <w:szCs w:val="22"/>
          <w:lang w:eastAsia="sk-SK"/>
        </w:rPr>
        <w:t>6 783</w:t>
      </w:r>
      <w:r w:rsidR="00033707" w:rsidRPr="00C66720">
        <w:rPr>
          <w:rFonts w:ascii="Times New Roman" w:hAnsi="Times New Roman"/>
          <w:szCs w:val="22"/>
          <w:lang w:eastAsia="sk-SK"/>
        </w:rPr>
        <w:t xml:space="preserve"> tis. eur</w:t>
      </w:r>
      <w:r w:rsidR="001E3680" w:rsidRPr="00C66720">
        <w:rPr>
          <w:rFonts w:ascii="Times New Roman" w:hAnsi="Times New Roman"/>
          <w:szCs w:val="22"/>
          <w:lang w:eastAsia="sk-SK"/>
        </w:rPr>
        <w:t>)</w:t>
      </w:r>
      <w:r w:rsidR="00F3048E" w:rsidRPr="00C66720">
        <w:rPr>
          <w:rFonts w:ascii="Times New Roman" w:hAnsi="Times New Roman"/>
          <w:szCs w:val="22"/>
          <w:lang w:eastAsia="sk-SK"/>
        </w:rPr>
        <w:t xml:space="preserve">, </w:t>
      </w:r>
      <w:r w:rsidR="00BD4E11" w:rsidRPr="00C66720">
        <w:rPr>
          <w:rFonts w:ascii="Times New Roman" w:hAnsi="Times New Roman"/>
          <w:szCs w:val="22"/>
          <w:lang w:eastAsia="sk-SK"/>
        </w:rPr>
        <w:t>pričom k vyradeniu pozemko</w:t>
      </w:r>
      <w:r w:rsidR="007A4484">
        <w:rPr>
          <w:rFonts w:ascii="Times New Roman" w:hAnsi="Times New Roman"/>
          <w:szCs w:val="22"/>
          <w:lang w:eastAsia="sk-SK"/>
        </w:rPr>
        <w:t>v</w:t>
      </w:r>
      <w:r w:rsidR="00BD4E11" w:rsidRPr="00C66720">
        <w:rPr>
          <w:rFonts w:ascii="Times New Roman" w:hAnsi="Times New Roman"/>
          <w:szCs w:val="22"/>
          <w:lang w:eastAsia="sk-SK"/>
        </w:rPr>
        <w:t xml:space="preserve"> došlo len v hodnote </w:t>
      </w:r>
      <w:r w:rsidR="00376625" w:rsidRPr="00C66720">
        <w:rPr>
          <w:rFonts w:ascii="Times New Roman" w:hAnsi="Times New Roman"/>
          <w:szCs w:val="22"/>
          <w:lang w:eastAsia="sk-SK"/>
        </w:rPr>
        <w:t>282</w:t>
      </w:r>
      <w:r w:rsidR="00BD4E11" w:rsidRPr="00C66720">
        <w:rPr>
          <w:rFonts w:ascii="Times New Roman" w:hAnsi="Times New Roman"/>
          <w:szCs w:val="22"/>
          <w:lang w:eastAsia="sk-SK"/>
        </w:rPr>
        <w:t xml:space="preserve"> tis. eur</w:t>
      </w:r>
      <w:r w:rsidRPr="00C66720">
        <w:rPr>
          <w:rFonts w:ascii="Times New Roman" w:hAnsi="Times New Roman"/>
          <w:szCs w:val="22"/>
          <w:lang w:eastAsia="sk-SK"/>
        </w:rPr>
        <w:t>.</w:t>
      </w:r>
      <w:r w:rsidR="000B71FC" w:rsidRPr="00C66720">
        <w:rPr>
          <w:rFonts w:ascii="Times New Roman" w:hAnsi="Times New Roman"/>
          <w:szCs w:val="22"/>
          <w:lang w:eastAsia="sk-SK"/>
        </w:rPr>
        <w:t xml:space="preserve"> </w:t>
      </w:r>
      <w:r w:rsidR="00B405FB" w:rsidRPr="00C66720">
        <w:rPr>
          <w:rFonts w:ascii="Times New Roman" w:hAnsi="Times New Roman"/>
          <w:szCs w:val="22"/>
          <w:lang w:eastAsia="sk-SK"/>
        </w:rPr>
        <w:t xml:space="preserve">Ďalej sú rozhodujúcimi jednotkami </w:t>
      </w:r>
      <w:r w:rsidR="00D64EDF" w:rsidRPr="00C66720">
        <w:rPr>
          <w:rFonts w:ascii="Times New Roman" w:hAnsi="Times New Roman"/>
          <w:szCs w:val="22"/>
          <w:lang w:eastAsia="sk-SK"/>
        </w:rPr>
        <w:t>na</w:t>
      </w:r>
      <w:r w:rsidR="00B405FB" w:rsidRPr="00C66720">
        <w:rPr>
          <w:rFonts w:ascii="Times New Roman" w:hAnsi="Times New Roman"/>
          <w:szCs w:val="22"/>
          <w:lang w:eastAsia="sk-SK"/>
        </w:rPr>
        <w:t xml:space="preserve"> hodnote pozemkov </w:t>
      </w:r>
      <w:r w:rsidR="000B71FC" w:rsidRPr="00C66720">
        <w:rPr>
          <w:rFonts w:ascii="Times New Roman" w:hAnsi="Times New Roman"/>
          <w:szCs w:val="22"/>
          <w:lang w:eastAsia="sk-SK"/>
        </w:rPr>
        <w:t xml:space="preserve">Verejné prístavy, a.s. </w:t>
      </w:r>
      <w:r w:rsidR="00D64EDF" w:rsidRPr="00C66720">
        <w:rPr>
          <w:rFonts w:ascii="Times New Roman" w:hAnsi="Times New Roman"/>
          <w:szCs w:val="22"/>
          <w:lang w:eastAsia="sk-SK"/>
        </w:rPr>
        <w:t>(</w:t>
      </w:r>
      <w:r w:rsidR="003054C2" w:rsidRPr="00C66720">
        <w:rPr>
          <w:rFonts w:ascii="Times New Roman" w:hAnsi="Times New Roman"/>
          <w:szCs w:val="22"/>
          <w:lang w:eastAsia="sk-SK"/>
        </w:rPr>
        <w:t>585 627</w:t>
      </w:r>
      <w:r w:rsidR="00D64EDF" w:rsidRPr="00C66720">
        <w:rPr>
          <w:rFonts w:ascii="Times New Roman" w:hAnsi="Times New Roman"/>
          <w:szCs w:val="22"/>
          <w:lang w:eastAsia="sk-SK"/>
        </w:rPr>
        <w:t xml:space="preserve"> </w:t>
      </w:r>
      <w:r w:rsidR="000B71FC" w:rsidRPr="00C66720">
        <w:rPr>
          <w:rFonts w:ascii="Times New Roman" w:hAnsi="Times New Roman"/>
          <w:szCs w:val="22"/>
          <w:lang w:eastAsia="sk-SK"/>
        </w:rPr>
        <w:t>tis. eur</w:t>
      </w:r>
      <w:r w:rsidR="00B405FB" w:rsidRPr="00C66720">
        <w:rPr>
          <w:rFonts w:ascii="Times New Roman" w:hAnsi="Times New Roman"/>
          <w:szCs w:val="22"/>
          <w:lang w:eastAsia="sk-SK"/>
        </w:rPr>
        <w:t>)</w:t>
      </w:r>
      <w:r w:rsidR="000B71FC" w:rsidRPr="00C66720">
        <w:rPr>
          <w:rFonts w:ascii="Times New Roman" w:hAnsi="Times New Roman"/>
          <w:szCs w:val="22"/>
          <w:lang w:eastAsia="sk-SK"/>
        </w:rPr>
        <w:t xml:space="preserve">, </w:t>
      </w:r>
      <w:r w:rsidR="00B405FB" w:rsidRPr="00C66720">
        <w:rPr>
          <w:rFonts w:ascii="Times New Roman" w:hAnsi="Times New Roman"/>
          <w:szCs w:val="22"/>
          <w:lang w:eastAsia="sk-SK"/>
        </w:rPr>
        <w:t xml:space="preserve">Železnice SR </w:t>
      </w:r>
      <w:r w:rsidR="00983155">
        <w:rPr>
          <w:rFonts w:ascii="Times New Roman" w:hAnsi="Times New Roman"/>
          <w:szCs w:val="22"/>
          <w:lang w:eastAsia="sk-SK"/>
        </w:rPr>
        <w:br/>
      </w:r>
      <w:r w:rsidR="005E13F3" w:rsidRPr="00C66720">
        <w:rPr>
          <w:rFonts w:ascii="Times New Roman" w:hAnsi="Times New Roman"/>
          <w:szCs w:val="22"/>
          <w:lang w:eastAsia="sk-SK"/>
        </w:rPr>
        <w:t>(</w:t>
      </w:r>
      <w:r w:rsidR="004F2FE4" w:rsidRPr="00C66720">
        <w:rPr>
          <w:rFonts w:ascii="Times New Roman" w:hAnsi="Times New Roman"/>
          <w:szCs w:val="22"/>
          <w:lang w:eastAsia="sk-SK"/>
        </w:rPr>
        <w:t>546 670</w:t>
      </w:r>
      <w:r w:rsidR="00B405FB" w:rsidRPr="00C66720">
        <w:rPr>
          <w:rFonts w:ascii="Times New Roman" w:hAnsi="Times New Roman"/>
          <w:szCs w:val="22"/>
          <w:lang w:eastAsia="sk-SK"/>
        </w:rPr>
        <w:t xml:space="preserve"> tis. eur</w:t>
      </w:r>
      <w:r w:rsidR="005E13F3" w:rsidRPr="00C66720">
        <w:rPr>
          <w:rFonts w:ascii="Times New Roman" w:hAnsi="Times New Roman"/>
          <w:szCs w:val="22"/>
          <w:lang w:eastAsia="sk-SK"/>
        </w:rPr>
        <w:t>)</w:t>
      </w:r>
      <w:r w:rsidR="00B405FB" w:rsidRPr="00C66720">
        <w:rPr>
          <w:rFonts w:ascii="Times New Roman" w:hAnsi="Times New Roman"/>
          <w:szCs w:val="22"/>
          <w:lang w:eastAsia="sk-SK"/>
        </w:rPr>
        <w:t xml:space="preserve"> a </w:t>
      </w:r>
      <w:r w:rsidR="000B71FC" w:rsidRPr="00C66720">
        <w:rPr>
          <w:rFonts w:ascii="Times New Roman" w:hAnsi="Times New Roman"/>
          <w:szCs w:val="22"/>
          <w:lang w:eastAsia="sk-SK"/>
        </w:rPr>
        <w:t xml:space="preserve">Lesy SR, š.p. </w:t>
      </w:r>
      <w:r w:rsidR="00B405FB" w:rsidRPr="00C66720">
        <w:rPr>
          <w:rFonts w:ascii="Times New Roman" w:hAnsi="Times New Roman"/>
          <w:szCs w:val="22"/>
          <w:lang w:eastAsia="sk-SK"/>
        </w:rPr>
        <w:t>(</w:t>
      </w:r>
      <w:r w:rsidR="004F2FE4" w:rsidRPr="00C66720">
        <w:rPr>
          <w:rFonts w:ascii="Times New Roman" w:hAnsi="Times New Roman"/>
          <w:szCs w:val="22"/>
          <w:lang w:eastAsia="sk-SK"/>
        </w:rPr>
        <w:t>503 357</w:t>
      </w:r>
      <w:r w:rsidR="003054C2" w:rsidRPr="00C66720">
        <w:rPr>
          <w:rFonts w:ascii="Times New Roman" w:hAnsi="Times New Roman"/>
          <w:szCs w:val="22"/>
          <w:lang w:eastAsia="sk-SK"/>
        </w:rPr>
        <w:t xml:space="preserve"> </w:t>
      </w:r>
      <w:r w:rsidR="000B71FC" w:rsidRPr="00C66720">
        <w:rPr>
          <w:rFonts w:ascii="Times New Roman" w:hAnsi="Times New Roman"/>
          <w:szCs w:val="22"/>
          <w:lang w:eastAsia="sk-SK"/>
        </w:rPr>
        <w:t>tis.</w:t>
      </w:r>
      <w:r w:rsidR="003966B5" w:rsidRPr="00C66720">
        <w:rPr>
          <w:rFonts w:ascii="Times New Roman" w:hAnsi="Times New Roman"/>
          <w:szCs w:val="22"/>
          <w:lang w:eastAsia="sk-SK"/>
        </w:rPr>
        <w:t> </w:t>
      </w:r>
      <w:r w:rsidR="000B71FC" w:rsidRPr="00C66720">
        <w:rPr>
          <w:rFonts w:ascii="Times New Roman" w:hAnsi="Times New Roman"/>
          <w:szCs w:val="22"/>
          <w:lang w:eastAsia="sk-SK"/>
        </w:rPr>
        <w:t>eur</w:t>
      </w:r>
      <w:r w:rsidR="00B405FB" w:rsidRPr="00C66720">
        <w:rPr>
          <w:rFonts w:ascii="Times New Roman" w:hAnsi="Times New Roman"/>
          <w:szCs w:val="22"/>
          <w:lang w:eastAsia="sk-SK"/>
        </w:rPr>
        <w:t>)</w:t>
      </w:r>
      <w:r w:rsidR="000B71FC" w:rsidRPr="00C66720">
        <w:rPr>
          <w:rFonts w:ascii="Times New Roman" w:hAnsi="Times New Roman"/>
          <w:szCs w:val="22"/>
          <w:lang w:eastAsia="sk-SK"/>
        </w:rPr>
        <w:t>.</w:t>
      </w:r>
      <w:r w:rsidR="00B405FB" w:rsidRPr="00C66720">
        <w:rPr>
          <w:rFonts w:ascii="Times New Roman" w:hAnsi="Times New Roman"/>
          <w:szCs w:val="22"/>
          <w:lang w:eastAsia="sk-SK"/>
        </w:rPr>
        <w:t xml:space="preserve"> </w:t>
      </w:r>
    </w:p>
    <w:p w14:paraId="7904BCFF" w14:textId="06E7E11A" w:rsidR="00394223" w:rsidRPr="00C66720" w:rsidRDefault="00AF6807" w:rsidP="00941E27">
      <w:pPr>
        <w:tabs>
          <w:tab w:val="num" w:pos="0"/>
        </w:tabs>
        <w:spacing w:before="120" w:after="120" w:line="240" w:lineRule="auto"/>
        <w:jc w:val="both"/>
        <w:rPr>
          <w:rFonts w:ascii="Times New Roman" w:hAnsi="Times New Roman"/>
          <w:szCs w:val="22"/>
          <w:highlight w:val="yellow"/>
          <w:lang w:eastAsia="sk-SK"/>
        </w:rPr>
      </w:pPr>
      <w:r w:rsidRPr="00C66720">
        <w:rPr>
          <w:rFonts w:ascii="Times New Roman" w:hAnsi="Times New Roman"/>
          <w:szCs w:val="22"/>
          <w:lang w:eastAsia="sk-SK"/>
        </w:rPr>
        <w:t>Na medziročnom prírastku hodnoty pozemkov úst</w:t>
      </w:r>
      <w:r w:rsidR="00394223" w:rsidRPr="00C66720">
        <w:rPr>
          <w:rFonts w:ascii="Times New Roman" w:hAnsi="Times New Roman"/>
          <w:szCs w:val="22"/>
          <w:lang w:eastAsia="sk-SK"/>
        </w:rPr>
        <w:t>rednej správy sa najviac podieľali správy národných parkov sumou 124 708 tis. eur</w:t>
      </w:r>
      <w:r w:rsidR="009F65DD" w:rsidRPr="00C66720">
        <w:rPr>
          <w:rFonts w:ascii="Times New Roman" w:hAnsi="Times New Roman"/>
          <w:szCs w:val="22"/>
          <w:lang w:eastAsia="sk-SK"/>
        </w:rPr>
        <w:t xml:space="preserve"> </w:t>
      </w:r>
      <w:r w:rsidR="0083479B">
        <w:rPr>
          <w:rFonts w:ascii="Times New Roman" w:hAnsi="Times New Roman"/>
          <w:szCs w:val="22"/>
          <w:lang w:eastAsia="sk-SK"/>
        </w:rPr>
        <w:t xml:space="preserve">najmä </w:t>
      </w:r>
      <w:r w:rsidR="005A16D8" w:rsidRPr="00C66720">
        <w:rPr>
          <w:rFonts w:ascii="Times New Roman" w:hAnsi="Times New Roman"/>
          <w:szCs w:val="22"/>
          <w:lang w:eastAsia="sk-SK"/>
        </w:rPr>
        <w:t>vplyvom reformy národných parkov, pri ktorej došlo k prechodu správy majetku štátu a iných práv a povinností na novozriadené správy národných parkov</w:t>
      </w:r>
      <w:r w:rsidR="00AB2C23">
        <w:rPr>
          <w:rFonts w:ascii="Times New Roman" w:hAnsi="Times New Roman"/>
          <w:szCs w:val="22"/>
          <w:lang w:eastAsia="sk-SK"/>
        </w:rPr>
        <w:t xml:space="preserve"> (9 správ národných parkov)</w:t>
      </w:r>
      <w:r w:rsidR="005A16D8" w:rsidRPr="00C66720">
        <w:rPr>
          <w:rFonts w:ascii="Times New Roman" w:hAnsi="Times New Roman"/>
          <w:szCs w:val="22"/>
          <w:lang w:eastAsia="sk-SK"/>
        </w:rPr>
        <w:t xml:space="preserve">. </w:t>
      </w:r>
      <w:r w:rsidR="0083479B">
        <w:rPr>
          <w:rFonts w:ascii="Times New Roman" w:hAnsi="Times New Roman"/>
          <w:szCs w:val="22"/>
          <w:lang w:eastAsia="sk-SK"/>
        </w:rPr>
        <w:t>Tento prírastok je zárove</w:t>
      </w:r>
      <w:r w:rsidR="00AB2C23">
        <w:rPr>
          <w:rFonts w:ascii="Times New Roman" w:hAnsi="Times New Roman"/>
          <w:szCs w:val="22"/>
          <w:lang w:eastAsia="sk-SK"/>
        </w:rPr>
        <w:t>ň zaznamenaný ako úbytok v rámci organizácií v pôsobnosti kapitoly Ministerstva pôdohospodárstva a rozvoja vidieka SR (Správa Tatranského národného parku, Lesy SR, š.p.</w:t>
      </w:r>
      <w:r w:rsidR="001B5186">
        <w:rPr>
          <w:rFonts w:ascii="Times New Roman" w:hAnsi="Times New Roman"/>
          <w:szCs w:val="22"/>
          <w:lang w:eastAsia="sk-SK"/>
        </w:rPr>
        <w:t>, Lespopoľnohospodársky majetok Ulič, š.p.</w:t>
      </w:r>
      <w:r w:rsidR="00AB2C23">
        <w:rPr>
          <w:rFonts w:ascii="Times New Roman" w:hAnsi="Times New Roman"/>
          <w:szCs w:val="22"/>
          <w:lang w:eastAsia="sk-SK"/>
        </w:rPr>
        <w:t>) z</w:t>
      </w:r>
      <w:r w:rsidR="001B5186">
        <w:rPr>
          <w:rFonts w:ascii="Times New Roman" w:hAnsi="Times New Roman"/>
          <w:szCs w:val="22"/>
          <w:lang w:eastAsia="sk-SK"/>
        </w:rPr>
        <w:t> </w:t>
      </w:r>
      <w:r w:rsidR="00AB2C23">
        <w:rPr>
          <w:rFonts w:ascii="Times New Roman" w:hAnsi="Times New Roman"/>
          <w:szCs w:val="22"/>
          <w:lang w:eastAsia="sk-SK"/>
        </w:rPr>
        <w:t>dôvodu</w:t>
      </w:r>
      <w:r w:rsidR="001B5186">
        <w:rPr>
          <w:rFonts w:ascii="Times New Roman" w:hAnsi="Times New Roman"/>
          <w:szCs w:val="22"/>
          <w:lang w:eastAsia="sk-SK"/>
        </w:rPr>
        <w:t xml:space="preserve"> </w:t>
      </w:r>
      <w:r w:rsidR="00CE58C0">
        <w:rPr>
          <w:rFonts w:ascii="Times New Roman" w:hAnsi="Times New Roman"/>
          <w:szCs w:val="22"/>
          <w:lang w:eastAsia="sk-SK"/>
        </w:rPr>
        <w:t xml:space="preserve">prevodu </w:t>
      </w:r>
      <w:r w:rsidR="001B5186">
        <w:rPr>
          <w:rFonts w:ascii="Times New Roman" w:hAnsi="Times New Roman"/>
          <w:szCs w:val="22"/>
          <w:lang w:eastAsia="sk-SK"/>
        </w:rPr>
        <w:t xml:space="preserve">práv a povinností na nových správcov majetku štátu. </w:t>
      </w:r>
      <w:r w:rsidR="00355467" w:rsidRPr="00C66720">
        <w:rPr>
          <w:rFonts w:ascii="Times New Roman" w:hAnsi="Times New Roman"/>
          <w:szCs w:val="22"/>
          <w:lang w:eastAsia="sk-SK"/>
        </w:rPr>
        <w:t>Úrad vlády SR sumou 36 293 tis. eur</w:t>
      </w:r>
      <w:r w:rsidR="009F65DD" w:rsidRPr="00C66720">
        <w:rPr>
          <w:rFonts w:ascii="Times New Roman" w:hAnsi="Times New Roman"/>
          <w:szCs w:val="22"/>
          <w:lang w:eastAsia="sk-SK"/>
        </w:rPr>
        <w:t xml:space="preserve"> z dôvodu zosúladenia účtovnej evidencie s údajmi na listoch vlastníctva</w:t>
      </w:r>
      <w:r w:rsidR="004F23C4" w:rsidRPr="00C66720">
        <w:rPr>
          <w:rFonts w:ascii="Times New Roman" w:hAnsi="Times New Roman"/>
          <w:szCs w:val="22"/>
          <w:lang w:eastAsia="sk-SK"/>
        </w:rPr>
        <w:t xml:space="preserve"> podľa evidencie v katastri nehnuteľností</w:t>
      </w:r>
      <w:r w:rsidR="009F65DD" w:rsidRPr="00C66720">
        <w:rPr>
          <w:rFonts w:ascii="Times New Roman" w:hAnsi="Times New Roman"/>
          <w:szCs w:val="22"/>
          <w:lang w:eastAsia="sk-SK"/>
        </w:rPr>
        <w:t>,</w:t>
      </w:r>
      <w:r w:rsidR="00355467" w:rsidRPr="00C66720">
        <w:rPr>
          <w:rFonts w:ascii="Times New Roman" w:hAnsi="Times New Roman"/>
          <w:szCs w:val="22"/>
          <w:lang w:eastAsia="sk-SK"/>
        </w:rPr>
        <w:t xml:space="preserve"> </w:t>
      </w:r>
      <w:r w:rsidR="00DB30AC" w:rsidRPr="00C66720">
        <w:rPr>
          <w:rFonts w:ascii="Times New Roman" w:hAnsi="Times New Roman"/>
          <w:szCs w:val="22"/>
          <w:lang w:eastAsia="sk-SK"/>
        </w:rPr>
        <w:t xml:space="preserve">a Národná diaľničná spoločnosť, a.s. sumou 14 059 tis. </w:t>
      </w:r>
      <w:r w:rsidR="00A0752C" w:rsidRPr="00C66720">
        <w:rPr>
          <w:rFonts w:ascii="Times New Roman" w:hAnsi="Times New Roman"/>
          <w:szCs w:val="22"/>
          <w:lang w:eastAsia="sk-SK"/>
        </w:rPr>
        <w:t>eur</w:t>
      </w:r>
      <w:r w:rsidR="00E66E4F" w:rsidRPr="00C66720">
        <w:rPr>
          <w:rFonts w:ascii="Times New Roman" w:hAnsi="Times New Roman"/>
          <w:szCs w:val="22"/>
          <w:lang w:eastAsia="sk-SK"/>
        </w:rPr>
        <w:t xml:space="preserve"> a Slovenská správa ciest, a.s. sumou </w:t>
      </w:r>
      <w:r w:rsidR="00983155">
        <w:rPr>
          <w:rFonts w:ascii="Times New Roman" w:hAnsi="Times New Roman"/>
          <w:szCs w:val="22"/>
          <w:lang w:eastAsia="sk-SK"/>
        </w:rPr>
        <w:br/>
      </w:r>
      <w:r w:rsidR="00E66E4F" w:rsidRPr="00C66720">
        <w:rPr>
          <w:rFonts w:ascii="Times New Roman" w:hAnsi="Times New Roman"/>
          <w:szCs w:val="22"/>
          <w:lang w:eastAsia="sk-SK"/>
        </w:rPr>
        <w:t>6 502 tis. eur</w:t>
      </w:r>
      <w:r w:rsidR="00DB30AC" w:rsidRPr="00C66720">
        <w:rPr>
          <w:rFonts w:ascii="Times New Roman" w:hAnsi="Times New Roman"/>
          <w:szCs w:val="22"/>
          <w:lang w:eastAsia="sk-SK"/>
        </w:rPr>
        <w:t>.</w:t>
      </w:r>
    </w:p>
    <w:p w14:paraId="74828725" w14:textId="54528991" w:rsidR="001D62D9" w:rsidRPr="00C66720" w:rsidRDefault="001D62D9" w:rsidP="00941E27">
      <w:pPr>
        <w:tabs>
          <w:tab w:val="num" w:pos="0"/>
        </w:tabs>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Z ostatných subjektov verejnej správy vykazujú najvyššie h</w:t>
      </w:r>
      <w:r w:rsidR="00DC5FD2" w:rsidRPr="00C66720">
        <w:rPr>
          <w:rFonts w:ascii="Times New Roman" w:hAnsi="Times New Roman"/>
          <w:szCs w:val="22"/>
          <w:lang w:eastAsia="sk-SK"/>
        </w:rPr>
        <w:t>odnoty Slovenský pozemkový fond</w:t>
      </w:r>
      <w:r w:rsidR="00DC5FD2" w:rsidRPr="00C66720">
        <w:rPr>
          <w:rFonts w:ascii="Times New Roman" w:hAnsi="Times New Roman"/>
          <w:szCs w:val="22"/>
          <w:lang w:eastAsia="sk-SK"/>
        </w:rPr>
        <w:br/>
      </w:r>
      <w:r w:rsidR="009408A5" w:rsidRPr="00C66720">
        <w:rPr>
          <w:rFonts w:ascii="Times New Roman" w:hAnsi="Times New Roman"/>
          <w:szCs w:val="22"/>
          <w:lang w:eastAsia="sk-SK"/>
        </w:rPr>
        <w:t>267 671</w:t>
      </w:r>
      <w:r w:rsidRPr="00C66720">
        <w:rPr>
          <w:rFonts w:ascii="Times New Roman" w:hAnsi="Times New Roman"/>
          <w:szCs w:val="22"/>
          <w:lang w:eastAsia="sk-SK"/>
        </w:rPr>
        <w:t xml:space="preserve"> t</w:t>
      </w:r>
      <w:r w:rsidR="00191301" w:rsidRPr="00C66720">
        <w:rPr>
          <w:rFonts w:ascii="Times New Roman" w:hAnsi="Times New Roman"/>
          <w:szCs w:val="22"/>
          <w:lang w:eastAsia="sk-SK"/>
        </w:rPr>
        <w:t xml:space="preserve">is. eur a verejné vysoké školy </w:t>
      </w:r>
      <w:r w:rsidR="00042D2C" w:rsidRPr="00C66720">
        <w:rPr>
          <w:rFonts w:ascii="Times New Roman" w:hAnsi="Times New Roman"/>
          <w:szCs w:val="22"/>
          <w:lang w:eastAsia="sk-SK"/>
        </w:rPr>
        <w:t>132 502</w:t>
      </w:r>
      <w:r w:rsidRPr="00C66720">
        <w:rPr>
          <w:rFonts w:ascii="Times New Roman" w:hAnsi="Times New Roman"/>
          <w:szCs w:val="22"/>
          <w:lang w:eastAsia="sk-SK"/>
        </w:rPr>
        <w:t xml:space="preserve"> tis. eur. </w:t>
      </w:r>
    </w:p>
    <w:p w14:paraId="292F19F4" w14:textId="77777777" w:rsidR="00C641F6" w:rsidRPr="00C66720" w:rsidRDefault="00C641F6" w:rsidP="00941E27">
      <w:pPr>
        <w:pStyle w:val="Pismenka"/>
        <w:numPr>
          <w:ilvl w:val="0"/>
          <w:numId w:val="44"/>
        </w:numPr>
        <w:spacing w:before="240" w:after="200"/>
        <w:ind w:left="284" w:hanging="284"/>
        <w:rPr>
          <w:i/>
          <w:szCs w:val="22"/>
          <w:u w:val="single"/>
        </w:rPr>
      </w:pPr>
      <w:bookmarkStart w:id="8" w:name="_Ref86091400"/>
      <w:r w:rsidRPr="00C66720">
        <w:rPr>
          <w:i/>
          <w:sz w:val="22"/>
          <w:szCs w:val="22"/>
          <w:u w:val="single"/>
        </w:rPr>
        <w:t>Samostatné hnuteľné veci a súbory hnuteľných vecí</w:t>
      </w:r>
      <w:bookmarkEnd w:id="8"/>
    </w:p>
    <w:p w14:paraId="0F0377C4" w14:textId="10B40C2F" w:rsidR="00C641F6" w:rsidRPr="00C66720" w:rsidRDefault="00C641F6" w:rsidP="00CE2D52">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Tento druh majetku predstavujú najmä prístroje, stroje, technické zariadenia, počítačové vybavenie, ktoré sú použiteľné samostatne alebo tvoria určitý súbor zariadení, ktoré môžu fungovať len v spoločnom zapojení (multimediálne zariadenia, laboratórne zariadenia), ale aj vojenská a špeciálna technika. Hodnota tohto majetku dosiahla </w:t>
      </w:r>
      <w:r w:rsidR="00DF1E01" w:rsidRPr="00C66720">
        <w:rPr>
          <w:rFonts w:ascii="Times New Roman" w:hAnsi="Times New Roman"/>
          <w:szCs w:val="22"/>
          <w:lang w:eastAsia="sk-SK"/>
        </w:rPr>
        <w:t xml:space="preserve">2 729 </w:t>
      </w:r>
      <w:r w:rsidR="00F11B79" w:rsidRPr="00C66720">
        <w:rPr>
          <w:rFonts w:ascii="Times New Roman" w:hAnsi="Times New Roman"/>
          <w:szCs w:val="22"/>
          <w:lang w:eastAsia="sk-SK"/>
        </w:rPr>
        <w:t>910</w:t>
      </w:r>
      <w:r w:rsidRPr="00C66720">
        <w:rPr>
          <w:rFonts w:ascii="Times New Roman" w:hAnsi="Times New Roman"/>
          <w:szCs w:val="22"/>
          <w:lang w:eastAsia="sk-SK"/>
        </w:rPr>
        <w:t xml:space="preserve"> tis. eur a medziročne sa zvýšila o</w:t>
      </w:r>
      <w:r w:rsidR="00DF1E01" w:rsidRPr="00C66720">
        <w:rPr>
          <w:rFonts w:ascii="Times New Roman" w:hAnsi="Times New Roman"/>
          <w:szCs w:val="22"/>
          <w:lang w:eastAsia="sk-SK"/>
        </w:rPr>
        <w:t xml:space="preserve"> 93 </w:t>
      </w:r>
      <w:r w:rsidR="00CC4F8D" w:rsidRPr="00C66720">
        <w:rPr>
          <w:rFonts w:ascii="Times New Roman" w:hAnsi="Times New Roman"/>
          <w:szCs w:val="22"/>
          <w:lang w:eastAsia="sk-SK"/>
        </w:rPr>
        <w:t>792</w:t>
      </w:r>
      <w:r w:rsidRPr="00C66720">
        <w:rPr>
          <w:rFonts w:ascii="Times New Roman" w:hAnsi="Times New Roman"/>
          <w:szCs w:val="22"/>
          <w:lang w:eastAsia="sk-SK"/>
        </w:rPr>
        <w:t xml:space="preserve"> tis. eur.</w:t>
      </w:r>
    </w:p>
    <w:p w14:paraId="2B7324D2" w14:textId="561EE6A9" w:rsidR="004F5E20" w:rsidRPr="00C66720" w:rsidRDefault="00C641F6" w:rsidP="00C70928">
      <w:pPr>
        <w:spacing w:before="120" w:after="120" w:line="240" w:lineRule="auto"/>
        <w:jc w:val="both"/>
        <w:rPr>
          <w:rFonts w:ascii="Times New Roman" w:hAnsi="Times New Roman"/>
          <w:szCs w:val="22"/>
          <w:highlight w:val="yellow"/>
          <w:lang w:eastAsia="sk-SK"/>
        </w:rPr>
      </w:pPr>
      <w:r w:rsidRPr="00C66720">
        <w:rPr>
          <w:rFonts w:ascii="Times New Roman" w:hAnsi="Times New Roman"/>
          <w:szCs w:val="22"/>
          <w:lang w:eastAsia="sk-SK"/>
        </w:rPr>
        <w:t xml:space="preserve">Ústredná správa vykazuje úhrnom </w:t>
      </w:r>
      <w:r w:rsidR="00AA77BC" w:rsidRPr="00C66720">
        <w:rPr>
          <w:rFonts w:ascii="Times New Roman" w:hAnsi="Times New Roman"/>
          <w:szCs w:val="22"/>
          <w:lang w:eastAsia="sk-SK"/>
        </w:rPr>
        <w:t>1</w:t>
      </w:r>
      <w:r w:rsidR="00C635CD" w:rsidRPr="00C66720">
        <w:rPr>
          <w:rFonts w:ascii="Times New Roman" w:hAnsi="Times New Roman"/>
          <w:szCs w:val="22"/>
          <w:lang w:eastAsia="sk-SK"/>
        </w:rPr>
        <w:t> 672 523</w:t>
      </w:r>
      <w:r w:rsidRPr="00C66720">
        <w:rPr>
          <w:rFonts w:ascii="Times New Roman" w:hAnsi="Times New Roman"/>
          <w:szCs w:val="22"/>
          <w:lang w:eastAsia="sk-SK"/>
        </w:rPr>
        <w:t xml:space="preserve"> tis.</w:t>
      </w:r>
      <w:r w:rsidR="00AA77BC" w:rsidRPr="00C66720">
        <w:rPr>
          <w:rFonts w:ascii="Times New Roman" w:hAnsi="Times New Roman"/>
          <w:szCs w:val="22"/>
          <w:lang w:eastAsia="sk-SK"/>
        </w:rPr>
        <w:t xml:space="preserve"> eur, a v porovnaní s rokom </w:t>
      </w:r>
      <w:r w:rsidR="00C635CD" w:rsidRPr="00C66720">
        <w:rPr>
          <w:rFonts w:ascii="Times New Roman" w:hAnsi="Times New Roman"/>
          <w:szCs w:val="22"/>
          <w:lang w:eastAsia="sk-SK"/>
        </w:rPr>
        <w:t>2021</w:t>
      </w:r>
      <w:r w:rsidRPr="00C66720">
        <w:rPr>
          <w:rFonts w:ascii="Times New Roman" w:hAnsi="Times New Roman"/>
          <w:szCs w:val="22"/>
          <w:lang w:eastAsia="sk-SK"/>
        </w:rPr>
        <w:t xml:space="preserve"> je to viac </w:t>
      </w:r>
      <w:r w:rsidR="0098627F" w:rsidRPr="00C66720">
        <w:rPr>
          <w:rFonts w:ascii="Times New Roman" w:hAnsi="Times New Roman"/>
          <w:szCs w:val="22"/>
          <w:lang w:eastAsia="sk-SK"/>
        </w:rPr>
        <w:br/>
      </w:r>
      <w:r w:rsidRPr="00C66720">
        <w:rPr>
          <w:rFonts w:ascii="Times New Roman" w:hAnsi="Times New Roman"/>
          <w:szCs w:val="22"/>
          <w:lang w:eastAsia="sk-SK"/>
        </w:rPr>
        <w:t>o</w:t>
      </w:r>
      <w:r w:rsidR="00AA77BC" w:rsidRPr="00C66720">
        <w:rPr>
          <w:rFonts w:ascii="Times New Roman" w:hAnsi="Times New Roman"/>
          <w:szCs w:val="22"/>
          <w:lang w:eastAsia="sk-SK"/>
        </w:rPr>
        <w:t> </w:t>
      </w:r>
      <w:r w:rsidR="00C635CD" w:rsidRPr="00C66720">
        <w:rPr>
          <w:rFonts w:ascii="Times New Roman" w:hAnsi="Times New Roman"/>
          <w:szCs w:val="22"/>
          <w:lang w:eastAsia="sk-SK"/>
        </w:rPr>
        <w:t>57 543</w:t>
      </w:r>
      <w:r w:rsidRPr="00C66720">
        <w:rPr>
          <w:rFonts w:ascii="Times New Roman" w:hAnsi="Times New Roman"/>
          <w:szCs w:val="22"/>
          <w:lang w:eastAsia="sk-SK"/>
        </w:rPr>
        <w:t xml:space="preserve"> tis. eur. Najvyššie hodnoty vykazuje </w:t>
      </w:r>
      <w:r w:rsidR="001A29AD" w:rsidRPr="00C66720">
        <w:rPr>
          <w:rFonts w:ascii="Times New Roman" w:hAnsi="Times New Roman"/>
          <w:szCs w:val="22"/>
          <w:lang w:eastAsia="sk-SK"/>
        </w:rPr>
        <w:t xml:space="preserve">Ministerstvo obrany SR (278 834 tis. eur), </w:t>
      </w:r>
      <w:r w:rsidR="0098627F" w:rsidRPr="00C66720">
        <w:rPr>
          <w:rFonts w:ascii="Times New Roman" w:hAnsi="Times New Roman"/>
          <w:szCs w:val="22"/>
          <w:lang w:eastAsia="sk-SK"/>
        </w:rPr>
        <w:t xml:space="preserve">SEPS </w:t>
      </w:r>
      <w:r w:rsidR="001A29AD" w:rsidRPr="00C66720">
        <w:rPr>
          <w:rFonts w:ascii="Times New Roman" w:hAnsi="Times New Roman"/>
          <w:szCs w:val="22"/>
          <w:lang w:eastAsia="sk-SK"/>
        </w:rPr>
        <w:br/>
      </w:r>
      <w:r w:rsidRPr="00C66720">
        <w:rPr>
          <w:rFonts w:ascii="Times New Roman" w:hAnsi="Times New Roman"/>
          <w:szCs w:val="22"/>
          <w:lang w:eastAsia="sk-SK"/>
        </w:rPr>
        <w:t>(</w:t>
      </w:r>
      <w:r w:rsidR="001A29AD" w:rsidRPr="00C66720">
        <w:rPr>
          <w:rFonts w:ascii="Times New Roman" w:hAnsi="Times New Roman"/>
          <w:szCs w:val="22"/>
          <w:lang w:eastAsia="sk-SK"/>
        </w:rPr>
        <w:t>241 954</w:t>
      </w:r>
      <w:r w:rsidRPr="00C66720">
        <w:rPr>
          <w:rFonts w:ascii="Times New Roman" w:hAnsi="Times New Roman"/>
          <w:szCs w:val="22"/>
          <w:lang w:eastAsia="sk-SK"/>
        </w:rPr>
        <w:t xml:space="preserve"> tis. eur), </w:t>
      </w:r>
      <w:r w:rsidR="004F5E20" w:rsidRPr="00C66720">
        <w:rPr>
          <w:rFonts w:ascii="Times New Roman" w:hAnsi="Times New Roman"/>
          <w:szCs w:val="22"/>
          <w:lang w:eastAsia="sk-SK"/>
        </w:rPr>
        <w:t>Železnice SR (</w:t>
      </w:r>
      <w:r w:rsidR="00C5677D" w:rsidRPr="00C66720">
        <w:rPr>
          <w:rFonts w:ascii="Times New Roman" w:hAnsi="Times New Roman"/>
          <w:szCs w:val="22"/>
          <w:lang w:eastAsia="sk-SK"/>
        </w:rPr>
        <w:t>173 677</w:t>
      </w:r>
      <w:r w:rsidR="004F5E20" w:rsidRPr="00C66720">
        <w:rPr>
          <w:rFonts w:ascii="Times New Roman" w:hAnsi="Times New Roman"/>
          <w:szCs w:val="22"/>
          <w:lang w:eastAsia="sk-SK"/>
        </w:rPr>
        <w:t xml:space="preserve"> tis. eur) a Vodohospodárska výstavba, š. p. (</w:t>
      </w:r>
      <w:r w:rsidR="00C5677D" w:rsidRPr="00C66720">
        <w:rPr>
          <w:rFonts w:ascii="Times New Roman" w:hAnsi="Times New Roman"/>
          <w:szCs w:val="22"/>
          <w:lang w:eastAsia="sk-SK"/>
        </w:rPr>
        <w:t>135 310</w:t>
      </w:r>
      <w:r w:rsidR="004F5E20" w:rsidRPr="00C66720">
        <w:rPr>
          <w:rFonts w:ascii="Times New Roman" w:hAnsi="Times New Roman"/>
          <w:szCs w:val="22"/>
          <w:lang w:eastAsia="sk-SK"/>
        </w:rPr>
        <w:t xml:space="preserve"> tis. eur).</w:t>
      </w:r>
    </w:p>
    <w:p w14:paraId="58B4E521" w14:textId="1484D183" w:rsidR="000D03B8" w:rsidRPr="00C66720" w:rsidRDefault="00C641F6" w:rsidP="00CE2D52">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Na medziročnej zmene v ústrednej správe sa podieľali najmä </w:t>
      </w:r>
      <w:r w:rsidR="001E19F3" w:rsidRPr="00C66720">
        <w:rPr>
          <w:rFonts w:ascii="Times New Roman" w:hAnsi="Times New Roman"/>
          <w:szCs w:val="22"/>
          <w:lang w:eastAsia="sk-SK"/>
        </w:rPr>
        <w:t xml:space="preserve">Ministerstvo obrany SR (nárast </w:t>
      </w:r>
      <w:r w:rsidR="00667203" w:rsidRPr="00C66720">
        <w:rPr>
          <w:rFonts w:ascii="Times New Roman" w:hAnsi="Times New Roman"/>
          <w:szCs w:val="22"/>
          <w:lang w:eastAsia="sk-SK"/>
        </w:rPr>
        <w:br/>
      </w:r>
      <w:r w:rsidR="001E19F3" w:rsidRPr="00C66720">
        <w:rPr>
          <w:rFonts w:ascii="Times New Roman" w:hAnsi="Times New Roman"/>
          <w:szCs w:val="22"/>
          <w:lang w:eastAsia="sk-SK"/>
        </w:rPr>
        <w:t>o </w:t>
      </w:r>
      <w:r w:rsidR="000D03B8" w:rsidRPr="00C66720">
        <w:rPr>
          <w:rFonts w:ascii="Times New Roman" w:hAnsi="Times New Roman"/>
          <w:szCs w:val="22"/>
          <w:lang w:eastAsia="sk-SK"/>
        </w:rPr>
        <w:t>39 881</w:t>
      </w:r>
      <w:r w:rsidR="001E19F3" w:rsidRPr="00C66720">
        <w:rPr>
          <w:rFonts w:ascii="Times New Roman" w:hAnsi="Times New Roman"/>
          <w:szCs w:val="22"/>
          <w:lang w:eastAsia="sk-SK"/>
        </w:rPr>
        <w:t xml:space="preserve"> tis. eur), </w:t>
      </w:r>
      <w:r w:rsidR="0010274D" w:rsidRPr="00C66720">
        <w:rPr>
          <w:rFonts w:ascii="Times New Roman" w:hAnsi="Times New Roman"/>
          <w:szCs w:val="22"/>
          <w:lang w:eastAsia="sk-SK"/>
        </w:rPr>
        <w:t xml:space="preserve">Ministerstvo vnútra SR (nárast o 19 365 tis. eur), Železnice Slovenskej republiky (nárast o 10 941 tis. eur), Slovenská akadémia vied (nárast o 9 942 tis. eur), DataCentrum </w:t>
      </w:r>
      <w:r w:rsidR="00941E27">
        <w:rPr>
          <w:rFonts w:ascii="Times New Roman" w:hAnsi="Times New Roman"/>
          <w:szCs w:val="22"/>
          <w:lang w:eastAsia="sk-SK"/>
        </w:rPr>
        <w:br/>
      </w:r>
      <w:r w:rsidR="0010274D" w:rsidRPr="00C66720">
        <w:rPr>
          <w:rFonts w:ascii="Times New Roman" w:hAnsi="Times New Roman"/>
          <w:szCs w:val="22"/>
          <w:lang w:eastAsia="sk-SK"/>
        </w:rPr>
        <w:t xml:space="preserve">(nárast o 7 015 tis. eur), </w:t>
      </w:r>
      <w:r w:rsidR="0098771D" w:rsidRPr="00C66720">
        <w:rPr>
          <w:rFonts w:ascii="Times New Roman" w:hAnsi="Times New Roman"/>
          <w:szCs w:val="22"/>
          <w:lang w:eastAsia="sk-SK"/>
        </w:rPr>
        <w:t>SEPS (pokles o 17 815 tis. eur) a Vodohospodárska výstavba, š.p. (pokles o 11 165 tis. eur).</w:t>
      </w:r>
    </w:p>
    <w:p w14:paraId="5F838C1E" w14:textId="0261F933" w:rsidR="00C641F6" w:rsidRPr="00C66720" w:rsidRDefault="00C641F6" w:rsidP="00CE2D52">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Územná</w:t>
      </w:r>
      <w:r w:rsidR="00CB610B" w:rsidRPr="00C66720">
        <w:rPr>
          <w:rFonts w:ascii="Times New Roman" w:hAnsi="Times New Roman"/>
          <w:szCs w:val="22"/>
          <w:lang w:eastAsia="sk-SK"/>
        </w:rPr>
        <w:t xml:space="preserve"> samospráva vykázala úhrn</w:t>
      </w:r>
      <w:r w:rsidR="00545104" w:rsidRPr="00C66720">
        <w:rPr>
          <w:rFonts w:ascii="Times New Roman" w:hAnsi="Times New Roman"/>
          <w:szCs w:val="22"/>
          <w:lang w:eastAsia="sk-SK"/>
        </w:rPr>
        <w:t>om 439 837 tis. eur (v roku 2021</w:t>
      </w:r>
      <w:r w:rsidRPr="00C66720">
        <w:rPr>
          <w:rFonts w:ascii="Times New Roman" w:hAnsi="Times New Roman"/>
          <w:szCs w:val="22"/>
          <w:lang w:eastAsia="sk-SK"/>
        </w:rPr>
        <w:t xml:space="preserve"> to bolo </w:t>
      </w:r>
      <w:r w:rsidR="00545104" w:rsidRPr="00C66720">
        <w:rPr>
          <w:rFonts w:ascii="Times New Roman" w:hAnsi="Times New Roman"/>
          <w:szCs w:val="22"/>
          <w:lang w:eastAsia="sk-SK"/>
        </w:rPr>
        <w:t xml:space="preserve">389 697 </w:t>
      </w:r>
      <w:r w:rsidRPr="00C66720">
        <w:rPr>
          <w:rFonts w:ascii="Times New Roman" w:hAnsi="Times New Roman"/>
          <w:szCs w:val="22"/>
          <w:lang w:eastAsia="sk-SK"/>
        </w:rPr>
        <w:t xml:space="preserve">tis. eur), z čoho obce tvoria </w:t>
      </w:r>
      <w:r w:rsidR="00677B4A" w:rsidRPr="00C66720">
        <w:rPr>
          <w:rFonts w:ascii="Times New Roman" w:hAnsi="Times New Roman"/>
          <w:szCs w:val="22"/>
          <w:lang w:eastAsia="sk-SK"/>
        </w:rPr>
        <w:t>341 517</w:t>
      </w:r>
      <w:r w:rsidRPr="00C66720">
        <w:rPr>
          <w:rFonts w:ascii="Times New Roman" w:hAnsi="Times New Roman"/>
          <w:szCs w:val="22"/>
          <w:lang w:eastAsia="sk-SK"/>
        </w:rPr>
        <w:t xml:space="preserve"> tis. eur a vyššie územné celky </w:t>
      </w:r>
      <w:r w:rsidR="00677B4A" w:rsidRPr="00C66720">
        <w:rPr>
          <w:rFonts w:ascii="Times New Roman" w:hAnsi="Times New Roman"/>
          <w:szCs w:val="22"/>
          <w:lang w:eastAsia="sk-SK"/>
        </w:rPr>
        <w:t>98 320</w:t>
      </w:r>
      <w:r w:rsidRPr="00C66720">
        <w:rPr>
          <w:rFonts w:ascii="Times New Roman" w:hAnsi="Times New Roman"/>
          <w:szCs w:val="22"/>
          <w:lang w:eastAsia="sk-SK"/>
        </w:rPr>
        <w:t xml:space="preserve"> tis. eur. Významné hodnoty vykázali aj v</w:t>
      </w:r>
      <w:r w:rsidR="003F33D4" w:rsidRPr="00C66720">
        <w:rPr>
          <w:rFonts w:ascii="Times New Roman" w:hAnsi="Times New Roman"/>
          <w:szCs w:val="22"/>
          <w:lang w:eastAsia="sk-SK"/>
        </w:rPr>
        <w:t>erejné vysoké školy (</w:t>
      </w:r>
      <w:r w:rsidR="009A34B5" w:rsidRPr="00C66720">
        <w:rPr>
          <w:rFonts w:ascii="Times New Roman" w:hAnsi="Times New Roman"/>
          <w:szCs w:val="22"/>
          <w:lang w:eastAsia="sk-SK"/>
        </w:rPr>
        <w:t>83 724</w:t>
      </w:r>
      <w:r w:rsidRPr="00C66720">
        <w:rPr>
          <w:rFonts w:ascii="Times New Roman" w:hAnsi="Times New Roman"/>
          <w:szCs w:val="22"/>
          <w:lang w:eastAsia="sk-SK"/>
        </w:rPr>
        <w:t xml:space="preserve"> tis. eur), pričom najčastejšie ide o vybavenie vedeckých laboratórií, učební a pracovísk. Vysoké školy zaznamenali </w:t>
      </w:r>
      <w:r w:rsidR="003F33D4" w:rsidRPr="00C66720">
        <w:rPr>
          <w:rFonts w:ascii="Times New Roman" w:hAnsi="Times New Roman"/>
          <w:szCs w:val="22"/>
          <w:lang w:eastAsia="sk-SK"/>
        </w:rPr>
        <w:t>nárast</w:t>
      </w:r>
      <w:r w:rsidRPr="00C66720">
        <w:rPr>
          <w:rFonts w:ascii="Times New Roman" w:hAnsi="Times New Roman"/>
          <w:szCs w:val="22"/>
          <w:lang w:eastAsia="sk-SK"/>
        </w:rPr>
        <w:t xml:space="preserve"> tohto majetku, a to vo výške </w:t>
      </w:r>
      <w:r w:rsidR="00894A1F" w:rsidRPr="00C66720">
        <w:rPr>
          <w:rFonts w:ascii="Times New Roman" w:hAnsi="Times New Roman"/>
          <w:szCs w:val="22"/>
          <w:lang w:eastAsia="sk-SK"/>
        </w:rPr>
        <w:t>21 676</w:t>
      </w:r>
      <w:r w:rsidRPr="00C66720">
        <w:rPr>
          <w:rFonts w:ascii="Times New Roman" w:hAnsi="Times New Roman"/>
          <w:szCs w:val="22"/>
          <w:lang w:eastAsia="sk-SK"/>
        </w:rPr>
        <w:t xml:space="preserve"> tis. eur. </w:t>
      </w:r>
    </w:p>
    <w:p w14:paraId="360111DF" w14:textId="4DFDC57C" w:rsidR="004500FA" w:rsidRPr="00C66720" w:rsidRDefault="00C641F6" w:rsidP="00282B49">
      <w:pPr>
        <w:spacing w:before="120" w:after="240" w:line="240" w:lineRule="auto"/>
        <w:jc w:val="both"/>
        <w:rPr>
          <w:rFonts w:ascii="Times New Roman" w:hAnsi="Times New Roman"/>
          <w:szCs w:val="22"/>
          <w:lang w:eastAsia="sk-SK"/>
        </w:rPr>
      </w:pPr>
      <w:r w:rsidRPr="00C66720">
        <w:rPr>
          <w:rFonts w:ascii="Times New Roman" w:hAnsi="Times New Roman"/>
          <w:szCs w:val="22"/>
          <w:lang w:eastAsia="sk-SK"/>
        </w:rPr>
        <w:lastRenderedPageBreak/>
        <w:t>Z ostatných subjektov verejnej správy vykazuje najvýznamnejšiu hodnotu Agentúra pre núdzové zásoby ropy a ropných výrobkov (</w:t>
      </w:r>
      <w:r w:rsidR="00254A7C" w:rsidRPr="00C66720">
        <w:rPr>
          <w:rFonts w:ascii="Times New Roman" w:hAnsi="Times New Roman"/>
          <w:szCs w:val="22"/>
          <w:lang w:eastAsia="sk-SK"/>
        </w:rPr>
        <w:t>505 230</w:t>
      </w:r>
      <w:r w:rsidRPr="00C66720">
        <w:rPr>
          <w:rFonts w:ascii="Times New Roman" w:hAnsi="Times New Roman"/>
          <w:szCs w:val="22"/>
          <w:lang w:eastAsia="sk-SK"/>
        </w:rPr>
        <w:t xml:space="preserve"> tis. eur</w:t>
      </w:r>
      <w:r w:rsidR="004500FA" w:rsidRPr="00C66720">
        <w:rPr>
          <w:rFonts w:ascii="Times New Roman" w:hAnsi="Times New Roman"/>
          <w:szCs w:val="22"/>
          <w:lang w:eastAsia="sk-SK"/>
        </w:rPr>
        <w:t>) z dôvodu vykazovania núdzových zásob ropy a ropných výrobkov v rámci dlhodobého majetku</w:t>
      </w:r>
      <w:r w:rsidR="00200E42" w:rsidRPr="00C66720">
        <w:rPr>
          <w:rFonts w:ascii="Times New Roman" w:hAnsi="Times New Roman"/>
          <w:szCs w:val="22"/>
          <w:lang w:eastAsia="sk-SK"/>
        </w:rPr>
        <w:t>, ktorých hodnota medziročne poklesla o 34 517 tis. eur</w:t>
      </w:r>
      <w:r w:rsidR="004500FA" w:rsidRPr="00C66720">
        <w:rPr>
          <w:rFonts w:ascii="Times New Roman" w:hAnsi="Times New Roman"/>
          <w:szCs w:val="22"/>
          <w:lang w:eastAsia="sk-SK"/>
        </w:rPr>
        <w:t>.</w:t>
      </w:r>
    </w:p>
    <w:p w14:paraId="00E8425A" w14:textId="77777777" w:rsidR="00805D95" w:rsidRPr="00C66720" w:rsidRDefault="00805D95" w:rsidP="00282B49">
      <w:pPr>
        <w:pStyle w:val="Pismenka"/>
        <w:numPr>
          <w:ilvl w:val="0"/>
          <w:numId w:val="44"/>
        </w:numPr>
        <w:spacing w:before="120" w:after="120"/>
        <w:ind w:left="284" w:hanging="284"/>
        <w:rPr>
          <w:i/>
          <w:szCs w:val="22"/>
          <w:u w:val="single"/>
        </w:rPr>
      </w:pPr>
      <w:bookmarkStart w:id="9" w:name="_Ref86091407"/>
      <w:r w:rsidRPr="00C66720">
        <w:rPr>
          <w:i/>
          <w:sz w:val="22"/>
          <w:szCs w:val="22"/>
          <w:u w:val="single"/>
        </w:rPr>
        <w:t>Dopravné prostriedky</w:t>
      </w:r>
      <w:bookmarkEnd w:id="9"/>
    </w:p>
    <w:p w14:paraId="6946187C" w14:textId="04039853" w:rsidR="00805D95" w:rsidRPr="00C66720" w:rsidRDefault="00805D95" w:rsidP="001D3DE5">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Dopravné prostriedky dosiahli hodnotu </w:t>
      </w:r>
      <w:r w:rsidR="00E94A9A" w:rsidRPr="00C66720">
        <w:rPr>
          <w:rFonts w:ascii="Times New Roman" w:hAnsi="Times New Roman"/>
          <w:szCs w:val="22"/>
          <w:lang w:eastAsia="sk-SK"/>
        </w:rPr>
        <w:t>2</w:t>
      </w:r>
      <w:r w:rsidR="00D85738" w:rsidRPr="00C66720">
        <w:rPr>
          <w:rFonts w:ascii="Times New Roman" w:hAnsi="Times New Roman"/>
          <w:szCs w:val="22"/>
          <w:lang w:eastAsia="sk-SK"/>
        </w:rPr>
        <w:t xml:space="preserve"> 103 </w:t>
      </w:r>
      <w:r w:rsidR="00FB0F88" w:rsidRPr="00C66720">
        <w:rPr>
          <w:rFonts w:ascii="Times New Roman" w:hAnsi="Times New Roman"/>
          <w:szCs w:val="22"/>
          <w:lang w:eastAsia="sk-SK"/>
        </w:rPr>
        <w:t>258</w:t>
      </w:r>
      <w:r w:rsidRPr="00C66720">
        <w:rPr>
          <w:rFonts w:ascii="Times New Roman" w:hAnsi="Times New Roman"/>
          <w:szCs w:val="22"/>
          <w:lang w:eastAsia="sk-SK"/>
        </w:rPr>
        <w:t xml:space="preserve"> tis. eur a medziročný </w:t>
      </w:r>
      <w:r w:rsidR="00E94A9A" w:rsidRPr="00C66720">
        <w:rPr>
          <w:rFonts w:ascii="Times New Roman" w:hAnsi="Times New Roman"/>
          <w:szCs w:val="22"/>
          <w:lang w:eastAsia="sk-SK"/>
        </w:rPr>
        <w:t>pokles</w:t>
      </w:r>
      <w:r w:rsidRPr="00C66720">
        <w:rPr>
          <w:rFonts w:ascii="Times New Roman" w:hAnsi="Times New Roman"/>
          <w:szCs w:val="22"/>
          <w:lang w:eastAsia="sk-SK"/>
        </w:rPr>
        <w:t xml:space="preserve"> o</w:t>
      </w:r>
      <w:r w:rsidR="00D85738" w:rsidRPr="00C66720">
        <w:rPr>
          <w:rFonts w:ascii="Times New Roman" w:hAnsi="Times New Roman"/>
          <w:szCs w:val="22"/>
          <w:lang w:eastAsia="sk-SK"/>
        </w:rPr>
        <w:t> 43 7</w:t>
      </w:r>
      <w:r w:rsidR="00EA63C5" w:rsidRPr="00C66720">
        <w:rPr>
          <w:rFonts w:ascii="Times New Roman" w:hAnsi="Times New Roman"/>
          <w:szCs w:val="22"/>
          <w:lang w:eastAsia="sk-SK"/>
        </w:rPr>
        <w:t>17</w:t>
      </w:r>
      <w:r w:rsidRPr="00C66720">
        <w:rPr>
          <w:rFonts w:ascii="Times New Roman" w:hAnsi="Times New Roman"/>
          <w:szCs w:val="22"/>
          <w:lang w:eastAsia="sk-SK"/>
        </w:rPr>
        <w:t xml:space="preserve"> tis. eur. V prípade členenia hodnoty majetku podľa skupín subjektov, 7</w:t>
      </w:r>
      <w:r w:rsidR="00F7281C" w:rsidRPr="00C66720">
        <w:rPr>
          <w:rFonts w:ascii="Times New Roman" w:hAnsi="Times New Roman"/>
          <w:szCs w:val="22"/>
          <w:lang w:eastAsia="sk-SK"/>
        </w:rPr>
        <w:t>8,1</w:t>
      </w:r>
      <w:r w:rsidRPr="00C66720">
        <w:rPr>
          <w:rFonts w:ascii="Times New Roman" w:hAnsi="Times New Roman"/>
          <w:szCs w:val="22"/>
          <w:lang w:eastAsia="sk-SK"/>
        </w:rPr>
        <w:t xml:space="preserve"> % resp. </w:t>
      </w:r>
      <w:r w:rsidR="00F7281C" w:rsidRPr="00C66720">
        <w:rPr>
          <w:rFonts w:ascii="Times New Roman" w:hAnsi="Times New Roman"/>
          <w:szCs w:val="22"/>
          <w:lang w:eastAsia="sk-SK"/>
        </w:rPr>
        <w:t>1 643 131</w:t>
      </w:r>
      <w:r w:rsidRPr="00C66720">
        <w:rPr>
          <w:rFonts w:ascii="Times New Roman" w:hAnsi="Times New Roman"/>
          <w:szCs w:val="22"/>
          <w:lang w:eastAsia="sk-SK"/>
        </w:rPr>
        <w:t xml:space="preserve"> tis. eur tvorí ústredná správa a v tom obchodné spoločnosti (</w:t>
      </w:r>
      <w:r w:rsidR="002541C4" w:rsidRPr="00C66720">
        <w:rPr>
          <w:rFonts w:ascii="Times New Roman" w:hAnsi="Times New Roman"/>
          <w:szCs w:val="22"/>
          <w:lang w:eastAsia="sk-SK"/>
        </w:rPr>
        <w:t>998 387</w:t>
      </w:r>
      <w:r w:rsidRPr="00C66720">
        <w:rPr>
          <w:rFonts w:ascii="Times New Roman" w:hAnsi="Times New Roman"/>
          <w:szCs w:val="22"/>
          <w:lang w:eastAsia="sk-SK"/>
        </w:rPr>
        <w:t xml:space="preserve"> tis. eur), štátne rozpočtové a príspevkové organizácie (</w:t>
      </w:r>
      <w:r w:rsidR="00B66CCE" w:rsidRPr="00C66720">
        <w:rPr>
          <w:rFonts w:ascii="Times New Roman" w:hAnsi="Times New Roman"/>
          <w:szCs w:val="22"/>
          <w:lang w:eastAsia="sk-SK"/>
        </w:rPr>
        <w:t>602 318</w:t>
      </w:r>
      <w:r w:rsidRPr="00C66720">
        <w:rPr>
          <w:rFonts w:ascii="Times New Roman" w:hAnsi="Times New Roman"/>
          <w:szCs w:val="22"/>
          <w:lang w:eastAsia="sk-SK"/>
        </w:rPr>
        <w:t xml:space="preserve"> tis. eur) a štátne podniky (</w:t>
      </w:r>
      <w:r w:rsidR="00BB02CB" w:rsidRPr="00C66720">
        <w:rPr>
          <w:rFonts w:ascii="Times New Roman" w:hAnsi="Times New Roman"/>
          <w:szCs w:val="22"/>
          <w:lang w:eastAsia="sk-SK"/>
        </w:rPr>
        <w:t>41 996</w:t>
      </w:r>
      <w:r w:rsidRPr="00C66720">
        <w:rPr>
          <w:rFonts w:ascii="Times New Roman" w:hAnsi="Times New Roman"/>
          <w:szCs w:val="22"/>
          <w:lang w:eastAsia="sk-SK"/>
        </w:rPr>
        <w:t xml:space="preserve"> tis. eur).</w:t>
      </w:r>
    </w:p>
    <w:p w14:paraId="393A5EB5" w14:textId="603FEB1A" w:rsidR="00D60EBE" w:rsidRPr="00C66720" w:rsidRDefault="00805D95" w:rsidP="001D3DE5">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Najvyššiu hodnotu vykazuje Železničná spoločnosť Slovensko, a.s. (</w:t>
      </w:r>
      <w:r w:rsidR="00AD5D85" w:rsidRPr="00C66720">
        <w:rPr>
          <w:rFonts w:ascii="Times New Roman" w:hAnsi="Times New Roman"/>
          <w:szCs w:val="22"/>
          <w:lang w:eastAsia="sk-SK"/>
        </w:rPr>
        <w:t>853 943</w:t>
      </w:r>
      <w:r w:rsidRPr="00C66720">
        <w:rPr>
          <w:rFonts w:ascii="Times New Roman" w:hAnsi="Times New Roman"/>
          <w:szCs w:val="22"/>
          <w:lang w:eastAsia="sk-SK"/>
        </w:rPr>
        <w:t xml:space="preserve"> tis. eur) z titulu vlastníctva rušňov a vagónov</w:t>
      </w:r>
      <w:r w:rsidR="0070138D" w:rsidRPr="00C66720">
        <w:rPr>
          <w:rFonts w:ascii="Times New Roman" w:hAnsi="Times New Roman"/>
          <w:szCs w:val="22"/>
          <w:lang w:eastAsia="sk-SK"/>
        </w:rPr>
        <w:t xml:space="preserve"> pre osobnú železničnú dopravu, pričom ich hodnota bola medziročne nižšia </w:t>
      </w:r>
      <w:r w:rsidR="003D285F" w:rsidRPr="00C66720">
        <w:rPr>
          <w:rFonts w:ascii="Times New Roman" w:hAnsi="Times New Roman"/>
          <w:szCs w:val="22"/>
          <w:lang w:eastAsia="sk-SK"/>
        </w:rPr>
        <w:br/>
      </w:r>
      <w:r w:rsidR="0070138D" w:rsidRPr="00C66720">
        <w:rPr>
          <w:rFonts w:ascii="Times New Roman" w:hAnsi="Times New Roman"/>
          <w:szCs w:val="22"/>
          <w:lang w:eastAsia="sk-SK"/>
        </w:rPr>
        <w:t>o 12 412 tis. eur.</w:t>
      </w:r>
    </w:p>
    <w:p w14:paraId="49CB52D8" w14:textId="1232442E" w:rsidR="005E46FF" w:rsidRPr="00C66720" w:rsidRDefault="00805D95" w:rsidP="00EF0129">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Železničná spoločnosť Cargo, a.s. (nákladný železničný prepravca) dosiahol hodnotu </w:t>
      </w:r>
      <w:r w:rsidR="00D60EBE" w:rsidRPr="00C66720">
        <w:rPr>
          <w:rFonts w:ascii="Times New Roman" w:hAnsi="Times New Roman"/>
          <w:szCs w:val="22"/>
          <w:lang w:eastAsia="sk-SK"/>
        </w:rPr>
        <w:t>101 540</w:t>
      </w:r>
      <w:r w:rsidRPr="00C66720">
        <w:rPr>
          <w:rFonts w:ascii="Times New Roman" w:hAnsi="Times New Roman"/>
          <w:szCs w:val="22"/>
          <w:lang w:eastAsia="sk-SK"/>
        </w:rPr>
        <w:t xml:space="preserve"> tis. eur </w:t>
      </w:r>
      <w:r w:rsidR="001F4616" w:rsidRPr="00C66720">
        <w:rPr>
          <w:rFonts w:ascii="Times New Roman" w:hAnsi="Times New Roman"/>
          <w:szCs w:val="22"/>
          <w:lang w:eastAsia="sk-SK"/>
        </w:rPr>
        <w:t>(2021: 112 462 tis. eur), pričom ide o hodnotu hnacích dráhových vozidiel (rušňov), nákladných vozňov, nákladných motorových vozidiel a železničných koľajových žeriavov. M</w:t>
      </w:r>
      <w:r w:rsidR="00DA7BDE" w:rsidRPr="00C66720">
        <w:rPr>
          <w:rFonts w:ascii="Times New Roman" w:hAnsi="Times New Roman"/>
          <w:szCs w:val="22"/>
          <w:lang w:eastAsia="sk-SK"/>
        </w:rPr>
        <w:t>e</w:t>
      </w:r>
      <w:r w:rsidRPr="00C66720">
        <w:rPr>
          <w:rFonts w:ascii="Times New Roman" w:hAnsi="Times New Roman"/>
          <w:szCs w:val="22"/>
          <w:lang w:eastAsia="sk-SK"/>
        </w:rPr>
        <w:t xml:space="preserve">dziročne pokles </w:t>
      </w:r>
      <w:r w:rsidR="00DA7BDE" w:rsidRPr="00C66720">
        <w:rPr>
          <w:rFonts w:ascii="Times New Roman" w:hAnsi="Times New Roman"/>
          <w:szCs w:val="22"/>
          <w:lang w:eastAsia="sk-SK"/>
        </w:rPr>
        <w:br/>
      </w:r>
      <w:r w:rsidRPr="00C66720">
        <w:rPr>
          <w:rFonts w:ascii="Times New Roman" w:hAnsi="Times New Roman"/>
          <w:szCs w:val="22"/>
          <w:lang w:eastAsia="sk-SK"/>
        </w:rPr>
        <w:t>o</w:t>
      </w:r>
      <w:r w:rsidR="00D60EBE" w:rsidRPr="00C66720">
        <w:rPr>
          <w:rFonts w:ascii="Times New Roman" w:hAnsi="Times New Roman"/>
          <w:szCs w:val="22"/>
          <w:lang w:eastAsia="sk-SK"/>
        </w:rPr>
        <w:t> 10 923</w:t>
      </w:r>
      <w:r w:rsidRPr="00C66720">
        <w:rPr>
          <w:rFonts w:ascii="Times New Roman" w:hAnsi="Times New Roman"/>
          <w:szCs w:val="22"/>
          <w:lang w:eastAsia="sk-SK"/>
        </w:rPr>
        <w:t xml:space="preserve"> tis. eur, bol spôsobený</w:t>
      </w:r>
      <w:r w:rsidR="00EF0129">
        <w:rPr>
          <w:rFonts w:ascii="Times New Roman" w:hAnsi="Times New Roman"/>
          <w:szCs w:val="22"/>
          <w:lang w:eastAsia="sk-SK"/>
        </w:rPr>
        <w:t xml:space="preserve"> najmä</w:t>
      </w:r>
      <w:r w:rsidRPr="00C66720">
        <w:rPr>
          <w:rFonts w:ascii="Times New Roman" w:hAnsi="Times New Roman"/>
          <w:szCs w:val="22"/>
          <w:lang w:eastAsia="sk-SK"/>
        </w:rPr>
        <w:t xml:space="preserve"> </w:t>
      </w:r>
      <w:r w:rsidR="00EF0129">
        <w:rPr>
          <w:rFonts w:ascii="Times New Roman" w:hAnsi="Times New Roman"/>
          <w:szCs w:val="22"/>
          <w:lang w:eastAsia="sk-SK"/>
        </w:rPr>
        <w:t xml:space="preserve">ročnými odpismi vo výške 10 510 tis. eur, odpredajom alebo likvidáciou koľajových vozidiel  hodnote 2 148 tis. eur. Obstaranie nového majetku predstavovalo </w:t>
      </w:r>
      <w:r w:rsidR="00055E64">
        <w:rPr>
          <w:rFonts w:ascii="Times New Roman" w:hAnsi="Times New Roman"/>
          <w:szCs w:val="22"/>
          <w:lang w:eastAsia="sk-SK"/>
        </w:rPr>
        <w:br/>
      </w:r>
      <w:r w:rsidR="00EF0129">
        <w:rPr>
          <w:rFonts w:ascii="Times New Roman" w:hAnsi="Times New Roman"/>
          <w:szCs w:val="22"/>
          <w:lang w:eastAsia="sk-SK"/>
        </w:rPr>
        <w:t>2 938 tis. eur.</w:t>
      </w:r>
    </w:p>
    <w:p w14:paraId="1A1BAD4D" w14:textId="3E738C47" w:rsidR="000D130B" w:rsidRDefault="00805D95" w:rsidP="001D3DE5">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Hodnotu dopravných prostriedkov ústrednej správy tvoria v rozhodujúcej miere dve ministerstvá, Ministerstvo vnútra SR </w:t>
      </w:r>
      <w:r w:rsidR="00C42480" w:rsidRPr="00C66720">
        <w:rPr>
          <w:rFonts w:ascii="Times New Roman" w:hAnsi="Times New Roman"/>
          <w:szCs w:val="22"/>
          <w:lang w:eastAsia="sk-SK"/>
        </w:rPr>
        <w:t>289 496</w:t>
      </w:r>
      <w:r w:rsidRPr="00C66720">
        <w:rPr>
          <w:rFonts w:ascii="Times New Roman" w:hAnsi="Times New Roman"/>
          <w:szCs w:val="22"/>
          <w:lang w:eastAsia="sk-SK"/>
        </w:rPr>
        <w:t xml:space="preserve"> tis. eur a Ministerstvo obrany SR </w:t>
      </w:r>
      <w:r w:rsidR="00C42480" w:rsidRPr="00C66720">
        <w:rPr>
          <w:rFonts w:ascii="Times New Roman" w:hAnsi="Times New Roman"/>
          <w:szCs w:val="22"/>
          <w:lang w:eastAsia="sk-SK"/>
        </w:rPr>
        <w:t>277 905</w:t>
      </w:r>
      <w:r w:rsidRPr="00C66720">
        <w:rPr>
          <w:rFonts w:ascii="Times New Roman" w:hAnsi="Times New Roman"/>
          <w:szCs w:val="22"/>
          <w:lang w:eastAsia="sk-SK"/>
        </w:rPr>
        <w:t xml:space="preserve"> tis. eur. A podieľajú sa aj na medziročnom </w:t>
      </w:r>
      <w:r w:rsidR="00E25A59" w:rsidRPr="00C66720">
        <w:rPr>
          <w:rFonts w:ascii="Times New Roman" w:hAnsi="Times New Roman"/>
          <w:szCs w:val="22"/>
          <w:lang w:eastAsia="sk-SK"/>
        </w:rPr>
        <w:t>úbytku</w:t>
      </w:r>
      <w:r w:rsidRPr="00C66720">
        <w:rPr>
          <w:rFonts w:ascii="Times New Roman" w:hAnsi="Times New Roman"/>
          <w:szCs w:val="22"/>
          <w:lang w:eastAsia="sk-SK"/>
        </w:rPr>
        <w:t>, spolu o</w:t>
      </w:r>
      <w:r w:rsidR="00C61368" w:rsidRPr="00C66720">
        <w:rPr>
          <w:rFonts w:ascii="Times New Roman" w:hAnsi="Times New Roman"/>
          <w:szCs w:val="22"/>
          <w:lang w:eastAsia="sk-SK"/>
        </w:rPr>
        <w:t> 57 816</w:t>
      </w:r>
      <w:r w:rsidRPr="00C66720">
        <w:rPr>
          <w:rFonts w:ascii="Times New Roman" w:hAnsi="Times New Roman"/>
          <w:szCs w:val="22"/>
          <w:lang w:eastAsia="sk-SK"/>
        </w:rPr>
        <w:t xml:space="preserve"> tis. eur. Ministerstvo vnútra SR disponuje vozovým parkom pre policajný a hasičský záchranný zbor, horskú záchrannú službu, špeciálne dopravné prostriedky ako aj bežné vozidlá na prevoz osôb (napr. pod Úradom na ochranu ústavných činiteľov), policajné vrtuľníky, lietadlá vládnej letky SR a ďalšie dopravné prostriedky. </w:t>
      </w:r>
      <w:r w:rsidR="00EF0129">
        <w:rPr>
          <w:rFonts w:ascii="Times New Roman" w:hAnsi="Times New Roman"/>
          <w:szCs w:val="22"/>
          <w:lang w:eastAsia="sk-SK"/>
        </w:rPr>
        <w:t>Celkový ú</w:t>
      </w:r>
      <w:r w:rsidR="00C8799B" w:rsidRPr="00C66720">
        <w:rPr>
          <w:rFonts w:ascii="Times New Roman" w:hAnsi="Times New Roman"/>
          <w:szCs w:val="22"/>
          <w:lang w:eastAsia="sk-SK"/>
        </w:rPr>
        <w:t xml:space="preserve">bytok </w:t>
      </w:r>
      <w:r w:rsidRPr="00C66720">
        <w:rPr>
          <w:rFonts w:ascii="Times New Roman" w:hAnsi="Times New Roman"/>
          <w:szCs w:val="22"/>
          <w:lang w:eastAsia="sk-SK"/>
        </w:rPr>
        <w:t xml:space="preserve">v hodnote </w:t>
      </w:r>
      <w:r w:rsidR="00C61368" w:rsidRPr="00C66720">
        <w:rPr>
          <w:rFonts w:ascii="Times New Roman" w:hAnsi="Times New Roman"/>
          <w:szCs w:val="22"/>
          <w:lang w:eastAsia="sk-SK"/>
        </w:rPr>
        <w:t>45 537</w:t>
      </w:r>
      <w:r w:rsidRPr="00C66720">
        <w:rPr>
          <w:rFonts w:ascii="Times New Roman" w:hAnsi="Times New Roman"/>
          <w:szCs w:val="22"/>
          <w:lang w:eastAsia="sk-SK"/>
        </w:rPr>
        <w:t xml:space="preserve"> tis. eur </w:t>
      </w:r>
      <w:r w:rsidR="00046274" w:rsidRPr="00C66720">
        <w:rPr>
          <w:rFonts w:ascii="Times New Roman" w:hAnsi="Times New Roman"/>
          <w:szCs w:val="22"/>
          <w:lang w:eastAsia="sk-SK"/>
        </w:rPr>
        <w:t>bol spôsobený najmä postupným odpisovaním daného majetku v súlade s jeho životnosťou (</w:t>
      </w:r>
      <w:r w:rsidR="0043619E" w:rsidRPr="00C66720">
        <w:rPr>
          <w:rFonts w:ascii="Times New Roman" w:hAnsi="Times New Roman"/>
          <w:szCs w:val="22"/>
          <w:lang w:eastAsia="sk-SK"/>
        </w:rPr>
        <w:t>40 505</w:t>
      </w:r>
      <w:r w:rsidR="00046274" w:rsidRPr="00C66720">
        <w:rPr>
          <w:rFonts w:ascii="Times New Roman" w:hAnsi="Times New Roman"/>
          <w:szCs w:val="22"/>
          <w:lang w:eastAsia="sk-SK"/>
        </w:rPr>
        <w:t xml:space="preserve"> tis. eur), vyradením majetku v dôsledku darovania, fyzickej likvidácie,</w:t>
      </w:r>
      <w:r w:rsidR="0043619E" w:rsidRPr="00C66720">
        <w:rPr>
          <w:rFonts w:ascii="Times New Roman" w:hAnsi="Times New Roman"/>
          <w:szCs w:val="22"/>
          <w:lang w:eastAsia="sk-SK"/>
        </w:rPr>
        <w:t xml:space="preserve"> bezodplatného</w:t>
      </w:r>
      <w:r w:rsidR="00046274" w:rsidRPr="00C66720">
        <w:rPr>
          <w:rFonts w:ascii="Times New Roman" w:hAnsi="Times New Roman"/>
          <w:szCs w:val="22"/>
          <w:lang w:eastAsia="sk-SK"/>
        </w:rPr>
        <w:t xml:space="preserve"> prevodu správy majetku a delimitácie (</w:t>
      </w:r>
      <w:r w:rsidR="0043619E" w:rsidRPr="00C66720">
        <w:rPr>
          <w:rFonts w:ascii="Times New Roman" w:hAnsi="Times New Roman"/>
          <w:szCs w:val="22"/>
          <w:lang w:eastAsia="sk-SK"/>
        </w:rPr>
        <w:t>12 679</w:t>
      </w:r>
      <w:r w:rsidR="00046274" w:rsidRPr="00C66720">
        <w:rPr>
          <w:rFonts w:ascii="Times New Roman" w:hAnsi="Times New Roman"/>
          <w:szCs w:val="22"/>
          <w:lang w:eastAsia="sk-SK"/>
        </w:rPr>
        <w:t xml:space="preserve"> tis. eur)</w:t>
      </w:r>
      <w:r w:rsidR="00623509" w:rsidRPr="00C66720">
        <w:rPr>
          <w:rFonts w:ascii="Times New Roman" w:hAnsi="Times New Roman"/>
          <w:szCs w:val="22"/>
          <w:lang w:eastAsia="sk-SK"/>
        </w:rPr>
        <w:t>.</w:t>
      </w:r>
    </w:p>
    <w:p w14:paraId="14E32EE3" w14:textId="462D0D8A" w:rsidR="00805D95" w:rsidRPr="000D130B" w:rsidRDefault="00805D95" w:rsidP="001D3DE5">
      <w:pPr>
        <w:spacing w:before="120" w:after="120" w:line="240" w:lineRule="auto"/>
        <w:jc w:val="both"/>
        <w:rPr>
          <w:rFonts w:ascii="Times New Roman" w:hAnsi="Times New Roman"/>
          <w:szCs w:val="22"/>
          <w:lang w:eastAsia="sk-SK"/>
        </w:rPr>
      </w:pPr>
      <w:r w:rsidRPr="000D130B">
        <w:rPr>
          <w:rFonts w:ascii="Times New Roman" w:hAnsi="Times New Roman"/>
          <w:szCs w:val="22"/>
          <w:lang w:eastAsia="sk-SK"/>
        </w:rPr>
        <w:t xml:space="preserve">Ministerstvo obrany SR </w:t>
      </w:r>
      <w:r w:rsidR="00CF28D3" w:rsidRPr="000D130B">
        <w:rPr>
          <w:rFonts w:ascii="Times New Roman" w:hAnsi="Times New Roman"/>
          <w:szCs w:val="22"/>
          <w:lang w:eastAsia="sk-SK"/>
        </w:rPr>
        <w:t>znížilo</w:t>
      </w:r>
      <w:r w:rsidRPr="000D130B">
        <w:rPr>
          <w:rFonts w:ascii="Times New Roman" w:hAnsi="Times New Roman"/>
          <w:szCs w:val="22"/>
          <w:lang w:eastAsia="sk-SK"/>
        </w:rPr>
        <w:t xml:space="preserve"> hodnotu dopravných prostriedkov</w:t>
      </w:r>
      <w:r w:rsidR="00EF0129" w:rsidRPr="000D130B">
        <w:rPr>
          <w:rFonts w:ascii="Times New Roman" w:hAnsi="Times New Roman"/>
          <w:szCs w:val="22"/>
          <w:lang w:eastAsia="sk-SK"/>
        </w:rPr>
        <w:br/>
      </w:r>
      <w:r w:rsidRPr="000D130B">
        <w:rPr>
          <w:rFonts w:ascii="Times New Roman" w:hAnsi="Times New Roman"/>
          <w:szCs w:val="22"/>
          <w:lang w:eastAsia="sk-SK"/>
        </w:rPr>
        <w:t>o</w:t>
      </w:r>
      <w:r w:rsidR="00C61368" w:rsidRPr="000D130B">
        <w:rPr>
          <w:rFonts w:ascii="Times New Roman" w:hAnsi="Times New Roman"/>
          <w:szCs w:val="22"/>
          <w:lang w:eastAsia="sk-SK"/>
        </w:rPr>
        <w:t> 12 278</w:t>
      </w:r>
      <w:r w:rsidR="009856E6" w:rsidRPr="000D130B">
        <w:rPr>
          <w:rFonts w:ascii="Times New Roman" w:hAnsi="Times New Roman"/>
          <w:szCs w:val="22"/>
          <w:lang w:eastAsia="sk-SK"/>
        </w:rPr>
        <w:t xml:space="preserve"> tis. eur</w:t>
      </w:r>
      <w:r w:rsidR="000D130B" w:rsidRPr="000D130B">
        <w:rPr>
          <w:rFonts w:ascii="Times New Roman" w:hAnsi="Times New Roman"/>
          <w:szCs w:val="22"/>
          <w:lang w:eastAsia="sk-SK"/>
        </w:rPr>
        <w:t xml:space="preserve">, čo bolo </w:t>
      </w:r>
      <w:r w:rsidR="000D130B" w:rsidRPr="000D130B">
        <w:rPr>
          <w:rFonts w:ascii="Times New Roman" w:hAnsi="Times New Roman"/>
        </w:rPr>
        <w:t>v podstatnej miere ovplyvnen</w:t>
      </w:r>
      <w:r w:rsidR="000D130B">
        <w:rPr>
          <w:rFonts w:ascii="Times New Roman" w:hAnsi="Times New Roman"/>
        </w:rPr>
        <w:t>é</w:t>
      </w:r>
      <w:r w:rsidR="000D130B" w:rsidRPr="000D130B">
        <w:rPr>
          <w:rFonts w:ascii="Times New Roman" w:hAnsi="Times New Roman"/>
        </w:rPr>
        <w:t xml:space="preserve"> vyradením 5 ks vrtuľníkov MI a 2 ks lietadiel AN v ich zostatkovej hodnote.</w:t>
      </w:r>
    </w:p>
    <w:p w14:paraId="5C15C34F" w14:textId="3368E9B1" w:rsidR="00805D95" w:rsidRPr="00C66720" w:rsidRDefault="00805D95" w:rsidP="00970FBA">
      <w:pPr>
        <w:spacing w:before="120" w:after="240" w:line="240" w:lineRule="auto"/>
        <w:jc w:val="both"/>
        <w:rPr>
          <w:rFonts w:ascii="Times New Roman" w:hAnsi="Times New Roman"/>
          <w:szCs w:val="22"/>
          <w:lang w:eastAsia="sk-SK"/>
        </w:rPr>
      </w:pPr>
      <w:r w:rsidRPr="00C66720">
        <w:rPr>
          <w:rFonts w:ascii="Times New Roman" w:hAnsi="Times New Roman"/>
          <w:szCs w:val="22"/>
          <w:lang w:eastAsia="sk-SK"/>
        </w:rPr>
        <w:t xml:space="preserve">V rámci tejto položky </w:t>
      </w:r>
      <w:r w:rsidR="00227B7E" w:rsidRPr="00C66720">
        <w:rPr>
          <w:rFonts w:ascii="Times New Roman" w:hAnsi="Times New Roman"/>
          <w:szCs w:val="22"/>
          <w:lang w:eastAsia="sk-SK"/>
        </w:rPr>
        <w:t xml:space="preserve">majetku tvoria významnú hodnotu </w:t>
      </w:r>
      <w:r w:rsidRPr="00C66720">
        <w:rPr>
          <w:rFonts w:ascii="Times New Roman" w:hAnsi="Times New Roman"/>
          <w:szCs w:val="22"/>
          <w:lang w:eastAsia="sk-SK"/>
        </w:rPr>
        <w:t xml:space="preserve">aj obce SR, a to </w:t>
      </w:r>
      <w:r w:rsidR="00227B7E" w:rsidRPr="00C66720">
        <w:rPr>
          <w:rFonts w:ascii="Times New Roman" w:hAnsi="Times New Roman"/>
          <w:szCs w:val="22"/>
          <w:lang w:eastAsia="sk-SK"/>
        </w:rPr>
        <w:t>412 385</w:t>
      </w:r>
      <w:r w:rsidRPr="00C66720">
        <w:rPr>
          <w:rFonts w:ascii="Times New Roman" w:hAnsi="Times New Roman"/>
          <w:szCs w:val="22"/>
          <w:lang w:eastAsia="sk-SK"/>
        </w:rPr>
        <w:t xml:space="preserve"> tis. eur</w:t>
      </w:r>
      <w:r w:rsidR="000B2D1B" w:rsidRPr="00C66720">
        <w:rPr>
          <w:rFonts w:ascii="Times New Roman" w:hAnsi="Times New Roman"/>
          <w:szCs w:val="22"/>
          <w:lang w:eastAsia="sk-SK"/>
        </w:rPr>
        <w:t xml:space="preserve">, nasledujú subjekty vyšších územných celkov </w:t>
      </w:r>
      <w:r w:rsidR="00227B7E" w:rsidRPr="00C66720">
        <w:rPr>
          <w:rFonts w:ascii="Times New Roman" w:hAnsi="Times New Roman"/>
          <w:szCs w:val="22"/>
          <w:lang w:eastAsia="sk-SK"/>
        </w:rPr>
        <w:t>43 031</w:t>
      </w:r>
      <w:r w:rsidR="000B2D1B" w:rsidRPr="00C66720">
        <w:rPr>
          <w:rFonts w:ascii="Times New Roman" w:hAnsi="Times New Roman"/>
          <w:szCs w:val="22"/>
          <w:lang w:eastAsia="sk-SK"/>
        </w:rPr>
        <w:t xml:space="preserve"> tis. eur a ostatné subjekty verejnej správy </w:t>
      </w:r>
      <w:r w:rsidR="00227B7E" w:rsidRPr="00C66720">
        <w:rPr>
          <w:rFonts w:ascii="Times New Roman" w:hAnsi="Times New Roman"/>
          <w:szCs w:val="22"/>
          <w:lang w:eastAsia="sk-SK"/>
        </w:rPr>
        <w:t xml:space="preserve">4 </w:t>
      </w:r>
      <w:r w:rsidR="00C1243C" w:rsidRPr="00C66720">
        <w:rPr>
          <w:rFonts w:ascii="Times New Roman" w:hAnsi="Times New Roman"/>
          <w:szCs w:val="22"/>
          <w:lang w:eastAsia="sk-SK"/>
        </w:rPr>
        <w:t>712</w:t>
      </w:r>
      <w:r w:rsidR="000B2D1B" w:rsidRPr="00C66720">
        <w:rPr>
          <w:rFonts w:ascii="Times New Roman" w:hAnsi="Times New Roman"/>
          <w:szCs w:val="22"/>
          <w:lang w:eastAsia="sk-SK"/>
        </w:rPr>
        <w:t xml:space="preserve"> tis. eur</w:t>
      </w:r>
      <w:r w:rsidRPr="00C66720">
        <w:rPr>
          <w:rFonts w:ascii="Times New Roman" w:hAnsi="Times New Roman"/>
          <w:szCs w:val="22"/>
          <w:lang w:eastAsia="sk-SK"/>
        </w:rPr>
        <w:t xml:space="preserve">. </w:t>
      </w:r>
      <w:r w:rsidR="000B2D1B" w:rsidRPr="00C66720">
        <w:rPr>
          <w:rFonts w:ascii="Times New Roman" w:hAnsi="Times New Roman"/>
          <w:szCs w:val="22"/>
          <w:lang w:eastAsia="sk-SK"/>
        </w:rPr>
        <w:t>V prípade subjektov územnej samosprávy i</w:t>
      </w:r>
      <w:r w:rsidRPr="00C66720">
        <w:rPr>
          <w:rFonts w:ascii="Times New Roman" w:hAnsi="Times New Roman"/>
          <w:szCs w:val="22"/>
          <w:lang w:eastAsia="sk-SK"/>
        </w:rPr>
        <w:t xml:space="preserve">de </w:t>
      </w:r>
      <w:r w:rsidR="000B2D1B" w:rsidRPr="00C66720">
        <w:rPr>
          <w:rFonts w:ascii="Times New Roman" w:hAnsi="Times New Roman"/>
          <w:szCs w:val="22"/>
          <w:lang w:eastAsia="sk-SK"/>
        </w:rPr>
        <w:t xml:space="preserve">najmä </w:t>
      </w:r>
      <w:r w:rsidRPr="00C66720">
        <w:rPr>
          <w:rFonts w:ascii="Times New Roman" w:hAnsi="Times New Roman"/>
          <w:szCs w:val="22"/>
          <w:lang w:eastAsia="sk-SK"/>
        </w:rPr>
        <w:t>o</w:t>
      </w:r>
      <w:r w:rsidR="00271270">
        <w:rPr>
          <w:rFonts w:ascii="Times New Roman" w:hAnsi="Times New Roman"/>
          <w:szCs w:val="22"/>
          <w:lang w:eastAsia="sk-SK"/>
        </w:rPr>
        <w:t> vozový park</w:t>
      </w:r>
      <w:r w:rsidR="00271270" w:rsidRPr="00C66720">
        <w:rPr>
          <w:rFonts w:ascii="Times New Roman" w:hAnsi="Times New Roman"/>
          <w:szCs w:val="22"/>
          <w:lang w:eastAsia="sk-SK"/>
        </w:rPr>
        <w:t xml:space="preserve"> </w:t>
      </w:r>
      <w:r w:rsidRPr="00C66720">
        <w:rPr>
          <w:rFonts w:ascii="Times New Roman" w:hAnsi="Times New Roman"/>
          <w:szCs w:val="22"/>
          <w:lang w:eastAsia="sk-SK"/>
        </w:rPr>
        <w:t>dopravných podnikov</w:t>
      </w:r>
      <w:r w:rsidR="008D4643">
        <w:rPr>
          <w:rFonts w:ascii="Times New Roman" w:hAnsi="Times New Roman"/>
          <w:szCs w:val="22"/>
          <w:lang w:eastAsia="sk-SK"/>
        </w:rPr>
        <w:t xml:space="preserve"> </w:t>
      </w:r>
      <w:r w:rsidR="00825483">
        <w:rPr>
          <w:rFonts w:ascii="Times New Roman" w:hAnsi="Times New Roman"/>
          <w:szCs w:val="22"/>
          <w:lang w:eastAsia="sk-SK"/>
        </w:rPr>
        <w:br/>
      </w:r>
      <w:r w:rsidR="008D4643">
        <w:rPr>
          <w:rFonts w:ascii="Times New Roman" w:hAnsi="Times New Roman"/>
          <w:szCs w:val="22"/>
          <w:lang w:eastAsia="sk-SK"/>
        </w:rPr>
        <w:t>(napr. Dopravného podniku Bratislava, a.s. 197 766 tis. eur),</w:t>
      </w:r>
      <w:r w:rsidRPr="00C66720">
        <w:rPr>
          <w:rFonts w:ascii="Times New Roman" w:hAnsi="Times New Roman"/>
          <w:szCs w:val="22"/>
          <w:lang w:eastAsia="sk-SK"/>
        </w:rPr>
        <w:t xml:space="preserve"> spoločností poskytujúcich verejné služby, odvoz a likvidáciu odpadu, servisné činnosti a podobne.</w:t>
      </w:r>
    </w:p>
    <w:p w14:paraId="628F3682" w14:textId="77777777" w:rsidR="00EB5B41" w:rsidRPr="00C66720" w:rsidRDefault="00EB5B41" w:rsidP="00C64F57">
      <w:pPr>
        <w:pStyle w:val="Pismenka"/>
        <w:numPr>
          <w:ilvl w:val="0"/>
          <w:numId w:val="44"/>
        </w:numPr>
        <w:spacing w:after="120"/>
        <w:ind w:left="284" w:hanging="284"/>
        <w:rPr>
          <w:i/>
          <w:szCs w:val="22"/>
          <w:u w:val="single"/>
        </w:rPr>
      </w:pPr>
      <w:bookmarkStart w:id="10" w:name="_Ref86091414"/>
      <w:r w:rsidRPr="00C66720">
        <w:rPr>
          <w:i/>
          <w:sz w:val="22"/>
          <w:szCs w:val="22"/>
          <w:u w:val="single"/>
        </w:rPr>
        <w:t>Poskytnuté preddavky na dlhodobý hmotný majetok</w:t>
      </w:r>
      <w:bookmarkEnd w:id="10"/>
    </w:p>
    <w:p w14:paraId="09C8BC3C" w14:textId="788045F2" w:rsidR="000D5CE3" w:rsidRDefault="00EB5B41" w:rsidP="00970FBA">
      <w:pPr>
        <w:spacing w:before="120" w:after="240" w:line="240" w:lineRule="auto"/>
        <w:jc w:val="both"/>
        <w:rPr>
          <w:rFonts w:ascii="Times New Roman" w:hAnsi="Times New Roman"/>
          <w:szCs w:val="22"/>
          <w:lang w:eastAsia="sk-SK"/>
        </w:rPr>
      </w:pPr>
      <w:r w:rsidRPr="00C66720">
        <w:rPr>
          <w:rFonts w:ascii="Times New Roman" w:hAnsi="Times New Roman"/>
          <w:szCs w:val="22"/>
          <w:lang w:eastAsia="sk-SK"/>
        </w:rPr>
        <w:t>Položku tvorí takm</w:t>
      </w:r>
      <w:r w:rsidR="00747171" w:rsidRPr="00C66720">
        <w:rPr>
          <w:rFonts w:ascii="Times New Roman" w:hAnsi="Times New Roman"/>
          <w:szCs w:val="22"/>
          <w:lang w:eastAsia="sk-SK"/>
        </w:rPr>
        <w:t>er výlučne ústredná správa (99,1</w:t>
      </w:r>
      <w:r w:rsidRPr="00C66720">
        <w:rPr>
          <w:rFonts w:ascii="Times New Roman" w:hAnsi="Times New Roman"/>
          <w:szCs w:val="22"/>
          <w:lang w:eastAsia="sk-SK"/>
        </w:rPr>
        <w:t xml:space="preserve"> %) a v rámci nej Ministerstvo obrany SR </w:t>
      </w:r>
      <w:r w:rsidR="003B1FA3" w:rsidRPr="00C66720">
        <w:rPr>
          <w:rFonts w:ascii="Times New Roman" w:hAnsi="Times New Roman"/>
          <w:szCs w:val="22"/>
          <w:lang w:eastAsia="sk-SK"/>
        </w:rPr>
        <w:br/>
      </w:r>
      <w:r w:rsidR="00E20083" w:rsidRPr="00C66720">
        <w:rPr>
          <w:rFonts w:ascii="Times New Roman" w:hAnsi="Times New Roman"/>
          <w:szCs w:val="22"/>
          <w:lang w:eastAsia="sk-SK"/>
        </w:rPr>
        <w:t>2 042 581</w:t>
      </w:r>
      <w:r w:rsidRPr="00C66720">
        <w:rPr>
          <w:rFonts w:ascii="Times New Roman" w:hAnsi="Times New Roman"/>
          <w:szCs w:val="22"/>
          <w:lang w:eastAsia="sk-SK"/>
        </w:rPr>
        <w:t xml:space="preserve"> tis. eur a Železničná spoločnosť Slovensko, a.s. </w:t>
      </w:r>
      <w:r w:rsidR="00E20083" w:rsidRPr="00C66720">
        <w:rPr>
          <w:rFonts w:ascii="Times New Roman" w:hAnsi="Times New Roman"/>
          <w:szCs w:val="22"/>
          <w:lang w:eastAsia="sk-SK"/>
        </w:rPr>
        <w:t>50 375</w:t>
      </w:r>
      <w:r w:rsidRPr="00C66720">
        <w:rPr>
          <w:rFonts w:ascii="Times New Roman" w:hAnsi="Times New Roman"/>
          <w:szCs w:val="22"/>
          <w:lang w:eastAsia="sk-SK"/>
        </w:rPr>
        <w:t xml:space="preserve"> tis. eur. </w:t>
      </w:r>
      <w:r w:rsidR="0072014A" w:rsidRPr="00C66720">
        <w:rPr>
          <w:rFonts w:ascii="Times New Roman" w:hAnsi="Times New Roman"/>
          <w:szCs w:val="22"/>
          <w:lang w:eastAsia="sk-SK"/>
        </w:rPr>
        <w:t xml:space="preserve">Ministerstvo obrany SR vykazuje poskytnuté preddavky súvisiace s nákupom taktických stíhacích lietadiel F-16 </w:t>
      </w:r>
      <w:r w:rsidR="003B1FA3" w:rsidRPr="00C66720">
        <w:rPr>
          <w:rFonts w:ascii="Times New Roman" w:hAnsi="Times New Roman"/>
          <w:szCs w:val="22"/>
          <w:lang w:eastAsia="sk-SK"/>
        </w:rPr>
        <w:br/>
      </w:r>
      <w:r w:rsidR="0072014A" w:rsidRPr="00C66720">
        <w:rPr>
          <w:rFonts w:ascii="Times New Roman" w:hAnsi="Times New Roman"/>
          <w:szCs w:val="22"/>
          <w:lang w:eastAsia="sk-SK"/>
        </w:rPr>
        <w:t>(1</w:t>
      </w:r>
      <w:r w:rsidR="00554DD5" w:rsidRPr="00C66720">
        <w:rPr>
          <w:rFonts w:ascii="Times New Roman" w:hAnsi="Times New Roman"/>
          <w:szCs w:val="22"/>
          <w:lang w:eastAsia="sk-SK"/>
        </w:rPr>
        <w:t> 200 267</w:t>
      </w:r>
      <w:r w:rsidR="0072014A" w:rsidRPr="00C66720">
        <w:rPr>
          <w:rFonts w:ascii="Times New Roman" w:hAnsi="Times New Roman"/>
          <w:szCs w:val="22"/>
          <w:lang w:eastAsia="sk-SK"/>
        </w:rPr>
        <w:t xml:space="preserve"> tis. eur), </w:t>
      </w:r>
      <w:r w:rsidR="00554DD5" w:rsidRPr="00C66720">
        <w:rPr>
          <w:rFonts w:ascii="Times New Roman" w:hAnsi="Times New Roman"/>
          <w:szCs w:val="22"/>
          <w:lang w:eastAsia="sk-SK"/>
        </w:rPr>
        <w:t>obrnených a pásových bojových vozidiel (460 890 tis. eur), viacúčelových vrtuľníkov (92 324 tis. eur)</w:t>
      </w:r>
      <w:r w:rsidR="005E382E" w:rsidRPr="00C66720">
        <w:rPr>
          <w:rFonts w:ascii="Times New Roman" w:hAnsi="Times New Roman"/>
          <w:szCs w:val="22"/>
          <w:lang w:eastAsia="sk-SK"/>
        </w:rPr>
        <w:t xml:space="preserve">, </w:t>
      </w:r>
      <w:r w:rsidR="00525813" w:rsidRPr="00C66720">
        <w:rPr>
          <w:rFonts w:ascii="Times New Roman" w:hAnsi="Times New Roman"/>
          <w:szCs w:val="22"/>
          <w:lang w:eastAsia="sk-SK"/>
        </w:rPr>
        <w:t>radarov (87 603 tis. eur), výzbroje a strelných zbraní (26 115 tis. eur) a rekonštrukciou základne Sliač (63 441 tis. eur).</w:t>
      </w:r>
      <w:r w:rsidR="00554DD5" w:rsidRPr="00C66720">
        <w:rPr>
          <w:rFonts w:ascii="Times New Roman" w:hAnsi="Times New Roman"/>
          <w:szCs w:val="22"/>
          <w:lang w:eastAsia="sk-SK"/>
        </w:rPr>
        <w:t xml:space="preserve"> </w:t>
      </w:r>
      <w:r w:rsidRPr="00C66720">
        <w:rPr>
          <w:rFonts w:ascii="Times New Roman" w:hAnsi="Times New Roman"/>
          <w:szCs w:val="22"/>
          <w:lang w:eastAsia="sk-SK"/>
        </w:rPr>
        <w:t>Medziročný nárast poskytnutých preddavkov bol spôsobený práve u Ministerstva obrany SR, a</w:t>
      </w:r>
      <w:r w:rsidR="00013574" w:rsidRPr="00C66720">
        <w:rPr>
          <w:rFonts w:ascii="Times New Roman" w:hAnsi="Times New Roman"/>
          <w:szCs w:val="22"/>
          <w:lang w:eastAsia="sk-SK"/>
        </w:rPr>
        <w:t> </w:t>
      </w:r>
      <w:r w:rsidRPr="00C66720">
        <w:rPr>
          <w:rFonts w:ascii="Times New Roman" w:hAnsi="Times New Roman"/>
          <w:szCs w:val="22"/>
          <w:lang w:eastAsia="sk-SK"/>
        </w:rPr>
        <w:t>to</w:t>
      </w:r>
      <w:r w:rsidR="00013574" w:rsidRPr="00C66720">
        <w:rPr>
          <w:rFonts w:ascii="Times New Roman" w:hAnsi="Times New Roman"/>
          <w:szCs w:val="22"/>
          <w:lang w:eastAsia="sk-SK"/>
        </w:rPr>
        <w:t xml:space="preserve"> 607 545</w:t>
      </w:r>
      <w:r w:rsidRPr="00C66720">
        <w:rPr>
          <w:rFonts w:ascii="Times New Roman" w:hAnsi="Times New Roman"/>
          <w:szCs w:val="22"/>
          <w:lang w:eastAsia="sk-SK"/>
        </w:rPr>
        <w:t xml:space="preserve"> tis. eur</w:t>
      </w:r>
      <w:r w:rsidR="00681DA4" w:rsidRPr="00C66720">
        <w:rPr>
          <w:rFonts w:ascii="Times New Roman" w:hAnsi="Times New Roman"/>
          <w:szCs w:val="22"/>
          <w:lang w:eastAsia="sk-SK"/>
        </w:rPr>
        <w:t xml:space="preserve"> predovšetkým</w:t>
      </w:r>
      <w:r w:rsidRPr="00C66720">
        <w:rPr>
          <w:rFonts w:ascii="Times New Roman" w:hAnsi="Times New Roman"/>
          <w:szCs w:val="22"/>
          <w:lang w:eastAsia="sk-SK"/>
        </w:rPr>
        <w:t xml:space="preserve"> z dôvodu </w:t>
      </w:r>
      <w:r w:rsidR="00681DA4" w:rsidRPr="00C66720">
        <w:rPr>
          <w:rFonts w:ascii="Times New Roman" w:hAnsi="Times New Roman"/>
          <w:szCs w:val="22"/>
          <w:lang w:eastAsia="sk-SK"/>
        </w:rPr>
        <w:t xml:space="preserve">plnenia programu nákupu nových pásových bojových vozidiel (410 708 tis. eur) a obrnených vozidiel 8x8 (50 182 tis. eur). </w:t>
      </w:r>
      <w:r w:rsidR="001E304C" w:rsidRPr="00C66720">
        <w:rPr>
          <w:rFonts w:ascii="Times New Roman" w:hAnsi="Times New Roman"/>
          <w:szCs w:val="22"/>
          <w:lang w:eastAsia="sk-SK"/>
        </w:rPr>
        <w:t>Železničná spoločnosť Slovensko, a.s. poskytlo preddavky na</w:t>
      </w:r>
      <w:r w:rsidR="000D5CE3">
        <w:rPr>
          <w:rFonts w:ascii="Times New Roman" w:hAnsi="Times New Roman"/>
          <w:szCs w:val="22"/>
          <w:lang w:eastAsia="sk-SK"/>
        </w:rPr>
        <w:t xml:space="preserve"> obstaranie</w:t>
      </w:r>
      <w:r w:rsidR="001E304C" w:rsidRPr="00C66720">
        <w:rPr>
          <w:rFonts w:ascii="Times New Roman" w:hAnsi="Times New Roman"/>
          <w:szCs w:val="22"/>
          <w:lang w:eastAsia="sk-SK"/>
        </w:rPr>
        <w:t xml:space="preserve"> </w:t>
      </w:r>
      <w:r w:rsidR="000D5CE3" w:rsidRPr="00C66720">
        <w:rPr>
          <w:rFonts w:ascii="Times New Roman" w:hAnsi="Times New Roman"/>
          <w:szCs w:val="22"/>
          <w:lang w:eastAsia="sk-SK"/>
        </w:rPr>
        <w:t>tatranských elektrických jednotiek rady 425 (76 299 tis. eur)</w:t>
      </w:r>
      <w:r w:rsidR="000D5CE3">
        <w:rPr>
          <w:rFonts w:ascii="Times New Roman" w:hAnsi="Times New Roman"/>
          <w:szCs w:val="22"/>
          <w:lang w:eastAsia="sk-SK"/>
        </w:rPr>
        <w:t xml:space="preserve">, ostatných nových elektrických jednotiek </w:t>
      </w:r>
      <w:r w:rsidR="000D5CE3">
        <w:rPr>
          <w:rFonts w:ascii="Times New Roman" w:hAnsi="Times New Roman"/>
          <w:szCs w:val="22"/>
          <w:lang w:eastAsia="sk-SK"/>
        </w:rPr>
        <w:br/>
      </w:r>
      <w:r w:rsidR="000D5CE3" w:rsidRPr="00C66720">
        <w:rPr>
          <w:rFonts w:ascii="Times New Roman" w:hAnsi="Times New Roman"/>
          <w:szCs w:val="22"/>
          <w:lang w:eastAsia="sk-SK"/>
        </w:rPr>
        <w:t>(</w:t>
      </w:r>
      <w:r w:rsidR="000D5CE3">
        <w:rPr>
          <w:rFonts w:ascii="Times New Roman" w:hAnsi="Times New Roman"/>
          <w:szCs w:val="22"/>
          <w:lang w:eastAsia="sk-SK"/>
        </w:rPr>
        <w:t>37 171</w:t>
      </w:r>
      <w:r w:rsidR="000D5CE3" w:rsidRPr="00C66720">
        <w:rPr>
          <w:rFonts w:ascii="Times New Roman" w:hAnsi="Times New Roman"/>
          <w:szCs w:val="22"/>
          <w:lang w:eastAsia="sk-SK"/>
        </w:rPr>
        <w:t xml:space="preserve"> tis. eur)</w:t>
      </w:r>
      <w:r w:rsidR="000D5CE3">
        <w:rPr>
          <w:rFonts w:ascii="Times New Roman" w:hAnsi="Times New Roman"/>
          <w:szCs w:val="22"/>
          <w:lang w:eastAsia="sk-SK"/>
        </w:rPr>
        <w:t xml:space="preserve">, </w:t>
      </w:r>
      <w:r w:rsidR="000D5CE3" w:rsidRPr="00C66720">
        <w:rPr>
          <w:rFonts w:ascii="Times New Roman" w:hAnsi="Times New Roman"/>
          <w:szCs w:val="22"/>
          <w:lang w:eastAsia="sk-SK"/>
        </w:rPr>
        <w:t>nových osobných vozňov (3 007 tis. eur)</w:t>
      </w:r>
      <w:r w:rsidR="000D5CE3">
        <w:rPr>
          <w:rFonts w:ascii="Times New Roman" w:hAnsi="Times New Roman"/>
          <w:szCs w:val="22"/>
          <w:lang w:eastAsia="sk-SK"/>
        </w:rPr>
        <w:t xml:space="preserve"> a </w:t>
      </w:r>
      <w:r w:rsidR="000D5CE3" w:rsidRPr="00C66720">
        <w:rPr>
          <w:rFonts w:ascii="Times New Roman" w:hAnsi="Times New Roman"/>
          <w:szCs w:val="22"/>
          <w:lang w:eastAsia="sk-SK"/>
        </w:rPr>
        <w:t xml:space="preserve">hnacích koľajových vozidiel rady 361 </w:t>
      </w:r>
      <w:r w:rsidR="000D5CE3">
        <w:rPr>
          <w:rFonts w:ascii="Times New Roman" w:hAnsi="Times New Roman"/>
          <w:szCs w:val="22"/>
          <w:lang w:eastAsia="sk-SK"/>
        </w:rPr>
        <w:br/>
      </w:r>
      <w:r w:rsidR="000D5CE3" w:rsidRPr="00C66720">
        <w:rPr>
          <w:rFonts w:ascii="Times New Roman" w:hAnsi="Times New Roman"/>
          <w:szCs w:val="22"/>
          <w:lang w:eastAsia="sk-SK"/>
        </w:rPr>
        <w:t>(1 324 tis. eur)</w:t>
      </w:r>
      <w:r w:rsidR="000D5CE3">
        <w:rPr>
          <w:rFonts w:ascii="Times New Roman" w:hAnsi="Times New Roman"/>
          <w:szCs w:val="22"/>
          <w:lang w:eastAsia="sk-SK"/>
        </w:rPr>
        <w:t>.</w:t>
      </w:r>
    </w:p>
    <w:p w14:paraId="6C085843" w14:textId="77777777" w:rsidR="0057345C" w:rsidRDefault="0057345C" w:rsidP="00970FBA">
      <w:pPr>
        <w:spacing w:before="120" w:after="240" w:line="240" w:lineRule="auto"/>
        <w:jc w:val="both"/>
        <w:rPr>
          <w:rFonts w:ascii="Times New Roman" w:hAnsi="Times New Roman"/>
          <w:szCs w:val="22"/>
          <w:lang w:eastAsia="sk-SK"/>
        </w:rPr>
      </w:pPr>
    </w:p>
    <w:p w14:paraId="15990ADD" w14:textId="50ACE330" w:rsidR="00B21BDF" w:rsidRPr="00C66720" w:rsidRDefault="00B21BDF" w:rsidP="00C64F57">
      <w:pPr>
        <w:pStyle w:val="Pismenka"/>
        <w:numPr>
          <w:ilvl w:val="0"/>
          <w:numId w:val="44"/>
        </w:numPr>
        <w:spacing w:after="120"/>
        <w:ind w:left="284" w:hanging="284"/>
        <w:rPr>
          <w:i/>
          <w:szCs w:val="22"/>
          <w:u w:val="single"/>
        </w:rPr>
      </w:pPr>
      <w:bookmarkStart w:id="11" w:name="_Ref86091420"/>
      <w:r w:rsidRPr="00C66720">
        <w:rPr>
          <w:i/>
          <w:sz w:val="22"/>
          <w:szCs w:val="22"/>
          <w:u w:val="single"/>
        </w:rPr>
        <w:lastRenderedPageBreak/>
        <w:t>Obstaranie dlhodobého hmotného majetku</w:t>
      </w:r>
      <w:bookmarkEnd w:id="11"/>
    </w:p>
    <w:p w14:paraId="461CCE57" w14:textId="7FF468D6" w:rsidR="00317139" w:rsidRPr="00C66720" w:rsidRDefault="002D6290" w:rsidP="00C64F57">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Hodnota obstarania nového dlhodobého hmotného maj</w:t>
      </w:r>
      <w:r w:rsidR="00ED0829" w:rsidRPr="00C66720">
        <w:rPr>
          <w:rFonts w:ascii="Times New Roman" w:hAnsi="Times New Roman"/>
          <w:szCs w:val="22"/>
          <w:lang w:eastAsia="sk-SK"/>
        </w:rPr>
        <w:t>etku</w:t>
      </w:r>
      <w:r w:rsidR="007B3693" w:rsidRPr="00C66720">
        <w:rPr>
          <w:rFonts w:ascii="Times New Roman" w:hAnsi="Times New Roman"/>
          <w:szCs w:val="22"/>
          <w:lang w:eastAsia="sk-SK"/>
        </w:rPr>
        <w:t xml:space="preserve"> (zatiaľ nezaradeného do používania)</w:t>
      </w:r>
      <w:r w:rsidR="00ED0829" w:rsidRPr="00C66720">
        <w:rPr>
          <w:rFonts w:ascii="Times New Roman" w:hAnsi="Times New Roman"/>
          <w:szCs w:val="22"/>
          <w:lang w:eastAsia="sk-SK"/>
        </w:rPr>
        <w:t xml:space="preserve"> </w:t>
      </w:r>
      <w:r w:rsidR="00A11DE1" w:rsidRPr="00C66720">
        <w:rPr>
          <w:rFonts w:ascii="Times New Roman" w:hAnsi="Times New Roman"/>
          <w:szCs w:val="22"/>
          <w:lang w:eastAsia="sk-SK"/>
        </w:rPr>
        <w:t xml:space="preserve">medziročne </w:t>
      </w:r>
      <w:r w:rsidR="00FF56C9" w:rsidRPr="00C66720">
        <w:rPr>
          <w:rFonts w:ascii="Times New Roman" w:hAnsi="Times New Roman"/>
          <w:szCs w:val="22"/>
          <w:lang w:eastAsia="sk-SK"/>
        </w:rPr>
        <w:t>vzrástla</w:t>
      </w:r>
      <w:r w:rsidR="00A11DE1" w:rsidRPr="00C66720">
        <w:rPr>
          <w:rFonts w:ascii="Times New Roman" w:hAnsi="Times New Roman"/>
          <w:szCs w:val="22"/>
          <w:lang w:eastAsia="sk-SK"/>
        </w:rPr>
        <w:t xml:space="preserve"> o</w:t>
      </w:r>
      <w:r w:rsidR="00FF56C9" w:rsidRPr="00C66720">
        <w:rPr>
          <w:rFonts w:ascii="Times New Roman" w:hAnsi="Times New Roman"/>
          <w:szCs w:val="22"/>
          <w:lang w:eastAsia="sk-SK"/>
        </w:rPr>
        <w:t> 504 321</w:t>
      </w:r>
      <w:r w:rsidR="00A11DE1" w:rsidRPr="00C66720">
        <w:rPr>
          <w:rFonts w:ascii="Times New Roman" w:hAnsi="Times New Roman"/>
          <w:szCs w:val="22"/>
          <w:lang w:eastAsia="sk-SK"/>
        </w:rPr>
        <w:t xml:space="preserve"> tis. eur</w:t>
      </w:r>
      <w:r w:rsidR="007D4200" w:rsidRPr="00C66720">
        <w:rPr>
          <w:rFonts w:ascii="Times New Roman" w:hAnsi="Times New Roman"/>
          <w:szCs w:val="22"/>
          <w:lang w:eastAsia="sk-SK"/>
        </w:rPr>
        <w:t xml:space="preserve">, a to najmä </w:t>
      </w:r>
      <w:r w:rsidR="00C50DE9" w:rsidRPr="00C66720">
        <w:rPr>
          <w:rFonts w:ascii="Times New Roman" w:hAnsi="Times New Roman"/>
          <w:szCs w:val="22"/>
          <w:lang w:eastAsia="sk-SK"/>
        </w:rPr>
        <w:t xml:space="preserve">vplyvom </w:t>
      </w:r>
      <w:r w:rsidR="00317139" w:rsidRPr="00C66720">
        <w:rPr>
          <w:rFonts w:ascii="Times New Roman" w:hAnsi="Times New Roman"/>
          <w:szCs w:val="22"/>
          <w:lang w:eastAsia="sk-SK"/>
        </w:rPr>
        <w:t xml:space="preserve">subjektov ústrednej </w:t>
      </w:r>
      <w:r w:rsidR="00B073B9" w:rsidRPr="00C66720">
        <w:rPr>
          <w:rFonts w:ascii="Times New Roman" w:hAnsi="Times New Roman"/>
          <w:szCs w:val="22"/>
          <w:lang w:eastAsia="sk-SK"/>
        </w:rPr>
        <w:t xml:space="preserve">štátnej </w:t>
      </w:r>
      <w:r w:rsidR="00317139" w:rsidRPr="00C66720">
        <w:rPr>
          <w:rFonts w:ascii="Times New Roman" w:hAnsi="Times New Roman"/>
          <w:szCs w:val="22"/>
          <w:lang w:eastAsia="sk-SK"/>
        </w:rPr>
        <w:t xml:space="preserve">správy </w:t>
      </w:r>
      <w:r w:rsidR="00BE7BAF" w:rsidRPr="00C66720">
        <w:rPr>
          <w:rFonts w:ascii="Times New Roman" w:hAnsi="Times New Roman"/>
          <w:szCs w:val="22"/>
          <w:lang w:eastAsia="sk-SK"/>
        </w:rPr>
        <w:br/>
      </w:r>
      <w:r w:rsidR="00317139" w:rsidRPr="00C66720">
        <w:rPr>
          <w:rFonts w:ascii="Times New Roman" w:hAnsi="Times New Roman"/>
          <w:szCs w:val="22"/>
          <w:lang w:eastAsia="sk-SK"/>
        </w:rPr>
        <w:t>o </w:t>
      </w:r>
      <w:r w:rsidR="00FF56C9" w:rsidRPr="00C66720">
        <w:rPr>
          <w:rFonts w:ascii="Times New Roman" w:hAnsi="Times New Roman"/>
          <w:szCs w:val="22"/>
          <w:lang w:eastAsia="sk-SK"/>
        </w:rPr>
        <w:t>288 480</w:t>
      </w:r>
      <w:r w:rsidR="00317139" w:rsidRPr="00C66720">
        <w:rPr>
          <w:rFonts w:ascii="Times New Roman" w:hAnsi="Times New Roman"/>
          <w:szCs w:val="22"/>
          <w:lang w:eastAsia="sk-SK"/>
        </w:rPr>
        <w:t xml:space="preserve"> tis. eur</w:t>
      </w:r>
      <w:r w:rsidR="00FF56C9" w:rsidRPr="00C66720">
        <w:rPr>
          <w:rFonts w:ascii="Times New Roman" w:hAnsi="Times New Roman"/>
          <w:szCs w:val="22"/>
          <w:lang w:eastAsia="sk-SK"/>
        </w:rPr>
        <w:t xml:space="preserve"> a územnej samosprávy o 197 284 tis. eur</w:t>
      </w:r>
      <w:r w:rsidR="00317139" w:rsidRPr="00C66720">
        <w:rPr>
          <w:rFonts w:ascii="Times New Roman" w:hAnsi="Times New Roman"/>
          <w:szCs w:val="22"/>
          <w:lang w:eastAsia="sk-SK"/>
        </w:rPr>
        <w:t xml:space="preserve">. Ostatné subjekty verejnej správy vykazujú </w:t>
      </w:r>
      <w:r w:rsidR="005D7D2A" w:rsidRPr="00C66720">
        <w:rPr>
          <w:rFonts w:ascii="Times New Roman" w:hAnsi="Times New Roman"/>
          <w:szCs w:val="22"/>
          <w:lang w:eastAsia="sk-SK"/>
        </w:rPr>
        <w:t>nárast</w:t>
      </w:r>
      <w:r w:rsidR="00317139" w:rsidRPr="00C66720">
        <w:rPr>
          <w:rFonts w:ascii="Times New Roman" w:hAnsi="Times New Roman"/>
          <w:szCs w:val="22"/>
          <w:lang w:eastAsia="sk-SK"/>
        </w:rPr>
        <w:t xml:space="preserve"> v hodnote </w:t>
      </w:r>
      <w:r w:rsidR="005D7D2A" w:rsidRPr="00C66720">
        <w:rPr>
          <w:rFonts w:ascii="Times New Roman" w:hAnsi="Times New Roman"/>
          <w:szCs w:val="22"/>
          <w:lang w:eastAsia="sk-SK"/>
        </w:rPr>
        <w:t>18 557</w:t>
      </w:r>
      <w:r w:rsidR="00317139" w:rsidRPr="00C66720">
        <w:rPr>
          <w:rFonts w:ascii="Times New Roman" w:hAnsi="Times New Roman"/>
          <w:szCs w:val="22"/>
          <w:lang w:eastAsia="sk-SK"/>
        </w:rPr>
        <w:t xml:space="preserve"> tis. eur</w:t>
      </w:r>
      <w:r w:rsidR="005D7D2A" w:rsidRPr="00C66720">
        <w:rPr>
          <w:rFonts w:ascii="Times New Roman" w:hAnsi="Times New Roman"/>
          <w:szCs w:val="22"/>
          <w:lang w:eastAsia="sk-SK"/>
        </w:rPr>
        <w:t>.</w:t>
      </w:r>
    </w:p>
    <w:p w14:paraId="75E150AC" w14:textId="41768974" w:rsidR="00E635B8" w:rsidRPr="00C66720" w:rsidRDefault="007B3693" w:rsidP="00E635B8">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Z </w:t>
      </w:r>
      <w:r w:rsidR="000F6852" w:rsidRPr="00C66720">
        <w:rPr>
          <w:rFonts w:ascii="Times New Roman" w:hAnsi="Times New Roman"/>
          <w:szCs w:val="22"/>
          <w:lang w:eastAsia="sk-SK"/>
        </w:rPr>
        <w:t>celkovej</w:t>
      </w:r>
      <w:r w:rsidRPr="00C66720">
        <w:rPr>
          <w:rFonts w:ascii="Times New Roman" w:hAnsi="Times New Roman"/>
          <w:szCs w:val="22"/>
          <w:lang w:eastAsia="sk-SK"/>
        </w:rPr>
        <w:t xml:space="preserve"> sumy </w:t>
      </w:r>
      <w:r w:rsidR="00E5517B" w:rsidRPr="00C66720">
        <w:rPr>
          <w:rFonts w:ascii="Times New Roman" w:hAnsi="Times New Roman"/>
          <w:szCs w:val="22"/>
          <w:lang w:eastAsia="sk-SK"/>
        </w:rPr>
        <w:t>5 024 9</w:t>
      </w:r>
      <w:r w:rsidR="00D27C90" w:rsidRPr="00C66720">
        <w:rPr>
          <w:rFonts w:ascii="Times New Roman" w:hAnsi="Times New Roman"/>
          <w:szCs w:val="22"/>
          <w:lang w:eastAsia="sk-SK"/>
        </w:rPr>
        <w:t>20</w:t>
      </w:r>
      <w:r w:rsidR="00D679C3" w:rsidRPr="00C66720">
        <w:rPr>
          <w:rFonts w:ascii="Times New Roman" w:hAnsi="Times New Roman"/>
          <w:szCs w:val="22"/>
          <w:lang w:eastAsia="sk-SK"/>
        </w:rPr>
        <w:t xml:space="preserve"> tis. eur </w:t>
      </w:r>
      <w:r w:rsidR="000F6852" w:rsidRPr="00C66720">
        <w:rPr>
          <w:rFonts w:ascii="Times New Roman" w:hAnsi="Times New Roman"/>
          <w:szCs w:val="22"/>
          <w:lang w:eastAsia="sk-SK"/>
        </w:rPr>
        <w:t xml:space="preserve">tejto položky </w:t>
      </w:r>
      <w:r w:rsidR="00D679C3" w:rsidRPr="00C66720">
        <w:rPr>
          <w:rFonts w:ascii="Times New Roman" w:hAnsi="Times New Roman"/>
          <w:szCs w:val="22"/>
          <w:lang w:eastAsia="sk-SK"/>
        </w:rPr>
        <w:t xml:space="preserve">majetku </w:t>
      </w:r>
      <w:r w:rsidRPr="00C66720">
        <w:rPr>
          <w:rFonts w:ascii="Times New Roman" w:hAnsi="Times New Roman"/>
          <w:szCs w:val="22"/>
          <w:lang w:eastAsia="sk-SK"/>
        </w:rPr>
        <w:t>vykázali o</w:t>
      </w:r>
      <w:r w:rsidR="002D6290" w:rsidRPr="00C66720">
        <w:rPr>
          <w:rFonts w:ascii="Times New Roman" w:hAnsi="Times New Roman"/>
          <w:szCs w:val="22"/>
          <w:lang w:eastAsia="sk-SK"/>
        </w:rPr>
        <w:t>rgan</w:t>
      </w:r>
      <w:r w:rsidRPr="00C66720">
        <w:rPr>
          <w:rFonts w:ascii="Times New Roman" w:hAnsi="Times New Roman"/>
          <w:szCs w:val="22"/>
          <w:lang w:eastAsia="sk-SK"/>
        </w:rPr>
        <w:t>izácie ústrednej štátnej správy</w:t>
      </w:r>
      <w:r w:rsidR="0083378A" w:rsidRPr="00C66720">
        <w:rPr>
          <w:rFonts w:ascii="Times New Roman" w:hAnsi="Times New Roman"/>
          <w:color w:val="FF0000"/>
          <w:szCs w:val="22"/>
          <w:highlight w:val="yellow"/>
          <w:lang w:eastAsia="sk-SK"/>
        </w:rPr>
        <w:br/>
      </w:r>
      <w:r w:rsidR="00FC64AB" w:rsidRPr="00C66720">
        <w:rPr>
          <w:rFonts w:ascii="Times New Roman" w:hAnsi="Times New Roman"/>
          <w:szCs w:val="22"/>
          <w:lang w:eastAsia="sk-SK"/>
        </w:rPr>
        <w:t>3 422 410</w:t>
      </w:r>
      <w:r w:rsidR="00C23B6E" w:rsidRPr="00C66720">
        <w:rPr>
          <w:rFonts w:ascii="Times New Roman" w:hAnsi="Times New Roman"/>
          <w:szCs w:val="22"/>
          <w:lang w:eastAsia="sk-SK"/>
        </w:rPr>
        <w:t xml:space="preserve"> tis. eur</w:t>
      </w:r>
      <w:r w:rsidR="00325CE4" w:rsidRPr="00C66720">
        <w:rPr>
          <w:rFonts w:ascii="Times New Roman" w:hAnsi="Times New Roman"/>
          <w:szCs w:val="22"/>
          <w:lang w:eastAsia="sk-SK"/>
        </w:rPr>
        <w:t xml:space="preserve">. </w:t>
      </w:r>
      <w:r w:rsidR="002D1D3F" w:rsidRPr="00C66720">
        <w:rPr>
          <w:rFonts w:ascii="Times New Roman" w:hAnsi="Times New Roman"/>
          <w:szCs w:val="22"/>
          <w:lang w:eastAsia="sk-SK"/>
        </w:rPr>
        <w:t>Obstaranie majetku tvorí najmä budúca infraštruktúra v podobe ciest, stavieb</w:t>
      </w:r>
      <w:r w:rsidR="00227214" w:rsidRPr="00C66720">
        <w:rPr>
          <w:rFonts w:ascii="Times New Roman" w:hAnsi="Times New Roman"/>
          <w:szCs w:val="22"/>
          <w:lang w:eastAsia="sk-SK"/>
        </w:rPr>
        <w:t>,</w:t>
      </w:r>
      <w:r w:rsidR="002D1D3F" w:rsidRPr="00C66720">
        <w:rPr>
          <w:rFonts w:ascii="Times New Roman" w:hAnsi="Times New Roman"/>
          <w:szCs w:val="22"/>
          <w:lang w:eastAsia="sk-SK"/>
        </w:rPr>
        <w:t xml:space="preserve"> a</w:t>
      </w:r>
      <w:r w:rsidR="00227214" w:rsidRPr="00C66720">
        <w:rPr>
          <w:rFonts w:ascii="Times New Roman" w:hAnsi="Times New Roman"/>
          <w:szCs w:val="22"/>
          <w:lang w:eastAsia="sk-SK"/>
        </w:rPr>
        <w:t>le</w:t>
      </w:r>
      <w:r w:rsidR="002D1D3F" w:rsidRPr="00C66720">
        <w:rPr>
          <w:rFonts w:ascii="Times New Roman" w:hAnsi="Times New Roman"/>
          <w:szCs w:val="22"/>
          <w:lang w:eastAsia="sk-SK"/>
        </w:rPr>
        <w:t xml:space="preserve"> </w:t>
      </w:r>
      <w:r w:rsidR="00227214" w:rsidRPr="00C66720">
        <w:rPr>
          <w:rFonts w:ascii="Times New Roman" w:hAnsi="Times New Roman"/>
          <w:szCs w:val="22"/>
          <w:lang w:eastAsia="sk-SK"/>
        </w:rPr>
        <w:t xml:space="preserve">aj </w:t>
      </w:r>
      <w:r w:rsidR="002D1D3F" w:rsidRPr="00C66720">
        <w:rPr>
          <w:rFonts w:ascii="Times New Roman" w:hAnsi="Times New Roman"/>
          <w:szCs w:val="22"/>
          <w:lang w:eastAsia="sk-SK"/>
        </w:rPr>
        <w:t>pozemk</w:t>
      </w:r>
      <w:r w:rsidR="00413236" w:rsidRPr="00C66720">
        <w:rPr>
          <w:rFonts w:ascii="Times New Roman" w:hAnsi="Times New Roman"/>
          <w:szCs w:val="22"/>
          <w:lang w:eastAsia="sk-SK"/>
        </w:rPr>
        <w:t>ov</w:t>
      </w:r>
      <w:r w:rsidR="00227214" w:rsidRPr="00C66720">
        <w:rPr>
          <w:rFonts w:ascii="Times New Roman" w:hAnsi="Times New Roman"/>
          <w:szCs w:val="22"/>
          <w:lang w:eastAsia="sk-SK"/>
        </w:rPr>
        <w:t>, dopravn</w:t>
      </w:r>
      <w:r w:rsidR="00413236" w:rsidRPr="00C66720">
        <w:rPr>
          <w:rFonts w:ascii="Times New Roman" w:hAnsi="Times New Roman"/>
          <w:szCs w:val="22"/>
          <w:lang w:eastAsia="sk-SK"/>
        </w:rPr>
        <w:t>ých</w:t>
      </w:r>
      <w:r w:rsidR="00227214" w:rsidRPr="00C66720">
        <w:rPr>
          <w:rFonts w:ascii="Times New Roman" w:hAnsi="Times New Roman"/>
          <w:szCs w:val="22"/>
          <w:lang w:eastAsia="sk-SK"/>
        </w:rPr>
        <w:t xml:space="preserve"> prostriedk</w:t>
      </w:r>
      <w:r w:rsidR="00413236" w:rsidRPr="00C66720">
        <w:rPr>
          <w:rFonts w:ascii="Times New Roman" w:hAnsi="Times New Roman"/>
          <w:szCs w:val="22"/>
          <w:lang w:eastAsia="sk-SK"/>
        </w:rPr>
        <w:t>ov</w:t>
      </w:r>
      <w:r w:rsidR="00227214" w:rsidRPr="00C66720">
        <w:rPr>
          <w:rFonts w:ascii="Times New Roman" w:hAnsi="Times New Roman"/>
          <w:szCs w:val="22"/>
          <w:lang w:eastAsia="sk-SK"/>
        </w:rPr>
        <w:t>, stroj</w:t>
      </w:r>
      <w:r w:rsidR="00413236" w:rsidRPr="00C66720">
        <w:rPr>
          <w:rFonts w:ascii="Times New Roman" w:hAnsi="Times New Roman"/>
          <w:szCs w:val="22"/>
          <w:lang w:eastAsia="sk-SK"/>
        </w:rPr>
        <w:t>ov</w:t>
      </w:r>
      <w:r w:rsidR="00227214" w:rsidRPr="00C66720">
        <w:rPr>
          <w:rFonts w:ascii="Times New Roman" w:hAnsi="Times New Roman"/>
          <w:szCs w:val="22"/>
          <w:lang w:eastAsia="sk-SK"/>
        </w:rPr>
        <w:t>, prístroj</w:t>
      </w:r>
      <w:r w:rsidR="00413236" w:rsidRPr="00C66720">
        <w:rPr>
          <w:rFonts w:ascii="Times New Roman" w:hAnsi="Times New Roman"/>
          <w:szCs w:val="22"/>
          <w:lang w:eastAsia="sk-SK"/>
        </w:rPr>
        <w:t>ov</w:t>
      </w:r>
      <w:r w:rsidR="00227214" w:rsidRPr="00C66720">
        <w:rPr>
          <w:rFonts w:ascii="Times New Roman" w:hAnsi="Times New Roman"/>
          <w:szCs w:val="22"/>
          <w:lang w:eastAsia="sk-SK"/>
        </w:rPr>
        <w:t xml:space="preserve"> a</w:t>
      </w:r>
      <w:r w:rsidR="003966B5" w:rsidRPr="00C66720">
        <w:rPr>
          <w:rFonts w:ascii="Times New Roman" w:hAnsi="Times New Roman"/>
          <w:szCs w:val="22"/>
          <w:lang w:eastAsia="sk-SK"/>
        </w:rPr>
        <w:t> </w:t>
      </w:r>
      <w:r w:rsidR="00413236" w:rsidRPr="00C66720">
        <w:rPr>
          <w:rFonts w:ascii="Times New Roman" w:hAnsi="Times New Roman"/>
          <w:szCs w:val="22"/>
          <w:lang w:eastAsia="sk-SK"/>
        </w:rPr>
        <w:t>zariadení</w:t>
      </w:r>
      <w:r w:rsidR="002D1D3F" w:rsidRPr="00C66720">
        <w:rPr>
          <w:rFonts w:ascii="Times New Roman" w:hAnsi="Times New Roman"/>
          <w:szCs w:val="22"/>
          <w:lang w:eastAsia="sk-SK"/>
        </w:rPr>
        <w:t xml:space="preserve">. </w:t>
      </w:r>
    </w:p>
    <w:p w14:paraId="794808B3" w14:textId="433CD88D" w:rsidR="00623975" w:rsidRPr="00C66720" w:rsidRDefault="001742E5" w:rsidP="00E635B8">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Z ústrednej správy vykázala Národná diaľničná spoločnosť, a.s. </w:t>
      </w:r>
      <w:r w:rsidR="008E6D0C" w:rsidRPr="00C66720">
        <w:rPr>
          <w:rFonts w:ascii="Times New Roman" w:hAnsi="Times New Roman"/>
          <w:szCs w:val="22"/>
          <w:lang w:eastAsia="sk-SK"/>
        </w:rPr>
        <w:t xml:space="preserve">hodnotu </w:t>
      </w:r>
      <w:r w:rsidR="00856A85" w:rsidRPr="00C66720">
        <w:rPr>
          <w:rFonts w:ascii="Times New Roman" w:hAnsi="Times New Roman"/>
          <w:szCs w:val="22"/>
          <w:lang w:eastAsia="sk-SK"/>
        </w:rPr>
        <w:t>1 476 327</w:t>
      </w:r>
      <w:r w:rsidR="008E6D0C" w:rsidRPr="00C66720">
        <w:rPr>
          <w:rFonts w:ascii="Times New Roman" w:hAnsi="Times New Roman"/>
          <w:szCs w:val="22"/>
          <w:lang w:eastAsia="sk-SK"/>
        </w:rPr>
        <w:t xml:space="preserve"> tis. eur</w:t>
      </w:r>
      <w:r w:rsidR="00B70750" w:rsidRPr="00C66720">
        <w:rPr>
          <w:rFonts w:ascii="Times New Roman" w:hAnsi="Times New Roman"/>
          <w:szCs w:val="22"/>
          <w:lang w:eastAsia="sk-SK"/>
        </w:rPr>
        <w:t xml:space="preserve"> </w:t>
      </w:r>
      <w:r w:rsidR="002278B7" w:rsidRPr="00C66720">
        <w:rPr>
          <w:rFonts w:ascii="Times New Roman" w:hAnsi="Times New Roman"/>
          <w:szCs w:val="22"/>
          <w:lang w:eastAsia="sk-SK"/>
        </w:rPr>
        <w:br/>
      </w:r>
      <w:r w:rsidR="00B70750" w:rsidRPr="00C66720">
        <w:rPr>
          <w:rFonts w:ascii="Times New Roman" w:hAnsi="Times New Roman"/>
          <w:szCs w:val="22"/>
          <w:lang w:eastAsia="sk-SK"/>
        </w:rPr>
        <w:t xml:space="preserve">(2021: 1 216 453 tis. eur), pričom medzi najvýznamnejšie stavby v procese obstarávania z pohľadu výšky nákladov na obstaranie patria </w:t>
      </w:r>
      <w:r w:rsidR="00C45FE7">
        <w:rPr>
          <w:rFonts w:ascii="Times New Roman" w:hAnsi="Times New Roman"/>
          <w:szCs w:val="22"/>
          <w:lang w:eastAsia="sk-SK"/>
        </w:rPr>
        <w:t>diaľničné úseky D1 Hubová – Ivachnová 349 935 tis. eur, D1 Lietavská Lúčka – Višňové – Dubná Skala 214 747 tis. eur, D1 Lietavská Lúčka – Dubná Skala vrátane tunela Višňové 132 189 tis. eur,</w:t>
      </w:r>
      <w:r w:rsidR="00820116">
        <w:rPr>
          <w:rFonts w:ascii="Times New Roman" w:hAnsi="Times New Roman"/>
          <w:szCs w:val="22"/>
          <w:lang w:eastAsia="sk-SK"/>
        </w:rPr>
        <w:t xml:space="preserve"> D3 Svrčinovec – Skalité 53 879 tis. eur, D1 Turany – Hubová 44 492 tis. eur, </w:t>
      </w:r>
      <w:r w:rsidR="00C45FE7">
        <w:rPr>
          <w:rFonts w:ascii="Times New Roman" w:hAnsi="Times New Roman"/>
          <w:szCs w:val="22"/>
          <w:lang w:eastAsia="sk-SK"/>
        </w:rPr>
        <w:t xml:space="preserve">úseky rýchlostných ciest R4 Prešov – severný obchvat, I. etapa 127 394 tis. eur, </w:t>
      </w:r>
      <w:r w:rsidR="00820116">
        <w:rPr>
          <w:rFonts w:ascii="Times New Roman" w:hAnsi="Times New Roman"/>
          <w:szCs w:val="22"/>
          <w:lang w:eastAsia="sk-SK"/>
        </w:rPr>
        <w:t>R2 Kriváň – Lovinobaňa (Kriváň – Mýtna) 86 692 tis. eur, R2 Šaca – Košické Olšany II. úsek 29 215 tis. eur</w:t>
      </w:r>
      <w:r w:rsidR="007C611C">
        <w:rPr>
          <w:rFonts w:ascii="Times New Roman" w:hAnsi="Times New Roman"/>
          <w:szCs w:val="22"/>
          <w:lang w:eastAsia="sk-SK"/>
        </w:rPr>
        <w:t>, R3 Tvrdošín – Nižná 23 320 tis. eur a modernizácia elektronických systémov diaľnic a rýchlostných ciest 24 335 tis. eur</w:t>
      </w:r>
      <w:r w:rsidR="002D7839">
        <w:rPr>
          <w:rFonts w:ascii="Times New Roman" w:hAnsi="Times New Roman"/>
          <w:szCs w:val="22"/>
          <w:lang w:eastAsia="sk-SK"/>
        </w:rPr>
        <w:t>. J</w:t>
      </w:r>
      <w:r w:rsidR="001F01FE" w:rsidRPr="00C66720">
        <w:rPr>
          <w:rFonts w:ascii="Times New Roman" w:hAnsi="Times New Roman"/>
          <w:szCs w:val="22"/>
          <w:lang w:eastAsia="sk-SK"/>
        </w:rPr>
        <w:t>ej celkový</w:t>
      </w:r>
      <w:r w:rsidR="008E6D0C" w:rsidRPr="00C66720">
        <w:rPr>
          <w:rFonts w:ascii="Times New Roman" w:hAnsi="Times New Roman"/>
          <w:szCs w:val="22"/>
          <w:lang w:eastAsia="sk-SK"/>
        </w:rPr>
        <w:t xml:space="preserve"> </w:t>
      </w:r>
      <w:r w:rsidR="00856A85" w:rsidRPr="00C66720">
        <w:rPr>
          <w:rFonts w:ascii="Times New Roman" w:hAnsi="Times New Roman"/>
          <w:szCs w:val="22"/>
          <w:lang w:eastAsia="sk-SK"/>
        </w:rPr>
        <w:t>prírastok</w:t>
      </w:r>
      <w:r w:rsidR="002D7839">
        <w:rPr>
          <w:rFonts w:ascii="Times New Roman" w:hAnsi="Times New Roman"/>
          <w:szCs w:val="22"/>
          <w:lang w:eastAsia="sk-SK"/>
        </w:rPr>
        <w:t xml:space="preserve"> </w:t>
      </w:r>
      <w:r w:rsidR="001F01FE" w:rsidRPr="00C66720">
        <w:rPr>
          <w:rFonts w:ascii="Times New Roman" w:hAnsi="Times New Roman"/>
          <w:szCs w:val="22"/>
          <w:lang w:eastAsia="sk-SK"/>
        </w:rPr>
        <w:t>o</w:t>
      </w:r>
      <w:r w:rsidR="00856A85" w:rsidRPr="00C66720">
        <w:rPr>
          <w:rFonts w:ascii="Times New Roman" w:hAnsi="Times New Roman"/>
          <w:szCs w:val="22"/>
          <w:lang w:eastAsia="sk-SK"/>
        </w:rPr>
        <w:t> 259 874</w:t>
      </w:r>
      <w:r w:rsidR="008E6D0C" w:rsidRPr="00C66720">
        <w:rPr>
          <w:rFonts w:ascii="Times New Roman" w:hAnsi="Times New Roman"/>
          <w:szCs w:val="22"/>
          <w:lang w:eastAsia="sk-SK"/>
        </w:rPr>
        <w:t xml:space="preserve"> tis. eur</w:t>
      </w:r>
      <w:r w:rsidR="001F01FE" w:rsidRPr="00C66720">
        <w:rPr>
          <w:rFonts w:ascii="Times New Roman" w:hAnsi="Times New Roman"/>
          <w:szCs w:val="22"/>
          <w:lang w:eastAsia="sk-SK"/>
        </w:rPr>
        <w:t xml:space="preserve"> bol tvorený na jednej strane </w:t>
      </w:r>
      <w:r w:rsidR="0046781E" w:rsidRPr="00C66720">
        <w:rPr>
          <w:rFonts w:ascii="Times New Roman" w:hAnsi="Times New Roman"/>
          <w:szCs w:val="22"/>
          <w:lang w:eastAsia="sk-SK"/>
        </w:rPr>
        <w:t xml:space="preserve">obstaraním dlhodobého majetku v priebehu roka 2022 v hodnote 453 881 tis. eur (v tom diaľnice 214 173 tis. eur, rýchlostné cesty 197 624 tis. eur, ostatné stavby 11 629 tis. eur a ostatný dlhodobý hmotný majetok 3 360 tis. eur) a na strane druhej zaradením majetku do používania v hodnote 193 625 tis. eur (v tom diaľnice 38 875 tis. eur, rýchlostné cesty 150 339 tis. eur, ostatné stavby 17 tis. eur a ostatný dlhodobý hmotný majetok 4 394 tis. eur). </w:t>
      </w:r>
    </w:p>
    <w:p w14:paraId="5EFB205F" w14:textId="08AC7ACF" w:rsidR="007876F7" w:rsidRPr="00C66720" w:rsidRDefault="008E6D0C" w:rsidP="00C64F57">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Slovenská správa ciest vykázala zostatok </w:t>
      </w:r>
      <w:r w:rsidR="009D62E6" w:rsidRPr="00C66720">
        <w:rPr>
          <w:rFonts w:ascii="Times New Roman" w:hAnsi="Times New Roman"/>
          <w:szCs w:val="22"/>
          <w:lang w:eastAsia="sk-SK"/>
        </w:rPr>
        <w:t>602 945</w:t>
      </w:r>
      <w:r w:rsidRPr="00C66720">
        <w:rPr>
          <w:rFonts w:ascii="Times New Roman" w:hAnsi="Times New Roman"/>
          <w:szCs w:val="22"/>
          <w:lang w:eastAsia="sk-SK"/>
        </w:rPr>
        <w:t xml:space="preserve"> tis. eur a</w:t>
      </w:r>
      <w:r w:rsidR="00350913" w:rsidRPr="00C66720">
        <w:rPr>
          <w:rFonts w:ascii="Times New Roman" w:hAnsi="Times New Roman"/>
          <w:szCs w:val="22"/>
          <w:lang w:eastAsia="sk-SK"/>
        </w:rPr>
        <w:t xml:space="preserve"> celkový </w:t>
      </w:r>
      <w:r w:rsidR="009D62E6" w:rsidRPr="00C66720">
        <w:rPr>
          <w:rFonts w:ascii="Times New Roman" w:hAnsi="Times New Roman"/>
          <w:szCs w:val="22"/>
          <w:lang w:eastAsia="sk-SK"/>
        </w:rPr>
        <w:t>pokles</w:t>
      </w:r>
      <w:r w:rsidR="00350913" w:rsidRPr="00C66720">
        <w:rPr>
          <w:rFonts w:ascii="Times New Roman" w:hAnsi="Times New Roman"/>
          <w:szCs w:val="22"/>
          <w:lang w:eastAsia="sk-SK"/>
        </w:rPr>
        <w:t xml:space="preserve"> hodnoty o</w:t>
      </w:r>
      <w:r w:rsidR="009D62E6" w:rsidRPr="00C66720">
        <w:rPr>
          <w:rFonts w:ascii="Times New Roman" w:hAnsi="Times New Roman"/>
          <w:szCs w:val="22"/>
          <w:lang w:eastAsia="sk-SK"/>
        </w:rPr>
        <w:t> 4 456</w:t>
      </w:r>
      <w:r w:rsidR="00350913" w:rsidRPr="00C66720">
        <w:rPr>
          <w:rFonts w:ascii="Times New Roman" w:hAnsi="Times New Roman"/>
          <w:szCs w:val="22"/>
          <w:lang w:eastAsia="sk-SK"/>
        </w:rPr>
        <w:t xml:space="preserve"> tis. eur z dôvodu </w:t>
      </w:r>
      <w:r w:rsidR="00FB04F6" w:rsidRPr="00C66720">
        <w:rPr>
          <w:rFonts w:ascii="Times New Roman" w:hAnsi="Times New Roman"/>
          <w:szCs w:val="22"/>
          <w:lang w:eastAsia="sk-SK"/>
        </w:rPr>
        <w:t>nižšieho zaradenia stavebných prác a majetku (</w:t>
      </w:r>
      <w:r w:rsidR="009D62E6" w:rsidRPr="00C66720">
        <w:rPr>
          <w:rFonts w:ascii="Times New Roman" w:hAnsi="Times New Roman"/>
          <w:szCs w:val="22"/>
          <w:lang w:eastAsia="sk-SK"/>
        </w:rPr>
        <w:t>143 820</w:t>
      </w:r>
      <w:r w:rsidR="00FB04F6" w:rsidRPr="00C66720">
        <w:rPr>
          <w:rFonts w:ascii="Times New Roman" w:hAnsi="Times New Roman"/>
          <w:szCs w:val="22"/>
          <w:lang w:eastAsia="sk-SK"/>
        </w:rPr>
        <w:t xml:space="preserve"> tis. eur; z toho stavebné práce </w:t>
      </w:r>
      <w:r w:rsidR="00646431" w:rsidRPr="00C66720">
        <w:rPr>
          <w:rFonts w:ascii="Times New Roman" w:hAnsi="Times New Roman"/>
          <w:szCs w:val="22"/>
          <w:lang w:eastAsia="sk-SK"/>
        </w:rPr>
        <w:br/>
      </w:r>
      <w:r w:rsidR="009D62E6" w:rsidRPr="00C66720">
        <w:rPr>
          <w:rFonts w:ascii="Times New Roman" w:hAnsi="Times New Roman"/>
          <w:szCs w:val="22"/>
          <w:lang w:eastAsia="sk-SK"/>
        </w:rPr>
        <w:t>137 102</w:t>
      </w:r>
      <w:r w:rsidR="00FB04F6" w:rsidRPr="00C66720">
        <w:rPr>
          <w:rFonts w:ascii="Times New Roman" w:hAnsi="Times New Roman"/>
          <w:szCs w:val="22"/>
          <w:lang w:eastAsia="sk-SK"/>
        </w:rPr>
        <w:t xml:space="preserve"> tis. eur) ako bol</w:t>
      </w:r>
      <w:r w:rsidR="00646431" w:rsidRPr="00C66720">
        <w:rPr>
          <w:rFonts w:ascii="Times New Roman" w:hAnsi="Times New Roman"/>
          <w:szCs w:val="22"/>
          <w:lang w:eastAsia="sk-SK"/>
        </w:rPr>
        <w:t>a</w:t>
      </w:r>
      <w:r w:rsidR="00FB04F6" w:rsidRPr="00C66720">
        <w:rPr>
          <w:rFonts w:ascii="Times New Roman" w:hAnsi="Times New Roman"/>
          <w:szCs w:val="22"/>
          <w:lang w:eastAsia="sk-SK"/>
        </w:rPr>
        <w:t xml:space="preserve"> hodnota nového obstarania (</w:t>
      </w:r>
      <w:r w:rsidR="009D62E6" w:rsidRPr="00C66720">
        <w:rPr>
          <w:rFonts w:ascii="Times New Roman" w:hAnsi="Times New Roman"/>
          <w:szCs w:val="22"/>
          <w:lang w:eastAsia="sk-SK"/>
        </w:rPr>
        <w:t>148 276</w:t>
      </w:r>
      <w:r w:rsidR="00FB04F6" w:rsidRPr="00C66720">
        <w:rPr>
          <w:rFonts w:ascii="Times New Roman" w:hAnsi="Times New Roman"/>
          <w:szCs w:val="22"/>
          <w:lang w:eastAsia="sk-SK"/>
        </w:rPr>
        <w:t xml:space="preserve"> tis. eur; z toho </w:t>
      </w:r>
      <w:r w:rsidR="002D7222" w:rsidRPr="00C66720">
        <w:rPr>
          <w:rFonts w:ascii="Times New Roman" w:hAnsi="Times New Roman"/>
          <w:szCs w:val="22"/>
          <w:lang w:eastAsia="sk-SK"/>
        </w:rPr>
        <w:t xml:space="preserve">stavebné práce </w:t>
      </w:r>
      <w:r w:rsidR="00646431" w:rsidRPr="00C66720">
        <w:rPr>
          <w:rFonts w:ascii="Times New Roman" w:hAnsi="Times New Roman"/>
          <w:szCs w:val="22"/>
          <w:lang w:eastAsia="sk-SK"/>
        </w:rPr>
        <w:br/>
      </w:r>
      <w:r w:rsidR="00492C85" w:rsidRPr="00C66720">
        <w:rPr>
          <w:rFonts w:ascii="Times New Roman" w:hAnsi="Times New Roman"/>
          <w:szCs w:val="22"/>
          <w:lang w:eastAsia="sk-SK"/>
        </w:rPr>
        <w:t>142 723</w:t>
      </w:r>
      <w:r w:rsidR="002D7222" w:rsidRPr="00C66720">
        <w:rPr>
          <w:rFonts w:ascii="Times New Roman" w:hAnsi="Times New Roman"/>
          <w:szCs w:val="22"/>
          <w:lang w:eastAsia="sk-SK"/>
        </w:rPr>
        <w:t xml:space="preserve"> tis. eur).</w:t>
      </w:r>
      <w:r w:rsidRPr="00C66720">
        <w:rPr>
          <w:rFonts w:ascii="Times New Roman" w:hAnsi="Times New Roman"/>
          <w:szCs w:val="22"/>
          <w:lang w:eastAsia="sk-SK"/>
        </w:rPr>
        <w:t xml:space="preserve"> Železnice SR vykázali zostatok </w:t>
      </w:r>
      <w:r w:rsidR="00D3669F" w:rsidRPr="00C66720">
        <w:rPr>
          <w:rFonts w:ascii="Times New Roman" w:hAnsi="Times New Roman"/>
          <w:szCs w:val="22"/>
          <w:lang w:eastAsia="sk-SK"/>
        </w:rPr>
        <w:t>547 752</w:t>
      </w:r>
      <w:r w:rsidRPr="00C66720">
        <w:rPr>
          <w:rFonts w:ascii="Times New Roman" w:hAnsi="Times New Roman"/>
          <w:szCs w:val="22"/>
          <w:lang w:eastAsia="sk-SK"/>
        </w:rPr>
        <w:t xml:space="preserve"> tis. eur a </w:t>
      </w:r>
      <w:r w:rsidR="00D3669F" w:rsidRPr="00C66720">
        <w:rPr>
          <w:rFonts w:ascii="Times New Roman" w:hAnsi="Times New Roman"/>
          <w:szCs w:val="22"/>
          <w:lang w:eastAsia="sk-SK"/>
        </w:rPr>
        <w:t>prírastok</w:t>
      </w:r>
      <w:r w:rsidRPr="00C66720">
        <w:rPr>
          <w:rFonts w:ascii="Times New Roman" w:hAnsi="Times New Roman"/>
          <w:szCs w:val="22"/>
          <w:lang w:eastAsia="sk-SK"/>
        </w:rPr>
        <w:t xml:space="preserve"> </w:t>
      </w:r>
      <w:r w:rsidR="00D3669F" w:rsidRPr="00C66720">
        <w:rPr>
          <w:rFonts w:ascii="Times New Roman" w:hAnsi="Times New Roman"/>
          <w:szCs w:val="22"/>
          <w:lang w:eastAsia="sk-SK"/>
        </w:rPr>
        <w:t>50 949</w:t>
      </w:r>
      <w:r w:rsidRPr="00C66720">
        <w:rPr>
          <w:rFonts w:ascii="Times New Roman" w:hAnsi="Times New Roman"/>
          <w:szCs w:val="22"/>
          <w:lang w:eastAsia="sk-SK"/>
        </w:rPr>
        <w:t xml:space="preserve"> tis. eur</w:t>
      </w:r>
      <w:r w:rsidR="00EB24C3" w:rsidRPr="00C66720">
        <w:rPr>
          <w:rFonts w:ascii="Times New Roman" w:hAnsi="Times New Roman"/>
          <w:szCs w:val="22"/>
          <w:lang w:eastAsia="sk-SK"/>
        </w:rPr>
        <w:t xml:space="preserve">. </w:t>
      </w:r>
      <w:r w:rsidR="00E24A71" w:rsidRPr="00C66720">
        <w:rPr>
          <w:rFonts w:ascii="Times New Roman" w:hAnsi="Times New Roman"/>
          <w:szCs w:val="22"/>
          <w:lang w:eastAsia="sk-SK"/>
        </w:rPr>
        <w:t>Obdobne ako v prípade NDS, a.s. alebo SSC ide o rozdiel z dlhodobého obstarávania majetku (modernizácia železničných tratí a nástupíšť, obstaranie strojov a zariadení železničnej infraštruktúry, ostatných strojov a zariadení, komunikačnej infraštruktúry služieb telematiky) v sume 242 703 tis. eur a zaraďovania dokončeného majetku do používania v hodnote 190 297 tis. eur, pričom došlo k medziročnej zmene v podobe zvýšenia opravných položiek o</w:t>
      </w:r>
      <w:r w:rsidR="005A6F74" w:rsidRPr="00C66720">
        <w:rPr>
          <w:rFonts w:ascii="Times New Roman" w:hAnsi="Times New Roman"/>
          <w:szCs w:val="22"/>
          <w:lang w:eastAsia="sk-SK"/>
        </w:rPr>
        <w:t> 1 456 tis. eur.</w:t>
      </w:r>
      <w:r w:rsidR="007E7B35" w:rsidRPr="00C66720">
        <w:rPr>
          <w:rFonts w:ascii="Times New Roman" w:hAnsi="Times New Roman"/>
          <w:szCs w:val="22"/>
          <w:lang w:eastAsia="sk-SK"/>
        </w:rPr>
        <w:t xml:space="preserve"> </w:t>
      </w:r>
      <w:r w:rsidR="00F9000B" w:rsidRPr="00C66720">
        <w:rPr>
          <w:rFonts w:ascii="Times New Roman" w:hAnsi="Times New Roman"/>
          <w:szCs w:val="22"/>
          <w:lang w:eastAsia="sk-SK"/>
        </w:rPr>
        <w:t xml:space="preserve">Slovenská národná galéria </w:t>
      </w:r>
      <w:r w:rsidR="00F9000B" w:rsidRPr="003B7ED8">
        <w:rPr>
          <w:rFonts w:ascii="Times New Roman" w:hAnsi="Times New Roman"/>
          <w:szCs w:val="22"/>
          <w:lang w:eastAsia="sk-SK"/>
        </w:rPr>
        <w:t xml:space="preserve">vykazuje </w:t>
      </w:r>
      <w:r w:rsidR="003B7ED8" w:rsidRPr="003B7ED8">
        <w:rPr>
          <w:rFonts w:ascii="Times New Roman" w:hAnsi="Times New Roman"/>
          <w:szCs w:val="22"/>
          <w:lang w:eastAsia="sk-SK"/>
        </w:rPr>
        <w:t xml:space="preserve">81 670 tis. eur ako </w:t>
      </w:r>
      <w:r w:rsidR="00F9000B" w:rsidRPr="003B7ED8">
        <w:rPr>
          <w:rFonts w:ascii="Times New Roman" w:hAnsi="Times New Roman"/>
          <w:szCs w:val="22"/>
          <w:lang w:eastAsia="sk-SK"/>
        </w:rPr>
        <w:t>technické zhodnotenie</w:t>
      </w:r>
      <w:r w:rsidR="009700FF" w:rsidRPr="003B7ED8">
        <w:rPr>
          <w:rFonts w:ascii="Times New Roman" w:hAnsi="Times New Roman"/>
          <w:szCs w:val="22"/>
          <w:lang w:eastAsia="sk-SK"/>
        </w:rPr>
        <w:t xml:space="preserve"> (rekonštrukcia, modernizácia a dostavba) areálu a</w:t>
      </w:r>
      <w:r w:rsidR="00F9000B" w:rsidRPr="003B7ED8">
        <w:rPr>
          <w:rFonts w:ascii="Times New Roman" w:hAnsi="Times New Roman"/>
          <w:szCs w:val="22"/>
          <w:lang w:eastAsia="sk-SK"/>
        </w:rPr>
        <w:t xml:space="preserve"> budovy Slovenskej národnej galérie</w:t>
      </w:r>
      <w:r w:rsidR="003B7ED8" w:rsidRPr="009020E1">
        <w:rPr>
          <w:rFonts w:ascii="Times New Roman" w:hAnsi="Times New Roman"/>
          <w:szCs w:val="22"/>
          <w:lang w:eastAsia="sk-SK"/>
        </w:rPr>
        <w:t>,</w:t>
      </w:r>
      <w:r w:rsidR="003B7ED8" w:rsidRPr="003B7ED8">
        <w:rPr>
          <w:rFonts w:ascii="Times New Roman" w:eastAsia="Calibri" w:hAnsi="Times New Roman"/>
        </w:rPr>
        <w:t xml:space="preserve"> ktorá sa začala v roku 2016 a ukončená bola v roku 2023 s celkovými nákladmi 82 117 </w:t>
      </w:r>
      <w:r w:rsidR="004362A8">
        <w:rPr>
          <w:rFonts w:ascii="Times New Roman" w:eastAsia="Calibri" w:hAnsi="Times New Roman"/>
        </w:rPr>
        <w:t>tis.</w:t>
      </w:r>
      <w:r w:rsidR="003B7ED8" w:rsidRPr="003B7ED8">
        <w:rPr>
          <w:rFonts w:ascii="Times New Roman" w:eastAsia="Calibri" w:hAnsi="Times New Roman"/>
        </w:rPr>
        <w:t> eur</w:t>
      </w:r>
      <w:r w:rsidR="003B7ED8" w:rsidRPr="003B7ED8">
        <w:rPr>
          <w:rFonts w:ascii="Times New Roman" w:hAnsi="Times New Roman"/>
          <w:szCs w:val="22"/>
          <w:lang w:eastAsia="sk-SK"/>
        </w:rPr>
        <w:t>.</w:t>
      </w:r>
    </w:p>
    <w:p w14:paraId="14FB5059" w14:textId="5EEF285E" w:rsidR="006C1037" w:rsidRPr="00C66720" w:rsidRDefault="004826D6" w:rsidP="00C64F57">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Významný prírastok hodnoty obstarávaného majetku v ústrednej správ</w:t>
      </w:r>
      <w:r w:rsidR="008707F3" w:rsidRPr="00C66720">
        <w:rPr>
          <w:rFonts w:ascii="Times New Roman" w:hAnsi="Times New Roman"/>
          <w:szCs w:val="22"/>
          <w:lang w:eastAsia="sk-SK"/>
        </w:rPr>
        <w:t>e</w:t>
      </w:r>
      <w:r w:rsidRPr="00C66720">
        <w:rPr>
          <w:rFonts w:ascii="Times New Roman" w:hAnsi="Times New Roman"/>
          <w:szCs w:val="22"/>
          <w:lang w:eastAsia="sk-SK"/>
        </w:rPr>
        <w:t xml:space="preserve"> vykázali </w:t>
      </w:r>
      <w:r w:rsidR="00BD4239" w:rsidRPr="00C66720">
        <w:rPr>
          <w:rFonts w:ascii="Times New Roman" w:hAnsi="Times New Roman"/>
          <w:szCs w:val="22"/>
          <w:lang w:eastAsia="sk-SK"/>
        </w:rPr>
        <w:t xml:space="preserve">okrem </w:t>
      </w:r>
      <w:r w:rsidR="006C1037" w:rsidRPr="00C66720">
        <w:rPr>
          <w:rFonts w:ascii="Times New Roman" w:hAnsi="Times New Roman"/>
          <w:szCs w:val="22"/>
          <w:lang w:eastAsia="sk-SK"/>
        </w:rPr>
        <w:t>vyššie uvedených subjektov aj Valaliky Industrial Park, s.r.o. 58 205 tis. eur</w:t>
      </w:r>
      <w:r w:rsidR="00B46700" w:rsidRPr="00C66720">
        <w:rPr>
          <w:rFonts w:ascii="Times New Roman" w:hAnsi="Times New Roman"/>
          <w:szCs w:val="22"/>
          <w:lang w:eastAsia="sk-SK"/>
        </w:rPr>
        <w:t xml:space="preserve"> v súvislosti s obstaraním pozemkov pre účely výstavby priemyselného parku</w:t>
      </w:r>
      <w:r w:rsidR="006C1037" w:rsidRPr="00C66720">
        <w:rPr>
          <w:rFonts w:ascii="Times New Roman" w:hAnsi="Times New Roman"/>
          <w:szCs w:val="22"/>
          <w:lang w:eastAsia="sk-SK"/>
        </w:rPr>
        <w:t xml:space="preserve">, Ministerstvo vnútra SR </w:t>
      </w:r>
      <w:r w:rsidR="006C1037" w:rsidRPr="00C66720">
        <w:rPr>
          <w:rFonts w:ascii="Times New Roman" w:hAnsi="Times New Roman"/>
          <w:szCs w:val="22"/>
          <w:lang w:eastAsia="sk-SK"/>
        </w:rPr>
        <w:br/>
        <w:t xml:space="preserve">24 861 tis. eur </w:t>
      </w:r>
      <w:r w:rsidR="00971AC3" w:rsidRPr="00C66720">
        <w:rPr>
          <w:rFonts w:ascii="Times New Roman" w:hAnsi="Times New Roman"/>
          <w:szCs w:val="22"/>
          <w:lang w:eastAsia="sk-SK"/>
        </w:rPr>
        <w:t>v dôsledku obstarania vrtuľníka Leonardo AW189 (12 905 tis. eur), ob</w:t>
      </w:r>
      <w:r w:rsidR="00C47DEF" w:rsidRPr="00C66720">
        <w:rPr>
          <w:rFonts w:ascii="Times New Roman" w:hAnsi="Times New Roman"/>
          <w:szCs w:val="22"/>
          <w:lang w:eastAsia="sk-SK"/>
        </w:rPr>
        <w:t xml:space="preserve">rnených vozidiel (970 tis. eur), elektronických sirén, kioskov, terminálov a čítačiek odtlačkov prstov (4 120 tis. eur) zámeny pozemkov s Hlavným mestom SR Bratislava (4 615 tis. eur) </w:t>
      </w:r>
      <w:r w:rsidR="006C1037" w:rsidRPr="00C66720">
        <w:rPr>
          <w:rFonts w:ascii="Times New Roman" w:hAnsi="Times New Roman"/>
          <w:szCs w:val="22"/>
          <w:lang w:eastAsia="sk-SK"/>
        </w:rPr>
        <w:t>a Jadrová a vyraďovacia spoločnosť, a.s. 12 980 tis. eur</w:t>
      </w:r>
      <w:r w:rsidR="00785D9B" w:rsidRPr="00C66720">
        <w:rPr>
          <w:rFonts w:ascii="Times New Roman" w:hAnsi="Times New Roman"/>
          <w:szCs w:val="22"/>
          <w:lang w:eastAsia="sk-SK"/>
        </w:rPr>
        <w:t xml:space="preserve"> z dôvodu obstarania spaľo</w:t>
      </w:r>
      <w:r w:rsidR="008E742E" w:rsidRPr="00C66720">
        <w:rPr>
          <w:rFonts w:ascii="Times New Roman" w:hAnsi="Times New Roman"/>
          <w:szCs w:val="22"/>
          <w:lang w:eastAsia="sk-SK"/>
        </w:rPr>
        <w:t>v</w:t>
      </w:r>
      <w:r w:rsidR="00785D9B" w:rsidRPr="00C66720">
        <w:rPr>
          <w:rFonts w:ascii="Times New Roman" w:hAnsi="Times New Roman"/>
          <w:szCs w:val="22"/>
          <w:lang w:eastAsia="sk-SK"/>
        </w:rPr>
        <w:t xml:space="preserve">ne rádioaktívneho odpadu a výcvikovo-školiaceho a informačného </w:t>
      </w:r>
      <w:r w:rsidR="008E742E" w:rsidRPr="00C66720">
        <w:rPr>
          <w:rFonts w:ascii="Times New Roman" w:hAnsi="Times New Roman"/>
          <w:szCs w:val="22"/>
          <w:lang w:eastAsia="sk-SK"/>
        </w:rPr>
        <w:t>centra jadrovej elektrárne A1</w:t>
      </w:r>
      <w:r w:rsidR="00457B64" w:rsidRPr="00C66720">
        <w:rPr>
          <w:rFonts w:ascii="Times New Roman" w:hAnsi="Times New Roman"/>
          <w:szCs w:val="22"/>
          <w:lang w:eastAsia="sk-SK"/>
        </w:rPr>
        <w:t xml:space="preserve"> a modifikácie jadrovej elektrárne V1 vrátane montáže nových zariadení</w:t>
      </w:r>
      <w:r w:rsidR="008E742E" w:rsidRPr="00C66720">
        <w:rPr>
          <w:rFonts w:ascii="Times New Roman" w:hAnsi="Times New Roman"/>
          <w:szCs w:val="22"/>
          <w:lang w:eastAsia="sk-SK"/>
        </w:rPr>
        <w:t>.</w:t>
      </w:r>
    </w:p>
    <w:p w14:paraId="1952EF0E" w14:textId="2E1EF008" w:rsidR="003F6D2B" w:rsidRPr="00C66720" w:rsidRDefault="001A1B8A" w:rsidP="00C64F57">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Medziročný pokles</w:t>
      </w:r>
      <w:r w:rsidR="00EF1685" w:rsidRPr="00C66720">
        <w:rPr>
          <w:rFonts w:ascii="Times New Roman" w:hAnsi="Times New Roman"/>
          <w:szCs w:val="22"/>
          <w:lang w:eastAsia="sk-SK"/>
        </w:rPr>
        <w:t xml:space="preserve"> obstarávaného dlhodobého hmotného majetku vykazuje </w:t>
      </w:r>
      <w:r w:rsidR="003F6D2B" w:rsidRPr="00C66720">
        <w:rPr>
          <w:rFonts w:ascii="Times New Roman" w:hAnsi="Times New Roman"/>
          <w:szCs w:val="22"/>
          <w:lang w:eastAsia="sk-SK"/>
        </w:rPr>
        <w:t>Ministerstvo dopravy SR (79 816 tis. eur), Ministerstvo zdravotníctva SR (52 818 tis. eur) a Transpetrol, a.s. (24 912 tis. eur).</w:t>
      </w:r>
      <w:r w:rsidR="0030498B" w:rsidRPr="00C66720">
        <w:rPr>
          <w:rFonts w:ascii="Times New Roman" w:hAnsi="Times New Roman"/>
          <w:szCs w:val="22"/>
          <w:lang w:eastAsia="sk-SK"/>
        </w:rPr>
        <w:t xml:space="preserve"> V prípade Ministerstva dopravy SR </w:t>
      </w:r>
      <w:r w:rsidR="00346C57" w:rsidRPr="00C66720">
        <w:rPr>
          <w:rFonts w:ascii="Times New Roman" w:hAnsi="Times New Roman"/>
          <w:szCs w:val="22"/>
          <w:lang w:eastAsia="sk-SK"/>
        </w:rPr>
        <w:t>došlo k </w:t>
      </w:r>
      <w:r w:rsidR="00503A04" w:rsidRPr="00C66720">
        <w:rPr>
          <w:rFonts w:ascii="Times New Roman" w:hAnsi="Times New Roman"/>
          <w:szCs w:val="22"/>
          <w:lang w:eastAsia="sk-SK"/>
        </w:rPr>
        <w:t>zaradeniu</w:t>
      </w:r>
      <w:r w:rsidR="00346C57" w:rsidRPr="00C66720">
        <w:rPr>
          <w:rFonts w:ascii="Times New Roman" w:hAnsi="Times New Roman"/>
          <w:szCs w:val="22"/>
          <w:lang w:eastAsia="sk-SK"/>
        </w:rPr>
        <w:t xml:space="preserve"> úsekov diaľnic a rýchlostných ciest v celkovej sume 69 647 tis. eur (</w:t>
      </w:r>
      <w:r w:rsidR="00503A04" w:rsidRPr="00C66720">
        <w:rPr>
          <w:rFonts w:ascii="Times New Roman" w:hAnsi="Times New Roman"/>
          <w:szCs w:val="22"/>
          <w:lang w:eastAsia="sk-SK"/>
        </w:rPr>
        <w:t>napr. odpočívadla Pohranice, úsekov D4/R7 vrátane projektovej dokumentácie a koncesie) a k vyradeniu na základe prevodu vlastníckeho práva k niektorým stavebným objektom stavby D4 Jarovce – Ivanka sever na Národnú diaľničnú spoločnosť, a.s. v hodnote 10 096 tis. eur.</w:t>
      </w:r>
      <w:r w:rsidR="00CE4E9D" w:rsidRPr="00C66720">
        <w:rPr>
          <w:rFonts w:ascii="Times New Roman" w:hAnsi="Times New Roman"/>
          <w:szCs w:val="22"/>
          <w:lang w:eastAsia="sk-SK"/>
        </w:rPr>
        <w:t xml:space="preserve"> Ministerstvo zdravotníctva SR odúčtovalo zmarenú investíciu „Nemocnica Rázsochy“ v sume </w:t>
      </w:r>
      <w:r w:rsidR="00E23E68" w:rsidRPr="00C66720">
        <w:rPr>
          <w:rFonts w:ascii="Times New Roman" w:hAnsi="Times New Roman"/>
          <w:szCs w:val="22"/>
          <w:lang w:eastAsia="sk-SK"/>
        </w:rPr>
        <w:br/>
      </w:r>
      <w:r w:rsidR="00CE4E9D" w:rsidRPr="00C66720">
        <w:rPr>
          <w:rFonts w:ascii="Times New Roman" w:hAnsi="Times New Roman"/>
          <w:szCs w:val="22"/>
          <w:lang w:eastAsia="sk-SK"/>
        </w:rPr>
        <w:t xml:space="preserve">31 188 tis. eur do nákladov bežného účtovného obdobia a zároveň došlo k prevodu správy obstarávaného dlhodobého majetku štátu na novovzniknutý Detenčný ústav Hronovce v sume </w:t>
      </w:r>
      <w:r w:rsidR="00E23E68" w:rsidRPr="00C66720">
        <w:rPr>
          <w:rFonts w:ascii="Times New Roman" w:hAnsi="Times New Roman"/>
          <w:szCs w:val="22"/>
          <w:lang w:eastAsia="sk-SK"/>
        </w:rPr>
        <w:br/>
      </w:r>
      <w:r w:rsidR="00CE4E9D" w:rsidRPr="00C66720">
        <w:rPr>
          <w:rFonts w:ascii="Times New Roman" w:hAnsi="Times New Roman"/>
          <w:szCs w:val="22"/>
          <w:lang w:eastAsia="sk-SK"/>
        </w:rPr>
        <w:lastRenderedPageBreak/>
        <w:t>23 100 tis. eur.</w:t>
      </w:r>
      <w:r w:rsidR="00F62FF1" w:rsidRPr="00C66720">
        <w:rPr>
          <w:rFonts w:ascii="Times New Roman" w:hAnsi="Times New Roman"/>
          <w:szCs w:val="22"/>
          <w:lang w:eastAsia="sk-SK"/>
        </w:rPr>
        <w:t xml:space="preserve"> Transpetrol, a.s. zaradil do prevádzky nádrže na ropu, ktoré rozšírili existujúce skladovacie kapacity a meraciu stanicu ropy ADRIA.</w:t>
      </w:r>
    </w:p>
    <w:p w14:paraId="1E2AF87E" w14:textId="49E67892" w:rsidR="007B525D" w:rsidRPr="00C66720" w:rsidRDefault="00957890" w:rsidP="008F332E">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V územnej samospráve vykazujú obce zostatok obstarávaného hmotného majetku vo výške </w:t>
      </w:r>
      <w:r w:rsidR="00C73BD1" w:rsidRPr="00C66720">
        <w:rPr>
          <w:rFonts w:ascii="Times New Roman" w:hAnsi="Times New Roman"/>
          <w:szCs w:val="22"/>
          <w:lang w:eastAsia="sk-SK"/>
        </w:rPr>
        <w:br/>
      </w:r>
      <w:r w:rsidR="00777831" w:rsidRPr="00C66720">
        <w:rPr>
          <w:rFonts w:ascii="Times New Roman" w:hAnsi="Times New Roman"/>
          <w:szCs w:val="22"/>
          <w:lang w:eastAsia="sk-SK"/>
        </w:rPr>
        <w:t>1 269 174</w:t>
      </w:r>
      <w:r w:rsidR="00CA3743" w:rsidRPr="00C66720">
        <w:rPr>
          <w:rFonts w:ascii="Times New Roman" w:hAnsi="Times New Roman"/>
          <w:szCs w:val="22"/>
          <w:lang w:eastAsia="sk-SK"/>
        </w:rPr>
        <w:t xml:space="preserve"> tis. eur</w:t>
      </w:r>
      <w:r w:rsidR="00034616" w:rsidRPr="00C66720">
        <w:rPr>
          <w:rFonts w:ascii="Times New Roman" w:hAnsi="Times New Roman"/>
          <w:szCs w:val="22"/>
          <w:lang w:eastAsia="sk-SK"/>
        </w:rPr>
        <w:t xml:space="preserve"> (prírastok </w:t>
      </w:r>
      <w:r w:rsidR="00C354E0" w:rsidRPr="00C66720">
        <w:rPr>
          <w:rFonts w:ascii="Times New Roman" w:hAnsi="Times New Roman"/>
          <w:szCs w:val="22"/>
          <w:lang w:eastAsia="sk-SK"/>
        </w:rPr>
        <w:t>132 426</w:t>
      </w:r>
      <w:r w:rsidR="00034616" w:rsidRPr="00C66720">
        <w:rPr>
          <w:rFonts w:ascii="Times New Roman" w:hAnsi="Times New Roman"/>
          <w:szCs w:val="22"/>
          <w:lang w:eastAsia="sk-SK"/>
        </w:rPr>
        <w:t xml:space="preserve"> tis. eur)</w:t>
      </w:r>
      <w:r w:rsidR="008E6D0C" w:rsidRPr="00C66720">
        <w:rPr>
          <w:rFonts w:ascii="Times New Roman" w:hAnsi="Times New Roman"/>
          <w:szCs w:val="22"/>
          <w:lang w:eastAsia="sk-SK"/>
        </w:rPr>
        <w:t xml:space="preserve">, </w:t>
      </w:r>
      <w:r w:rsidRPr="00C66720">
        <w:rPr>
          <w:rFonts w:ascii="Times New Roman" w:hAnsi="Times New Roman"/>
          <w:szCs w:val="22"/>
          <w:lang w:eastAsia="sk-SK"/>
        </w:rPr>
        <w:t xml:space="preserve">a vyššie územné celky </w:t>
      </w:r>
      <w:r w:rsidR="00C354E0" w:rsidRPr="00C66720">
        <w:rPr>
          <w:rFonts w:ascii="Times New Roman" w:hAnsi="Times New Roman"/>
          <w:szCs w:val="22"/>
          <w:lang w:eastAsia="sk-SK"/>
        </w:rPr>
        <w:t>261 317</w:t>
      </w:r>
      <w:r w:rsidR="008E6D0C" w:rsidRPr="00C66720">
        <w:rPr>
          <w:rFonts w:ascii="Times New Roman" w:hAnsi="Times New Roman"/>
          <w:szCs w:val="22"/>
          <w:lang w:eastAsia="sk-SK"/>
        </w:rPr>
        <w:t xml:space="preserve"> tis. eur</w:t>
      </w:r>
      <w:r w:rsidR="00034616" w:rsidRPr="00C66720">
        <w:rPr>
          <w:rFonts w:ascii="Times New Roman" w:hAnsi="Times New Roman"/>
          <w:szCs w:val="22"/>
          <w:lang w:eastAsia="sk-SK"/>
        </w:rPr>
        <w:t xml:space="preserve"> (</w:t>
      </w:r>
      <w:r w:rsidR="00C354E0" w:rsidRPr="00C66720">
        <w:rPr>
          <w:rFonts w:ascii="Times New Roman" w:hAnsi="Times New Roman"/>
          <w:szCs w:val="22"/>
          <w:lang w:eastAsia="sk-SK"/>
        </w:rPr>
        <w:t>prírastok</w:t>
      </w:r>
      <w:r w:rsidR="00034616" w:rsidRPr="00C66720">
        <w:rPr>
          <w:rFonts w:ascii="Times New Roman" w:hAnsi="Times New Roman"/>
          <w:szCs w:val="22"/>
          <w:lang w:eastAsia="sk-SK"/>
        </w:rPr>
        <w:t xml:space="preserve"> </w:t>
      </w:r>
      <w:r w:rsidR="00C73BD1" w:rsidRPr="00C66720">
        <w:rPr>
          <w:rFonts w:ascii="Times New Roman" w:hAnsi="Times New Roman"/>
          <w:szCs w:val="22"/>
          <w:lang w:eastAsia="sk-SK"/>
        </w:rPr>
        <w:br/>
      </w:r>
      <w:r w:rsidR="00C354E0" w:rsidRPr="00C66720">
        <w:rPr>
          <w:rFonts w:ascii="Times New Roman" w:hAnsi="Times New Roman"/>
          <w:szCs w:val="22"/>
          <w:lang w:eastAsia="sk-SK"/>
        </w:rPr>
        <w:t>64 858</w:t>
      </w:r>
      <w:r w:rsidR="00034616" w:rsidRPr="00C66720">
        <w:rPr>
          <w:rFonts w:ascii="Times New Roman" w:hAnsi="Times New Roman"/>
          <w:szCs w:val="22"/>
          <w:lang w:eastAsia="sk-SK"/>
        </w:rPr>
        <w:t xml:space="preserve"> tis. eur)</w:t>
      </w:r>
      <w:r w:rsidR="00FC2C1A" w:rsidRPr="00C66720">
        <w:rPr>
          <w:rFonts w:ascii="Times New Roman" w:hAnsi="Times New Roman"/>
          <w:szCs w:val="22"/>
          <w:lang w:eastAsia="sk-SK"/>
        </w:rPr>
        <w:t xml:space="preserve">. </w:t>
      </w:r>
      <w:r w:rsidR="00F03941" w:rsidRPr="00C66720">
        <w:rPr>
          <w:rFonts w:ascii="Times New Roman" w:hAnsi="Times New Roman"/>
          <w:szCs w:val="22"/>
          <w:lang w:eastAsia="sk-SK"/>
        </w:rPr>
        <w:t>Ide najmä o </w:t>
      </w:r>
      <w:r w:rsidR="00617CA3" w:rsidRPr="00C66720">
        <w:rPr>
          <w:rFonts w:ascii="Times New Roman" w:hAnsi="Times New Roman"/>
          <w:szCs w:val="22"/>
          <w:lang w:eastAsia="sk-SK"/>
        </w:rPr>
        <w:t>budovanie</w:t>
      </w:r>
      <w:r w:rsidR="005B0CA4" w:rsidRPr="00C66720">
        <w:rPr>
          <w:rFonts w:ascii="Times New Roman" w:hAnsi="Times New Roman"/>
          <w:szCs w:val="22"/>
          <w:lang w:eastAsia="sk-SK"/>
        </w:rPr>
        <w:t xml:space="preserve"> a rekonštrukcie</w:t>
      </w:r>
      <w:r w:rsidR="00F03941" w:rsidRPr="00C66720">
        <w:rPr>
          <w:rFonts w:ascii="Times New Roman" w:hAnsi="Times New Roman"/>
          <w:szCs w:val="22"/>
          <w:lang w:eastAsia="sk-SK"/>
        </w:rPr>
        <w:t xml:space="preserve"> c</w:t>
      </w:r>
      <w:r w:rsidR="00EC3B0E" w:rsidRPr="00C66720">
        <w:rPr>
          <w:rFonts w:ascii="Times New Roman" w:hAnsi="Times New Roman"/>
          <w:szCs w:val="22"/>
          <w:lang w:eastAsia="sk-SK"/>
        </w:rPr>
        <w:t>iest II. a III. triedy</w:t>
      </w:r>
      <w:r w:rsidR="00F03941" w:rsidRPr="00C66720">
        <w:rPr>
          <w:rFonts w:ascii="Times New Roman" w:hAnsi="Times New Roman"/>
          <w:szCs w:val="22"/>
          <w:lang w:eastAsia="sk-SK"/>
        </w:rPr>
        <w:t>,</w:t>
      </w:r>
      <w:r w:rsidR="00DC5070" w:rsidRPr="00C66720">
        <w:rPr>
          <w:rFonts w:ascii="Times New Roman" w:hAnsi="Times New Roman"/>
          <w:szCs w:val="22"/>
          <w:lang w:eastAsia="sk-SK"/>
        </w:rPr>
        <w:t xml:space="preserve"> n</w:t>
      </w:r>
      <w:r w:rsidR="00B60DAF" w:rsidRPr="00C66720">
        <w:rPr>
          <w:rFonts w:ascii="Times New Roman" w:hAnsi="Times New Roman"/>
          <w:szCs w:val="22"/>
          <w:lang w:eastAsia="sk-SK"/>
        </w:rPr>
        <w:t>a ktorých</w:t>
      </w:r>
      <w:r w:rsidR="00DC5070" w:rsidRPr="00C66720">
        <w:rPr>
          <w:rFonts w:ascii="Times New Roman" w:hAnsi="Times New Roman"/>
          <w:szCs w:val="22"/>
          <w:lang w:eastAsia="sk-SK"/>
        </w:rPr>
        <w:t xml:space="preserve"> financovanie boli použité aj prostriedky návratných finančných výpomocí od Ministerstva financií SR, ďalej </w:t>
      </w:r>
      <w:r w:rsidR="008C203D" w:rsidRPr="00C66720">
        <w:rPr>
          <w:rFonts w:ascii="Times New Roman" w:hAnsi="Times New Roman"/>
          <w:szCs w:val="22"/>
          <w:lang w:eastAsia="sk-SK"/>
        </w:rPr>
        <w:t>modernizáci</w:t>
      </w:r>
      <w:r w:rsidR="00DC5070" w:rsidRPr="00C66720">
        <w:rPr>
          <w:rFonts w:ascii="Times New Roman" w:hAnsi="Times New Roman"/>
          <w:szCs w:val="22"/>
          <w:lang w:eastAsia="sk-SK"/>
        </w:rPr>
        <w:t>u</w:t>
      </w:r>
      <w:r w:rsidR="008C203D" w:rsidRPr="00C66720">
        <w:rPr>
          <w:rFonts w:ascii="Times New Roman" w:hAnsi="Times New Roman"/>
          <w:szCs w:val="22"/>
          <w:lang w:eastAsia="sk-SK"/>
        </w:rPr>
        <w:t xml:space="preserve"> a rekonštrukcie školských zariadení, </w:t>
      </w:r>
      <w:r w:rsidR="00D8106D" w:rsidRPr="00C66720">
        <w:rPr>
          <w:rFonts w:ascii="Times New Roman" w:hAnsi="Times New Roman"/>
          <w:szCs w:val="22"/>
          <w:lang w:eastAsia="sk-SK"/>
        </w:rPr>
        <w:t xml:space="preserve">mostov, </w:t>
      </w:r>
      <w:r w:rsidR="008C203D" w:rsidRPr="00C66720">
        <w:rPr>
          <w:rFonts w:ascii="Times New Roman" w:hAnsi="Times New Roman"/>
          <w:szCs w:val="22"/>
          <w:lang w:eastAsia="sk-SK"/>
        </w:rPr>
        <w:t>budovanie cyklotrás</w:t>
      </w:r>
      <w:r w:rsidR="00D8106D" w:rsidRPr="00C66720">
        <w:rPr>
          <w:rFonts w:ascii="Times New Roman" w:hAnsi="Times New Roman"/>
          <w:szCs w:val="22"/>
          <w:lang w:eastAsia="sk-SK"/>
        </w:rPr>
        <w:t>, ihrísk</w:t>
      </w:r>
      <w:r w:rsidR="008C203D" w:rsidRPr="00C66720">
        <w:rPr>
          <w:rFonts w:ascii="Times New Roman" w:hAnsi="Times New Roman"/>
          <w:szCs w:val="22"/>
          <w:lang w:eastAsia="sk-SK"/>
        </w:rPr>
        <w:t xml:space="preserve"> a podobne.</w:t>
      </w:r>
      <w:r w:rsidR="00F03941" w:rsidRPr="00C66720">
        <w:rPr>
          <w:rFonts w:ascii="Times New Roman" w:hAnsi="Times New Roman"/>
          <w:szCs w:val="22"/>
          <w:lang w:eastAsia="sk-SK"/>
        </w:rPr>
        <w:t xml:space="preserve"> </w:t>
      </w:r>
      <w:bookmarkStart w:id="12" w:name="_Ref86091427"/>
    </w:p>
    <w:p w14:paraId="29AC46E4" w14:textId="762E00FD" w:rsidR="00C808E1" w:rsidRPr="00C66720" w:rsidRDefault="00C808E1" w:rsidP="008F332E">
      <w:pPr>
        <w:spacing w:before="120" w:after="120" w:line="240" w:lineRule="auto"/>
        <w:jc w:val="both"/>
        <w:rPr>
          <w:rFonts w:ascii="Times New Roman" w:hAnsi="Times New Roman"/>
          <w:b/>
          <w:bCs/>
          <w:i/>
          <w:szCs w:val="22"/>
          <w:u w:val="single"/>
          <w:lang w:eastAsia="sk-SK"/>
        </w:rPr>
      </w:pPr>
      <w:r w:rsidRPr="00C66720">
        <w:rPr>
          <w:rFonts w:ascii="Times New Roman" w:hAnsi="Times New Roman"/>
          <w:szCs w:val="22"/>
          <w:lang w:eastAsia="sk-SK"/>
        </w:rPr>
        <w:t>Z ostatných subjektov verejnej správy verejné vysoké školy vykazujú obstarávaný dlhodobý hmotný majetok v sume 51 640 tis. eur.</w:t>
      </w:r>
    </w:p>
    <w:p w14:paraId="0E9F5833" w14:textId="76510B49" w:rsidR="00234C1E" w:rsidRPr="00C66720" w:rsidRDefault="00234C1E" w:rsidP="000F67F0">
      <w:pPr>
        <w:pStyle w:val="Pismenka"/>
        <w:numPr>
          <w:ilvl w:val="0"/>
          <w:numId w:val="44"/>
        </w:numPr>
        <w:spacing w:before="240" w:after="120"/>
        <w:ind w:left="284" w:hanging="284"/>
        <w:rPr>
          <w:i/>
          <w:sz w:val="22"/>
          <w:szCs w:val="22"/>
          <w:u w:val="single"/>
        </w:rPr>
      </w:pPr>
      <w:r w:rsidRPr="00C66720">
        <w:rPr>
          <w:i/>
          <w:sz w:val="22"/>
          <w:szCs w:val="22"/>
          <w:u w:val="single"/>
        </w:rPr>
        <w:t>Ostatný dlhodobý hmotný majetok</w:t>
      </w:r>
      <w:bookmarkEnd w:id="12"/>
    </w:p>
    <w:p w14:paraId="022462D7" w14:textId="77777777" w:rsidR="004362A8" w:rsidRDefault="00F458E2" w:rsidP="00C64F57">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V rámci </w:t>
      </w:r>
      <w:r w:rsidRPr="00C66720">
        <w:rPr>
          <w:rFonts w:ascii="Times New Roman" w:hAnsi="Times New Roman"/>
          <w:szCs w:val="22"/>
          <w:u w:val="single"/>
          <w:lang w:eastAsia="sk-SK"/>
        </w:rPr>
        <w:t>ostatného dlhodobého hmotného</w:t>
      </w:r>
      <w:r w:rsidRPr="00C66720">
        <w:rPr>
          <w:rFonts w:ascii="Times New Roman" w:hAnsi="Times New Roman"/>
          <w:szCs w:val="22"/>
          <w:lang w:eastAsia="sk-SK"/>
        </w:rPr>
        <w:t xml:space="preserve"> majetku sa vykazuje najmä </w:t>
      </w:r>
      <w:r w:rsidRPr="00C66720">
        <w:rPr>
          <w:rFonts w:ascii="Times New Roman" w:hAnsi="Times New Roman"/>
          <w:szCs w:val="22"/>
          <w:u w:val="single"/>
          <w:lang w:eastAsia="sk-SK"/>
        </w:rPr>
        <w:t>technické zhodnotenie</w:t>
      </w:r>
      <w:r w:rsidRPr="00C66720">
        <w:rPr>
          <w:rFonts w:ascii="Times New Roman" w:hAnsi="Times New Roman"/>
          <w:szCs w:val="22"/>
          <w:lang w:eastAsia="sk-SK"/>
        </w:rPr>
        <w:t xml:space="preserve"> budov a stavieb </w:t>
      </w:r>
      <w:r w:rsidR="00C67A82" w:rsidRPr="00C66720">
        <w:rPr>
          <w:rFonts w:ascii="Times New Roman" w:hAnsi="Times New Roman"/>
          <w:szCs w:val="22"/>
          <w:lang w:eastAsia="sk-SK"/>
        </w:rPr>
        <w:t xml:space="preserve">štátnych </w:t>
      </w:r>
      <w:r w:rsidRPr="00C66720">
        <w:rPr>
          <w:rFonts w:ascii="Times New Roman" w:hAnsi="Times New Roman"/>
          <w:szCs w:val="22"/>
          <w:lang w:eastAsia="sk-SK"/>
        </w:rPr>
        <w:t>rozpočtovýc</w:t>
      </w:r>
      <w:r w:rsidR="0060383B" w:rsidRPr="00C66720">
        <w:rPr>
          <w:rFonts w:ascii="Times New Roman" w:hAnsi="Times New Roman"/>
          <w:szCs w:val="22"/>
          <w:lang w:eastAsia="sk-SK"/>
        </w:rPr>
        <w:t>h a príspevkových organizácií.</w:t>
      </w:r>
      <w:r w:rsidRPr="00C66720">
        <w:rPr>
          <w:rFonts w:ascii="Times New Roman" w:hAnsi="Times New Roman"/>
          <w:szCs w:val="22"/>
          <w:lang w:eastAsia="sk-SK"/>
        </w:rPr>
        <w:t xml:space="preserve"> </w:t>
      </w:r>
      <w:r w:rsidR="001528D8" w:rsidRPr="00C66720">
        <w:rPr>
          <w:rFonts w:ascii="Times New Roman" w:hAnsi="Times New Roman"/>
          <w:szCs w:val="22"/>
          <w:lang w:eastAsia="sk-SK"/>
        </w:rPr>
        <w:t xml:space="preserve">Dôvodom pre </w:t>
      </w:r>
      <w:r w:rsidR="00A22EDD" w:rsidRPr="00C66720">
        <w:rPr>
          <w:rFonts w:ascii="Times New Roman" w:hAnsi="Times New Roman"/>
          <w:szCs w:val="22"/>
          <w:lang w:eastAsia="sk-SK"/>
        </w:rPr>
        <w:t>samostatné</w:t>
      </w:r>
      <w:r w:rsidR="001528D8" w:rsidRPr="00C66720">
        <w:rPr>
          <w:rFonts w:ascii="Times New Roman" w:hAnsi="Times New Roman"/>
          <w:szCs w:val="22"/>
          <w:lang w:eastAsia="sk-SK"/>
        </w:rPr>
        <w:t xml:space="preserve"> účtovania o technickom zhodnotení je evidencia </w:t>
      </w:r>
      <w:r w:rsidR="00C67A82" w:rsidRPr="00C66720">
        <w:rPr>
          <w:rFonts w:ascii="Times New Roman" w:hAnsi="Times New Roman"/>
          <w:szCs w:val="22"/>
          <w:lang w:eastAsia="sk-SK"/>
        </w:rPr>
        <w:t xml:space="preserve">niektorých </w:t>
      </w:r>
      <w:r w:rsidR="001528D8" w:rsidRPr="00C66720">
        <w:rPr>
          <w:rFonts w:ascii="Times New Roman" w:hAnsi="Times New Roman"/>
          <w:szCs w:val="22"/>
          <w:lang w:eastAsia="sk-SK"/>
        </w:rPr>
        <w:t>budov ako nehnuteľných kultúrnych pamiatok, ktorých ocenenie nie je možné spoľahlivo určiť. Z tohto dôvodu bolo v majetku ponechané len následné technické zhodnotenie týchto budov uskutočnené po uvedení budov do používania.</w:t>
      </w:r>
    </w:p>
    <w:p w14:paraId="04026A7A" w14:textId="00847A71" w:rsidR="002869D4" w:rsidRPr="00C66720" w:rsidRDefault="001528D8" w:rsidP="00C64F57">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Významn</w:t>
      </w:r>
      <w:r w:rsidR="00D90690" w:rsidRPr="00C66720">
        <w:rPr>
          <w:rFonts w:ascii="Times New Roman" w:hAnsi="Times New Roman"/>
          <w:szCs w:val="22"/>
          <w:lang w:eastAsia="sk-SK"/>
        </w:rPr>
        <w:t>ú</w:t>
      </w:r>
      <w:r w:rsidRPr="00C66720">
        <w:rPr>
          <w:rFonts w:ascii="Times New Roman" w:hAnsi="Times New Roman"/>
          <w:szCs w:val="22"/>
          <w:lang w:eastAsia="sk-SK"/>
        </w:rPr>
        <w:t xml:space="preserve"> hodnotu vykazuje </w:t>
      </w:r>
      <w:r w:rsidR="00914E98" w:rsidRPr="00C66720">
        <w:rPr>
          <w:rFonts w:ascii="Times New Roman" w:hAnsi="Times New Roman"/>
          <w:szCs w:val="22"/>
          <w:lang w:eastAsia="sk-SK"/>
        </w:rPr>
        <w:t xml:space="preserve">ústredná správa </w:t>
      </w:r>
      <w:r w:rsidR="003A37EF" w:rsidRPr="00C66720">
        <w:rPr>
          <w:rFonts w:ascii="Times New Roman" w:hAnsi="Times New Roman"/>
          <w:szCs w:val="22"/>
          <w:lang w:eastAsia="sk-SK"/>
        </w:rPr>
        <w:t>412 757</w:t>
      </w:r>
      <w:r w:rsidR="00914E98" w:rsidRPr="00C66720">
        <w:rPr>
          <w:rFonts w:ascii="Times New Roman" w:hAnsi="Times New Roman"/>
          <w:szCs w:val="22"/>
          <w:lang w:eastAsia="sk-SK"/>
        </w:rPr>
        <w:t xml:space="preserve"> tis. eur a v rámci nej </w:t>
      </w:r>
      <w:r w:rsidRPr="00C66720">
        <w:rPr>
          <w:rFonts w:ascii="Times New Roman" w:hAnsi="Times New Roman"/>
          <w:szCs w:val="22"/>
          <w:lang w:eastAsia="sk-SK"/>
        </w:rPr>
        <w:t>napríklad Kancelária národnej rady SR (</w:t>
      </w:r>
      <w:r w:rsidR="003A37EF" w:rsidRPr="00C66720">
        <w:rPr>
          <w:rFonts w:ascii="Times New Roman" w:hAnsi="Times New Roman"/>
          <w:szCs w:val="22"/>
          <w:lang w:eastAsia="sk-SK"/>
        </w:rPr>
        <w:t>105 156</w:t>
      </w:r>
      <w:r w:rsidR="001676E5" w:rsidRPr="00C66720">
        <w:rPr>
          <w:rFonts w:ascii="Times New Roman" w:hAnsi="Times New Roman"/>
          <w:szCs w:val="22"/>
          <w:lang w:eastAsia="sk-SK"/>
        </w:rPr>
        <w:t xml:space="preserve"> tis. eur)</w:t>
      </w:r>
      <w:r w:rsidR="00D90690" w:rsidRPr="00C66720">
        <w:rPr>
          <w:rFonts w:ascii="Times New Roman" w:hAnsi="Times New Roman"/>
          <w:szCs w:val="22"/>
          <w:lang w:eastAsia="sk-SK"/>
        </w:rPr>
        <w:t xml:space="preserve"> v podobe technického zhodnotenia bratislavského hradu. </w:t>
      </w:r>
      <w:r w:rsidR="00C67A82" w:rsidRPr="00C66720">
        <w:rPr>
          <w:rFonts w:ascii="Times New Roman" w:hAnsi="Times New Roman"/>
          <w:szCs w:val="22"/>
          <w:lang w:eastAsia="sk-SK"/>
        </w:rPr>
        <w:t>Ďalej sa do ostatného majetku sumarizujú pestovateľské celky trvalých porastov, umelecké diela a zbierky, predmety z drahých kovov, drobný hmotný dlhodobý majetok a základné stádo a ťažné zvieratá.</w:t>
      </w:r>
      <w:r w:rsidR="004F54D7" w:rsidRPr="00C66720">
        <w:rPr>
          <w:rFonts w:ascii="Times New Roman" w:hAnsi="Times New Roman"/>
          <w:szCs w:val="22"/>
          <w:lang w:eastAsia="sk-SK"/>
        </w:rPr>
        <w:t xml:space="preserve"> </w:t>
      </w:r>
    </w:p>
    <w:p w14:paraId="6B66FEE9" w14:textId="0CB40EE6" w:rsidR="002D6290" w:rsidRPr="00C66720" w:rsidRDefault="00734D8B" w:rsidP="00FF3FB6">
      <w:pPr>
        <w:spacing w:before="240" w:line="240" w:lineRule="auto"/>
        <w:ind w:left="6"/>
        <w:jc w:val="both"/>
        <w:rPr>
          <w:rFonts w:ascii="Times New Roman" w:hAnsi="Times New Roman"/>
          <w:b/>
          <w:sz w:val="24"/>
          <w:szCs w:val="24"/>
          <w:lang w:eastAsia="sk-SK"/>
        </w:rPr>
      </w:pPr>
      <w:r w:rsidRPr="00C66720">
        <w:rPr>
          <w:rFonts w:ascii="Times New Roman" w:hAnsi="Times New Roman"/>
          <w:b/>
          <w:sz w:val="24"/>
          <w:szCs w:val="24"/>
          <w:lang w:eastAsia="sk-SK"/>
        </w:rPr>
        <w:t>A.III.</w:t>
      </w:r>
      <w:r w:rsidR="002D6290" w:rsidRPr="00C66720">
        <w:rPr>
          <w:rFonts w:ascii="Times New Roman" w:hAnsi="Times New Roman"/>
          <w:b/>
          <w:sz w:val="24"/>
          <w:szCs w:val="24"/>
          <w:lang w:eastAsia="sk-SK"/>
        </w:rPr>
        <w:t xml:space="preserve"> </w:t>
      </w:r>
      <w:r w:rsidRPr="00C66720">
        <w:rPr>
          <w:rFonts w:ascii="Times New Roman" w:hAnsi="Times New Roman"/>
          <w:b/>
          <w:sz w:val="24"/>
          <w:szCs w:val="24"/>
          <w:lang w:eastAsia="sk-SK"/>
        </w:rPr>
        <w:t>F</w:t>
      </w:r>
      <w:r w:rsidR="002D6290" w:rsidRPr="00C66720">
        <w:rPr>
          <w:rFonts w:ascii="Times New Roman" w:hAnsi="Times New Roman"/>
          <w:b/>
          <w:sz w:val="24"/>
          <w:szCs w:val="24"/>
          <w:lang w:eastAsia="sk-SK"/>
        </w:rPr>
        <w:t>inančný majetok</w:t>
      </w:r>
    </w:p>
    <w:p w14:paraId="762DF896" w14:textId="459A2BA4" w:rsidR="005A7E9E" w:rsidRPr="00C66720" w:rsidRDefault="00832652" w:rsidP="00C64F57">
      <w:pPr>
        <w:spacing w:after="120" w:line="240" w:lineRule="auto"/>
        <w:jc w:val="both"/>
        <w:rPr>
          <w:rFonts w:ascii="Times New Roman" w:hAnsi="Times New Roman"/>
          <w:szCs w:val="22"/>
          <w:lang w:eastAsia="sk-SK"/>
        </w:rPr>
      </w:pPr>
      <w:r w:rsidRPr="00C66720">
        <w:rPr>
          <w:rFonts w:ascii="Times New Roman" w:hAnsi="Times New Roman"/>
          <w:szCs w:val="22"/>
          <w:lang w:eastAsia="sk-SK"/>
        </w:rPr>
        <w:t>Celkovo dlhodobý finančný majetok dosiahol hodnotu</w:t>
      </w:r>
      <w:r w:rsidR="007900C3" w:rsidRPr="00C66720">
        <w:rPr>
          <w:rFonts w:ascii="Times New Roman" w:hAnsi="Times New Roman"/>
          <w:szCs w:val="22"/>
          <w:lang w:eastAsia="sk-SK"/>
        </w:rPr>
        <w:t xml:space="preserve"> </w:t>
      </w:r>
      <w:r w:rsidR="00317115" w:rsidRPr="00C66720">
        <w:rPr>
          <w:rFonts w:ascii="Times New Roman" w:hAnsi="Times New Roman"/>
          <w:szCs w:val="22"/>
          <w:lang w:eastAsia="sk-SK"/>
        </w:rPr>
        <w:t>7</w:t>
      </w:r>
      <w:r w:rsidR="006542FC" w:rsidRPr="00C66720">
        <w:rPr>
          <w:rFonts w:ascii="Times New Roman" w:hAnsi="Times New Roman"/>
          <w:szCs w:val="22"/>
          <w:lang w:eastAsia="sk-SK"/>
        </w:rPr>
        <w:t> 227 465</w:t>
      </w:r>
      <w:r w:rsidR="0056750F" w:rsidRPr="00C66720">
        <w:rPr>
          <w:rFonts w:ascii="Times New Roman" w:hAnsi="Times New Roman"/>
          <w:szCs w:val="22"/>
          <w:lang w:eastAsia="sk-SK"/>
        </w:rPr>
        <w:t xml:space="preserve"> </w:t>
      </w:r>
      <w:r w:rsidR="00BF5142" w:rsidRPr="00C66720">
        <w:rPr>
          <w:rFonts w:ascii="Times New Roman" w:hAnsi="Times New Roman"/>
          <w:szCs w:val="22"/>
          <w:lang w:eastAsia="sk-SK"/>
        </w:rPr>
        <w:t>tis. eur</w:t>
      </w:r>
      <w:r w:rsidR="007900C3" w:rsidRPr="00C66720">
        <w:rPr>
          <w:rFonts w:ascii="Times New Roman" w:hAnsi="Times New Roman"/>
          <w:szCs w:val="22"/>
          <w:lang w:eastAsia="sk-SK"/>
        </w:rPr>
        <w:t xml:space="preserve"> </w:t>
      </w:r>
      <w:r w:rsidR="005219BB" w:rsidRPr="00C66720">
        <w:rPr>
          <w:rFonts w:ascii="Times New Roman" w:hAnsi="Times New Roman"/>
          <w:szCs w:val="22"/>
          <w:lang w:eastAsia="sk-SK"/>
        </w:rPr>
        <w:t xml:space="preserve">a medziročne je </w:t>
      </w:r>
      <w:r w:rsidR="00317115" w:rsidRPr="00C66720">
        <w:rPr>
          <w:rFonts w:ascii="Times New Roman" w:hAnsi="Times New Roman"/>
          <w:szCs w:val="22"/>
          <w:lang w:eastAsia="sk-SK"/>
        </w:rPr>
        <w:t>vyšší</w:t>
      </w:r>
      <w:r w:rsidR="004619E6" w:rsidRPr="00C66720">
        <w:rPr>
          <w:rFonts w:ascii="Times New Roman" w:hAnsi="Times New Roman"/>
          <w:szCs w:val="22"/>
          <w:lang w:eastAsia="sk-SK"/>
        </w:rPr>
        <w:br/>
      </w:r>
      <w:r w:rsidR="005219BB" w:rsidRPr="00C66720">
        <w:rPr>
          <w:rFonts w:ascii="Times New Roman" w:hAnsi="Times New Roman"/>
          <w:szCs w:val="22"/>
          <w:lang w:eastAsia="sk-SK"/>
        </w:rPr>
        <w:t>o</w:t>
      </w:r>
      <w:r w:rsidR="006F6F92" w:rsidRPr="00C66720">
        <w:rPr>
          <w:rFonts w:ascii="Times New Roman" w:hAnsi="Times New Roman"/>
          <w:szCs w:val="22"/>
          <w:lang w:eastAsia="sk-SK"/>
        </w:rPr>
        <w:t> </w:t>
      </w:r>
      <w:r w:rsidR="006542FC" w:rsidRPr="00C66720">
        <w:rPr>
          <w:rFonts w:ascii="Times New Roman" w:hAnsi="Times New Roman"/>
          <w:szCs w:val="22"/>
          <w:lang w:eastAsia="sk-SK"/>
        </w:rPr>
        <w:t>629 872</w:t>
      </w:r>
      <w:r w:rsidR="005219BB" w:rsidRPr="00C66720">
        <w:rPr>
          <w:rFonts w:ascii="Times New Roman" w:hAnsi="Times New Roman"/>
          <w:szCs w:val="22"/>
          <w:lang w:eastAsia="sk-SK"/>
        </w:rPr>
        <w:t xml:space="preserve"> tis. eur. </w:t>
      </w:r>
      <w:r w:rsidR="00440ADD" w:rsidRPr="00C66720">
        <w:rPr>
          <w:rFonts w:ascii="Times New Roman" w:hAnsi="Times New Roman"/>
          <w:szCs w:val="22"/>
          <w:lang w:eastAsia="sk-SK"/>
        </w:rPr>
        <w:t xml:space="preserve">V rámci dlhodobého finančného majetku sa vykazujú aj zostatky termínovaných účtoch v bankách s dobou viazanosti dlhšou ako jeden rok v hodnote </w:t>
      </w:r>
      <w:r w:rsidR="007F04F8" w:rsidRPr="00C66720">
        <w:rPr>
          <w:rFonts w:ascii="Times New Roman" w:hAnsi="Times New Roman"/>
          <w:szCs w:val="22"/>
          <w:lang w:eastAsia="sk-SK"/>
        </w:rPr>
        <w:t>25 802</w:t>
      </w:r>
      <w:r w:rsidR="00C932BE" w:rsidRPr="00C66720">
        <w:rPr>
          <w:rFonts w:ascii="Times New Roman" w:hAnsi="Times New Roman"/>
          <w:szCs w:val="22"/>
          <w:lang w:eastAsia="sk-SK"/>
        </w:rPr>
        <w:t xml:space="preserve"> tis. eur </w:t>
      </w:r>
      <w:r w:rsidR="00544BCA" w:rsidRPr="00C66720">
        <w:rPr>
          <w:rFonts w:ascii="Times New Roman" w:hAnsi="Times New Roman"/>
          <w:szCs w:val="22"/>
          <w:lang w:eastAsia="sk-SK"/>
        </w:rPr>
        <w:br/>
      </w:r>
      <w:r w:rsidR="007F04F8" w:rsidRPr="00C66720">
        <w:rPr>
          <w:rFonts w:ascii="Times New Roman" w:hAnsi="Times New Roman"/>
          <w:szCs w:val="22"/>
          <w:lang w:eastAsia="sk-SK"/>
        </w:rPr>
        <w:t>(2021</w:t>
      </w:r>
      <w:r w:rsidR="00C932BE" w:rsidRPr="00C66720">
        <w:rPr>
          <w:rFonts w:ascii="Times New Roman" w:hAnsi="Times New Roman"/>
          <w:szCs w:val="22"/>
          <w:lang w:eastAsia="sk-SK"/>
        </w:rPr>
        <w:t>:</w:t>
      </w:r>
      <w:r w:rsidR="00BD45E4" w:rsidRPr="00C66720">
        <w:rPr>
          <w:rFonts w:ascii="Times New Roman" w:hAnsi="Times New Roman"/>
          <w:szCs w:val="22"/>
          <w:lang w:eastAsia="sk-SK"/>
        </w:rPr>
        <w:t xml:space="preserve"> </w:t>
      </w:r>
      <w:r w:rsidR="007F04F8" w:rsidRPr="00C66720">
        <w:rPr>
          <w:rFonts w:ascii="Times New Roman" w:hAnsi="Times New Roman"/>
          <w:szCs w:val="22"/>
          <w:lang w:eastAsia="sk-SK"/>
        </w:rPr>
        <w:t xml:space="preserve">28 079 </w:t>
      </w:r>
      <w:r w:rsidR="00BD45E4" w:rsidRPr="00C66720">
        <w:rPr>
          <w:rFonts w:ascii="Times New Roman" w:hAnsi="Times New Roman"/>
          <w:szCs w:val="22"/>
          <w:lang w:eastAsia="sk-SK"/>
        </w:rPr>
        <w:t>tis. eur). Ústredná štátna správa</w:t>
      </w:r>
      <w:r w:rsidR="006A7E00" w:rsidRPr="00C66720">
        <w:rPr>
          <w:rFonts w:ascii="Times New Roman" w:hAnsi="Times New Roman"/>
          <w:szCs w:val="22"/>
          <w:lang w:eastAsia="sk-SK"/>
        </w:rPr>
        <w:t xml:space="preserve"> </w:t>
      </w:r>
      <w:r w:rsidRPr="00C66720">
        <w:rPr>
          <w:rFonts w:ascii="Times New Roman" w:hAnsi="Times New Roman"/>
          <w:szCs w:val="22"/>
          <w:lang w:eastAsia="sk-SK"/>
        </w:rPr>
        <w:t xml:space="preserve">vykázala </w:t>
      </w:r>
      <w:r w:rsidR="0055762B" w:rsidRPr="00C66720">
        <w:rPr>
          <w:rFonts w:ascii="Times New Roman" w:hAnsi="Times New Roman"/>
          <w:szCs w:val="22"/>
          <w:lang w:eastAsia="sk-SK"/>
        </w:rPr>
        <w:t xml:space="preserve">hodnotu dlhodobého finančného majetku </w:t>
      </w:r>
      <w:r w:rsidR="0055762B" w:rsidRPr="00C66720">
        <w:rPr>
          <w:rFonts w:ascii="Times New Roman" w:hAnsi="Times New Roman"/>
          <w:szCs w:val="22"/>
          <w:lang w:eastAsia="sk-SK"/>
        </w:rPr>
        <w:br/>
        <w:t>6 094 878</w:t>
      </w:r>
      <w:r w:rsidR="00E9391E" w:rsidRPr="00C66720">
        <w:rPr>
          <w:rFonts w:ascii="Times New Roman" w:hAnsi="Times New Roman"/>
          <w:szCs w:val="22"/>
          <w:lang w:eastAsia="sk-SK"/>
        </w:rPr>
        <w:t xml:space="preserve"> tis. eur</w:t>
      </w:r>
      <w:r w:rsidRPr="00C66720">
        <w:rPr>
          <w:rFonts w:ascii="Times New Roman" w:hAnsi="Times New Roman"/>
          <w:szCs w:val="22"/>
          <w:lang w:eastAsia="sk-SK"/>
        </w:rPr>
        <w:t xml:space="preserve">, obce </w:t>
      </w:r>
      <w:r w:rsidR="006A7E00" w:rsidRPr="00C66720">
        <w:rPr>
          <w:rFonts w:ascii="Times New Roman" w:hAnsi="Times New Roman"/>
          <w:szCs w:val="22"/>
          <w:lang w:eastAsia="sk-SK"/>
        </w:rPr>
        <w:t>1</w:t>
      </w:r>
      <w:r w:rsidR="0055762B" w:rsidRPr="00C66720">
        <w:rPr>
          <w:rFonts w:ascii="Times New Roman" w:hAnsi="Times New Roman"/>
          <w:szCs w:val="22"/>
          <w:lang w:eastAsia="sk-SK"/>
        </w:rPr>
        <w:t xml:space="preserve"> 005 788 </w:t>
      </w:r>
      <w:r w:rsidR="00E9391E" w:rsidRPr="00C66720">
        <w:rPr>
          <w:rFonts w:ascii="Times New Roman" w:hAnsi="Times New Roman"/>
          <w:szCs w:val="22"/>
          <w:lang w:eastAsia="sk-SK"/>
        </w:rPr>
        <w:t xml:space="preserve">tis. </w:t>
      </w:r>
      <w:r w:rsidR="004445A7" w:rsidRPr="00C66720">
        <w:rPr>
          <w:rFonts w:ascii="Times New Roman" w:hAnsi="Times New Roman"/>
          <w:szCs w:val="22"/>
          <w:lang w:eastAsia="sk-SK"/>
        </w:rPr>
        <w:t>eur</w:t>
      </w:r>
      <w:r w:rsidRPr="00C66720">
        <w:rPr>
          <w:rFonts w:ascii="Times New Roman" w:hAnsi="Times New Roman"/>
          <w:szCs w:val="22"/>
          <w:lang w:eastAsia="sk-SK"/>
        </w:rPr>
        <w:t xml:space="preserve">, vyššie územné celky </w:t>
      </w:r>
      <w:r w:rsidR="0055762B" w:rsidRPr="00C66720">
        <w:rPr>
          <w:rFonts w:ascii="Times New Roman" w:hAnsi="Times New Roman"/>
          <w:szCs w:val="22"/>
          <w:lang w:eastAsia="sk-SK"/>
        </w:rPr>
        <w:t>10 131</w:t>
      </w:r>
      <w:r w:rsidR="006A7E00" w:rsidRPr="00C66720">
        <w:rPr>
          <w:rFonts w:ascii="Times New Roman" w:hAnsi="Times New Roman"/>
          <w:szCs w:val="22"/>
          <w:lang w:eastAsia="sk-SK"/>
        </w:rPr>
        <w:t xml:space="preserve"> </w:t>
      </w:r>
      <w:r w:rsidR="00E9391E" w:rsidRPr="00C66720">
        <w:rPr>
          <w:rFonts w:ascii="Times New Roman" w:hAnsi="Times New Roman"/>
          <w:szCs w:val="22"/>
          <w:lang w:eastAsia="sk-SK"/>
        </w:rPr>
        <w:t xml:space="preserve">tis. eur </w:t>
      </w:r>
      <w:r w:rsidRPr="00C66720">
        <w:rPr>
          <w:rFonts w:ascii="Times New Roman" w:hAnsi="Times New Roman"/>
          <w:szCs w:val="22"/>
          <w:lang w:eastAsia="sk-SK"/>
        </w:rPr>
        <w:t xml:space="preserve">a ostatné subjekty </w:t>
      </w:r>
      <w:r w:rsidR="0055762B" w:rsidRPr="00C66720">
        <w:rPr>
          <w:rFonts w:ascii="Times New Roman" w:hAnsi="Times New Roman"/>
          <w:szCs w:val="22"/>
          <w:lang w:eastAsia="sk-SK"/>
        </w:rPr>
        <w:br/>
      </w:r>
      <w:r w:rsidR="004E43BB" w:rsidRPr="00C66720">
        <w:rPr>
          <w:rFonts w:ascii="Times New Roman" w:hAnsi="Times New Roman"/>
          <w:szCs w:val="22"/>
          <w:lang w:eastAsia="sk-SK"/>
        </w:rPr>
        <w:t>116 668</w:t>
      </w:r>
      <w:r w:rsidR="00E9391E" w:rsidRPr="00C66720">
        <w:rPr>
          <w:rFonts w:ascii="Times New Roman" w:hAnsi="Times New Roman"/>
          <w:szCs w:val="22"/>
          <w:lang w:eastAsia="sk-SK"/>
        </w:rPr>
        <w:t xml:space="preserve"> tis. eur</w:t>
      </w:r>
      <w:r w:rsidRPr="00C66720">
        <w:rPr>
          <w:rFonts w:ascii="Times New Roman" w:hAnsi="Times New Roman"/>
          <w:szCs w:val="22"/>
          <w:lang w:eastAsia="sk-SK"/>
        </w:rPr>
        <w:t>.</w:t>
      </w:r>
      <w:r w:rsidR="00F37B06" w:rsidRPr="00C66720">
        <w:rPr>
          <w:rFonts w:ascii="Times New Roman" w:hAnsi="Times New Roman"/>
          <w:szCs w:val="22"/>
          <w:lang w:eastAsia="sk-SK"/>
        </w:rPr>
        <w:t xml:space="preserve"> Medziročný </w:t>
      </w:r>
      <w:r w:rsidR="00516AD6" w:rsidRPr="00C66720">
        <w:rPr>
          <w:rFonts w:ascii="Times New Roman" w:hAnsi="Times New Roman"/>
          <w:szCs w:val="22"/>
          <w:lang w:eastAsia="sk-SK"/>
        </w:rPr>
        <w:t>prírastok</w:t>
      </w:r>
      <w:r w:rsidR="005A7E9E" w:rsidRPr="00C66720">
        <w:rPr>
          <w:rFonts w:ascii="Times New Roman" w:hAnsi="Times New Roman"/>
          <w:szCs w:val="22"/>
          <w:lang w:eastAsia="sk-SK"/>
        </w:rPr>
        <w:t xml:space="preserve"> hodnoty bol vykázaný v ústrednej správe (o </w:t>
      </w:r>
      <w:r w:rsidR="00516AD6" w:rsidRPr="00C66720">
        <w:rPr>
          <w:rFonts w:ascii="Times New Roman" w:hAnsi="Times New Roman"/>
          <w:szCs w:val="22"/>
          <w:lang w:eastAsia="sk-SK"/>
        </w:rPr>
        <w:t>566 433</w:t>
      </w:r>
      <w:r w:rsidR="005A7E9E" w:rsidRPr="00C66720">
        <w:rPr>
          <w:rFonts w:ascii="Times New Roman" w:hAnsi="Times New Roman"/>
          <w:szCs w:val="22"/>
          <w:lang w:eastAsia="sk-SK"/>
        </w:rPr>
        <w:t xml:space="preserve"> tis. eur) a u ostatných subjektov verejnej správy</w:t>
      </w:r>
      <w:r w:rsidR="0055762B" w:rsidRPr="00C66720">
        <w:rPr>
          <w:rFonts w:ascii="Times New Roman" w:hAnsi="Times New Roman"/>
          <w:szCs w:val="22"/>
          <w:lang w:eastAsia="sk-SK"/>
        </w:rPr>
        <w:t xml:space="preserve"> </w:t>
      </w:r>
      <w:r w:rsidR="005A7E9E" w:rsidRPr="00C66720">
        <w:rPr>
          <w:rFonts w:ascii="Times New Roman" w:hAnsi="Times New Roman"/>
          <w:szCs w:val="22"/>
          <w:lang w:eastAsia="sk-SK"/>
        </w:rPr>
        <w:t xml:space="preserve">(o </w:t>
      </w:r>
      <w:r w:rsidR="005F19EA" w:rsidRPr="00C66720">
        <w:rPr>
          <w:rFonts w:ascii="Times New Roman" w:hAnsi="Times New Roman"/>
          <w:szCs w:val="22"/>
          <w:lang w:eastAsia="sk-SK"/>
        </w:rPr>
        <w:t xml:space="preserve">75 462 </w:t>
      </w:r>
      <w:r w:rsidR="005A7E9E" w:rsidRPr="00C66720">
        <w:rPr>
          <w:rFonts w:ascii="Times New Roman" w:hAnsi="Times New Roman"/>
          <w:szCs w:val="22"/>
          <w:lang w:eastAsia="sk-SK"/>
        </w:rPr>
        <w:t xml:space="preserve">tis. eur), pričom v prípade </w:t>
      </w:r>
      <w:r w:rsidR="0063429C">
        <w:rPr>
          <w:rFonts w:ascii="Times New Roman" w:hAnsi="Times New Roman"/>
          <w:szCs w:val="22"/>
          <w:lang w:eastAsia="sk-SK"/>
        </w:rPr>
        <w:t xml:space="preserve">obcí </w:t>
      </w:r>
      <w:r w:rsidR="00562352" w:rsidRPr="00C66720">
        <w:rPr>
          <w:rFonts w:ascii="Times New Roman" w:hAnsi="Times New Roman"/>
          <w:szCs w:val="22"/>
          <w:lang w:eastAsia="sk-SK"/>
        </w:rPr>
        <w:t>poklesla</w:t>
      </w:r>
      <w:r w:rsidR="005A7E9E" w:rsidRPr="00C66720">
        <w:rPr>
          <w:rFonts w:ascii="Times New Roman" w:hAnsi="Times New Roman"/>
          <w:szCs w:val="22"/>
          <w:lang w:eastAsia="sk-SK"/>
        </w:rPr>
        <w:t xml:space="preserve"> hodnota dlhodobého finančného majetku</w:t>
      </w:r>
      <w:r w:rsidR="00562352" w:rsidRPr="00C66720">
        <w:rPr>
          <w:rFonts w:ascii="Times New Roman" w:hAnsi="Times New Roman"/>
          <w:szCs w:val="22"/>
          <w:lang w:eastAsia="sk-SK"/>
        </w:rPr>
        <w:t xml:space="preserve"> </w:t>
      </w:r>
      <w:r w:rsidR="005A7E9E" w:rsidRPr="00C66720">
        <w:rPr>
          <w:rFonts w:ascii="Times New Roman" w:hAnsi="Times New Roman"/>
          <w:szCs w:val="22"/>
          <w:lang w:eastAsia="sk-SK"/>
        </w:rPr>
        <w:t>o </w:t>
      </w:r>
      <w:r w:rsidR="00562352" w:rsidRPr="00C66720">
        <w:rPr>
          <w:rFonts w:ascii="Times New Roman" w:hAnsi="Times New Roman"/>
          <w:szCs w:val="22"/>
          <w:lang w:eastAsia="sk-SK"/>
        </w:rPr>
        <w:t>11 937</w:t>
      </w:r>
      <w:r w:rsidR="005A7E9E" w:rsidRPr="00C66720">
        <w:rPr>
          <w:rFonts w:ascii="Times New Roman" w:hAnsi="Times New Roman"/>
          <w:szCs w:val="22"/>
          <w:lang w:eastAsia="sk-SK"/>
        </w:rPr>
        <w:t xml:space="preserve"> tis. eur.</w:t>
      </w:r>
    </w:p>
    <w:p w14:paraId="767E548B" w14:textId="1A5D2728" w:rsidR="003529A1" w:rsidRPr="00C66720" w:rsidRDefault="002D6290" w:rsidP="00C64F57">
      <w:pPr>
        <w:spacing w:after="120" w:line="240" w:lineRule="auto"/>
        <w:jc w:val="both"/>
        <w:rPr>
          <w:rFonts w:ascii="Times New Roman" w:hAnsi="Times New Roman"/>
          <w:szCs w:val="22"/>
          <w:lang w:eastAsia="sk-SK"/>
        </w:rPr>
      </w:pPr>
      <w:r w:rsidRPr="00C66720">
        <w:rPr>
          <w:rFonts w:ascii="Times New Roman" w:hAnsi="Times New Roman"/>
          <w:szCs w:val="22"/>
          <w:lang w:eastAsia="sk-SK"/>
        </w:rPr>
        <w:t>V rámci dlhodobého finančného majetku sa vykazujú</w:t>
      </w:r>
      <w:r w:rsidR="00306C09" w:rsidRPr="00C66720">
        <w:rPr>
          <w:rFonts w:ascii="Times New Roman" w:hAnsi="Times New Roman"/>
          <w:szCs w:val="22"/>
          <w:lang w:eastAsia="sk-SK"/>
        </w:rPr>
        <w:t xml:space="preserve"> </w:t>
      </w:r>
      <w:r w:rsidR="0001585A" w:rsidRPr="00C66720">
        <w:rPr>
          <w:rFonts w:ascii="Times New Roman" w:hAnsi="Times New Roman"/>
          <w:szCs w:val="22"/>
          <w:lang w:eastAsia="sk-SK"/>
        </w:rPr>
        <w:t xml:space="preserve">najmä </w:t>
      </w:r>
      <w:r w:rsidRPr="00C66720">
        <w:rPr>
          <w:rFonts w:ascii="Times New Roman" w:hAnsi="Times New Roman"/>
          <w:szCs w:val="22"/>
          <w:lang w:eastAsia="sk-SK"/>
        </w:rPr>
        <w:t>podielové cenné papiere a podiely v obchodných spoločnostiach</w:t>
      </w:r>
      <w:r w:rsidR="0001585A" w:rsidRPr="00C66720">
        <w:rPr>
          <w:rFonts w:ascii="Times New Roman" w:hAnsi="Times New Roman"/>
          <w:szCs w:val="22"/>
          <w:lang w:eastAsia="sk-SK"/>
        </w:rPr>
        <w:t xml:space="preserve"> s podstatným vplyvom</w:t>
      </w:r>
      <w:r w:rsidR="001A0A9C" w:rsidRPr="00C66720">
        <w:rPr>
          <w:rFonts w:ascii="Times New Roman" w:hAnsi="Times New Roman"/>
          <w:szCs w:val="22"/>
          <w:lang w:eastAsia="sk-SK"/>
        </w:rPr>
        <w:t xml:space="preserve"> (3</w:t>
      </w:r>
      <w:r w:rsidR="00F25BEA" w:rsidRPr="00C66720">
        <w:rPr>
          <w:rFonts w:ascii="Times New Roman" w:hAnsi="Times New Roman"/>
          <w:szCs w:val="22"/>
          <w:lang w:eastAsia="sk-SK"/>
        </w:rPr>
        <w:t> 423 272</w:t>
      </w:r>
      <w:r w:rsidR="001A0A9C" w:rsidRPr="00C66720">
        <w:rPr>
          <w:rFonts w:ascii="Times New Roman" w:hAnsi="Times New Roman"/>
          <w:szCs w:val="22"/>
          <w:lang w:eastAsia="sk-SK"/>
        </w:rPr>
        <w:t xml:space="preserve"> tis. eur)</w:t>
      </w:r>
      <w:r w:rsidR="0001585A" w:rsidRPr="00C66720">
        <w:rPr>
          <w:rFonts w:ascii="Times New Roman" w:hAnsi="Times New Roman"/>
          <w:szCs w:val="22"/>
          <w:lang w:eastAsia="sk-SK"/>
        </w:rPr>
        <w:t xml:space="preserve">, ktorý znamená podiel na </w:t>
      </w:r>
      <w:r w:rsidR="00B44CAA">
        <w:rPr>
          <w:rFonts w:ascii="Times New Roman" w:hAnsi="Times New Roman"/>
          <w:szCs w:val="22"/>
          <w:lang w:eastAsia="sk-SK"/>
        </w:rPr>
        <w:t xml:space="preserve">ich </w:t>
      </w:r>
      <w:r w:rsidR="0001585A" w:rsidRPr="00C66720">
        <w:rPr>
          <w:rFonts w:ascii="Times New Roman" w:hAnsi="Times New Roman"/>
          <w:szCs w:val="22"/>
          <w:lang w:eastAsia="sk-SK"/>
        </w:rPr>
        <w:t>základnom imaní v rozsahu 20 – 50 %. Ide o pridružené účtovné jednotky kapitol ŠR ako aj podiely v takýchto spoločnostiach, ktoré vlastnia dcérske spoločnosti štátu</w:t>
      </w:r>
      <w:r w:rsidRPr="00C66720">
        <w:rPr>
          <w:rFonts w:ascii="Times New Roman" w:hAnsi="Times New Roman"/>
          <w:szCs w:val="22"/>
          <w:lang w:eastAsia="sk-SK"/>
        </w:rPr>
        <w:t>.</w:t>
      </w:r>
      <w:r w:rsidR="0001585A" w:rsidRPr="00C66720">
        <w:rPr>
          <w:rFonts w:ascii="Times New Roman" w:hAnsi="Times New Roman"/>
          <w:szCs w:val="22"/>
          <w:lang w:eastAsia="sk-SK"/>
        </w:rPr>
        <w:t xml:space="preserve"> </w:t>
      </w:r>
    </w:p>
    <w:p w14:paraId="4CE47492" w14:textId="2135477B" w:rsidR="009D2115" w:rsidRPr="00C66720" w:rsidRDefault="009D2115" w:rsidP="009D2115">
      <w:pPr>
        <w:spacing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Druhou významnou položkou finančného majetku sú pôžičky Štátneho fondu rozvoja bývania </w:t>
      </w:r>
      <w:r w:rsidR="004D705A" w:rsidRPr="00C66720">
        <w:rPr>
          <w:rFonts w:ascii="Times New Roman" w:hAnsi="Times New Roman"/>
          <w:szCs w:val="22"/>
          <w:lang w:eastAsia="sk-SK"/>
        </w:rPr>
        <w:br/>
      </w:r>
      <w:r w:rsidRPr="00C66720">
        <w:rPr>
          <w:rFonts w:ascii="Times New Roman" w:hAnsi="Times New Roman"/>
          <w:szCs w:val="22"/>
          <w:lang w:eastAsia="sk-SK"/>
        </w:rPr>
        <w:t>(</w:t>
      </w:r>
      <w:r w:rsidR="00655A1D" w:rsidRPr="00C66720">
        <w:rPr>
          <w:rFonts w:ascii="Times New Roman" w:hAnsi="Times New Roman"/>
          <w:szCs w:val="22"/>
          <w:lang w:eastAsia="sk-SK"/>
        </w:rPr>
        <w:t>1 310 666</w:t>
      </w:r>
      <w:r w:rsidRPr="00C66720">
        <w:rPr>
          <w:rFonts w:ascii="Times New Roman" w:hAnsi="Times New Roman"/>
          <w:szCs w:val="22"/>
          <w:lang w:eastAsia="sk-SK"/>
        </w:rPr>
        <w:t xml:space="preserve"> tis. eur), ktoré sa poskytujú nielen subjektom územnej samosprávy, ale aj fyzickým osobám a právnickým osobám mimo súhrnného celku (napr. bytové spoločenstvá).  </w:t>
      </w:r>
    </w:p>
    <w:p w14:paraId="51295520" w14:textId="7B07C3BF" w:rsidR="00E75243" w:rsidRDefault="009D2115" w:rsidP="00050613">
      <w:pPr>
        <w:spacing w:after="120" w:line="240" w:lineRule="auto"/>
        <w:jc w:val="both"/>
        <w:rPr>
          <w:rFonts w:ascii="Times New Roman" w:hAnsi="Times New Roman"/>
          <w:szCs w:val="22"/>
          <w:lang w:eastAsia="sk-SK"/>
        </w:rPr>
      </w:pPr>
      <w:r w:rsidRPr="00C66720">
        <w:rPr>
          <w:rFonts w:ascii="Times New Roman" w:hAnsi="Times New Roman"/>
          <w:szCs w:val="22"/>
          <w:lang w:eastAsia="sk-SK"/>
        </w:rPr>
        <w:t>Tretiu</w:t>
      </w:r>
      <w:r w:rsidR="003529A1" w:rsidRPr="00C66720">
        <w:rPr>
          <w:rFonts w:ascii="Times New Roman" w:hAnsi="Times New Roman"/>
          <w:szCs w:val="22"/>
          <w:lang w:eastAsia="sk-SK"/>
        </w:rPr>
        <w:t xml:space="preserve"> najvyššiu hodnotu v rámci </w:t>
      </w:r>
      <w:r w:rsidR="00B90425" w:rsidRPr="00C66720">
        <w:rPr>
          <w:rFonts w:ascii="Times New Roman" w:hAnsi="Times New Roman"/>
          <w:szCs w:val="22"/>
          <w:lang w:eastAsia="sk-SK"/>
        </w:rPr>
        <w:t>ostatného</w:t>
      </w:r>
      <w:r w:rsidR="003529A1" w:rsidRPr="00C66720">
        <w:rPr>
          <w:rFonts w:ascii="Times New Roman" w:hAnsi="Times New Roman"/>
          <w:szCs w:val="22"/>
          <w:lang w:eastAsia="sk-SK"/>
        </w:rPr>
        <w:t xml:space="preserve"> finančného majetku tvoria podiely Slovenskej republiky v zahraničných finančných inštitúciách </w:t>
      </w:r>
      <w:r w:rsidR="005F3650" w:rsidRPr="00C66720">
        <w:rPr>
          <w:rFonts w:ascii="Times New Roman" w:hAnsi="Times New Roman"/>
          <w:szCs w:val="22"/>
          <w:lang w:eastAsia="sk-SK"/>
        </w:rPr>
        <w:t xml:space="preserve">(1 091 578 tis. eur) </w:t>
      </w:r>
      <w:r w:rsidR="003529A1" w:rsidRPr="00C66720">
        <w:rPr>
          <w:rFonts w:ascii="Times New Roman" w:hAnsi="Times New Roman"/>
          <w:szCs w:val="22"/>
          <w:lang w:eastAsia="sk-SK"/>
        </w:rPr>
        <w:t>ako je napríklad Svetová banka, Európska investičná banka a ďalšie. Rozhodujúcu hodnotu tvorí podiel SR v Európskom stabilizačnom mechanizme.</w:t>
      </w:r>
      <w:r w:rsidR="00E76141" w:rsidRPr="00C66720">
        <w:rPr>
          <w:rFonts w:ascii="Times New Roman" w:hAnsi="Times New Roman"/>
          <w:szCs w:val="22"/>
          <w:lang w:eastAsia="sk-SK"/>
        </w:rPr>
        <w:t xml:space="preserve"> </w:t>
      </w:r>
    </w:p>
    <w:p w14:paraId="73ED7ADB" w14:textId="14C2DAAE" w:rsidR="00FF3FB6" w:rsidRDefault="00FF3FB6">
      <w:pPr>
        <w:spacing w:after="0" w:line="240" w:lineRule="auto"/>
        <w:rPr>
          <w:rFonts w:ascii="Times New Roman" w:hAnsi="Times New Roman"/>
          <w:szCs w:val="22"/>
          <w:lang w:eastAsia="sk-SK"/>
        </w:rPr>
      </w:pPr>
      <w:r>
        <w:rPr>
          <w:rFonts w:ascii="Times New Roman" w:hAnsi="Times New Roman"/>
          <w:szCs w:val="22"/>
          <w:lang w:eastAsia="sk-SK"/>
        </w:rPr>
        <w:br w:type="page"/>
      </w:r>
    </w:p>
    <w:p w14:paraId="16CE55D8" w14:textId="77777777" w:rsidR="00C94C05" w:rsidRPr="00F404EA" w:rsidRDefault="00C94C05" w:rsidP="00C94C05">
      <w:pPr>
        <w:spacing w:after="0" w:line="240" w:lineRule="auto"/>
        <w:jc w:val="both"/>
        <w:rPr>
          <w:rFonts w:ascii="Times New Roman" w:hAnsi="Times New Roman"/>
          <w:b/>
          <w:sz w:val="18"/>
          <w:szCs w:val="18"/>
          <w:lang w:eastAsia="sk-SK"/>
        </w:rPr>
      </w:pPr>
      <w:r w:rsidRPr="00F404EA">
        <w:rPr>
          <w:rFonts w:ascii="Times New Roman" w:hAnsi="Times New Roman"/>
          <w:b/>
          <w:sz w:val="18"/>
          <w:szCs w:val="18"/>
          <w:lang w:eastAsia="sk-SK"/>
        </w:rPr>
        <w:lastRenderedPageBreak/>
        <w:t>Tabuľka 5</w:t>
      </w:r>
    </w:p>
    <w:tbl>
      <w:tblPr>
        <w:tblW w:w="5000" w:type="pct"/>
        <w:jc w:val="center"/>
        <w:tblLayout w:type="fixed"/>
        <w:tblCellMar>
          <w:left w:w="70" w:type="dxa"/>
          <w:right w:w="70" w:type="dxa"/>
        </w:tblCellMar>
        <w:tblLook w:val="00A0" w:firstRow="1" w:lastRow="0" w:firstColumn="1" w:lastColumn="0" w:noHBand="0" w:noVBand="0"/>
      </w:tblPr>
      <w:tblGrid>
        <w:gridCol w:w="4844"/>
        <w:gridCol w:w="1279"/>
        <w:gridCol w:w="1415"/>
        <w:gridCol w:w="1533"/>
      </w:tblGrid>
      <w:tr w:rsidR="00C94C05" w:rsidRPr="00AD1DD7" w14:paraId="56D471AD"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04C00D8C" w14:textId="77777777" w:rsidR="00C94C05" w:rsidRPr="00AD1DD7" w:rsidRDefault="00C94C05" w:rsidP="00241F33">
            <w:pPr>
              <w:spacing w:after="0" w:line="240" w:lineRule="auto"/>
              <w:rPr>
                <w:rFonts w:ascii="Times New Roman" w:hAnsi="Times New Roman"/>
                <w:b/>
                <w:bCs/>
                <w:sz w:val="18"/>
                <w:szCs w:val="18"/>
                <w:lang w:eastAsia="sk-SK"/>
              </w:rPr>
            </w:pPr>
            <w:r w:rsidRPr="00AD1DD7">
              <w:rPr>
                <w:rFonts w:ascii="Times New Roman" w:hAnsi="Times New Roman"/>
                <w:b/>
                <w:bCs/>
                <w:sz w:val="18"/>
                <w:szCs w:val="18"/>
                <w:lang w:eastAsia="sk-SK"/>
              </w:rPr>
              <w:t>Dlhodobý finančný majetok                                                                                                                                  (v tis. eur) </w:t>
            </w:r>
          </w:p>
        </w:tc>
      </w:tr>
      <w:tr w:rsidR="006E050C" w:rsidRPr="00975467" w14:paraId="5576D8C9" w14:textId="77777777" w:rsidTr="00241F33">
        <w:trPr>
          <w:trHeight w:val="330"/>
          <w:jc w:val="center"/>
        </w:trPr>
        <w:tc>
          <w:tcPr>
            <w:tcW w:w="2670" w:type="pct"/>
            <w:tcBorders>
              <w:top w:val="nil"/>
              <w:left w:val="nil"/>
              <w:bottom w:val="single" w:sz="4" w:space="0" w:color="auto"/>
              <w:right w:val="nil"/>
            </w:tcBorders>
            <w:shd w:val="clear" w:color="auto" w:fill="BDD7EE"/>
            <w:noWrap/>
            <w:vAlign w:val="bottom"/>
          </w:tcPr>
          <w:p w14:paraId="2F19CE12" w14:textId="77777777" w:rsidR="006E050C" w:rsidRPr="008E6183" w:rsidRDefault="006E050C" w:rsidP="006E050C">
            <w:pPr>
              <w:spacing w:after="0" w:line="240" w:lineRule="auto"/>
              <w:rPr>
                <w:rFonts w:ascii="Times New Roman" w:hAnsi="Times New Roman"/>
                <w:b/>
                <w:bCs/>
                <w:sz w:val="18"/>
                <w:szCs w:val="18"/>
                <w:lang w:eastAsia="sk-SK"/>
              </w:rPr>
            </w:pPr>
            <w:r w:rsidRPr="008E6183">
              <w:rPr>
                <w:rFonts w:ascii="Times New Roman" w:hAnsi="Times New Roman"/>
                <w:b/>
                <w:bCs/>
                <w:sz w:val="18"/>
                <w:szCs w:val="18"/>
                <w:lang w:eastAsia="sk-SK"/>
              </w:rPr>
              <w:t>Druh finančného majetku</w:t>
            </w:r>
          </w:p>
        </w:tc>
        <w:tc>
          <w:tcPr>
            <w:tcW w:w="705" w:type="pct"/>
            <w:tcBorders>
              <w:top w:val="nil"/>
              <w:left w:val="nil"/>
              <w:bottom w:val="single" w:sz="4" w:space="0" w:color="auto"/>
              <w:right w:val="nil"/>
            </w:tcBorders>
            <w:shd w:val="clear" w:color="auto" w:fill="BDD7EE"/>
            <w:noWrap/>
            <w:vAlign w:val="bottom"/>
          </w:tcPr>
          <w:p w14:paraId="0C034250" w14:textId="0C6C1549" w:rsidR="006E050C" w:rsidRPr="008E6183" w:rsidRDefault="006E050C" w:rsidP="006E050C">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 xml:space="preserve">                 2022</w:t>
            </w:r>
          </w:p>
        </w:tc>
        <w:tc>
          <w:tcPr>
            <w:tcW w:w="780" w:type="pct"/>
            <w:tcBorders>
              <w:top w:val="nil"/>
              <w:left w:val="nil"/>
              <w:bottom w:val="single" w:sz="4" w:space="0" w:color="auto"/>
              <w:right w:val="nil"/>
            </w:tcBorders>
            <w:shd w:val="clear" w:color="auto" w:fill="BDD7EE"/>
            <w:noWrap/>
            <w:vAlign w:val="bottom"/>
          </w:tcPr>
          <w:p w14:paraId="7413AC42" w14:textId="29793FAD" w:rsidR="006E050C" w:rsidRPr="008E6183" w:rsidRDefault="006E050C" w:rsidP="006E050C">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 xml:space="preserve">                 2021</w:t>
            </w:r>
          </w:p>
        </w:tc>
        <w:tc>
          <w:tcPr>
            <w:tcW w:w="845" w:type="pct"/>
            <w:tcBorders>
              <w:top w:val="nil"/>
              <w:left w:val="nil"/>
              <w:bottom w:val="single" w:sz="4" w:space="0" w:color="auto"/>
              <w:right w:val="nil"/>
            </w:tcBorders>
            <w:shd w:val="clear" w:color="auto" w:fill="BDD7EE"/>
            <w:vAlign w:val="bottom"/>
          </w:tcPr>
          <w:p w14:paraId="31C45ED5" w14:textId="2B8CA57E" w:rsidR="006E050C" w:rsidRPr="008E6183" w:rsidRDefault="006E050C" w:rsidP="006E050C">
            <w:pPr>
              <w:spacing w:after="0" w:line="240" w:lineRule="auto"/>
              <w:jc w:val="center"/>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6E050C" w:rsidRPr="00975467" w14:paraId="56FC8CDD" w14:textId="77777777" w:rsidTr="00241F33">
        <w:trPr>
          <w:trHeight w:hRule="exact" w:val="330"/>
          <w:jc w:val="center"/>
        </w:trPr>
        <w:tc>
          <w:tcPr>
            <w:tcW w:w="2670" w:type="pct"/>
            <w:tcBorders>
              <w:top w:val="nil"/>
              <w:left w:val="nil"/>
              <w:bottom w:val="nil"/>
              <w:right w:val="nil"/>
            </w:tcBorders>
            <w:vAlign w:val="center"/>
          </w:tcPr>
          <w:p w14:paraId="4B6774D4" w14:textId="77777777" w:rsidR="006E050C" w:rsidRPr="008E6183" w:rsidRDefault="006E050C" w:rsidP="006E050C">
            <w:pPr>
              <w:spacing w:after="0" w:line="240" w:lineRule="auto"/>
              <w:rPr>
                <w:rFonts w:ascii="Times New Roman" w:hAnsi="Times New Roman"/>
                <w:sz w:val="18"/>
                <w:szCs w:val="18"/>
                <w:lang w:eastAsia="sk-SK"/>
              </w:rPr>
            </w:pPr>
            <w:r w:rsidRPr="008E6183">
              <w:rPr>
                <w:rFonts w:ascii="Times New Roman" w:hAnsi="Times New Roman"/>
                <w:sz w:val="18"/>
                <w:szCs w:val="18"/>
                <w:lang w:eastAsia="sk-SK"/>
              </w:rPr>
              <w:t xml:space="preserve">Cenné papiere a podiely </w:t>
            </w:r>
          </w:p>
        </w:tc>
        <w:tc>
          <w:tcPr>
            <w:tcW w:w="705" w:type="pct"/>
            <w:tcBorders>
              <w:top w:val="nil"/>
              <w:left w:val="nil"/>
              <w:bottom w:val="nil"/>
              <w:right w:val="nil"/>
            </w:tcBorders>
            <w:vAlign w:val="center"/>
          </w:tcPr>
          <w:p w14:paraId="5AF9D2BD" w14:textId="031DC788"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sz w:val="18"/>
                <w:szCs w:val="18"/>
                <w:lang w:eastAsia="sk-SK"/>
              </w:rPr>
              <w:t>4 550 102</w:t>
            </w:r>
          </w:p>
        </w:tc>
        <w:tc>
          <w:tcPr>
            <w:tcW w:w="780" w:type="pct"/>
            <w:tcBorders>
              <w:top w:val="nil"/>
              <w:left w:val="nil"/>
              <w:bottom w:val="nil"/>
              <w:right w:val="nil"/>
            </w:tcBorders>
            <w:vAlign w:val="center"/>
          </w:tcPr>
          <w:p w14:paraId="3D1681D0" w14:textId="287C65BA"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sz w:val="18"/>
                <w:szCs w:val="18"/>
                <w:lang w:eastAsia="sk-SK"/>
              </w:rPr>
              <w:t>4 045 577</w:t>
            </w:r>
          </w:p>
        </w:tc>
        <w:tc>
          <w:tcPr>
            <w:tcW w:w="845" w:type="pct"/>
            <w:tcBorders>
              <w:top w:val="nil"/>
              <w:left w:val="nil"/>
              <w:bottom w:val="nil"/>
              <w:right w:val="nil"/>
            </w:tcBorders>
            <w:vAlign w:val="center"/>
          </w:tcPr>
          <w:p w14:paraId="237EEAA5" w14:textId="7F5809CA" w:rsidR="006E050C" w:rsidRPr="008E6183" w:rsidRDefault="006E050C" w:rsidP="006E050C">
            <w:pPr>
              <w:spacing w:after="0" w:line="240" w:lineRule="auto"/>
              <w:ind w:right="82"/>
              <w:jc w:val="right"/>
              <w:rPr>
                <w:rFonts w:ascii="Times New Roman" w:hAnsi="Times New Roman"/>
                <w:i/>
                <w:sz w:val="18"/>
                <w:szCs w:val="18"/>
                <w:lang w:eastAsia="sk-SK"/>
              </w:rPr>
            </w:pPr>
            <w:r w:rsidRPr="006E050C">
              <w:rPr>
                <w:rFonts w:ascii="Times New Roman" w:hAnsi="Times New Roman"/>
                <w:sz w:val="18"/>
                <w:szCs w:val="18"/>
                <w:lang w:eastAsia="sk-SK"/>
              </w:rPr>
              <w:t>504</w:t>
            </w:r>
            <w:r w:rsidRPr="00C66720">
              <w:rPr>
                <w:rFonts w:ascii="Times New Roman" w:hAnsi="Times New Roman"/>
                <w:i/>
                <w:sz w:val="18"/>
                <w:szCs w:val="18"/>
                <w:lang w:eastAsia="sk-SK"/>
              </w:rPr>
              <w:t xml:space="preserve"> 525</w:t>
            </w:r>
          </w:p>
        </w:tc>
      </w:tr>
      <w:tr w:rsidR="006E050C" w:rsidRPr="00975467" w14:paraId="51987C4C" w14:textId="77777777" w:rsidTr="00241F33">
        <w:trPr>
          <w:trHeight w:hRule="exact" w:val="330"/>
          <w:jc w:val="center"/>
        </w:trPr>
        <w:tc>
          <w:tcPr>
            <w:tcW w:w="2670" w:type="pct"/>
            <w:tcBorders>
              <w:top w:val="nil"/>
              <w:left w:val="nil"/>
              <w:right w:val="nil"/>
            </w:tcBorders>
            <w:vAlign w:val="center"/>
          </w:tcPr>
          <w:p w14:paraId="31B4DAB8" w14:textId="6F7C9320" w:rsidR="006E050C" w:rsidRPr="008E6183" w:rsidRDefault="006E050C" w:rsidP="006E050C">
            <w:pPr>
              <w:spacing w:after="0" w:line="240" w:lineRule="auto"/>
              <w:rPr>
                <w:rFonts w:ascii="Times New Roman" w:hAnsi="Times New Roman"/>
                <w:color w:val="FF0000"/>
                <w:sz w:val="18"/>
                <w:szCs w:val="18"/>
                <w:lang w:eastAsia="sk-SK"/>
              </w:rPr>
            </w:pPr>
            <w:r w:rsidRPr="00C66720">
              <w:rPr>
                <w:rFonts w:ascii="Times New Roman" w:hAnsi="Times New Roman"/>
                <w:i/>
                <w:sz w:val="18"/>
                <w:szCs w:val="18"/>
                <w:lang w:eastAsia="sk-SK"/>
              </w:rPr>
              <w:t>Z toho: Podiely v pridružených účtovných jednotkách</w:t>
            </w:r>
          </w:p>
        </w:tc>
        <w:tc>
          <w:tcPr>
            <w:tcW w:w="705" w:type="pct"/>
            <w:tcBorders>
              <w:top w:val="nil"/>
              <w:left w:val="nil"/>
              <w:right w:val="nil"/>
            </w:tcBorders>
            <w:vAlign w:val="center"/>
          </w:tcPr>
          <w:p w14:paraId="023795EC" w14:textId="19251F80"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3 423 272</w:t>
            </w:r>
          </w:p>
        </w:tc>
        <w:tc>
          <w:tcPr>
            <w:tcW w:w="780" w:type="pct"/>
            <w:tcBorders>
              <w:top w:val="nil"/>
              <w:left w:val="nil"/>
              <w:right w:val="nil"/>
            </w:tcBorders>
            <w:vAlign w:val="center"/>
          </w:tcPr>
          <w:p w14:paraId="297F2061" w14:textId="40362221"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i/>
                <w:sz w:val="18"/>
                <w:szCs w:val="18"/>
                <w:lang w:eastAsia="sk-SK"/>
              </w:rPr>
              <w:t>3 017 676</w:t>
            </w:r>
          </w:p>
        </w:tc>
        <w:tc>
          <w:tcPr>
            <w:tcW w:w="845" w:type="pct"/>
            <w:tcBorders>
              <w:top w:val="nil"/>
              <w:left w:val="nil"/>
              <w:right w:val="nil"/>
            </w:tcBorders>
            <w:vAlign w:val="center"/>
          </w:tcPr>
          <w:p w14:paraId="0D09F213" w14:textId="53B66F51" w:rsidR="006E050C" w:rsidRPr="008E6183" w:rsidRDefault="006E050C" w:rsidP="006E050C">
            <w:pPr>
              <w:spacing w:after="0" w:line="240" w:lineRule="auto"/>
              <w:ind w:right="82"/>
              <w:jc w:val="right"/>
              <w:rPr>
                <w:rFonts w:ascii="Times New Roman" w:hAnsi="Times New Roman"/>
                <w:color w:val="FF0000"/>
                <w:sz w:val="18"/>
                <w:szCs w:val="18"/>
                <w:lang w:eastAsia="sk-SK"/>
              </w:rPr>
            </w:pPr>
            <w:r w:rsidRPr="00C66720">
              <w:rPr>
                <w:rFonts w:ascii="Times New Roman" w:hAnsi="Times New Roman"/>
                <w:i/>
                <w:sz w:val="18"/>
                <w:szCs w:val="18"/>
                <w:lang w:eastAsia="sk-SK"/>
              </w:rPr>
              <w:t>405 596</w:t>
            </w:r>
          </w:p>
        </w:tc>
      </w:tr>
      <w:tr w:rsidR="006E050C" w:rsidRPr="00975467" w14:paraId="4CED6E6A" w14:textId="77777777" w:rsidTr="00241F33">
        <w:trPr>
          <w:trHeight w:hRule="exact" w:val="330"/>
          <w:jc w:val="center"/>
        </w:trPr>
        <w:tc>
          <w:tcPr>
            <w:tcW w:w="2670" w:type="pct"/>
            <w:tcBorders>
              <w:top w:val="nil"/>
              <w:left w:val="nil"/>
              <w:right w:val="nil"/>
            </w:tcBorders>
            <w:vAlign w:val="center"/>
          </w:tcPr>
          <w:p w14:paraId="61E54EB1" w14:textId="65CBFCA5" w:rsidR="006E050C" w:rsidRPr="008E6183" w:rsidRDefault="006E050C" w:rsidP="006E050C">
            <w:pPr>
              <w:spacing w:after="0" w:line="240" w:lineRule="auto"/>
              <w:rPr>
                <w:rFonts w:ascii="Times New Roman" w:hAnsi="Times New Roman"/>
                <w:sz w:val="18"/>
                <w:szCs w:val="18"/>
                <w:lang w:eastAsia="sk-SK"/>
              </w:rPr>
            </w:pPr>
            <w:r w:rsidRPr="00C66720">
              <w:rPr>
                <w:rFonts w:ascii="Times New Roman" w:hAnsi="Times New Roman"/>
                <w:i/>
                <w:sz w:val="18"/>
                <w:szCs w:val="18"/>
                <w:lang w:eastAsia="sk-SK"/>
              </w:rPr>
              <w:t xml:space="preserve">            Realizovateľné cenné papiere a podiely</w:t>
            </w:r>
          </w:p>
        </w:tc>
        <w:tc>
          <w:tcPr>
            <w:tcW w:w="705" w:type="pct"/>
            <w:tcBorders>
              <w:top w:val="nil"/>
              <w:left w:val="nil"/>
              <w:right w:val="nil"/>
            </w:tcBorders>
            <w:vAlign w:val="center"/>
          </w:tcPr>
          <w:p w14:paraId="3508C966" w14:textId="5DA843E5"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i/>
                <w:sz w:val="18"/>
                <w:szCs w:val="18"/>
                <w:lang w:eastAsia="sk-SK"/>
              </w:rPr>
              <w:t>813 693</w:t>
            </w:r>
          </w:p>
        </w:tc>
        <w:tc>
          <w:tcPr>
            <w:tcW w:w="780" w:type="pct"/>
            <w:tcBorders>
              <w:top w:val="nil"/>
              <w:left w:val="nil"/>
              <w:right w:val="nil"/>
            </w:tcBorders>
            <w:vAlign w:val="center"/>
          </w:tcPr>
          <w:p w14:paraId="2D231384" w14:textId="1B418EFF"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i/>
                <w:sz w:val="18"/>
                <w:szCs w:val="18"/>
                <w:lang w:eastAsia="sk-SK"/>
              </w:rPr>
              <w:t>806 794</w:t>
            </w:r>
          </w:p>
        </w:tc>
        <w:tc>
          <w:tcPr>
            <w:tcW w:w="845" w:type="pct"/>
            <w:tcBorders>
              <w:top w:val="nil"/>
              <w:left w:val="nil"/>
              <w:right w:val="nil"/>
            </w:tcBorders>
            <w:vAlign w:val="center"/>
          </w:tcPr>
          <w:p w14:paraId="35B0710A" w14:textId="4AD11C3D" w:rsidR="006E050C" w:rsidRPr="008E6183" w:rsidRDefault="006E050C" w:rsidP="006E050C">
            <w:pPr>
              <w:spacing w:after="0" w:line="240" w:lineRule="auto"/>
              <w:ind w:right="82"/>
              <w:jc w:val="right"/>
              <w:rPr>
                <w:rFonts w:ascii="Times New Roman" w:hAnsi="Times New Roman"/>
                <w:color w:val="FF0000"/>
                <w:sz w:val="18"/>
                <w:szCs w:val="18"/>
                <w:lang w:eastAsia="sk-SK"/>
              </w:rPr>
            </w:pPr>
            <w:r w:rsidRPr="00C66720">
              <w:rPr>
                <w:rFonts w:ascii="Times New Roman" w:hAnsi="Times New Roman"/>
                <w:i/>
                <w:sz w:val="18"/>
                <w:szCs w:val="18"/>
                <w:lang w:eastAsia="sk-SK"/>
              </w:rPr>
              <w:t>6 899</w:t>
            </w:r>
          </w:p>
        </w:tc>
      </w:tr>
      <w:tr w:rsidR="006E050C" w:rsidRPr="00975467" w14:paraId="07A630DC" w14:textId="77777777" w:rsidTr="00241F33">
        <w:trPr>
          <w:trHeight w:hRule="exact" w:val="330"/>
          <w:jc w:val="center"/>
        </w:trPr>
        <w:tc>
          <w:tcPr>
            <w:tcW w:w="2670" w:type="pct"/>
            <w:tcBorders>
              <w:top w:val="nil"/>
              <w:left w:val="nil"/>
              <w:right w:val="nil"/>
            </w:tcBorders>
            <w:vAlign w:val="center"/>
          </w:tcPr>
          <w:p w14:paraId="2C93D211" w14:textId="0C7B1AFE" w:rsidR="006E050C" w:rsidRPr="008E6183" w:rsidRDefault="006E050C" w:rsidP="006E050C">
            <w:pPr>
              <w:spacing w:after="0" w:line="240" w:lineRule="auto"/>
              <w:rPr>
                <w:rFonts w:ascii="Times New Roman" w:hAnsi="Times New Roman"/>
                <w:sz w:val="18"/>
                <w:szCs w:val="18"/>
                <w:lang w:eastAsia="sk-SK"/>
              </w:rPr>
            </w:pPr>
            <w:r w:rsidRPr="00C66720">
              <w:rPr>
                <w:rFonts w:ascii="Times New Roman" w:hAnsi="Times New Roman"/>
                <w:i/>
                <w:sz w:val="18"/>
                <w:szCs w:val="18"/>
                <w:lang w:eastAsia="sk-SK"/>
              </w:rPr>
              <w:t xml:space="preserve">            Podiely v dcérskych účtovných jednotkách</w:t>
            </w:r>
          </w:p>
        </w:tc>
        <w:tc>
          <w:tcPr>
            <w:tcW w:w="705" w:type="pct"/>
            <w:tcBorders>
              <w:top w:val="nil"/>
              <w:left w:val="nil"/>
              <w:right w:val="nil"/>
            </w:tcBorders>
            <w:vAlign w:val="center"/>
          </w:tcPr>
          <w:p w14:paraId="3DEE945E" w14:textId="69C72EC7"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282 349</w:t>
            </w:r>
          </w:p>
        </w:tc>
        <w:tc>
          <w:tcPr>
            <w:tcW w:w="780" w:type="pct"/>
            <w:tcBorders>
              <w:top w:val="nil"/>
              <w:left w:val="nil"/>
              <w:right w:val="nil"/>
            </w:tcBorders>
            <w:vAlign w:val="center"/>
          </w:tcPr>
          <w:p w14:paraId="04BEAADA" w14:textId="195A8474"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192 233</w:t>
            </w:r>
          </w:p>
        </w:tc>
        <w:tc>
          <w:tcPr>
            <w:tcW w:w="845" w:type="pct"/>
            <w:tcBorders>
              <w:top w:val="nil"/>
              <w:left w:val="nil"/>
              <w:right w:val="nil"/>
            </w:tcBorders>
            <w:vAlign w:val="center"/>
          </w:tcPr>
          <w:p w14:paraId="21AD125D" w14:textId="409808CB" w:rsidR="006E050C"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90 116</w:t>
            </w:r>
          </w:p>
        </w:tc>
      </w:tr>
      <w:tr w:rsidR="006E050C" w:rsidRPr="00975467" w14:paraId="460022D9" w14:textId="77777777" w:rsidTr="00241F33">
        <w:trPr>
          <w:trHeight w:hRule="exact" w:val="330"/>
          <w:jc w:val="center"/>
        </w:trPr>
        <w:tc>
          <w:tcPr>
            <w:tcW w:w="2670" w:type="pct"/>
            <w:tcBorders>
              <w:top w:val="nil"/>
              <w:left w:val="nil"/>
              <w:right w:val="nil"/>
            </w:tcBorders>
            <w:vAlign w:val="center"/>
          </w:tcPr>
          <w:p w14:paraId="4BB1B3EC" w14:textId="77777777" w:rsidR="006E050C" w:rsidRPr="008E6183" w:rsidRDefault="006E050C" w:rsidP="006E050C">
            <w:pPr>
              <w:spacing w:after="0" w:line="240" w:lineRule="auto"/>
              <w:rPr>
                <w:rFonts w:ascii="Times New Roman" w:hAnsi="Times New Roman"/>
                <w:color w:val="FF0000"/>
                <w:sz w:val="18"/>
                <w:szCs w:val="18"/>
                <w:lang w:eastAsia="sk-SK"/>
              </w:rPr>
            </w:pPr>
            <w:r w:rsidRPr="008E6183">
              <w:rPr>
                <w:rFonts w:ascii="Times New Roman" w:hAnsi="Times New Roman"/>
                <w:sz w:val="18"/>
                <w:szCs w:val="18"/>
                <w:lang w:eastAsia="sk-SK"/>
              </w:rPr>
              <w:t>Dlhodobé pôžičky</w:t>
            </w:r>
          </w:p>
        </w:tc>
        <w:tc>
          <w:tcPr>
            <w:tcW w:w="705" w:type="pct"/>
            <w:tcBorders>
              <w:top w:val="nil"/>
              <w:left w:val="nil"/>
              <w:right w:val="nil"/>
            </w:tcBorders>
            <w:vAlign w:val="center"/>
          </w:tcPr>
          <w:p w14:paraId="7B502F49" w14:textId="3BD23A11" w:rsidR="006E050C" w:rsidRPr="008E6183" w:rsidRDefault="006E050C" w:rsidP="006E050C">
            <w:pPr>
              <w:spacing w:after="0" w:line="240" w:lineRule="auto"/>
              <w:ind w:right="82"/>
              <w:jc w:val="right"/>
              <w:rPr>
                <w:rFonts w:ascii="Times New Roman" w:hAnsi="Times New Roman"/>
                <w:color w:val="FF0000"/>
                <w:sz w:val="18"/>
                <w:szCs w:val="18"/>
                <w:lang w:eastAsia="sk-SK"/>
              </w:rPr>
            </w:pPr>
            <w:r w:rsidRPr="00C66720">
              <w:rPr>
                <w:rFonts w:ascii="Times New Roman" w:hAnsi="Times New Roman"/>
                <w:sz w:val="18"/>
                <w:szCs w:val="18"/>
                <w:lang w:eastAsia="sk-SK"/>
              </w:rPr>
              <w:t>1 394 761</w:t>
            </w:r>
          </w:p>
        </w:tc>
        <w:tc>
          <w:tcPr>
            <w:tcW w:w="780" w:type="pct"/>
            <w:tcBorders>
              <w:top w:val="nil"/>
              <w:left w:val="nil"/>
              <w:right w:val="nil"/>
            </w:tcBorders>
            <w:vAlign w:val="center"/>
          </w:tcPr>
          <w:p w14:paraId="4E32F975" w14:textId="0B0A6D3B"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sz w:val="18"/>
                <w:szCs w:val="18"/>
                <w:lang w:eastAsia="sk-SK"/>
              </w:rPr>
              <w:t>1 307 776</w:t>
            </w:r>
          </w:p>
        </w:tc>
        <w:tc>
          <w:tcPr>
            <w:tcW w:w="845" w:type="pct"/>
            <w:tcBorders>
              <w:top w:val="nil"/>
              <w:left w:val="nil"/>
              <w:right w:val="nil"/>
            </w:tcBorders>
            <w:vAlign w:val="center"/>
          </w:tcPr>
          <w:p w14:paraId="1498D3C0" w14:textId="2A0D15C0" w:rsidR="006E050C" w:rsidRPr="008E6183" w:rsidRDefault="006E050C" w:rsidP="006E050C">
            <w:pPr>
              <w:spacing w:after="0" w:line="240" w:lineRule="auto"/>
              <w:ind w:right="82"/>
              <w:jc w:val="right"/>
              <w:rPr>
                <w:rFonts w:ascii="Times New Roman" w:hAnsi="Times New Roman"/>
                <w:color w:val="FF0000"/>
                <w:sz w:val="18"/>
                <w:szCs w:val="18"/>
                <w:lang w:eastAsia="sk-SK"/>
              </w:rPr>
            </w:pPr>
            <w:r w:rsidRPr="00C66720">
              <w:rPr>
                <w:rFonts w:ascii="Times New Roman" w:hAnsi="Times New Roman"/>
                <w:sz w:val="18"/>
                <w:szCs w:val="18"/>
                <w:lang w:eastAsia="sk-SK"/>
              </w:rPr>
              <w:t>86 985</w:t>
            </w:r>
          </w:p>
        </w:tc>
      </w:tr>
      <w:tr w:rsidR="006E050C" w:rsidRPr="00975467" w14:paraId="4A8B886D" w14:textId="77777777" w:rsidTr="00241F33">
        <w:trPr>
          <w:trHeight w:hRule="exact" w:val="330"/>
          <w:jc w:val="center"/>
        </w:trPr>
        <w:tc>
          <w:tcPr>
            <w:tcW w:w="2670" w:type="pct"/>
            <w:tcBorders>
              <w:top w:val="nil"/>
              <w:left w:val="nil"/>
              <w:right w:val="nil"/>
            </w:tcBorders>
            <w:vAlign w:val="center"/>
          </w:tcPr>
          <w:p w14:paraId="0E45BE38" w14:textId="53082BC2" w:rsidR="006E050C" w:rsidRPr="008E6183" w:rsidRDefault="006E050C" w:rsidP="006E050C">
            <w:pPr>
              <w:spacing w:after="0" w:line="240" w:lineRule="auto"/>
              <w:rPr>
                <w:rFonts w:ascii="Times New Roman" w:hAnsi="Times New Roman"/>
                <w:i/>
                <w:sz w:val="18"/>
                <w:szCs w:val="18"/>
                <w:lang w:eastAsia="sk-SK"/>
              </w:rPr>
            </w:pPr>
            <w:r w:rsidRPr="00C66720">
              <w:rPr>
                <w:rFonts w:ascii="Times New Roman" w:hAnsi="Times New Roman"/>
                <w:i/>
                <w:sz w:val="18"/>
                <w:szCs w:val="18"/>
                <w:lang w:eastAsia="sk-SK"/>
              </w:rPr>
              <w:t>Z toho: ŠFRB</w:t>
            </w:r>
          </w:p>
        </w:tc>
        <w:tc>
          <w:tcPr>
            <w:tcW w:w="705" w:type="pct"/>
            <w:tcBorders>
              <w:top w:val="nil"/>
              <w:left w:val="nil"/>
              <w:right w:val="nil"/>
            </w:tcBorders>
            <w:vAlign w:val="center"/>
          </w:tcPr>
          <w:p w14:paraId="249F2697" w14:textId="0FC6CA45" w:rsidR="006E050C" w:rsidRPr="008E6183" w:rsidRDefault="006E050C" w:rsidP="006E050C">
            <w:pPr>
              <w:spacing w:after="0" w:line="240" w:lineRule="auto"/>
              <w:ind w:right="82"/>
              <w:jc w:val="right"/>
              <w:rPr>
                <w:rFonts w:ascii="Times New Roman" w:hAnsi="Times New Roman"/>
                <w:i/>
                <w:color w:val="FF0000"/>
                <w:sz w:val="18"/>
                <w:szCs w:val="18"/>
                <w:lang w:eastAsia="sk-SK"/>
              </w:rPr>
            </w:pPr>
            <w:r w:rsidRPr="00C66720">
              <w:rPr>
                <w:rFonts w:ascii="Times New Roman" w:hAnsi="Times New Roman"/>
                <w:i/>
                <w:sz w:val="18"/>
                <w:szCs w:val="18"/>
                <w:lang w:eastAsia="sk-SK"/>
              </w:rPr>
              <w:t>1 310 666</w:t>
            </w:r>
          </w:p>
        </w:tc>
        <w:tc>
          <w:tcPr>
            <w:tcW w:w="780" w:type="pct"/>
            <w:tcBorders>
              <w:top w:val="nil"/>
              <w:left w:val="nil"/>
              <w:right w:val="nil"/>
            </w:tcBorders>
            <w:vAlign w:val="center"/>
          </w:tcPr>
          <w:p w14:paraId="089823D5" w14:textId="3CC5248E"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1 248 235</w:t>
            </w:r>
          </w:p>
        </w:tc>
        <w:tc>
          <w:tcPr>
            <w:tcW w:w="845" w:type="pct"/>
            <w:tcBorders>
              <w:top w:val="nil"/>
              <w:left w:val="nil"/>
              <w:right w:val="nil"/>
            </w:tcBorders>
            <w:vAlign w:val="center"/>
          </w:tcPr>
          <w:p w14:paraId="4FA365F7" w14:textId="72181DF8" w:rsidR="006E050C" w:rsidRPr="008E6183" w:rsidRDefault="006E050C" w:rsidP="006E050C">
            <w:pPr>
              <w:spacing w:after="0" w:line="240" w:lineRule="auto"/>
              <w:ind w:right="82"/>
              <w:jc w:val="right"/>
              <w:rPr>
                <w:rFonts w:ascii="Times New Roman" w:hAnsi="Times New Roman"/>
                <w:i/>
                <w:color w:val="FF0000"/>
                <w:sz w:val="18"/>
                <w:szCs w:val="18"/>
                <w:lang w:eastAsia="sk-SK"/>
              </w:rPr>
            </w:pPr>
            <w:r w:rsidRPr="00C66720">
              <w:rPr>
                <w:rFonts w:ascii="Times New Roman" w:hAnsi="Times New Roman"/>
                <w:sz w:val="18"/>
                <w:szCs w:val="18"/>
                <w:lang w:eastAsia="sk-SK"/>
              </w:rPr>
              <w:t>62 431</w:t>
            </w:r>
          </w:p>
        </w:tc>
      </w:tr>
      <w:tr w:rsidR="006E050C" w:rsidRPr="00975467" w14:paraId="25BCBBD8" w14:textId="77777777" w:rsidTr="00241F33">
        <w:trPr>
          <w:trHeight w:hRule="exact" w:val="330"/>
          <w:jc w:val="center"/>
        </w:trPr>
        <w:tc>
          <w:tcPr>
            <w:tcW w:w="2670" w:type="pct"/>
            <w:tcBorders>
              <w:top w:val="nil"/>
              <w:left w:val="nil"/>
              <w:right w:val="nil"/>
            </w:tcBorders>
            <w:shd w:val="clear" w:color="000000" w:fill="auto"/>
            <w:vAlign w:val="center"/>
          </w:tcPr>
          <w:p w14:paraId="65FD9350" w14:textId="2242B0C0" w:rsidR="006E050C" w:rsidRPr="008E6183" w:rsidRDefault="006E050C" w:rsidP="006E050C">
            <w:pPr>
              <w:spacing w:after="0" w:line="240" w:lineRule="auto"/>
              <w:rPr>
                <w:rFonts w:ascii="Times New Roman" w:hAnsi="Times New Roman"/>
                <w:i/>
                <w:sz w:val="18"/>
                <w:szCs w:val="18"/>
                <w:lang w:eastAsia="sk-SK"/>
              </w:rPr>
            </w:pPr>
            <w:r w:rsidRPr="00C66720">
              <w:rPr>
                <w:rFonts w:ascii="Times New Roman" w:hAnsi="Times New Roman"/>
                <w:i/>
                <w:sz w:val="18"/>
                <w:szCs w:val="18"/>
                <w:lang w:eastAsia="sk-SK"/>
              </w:rPr>
              <w:t xml:space="preserve">            National Development Fund II, a.s.</w:t>
            </w:r>
          </w:p>
        </w:tc>
        <w:tc>
          <w:tcPr>
            <w:tcW w:w="705" w:type="pct"/>
            <w:tcBorders>
              <w:top w:val="nil"/>
              <w:left w:val="nil"/>
              <w:right w:val="nil"/>
            </w:tcBorders>
            <w:shd w:val="clear" w:color="000000" w:fill="auto"/>
            <w:vAlign w:val="center"/>
          </w:tcPr>
          <w:p w14:paraId="4C095C79" w14:textId="16EF3F23"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43 253</w:t>
            </w:r>
          </w:p>
        </w:tc>
        <w:tc>
          <w:tcPr>
            <w:tcW w:w="780" w:type="pct"/>
            <w:tcBorders>
              <w:top w:val="nil"/>
              <w:left w:val="nil"/>
              <w:right w:val="nil"/>
            </w:tcBorders>
            <w:shd w:val="clear" w:color="000000" w:fill="auto"/>
            <w:vAlign w:val="center"/>
          </w:tcPr>
          <w:p w14:paraId="1E2D63D4" w14:textId="7355DF14"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21 811</w:t>
            </w:r>
          </w:p>
        </w:tc>
        <w:tc>
          <w:tcPr>
            <w:tcW w:w="845" w:type="pct"/>
            <w:tcBorders>
              <w:top w:val="nil"/>
              <w:left w:val="nil"/>
              <w:right w:val="nil"/>
            </w:tcBorders>
            <w:shd w:val="clear" w:color="000000" w:fill="auto"/>
            <w:vAlign w:val="center"/>
          </w:tcPr>
          <w:p w14:paraId="4E5B75A3" w14:textId="237BB711"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21 442</w:t>
            </w:r>
          </w:p>
        </w:tc>
      </w:tr>
      <w:tr w:rsidR="006E050C" w:rsidRPr="00975467" w14:paraId="5E72D837" w14:textId="77777777" w:rsidTr="00241F33">
        <w:trPr>
          <w:trHeight w:hRule="exact" w:val="330"/>
          <w:jc w:val="center"/>
        </w:trPr>
        <w:tc>
          <w:tcPr>
            <w:tcW w:w="2670" w:type="pct"/>
            <w:tcBorders>
              <w:top w:val="nil"/>
              <w:left w:val="nil"/>
              <w:right w:val="nil"/>
            </w:tcBorders>
            <w:shd w:val="clear" w:color="000000" w:fill="auto"/>
            <w:vAlign w:val="center"/>
          </w:tcPr>
          <w:p w14:paraId="547F07D6" w14:textId="5C2AC810" w:rsidR="006E050C" w:rsidRPr="008E6183" w:rsidRDefault="006E050C" w:rsidP="006E050C">
            <w:pPr>
              <w:spacing w:after="0" w:line="240" w:lineRule="auto"/>
              <w:rPr>
                <w:rFonts w:ascii="Times New Roman" w:hAnsi="Times New Roman"/>
                <w:i/>
                <w:sz w:val="18"/>
                <w:szCs w:val="18"/>
                <w:lang w:eastAsia="sk-SK"/>
              </w:rPr>
            </w:pPr>
            <w:r w:rsidRPr="00C66720">
              <w:rPr>
                <w:rFonts w:ascii="Times New Roman" w:hAnsi="Times New Roman"/>
                <w:i/>
                <w:sz w:val="18"/>
                <w:szCs w:val="18"/>
                <w:lang w:eastAsia="sk-SK"/>
              </w:rPr>
              <w:t xml:space="preserve">            Venture to Future Fund, a.s.</w:t>
            </w:r>
          </w:p>
        </w:tc>
        <w:tc>
          <w:tcPr>
            <w:tcW w:w="705" w:type="pct"/>
            <w:tcBorders>
              <w:top w:val="nil"/>
              <w:left w:val="nil"/>
              <w:right w:val="nil"/>
            </w:tcBorders>
            <w:shd w:val="clear" w:color="000000" w:fill="auto"/>
            <w:vAlign w:val="center"/>
          </w:tcPr>
          <w:p w14:paraId="285C89B1" w14:textId="7049F330"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3 316</w:t>
            </w:r>
          </w:p>
        </w:tc>
        <w:tc>
          <w:tcPr>
            <w:tcW w:w="780" w:type="pct"/>
            <w:tcBorders>
              <w:top w:val="nil"/>
              <w:left w:val="nil"/>
              <w:right w:val="nil"/>
            </w:tcBorders>
            <w:shd w:val="clear" w:color="000000" w:fill="auto"/>
            <w:vAlign w:val="center"/>
          </w:tcPr>
          <w:p w14:paraId="011B02D4" w14:textId="60036F6C"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1 014</w:t>
            </w:r>
          </w:p>
        </w:tc>
        <w:tc>
          <w:tcPr>
            <w:tcW w:w="845" w:type="pct"/>
            <w:tcBorders>
              <w:top w:val="nil"/>
              <w:left w:val="nil"/>
              <w:right w:val="nil"/>
            </w:tcBorders>
            <w:shd w:val="clear" w:color="000000" w:fill="auto"/>
            <w:vAlign w:val="center"/>
          </w:tcPr>
          <w:p w14:paraId="044822FC" w14:textId="7ED66D27" w:rsidR="006E050C" w:rsidRPr="008E6183" w:rsidRDefault="006E050C" w:rsidP="006E050C">
            <w:pPr>
              <w:spacing w:after="0" w:line="240" w:lineRule="auto"/>
              <w:ind w:right="82"/>
              <w:jc w:val="right"/>
              <w:rPr>
                <w:rFonts w:ascii="Times New Roman" w:hAnsi="Times New Roman"/>
                <w:i/>
                <w:sz w:val="18"/>
                <w:szCs w:val="18"/>
                <w:lang w:eastAsia="sk-SK"/>
              </w:rPr>
            </w:pPr>
            <w:r w:rsidRPr="00C66720">
              <w:rPr>
                <w:rFonts w:ascii="Times New Roman" w:hAnsi="Times New Roman"/>
                <w:i/>
                <w:sz w:val="18"/>
                <w:szCs w:val="18"/>
                <w:lang w:eastAsia="sk-SK"/>
              </w:rPr>
              <w:t>2 302</w:t>
            </w:r>
          </w:p>
        </w:tc>
      </w:tr>
      <w:tr w:rsidR="006E050C" w:rsidRPr="00975467" w14:paraId="1DEA4F37" w14:textId="77777777" w:rsidTr="00241F33">
        <w:trPr>
          <w:trHeight w:hRule="exact" w:val="330"/>
          <w:jc w:val="center"/>
        </w:trPr>
        <w:tc>
          <w:tcPr>
            <w:tcW w:w="2670" w:type="pct"/>
            <w:tcBorders>
              <w:top w:val="nil"/>
              <w:left w:val="nil"/>
              <w:right w:val="nil"/>
            </w:tcBorders>
            <w:shd w:val="clear" w:color="000000" w:fill="auto"/>
            <w:vAlign w:val="center"/>
          </w:tcPr>
          <w:p w14:paraId="76DDA3EE" w14:textId="03267918" w:rsidR="006E050C" w:rsidRPr="008E6183" w:rsidRDefault="006E050C" w:rsidP="006E050C">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Termínované účty v bankách</w:t>
            </w:r>
          </w:p>
        </w:tc>
        <w:tc>
          <w:tcPr>
            <w:tcW w:w="705" w:type="pct"/>
            <w:tcBorders>
              <w:top w:val="nil"/>
              <w:left w:val="nil"/>
              <w:right w:val="nil"/>
            </w:tcBorders>
            <w:shd w:val="clear" w:color="000000" w:fill="auto"/>
            <w:vAlign w:val="center"/>
          </w:tcPr>
          <w:p w14:paraId="2FE6DC45" w14:textId="76002E03"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sz w:val="18"/>
                <w:szCs w:val="18"/>
                <w:lang w:eastAsia="sk-SK"/>
              </w:rPr>
              <w:t>25 802</w:t>
            </w:r>
          </w:p>
        </w:tc>
        <w:tc>
          <w:tcPr>
            <w:tcW w:w="780" w:type="pct"/>
            <w:tcBorders>
              <w:top w:val="nil"/>
              <w:left w:val="nil"/>
              <w:right w:val="nil"/>
            </w:tcBorders>
            <w:shd w:val="clear" w:color="000000" w:fill="auto"/>
            <w:vAlign w:val="center"/>
          </w:tcPr>
          <w:p w14:paraId="469D11D1" w14:textId="7FF20DF1"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sz w:val="18"/>
                <w:szCs w:val="18"/>
                <w:lang w:eastAsia="sk-SK"/>
              </w:rPr>
              <w:t>28 079</w:t>
            </w:r>
          </w:p>
        </w:tc>
        <w:tc>
          <w:tcPr>
            <w:tcW w:w="845" w:type="pct"/>
            <w:tcBorders>
              <w:top w:val="nil"/>
              <w:left w:val="nil"/>
              <w:right w:val="nil"/>
            </w:tcBorders>
            <w:shd w:val="clear" w:color="000000" w:fill="auto"/>
            <w:vAlign w:val="center"/>
          </w:tcPr>
          <w:p w14:paraId="12C15519" w14:textId="040DDA34"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sz w:val="18"/>
                <w:szCs w:val="18"/>
                <w:lang w:eastAsia="sk-SK"/>
              </w:rPr>
              <w:t>-2 277</w:t>
            </w:r>
          </w:p>
        </w:tc>
      </w:tr>
      <w:tr w:rsidR="006E050C" w:rsidRPr="00975467" w14:paraId="57B4EB8F" w14:textId="77777777" w:rsidTr="00241F33">
        <w:trPr>
          <w:trHeight w:hRule="exact" w:val="330"/>
          <w:jc w:val="center"/>
        </w:trPr>
        <w:tc>
          <w:tcPr>
            <w:tcW w:w="2670" w:type="pct"/>
            <w:tcBorders>
              <w:top w:val="nil"/>
              <w:left w:val="nil"/>
              <w:right w:val="nil"/>
            </w:tcBorders>
            <w:shd w:val="clear" w:color="000000" w:fill="auto"/>
            <w:vAlign w:val="center"/>
          </w:tcPr>
          <w:p w14:paraId="40EDAE1F" w14:textId="2278B5EA" w:rsidR="006E050C" w:rsidRPr="008E6183" w:rsidRDefault="006E050C" w:rsidP="006E050C">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Ostatný dlhodobý finančný majetok</w:t>
            </w:r>
          </w:p>
        </w:tc>
        <w:tc>
          <w:tcPr>
            <w:tcW w:w="705" w:type="pct"/>
            <w:tcBorders>
              <w:top w:val="nil"/>
              <w:left w:val="nil"/>
              <w:right w:val="nil"/>
            </w:tcBorders>
            <w:shd w:val="clear" w:color="000000" w:fill="auto"/>
            <w:vAlign w:val="center"/>
          </w:tcPr>
          <w:p w14:paraId="793DBD7D" w14:textId="05DB4C72"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sz w:val="18"/>
                <w:szCs w:val="18"/>
                <w:lang w:eastAsia="sk-SK"/>
              </w:rPr>
              <w:t>1 256 800</w:t>
            </w:r>
          </w:p>
        </w:tc>
        <w:tc>
          <w:tcPr>
            <w:tcW w:w="780" w:type="pct"/>
            <w:tcBorders>
              <w:top w:val="nil"/>
              <w:left w:val="nil"/>
              <w:right w:val="nil"/>
            </w:tcBorders>
            <w:shd w:val="clear" w:color="000000" w:fill="auto"/>
            <w:vAlign w:val="center"/>
          </w:tcPr>
          <w:p w14:paraId="509B69A2" w14:textId="140F9B1C"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sz w:val="18"/>
                <w:szCs w:val="18"/>
                <w:lang w:eastAsia="sk-SK"/>
              </w:rPr>
              <w:t>1 216 161</w:t>
            </w:r>
          </w:p>
        </w:tc>
        <w:tc>
          <w:tcPr>
            <w:tcW w:w="845" w:type="pct"/>
            <w:tcBorders>
              <w:top w:val="nil"/>
              <w:left w:val="nil"/>
              <w:right w:val="nil"/>
            </w:tcBorders>
            <w:shd w:val="clear" w:color="000000" w:fill="auto"/>
            <w:vAlign w:val="center"/>
          </w:tcPr>
          <w:p w14:paraId="75304430" w14:textId="35BE2CDB" w:rsidR="006E050C" w:rsidRPr="008E6183" w:rsidRDefault="006E050C" w:rsidP="006E050C">
            <w:pPr>
              <w:spacing w:after="0" w:line="240" w:lineRule="auto"/>
              <w:ind w:right="82"/>
              <w:jc w:val="right"/>
              <w:rPr>
                <w:rFonts w:ascii="Times New Roman" w:hAnsi="Times New Roman"/>
                <w:sz w:val="18"/>
                <w:szCs w:val="18"/>
                <w:lang w:eastAsia="sk-SK"/>
              </w:rPr>
            </w:pPr>
            <w:r w:rsidRPr="00C66720">
              <w:rPr>
                <w:rFonts w:ascii="Times New Roman" w:hAnsi="Times New Roman"/>
                <w:sz w:val="18"/>
                <w:szCs w:val="18"/>
                <w:lang w:eastAsia="sk-SK"/>
              </w:rPr>
              <w:t>40 639</w:t>
            </w:r>
          </w:p>
        </w:tc>
      </w:tr>
      <w:tr w:rsidR="006E050C" w:rsidRPr="00975467" w14:paraId="06C1522F" w14:textId="77777777" w:rsidTr="00241F33">
        <w:trPr>
          <w:trHeight w:hRule="exact" w:val="267"/>
          <w:jc w:val="center"/>
        </w:trPr>
        <w:tc>
          <w:tcPr>
            <w:tcW w:w="2670" w:type="pct"/>
            <w:tcBorders>
              <w:top w:val="nil"/>
              <w:left w:val="nil"/>
              <w:bottom w:val="single" w:sz="4" w:space="0" w:color="000000"/>
              <w:right w:val="nil"/>
            </w:tcBorders>
            <w:shd w:val="clear" w:color="000000" w:fill="auto"/>
            <w:vAlign w:val="center"/>
          </w:tcPr>
          <w:p w14:paraId="52BDAC2F" w14:textId="2E496C95" w:rsidR="006E050C" w:rsidRPr="008E6183" w:rsidRDefault="006E050C" w:rsidP="006E050C">
            <w:pPr>
              <w:spacing w:after="0" w:line="240" w:lineRule="auto"/>
              <w:rPr>
                <w:rFonts w:ascii="Times New Roman" w:hAnsi="Times New Roman"/>
                <w:b/>
                <w:bCs/>
                <w:sz w:val="18"/>
                <w:szCs w:val="18"/>
                <w:lang w:eastAsia="sk-SK"/>
              </w:rPr>
            </w:pPr>
            <w:r w:rsidRPr="00C66720">
              <w:rPr>
                <w:rFonts w:ascii="Times New Roman" w:hAnsi="Times New Roman"/>
                <w:i/>
                <w:sz w:val="18"/>
                <w:szCs w:val="18"/>
                <w:lang w:eastAsia="sk-SK"/>
              </w:rPr>
              <w:t>Z toho: Podiely v medzinárodných finančných inštitúciách</w:t>
            </w:r>
          </w:p>
        </w:tc>
        <w:tc>
          <w:tcPr>
            <w:tcW w:w="705" w:type="pct"/>
            <w:tcBorders>
              <w:top w:val="nil"/>
              <w:left w:val="nil"/>
              <w:bottom w:val="single" w:sz="4" w:space="0" w:color="000000"/>
              <w:right w:val="nil"/>
            </w:tcBorders>
            <w:shd w:val="clear" w:color="000000" w:fill="auto"/>
            <w:vAlign w:val="center"/>
          </w:tcPr>
          <w:p w14:paraId="51835BBE" w14:textId="17FCFC65" w:rsidR="006E050C" w:rsidRPr="008E6183" w:rsidRDefault="006E050C" w:rsidP="006E050C">
            <w:pPr>
              <w:spacing w:after="0" w:line="240" w:lineRule="auto"/>
              <w:ind w:right="82"/>
              <w:jc w:val="right"/>
              <w:rPr>
                <w:rFonts w:ascii="Times New Roman" w:hAnsi="Times New Roman"/>
                <w:bCs/>
                <w:i/>
                <w:sz w:val="18"/>
                <w:szCs w:val="18"/>
                <w:lang w:eastAsia="sk-SK"/>
              </w:rPr>
            </w:pPr>
            <w:r w:rsidRPr="00C66720">
              <w:rPr>
                <w:rFonts w:ascii="Times New Roman" w:hAnsi="Times New Roman"/>
                <w:bCs/>
                <w:i/>
                <w:sz w:val="18"/>
                <w:szCs w:val="18"/>
                <w:lang w:eastAsia="sk-SK"/>
              </w:rPr>
              <w:t>1 091 578</w:t>
            </w:r>
          </w:p>
        </w:tc>
        <w:tc>
          <w:tcPr>
            <w:tcW w:w="780" w:type="pct"/>
            <w:tcBorders>
              <w:top w:val="nil"/>
              <w:left w:val="nil"/>
              <w:bottom w:val="single" w:sz="4" w:space="0" w:color="000000"/>
              <w:right w:val="nil"/>
            </w:tcBorders>
            <w:shd w:val="clear" w:color="000000" w:fill="auto"/>
            <w:vAlign w:val="center"/>
          </w:tcPr>
          <w:p w14:paraId="37636B9B" w14:textId="5F6B7905" w:rsidR="006E050C" w:rsidRPr="008E6183" w:rsidRDefault="006E050C" w:rsidP="006E050C">
            <w:pPr>
              <w:spacing w:after="0" w:line="240" w:lineRule="auto"/>
              <w:ind w:right="82"/>
              <w:jc w:val="right"/>
              <w:rPr>
                <w:rFonts w:ascii="Times New Roman" w:hAnsi="Times New Roman"/>
                <w:bCs/>
                <w:i/>
                <w:sz w:val="18"/>
                <w:szCs w:val="18"/>
                <w:lang w:eastAsia="sk-SK"/>
              </w:rPr>
            </w:pPr>
            <w:r w:rsidRPr="00C66720">
              <w:rPr>
                <w:rFonts w:ascii="Times New Roman" w:hAnsi="Times New Roman"/>
                <w:bCs/>
                <w:i/>
                <w:sz w:val="18"/>
                <w:szCs w:val="18"/>
                <w:lang w:eastAsia="sk-SK"/>
              </w:rPr>
              <w:t>1 081 341</w:t>
            </w:r>
          </w:p>
        </w:tc>
        <w:tc>
          <w:tcPr>
            <w:tcW w:w="845" w:type="pct"/>
            <w:tcBorders>
              <w:top w:val="nil"/>
              <w:left w:val="nil"/>
              <w:bottom w:val="single" w:sz="4" w:space="0" w:color="000000"/>
              <w:right w:val="nil"/>
            </w:tcBorders>
            <w:shd w:val="clear" w:color="000000" w:fill="auto"/>
            <w:vAlign w:val="center"/>
          </w:tcPr>
          <w:p w14:paraId="7C23DC24" w14:textId="7F978849" w:rsidR="006E050C" w:rsidRPr="008E6183" w:rsidRDefault="006E050C" w:rsidP="006E050C">
            <w:pPr>
              <w:spacing w:after="0" w:line="240" w:lineRule="auto"/>
              <w:ind w:right="82"/>
              <w:jc w:val="right"/>
              <w:rPr>
                <w:rFonts w:ascii="Times New Roman" w:hAnsi="Times New Roman"/>
                <w:bCs/>
                <w:i/>
                <w:sz w:val="18"/>
                <w:szCs w:val="18"/>
                <w:lang w:eastAsia="sk-SK"/>
              </w:rPr>
            </w:pPr>
            <w:r w:rsidRPr="00C66720">
              <w:rPr>
                <w:rFonts w:ascii="Times New Roman" w:hAnsi="Times New Roman"/>
                <w:bCs/>
                <w:i/>
                <w:sz w:val="18"/>
                <w:szCs w:val="18"/>
                <w:lang w:eastAsia="sk-SK"/>
              </w:rPr>
              <w:t>10 237</w:t>
            </w:r>
          </w:p>
        </w:tc>
      </w:tr>
      <w:tr w:rsidR="006E050C" w:rsidRPr="00975467" w14:paraId="08610EE9" w14:textId="77777777" w:rsidTr="00241F33">
        <w:trPr>
          <w:trHeight w:hRule="exact" w:val="330"/>
          <w:jc w:val="center"/>
        </w:trPr>
        <w:tc>
          <w:tcPr>
            <w:tcW w:w="2670" w:type="pct"/>
            <w:tcBorders>
              <w:top w:val="nil"/>
              <w:left w:val="nil"/>
              <w:bottom w:val="single" w:sz="4" w:space="0" w:color="000000"/>
              <w:right w:val="nil"/>
            </w:tcBorders>
            <w:shd w:val="clear" w:color="000000" w:fill="auto"/>
            <w:vAlign w:val="center"/>
          </w:tcPr>
          <w:p w14:paraId="417A875A" w14:textId="73544C48" w:rsidR="006E050C" w:rsidRPr="008E6183" w:rsidRDefault="006E050C" w:rsidP="006E050C">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705" w:type="pct"/>
            <w:tcBorders>
              <w:top w:val="nil"/>
              <w:left w:val="nil"/>
              <w:bottom w:val="single" w:sz="4" w:space="0" w:color="000000"/>
              <w:right w:val="nil"/>
            </w:tcBorders>
            <w:shd w:val="clear" w:color="000000" w:fill="auto"/>
            <w:vAlign w:val="center"/>
          </w:tcPr>
          <w:p w14:paraId="14A75CF7" w14:textId="03FF586D" w:rsidR="006E050C" w:rsidRPr="008E6183" w:rsidRDefault="006E050C" w:rsidP="006E050C">
            <w:pPr>
              <w:spacing w:after="0" w:line="240" w:lineRule="auto"/>
              <w:ind w:right="82"/>
              <w:jc w:val="right"/>
              <w:rPr>
                <w:rFonts w:ascii="Times New Roman" w:hAnsi="Times New Roman"/>
                <w:b/>
                <w:bCs/>
                <w:sz w:val="18"/>
                <w:szCs w:val="18"/>
                <w:lang w:eastAsia="sk-SK"/>
              </w:rPr>
            </w:pPr>
            <w:r w:rsidRPr="00C66720">
              <w:rPr>
                <w:rFonts w:ascii="Times New Roman" w:hAnsi="Times New Roman"/>
                <w:b/>
                <w:bCs/>
                <w:sz w:val="18"/>
                <w:szCs w:val="18"/>
                <w:lang w:eastAsia="sk-SK"/>
              </w:rPr>
              <w:t>7 227 465</w:t>
            </w:r>
          </w:p>
        </w:tc>
        <w:tc>
          <w:tcPr>
            <w:tcW w:w="780" w:type="pct"/>
            <w:tcBorders>
              <w:top w:val="nil"/>
              <w:left w:val="nil"/>
              <w:bottom w:val="single" w:sz="4" w:space="0" w:color="000000"/>
              <w:right w:val="nil"/>
            </w:tcBorders>
            <w:shd w:val="clear" w:color="000000" w:fill="auto"/>
            <w:vAlign w:val="center"/>
          </w:tcPr>
          <w:p w14:paraId="73A63E54" w14:textId="75F00138" w:rsidR="006E050C" w:rsidRPr="008E6183" w:rsidRDefault="006E050C" w:rsidP="006E050C">
            <w:pPr>
              <w:spacing w:after="0" w:line="240" w:lineRule="auto"/>
              <w:ind w:right="82"/>
              <w:jc w:val="right"/>
              <w:rPr>
                <w:rFonts w:ascii="Times New Roman" w:hAnsi="Times New Roman"/>
                <w:b/>
                <w:bCs/>
                <w:sz w:val="18"/>
                <w:szCs w:val="18"/>
                <w:lang w:eastAsia="sk-SK"/>
              </w:rPr>
            </w:pPr>
            <w:r w:rsidRPr="00C66720">
              <w:rPr>
                <w:rFonts w:ascii="Times New Roman" w:hAnsi="Times New Roman"/>
                <w:b/>
                <w:bCs/>
                <w:sz w:val="18"/>
                <w:szCs w:val="18"/>
                <w:lang w:eastAsia="sk-SK"/>
              </w:rPr>
              <w:t>6 597 593</w:t>
            </w:r>
          </w:p>
        </w:tc>
        <w:tc>
          <w:tcPr>
            <w:tcW w:w="845" w:type="pct"/>
            <w:tcBorders>
              <w:top w:val="nil"/>
              <w:left w:val="nil"/>
              <w:bottom w:val="single" w:sz="4" w:space="0" w:color="000000"/>
              <w:right w:val="nil"/>
            </w:tcBorders>
            <w:shd w:val="clear" w:color="000000" w:fill="auto"/>
            <w:vAlign w:val="center"/>
          </w:tcPr>
          <w:p w14:paraId="4BB20B1C" w14:textId="136BC752" w:rsidR="006E050C" w:rsidRPr="008E6183" w:rsidRDefault="006E050C" w:rsidP="006E050C">
            <w:pPr>
              <w:spacing w:after="0" w:line="240" w:lineRule="auto"/>
              <w:ind w:right="82"/>
              <w:jc w:val="right"/>
              <w:rPr>
                <w:rFonts w:ascii="Times New Roman" w:hAnsi="Times New Roman"/>
                <w:b/>
                <w:bCs/>
                <w:sz w:val="18"/>
                <w:szCs w:val="18"/>
                <w:lang w:eastAsia="sk-SK"/>
              </w:rPr>
            </w:pPr>
            <w:r w:rsidRPr="00C66720">
              <w:rPr>
                <w:rFonts w:ascii="Times New Roman" w:hAnsi="Times New Roman"/>
                <w:b/>
                <w:bCs/>
                <w:sz w:val="18"/>
                <w:szCs w:val="18"/>
                <w:lang w:eastAsia="sk-SK"/>
              </w:rPr>
              <w:t>629 872</w:t>
            </w:r>
          </w:p>
        </w:tc>
      </w:tr>
    </w:tbl>
    <w:p w14:paraId="0E85BD0A" w14:textId="77777777" w:rsidR="00C94C05" w:rsidRDefault="00C94C05" w:rsidP="00C94C05">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74F33F7F" w14:textId="26FA14F0" w:rsidR="00FB12DC" w:rsidRPr="00C66720" w:rsidRDefault="00FB12DC" w:rsidP="00BA09BB">
      <w:pPr>
        <w:pStyle w:val="Pismenka"/>
        <w:numPr>
          <w:ilvl w:val="0"/>
          <w:numId w:val="44"/>
        </w:numPr>
        <w:spacing w:before="240" w:after="120"/>
        <w:ind w:left="284" w:hanging="284"/>
        <w:rPr>
          <w:i/>
          <w:sz w:val="22"/>
          <w:szCs w:val="22"/>
          <w:u w:val="single"/>
        </w:rPr>
      </w:pPr>
      <w:bookmarkStart w:id="13" w:name="_Ref86091437"/>
      <w:r w:rsidRPr="00C66720">
        <w:rPr>
          <w:i/>
          <w:sz w:val="22"/>
          <w:szCs w:val="22"/>
          <w:u w:val="single"/>
        </w:rPr>
        <w:t>Cenné papiere a podiely</w:t>
      </w:r>
      <w:bookmarkEnd w:id="13"/>
    </w:p>
    <w:p w14:paraId="2A95434C" w14:textId="77777777" w:rsidR="00B66897" w:rsidRPr="00C66720" w:rsidRDefault="00B66897" w:rsidP="00B66897">
      <w:pPr>
        <w:spacing w:before="240" w:after="120" w:line="240" w:lineRule="auto"/>
        <w:jc w:val="both"/>
        <w:rPr>
          <w:rFonts w:ascii="Times New Roman" w:hAnsi="Times New Roman"/>
          <w:i/>
          <w:color w:val="FF0000"/>
          <w:szCs w:val="22"/>
          <w:u w:val="single"/>
          <w:lang w:eastAsia="sk-SK"/>
        </w:rPr>
      </w:pPr>
      <w:r w:rsidRPr="00C66720">
        <w:rPr>
          <w:rFonts w:ascii="Times New Roman" w:hAnsi="Times New Roman"/>
          <w:i/>
          <w:szCs w:val="22"/>
          <w:u w:val="single"/>
          <w:lang w:eastAsia="sk-SK"/>
        </w:rPr>
        <w:t>Podielové cenné papiere a podiely v spoločnosti s podstatným vplyvom</w:t>
      </w:r>
    </w:p>
    <w:p w14:paraId="3B438B9C" w14:textId="3DA57D8F" w:rsidR="00B66897" w:rsidRPr="00C66720" w:rsidRDefault="00B66897" w:rsidP="00B66897">
      <w:pPr>
        <w:spacing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V rámci tejto položky dlhodobého finančného majetku sa vykazujú majetkové účasti v iných obchodných spoločnostiach, ktoré predstavujú 20 až 50% podiel na ich </w:t>
      </w:r>
      <w:r w:rsidR="00B44CAA">
        <w:rPr>
          <w:rFonts w:ascii="Times New Roman" w:hAnsi="Times New Roman"/>
          <w:szCs w:val="22"/>
          <w:lang w:eastAsia="sk-SK"/>
        </w:rPr>
        <w:t>základnom</w:t>
      </w:r>
      <w:r w:rsidR="00B44CAA" w:rsidRPr="00C66720">
        <w:rPr>
          <w:rFonts w:ascii="Times New Roman" w:hAnsi="Times New Roman"/>
          <w:szCs w:val="22"/>
          <w:lang w:eastAsia="sk-SK"/>
        </w:rPr>
        <w:t xml:space="preserve"> </w:t>
      </w:r>
      <w:r w:rsidRPr="00C66720">
        <w:rPr>
          <w:rFonts w:ascii="Times New Roman" w:hAnsi="Times New Roman"/>
          <w:szCs w:val="22"/>
          <w:lang w:eastAsia="sk-SK"/>
        </w:rPr>
        <w:t>imaní a účtovná jednotka nie je definovaná ako spoločná účtovná jednotka dvoch alebo viacerých účtovných jednotiek súhrnného celku.</w:t>
      </w:r>
    </w:p>
    <w:p w14:paraId="294FB7B7" w14:textId="77777777" w:rsidR="00B66897" w:rsidRPr="00C66720" w:rsidRDefault="00B66897" w:rsidP="00B66897">
      <w:pPr>
        <w:spacing w:after="120" w:line="240" w:lineRule="auto"/>
        <w:jc w:val="both"/>
        <w:rPr>
          <w:rFonts w:ascii="Times New Roman" w:hAnsi="Times New Roman"/>
          <w:szCs w:val="22"/>
          <w:lang w:eastAsia="sk-SK"/>
        </w:rPr>
      </w:pPr>
      <w:r w:rsidRPr="00C66720">
        <w:rPr>
          <w:rFonts w:ascii="Times New Roman" w:hAnsi="Times New Roman"/>
          <w:szCs w:val="22"/>
          <w:lang w:eastAsia="sk-SK"/>
        </w:rPr>
        <w:t>Rozhodujúcu hodnotu predstavujú podiely obchodných spoločností štátu v iných podnikateľských subjektoch (tzv. obchodné spoločnosti v druhom resp. treťom rade). Tieto podiely sú v niektorých podnikoch štátu vykázané na základe konsolidovanej účtovnej závierky a precenené metódou vlastného imania.</w:t>
      </w:r>
    </w:p>
    <w:p w14:paraId="7247AB5D" w14:textId="113BD648" w:rsidR="00B66897" w:rsidRPr="00C66720" w:rsidRDefault="00B66897" w:rsidP="00B66897">
      <w:pPr>
        <w:spacing w:after="0" w:line="240" w:lineRule="auto"/>
        <w:jc w:val="both"/>
        <w:rPr>
          <w:rFonts w:ascii="Times New Roman" w:hAnsi="Times New Roman"/>
          <w:szCs w:val="22"/>
          <w:lang w:eastAsia="sk-SK"/>
        </w:rPr>
      </w:pPr>
      <w:r w:rsidRPr="00C66720">
        <w:rPr>
          <w:rFonts w:ascii="Times New Roman" w:hAnsi="Times New Roman"/>
          <w:szCs w:val="22"/>
          <w:lang w:eastAsia="sk-SK"/>
        </w:rPr>
        <w:t>Dlhodobý finančný majetok vo forme týchto podielov dosiahol sumu 3</w:t>
      </w:r>
      <w:r w:rsidR="00374AEA" w:rsidRPr="00C66720">
        <w:rPr>
          <w:rFonts w:ascii="Times New Roman" w:hAnsi="Times New Roman"/>
          <w:szCs w:val="22"/>
          <w:lang w:eastAsia="sk-SK"/>
        </w:rPr>
        <w:t> 423 272</w:t>
      </w:r>
      <w:r w:rsidRPr="00C66720">
        <w:rPr>
          <w:rFonts w:ascii="Times New Roman" w:hAnsi="Times New Roman"/>
          <w:szCs w:val="22"/>
          <w:lang w:eastAsia="sk-SK"/>
        </w:rPr>
        <w:t xml:space="preserve"> tis. eur a medziročne sa hodnota </w:t>
      </w:r>
      <w:r w:rsidR="006C08B7" w:rsidRPr="00C66720">
        <w:rPr>
          <w:rFonts w:ascii="Times New Roman" w:hAnsi="Times New Roman"/>
          <w:szCs w:val="22"/>
          <w:lang w:eastAsia="sk-SK"/>
        </w:rPr>
        <w:t>zvýšila</w:t>
      </w:r>
      <w:r w:rsidRPr="00C66720">
        <w:rPr>
          <w:rFonts w:ascii="Times New Roman" w:hAnsi="Times New Roman"/>
          <w:szCs w:val="22"/>
          <w:lang w:eastAsia="sk-SK"/>
        </w:rPr>
        <w:t xml:space="preserve"> o</w:t>
      </w:r>
      <w:r w:rsidR="006C08B7" w:rsidRPr="00C66720">
        <w:rPr>
          <w:rFonts w:ascii="Times New Roman" w:hAnsi="Times New Roman"/>
          <w:szCs w:val="22"/>
          <w:lang w:eastAsia="sk-SK"/>
        </w:rPr>
        <w:t> 405 596</w:t>
      </w:r>
      <w:r w:rsidRPr="00C66720">
        <w:rPr>
          <w:rFonts w:ascii="Times New Roman" w:hAnsi="Times New Roman"/>
          <w:szCs w:val="22"/>
          <w:lang w:eastAsia="sk-SK"/>
        </w:rPr>
        <w:t xml:space="preserve"> tis. eur. Z celkovej hodnoty týchto podielov vykazuje ústredná správa viac ako 94 %,</w:t>
      </w:r>
      <w:r w:rsidRPr="00C66720">
        <w:rPr>
          <w:rFonts w:ascii="Times New Roman" w:hAnsi="Times New Roman"/>
          <w:color w:val="FF0000"/>
          <w:szCs w:val="22"/>
          <w:lang w:eastAsia="sk-SK"/>
        </w:rPr>
        <w:t xml:space="preserve"> </w:t>
      </w:r>
      <w:r w:rsidRPr="00C66720">
        <w:rPr>
          <w:rFonts w:ascii="Times New Roman" w:hAnsi="Times New Roman"/>
          <w:szCs w:val="22"/>
          <w:lang w:eastAsia="sk-SK"/>
        </w:rPr>
        <w:t xml:space="preserve">čo predstavuje </w:t>
      </w:r>
      <w:r w:rsidR="006C08B7" w:rsidRPr="00C66720">
        <w:rPr>
          <w:rFonts w:ascii="Times New Roman" w:hAnsi="Times New Roman"/>
          <w:szCs w:val="22"/>
          <w:lang w:eastAsia="sk-SK"/>
        </w:rPr>
        <w:t>3 242 624</w:t>
      </w:r>
      <w:r w:rsidRPr="00C66720">
        <w:rPr>
          <w:rFonts w:ascii="Times New Roman" w:hAnsi="Times New Roman"/>
          <w:szCs w:val="22"/>
          <w:lang w:eastAsia="sk-SK"/>
        </w:rPr>
        <w:t xml:space="preserve"> tis. eur, a z nej hlavne Ministerstvo hospodárstva SR  </w:t>
      </w:r>
      <w:r w:rsidRPr="00C66720">
        <w:rPr>
          <w:rFonts w:ascii="Times New Roman" w:hAnsi="Times New Roman"/>
          <w:szCs w:val="22"/>
          <w:lang w:eastAsia="sk-SK"/>
        </w:rPr>
        <w:br/>
        <w:t>1</w:t>
      </w:r>
      <w:r w:rsidR="00C94B3B" w:rsidRPr="00C66720">
        <w:rPr>
          <w:rFonts w:ascii="Times New Roman" w:hAnsi="Times New Roman"/>
          <w:szCs w:val="22"/>
          <w:lang w:eastAsia="sk-SK"/>
        </w:rPr>
        <w:t> 512 089</w:t>
      </w:r>
      <w:r w:rsidRPr="00C66720">
        <w:rPr>
          <w:rFonts w:ascii="Times New Roman" w:hAnsi="Times New Roman"/>
          <w:szCs w:val="22"/>
          <w:lang w:eastAsia="sk-SK"/>
        </w:rPr>
        <w:t xml:space="preserve"> tis. eur (podiely v energetických spoločnostiach) a SPP, a.s. 1</w:t>
      </w:r>
      <w:r w:rsidR="00C94B3B" w:rsidRPr="00C66720">
        <w:rPr>
          <w:rFonts w:ascii="Times New Roman" w:hAnsi="Times New Roman"/>
          <w:szCs w:val="22"/>
          <w:lang w:eastAsia="sk-SK"/>
        </w:rPr>
        <w:t> 486 650</w:t>
      </w:r>
      <w:r w:rsidRPr="00C66720">
        <w:rPr>
          <w:rFonts w:ascii="Times New Roman" w:hAnsi="Times New Roman"/>
          <w:szCs w:val="22"/>
          <w:lang w:eastAsia="sk-SK"/>
        </w:rPr>
        <w:t xml:space="preserve"> tis. eur, JAVYS, a. s. vykázal hodnotu podielu v spoločnosti JESS, a.s. vo výške </w:t>
      </w:r>
      <w:r w:rsidR="004C60CF" w:rsidRPr="00C66720">
        <w:rPr>
          <w:rFonts w:ascii="Times New Roman" w:hAnsi="Times New Roman"/>
          <w:szCs w:val="22"/>
          <w:lang w:eastAsia="sk-SK"/>
        </w:rPr>
        <w:br/>
      </w:r>
      <w:r w:rsidR="00C94B3B" w:rsidRPr="00C66720">
        <w:rPr>
          <w:rFonts w:ascii="Times New Roman" w:hAnsi="Times New Roman"/>
          <w:szCs w:val="22"/>
          <w:lang w:eastAsia="sk-SK"/>
        </w:rPr>
        <w:t>103 386</w:t>
      </w:r>
      <w:r w:rsidRPr="00C66720">
        <w:rPr>
          <w:rFonts w:ascii="Times New Roman" w:hAnsi="Times New Roman"/>
          <w:szCs w:val="22"/>
          <w:lang w:eastAsia="sk-SK"/>
        </w:rPr>
        <w:t xml:space="preserve"> tis. eur a MH Manažment, a.s. vykázal hodnotu svojich podielov vo výške </w:t>
      </w:r>
      <w:r w:rsidR="00C94B3B" w:rsidRPr="00C66720">
        <w:rPr>
          <w:rFonts w:ascii="Times New Roman" w:hAnsi="Times New Roman"/>
          <w:szCs w:val="22"/>
          <w:lang w:eastAsia="sk-SK"/>
        </w:rPr>
        <w:t>54 369</w:t>
      </w:r>
      <w:r w:rsidRPr="00C66720">
        <w:rPr>
          <w:rFonts w:ascii="Times New Roman" w:hAnsi="Times New Roman"/>
          <w:szCs w:val="22"/>
          <w:lang w:eastAsia="sk-SK"/>
        </w:rPr>
        <w:t xml:space="preserve"> tis. eur. Významnú hodnotu vykazujú aj jednotky v rámci kapitoly Ministerstva dopravy SR </w:t>
      </w:r>
      <w:r w:rsidR="004C60CF" w:rsidRPr="00C66720">
        <w:rPr>
          <w:rFonts w:ascii="Times New Roman" w:hAnsi="Times New Roman"/>
          <w:szCs w:val="22"/>
          <w:lang w:eastAsia="sk-SK"/>
        </w:rPr>
        <w:br/>
      </w:r>
      <w:r w:rsidRPr="00C66720">
        <w:rPr>
          <w:rFonts w:ascii="Times New Roman" w:hAnsi="Times New Roman"/>
          <w:szCs w:val="22"/>
          <w:lang w:eastAsia="sk-SK"/>
        </w:rPr>
        <w:t>(</w:t>
      </w:r>
      <w:r w:rsidR="00C94B3B" w:rsidRPr="00C66720">
        <w:rPr>
          <w:rFonts w:ascii="Times New Roman" w:hAnsi="Times New Roman"/>
          <w:szCs w:val="22"/>
          <w:lang w:eastAsia="sk-SK"/>
        </w:rPr>
        <w:t>60 563</w:t>
      </w:r>
      <w:r w:rsidRPr="00C66720">
        <w:rPr>
          <w:rFonts w:ascii="Times New Roman" w:hAnsi="Times New Roman"/>
          <w:szCs w:val="22"/>
          <w:lang w:eastAsia="sk-SK"/>
        </w:rPr>
        <w:t xml:space="preserve"> tis. eur), a v rámci nich hlavne Ministerstvo dopravy SR </w:t>
      </w:r>
      <w:r w:rsidR="00C94B3B" w:rsidRPr="00C66720">
        <w:rPr>
          <w:rFonts w:ascii="Times New Roman" w:hAnsi="Times New Roman"/>
          <w:szCs w:val="22"/>
          <w:lang w:eastAsia="sk-SK"/>
        </w:rPr>
        <w:t>27 273</w:t>
      </w:r>
      <w:r w:rsidRPr="00C66720">
        <w:rPr>
          <w:rFonts w:ascii="Times New Roman" w:hAnsi="Times New Roman"/>
          <w:szCs w:val="22"/>
          <w:lang w:eastAsia="sk-SK"/>
        </w:rPr>
        <w:t xml:space="preserve"> tis. eur (napríklad podiely v spoločnosti Letisko Košice – Airport Košice, a.s. 17 </w:t>
      </w:r>
      <w:r w:rsidR="00C94B3B" w:rsidRPr="00C66720">
        <w:rPr>
          <w:rFonts w:ascii="Times New Roman" w:hAnsi="Times New Roman"/>
          <w:szCs w:val="22"/>
          <w:lang w:eastAsia="sk-SK"/>
        </w:rPr>
        <w:t>921</w:t>
      </w:r>
      <w:r w:rsidRPr="00C66720">
        <w:rPr>
          <w:rFonts w:ascii="Times New Roman" w:hAnsi="Times New Roman"/>
          <w:szCs w:val="22"/>
          <w:lang w:eastAsia="sk-SK"/>
        </w:rPr>
        <w:t xml:space="preserve"> tis. eur, Metro Bratislava, a.s. </w:t>
      </w:r>
      <w:r w:rsidR="004C60CF" w:rsidRPr="00C66720">
        <w:rPr>
          <w:rFonts w:ascii="Times New Roman" w:hAnsi="Times New Roman"/>
          <w:szCs w:val="22"/>
          <w:lang w:eastAsia="sk-SK"/>
        </w:rPr>
        <w:br/>
      </w:r>
      <w:r w:rsidRPr="00C66720">
        <w:rPr>
          <w:rFonts w:ascii="Times New Roman" w:hAnsi="Times New Roman"/>
          <w:szCs w:val="22"/>
          <w:lang w:eastAsia="sk-SK"/>
        </w:rPr>
        <w:t>5 </w:t>
      </w:r>
      <w:r w:rsidR="00C94B3B" w:rsidRPr="00C66720">
        <w:rPr>
          <w:rFonts w:ascii="Times New Roman" w:hAnsi="Times New Roman"/>
          <w:szCs w:val="22"/>
          <w:lang w:eastAsia="sk-SK"/>
        </w:rPr>
        <w:t>558</w:t>
      </w:r>
      <w:r w:rsidRPr="00C66720">
        <w:rPr>
          <w:rFonts w:ascii="Times New Roman" w:hAnsi="Times New Roman"/>
          <w:szCs w:val="22"/>
          <w:lang w:eastAsia="sk-SK"/>
        </w:rPr>
        <w:t xml:space="preserve"> tis. eur, Letisko Piešťany, a.s. 3 794 tis. eur) a Železničná spoločnosť Cargo Slovakia, a.s. </w:t>
      </w:r>
      <w:r w:rsidR="004C60CF" w:rsidRPr="00C66720">
        <w:rPr>
          <w:rFonts w:ascii="Times New Roman" w:hAnsi="Times New Roman"/>
          <w:szCs w:val="22"/>
          <w:lang w:eastAsia="sk-SK"/>
        </w:rPr>
        <w:br/>
      </w:r>
      <w:r w:rsidRPr="00C66720">
        <w:rPr>
          <w:rFonts w:ascii="Times New Roman" w:hAnsi="Times New Roman"/>
          <w:szCs w:val="22"/>
          <w:lang w:eastAsia="sk-SK"/>
        </w:rPr>
        <w:t>(</w:t>
      </w:r>
      <w:r w:rsidR="00E40B92" w:rsidRPr="00C66720">
        <w:rPr>
          <w:rFonts w:ascii="Times New Roman" w:hAnsi="Times New Roman"/>
          <w:szCs w:val="22"/>
          <w:lang w:eastAsia="sk-SK"/>
        </w:rPr>
        <w:t>24 414</w:t>
      </w:r>
      <w:r w:rsidRPr="00C66720">
        <w:rPr>
          <w:rFonts w:ascii="Times New Roman" w:hAnsi="Times New Roman"/>
          <w:szCs w:val="22"/>
          <w:lang w:eastAsia="sk-SK"/>
        </w:rPr>
        <w:t xml:space="preserve"> tis. eur).</w:t>
      </w:r>
    </w:p>
    <w:p w14:paraId="5B8DF7BF" w14:textId="725DDD8E" w:rsidR="00526522" w:rsidRPr="00C66720" w:rsidRDefault="00B66897" w:rsidP="00CD532E">
      <w:pPr>
        <w:spacing w:before="120" w:after="0" w:line="240" w:lineRule="auto"/>
        <w:jc w:val="both"/>
        <w:rPr>
          <w:rFonts w:ascii="Times New Roman" w:hAnsi="Times New Roman"/>
          <w:szCs w:val="22"/>
          <w:lang w:eastAsia="sk-SK"/>
        </w:rPr>
      </w:pPr>
      <w:r w:rsidRPr="00C66720">
        <w:rPr>
          <w:rFonts w:ascii="Times New Roman" w:hAnsi="Times New Roman"/>
          <w:szCs w:val="22"/>
          <w:lang w:eastAsia="sk-SK"/>
        </w:rPr>
        <w:t xml:space="preserve">Hodnota týchto podielov je priamo závislá od hodnoty vlastného imania tej spoločnosti, v ktorej štát drží menšinové podiely priamo alebo nepriamo cez iné účastiny. Vlastné imanie obchodných spoločností je pritom ovplyvnené (pri nezmenenom základnom imaní) dosiahnutým výsledkom hospodárenia (zisk/strata), nevysporiadaným výsledkom minulých období, pričom ide hlavne o výsledok obchodnej činnosti, ale môžu ho ovplyvniť aj </w:t>
      </w:r>
      <w:r w:rsidR="00B44CAA">
        <w:rPr>
          <w:rFonts w:ascii="Times New Roman" w:hAnsi="Times New Roman"/>
          <w:szCs w:val="22"/>
          <w:lang w:eastAsia="sk-SK"/>
        </w:rPr>
        <w:t xml:space="preserve">precenenie majetku alebo zmena účtovnej </w:t>
      </w:r>
      <w:r w:rsidRPr="00C66720">
        <w:rPr>
          <w:rFonts w:ascii="Times New Roman" w:hAnsi="Times New Roman"/>
          <w:szCs w:val="22"/>
          <w:lang w:eastAsia="sk-SK"/>
        </w:rPr>
        <w:t xml:space="preserve">metódy. </w:t>
      </w:r>
    </w:p>
    <w:p w14:paraId="1A6D605D" w14:textId="16C6CF55" w:rsidR="00CD532E" w:rsidRPr="00C66720" w:rsidRDefault="00CD532E" w:rsidP="00CD532E">
      <w:pPr>
        <w:spacing w:before="120" w:after="0" w:line="240" w:lineRule="auto"/>
        <w:jc w:val="both"/>
        <w:rPr>
          <w:rFonts w:ascii="Times New Roman" w:hAnsi="Times New Roman"/>
          <w:szCs w:val="22"/>
          <w:lang w:eastAsia="sk-SK"/>
        </w:rPr>
      </w:pPr>
      <w:r w:rsidRPr="00C66720">
        <w:rPr>
          <w:rFonts w:ascii="Times New Roman" w:hAnsi="Times New Roman"/>
          <w:szCs w:val="22"/>
          <w:lang w:eastAsia="sk-SK"/>
        </w:rPr>
        <w:t>V prípade Slovenského plynárenského priemyslu, a.s. došlo k zvýšeniu hodnoty finančnej investície v spoločnost</w:t>
      </w:r>
      <w:r w:rsidR="00F3109E" w:rsidRPr="00C66720">
        <w:rPr>
          <w:rFonts w:ascii="Times New Roman" w:hAnsi="Times New Roman"/>
          <w:szCs w:val="22"/>
          <w:lang w:eastAsia="sk-SK"/>
        </w:rPr>
        <w:t>i</w:t>
      </w:r>
      <w:r w:rsidRPr="00C66720">
        <w:rPr>
          <w:rFonts w:ascii="Times New Roman" w:hAnsi="Times New Roman"/>
          <w:szCs w:val="22"/>
          <w:lang w:eastAsia="sk-SK"/>
        </w:rPr>
        <w:t>ach SPP Infrastructure a ESCO Slovensko o 316 523 tis. eur</w:t>
      </w:r>
      <w:r w:rsidR="0092714A">
        <w:rPr>
          <w:rFonts w:ascii="Times New Roman" w:hAnsi="Times New Roman"/>
          <w:szCs w:val="22"/>
          <w:lang w:eastAsia="sk-SK"/>
        </w:rPr>
        <w:t>, najmä vplyvom.....??</w:t>
      </w:r>
    </w:p>
    <w:p w14:paraId="4285FE5B" w14:textId="5C0DD626" w:rsidR="00B66897" w:rsidRPr="00C66720" w:rsidRDefault="00B66897" w:rsidP="00B66897">
      <w:pPr>
        <w:spacing w:before="120" w:after="0" w:line="240" w:lineRule="auto"/>
        <w:jc w:val="both"/>
        <w:rPr>
          <w:rFonts w:ascii="Times New Roman" w:hAnsi="Times New Roman"/>
          <w:szCs w:val="22"/>
          <w:lang w:eastAsia="sk-SK"/>
        </w:rPr>
      </w:pPr>
      <w:r w:rsidRPr="00C66720">
        <w:rPr>
          <w:rFonts w:ascii="Times New Roman" w:hAnsi="Times New Roman"/>
          <w:szCs w:val="22"/>
          <w:lang w:eastAsia="sk-SK"/>
        </w:rPr>
        <w:lastRenderedPageBreak/>
        <w:t xml:space="preserve">Medziročne Ministerstvo hospodárstva SR vykázalo po použití metódy vlastného imania </w:t>
      </w:r>
      <w:r w:rsidR="006A1712" w:rsidRPr="00C66720">
        <w:rPr>
          <w:rFonts w:ascii="Times New Roman" w:hAnsi="Times New Roman"/>
          <w:szCs w:val="22"/>
          <w:lang w:eastAsia="sk-SK"/>
        </w:rPr>
        <w:t>prírastok</w:t>
      </w:r>
      <w:r w:rsidRPr="00C66720">
        <w:rPr>
          <w:rFonts w:ascii="Times New Roman" w:hAnsi="Times New Roman"/>
          <w:szCs w:val="22"/>
          <w:lang w:eastAsia="sk-SK"/>
        </w:rPr>
        <w:t xml:space="preserve"> hodnoty svojich podielov o</w:t>
      </w:r>
      <w:r w:rsidR="006A1712" w:rsidRPr="00C66720">
        <w:rPr>
          <w:rFonts w:ascii="Times New Roman" w:hAnsi="Times New Roman"/>
          <w:szCs w:val="22"/>
          <w:lang w:eastAsia="sk-SK"/>
        </w:rPr>
        <w:t> 89 612</w:t>
      </w:r>
      <w:r w:rsidRPr="00C66720">
        <w:rPr>
          <w:rFonts w:ascii="Times New Roman" w:hAnsi="Times New Roman"/>
          <w:szCs w:val="22"/>
          <w:lang w:eastAsia="sk-SK"/>
        </w:rPr>
        <w:t xml:space="preserve"> tis. eur (a to hlavne hodnota 34%-ného podielu v Slovenských elektrárňach, ktorá sa </w:t>
      </w:r>
      <w:r w:rsidR="00E00FBC" w:rsidRPr="00C66720">
        <w:rPr>
          <w:rFonts w:ascii="Times New Roman" w:hAnsi="Times New Roman"/>
          <w:szCs w:val="22"/>
          <w:lang w:eastAsia="sk-SK"/>
        </w:rPr>
        <w:t>zvýšila</w:t>
      </w:r>
      <w:r w:rsidRPr="00C66720">
        <w:rPr>
          <w:rFonts w:ascii="Times New Roman" w:hAnsi="Times New Roman"/>
          <w:szCs w:val="22"/>
          <w:lang w:eastAsia="sk-SK"/>
        </w:rPr>
        <w:t xml:space="preserve"> o</w:t>
      </w:r>
      <w:r w:rsidR="00E00FBC" w:rsidRPr="00C66720">
        <w:rPr>
          <w:rFonts w:ascii="Times New Roman" w:hAnsi="Times New Roman"/>
          <w:szCs w:val="22"/>
          <w:lang w:eastAsia="sk-SK"/>
        </w:rPr>
        <w:t xml:space="preserve"> 111 181 </w:t>
      </w:r>
      <w:r w:rsidRPr="00C66720">
        <w:rPr>
          <w:rFonts w:ascii="Times New Roman" w:hAnsi="Times New Roman"/>
          <w:szCs w:val="22"/>
          <w:lang w:eastAsia="sk-SK"/>
        </w:rPr>
        <w:t>tis. eur, hodnota 51%-ného podielu v Stredoslovenskej energetike, a.s., ktorá sa znížila o</w:t>
      </w:r>
      <w:r w:rsidR="00E00FBC" w:rsidRPr="00C66720">
        <w:rPr>
          <w:rFonts w:ascii="Times New Roman" w:hAnsi="Times New Roman"/>
          <w:szCs w:val="22"/>
          <w:lang w:eastAsia="sk-SK"/>
        </w:rPr>
        <w:t> 39 587</w:t>
      </w:r>
      <w:r w:rsidRPr="00C66720">
        <w:rPr>
          <w:rFonts w:ascii="Times New Roman" w:hAnsi="Times New Roman"/>
          <w:szCs w:val="22"/>
          <w:lang w:eastAsia="sk-SK"/>
        </w:rPr>
        <w:t xml:space="preserve"> tis. eur, hodnota 51%-ného podielu vo Východoslovenskej energetike Holding, a.s., ktorá sa znížila o</w:t>
      </w:r>
      <w:r w:rsidR="00E00FBC" w:rsidRPr="00C66720">
        <w:rPr>
          <w:rFonts w:ascii="Times New Roman" w:hAnsi="Times New Roman"/>
          <w:szCs w:val="22"/>
          <w:lang w:eastAsia="sk-SK"/>
        </w:rPr>
        <w:t> 4 313</w:t>
      </w:r>
      <w:r w:rsidRPr="00C66720">
        <w:rPr>
          <w:rFonts w:ascii="Times New Roman" w:hAnsi="Times New Roman"/>
          <w:szCs w:val="22"/>
          <w:lang w:eastAsia="sk-SK"/>
        </w:rPr>
        <w:t xml:space="preserve"> tis. eur a hodnota 51%-ného podielu v Západoslovenskej energetike, a.s., ktorá sa zvýšila o</w:t>
      </w:r>
      <w:r w:rsidR="00E00FBC" w:rsidRPr="00C66720">
        <w:rPr>
          <w:rFonts w:ascii="Times New Roman" w:hAnsi="Times New Roman"/>
          <w:szCs w:val="22"/>
          <w:lang w:eastAsia="sk-SK"/>
        </w:rPr>
        <w:t> 22 330</w:t>
      </w:r>
      <w:r w:rsidRPr="00C66720">
        <w:rPr>
          <w:rFonts w:ascii="Times New Roman" w:hAnsi="Times New Roman"/>
          <w:szCs w:val="22"/>
          <w:lang w:eastAsia="sk-SK"/>
        </w:rPr>
        <w:t xml:space="preserve"> tis. eur).</w:t>
      </w:r>
    </w:p>
    <w:p w14:paraId="08DD26AA" w14:textId="2DDFFB72" w:rsidR="00B66897" w:rsidRPr="00C66720" w:rsidRDefault="00B66897" w:rsidP="00B66897">
      <w:pPr>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Obce v rámci tejto položky vykázali 170 </w:t>
      </w:r>
      <w:r w:rsidR="00BE47CA" w:rsidRPr="00C66720">
        <w:rPr>
          <w:rFonts w:ascii="Times New Roman" w:hAnsi="Times New Roman"/>
          <w:szCs w:val="22"/>
          <w:lang w:eastAsia="sk-SK"/>
        </w:rPr>
        <w:t>398</w:t>
      </w:r>
      <w:r w:rsidRPr="00C66720">
        <w:rPr>
          <w:rFonts w:ascii="Times New Roman" w:hAnsi="Times New Roman"/>
          <w:szCs w:val="22"/>
          <w:lang w:eastAsia="sk-SK"/>
        </w:rPr>
        <w:t xml:space="preserve"> tis. eur, vyššie územné celky 9 </w:t>
      </w:r>
      <w:r w:rsidR="00BE47CA" w:rsidRPr="00C66720">
        <w:rPr>
          <w:rFonts w:ascii="Times New Roman" w:hAnsi="Times New Roman"/>
          <w:szCs w:val="22"/>
          <w:lang w:eastAsia="sk-SK"/>
        </w:rPr>
        <w:t>825</w:t>
      </w:r>
      <w:r w:rsidRPr="00C66720">
        <w:rPr>
          <w:rFonts w:ascii="Times New Roman" w:hAnsi="Times New Roman"/>
          <w:szCs w:val="22"/>
          <w:lang w:eastAsia="sk-SK"/>
        </w:rPr>
        <w:t xml:space="preserve"> tis. eur. </w:t>
      </w:r>
    </w:p>
    <w:p w14:paraId="0A540187" w14:textId="77777777" w:rsidR="004526A0" w:rsidRPr="00C66720" w:rsidRDefault="004526A0" w:rsidP="004526A0">
      <w:pPr>
        <w:tabs>
          <w:tab w:val="num" w:pos="0"/>
        </w:tabs>
        <w:spacing w:before="120" w:after="0" w:line="240" w:lineRule="auto"/>
        <w:jc w:val="both"/>
        <w:rPr>
          <w:rFonts w:ascii="Times New Roman" w:hAnsi="Times New Roman"/>
          <w:i/>
          <w:szCs w:val="22"/>
          <w:u w:val="single"/>
          <w:lang w:eastAsia="sk-SK"/>
        </w:rPr>
      </w:pPr>
      <w:r w:rsidRPr="00C66720">
        <w:rPr>
          <w:rFonts w:ascii="Times New Roman" w:hAnsi="Times New Roman"/>
          <w:i/>
          <w:szCs w:val="22"/>
          <w:u w:val="single"/>
          <w:lang w:eastAsia="sk-SK"/>
        </w:rPr>
        <w:t>Realizovateľné cenné papiere</w:t>
      </w:r>
    </w:p>
    <w:p w14:paraId="53CB4107" w14:textId="1F11D77F" w:rsidR="004526A0" w:rsidRPr="00C66720" w:rsidRDefault="004526A0" w:rsidP="00D04B27">
      <w:pPr>
        <w:tabs>
          <w:tab w:val="num" w:pos="0"/>
        </w:tabs>
        <w:spacing w:before="120"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Realizovateľné cenné papiere znamenajú podiely na základnom imaní obchodnej spoločnosti vo výške menej ako 20 %. Z celkovej hodnoty 813 693 tis. eur vlastnia rozhodujúcu hodnotu obce, a to </w:t>
      </w:r>
      <w:r w:rsidRPr="00C66720">
        <w:rPr>
          <w:rFonts w:ascii="Times New Roman" w:hAnsi="Times New Roman"/>
          <w:szCs w:val="22"/>
          <w:lang w:eastAsia="sk-SK"/>
        </w:rPr>
        <w:br/>
        <w:t xml:space="preserve">773 663 tis. eur, ako minoritné podiely v obchodných spoločnostiach z oblasti dodávky vody, výroby tepla a osobnej prepravy. Celkový medziročný prírastok v hodnote </w:t>
      </w:r>
      <w:r w:rsidR="001848C1" w:rsidRPr="00C66720">
        <w:rPr>
          <w:rFonts w:ascii="Times New Roman" w:hAnsi="Times New Roman"/>
          <w:szCs w:val="22"/>
          <w:lang w:eastAsia="sk-SK"/>
        </w:rPr>
        <w:t>6 898</w:t>
      </w:r>
      <w:r w:rsidRPr="00C66720">
        <w:rPr>
          <w:rFonts w:ascii="Times New Roman" w:hAnsi="Times New Roman"/>
          <w:szCs w:val="22"/>
          <w:lang w:eastAsia="sk-SK"/>
        </w:rPr>
        <w:t xml:space="preserve"> tis. eur bol spôsobený prírastkom v ústrednej správe (o </w:t>
      </w:r>
      <w:r w:rsidR="00F67279" w:rsidRPr="00C66720">
        <w:rPr>
          <w:rFonts w:ascii="Times New Roman" w:hAnsi="Times New Roman"/>
          <w:szCs w:val="22"/>
          <w:lang w:eastAsia="sk-SK"/>
        </w:rPr>
        <w:t>3 926</w:t>
      </w:r>
      <w:r w:rsidRPr="00C66720">
        <w:rPr>
          <w:rFonts w:ascii="Times New Roman" w:hAnsi="Times New Roman"/>
          <w:szCs w:val="22"/>
          <w:lang w:eastAsia="sk-SK"/>
        </w:rPr>
        <w:t xml:space="preserve"> tis. eur) a </w:t>
      </w:r>
      <w:r w:rsidR="00F67279" w:rsidRPr="00C66720">
        <w:rPr>
          <w:rFonts w:ascii="Times New Roman" w:hAnsi="Times New Roman"/>
          <w:szCs w:val="22"/>
          <w:lang w:eastAsia="sk-SK"/>
        </w:rPr>
        <w:t xml:space="preserve"> </w:t>
      </w:r>
      <w:r w:rsidRPr="00C66720">
        <w:rPr>
          <w:rFonts w:ascii="Times New Roman" w:hAnsi="Times New Roman"/>
          <w:szCs w:val="22"/>
          <w:lang w:eastAsia="sk-SK"/>
        </w:rPr>
        <w:t xml:space="preserve">v obciach SR (o </w:t>
      </w:r>
      <w:r w:rsidR="00F67279" w:rsidRPr="00C66720">
        <w:rPr>
          <w:rFonts w:ascii="Times New Roman" w:hAnsi="Times New Roman"/>
          <w:szCs w:val="22"/>
          <w:lang w:eastAsia="sk-SK"/>
        </w:rPr>
        <w:t>2 985</w:t>
      </w:r>
      <w:r w:rsidRPr="00C66720">
        <w:rPr>
          <w:rFonts w:ascii="Times New Roman" w:hAnsi="Times New Roman"/>
          <w:szCs w:val="22"/>
          <w:lang w:eastAsia="sk-SK"/>
        </w:rPr>
        <w:t xml:space="preserve"> tis. eur) a</w:t>
      </w:r>
      <w:r w:rsidR="00F67279" w:rsidRPr="00C66720">
        <w:rPr>
          <w:rFonts w:ascii="Times New Roman" w:hAnsi="Times New Roman"/>
          <w:szCs w:val="22"/>
          <w:lang w:eastAsia="sk-SK"/>
        </w:rPr>
        <w:t xml:space="preserve"> úbytkom u </w:t>
      </w:r>
      <w:r w:rsidRPr="00C66720">
        <w:rPr>
          <w:rFonts w:ascii="Times New Roman" w:hAnsi="Times New Roman"/>
          <w:szCs w:val="22"/>
          <w:lang w:eastAsia="sk-SK"/>
        </w:rPr>
        <w:t xml:space="preserve">VÚC </w:t>
      </w:r>
      <w:r w:rsidRPr="00C66720">
        <w:rPr>
          <w:rFonts w:ascii="Times New Roman" w:hAnsi="Times New Roman"/>
          <w:szCs w:val="22"/>
          <w:lang w:eastAsia="sk-SK"/>
        </w:rPr>
        <w:br/>
        <w:t xml:space="preserve">(o </w:t>
      </w:r>
      <w:r w:rsidR="00F67279" w:rsidRPr="00C66720">
        <w:rPr>
          <w:rFonts w:ascii="Times New Roman" w:hAnsi="Times New Roman"/>
          <w:szCs w:val="22"/>
          <w:lang w:eastAsia="sk-SK"/>
        </w:rPr>
        <w:t>12</w:t>
      </w:r>
      <w:r w:rsidRPr="00C66720">
        <w:rPr>
          <w:rFonts w:ascii="Times New Roman" w:hAnsi="Times New Roman"/>
          <w:szCs w:val="22"/>
          <w:lang w:eastAsia="sk-SK"/>
        </w:rPr>
        <w:t xml:space="preserve"> tis. eur).</w:t>
      </w:r>
    </w:p>
    <w:p w14:paraId="29FCB233" w14:textId="5C4CF871" w:rsidR="002D6290" w:rsidRPr="00C66720" w:rsidRDefault="002D6290" w:rsidP="000B31B5">
      <w:pPr>
        <w:spacing w:before="120" w:after="120" w:line="240" w:lineRule="auto"/>
        <w:jc w:val="both"/>
        <w:rPr>
          <w:rFonts w:ascii="Times New Roman" w:hAnsi="Times New Roman"/>
          <w:i/>
          <w:color w:val="FF0000"/>
          <w:szCs w:val="22"/>
          <w:u w:val="single"/>
          <w:lang w:eastAsia="sk-SK"/>
        </w:rPr>
      </w:pPr>
      <w:r w:rsidRPr="00C66720">
        <w:rPr>
          <w:rFonts w:ascii="Times New Roman" w:hAnsi="Times New Roman"/>
          <w:i/>
          <w:szCs w:val="22"/>
          <w:u w:val="single"/>
          <w:lang w:eastAsia="sk-SK"/>
        </w:rPr>
        <w:t>Podielové cenné papiere a podiely v dcérskej účtovnej jednotke</w:t>
      </w:r>
    </w:p>
    <w:p w14:paraId="3702CB1D" w14:textId="7DC60DBC" w:rsidR="001E6B48" w:rsidRPr="00C66720" w:rsidRDefault="002D6290" w:rsidP="00BA09BB">
      <w:pPr>
        <w:spacing w:after="120" w:line="240" w:lineRule="auto"/>
        <w:jc w:val="both"/>
        <w:rPr>
          <w:rFonts w:ascii="Times New Roman" w:hAnsi="Times New Roman"/>
          <w:color w:val="FF0000"/>
          <w:szCs w:val="22"/>
          <w:lang w:eastAsia="sk-SK"/>
        </w:rPr>
      </w:pPr>
      <w:r w:rsidRPr="00C66720">
        <w:rPr>
          <w:rFonts w:ascii="Times New Roman" w:hAnsi="Times New Roman"/>
          <w:szCs w:val="22"/>
          <w:lang w:eastAsia="sk-SK"/>
        </w:rPr>
        <w:t xml:space="preserve">V rámci tejto položky dlhodobého finančného majetku sa vykazujú majetkové účasti </w:t>
      </w:r>
      <w:r w:rsidR="000251E7" w:rsidRPr="00C66720">
        <w:rPr>
          <w:rFonts w:ascii="Times New Roman" w:hAnsi="Times New Roman"/>
          <w:szCs w:val="22"/>
          <w:lang w:eastAsia="sk-SK"/>
        </w:rPr>
        <w:t>v</w:t>
      </w:r>
      <w:r w:rsidRPr="00C66720">
        <w:rPr>
          <w:rFonts w:ascii="Times New Roman" w:hAnsi="Times New Roman"/>
          <w:szCs w:val="22"/>
          <w:lang w:eastAsia="sk-SK"/>
        </w:rPr>
        <w:t xml:space="preserve"> obchodných spoločnostiach, ktoré predstavujú minimálne 51% </w:t>
      </w:r>
      <w:r w:rsidR="000251E7" w:rsidRPr="00C66720">
        <w:rPr>
          <w:rFonts w:ascii="Times New Roman" w:hAnsi="Times New Roman"/>
          <w:szCs w:val="22"/>
          <w:lang w:eastAsia="sk-SK"/>
        </w:rPr>
        <w:t>podiel na ich vlastnom imaní</w:t>
      </w:r>
      <w:r w:rsidR="00AF30BC" w:rsidRPr="00C66720">
        <w:rPr>
          <w:rFonts w:ascii="Times New Roman" w:hAnsi="Times New Roman"/>
          <w:szCs w:val="22"/>
          <w:lang w:eastAsia="sk-SK"/>
        </w:rPr>
        <w:t>, a ktoré neboli predmetom konsolidácie</w:t>
      </w:r>
      <w:r w:rsidR="000251E7" w:rsidRPr="00C66720">
        <w:rPr>
          <w:rFonts w:ascii="Times New Roman" w:hAnsi="Times New Roman"/>
          <w:szCs w:val="22"/>
          <w:lang w:eastAsia="sk-SK"/>
        </w:rPr>
        <w:t xml:space="preserve">. </w:t>
      </w:r>
      <w:r w:rsidRPr="00C66720">
        <w:rPr>
          <w:rFonts w:ascii="Times New Roman" w:hAnsi="Times New Roman"/>
          <w:szCs w:val="22"/>
          <w:lang w:eastAsia="sk-SK"/>
        </w:rPr>
        <w:t>Hodnota tohto dlhodobého finančn</w:t>
      </w:r>
      <w:r w:rsidR="000758CE" w:rsidRPr="00C66720">
        <w:rPr>
          <w:rFonts w:ascii="Times New Roman" w:hAnsi="Times New Roman"/>
          <w:szCs w:val="22"/>
          <w:lang w:eastAsia="sk-SK"/>
        </w:rPr>
        <w:t>ého majetku dosiahla k 31.12.202</w:t>
      </w:r>
      <w:r w:rsidR="009311ED" w:rsidRPr="00C66720">
        <w:rPr>
          <w:rFonts w:ascii="Times New Roman" w:hAnsi="Times New Roman"/>
          <w:szCs w:val="22"/>
          <w:lang w:eastAsia="sk-SK"/>
        </w:rPr>
        <w:t>2</w:t>
      </w:r>
      <w:r w:rsidRPr="00C66720">
        <w:rPr>
          <w:rFonts w:ascii="Times New Roman" w:hAnsi="Times New Roman"/>
          <w:szCs w:val="22"/>
          <w:lang w:eastAsia="sk-SK"/>
        </w:rPr>
        <w:t xml:space="preserve"> sumu</w:t>
      </w:r>
      <w:r w:rsidR="008D5681" w:rsidRPr="00C66720">
        <w:rPr>
          <w:rFonts w:ascii="Times New Roman" w:hAnsi="Times New Roman"/>
          <w:szCs w:val="22"/>
          <w:lang w:eastAsia="sk-SK"/>
        </w:rPr>
        <w:t xml:space="preserve"> </w:t>
      </w:r>
      <w:r w:rsidR="009311ED" w:rsidRPr="00C66720">
        <w:rPr>
          <w:rFonts w:ascii="Times New Roman" w:hAnsi="Times New Roman"/>
          <w:szCs w:val="22"/>
          <w:lang w:eastAsia="sk-SK"/>
        </w:rPr>
        <w:t>2</w:t>
      </w:r>
      <w:r w:rsidR="00921E78" w:rsidRPr="00C66720">
        <w:rPr>
          <w:rFonts w:ascii="Times New Roman" w:hAnsi="Times New Roman"/>
          <w:szCs w:val="22"/>
          <w:lang w:eastAsia="sk-SK"/>
        </w:rPr>
        <w:t>82 349</w:t>
      </w:r>
      <w:r w:rsidR="00D50E88" w:rsidRPr="00C66720">
        <w:rPr>
          <w:rFonts w:ascii="Times New Roman" w:hAnsi="Times New Roman"/>
          <w:szCs w:val="22"/>
          <w:lang w:eastAsia="sk-SK"/>
        </w:rPr>
        <w:t xml:space="preserve"> </w:t>
      </w:r>
      <w:r w:rsidR="00A04495" w:rsidRPr="00C66720">
        <w:rPr>
          <w:rFonts w:ascii="Times New Roman" w:hAnsi="Times New Roman"/>
          <w:szCs w:val="22"/>
          <w:lang w:eastAsia="sk-SK"/>
        </w:rPr>
        <w:t xml:space="preserve">tis. eur </w:t>
      </w:r>
      <w:r w:rsidR="000758CE" w:rsidRPr="00C66720">
        <w:rPr>
          <w:rFonts w:ascii="Times New Roman" w:hAnsi="Times New Roman"/>
          <w:szCs w:val="22"/>
          <w:lang w:eastAsia="sk-SK"/>
        </w:rPr>
        <w:t xml:space="preserve">a je medziročne </w:t>
      </w:r>
      <w:r w:rsidR="009311ED" w:rsidRPr="00C66720">
        <w:rPr>
          <w:rFonts w:ascii="Times New Roman" w:hAnsi="Times New Roman"/>
          <w:szCs w:val="22"/>
          <w:lang w:eastAsia="sk-SK"/>
        </w:rPr>
        <w:t>vyššia</w:t>
      </w:r>
      <w:r w:rsidR="00A04495" w:rsidRPr="00C66720">
        <w:rPr>
          <w:rFonts w:ascii="Times New Roman" w:hAnsi="Times New Roman"/>
          <w:szCs w:val="22"/>
          <w:lang w:eastAsia="sk-SK"/>
        </w:rPr>
        <w:t xml:space="preserve"> </w:t>
      </w:r>
      <w:r w:rsidR="008D5681" w:rsidRPr="00C66720">
        <w:rPr>
          <w:rFonts w:ascii="Times New Roman" w:hAnsi="Times New Roman"/>
          <w:szCs w:val="22"/>
          <w:lang w:eastAsia="sk-SK"/>
        </w:rPr>
        <w:t>o</w:t>
      </w:r>
      <w:r w:rsidR="00921E78" w:rsidRPr="00C66720">
        <w:rPr>
          <w:rFonts w:ascii="Times New Roman" w:hAnsi="Times New Roman"/>
          <w:szCs w:val="22"/>
          <w:lang w:eastAsia="sk-SK"/>
        </w:rPr>
        <w:t> 90 116</w:t>
      </w:r>
      <w:r w:rsidR="00FE00A0" w:rsidRPr="00C66720">
        <w:rPr>
          <w:rFonts w:ascii="Times New Roman" w:hAnsi="Times New Roman"/>
          <w:szCs w:val="22"/>
          <w:lang w:eastAsia="sk-SK"/>
        </w:rPr>
        <w:t xml:space="preserve"> tis. eur</w:t>
      </w:r>
      <w:r w:rsidR="00AD571A" w:rsidRPr="00C66720">
        <w:rPr>
          <w:rFonts w:ascii="Times New Roman" w:hAnsi="Times New Roman"/>
          <w:szCs w:val="22"/>
          <w:lang w:eastAsia="sk-SK"/>
        </w:rPr>
        <w:t xml:space="preserve">, najmä </w:t>
      </w:r>
      <w:r w:rsidR="00981585" w:rsidRPr="00C66720">
        <w:rPr>
          <w:rFonts w:ascii="Times New Roman" w:hAnsi="Times New Roman"/>
          <w:szCs w:val="22"/>
          <w:lang w:eastAsia="sk-SK"/>
        </w:rPr>
        <w:t>v</w:t>
      </w:r>
      <w:r w:rsidR="000230A0" w:rsidRPr="00C66720">
        <w:rPr>
          <w:rFonts w:ascii="Times New Roman" w:hAnsi="Times New Roman"/>
          <w:szCs w:val="22"/>
          <w:lang w:eastAsia="sk-SK"/>
        </w:rPr>
        <w:t> prípade ostatných subjektov verejnej správy (o 74 292 tis. eur</w:t>
      </w:r>
      <w:r w:rsidR="00292C11" w:rsidRPr="00C66720">
        <w:rPr>
          <w:rFonts w:ascii="Times New Roman" w:hAnsi="Times New Roman"/>
          <w:szCs w:val="22"/>
          <w:lang w:eastAsia="sk-SK"/>
        </w:rPr>
        <w:t>, najmä z dôvodu zahrnutia Slovak Business Agency do súhrnného celku</w:t>
      </w:r>
      <w:r w:rsidR="000230A0" w:rsidRPr="00C66720">
        <w:rPr>
          <w:rFonts w:ascii="Times New Roman" w:hAnsi="Times New Roman"/>
          <w:szCs w:val="22"/>
          <w:lang w:eastAsia="sk-SK"/>
        </w:rPr>
        <w:t>) a </w:t>
      </w:r>
      <w:r w:rsidR="000B31B5">
        <w:rPr>
          <w:rFonts w:ascii="Times New Roman" w:hAnsi="Times New Roman"/>
          <w:szCs w:val="22"/>
          <w:lang w:eastAsia="sk-SK"/>
        </w:rPr>
        <w:br/>
      </w:r>
      <w:r w:rsidR="000230A0" w:rsidRPr="00C66720">
        <w:rPr>
          <w:rFonts w:ascii="Times New Roman" w:hAnsi="Times New Roman"/>
          <w:szCs w:val="22"/>
          <w:lang w:eastAsia="sk-SK"/>
        </w:rPr>
        <w:t xml:space="preserve">v </w:t>
      </w:r>
      <w:r w:rsidR="00981585" w:rsidRPr="00C66720">
        <w:rPr>
          <w:rFonts w:ascii="Times New Roman" w:hAnsi="Times New Roman"/>
          <w:szCs w:val="22"/>
          <w:lang w:eastAsia="sk-SK"/>
        </w:rPr>
        <w:t>ústrednej štátnej správe</w:t>
      </w:r>
      <w:r w:rsidR="00292C11" w:rsidRPr="00C66720">
        <w:rPr>
          <w:rFonts w:ascii="Times New Roman" w:hAnsi="Times New Roman"/>
          <w:szCs w:val="22"/>
          <w:lang w:eastAsia="sk-SK"/>
        </w:rPr>
        <w:t xml:space="preserve"> </w:t>
      </w:r>
      <w:r w:rsidR="00C332A6" w:rsidRPr="00C66720">
        <w:rPr>
          <w:rFonts w:ascii="Times New Roman" w:hAnsi="Times New Roman"/>
          <w:szCs w:val="22"/>
          <w:lang w:eastAsia="sk-SK"/>
        </w:rPr>
        <w:t xml:space="preserve">(o </w:t>
      </w:r>
      <w:r w:rsidR="009311ED" w:rsidRPr="00C66720">
        <w:rPr>
          <w:rFonts w:ascii="Times New Roman" w:hAnsi="Times New Roman"/>
          <w:szCs w:val="22"/>
          <w:lang w:eastAsia="sk-SK"/>
        </w:rPr>
        <w:t>23 078</w:t>
      </w:r>
      <w:r w:rsidR="00C332A6" w:rsidRPr="00C66720">
        <w:rPr>
          <w:rFonts w:ascii="Times New Roman" w:hAnsi="Times New Roman"/>
          <w:szCs w:val="22"/>
          <w:lang w:eastAsia="sk-SK"/>
        </w:rPr>
        <w:t xml:space="preserve"> tis. eur)</w:t>
      </w:r>
      <w:r w:rsidR="00046BF7" w:rsidRPr="00C66720">
        <w:rPr>
          <w:rFonts w:ascii="Times New Roman" w:hAnsi="Times New Roman"/>
          <w:szCs w:val="22"/>
          <w:lang w:eastAsia="sk-SK"/>
        </w:rPr>
        <w:t xml:space="preserve">. </w:t>
      </w:r>
      <w:r w:rsidR="00C332A6" w:rsidRPr="00C66720">
        <w:rPr>
          <w:rFonts w:ascii="Times New Roman" w:hAnsi="Times New Roman"/>
          <w:szCs w:val="22"/>
          <w:lang w:eastAsia="sk-SK"/>
        </w:rPr>
        <w:t xml:space="preserve">V prípade </w:t>
      </w:r>
      <w:r w:rsidR="00981585" w:rsidRPr="00C66720">
        <w:rPr>
          <w:rFonts w:ascii="Times New Roman" w:hAnsi="Times New Roman"/>
          <w:szCs w:val="22"/>
          <w:lang w:eastAsia="sk-SK"/>
        </w:rPr>
        <w:t xml:space="preserve">obcí </w:t>
      </w:r>
      <w:r w:rsidR="00C332A6" w:rsidRPr="00C66720">
        <w:rPr>
          <w:rFonts w:ascii="Times New Roman" w:hAnsi="Times New Roman"/>
          <w:szCs w:val="22"/>
          <w:lang w:eastAsia="sk-SK"/>
        </w:rPr>
        <w:t xml:space="preserve">došlo k medziročnému </w:t>
      </w:r>
      <w:r w:rsidR="009311ED" w:rsidRPr="00C66720">
        <w:rPr>
          <w:rFonts w:ascii="Times New Roman" w:hAnsi="Times New Roman"/>
          <w:szCs w:val="22"/>
          <w:lang w:eastAsia="sk-SK"/>
        </w:rPr>
        <w:t>poklesu</w:t>
      </w:r>
      <w:r w:rsidR="00C332A6" w:rsidRPr="00C66720">
        <w:rPr>
          <w:rFonts w:ascii="Times New Roman" w:hAnsi="Times New Roman"/>
          <w:szCs w:val="22"/>
          <w:lang w:eastAsia="sk-SK"/>
        </w:rPr>
        <w:t xml:space="preserve"> </w:t>
      </w:r>
      <w:r w:rsidR="000B31B5">
        <w:rPr>
          <w:rFonts w:ascii="Times New Roman" w:hAnsi="Times New Roman"/>
          <w:szCs w:val="22"/>
          <w:lang w:eastAsia="sk-SK"/>
        </w:rPr>
        <w:br/>
      </w:r>
      <w:r w:rsidR="00C332A6" w:rsidRPr="00C66720">
        <w:rPr>
          <w:rFonts w:ascii="Times New Roman" w:hAnsi="Times New Roman"/>
          <w:szCs w:val="22"/>
          <w:lang w:eastAsia="sk-SK"/>
        </w:rPr>
        <w:t>o</w:t>
      </w:r>
      <w:r w:rsidR="009311ED" w:rsidRPr="00C66720">
        <w:rPr>
          <w:rFonts w:ascii="Times New Roman" w:hAnsi="Times New Roman"/>
          <w:szCs w:val="22"/>
          <w:lang w:eastAsia="sk-SK"/>
        </w:rPr>
        <w:t> 7 255</w:t>
      </w:r>
      <w:r w:rsidR="00C332A6" w:rsidRPr="00C66720">
        <w:rPr>
          <w:rFonts w:ascii="Times New Roman" w:hAnsi="Times New Roman"/>
          <w:szCs w:val="22"/>
          <w:lang w:eastAsia="sk-SK"/>
        </w:rPr>
        <w:t xml:space="preserve"> tis. eur.</w:t>
      </w:r>
    </w:p>
    <w:p w14:paraId="6C602AED" w14:textId="77777777" w:rsidR="00D10D93" w:rsidRPr="00C66720" w:rsidRDefault="001E6B48" w:rsidP="00BA09BB">
      <w:pPr>
        <w:spacing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Z ústrednej správy vykazuje významnú hodnotu </w:t>
      </w:r>
      <w:r w:rsidR="00192060" w:rsidRPr="00C66720">
        <w:rPr>
          <w:rFonts w:ascii="Times New Roman" w:hAnsi="Times New Roman"/>
          <w:szCs w:val="22"/>
          <w:lang w:eastAsia="sk-SK"/>
        </w:rPr>
        <w:t xml:space="preserve">MH Manažment, a.s. </w:t>
      </w:r>
      <w:r w:rsidR="00311F9E" w:rsidRPr="00C66720">
        <w:rPr>
          <w:rFonts w:ascii="Times New Roman" w:hAnsi="Times New Roman"/>
          <w:szCs w:val="22"/>
          <w:lang w:eastAsia="sk-SK"/>
        </w:rPr>
        <w:t>(</w:t>
      </w:r>
      <w:r w:rsidR="00721397" w:rsidRPr="00C66720">
        <w:rPr>
          <w:rFonts w:ascii="Times New Roman" w:hAnsi="Times New Roman"/>
          <w:szCs w:val="22"/>
          <w:lang w:eastAsia="sk-SK"/>
        </w:rPr>
        <w:t>199 860</w:t>
      </w:r>
      <w:r w:rsidRPr="00C66720">
        <w:rPr>
          <w:rFonts w:ascii="Times New Roman" w:hAnsi="Times New Roman"/>
          <w:szCs w:val="22"/>
          <w:lang w:eastAsia="sk-SK"/>
        </w:rPr>
        <w:t xml:space="preserve"> tis. eur), ktorý </w:t>
      </w:r>
      <w:r w:rsidR="00192060" w:rsidRPr="00C66720">
        <w:rPr>
          <w:rFonts w:ascii="Times New Roman" w:hAnsi="Times New Roman"/>
          <w:szCs w:val="22"/>
          <w:lang w:eastAsia="sk-SK"/>
        </w:rPr>
        <w:t>spravuje podiely v </w:t>
      </w:r>
      <w:r w:rsidR="00416561" w:rsidRPr="00C66720">
        <w:rPr>
          <w:rFonts w:ascii="Times New Roman" w:hAnsi="Times New Roman"/>
          <w:szCs w:val="22"/>
          <w:lang w:eastAsia="sk-SK"/>
        </w:rPr>
        <w:t>19</w:t>
      </w:r>
      <w:r w:rsidR="00192060" w:rsidRPr="00C66720">
        <w:rPr>
          <w:rFonts w:ascii="Times New Roman" w:hAnsi="Times New Roman"/>
          <w:szCs w:val="22"/>
          <w:lang w:eastAsia="sk-SK"/>
        </w:rPr>
        <w:t xml:space="preserve"> obch</w:t>
      </w:r>
      <w:r w:rsidR="00416561" w:rsidRPr="00C66720">
        <w:rPr>
          <w:rFonts w:ascii="Times New Roman" w:hAnsi="Times New Roman"/>
          <w:szCs w:val="22"/>
          <w:lang w:eastAsia="sk-SK"/>
        </w:rPr>
        <w:t>odných spoločnostiach, z toho 14</w:t>
      </w:r>
      <w:r w:rsidR="00192060" w:rsidRPr="00C66720">
        <w:rPr>
          <w:rFonts w:ascii="Times New Roman" w:hAnsi="Times New Roman"/>
          <w:szCs w:val="22"/>
          <w:lang w:eastAsia="sk-SK"/>
        </w:rPr>
        <w:t xml:space="preserve"> v oblasti dopravy (SAD-ky) a </w:t>
      </w:r>
      <w:r w:rsidR="00416561" w:rsidRPr="00C66720">
        <w:rPr>
          <w:rFonts w:ascii="Times New Roman" w:hAnsi="Times New Roman"/>
          <w:szCs w:val="22"/>
          <w:lang w:eastAsia="sk-SK"/>
        </w:rPr>
        <w:t>5</w:t>
      </w:r>
      <w:r w:rsidR="00192060" w:rsidRPr="00C66720">
        <w:rPr>
          <w:rFonts w:ascii="Times New Roman" w:hAnsi="Times New Roman"/>
          <w:szCs w:val="22"/>
          <w:lang w:eastAsia="sk-SK"/>
        </w:rPr>
        <w:t xml:space="preserve"> v oblasti teplárenstva</w:t>
      </w:r>
      <w:r w:rsidR="00416561" w:rsidRPr="00C66720">
        <w:rPr>
          <w:rFonts w:ascii="Times New Roman" w:hAnsi="Times New Roman"/>
          <w:szCs w:val="22"/>
          <w:lang w:eastAsia="sk-SK"/>
        </w:rPr>
        <w:t>, zdravotníctva a kapitálového trhu</w:t>
      </w:r>
      <w:r w:rsidR="00192060" w:rsidRPr="00C66720">
        <w:rPr>
          <w:rFonts w:ascii="Times New Roman" w:hAnsi="Times New Roman"/>
          <w:szCs w:val="22"/>
          <w:lang w:eastAsia="sk-SK"/>
        </w:rPr>
        <w:t>. Ide o podiely, ktoré spravoval zaniknutý Fond</w:t>
      </w:r>
      <w:r w:rsidR="00B75DFE" w:rsidRPr="00C66720">
        <w:rPr>
          <w:rFonts w:ascii="Times New Roman" w:hAnsi="Times New Roman"/>
          <w:szCs w:val="22"/>
          <w:lang w:eastAsia="sk-SK"/>
        </w:rPr>
        <w:t xml:space="preserve"> národného majetku do 31.12.2015</w:t>
      </w:r>
      <w:r w:rsidR="00192060" w:rsidRPr="00C66720">
        <w:rPr>
          <w:rFonts w:ascii="Times New Roman" w:hAnsi="Times New Roman"/>
          <w:szCs w:val="22"/>
          <w:lang w:eastAsia="sk-SK"/>
        </w:rPr>
        <w:t>.</w:t>
      </w:r>
      <w:r w:rsidR="00BD61F4" w:rsidRPr="00C66720">
        <w:rPr>
          <w:rFonts w:ascii="Times New Roman" w:hAnsi="Times New Roman"/>
          <w:szCs w:val="22"/>
          <w:lang w:eastAsia="sk-SK"/>
        </w:rPr>
        <w:t xml:space="preserve"> </w:t>
      </w:r>
      <w:r w:rsidR="00311F9E" w:rsidRPr="00C66720">
        <w:rPr>
          <w:rFonts w:ascii="Times New Roman" w:hAnsi="Times New Roman"/>
          <w:szCs w:val="22"/>
          <w:lang w:eastAsia="sk-SK"/>
        </w:rPr>
        <w:t>Nárast</w:t>
      </w:r>
      <w:r w:rsidR="00BD61F4" w:rsidRPr="00C66720">
        <w:rPr>
          <w:rFonts w:ascii="Times New Roman" w:hAnsi="Times New Roman"/>
          <w:szCs w:val="22"/>
          <w:lang w:eastAsia="sk-SK"/>
        </w:rPr>
        <w:t xml:space="preserve"> hodnoty</w:t>
      </w:r>
      <w:r w:rsidR="00814C41" w:rsidRPr="00C66720">
        <w:rPr>
          <w:rFonts w:ascii="Times New Roman" w:hAnsi="Times New Roman"/>
          <w:szCs w:val="22"/>
          <w:lang w:eastAsia="sk-SK"/>
        </w:rPr>
        <w:t xml:space="preserve"> zo </w:t>
      </w:r>
      <w:r w:rsidR="00C27FF4" w:rsidRPr="00C66720">
        <w:rPr>
          <w:rFonts w:ascii="Times New Roman" w:hAnsi="Times New Roman"/>
          <w:szCs w:val="22"/>
          <w:lang w:eastAsia="sk-SK"/>
        </w:rPr>
        <w:t>177 309</w:t>
      </w:r>
      <w:r w:rsidR="00814C41" w:rsidRPr="00C66720">
        <w:rPr>
          <w:rFonts w:ascii="Times New Roman" w:hAnsi="Times New Roman"/>
          <w:szCs w:val="22"/>
          <w:lang w:eastAsia="sk-SK"/>
        </w:rPr>
        <w:t xml:space="preserve"> tis. eur na </w:t>
      </w:r>
      <w:r w:rsidR="00311F9E" w:rsidRPr="00C66720">
        <w:rPr>
          <w:rFonts w:ascii="Times New Roman" w:hAnsi="Times New Roman"/>
          <w:szCs w:val="22"/>
          <w:lang w:eastAsia="sk-SK"/>
        </w:rPr>
        <w:t>1</w:t>
      </w:r>
      <w:r w:rsidR="00124D9C" w:rsidRPr="00C66720">
        <w:rPr>
          <w:rFonts w:ascii="Times New Roman" w:hAnsi="Times New Roman"/>
          <w:szCs w:val="22"/>
          <w:lang w:eastAsia="sk-SK"/>
        </w:rPr>
        <w:t>99 860</w:t>
      </w:r>
      <w:r w:rsidR="00814C41" w:rsidRPr="00C66720">
        <w:rPr>
          <w:rFonts w:ascii="Times New Roman" w:hAnsi="Times New Roman"/>
          <w:szCs w:val="22"/>
          <w:lang w:eastAsia="sk-SK"/>
        </w:rPr>
        <w:t xml:space="preserve"> tis. eur</w:t>
      </w:r>
      <w:r w:rsidR="00BD61F4" w:rsidRPr="00C66720">
        <w:rPr>
          <w:rFonts w:ascii="Times New Roman" w:hAnsi="Times New Roman"/>
          <w:szCs w:val="22"/>
          <w:lang w:eastAsia="sk-SK"/>
        </w:rPr>
        <w:t xml:space="preserve"> </w:t>
      </w:r>
      <w:r w:rsidR="00311F9E" w:rsidRPr="00C66720">
        <w:rPr>
          <w:rFonts w:ascii="Times New Roman" w:hAnsi="Times New Roman"/>
          <w:szCs w:val="22"/>
          <w:lang w:eastAsia="sk-SK"/>
        </w:rPr>
        <w:t>bol spôsobený</w:t>
      </w:r>
      <w:r w:rsidR="0020121B" w:rsidRPr="00C66720">
        <w:rPr>
          <w:rFonts w:ascii="Times New Roman" w:hAnsi="Times New Roman"/>
          <w:szCs w:val="22"/>
          <w:lang w:eastAsia="sk-SK"/>
        </w:rPr>
        <w:t xml:space="preserve"> precenením hodnoty týchto podielov.</w:t>
      </w:r>
      <w:r w:rsidR="00850C61" w:rsidRPr="00C66720">
        <w:rPr>
          <w:rFonts w:ascii="Times New Roman" w:hAnsi="Times New Roman"/>
          <w:szCs w:val="22"/>
          <w:lang w:eastAsia="sk-SK"/>
        </w:rPr>
        <w:t xml:space="preserve"> </w:t>
      </w:r>
    </w:p>
    <w:p w14:paraId="6CD0DB2D" w14:textId="56996C49" w:rsidR="00311F9E" w:rsidRPr="00C66720" w:rsidRDefault="00D10D93" w:rsidP="00BA09BB">
      <w:pPr>
        <w:spacing w:after="120" w:line="240" w:lineRule="auto"/>
        <w:jc w:val="both"/>
        <w:rPr>
          <w:rFonts w:ascii="Times New Roman" w:hAnsi="Times New Roman"/>
          <w:szCs w:val="22"/>
          <w:lang w:eastAsia="sk-SK"/>
        </w:rPr>
      </w:pPr>
      <w:r w:rsidRPr="00C66720">
        <w:rPr>
          <w:rFonts w:ascii="Times New Roman" w:hAnsi="Times New Roman"/>
          <w:szCs w:val="22"/>
          <w:lang w:eastAsia="sk-SK"/>
        </w:rPr>
        <w:t>Z ostatných subjektov verejnej správy vykazuje Slovak Business Agency finančné investície v objeme 74 287 tis. eur a v</w:t>
      </w:r>
      <w:r w:rsidR="008E32A5" w:rsidRPr="00C66720">
        <w:rPr>
          <w:rFonts w:ascii="Times New Roman" w:hAnsi="Times New Roman"/>
          <w:szCs w:val="22"/>
          <w:lang w:eastAsia="sk-SK"/>
        </w:rPr>
        <w:t xml:space="preserve">klad verejných vysokých škôl do dcérskych účtovných jednotiek predstavuje </w:t>
      </w:r>
      <w:r w:rsidRPr="00C66720">
        <w:rPr>
          <w:rFonts w:ascii="Times New Roman" w:hAnsi="Times New Roman"/>
          <w:szCs w:val="22"/>
          <w:lang w:eastAsia="sk-SK"/>
        </w:rPr>
        <w:br/>
      </w:r>
      <w:r w:rsidR="008E32A5" w:rsidRPr="00C66720">
        <w:rPr>
          <w:rFonts w:ascii="Times New Roman" w:hAnsi="Times New Roman"/>
          <w:szCs w:val="22"/>
          <w:lang w:eastAsia="sk-SK"/>
        </w:rPr>
        <w:t>5 181 tis. eur</w:t>
      </w:r>
      <w:r w:rsidRPr="00C66720">
        <w:rPr>
          <w:rFonts w:ascii="Times New Roman" w:hAnsi="Times New Roman"/>
          <w:szCs w:val="22"/>
          <w:lang w:eastAsia="sk-SK"/>
        </w:rPr>
        <w:t>.</w:t>
      </w:r>
    </w:p>
    <w:p w14:paraId="502BE14C" w14:textId="2A94309A" w:rsidR="00F45673" w:rsidRPr="00C66720" w:rsidRDefault="00F45673" w:rsidP="00BA09BB">
      <w:pPr>
        <w:tabs>
          <w:tab w:val="num" w:pos="0"/>
        </w:tabs>
        <w:spacing w:before="120" w:after="0" w:line="240" w:lineRule="auto"/>
        <w:jc w:val="both"/>
        <w:rPr>
          <w:rFonts w:ascii="Times New Roman" w:hAnsi="Times New Roman"/>
          <w:szCs w:val="22"/>
          <w:lang w:eastAsia="sk-SK"/>
        </w:rPr>
      </w:pPr>
      <w:r w:rsidRPr="00C66720">
        <w:rPr>
          <w:rFonts w:ascii="Times New Roman" w:hAnsi="Times New Roman"/>
          <w:i/>
          <w:szCs w:val="22"/>
          <w:u w:val="single"/>
          <w:lang w:eastAsia="sk-SK"/>
        </w:rPr>
        <w:t>Dlhové cenné papiere držané do splatnosti</w:t>
      </w:r>
      <w:r w:rsidR="00226260" w:rsidRPr="00C66720">
        <w:rPr>
          <w:rFonts w:ascii="Times New Roman" w:hAnsi="Times New Roman"/>
          <w:i/>
          <w:szCs w:val="22"/>
          <w:u w:val="single"/>
          <w:lang w:eastAsia="sk-SK"/>
        </w:rPr>
        <w:t xml:space="preserve"> </w:t>
      </w:r>
    </w:p>
    <w:p w14:paraId="214265FC" w14:textId="2CAB734B" w:rsidR="00943832" w:rsidRPr="00C66720" w:rsidRDefault="00943832" w:rsidP="00BA09BB">
      <w:pPr>
        <w:tabs>
          <w:tab w:val="num" w:pos="0"/>
        </w:tabs>
        <w:spacing w:before="120" w:line="240" w:lineRule="auto"/>
        <w:jc w:val="both"/>
        <w:rPr>
          <w:rFonts w:ascii="Times New Roman" w:hAnsi="Times New Roman"/>
          <w:szCs w:val="22"/>
          <w:lang w:eastAsia="sk-SK"/>
        </w:rPr>
      </w:pPr>
      <w:r w:rsidRPr="00C66720">
        <w:rPr>
          <w:rFonts w:ascii="Times New Roman" w:hAnsi="Times New Roman"/>
          <w:szCs w:val="22"/>
          <w:lang w:eastAsia="sk-SK"/>
        </w:rPr>
        <w:t>Základným znakom dlhového cenného papiera držaného do splatnosti je okrem možnosti poberania výnosov z jeho držb</w:t>
      </w:r>
      <w:r w:rsidR="002E2248">
        <w:rPr>
          <w:rFonts w:ascii="Times New Roman" w:hAnsi="Times New Roman"/>
          <w:szCs w:val="22"/>
          <w:lang w:eastAsia="sk-SK"/>
        </w:rPr>
        <w:t>y</w:t>
      </w:r>
      <w:r w:rsidRPr="00C66720">
        <w:rPr>
          <w:rFonts w:ascii="Times New Roman" w:hAnsi="Times New Roman"/>
          <w:szCs w:val="22"/>
          <w:lang w:eastAsia="sk-SK"/>
        </w:rPr>
        <w:t xml:space="preserve"> aj návratnosť vloženej investície. Medzi dlhové cenné papiere svojím charakterom patria všetky druhy dlhopisov, pokladničné poukážky, šeky, vkladové listy, zmenky, atď.</w:t>
      </w:r>
      <w:r w:rsidR="0000482B" w:rsidRPr="00C66720">
        <w:rPr>
          <w:rFonts w:ascii="Times New Roman" w:hAnsi="Times New Roman"/>
          <w:szCs w:val="22"/>
          <w:lang w:eastAsia="sk-SK"/>
        </w:rPr>
        <w:t xml:space="preserve"> </w:t>
      </w:r>
      <w:r w:rsidR="002061AF" w:rsidRPr="00C66720">
        <w:rPr>
          <w:rFonts w:ascii="Times New Roman" w:hAnsi="Times New Roman"/>
          <w:szCs w:val="22"/>
          <w:lang w:eastAsia="sk-SK"/>
        </w:rPr>
        <w:t>Viac ako v 88</w:t>
      </w:r>
      <w:r w:rsidR="0000482B" w:rsidRPr="00C66720">
        <w:rPr>
          <w:rFonts w:ascii="Times New Roman" w:hAnsi="Times New Roman"/>
          <w:szCs w:val="22"/>
          <w:lang w:eastAsia="sk-SK"/>
        </w:rPr>
        <w:t>%-ách sú vykazované</w:t>
      </w:r>
      <w:r w:rsidR="00665AC5" w:rsidRPr="00C66720">
        <w:rPr>
          <w:rFonts w:ascii="Times New Roman" w:hAnsi="Times New Roman"/>
          <w:szCs w:val="22"/>
          <w:lang w:eastAsia="sk-SK"/>
        </w:rPr>
        <w:t xml:space="preserve"> </w:t>
      </w:r>
      <w:r w:rsidR="001347BE" w:rsidRPr="00C66720">
        <w:rPr>
          <w:rFonts w:ascii="Times New Roman" w:hAnsi="Times New Roman"/>
          <w:szCs w:val="22"/>
          <w:lang w:eastAsia="sk-SK"/>
        </w:rPr>
        <w:t xml:space="preserve">dvomi </w:t>
      </w:r>
      <w:r w:rsidR="0000482B" w:rsidRPr="00C66720">
        <w:rPr>
          <w:rFonts w:ascii="Times New Roman" w:hAnsi="Times New Roman"/>
          <w:szCs w:val="22"/>
          <w:lang w:eastAsia="sk-SK"/>
        </w:rPr>
        <w:t xml:space="preserve">subjektami ústrednej správy </w:t>
      </w:r>
      <w:r w:rsidR="002061AF" w:rsidRPr="00C66720">
        <w:rPr>
          <w:rFonts w:ascii="Times New Roman" w:hAnsi="Times New Roman"/>
          <w:szCs w:val="22"/>
          <w:lang w:eastAsia="sk-SK"/>
        </w:rPr>
        <w:t>(</w:t>
      </w:r>
      <w:r w:rsidR="009675B9" w:rsidRPr="00C66720">
        <w:rPr>
          <w:rFonts w:ascii="Times New Roman" w:hAnsi="Times New Roman"/>
          <w:szCs w:val="22"/>
          <w:lang w:eastAsia="sk-SK"/>
        </w:rPr>
        <w:t>2</w:t>
      </w:r>
      <w:r w:rsidR="00F102B7" w:rsidRPr="00C66720">
        <w:rPr>
          <w:rFonts w:ascii="Times New Roman" w:hAnsi="Times New Roman"/>
          <w:szCs w:val="22"/>
          <w:lang w:eastAsia="sk-SK"/>
        </w:rPr>
        <w:t>5 556</w:t>
      </w:r>
      <w:r w:rsidR="0000482B" w:rsidRPr="00C66720">
        <w:rPr>
          <w:rFonts w:ascii="Times New Roman" w:hAnsi="Times New Roman"/>
          <w:szCs w:val="22"/>
          <w:lang w:eastAsia="sk-SK"/>
        </w:rPr>
        <w:t xml:space="preserve"> </w:t>
      </w:r>
      <w:r w:rsidR="001347BE" w:rsidRPr="00C66720">
        <w:rPr>
          <w:rFonts w:ascii="Times New Roman" w:hAnsi="Times New Roman"/>
          <w:szCs w:val="22"/>
          <w:lang w:eastAsia="sk-SK"/>
        </w:rPr>
        <w:t xml:space="preserve">tis. eur), a to SZRB, a.s. </w:t>
      </w:r>
      <w:r w:rsidR="00EB4B3B" w:rsidRPr="00C66720">
        <w:rPr>
          <w:rFonts w:ascii="Times New Roman" w:hAnsi="Times New Roman"/>
          <w:szCs w:val="22"/>
          <w:lang w:eastAsia="sk-SK"/>
        </w:rPr>
        <w:br/>
      </w:r>
      <w:r w:rsidR="001347BE" w:rsidRPr="00C66720">
        <w:rPr>
          <w:rFonts w:ascii="Times New Roman" w:hAnsi="Times New Roman"/>
          <w:szCs w:val="22"/>
          <w:lang w:eastAsia="sk-SK"/>
        </w:rPr>
        <w:t>(25 0</w:t>
      </w:r>
      <w:r w:rsidR="009675B9" w:rsidRPr="00C66720">
        <w:rPr>
          <w:rFonts w:ascii="Times New Roman" w:hAnsi="Times New Roman"/>
          <w:szCs w:val="22"/>
          <w:lang w:eastAsia="sk-SK"/>
        </w:rPr>
        <w:t>57</w:t>
      </w:r>
      <w:r w:rsidR="001347BE" w:rsidRPr="00C66720">
        <w:rPr>
          <w:rFonts w:ascii="Times New Roman" w:hAnsi="Times New Roman"/>
          <w:szCs w:val="22"/>
          <w:lang w:eastAsia="sk-SK"/>
        </w:rPr>
        <w:t xml:space="preserve"> tis. eur) a Ministerstvom financií SR (4</w:t>
      </w:r>
      <w:r w:rsidR="009675B9" w:rsidRPr="00C66720">
        <w:rPr>
          <w:rFonts w:ascii="Times New Roman" w:hAnsi="Times New Roman"/>
          <w:szCs w:val="22"/>
          <w:lang w:eastAsia="sk-SK"/>
        </w:rPr>
        <w:t>99</w:t>
      </w:r>
      <w:r w:rsidR="001347BE" w:rsidRPr="00C66720">
        <w:rPr>
          <w:rFonts w:ascii="Times New Roman" w:hAnsi="Times New Roman"/>
          <w:szCs w:val="22"/>
          <w:lang w:eastAsia="sk-SK"/>
        </w:rPr>
        <w:t xml:space="preserve"> tis. eur). V roku 2018 skupina SZRB nakúpila krytý dlhopis Všeobecnej úverovej banky, a.s. v menovitej hodnote 24 999 tis. eur. Ministerstvo financií SR v rámci tejto položky vykazu</w:t>
      </w:r>
      <w:r w:rsidR="002C1E8D" w:rsidRPr="00C66720">
        <w:rPr>
          <w:rFonts w:ascii="Times New Roman" w:hAnsi="Times New Roman"/>
          <w:szCs w:val="22"/>
          <w:lang w:eastAsia="sk-SK"/>
        </w:rPr>
        <w:t>je bondy Argentínskej republiky</w:t>
      </w:r>
      <w:r w:rsidR="002E2248">
        <w:rPr>
          <w:rFonts w:ascii="Times New Roman" w:hAnsi="Times New Roman"/>
          <w:szCs w:val="22"/>
          <w:lang w:eastAsia="sk-SK"/>
        </w:rPr>
        <w:t>.</w:t>
      </w:r>
    </w:p>
    <w:p w14:paraId="237251DC" w14:textId="3401C6C9" w:rsidR="00973881" w:rsidRPr="00C66720" w:rsidRDefault="00420351" w:rsidP="00BA09BB">
      <w:pPr>
        <w:pStyle w:val="Pismenka"/>
        <w:numPr>
          <w:ilvl w:val="0"/>
          <w:numId w:val="44"/>
        </w:numPr>
        <w:spacing w:after="120"/>
        <w:ind w:left="284" w:hanging="284"/>
        <w:rPr>
          <w:i/>
          <w:szCs w:val="22"/>
          <w:u w:val="single"/>
        </w:rPr>
      </w:pPr>
      <w:bookmarkStart w:id="14" w:name="_Ref86091447"/>
      <w:r w:rsidRPr="00C66720">
        <w:rPr>
          <w:i/>
          <w:sz w:val="22"/>
          <w:szCs w:val="22"/>
          <w:u w:val="single"/>
        </w:rPr>
        <w:t>Dlhodobé p</w:t>
      </w:r>
      <w:r w:rsidR="00973881" w:rsidRPr="00C66720">
        <w:rPr>
          <w:i/>
          <w:sz w:val="22"/>
          <w:szCs w:val="22"/>
          <w:u w:val="single"/>
        </w:rPr>
        <w:t>ôžičky</w:t>
      </w:r>
      <w:bookmarkEnd w:id="14"/>
    </w:p>
    <w:p w14:paraId="20C0343E" w14:textId="7D18CC48" w:rsidR="009B25E3" w:rsidRPr="00C66720" w:rsidRDefault="00497C5E" w:rsidP="00770B7B">
      <w:pPr>
        <w:tabs>
          <w:tab w:val="num" w:pos="0"/>
        </w:tabs>
        <w:spacing w:after="120" w:line="240" w:lineRule="auto"/>
        <w:jc w:val="both"/>
        <w:rPr>
          <w:rFonts w:ascii="Times New Roman" w:hAnsi="Times New Roman"/>
          <w:szCs w:val="22"/>
          <w:lang w:eastAsia="sk-SK"/>
        </w:rPr>
      </w:pPr>
      <w:r w:rsidRPr="00C66720">
        <w:rPr>
          <w:rFonts w:ascii="Times New Roman" w:hAnsi="Times New Roman"/>
          <w:szCs w:val="22"/>
          <w:lang w:eastAsia="sk-SK"/>
        </w:rPr>
        <w:t xml:space="preserve">V rámci pôžičiek vykazuje </w:t>
      </w:r>
      <w:r w:rsidR="00581593" w:rsidRPr="00C66720">
        <w:rPr>
          <w:rFonts w:ascii="Times New Roman" w:hAnsi="Times New Roman"/>
          <w:szCs w:val="22"/>
          <w:lang w:eastAsia="sk-SK"/>
        </w:rPr>
        <w:t xml:space="preserve">najvýznamnejšiu hodnotu </w:t>
      </w:r>
      <w:r w:rsidR="00FC2981" w:rsidRPr="00C66720">
        <w:rPr>
          <w:rFonts w:ascii="Times New Roman" w:hAnsi="Times New Roman"/>
          <w:szCs w:val="22"/>
          <w:lang w:eastAsia="sk-SK"/>
        </w:rPr>
        <w:t>Št</w:t>
      </w:r>
      <w:r w:rsidR="0083378A" w:rsidRPr="00C66720">
        <w:rPr>
          <w:rFonts w:ascii="Times New Roman" w:hAnsi="Times New Roman"/>
          <w:szCs w:val="22"/>
          <w:lang w:eastAsia="sk-SK"/>
        </w:rPr>
        <w:t>átny fond rozvoja</w:t>
      </w:r>
      <w:r w:rsidR="00813469" w:rsidRPr="00C66720">
        <w:rPr>
          <w:rFonts w:ascii="Times New Roman" w:hAnsi="Times New Roman"/>
          <w:szCs w:val="22"/>
          <w:lang w:eastAsia="sk-SK"/>
        </w:rPr>
        <w:t xml:space="preserve"> bývania</w:t>
      </w:r>
      <w:r w:rsidR="00420351" w:rsidRPr="00C66720">
        <w:rPr>
          <w:rFonts w:ascii="Times New Roman" w:hAnsi="Times New Roman"/>
          <w:szCs w:val="22"/>
          <w:lang w:eastAsia="sk-SK"/>
        </w:rPr>
        <w:t xml:space="preserve"> 1</w:t>
      </w:r>
      <w:r w:rsidR="002A733B" w:rsidRPr="00C66720">
        <w:rPr>
          <w:rFonts w:ascii="Times New Roman" w:hAnsi="Times New Roman"/>
          <w:szCs w:val="22"/>
          <w:lang w:eastAsia="sk-SK"/>
        </w:rPr>
        <w:t> 310 666</w:t>
      </w:r>
      <w:r w:rsidR="00813469" w:rsidRPr="00C66720">
        <w:rPr>
          <w:rFonts w:ascii="Times New Roman" w:hAnsi="Times New Roman"/>
          <w:szCs w:val="22"/>
          <w:lang w:eastAsia="sk-SK"/>
        </w:rPr>
        <w:t xml:space="preserve"> </w:t>
      </w:r>
      <w:r w:rsidR="006B6581" w:rsidRPr="00C66720">
        <w:rPr>
          <w:rFonts w:ascii="Times New Roman" w:hAnsi="Times New Roman"/>
          <w:szCs w:val="22"/>
          <w:lang w:eastAsia="sk-SK"/>
        </w:rPr>
        <w:t>tis.</w:t>
      </w:r>
      <w:r w:rsidR="00075074" w:rsidRPr="00C66720">
        <w:rPr>
          <w:rFonts w:ascii="Times New Roman" w:hAnsi="Times New Roman"/>
          <w:szCs w:val="22"/>
          <w:lang w:eastAsia="sk-SK"/>
        </w:rPr>
        <w:t> </w:t>
      </w:r>
      <w:r w:rsidR="00FC2981" w:rsidRPr="00C66720">
        <w:rPr>
          <w:rFonts w:ascii="Times New Roman" w:hAnsi="Times New Roman"/>
          <w:szCs w:val="22"/>
          <w:lang w:eastAsia="sk-SK"/>
        </w:rPr>
        <w:t>eur</w:t>
      </w:r>
      <w:r w:rsidR="005944E3" w:rsidRPr="00C66720">
        <w:rPr>
          <w:rFonts w:ascii="Times New Roman" w:hAnsi="Times New Roman"/>
          <w:szCs w:val="22"/>
          <w:lang w:eastAsia="sk-SK"/>
        </w:rPr>
        <w:t xml:space="preserve"> (konsolidovaná hodnota)</w:t>
      </w:r>
      <w:r w:rsidR="00E62AC0" w:rsidRPr="00C66720">
        <w:rPr>
          <w:rFonts w:ascii="Times New Roman" w:hAnsi="Times New Roman"/>
          <w:szCs w:val="22"/>
          <w:lang w:eastAsia="sk-SK"/>
        </w:rPr>
        <w:t>. Ďalej vykazujú významnejšie hodnoty aj</w:t>
      </w:r>
      <w:r w:rsidR="005A42F0" w:rsidRPr="00C66720">
        <w:rPr>
          <w:rFonts w:ascii="Times New Roman" w:hAnsi="Times New Roman"/>
          <w:szCs w:val="22"/>
          <w:lang w:eastAsia="sk-SK"/>
        </w:rPr>
        <w:t xml:space="preserve"> </w:t>
      </w:r>
      <w:r w:rsidR="00420351" w:rsidRPr="00C66720">
        <w:rPr>
          <w:rFonts w:ascii="Times New Roman" w:hAnsi="Times New Roman"/>
          <w:szCs w:val="22"/>
          <w:lang w:eastAsia="sk-SK"/>
        </w:rPr>
        <w:t xml:space="preserve">NDF II </w:t>
      </w:r>
      <w:r w:rsidR="002A733B" w:rsidRPr="00C66720">
        <w:rPr>
          <w:rFonts w:ascii="Times New Roman" w:hAnsi="Times New Roman"/>
          <w:szCs w:val="22"/>
          <w:lang w:eastAsia="sk-SK"/>
        </w:rPr>
        <w:t>43 253</w:t>
      </w:r>
      <w:r w:rsidR="00C15D72" w:rsidRPr="00C66720">
        <w:rPr>
          <w:rFonts w:ascii="Times New Roman" w:hAnsi="Times New Roman"/>
          <w:szCs w:val="22"/>
          <w:lang w:eastAsia="sk-SK"/>
        </w:rPr>
        <w:t xml:space="preserve"> tis. eur</w:t>
      </w:r>
      <w:r w:rsidR="002A733B" w:rsidRPr="00C66720">
        <w:rPr>
          <w:rFonts w:ascii="Times New Roman" w:hAnsi="Times New Roman"/>
          <w:szCs w:val="22"/>
          <w:lang w:eastAsia="sk-SK"/>
        </w:rPr>
        <w:t>, Venture t</w:t>
      </w:r>
      <w:r w:rsidR="002E2248">
        <w:rPr>
          <w:rFonts w:ascii="Times New Roman" w:hAnsi="Times New Roman"/>
          <w:szCs w:val="22"/>
          <w:lang w:eastAsia="sk-SK"/>
        </w:rPr>
        <w:t>o</w:t>
      </w:r>
      <w:r w:rsidR="002A733B" w:rsidRPr="00C66720">
        <w:rPr>
          <w:rFonts w:ascii="Times New Roman" w:hAnsi="Times New Roman"/>
          <w:szCs w:val="22"/>
          <w:lang w:eastAsia="sk-SK"/>
        </w:rPr>
        <w:t xml:space="preserve"> Future Fund, a.s. 3 316 tis. eur</w:t>
      </w:r>
      <w:r w:rsidR="00C15D72" w:rsidRPr="00C66720">
        <w:rPr>
          <w:rFonts w:ascii="Times New Roman" w:hAnsi="Times New Roman"/>
          <w:szCs w:val="22"/>
          <w:lang w:eastAsia="sk-SK"/>
        </w:rPr>
        <w:t xml:space="preserve"> a</w:t>
      </w:r>
      <w:r w:rsidR="00420351" w:rsidRPr="00C66720">
        <w:rPr>
          <w:rFonts w:ascii="Times New Roman" w:hAnsi="Times New Roman"/>
          <w:szCs w:val="22"/>
          <w:lang w:eastAsia="sk-SK"/>
        </w:rPr>
        <w:t xml:space="preserve"> </w:t>
      </w:r>
      <w:r w:rsidR="00C15D72" w:rsidRPr="00C66720">
        <w:rPr>
          <w:rFonts w:ascii="Times New Roman" w:hAnsi="Times New Roman"/>
          <w:szCs w:val="22"/>
          <w:lang w:eastAsia="sk-SK"/>
        </w:rPr>
        <w:t xml:space="preserve">Environmentálny fond </w:t>
      </w:r>
      <w:r w:rsidR="002A733B" w:rsidRPr="00C66720">
        <w:rPr>
          <w:rFonts w:ascii="Times New Roman" w:hAnsi="Times New Roman"/>
          <w:szCs w:val="22"/>
          <w:lang w:eastAsia="sk-SK"/>
        </w:rPr>
        <w:t>1 889</w:t>
      </w:r>
      <w:r w:rsidR="00C15D72" w:rsidRPr="00C66720">
        <w:rPr>
          <w:rFonts w:ascii="Times New Roman" w:hAnsi="Times New Roman"/>
          <w:szCs w:val="22"/>
          <w:lang w:eastAsia="sk-SK"/>
        </w:rPr>
        <w:t xml:space="preserve"> tis. eur.</w:t>
      </w:r>
      <w:r w:rsidR="00227CD8" w:rsidRPr="00C66720">
        <w:rPr>
          <w:rFonts w:ascii="Times New Roman" w:hAnsi="Times New Roman"/>
          <w:szCs w:val="22"/>
          <w:lang w:eastAsia="sk-SK"/>
        </w:rPr>
        <w:t xml:space="preserve"> Medziročný </w:t>
      </w:r>
      <w:r w:rsidR="009B25E3" w:rsidRPr="00C66720">
        <w:rPr>
          <w:rFonts w:ascii="Times New Roman" w:hAnsi="Times New Roman"/>
          <w:szCs w:val="22"/>
          <w:lang w:eastAsia="sk-SK"/>
        </w:rPr>
        <w:t>prírastok v celkovej sume 85 189 tis. eur bol najvýraznejší v prípade Štátneho fondu rozvoja bývania</w:t>
      </w:r>
      <w:r w:rsidR="00E92BB7" w:rsidRPr="00C66720">
        <w:rPr>
          <w:rFonts w:ascii="Times New Roman" w:hAnsi="Times New Roman"/>
          <w:szCs w:val="22"/>
          <w:lang w:eastAsia="sk-SK"/>
        </w:rPr>
        <w:t xml:space="preserve">, a to </w:t>
      </w:r>
      <w:r w:rsidR="009B25E3" w:rsidRPr="00C66720">
        <w:rPr>
          <w:rFonts w:ascii="Times New Roman" w:hAnsi="Times New Roman"/>
          <w:szCs w:val="22"/>
          <w:lang w:eastAsia="sk-SK"/>
        </w:rPr>
        <w:t>o 62 431 tis. eur</w:t>
      </w:r>
      <w:r w:rsidR="00F97505" w:rsidRPr="00C66720">
        <w:rPr>
          <w:rFonts w:ascii="Times New Roman" w:hAnsi="Times New Roman"/>
          <w:szCs w:val="22"/>
          <w:lang w:eastAsia="sk-SK"/>
        </w:rPr>
        <w:t xml:space="preserve"> v podobe vyššieho zostatku nesplateného úveru poskytnutého na podporu nájomného bývania alebo na obnovu bytových budov</w:t>
      </w:r>
      <w:r w:rsidR="00E92BB7" w:rsidRPr="00C66720">
        <w:rPr>
          <w:rFonts w:ascii="Times New Roman" w:hAnsi="Times New Roman"/>
          <w:szCs w:val="22"/>
          <w:lang w:eastAsia="sk-SK"/>
        </w:rPr>
        <w:t>.</w:t>
      </w:r>
      <w:r w:rsidR="009B25E3" w:rsidRPr="00C66720">
        <w:rPr>
          <w:rFonts w:ascii="Times New Roman" w:hAnsi="Times New Roman"/>
          <w:szCs w:val="22"/>
          <w:lang w:eastAsia="sk-SK"/>
        </w:rPr>
        <w:t xml:space="preserve"> </w:t>
      </w:r>
    </w:p>
    <w:p w14:paraId="54E67178" w14:textId="390E16FA" w:rsidR="00770B7B" w:rsidRDefault="00770B7B" w:rsidP="00770B7B">
      <w:pPr>
        <w:tabs>
          <w:tab w:val="num" w:pos="0"/>
        </w:tabs>
        <w:spacing w:line="240" w:lineRule="auto"/>
        <w:jc w:val="both"/>
        <w:rPr>
          <w:rFonts w:ascii="Times New Roman" w:hAnsi="Times New Roman"/>
          <w:szCs w:val="22"/>
          <w:lang w:eastAsia="sk-SK"/>
        </w:rPr>
      </w:pPr>
      <w:r w:rsidRPr="00C66720">
        <w:rPr>
          <w:rFonts w:ascii="Times New Roman" w:hAnsi="Times New Roman"/>
          <w:szCs w:val="22"/>
          <w:lang w:eastAsia="sk-SK"/>
        </w:rPr>
        <w:t>V rámci ostatných</w:t>
      </w:r>
      <w:r w:rsidR="00951568" w:rsidRPr="00C66720">
        <w:rPr>
          <w:rFonts w:ascii="Times New Roman" w:hAnsi="Times New Roman"/>
          <w:szCs w:val="22"/>
          <w:lang w:eastAsia="sk-SK"/>
        </w:rPr>
        <w:t xml:space="preserve"> subjektov vykazuje takmer celú hodnotu dlhodobých pôžičiek Fond na podporu vzdelávania (34 156 tis. eur)</w:t>
      </w:r>
      <w:r w:rsidR="003A03C8" w:rsidRPr="00C66720">
        <w:rPr>
          <w:rFonts w:ascii="Times New Roman" w:hAnsi="Times New Roman"/>
          <w:szCs w:val="22"/>
          <w:lang w:eastAsia="sk-SK"/>
        </w:rPr>
        <w:t xml:space="preserve"> v súvislosti s poskytovaním pôžičiek študentom.</w:t>
      </w:r>
    </w:p>
    <w:p w14:paraId="6C943E3F" w14:textId="77777777" w:rsidR="00AC779E" w:rsidRPr="00C66720" w:rsidRDefault="00AC779E" w:rsidP="00770B7B">
      <w:pPr>
        <w:tabs>
          <w:tab w:val="num" w:pos="0"/>
        </w:tabs>
        <w:spacing w:line="240" w:lineRule="auto"/>
        <w:jc w:val="both"/>
        <w:rPr>
          <w:rFonts w:ascii="Times New Roman" w:hAnsi="Times New Roman"/>
          <w:szCs w:val="22"/>
          <w:lang w:eastAsia="sk-SK"/>
        </w:rPr>
      </w:pPr>
    </w:p>
    <w:p w14:paraId="2D9F8436" w14:textId="5B3B7FBF" w:rsidR="00662EC0" w:rsidRPr="00C66720" w:rsidRDefault="00662EC0" w:rsidP="00BA09BB">
      <w:pPr>
        <w:pStyle w:val="Pismenka"/>
        <w:numPr>
          <w:ilvl w:val="0"/>
          <w:numId w:val="44"/>
        </w:numPr>
        <w:spacing w:after="120"/>
        <w:ind w:left="284" w:hanging="284"/>
        <w:rPr>
          <w:i/>
          <w:szCs w:val="22"/>
          <w:u w:val="single"/>
        </w:rPr>
      </w:pPr>
      <w:bookmarkStart w:id="15" w:name="_Ref86091456"/>
      <w:r w:rsidRPr="00C66720">
        <w:rPr>
          <w:i/>
          <w:sz w:val="22"/>
          <w:szCs w:val="22"/>
          <w:u w:val="single"/>
        </w:rPr>
        <w:lastRenderedPageBreak/>
        <w:t>Termínované účty v bankách</w:t>
      </w:r>
      <w:bookmarkEnd w:id="15"/>
      <w:r w:rsidRPr="00C66720">
        <w:rPr>
          <w:i/>
          <w:sz w:val="22"/>
          <w:szCs w:val="22"/>
          <w:u w:val="single"/>
        </w:rPr>
        <w:t xml:space="preserve"> </w:t>
      </w:r>
    </w:p>
    <w:p w14:paraId="22DAE291" w14:textId="27444EF3" w:rsidR="00436377" w:rsidRPr="00C66720" w:rsidRDefault="005824CE" w:rsidP="00BA09BB">
      <w:pPr>
        <w:tabs>
          <w:tab w:val="num" w:pos="0"/>
        </w:tabs>
        <w:spacing w:before="120" w:line="240" w:lineRule="auto"/>
        <w:jc w:val="both"/>
        <w:rPr>
          <w:rFonts w:ascii="Times New Roman" w:hAnsi="Times New Roman"/>
          <w:szCs w:val="22"/>
          <w:lang w:eastAsia="sk-SK"/>
        </w:rPr>
      </w:pPr>
      <w:r w:rsidRPr="00C66720">
        <w:rPr>
          <w:rFonts w:ascii="Times New Roman" w:hAnsi="Times New Roman"/>
          <w:szCs w:val="22"/>
          <w:lang w:eastAsia="sk-SK"/>
        </w:rPr>
        <w:t>Zostatok na účtoch v bankách s dobou viazanosti dlhšou ako jeden rok, vzhľadom na svoj dlhodobý charakter</w:t>
      </w:r>
      <w:r w:rsidR="000222DF" w:rsidRPr="00C66720">
        <w:rPr>
          <w:rFonts w:ascii="Times New Roman" w:hAnsi="Times New Roman"/>
          <w:szCs w:val="22"/>
          <w:lang w:eastAsia="sk-SK"/>
        </w:rPr>
        <w:t xml:space="preserve">, </w:t>
      </w:r>
      <w:r w:rsidR="0011574F" w:rsidRPr="00C66720">
        <w:rPr>
          <w:rFonts w:ascii="Times New Roman" w:hAnsi="Times New Roman"/>
          <w:szCs w:val="22"/>
          <w:lang w:eastAsia="sk-SK"/>
        </w:rPr>
        <w:t xml:space="preserve"> sa </w:t>
      </w:r>
      <w:r w:rsidRPr="00C66720">
        <w:rPr>
          <w:rFonts w:ascii="Times New Roman" w:hAnsi="Times New Roman"/>
          <w:szCs w:val="22"/>
          <w:lang w:eastAsia="sk-SK"/>
        </w:rPr>
        <w:t xml:space="preserve">vykazuje v rámci dlhodobého finančného majetku a nie </w:t>
      </w:r>
      <w:r w:rsidR="0095072A" w:rsidRPr="00C66720">
        <w:rPr>
          <w:rFonts w:ascii="Times New Roman" w:hAnsi="Times New Roman"/>
          <w:szCs w:val="22"/>
          <w:lang w:eastAsia="sk-SK"/>
        </w:rPr>
        <w:t xml:space="preserve">ako položka finančného majetku. Medzi subjektami ústrednej správy </w:t>
      </w:r>
      <w:r w:rsidR="007B318F" w:rsidRPr="00C66720">
        <w:rPr>
          <w:rFonts w:ascii="Times New Roman" w:hAnsi="Times New Roman"/>
          <w:szCs w:val="22"/>
          <w:lang w:eastAsia="sk-SK"/>
        </w:rPr>
        <w:t xml:space="preserve">vykazuje najvýznamnejšiu hodnotu MH Invest, s.r.o. </w:t>
      </w:r>
      <w:r w:rsidR="0011574F" w:rsidRPr="00C66720">
        <w:rPr>
          <w:rFonts w:ascii="Times New Roman" w:hAnsi="Times New Roman"/>
          <w:szCs w:val="22"/>
          <w:lang w:eastAsia="sk-SK"/>
        </w:rPr>
        <w:br/>
      </w:r>
      <w:r w:rsidR="007B318F" w:rsidRPr="00C66720">
        <w:rPr>
          <w:rFonts w:ascii="Times New Roman" w:hAnsi="Times New Roman"/>
          <w:szCs w:val="22"/>
          <w:lang w:eastAsia="sk-SK"/>
        </w:rPr>
        <w:t>(14 999 tis. eur)</w:t>
      </w:r>
      <w:r w:rsidR="00A802F0" w:rsidRPr="00C66720">
        <w:rPr>
          <w:rFonts w:ascii="Times New Roman" w:hAnsi="Times New Roman"/>
          <w:szCs w:val="22"/>
          <w:lang w:eastAsia="sk-SK"/>
        </w:rPr>
        <w:t xml:space="preserve">. Zostatok prostriedkov na termínovaných účtoch obcí predstavuje </w:t>
      </w:r>
      <w:r w:rsidR="000222DF" w:rsidRPr="00C66720">
        <w:rPr>
          <w:rFonts w:ascii="Times New Roman" w:hAnsi="Times New Roman"/>
          <w:szCs w:val="22"/>
          <w:lang w:eastAsia="sk-SK"/>
        </w:rPr>
        <w:t>1</w:t>
      </w:r>
      <w:r w:rsidR="00D52F1C" w:rsidRPr="00C66720">
        <w:rPr>
          <w:rFonts w:ascii="Times New Roman" w:hAnsi="Times New Roman"/>
          <w:szCs w:val="22"/>
          <w:lang w:eastAsia="sk-SK"/>
        </w:rPr>
        <w:t>0 789</w:t>
      </w:r>
      <w:r w:rsidR="00A802F0" w:rsidRPr="00C66720">
        <w:rPr>
          <w:rFonts w:ascii="Times New Roman" w:hAnsi="Times New Roman"/>
          <w:szCs w:val="22"/>
          <w:lang w:eastAsia="sk-SK"/>
        </w:rPr>
        <w:t xml:space="preserve"> tis. eur </w:t>
      </w:r>
      <w:r w:rsidR="000222DF" w:rsidRPr="00C66720">
        <w:rPr>
          <w:rFonts w:ascii="Times New Roman" w:hAnsi="Times New Roman"/>
          <w:szCs w:val="22"/>
          <w:lang w:eastAsia="sk-SK"/>
        </w:rPr>
        <w:t>(</w:t>
      </w:r>
      <w:r w:rsidR="00D52F1C" w:rsidRPr="00C66720">
        <w:rPr>
          <w:rFonts w:ascii="Times New Roman" w:hAnsi="Times New Roman"/>
          <w:szCs w:val="22"/>
          <w:lang w:eastAsia="sk-SK"/>
        </w:rPr>
        <w:t>pokles</w:t>
      </w:r>
      <w:r w:rsidR="000222DF" w:rsidRPr="00C66720">
        <w:rPr>
          <w:rFonts w:ascii="Times New Roman" w:hAnsi="Times New Roman"/>
          <w:szCs w:val="22"/>
          <w:lang w:eastAsia="sk-SK"/>
        </w:rPr>
        <w:t xml:space="preserve"> o </w:t>
      </w:r>
      <w:r w:rsidR="00D52F1C" w:rsidRPr="00C66720">
        <w:rPr>
          <w:rFonts w:ascii="Times New Roman" w:hAnsi="Times New Roman"/>
          <w:szCs w:val="22"/>
          <w:lang w:eastAsia="sk-SK"/>
        </w:rPr>
        <w:t>990</w:t>
      </w:r>
      <w:r w:rsidR="000222DF" w:rsidRPr="00C66720">
        <w:rPr>
          <w:rFonts w:ascii="Times New Roman" w:hAnsi="Times New Roman"/>
          <w:szCs w:val="22"/>
          <w:lang w:eastAsia="sk-SK"/>
        </w:rPr>
        <w:t xml:space="preserve"> tis. eur)</w:t>
      </w:r>
      <w:r w:rsidR="00F445FE" w:rsidRPr="00C66720">
        <w:rPr>
          <w:rFonts w:ascii="Times New Roman" w:hAnsi="Times New Roman"/>
          <w:szCs w:val="22"/>
          <w:lang w:eastAsia="sk-SK"/>
        </w:rPr>
        <w:t>.</w:t>
      </w:r>
    </w:p>
    <w:p w14:paraId="6FE82195" w14:textId="17BC7428" w:rsidR="00497C5E" w:rsidRPr="00C66720" w:rsidRDefault="00497C5E" w:rsidP="00BA09BB">
      <w:pPr>
        <w:pStyle w:val="Pismenka"/>
        <w:numPr>
          <w:ilvl w:val="0"/>
          <w:numId w:val="44"/>
        </w:numPr>
        <w:spacing w:after="120"/>
        <w:ind w:left="284" w:hanging="284"/>
        <w:rPr>
          <w:i/>
          <w:szCs w:val="22"/>
          <w:u w:val="single"/>
        </w:rPr>
      </w:pPr>
      <w:bookmarkStart w:id="16" w:name="_Ref86091466"/>
      <w:r w:rsidRPr="00C66720">
        <w:rPr>
          <w:i/>
          <w:sz w:val="22"/>
          <w:szCs w:val="22"/>
          <w:u w:val="single"/>
        </w:rPr>
        <w:t>Ostatný dlhodobý finančný majetok</w:t>
      </w:r>
      <w:bookmarkEnd w:id="16"/>
    </w:p>
    <w:p w14:paraId="375D3190" w14:textId="59F66D3E" w:rsidR="00BA09BB" w:rsidRDefault="00497C5E" w:rsidP="00BA09BB">
      <w:pPr>
        <w:tabs>
          <w:tab w:val="num" w:pos="0"/>
        </w:tabs>
        <w:spacing w:after="120" w:line="240" w:lineRule="auto"/>
        <w:jc w:val="both"/>
        <w:rPr>
          <w:rFonts w:ascii="Times New Roman" w:hAnsi="Times New Roman"/>
          <w:szCs w:val="22"/>
          <w:lang w:eastAsia="sk-SK"/>
        </w:rPr>
      </w:pPr>
      <w:r w:rsidRPr="00C66720">
        <w:rPr>
          <w:rFonts w:ascii="Times New Roman" w:hAnsi="Times New Roman"/>
          <w:szCs w:val="22"/>
          <w:lang w:eastAsia="sk-SK"/>
        </w:rPr>
        <w:t>V ostatnom dlhodobom finančnom majetku sa vykaz</w:t>
      </w:r>
      <w:r w:rsidR="002D6047" w:rsidRPr="00C66720">
        <w:rPr>
          <w:rFonts w:ascii="Times New Roman" w:hAnsi="Times New Roman"/>
          <w:szCs w:val="22"/>
          <w:lang w:eastAsia="sk-SK"/>
        </w:rPr>
        <w:t>ujú</w:t>
      </w:r>
      <w:r w:rsidRPr="00C66720">
        <w:rPr>
          <w:rFonts w:ascii="Times New Roman" w:hAnsi="Times New Roman"/>
          <w:szCs w:val="22"/>
          <w:lang w:eastAsia="sk-SK"/>
        </w:rPr>
        <w:t xml:space="preserve"> </w:t>
      </w:r>
      <w:r w:rsidR="003420B9" w:rsidRPr="00C66720">
        <w:rPr>
          <w:rFonts w:ascii="Times New Roman" w:hAnsi="Times New Roman"/>
          <w:szCs w:val="22"/>
          <w:lang w:eastAsia="sk-SK"/>
        </w:rPr>
        <w:t>hlavne</w:t>
      </w:r>
      <w:r w:rsidR="002D6047" w:rsidRPr="00C66720">
        <w:rPr>
          <w:rFonts w:ascii="Times New Roman" w:hAnsi="Times New Roman"/>
          <w:szCs w:val="22"/>
          <w:lang w:eastAsia="sk-SK"/>
        </w:rPr>
        <w:t> </w:t>
      </w:r>
      <w:r w:rsidR="00506B05" w:rsidRPr="00C66720">
        <w:rPr>
          <w:rFonts w:ascii="Times New Roman" w:hAnsi="Times New Roman"/>
          <w:szCs w:val="22"/>
          <w:lang w:eastAsia="sk-SK"/>
        </w:rPr>
        <w:t>podiely</w:t>
      </w:r>
      <w:r w:rsidR="00C66E89" w:rsidRPr="00C66720">
        <w:rPr>
          <w:rFonts w:ascii="Times New Roman" w:hAnsi="Times New Roman"/>
          <w:szCs w:val="22"/>
          <w:lang w:eastAsia="sk-SK"/>
        </w:rPr>
        <w:t xml:space="preserve"> </w:t>
      </w:r>
      <w:r w:rsidR="002D6047" w:rsidRPr="00C66720">
        <w:rPr>
          <w:rFonts w:ascii="Times New Roman" w:hAnsi="Times New Roman"/>
          <w:szCs w:val="22"/>
          <w:lang w:eastAsia="sk-SK"/>
        </w:rPr>
        <w:t>Slovenskej republiky v medzinárodných finančných inštitúciách</w:t>
      </w:r>
      <w:r w:rsidR="008E69FE" w:rsidRPr="00C66720">
        <w:rPr>
          <w:rFonts w:ascii="Times New Roman" w:hAnsi="Times New Roman"/>
          <w:szCs w:val="22"/>
          <w:lang w:eastAsia="sk-SK"/>
        </w:rPr>
        <w:t xml:space="preserve"> a finančných stabilizačných mechanizmoch</w:t>
      </w:r>
      <w:r w:rsidR="002D6047" w:rsidRPr="00C66720">
        <w:rPr>
          <w:rFonts w:ascii="Times New Roman" w:hAnsi="Times New Roman"/>
          <w:szCs w:val="22"/>
          <w:lang w:eastAsia="sk-SK"/>
        </w:rPr>
        <w:t xml:space="preserve">. </w:t>
      </w:r>
    </w:p>
    <w:p w14:paraId="1ED6D469" w14:textId="77777777" w:rsidR="007B00A5" w:rsidRPr="000D7C70" w:rsidRDefault="007B00A5" w:rsidP="007B00A5">
      <w:pPr>
        <w:tabs>
          <w:tab w:val="num" w:pos="0"/>
        </w:tabs>
        <w:spacing w:after="0" w:line="240" w:lineRule="auto"/>
        <w:jc w:val="both"/>
        <w:rPr>
          <w:rFonts w:ascii="Times New Roman" w:hAnsi="Times New Roman"/>
          <w:b/>
          <w:sz w:val="18"/>
          <w:szCs w:val="18"/>
          <w:lang w:eastAsia="sk-SK"/>
        </w:rPr>
      </w:pPr>
      <w:r>
        <w:rPr>
          <w:rFonts w:ascii="Times New Roman" w:hAnsi="Times New Roman"/>
          <w:b/>
          <w:sz w:val="18"/>
          <w:szCs w:val="18"/>
          <w:lang w:eastAsia="sk-SK"/>
        </w:rPr>
        <w:t>Tabuľka 6</w:t>
      </w:r>
    </w:p>
    <w:tbl>
      <w:tblPr>
        <w:tblW w:w="5000" w:type="pct"/>
        <w:jc w:val="center"/>
        <w:tblLayout w:type="fixed"/>
        <w:tblCellMar>
          <w:left w:w="70" w:type="dxa"/>
          <w:right w:w="70" w:type="dxa"/>
        </w:tblCellMar>
        <w:tblLook w:val="00A0" w:firstRow="1" w:lastRow="0" w:firstColumn="1" w:lastColumn="0" w:noHBand="0" w:noVBand="0"/>
      </w:tblPr>
      <w:tblGrid>
        <w:gridCol w:w="5132"/>
        <w:gridCol w:w="989"/>
        <w:gridCol w:w="1419"/>
        <w:gridCol w:w="1531"/>
      </w:tblGrid>
      <w:tr w:rsidR="007B00A5" w:rsidRPr="00AD1DD7" w14:paraId="2E95B939"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329F914B" w14:textId="77777777" w:rsidR="007B00A5" w:rsidRPr="00AD1DD7" w:rsidRDefault="007B00A5" w:rsidP="00241F33">
            <w:pPr>
              <w:spacing w:after="0" w:line="240" w:lineRule="auto"/>
              <w:rPr>
                <w:sz w:val="18"/>
                <w:szCs w:val="18"/>
              </w:rPr>
            </w:pPr>
            <w:r w:rsidRPr="00AD1DD7">
              <w:rPr>
                <w:rFonts w:ascii="Times New Roman" w:hAnsi="Times New Roman"/>
                <w:szCs w:val="22"/>
                <w:lang w:eastAsia="sk-SK"/>
              </w:rPr>
              <w:br w:type="page"/>
            </w:r>
            <w:r w:rsidRPr="00AD1DD7">
              <w:rPr>
                <w:sz w:val="18"/>
                <w:szCs w:val="18"/>
              </w:rPr>
              <w:br w:type="page"/>
            </w:r>
            <w:r w:rsidRPr="00AD1DD7">
              <w:rPr>
                <w:rFonts w:ascii="Times New Roman" w:hAnsi="Times New Roman"/>
                <w:sz w:val="18"/>
                <w:szCs w:val="18"/>
                <w:lang w:eastAsia="sk-SK"/>
              </w:rPr>
              <w:br w:type="page"/>
              <w:t>M</w:t>
            </w:r>
            <w:r w:rsidRPr="00AD1DD7">
              <w:rPr>
                <w:rFonts w:ascii="Times New Roman" w:hAnsi="Times New Roman"/>
                <w:b/>
                <w:bCs/>
                <w:sz w:val="18"/>
                <w:szCs w:val="18"/>
                <w:lang w:eastAsia="sk-SK"/>
              </w:rPr>
              <w:t>ajetková účasť SR v medzinárodných inštitúciách v správe Ministerstva financií SR                                (v tis. eur) </w:t>
            </w:r>
          </w:p>
        </w:tc>
      </w:tr>
      <w:tr w:rsidR="002F44FB" w:rsidRPr="00975467" w14:paraId="550ABFF0" w14:textId="77777777" w:rsidTr="00241F33">
        <w:trPr>
          <w:trHeight w:val="330"/>
          <w:jc w:val="center"/>
        </w:trPr>
        <w:tc>
          <w:tcPr>
            <w:tcW w:w="2829" w:type="pct"/>
            <w:tcBorders>
              <w:top w:val="nil"/>
              <w:left w:val="nil"/>
              <w:bottom w:val="single" w:sz="4" w:space="0" w:color="auto"/>
              <w:right w:val="nil"/>
            </w:tcBorders>
            <w:shd w:val="clear" w:color="auto" w:fill="BDD7EE"/>
            <w:noWrap/>
            <w:vAlign w:val="center"/>
          </w:tcPr>
          <w:p w14:paraId="40EF846B" w14:textId="77777777" w:rsidR="002F44FB" w:rsidRPr="005D4C4E" w:rsidRDefault="002F44FB" w:rsidP="002F44FB">
            <w:pPr>
              <w:spacing w:after="0" w:line="240" w:lineRule="auto"/>
              <w:rPr>
                <w:rFonts w:ascii="Times New Roman" w:hAnsi="Times New Roman"/>
                <w:b/>
                <w:bCs/>
                <w:sz w:val="18"/>
                <w:szCs w:val="18"/>
                <w:lang w:eastAsia="sk-SK"/>
              </w:rPr>
            </w:pPr>
            <w:r w:rsidRPr="005D4C4E">
              <w:rPr>
                <w:rFonts w:ascii="Times New Roman" w:hAnsi="Times New Roman"/>
                <w:b/>
                <w:bCs/>
                <w:sz w:val="18"/>
                <w:szCs w:val="18"/>
                <w:lang w:eastAsia="sk-SK"/>
              </w:rPr>
              <w:t>Medzinárodná inštitúcia</w:t>
            </w:r>
          </w:p>
        </w:tc>
        <w:tc>
          <w:tcPr>
            <w:tcW w:w="545" w:type="pct"/>
            <w:tcBorders>
              <w:top w:val="nil"/>
              <w:left w:val="nil"/>
              <w:bottom w:val="single" w:sz="4" w:space="0" w:color="auto"/>
              <w:right w:val="nil"/>
            </w:tcBorders>
            <w:shd w:val="clear" w:color="auto" w:fill="BDD7EE"/>
            <w:noWrap/>
            <w:vAlign w:val="center"/>
          </w:tcPr>
          <w:p w14:paraId="3FB7C600" w14:textId="6203E846" w:rsidR="002F44FB" w:rsidRPr="005D4C4E" w:rsidRDefault="002F44FB" w:rsidP="002F44FB">
            <w:pPr>
              <w:spacing w:after="0" w:line="240" w:lineRule="auto"/>
              <w:ind w:hanging="197"/>
              <w:jc w:val="center"/>
              <w:rPr>
                <w:rFonts w:ascii="Times New Roman" w:hAnsi="Times New Roman"/>
                <w:b/>
                <w:bCs/>
                <w:sz w:val="18"/>
                <w:szCs w:val="18"/>
                <w:lang w:eastAsia="sk-SK"/>
              </w:rPr>
            </w:pPr>
            <w:r w:rsidRPr="00C66720">
              <w:rPr>
                <w:rFonts w:ascii="Times New Roman" w:hAnsi="Times New Roman"/>
                <w:b/>
                <w:bCs/>
                <w:sz w:val="18"/>
                <w:szCs w:val="18"/>
                <w:lang w:eastAsia="sk-SK"/>
              </w:rPr>
              <w:t xml:space="preserve">              2022</w:t>
            </w:r>
          </w:p>
        </w:tc>
        <w:tc>
          <w:tcPr>
            <w:tcW w:w="782" w:type="pct"/>
            <w:tcBorders>
              <w:top w:val="nil"/>
              <w:left w:val="nil"/>
              <w:bottom w:val="single" w:sz="4" w:space="0" w:color="auto"/>
              <w:right w:val="nil"/>
            </w:tcBorders>
            <w:shd w:val="clear" w:color="auto" w:fill="BDD7EE"/>
            <w:noWrap/>
            <w:vAlign w:val="center"/>
          </w:tcPr>
          <w:p w14:paraId="0833D2A2" w14:textId="4AF2B4C6" w:rsidR="002F44FB" w:rsidRPr="005D4C4E" w:rsidRDefault="002F44FB" w:rsidP="002F44F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 xml:space="preserve">              2021</w:t>
            </w:r>
          </w:p>
        </w:tc>
        <w:tc>
          <w:tcPr>
            <w:tcW w:w="844" w:type="pct"/>
            <w:tcBorders>
              <w:top w:val="nil"/>
              <w:left w:val="nil"/>
              <w:bottom w:val="single" w:sz="4" w:space="0" w:color="auto"/>
              <w:right w:val="nil"/>
            </w:tcBorders>
            <w:shd w:val="clear" w:color="auto" w:fill="BDD7EE"/>
            <w:vAlign w:val="center"/>
          </w:tcPr>
          <w:p w14:paraId="47244227" w14:textId="5C0DE69F" w:rsidR="002F44FB" w:rsidRPr="005D4C4E" w:rsidRDefault="002F44FB" w:rsidP="002F44FB">
            <w:pPr>
              <w:spacing w:after="0" w:line="240" w:lineRule="auto"/>
              <w:jc w:val="right"/>
              <w:rPr>
                <w:rFonts w:ascii="Times New Roman" w:hAnsi="Times New Roman"/>
                <w:b/>
                <w:bCs/>
                <w:color w:val="FF0000"/>
                <w:sz w:val="18"/>
                <w:szCs w:val="18"/>
                <w:lang w:eastAsia="sk-SK"/>
              </w:rPr>
            </w:pPr>
            <w:r w:rsidRPr="00C66720">
              <w:rPr>
                <w:rFonts w:ascii="Times New Roman" w:hAnsi="Times New Roman"/>
                <w:b/>
                <w:bCs/>
                <w:sz w:val="18"/>
                <w:szCs w:val="18"/>
                <w:lang w:eastAsia="sk-SK"/>
              </w:rPr>
              <w:t>Δ 2022-2021</w:t>
            </w:r>
          </w:p>
        </w:tc>
      </w:tr>
      <w:tr w:rsidR="00257E64" w:rsidRPr="00975467" w14:paraId="1431EFB7"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18723800" w14:textId="385E8A2E" w:rsidR="00257E64" w:rsidRPr="005D4C4E" w:rsidRDefault="00257E64" w:rsidP="00257E64">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Európsky stabilizačný mechanizmus (ESM)</w:t>
            </w:r>
          </w:p>
        </w:tc>
        <w:tc>
          <w:tcPr>
            <w:tcW w:w="545" w:type="pct"/>
            <w:tcBorders>
              <w:top w:val="nil"/>
              <w:left w:val="nil"/>
              <w:bottom w:val="nil"/>
              <w:right w:val="nil"/>
            </w:tcBorders>
            <w:shd w:val="clear" w:color="000000" w:fill="FFFFFF"/>
            <w:vAlign w:val="center"/>
          </w:tcPr>
          <w:p w14:paraId="70DB1B5C" w14:textId="1DE7D936"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793 350</w:t>
            </w:r>
          </w:p>
        </w:tc>
        <w:tc>
          <w:tcPr>
            <w:tcW w:w="782" w:type="pct"/>
            <w:tcBorders>
              <w:top w:val="nil"/>
              <w:left w:val="nil"/>
              <w:bottom w:val="nil"/>
              <w:right w:val="nil"/>
            </w:tcBorders>
            <w:shd w:val="clear" w:color="000000" w:fill="FFFFFF"/>
            <w:vAlign w:val="center"/>
          </w:tcPr>
          <w:p w14:paraId="20B57D94" w14:textId="62849F91"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793 350</w:t>
            </w:r>
          </w:p>
        </w:tc>
        <w:tc>
          <w:tcPr>
            <w:tcW w:w="844" w:type="pct"/>
            <w:tcBorders>
              <w:top w:val="nil"/>
              <w:left w:val="nil"/>
              <w:bottom w:val="nil"/>
              <w:right w:val="nil"/>
            </w:tcBorders>
            <w:shd w:val="clear" w:color="000000" w:fill="FFFFFF"/>
            <w:vAlign w:val="center"/>
          </w:tcPr>
          <w:p w14:paraId="6D9F52A2" w14:textId="14EA6B4C"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r>
      <w:tr w:rsidR="00257E64" w:rsidRPr="00975467" w14:paraId="2D424836"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5AC5F175" w14:textId="0023127D" w:rsidR="00257E64" w:rsidRPr="005D4C4E" w:rsidRDefault="00257E64" w:rsidP="00257E64">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Európska investičná banka (EIB)</w:t>
            </w:r>
          </w:p>
        </w:tc>
        <w:tc>
          <w:tcPr>
            <w:tcW w:w="545" w:type="pct"/>
            <w:tcBorders>
              <w:top w:val="nil"/>
              <w:left w:val="nil"/>
              <w:bottom w:val="nil"/>
              <w:right w:val="nil"/>
            </w:tcBorders>
            <w:shd w:val="clear" w:color="000000" w:fill="FFFFFF"/>
            <w:vAlign w:val="center"/>
          </w:tcPr>
          <w:p w14:paraId="76CCF542" w14:textId="5C88EAA6"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122 613</w:t>
            </w:r>
          </w:p>
        </w:tc>
        <w:tc>
          <w:tcPr>
            <w:tcW w:w="782" w:type="pct"/>
            <w:tcBorders>
              <w:top w:val="nil"/>
              <w:left w:val="nil"/>
              <w:bottom w:val="nil"/>
              <w:right w:val="nil"/>
            </w:tcBorders>
            <w:shd w:val="clear" w:color="000000" w:fill="FFFFFF"/>
            <w:vAlign w:val="center"/>
          </w:tcPr>
          <w:p w14:paraId="2FE9EA6D" w14:textId="0B9EC6B7"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122 608</w:t>
            </w:r>
          </w:p>
        </w:tc>
        <w:tc>
          <w:tcPr>
            <w:tcW w:w="844" w:type="pct"/>
            <w:tcBorders>
              <w:top w:val="nil"/>
              <w:left w:val="nil"/>
              <w:bottom w:val="nil"/>
              <w:right w:val="nil"/>
            </w:tcBorders>
            <w:shd w:val="clear" w:color="000000" w:fill="FFFFFF"/>
            <w:vAlign w:val="center"/>
          </w:tcPr>
          <w:p w14:paraId="3BD31E68" w14:textId="653A0543"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w:t>
            </w:r>
          </w:p>
        </w:tc>
      </w:tr>
      <w:tr w:rsidR="00257E64" w:rsidRPr="00975467" w14:paraId="6C3734F3"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62D8FD95" w14:textId="7DE8D0AD" w:rsidR="00257E64" w:rsidRPr="005D4C4E" w:rsidRDefault="00257E64" w:rsidP="00257E64">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Skupina Svetovej banky </w:t>
            </w:r>
          </w:p>
        </w:tc>
        <w:tc>
          <w:tcPr>
            <w:tcW w:w="545" w:type="pct"/>
            <w:tcBorders>
              <w:top w:val="nil"/>
              <w:left w:val="nil"/>
              <w:bottom w:val="nil"/>
              <w:right w:val="nil"/>
            </w:tcBorders>
            <w:shd w:val="clear" w:color="000000" w:fill="FFFFFF"/>
            <w:vAlign w:val="center"/>
          </w:tcPr>
          <w:p w14:paraId="39851F49" w14:textId="299191F1"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104 014</w:t>
            </w:r>
          </w:p>
        </w:tc>
        <w:tc>
          <w:tcPr>
            <w:tcW w:w="782" w:type="pct"/>
            <w:tcBorders>
              <w:top w:val="nil"/>
              <w:left w:val="nil"/>
              <w:bottom w:val="nil"/>
              <w:right w:val="nil"/>
            </w:tcBorders>
            <w:shd w:val="clear" w:color="000000" w:fill="FFFFFF"/>
            <w:vAlign w:val="center"/>
          </w:tcPr>
          <w:p w14:paraId="430E0B69" w14:textId="50988FC9"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93 782</w:t>
            </w:r>
          </w:p>
        </w:tc>
        <w:tc>
          <w:tcPr>
            <w:tcW w:w="844" w:type="pct"/>
            <w:tcBorders>
              <w:top w:val="nil"/>
              <w:left w:val="nil"/>
              <w:bottom w:val="nil"/>
              <w:right w:val="nil"/>
            </w:tcBorders>
            <w:shd w:val="clear" w:color="000000" w:fill="FFFFFF"/>
            <w:vAlign w:val="center"/>
          </w:tcPr>
          <w:p w14:paraId="0CD89776" w14:textId="7403B374"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10 232</w:t>
            </w:r>
          </w:p>
        </w:tc>
      </w:tr>
      <w:tr w:rsidR="00257E64" w:rsidRPr="00975467" w14:paraId="0137BA5D" w14:textId="77777777" w:rsidTr="00241F33">
        <w:trPr>
          <w:trHeight w:hRule="exact" w:val="196"/>
          <w:jc w:val="center"/>
        </w:trPr>
        <w:tc>
          <w:tcPr>
            <w:tcW w:w="2829" w:type="pct"/>
            <w:tcBorders>
              <w:top w:val="nil"/>
              <w:left w:val="nil"/>
              <w:bottom w:val="nil"/>
              <w:right w:val="nil"/>
            </w:tcBorders>
            <w:shd w:val="clear" w:color="000000" w:fill="FFFFFF"/>
            <w:vAlign w:val="center"/>
          </w:tcPr>
          <w:p w14:paraId="1CF73921" w14:textId="4D0869CB" w:rsidR="00257E64" w:rsidRPr="005D4C4E" w:rsidRDefault="00257E64" w:rsidP="00257E64">
            <w:pPr>
              <w:spacing w:after="0" w:line="240" w:lineRule="auto"/>
              <w:rPr>
                <w:rFonts w:ascii="Times New Roman" w:hAnsi="Times New Roman"/>
                <w:sz w:val="18"/>
                <w:szCs w:val="18"/>
                <w:lang w:eastAsia="sk-SK"/>
              </w:rPr>
            </w:pPr>
            <w:r w:rsidRPr="00C66720">
              <w:rPr>
                <w:rFonts w:ascii="Times New Roman" w:hAnsi="Times New Roman"/>
                <w:color w:val="FF0000"/>
                <w:sz w:val="18"/>
                <w:szCs w:val="18"/>
                <w:lang w:eastAsia="sk-SK"/>
              </w:rPr>
              <w:t xml:space="preserve"> </w:t>
            </w:r>
            <w:r w:rsidRPr="00C66720">
              <w:rPr>
                <w:rFonts w:ascii="Times New Roman" w:hAnsi="Times New Roman"/>
                <w:sz w:val="18"/>
                <w:szCs w:val="18"/>
                <w:lang w:eastAsia="sk-SK"/>
              </w:rPr>
              <w:t xml:space="preserve">z toho: </w:t>
            </w:r>
          </w:p>
        </w:tc>
        <w:tc>
          <w:tcPr>
            <w:tcW w:w="545" w:type="pct"/>
            <w:tcBorders>
              <w:top w:val="nil"/>
              <w:left w:val="nil"/>
              <w:bottom w:val="nil"/>
              <w:right w:val="nil"/>
            </w:tcBorders>
            <w:shd w:val="clear" w:color="000000" w:fill="FFFFFF"/>
            <w:vAlign w:val="center"/>
          </w:tcPr>
          <w:p w14:paraId="53575B5D" w14:textId="77777777" w:rsidR="00257E64" w:rsidRPr="005D4C4E" w:rsidRDefault="00257E64" w:rsidP="00257E64">
            <w:pPr>
              <w:spacing w:after="0" w:line="240" w:lineRule="auto"/>
              <w:jc w:val="right"/>
              <w:rPr>
                <w:rFonts w:ascii="Times New Roman" w:hAnsi="Times New Roman"/>
                <w:sz w:val="18"/>
                <w:szCs w:val="18"/>
                <w:lang w:eastAsia="sk-SK"/>
              </w:rPr>
            </w:pPr>
          </w:p>
        </w:tc>
        <w:tc>
          <w:tcPr>
            <w:tcW w:w="782" w:type="pct"/>
            <w:tcBorders>
              <w:top w:val="nil"/>
              <w:left w:val="nil"/>
              <w:bottom w:val="nil"/>
              <w:right w:val="nil"/>
            </w:tcBorders>
            <w:shd w:val="clear" w:color="000000" w:fill="FFFFFF"/>
            <w:vAlign w:val="center"/>
          </w:tcPr>
          <w:p w14:paraId="5958D759" w14:textId="77777777" w:rsidR="00257E64" w:rsidRPr="005D4C4E" w:rsidRDefault="00257E64" w:rsidP="00257E64">
            <w:pPr>
              <w:spacing w:after="0" w:line="240" w:lineRule="auto"/>
              <w:jc w:val="right"/>
              <w:rPr>
                <w:rFonts w:ascii="Times New Roman" w:hAnsi="Times New Roman"/>
                <w:sz w:val="18"/>
                <w:szCs w:val="18"/>
                <w:lang w:eastAsia="sk-SK"/>
              </w:rPr>
            </w:pPr>
          </w:p>
        </w:tc>
        <w:tc>
          <w:tcPr>
            <w:tcW w:w="844" w:type="pct"/>
            <w:tcBorders>
              <w:top w:val="nil"/>
              <w:left w:val="nil"/>
              <w:bottom w:val="nil"/>
              <w:right w:val="nil"/>
            </w:tcBorders>
            <w:shd w:val="clear" w:color="000000" w:fill="FFFFFF"/>
            <w:vAlign w:val="center"/>
          </w:tcPr>
          <w:p w14:paraId="404A65FF" w14:textId="77777777" w:rsidR="00257E64" w:rsidRPr="005D4C4E" w:rsidRDefault="00257E64" w:rsidP="00257E64">
            <w:pPr>
              <w:spacing w:after="0" w:line="240" w:lineRule="auto"/>
              <w:jc w:val="right"/>
              <w:rPr>
                <w:rFonts w:ascii="Times New Roman" w:hAnsi="Times New Roman"/>
                <w:sz w:val="18"/>
                <w:szCs w:val="18"/>
                <w:lang w:eastAsia="sk-SK"/>
              </w:rPr>
            </w:pPr>
          </w:p>
        </w:tc>
      </w:tr>
      <w:tr w:rsidR="00257E64" w:rsidRPr="00975467" w14:paraId="751E201B" w14:textId="77777777" w:rsidTr="00257E64">
        <w:trPr>
          <w:trHeight w:hRule="exact" w:val="330"/>
          <w:jc w:val="center"/>
        </w:trPr>
        <w:tc>
          <w:tcPr>
            <w:tcW w:w="2829" w:type="pct"/>
            <w:tcBorders>
              <w:top w:val="nil"/>
              <w:left w:val="nil"/>
              <w:bottom w:val="nil"/>
              <w:right w:val="nil"/>
            </w:tcBorders>
            <w:shd w:val="clear" w:color="000000" w:fill="FFFFFF"/>
            <w:vAlign w:val="center"/>
          </w:tcPr>
          <w:p w14:paraId="51F52347" w14:textId="56CF65F0" w:rsidR="00257E64" w:rsidRPr="005D4C4E" w:rsidRDefault="00257E64" w:rsidP="00257E64">
            <w:pPr>
              <w:spacing w:after="0" w:line="240" w:lineRule="auto"/>
              <w:ind w:firstLine="426"/>
              <w:rPr>
                <w:rFonts w:ascii="Times New Roman" w:hAnsi="Times New Roman"/>
                <w:sz w:val="18"/>
                <w:szCs w:val="18"/>
                <w:lang w:eastAsia="sk-SK"/>
              </w:rPr>
            </w:pPr>
            <w:r w:rsidRPr="00C66720">
              <w:rPr>
                <w:rFonts w:ascii="Times New Roman" w:hAnsi="Times New Roman"/>
                <w:sz w:val="18"/>
                <w:szCs w:val="18"/>
                <w:lang w:eastAsia="sk-SK"/>
              </w:rPr>
              <w:t>Medzinárodná finančná korporácia (IFC)</w:t>
            </w:r>
          </w:p>
        </w:tc>
        <w:tc>
          <w:tcPr>
            <w:tcW w:w="545" w:type="pct"/>
            <w:tcBorders>
              <w:top w:val="nil"/>
              <w:left w:val="nil"/>
              <w:bottom w:val="nil"/>
              <w:right w:val="nil"/>
            </w:tcBorders>
            <w:shd w:val="clear" w:color="000000" w:fill="FFFFFF"/>
            <w:vAlign w:val="center"/>
          </w:tcPr>
          <w:p w14:paraId="44573C0D" w14:textId="6D86962E"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38 418</w:t>
            </w:r>
          </w:p>
        </w:tc>
        <w:tc>
          <w:tcPr>
            <w:tcW w:w="782" w:type="pct"/>
            <w:tcBorders>
              <w:top w:val="nil"/>
              <w:left w:val="nil"/>
              <w:bottom w:val="nil"/>
              <w:right w:val="nil"/>
            </w:tcBorders>
            <w:shd w:val="clear" w:color="000000" w:fill="FFFFFF"/>
            <w:vAlign w:val="center"/>
          </w:tcPr>
          <w:p w14:paraId="61A79B2F" w14:textId="5F3C556D"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33 091</w:t>
            </w:r>
          </w:p>
        </w:tc>
        <w:tc>
          <w:tcPr>
            <w:tcW w:w="844" w:type="pct"/>
            <w:tcBorders>
              <w:top w:val="nil"/>
              <w:left w:val="nil"/>
              <w:bottom w:val="nil"/>
              <w:right w:val="nil"/>
            </w:tcBorders>
            <w:shd w:val="clear" w:color="000000" w:fill="FFFFFF"/>
            <w:vAlign w:val="bottom"/>
          </w:tcPr>
          <w:p w14:paraId="75F93974" w14:textId="28A61409"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5 327</w:t>
            </w:r>
          </w:p>
        </w:tc>
      </w:tr>
      <w:tr w:rsidR="00257E64" w:rsidRPr="00975467" w14:paraId="333515BB"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1FC2AD83" w14:textId="065B6428" w:rsidR="00257E64" w:rsidRPr="005D4C4E" w:rsidRDefault="00257E64" w:rsidP="00257E64">
            <w:pPr>
              <w:spacing w:after="0" w:line="240" w:lineRule="auto"/>
              <w:ind w:firstLine="426"/>
              <w:rPr>
                <w:rFonts w:ascii="Times New Roman" w:hAnsi="Times New Roman"/>
                <w:sz w:val="18"/>
                <w:szCs w:val="18"/>
                <w:lang w:eastAsia="sk-SK"/>
              </w:rPr>
            </w:pPr>
            <w:r w:rsidRPr="00C66720">
              <w:rPr>
                <w:rFonts w:ascii="Times New Roman" w:hAnsi="Times New Roman"/>
                <w:sz w:val="18"/>
                <w:szCs w:val="18"/>
                <w:lang w:eastAsia="sk-SK"/>
              </w:rPr>
              <w:t>Medzinárodná banka pre obnovu a rozvoj (IBRD)</w:t>
            </w:r>
          </w:p>
        </w:tc>
        <w:tc>
          <w:tcPr>
            <w:tcW w:w="545" w:type="pct"/>
            <w:tcBorders>
              <w:top w:val="nil"/>
              <w:left w:val="nil"/>
              <w:bottom w:val="nil"/>
              <w:right w:val="nil"/>
            </w:tcBorders>
            <w:shd w:val="clear" w:color="000000" w:fill="FFFFFF"/>
            <w:vAlign w:val="center"/>
          </w:tcPr>
          <w:p w14:paraId="0A873E41" w14:textId="7B1DFF8F"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36 211</w:t>
            </w:r>
          </w:p>
        </w:tc>
        <w:tc>
          <w:tcPr>
            <w:tcW w:w="782" w:type="pct"/>
            <w:tcBorders>
              <w:top w:val="nil"/>
              <w:left w:val="nil"/>
              <w:bottom w:val="nil"/>
              <w:right w:val="nil"/>
            </w:tcBorders>
            <w:shd w:val="clear" w:color="000000" w:fill="FFFFFF"/>
            <w:vAlign w:val="center"/>
          </w:tcPr>
          <w:p w14:paraId="016BF7EB" w14:textId="48E21785"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32 016</w:t>
            </w:r>
          </w:p>
        </w:tc>
        <w:tc>
          <w:tcPr>
            <w:tcW w:w="844" w:type="pct"/>
            <w:tcBorders>
              <w:top w:val="nil"/>
              <w:left w:val="nil"/>
              <w:bottom w:val="nil"/>
              <w:right w:val="nil"/>
            </w:tcBorders>
            <w:shd w:val="clear" w:color="000000" w:fill="FFFFFF"/>
            <w:vAlign w:val="center"/>
          </w:tcPr>
          <w:p w14:paraId="26129D9B" w14:textId="24AD2BD9"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4 195</w:t>
            </w:r>
          </w:p>
        </w:tc>
      </w:tr>
      <w:tr w:rsidR="00257E64" w:rsidRPr="00975467" w14:paraId="36A91CA0"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168F84C9" w14:textId="2277F834" w:rsidR="00257E64" w:rsidRPr="005D4C4E" w:rsidRDefault="00257E64" w:rsidP="00257E64">
            <w:pPr>
              <w:spacing w:after="0" w:line="240" w:lineRule="auto"/>
              <w:ind w:firstLine="426"/>
              <w:rPr>
                <w:rFonts w:ascii="Times New Roman" w:hAnsi="Times New Roman"/>
                <w:sz w:val="18"/>
                <w:szCs w:val="18"/>
                <w:lang w:eastAsia="sk-SK"/>
              </w:rPr>
            </w:pPr>
            <w:r w:rsidRPr="00C66720">
              <w:rPr>
                <w:rFonts w:ascii="Times New Roman" w:hAnsi="Times New Roman"/>
                <w:sz w:val="18"/>
                <w:szCs w:val="18"/>
                <w:lang w:eastAsia="sk-SK"/>
              </w:rPr>
              <w:t>Medzinárodná asociácia pre rozvoj (IDA)</w:t>
            </w:r>
          </w:p>
        </w:tc>
        <w:tc>
          <w:tcPr>
            <w:tcW w:w="545" w:type="pct"/>
            <w:tcBorders>
              <w:top w:val="nil"/>
              <w:left w:val="nil"/>
              <w:bottom w:val="nil"/>
              <w:right w:val="nil"/>
            </w:tcBorders>
            <w:shd w:val="clear" w:color="000000" w:fill="FFFFFF"/>
            <w:vAlign w:val="center"/>
          </w:tcPr>
          <w:p w14:paraId="1AE5C6AF" w14:textId="6F79AA98" w:rsidR="00257E64" w:rsidRPr="005D4C4E" w:rsidRDefault="00257E64" w:rsidP="00257E64">
            <w:pPr>
              <w:spacing w:after="0" w:line="240" w:lineRule="auto"/>
              <w:jc w:val="right"/>
              <w:rPr>
                <w:rFonts w:ascii="Times New Roman" w:hAnsi="Times New Roman"/>
                <w:color w:val="FF0000"/>
                <w:sz w:val="18"/>
                <w:szCs w:val="18"/>
                <w:lang w:eastAsia="sk-SK"/>
              </w:rPr>
            </w:pPr>
            <w:r w:rsidRPr="00C66720">
              <w:rPr>
                <w:rFonts w:ascii="Times New Roman" w:hAnsi="Times New Roman"/>
                <w:sz w:val="18"/>
                <w:szCs w:val="18"/>
                <w:lang w:eastAsia="sk-SK"/>
              </w:rPr>
              <w:t>28 632</w:t>
            </w:r>
          </w:p>
        </w:tc>
        <w:tc>
          <w:tcPr>
            <w:tcW w:w="782" w:type="pct"/>
            <w:tcBorders>
              <w:top w:val="nil"/>
              <w:left w:val="nil"/>
              <w:bottom w:val="nil"/>
              <w:right w:val="nil"/>
            </w:tcBorders>
            <w:shd w:val="clear" w:color="000000" w:fill="FFFFFF"/>
            <w:vAlign w:val="center"/>
          </w:tcPr>
          <w:p w14:paraId="7C03F77B" w14:textId="299282E7"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27 965</w:t>
            </w:r>
          </w:p>
        </w:tc>
        <w:tc>
          <w:tcPr>
            <w:tcW w:w="844" w:type="pct"/>
            <w:tcBorders>
              <w:top w:val="nil"/>
              <w:left w:val="nil"/>
              <w:bottom w:val="nil"/>
              <w:right w:val="nil"/>
            </w:tcBorders>
            <w:shd w:val="clear" w:color="000000" w:fill="FFFFFF"/>
            <w:vAlign w:val="center"/>
          </w:tcPr>
          <w:p w14:paraId="3F3A3251" w14:textId="74B4B128" w:rsidR="00257E64" w:rsidRPr="005D4C4E" w:rsidRDefault="00257E64" w:rsidP="00257E64">
            <w:pPr>
              <w:spacing w:after="0" w:line="240" w:lineRule="auto"/>
              <w:jc w:val="right"/>
              <w:rPr>
                <w:rFonts w:ascii="Times New Roman" w:hAnsi="Times New Roman"/>
                <w:color w:val="FF0000"/>
                <w:sz w:val="18"/>
                <w:szCs w:val="18"/>
                <w:lang w:eastAsia="sk-SK"/>
              </w:rPr>
            </w:pPr>
            <w:r w:rsidRPr="00C66720">
              <w:rPr>
                <w:rFonts w:ascii="Times New Roman" w:hAnsi="Times New Roman"/>
                <w:sz w:val="18"/>
                <w:szCs w:val="18"/>
                <w:lang w:eastAsia="sk-SK"/>
              </w:rPr>
              <w:t>667</w:t>
            </w:r>
          </w:p>
        </w:tc>
      </w:tr>
      <w:tr w:rsidR="00257E64" w:rsidRPr="00975467" w14:paraId="7C4A223D"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10BBFFBE" w14:textId="52FD322F" w:rsidR="00257E64" w:rsidRPr="005D4C4E" w:rsidRDefault="00257E64" w:rsidP="00257E64">
            <w:pPr>
              <w:spacing w:after="0" w:line="240" w:lineRule="auto"/>
              <w:ind w:firstLine="426"/>
              <w:rPr>
                <w:rFonts w:ascii="Times New Roman" w:hAnsi="Times New Roman"/>
                <w:sz w:val="18"/>
                <w:szCs w:val="18"/>
                <w:lang w:eastAsia="sk-SK"/>
              </w:rPr>
            </w:pPr>
            <w:r w:rsidRPr="00C66720">
              <w:rPr>
                <w:rFonts w:ascii="Times New Roman" w:hAnsi="Times New Roman"/>
                <w:sz w:val="18"/>
                <w:szCs w:val="18"/>
                <w:lang w:eastAsia="sk-SK"/>
              </w:rPr>
              <w:t>Mnohostranná agentúra pre investičné záruky (MIGA)</w:t>
            </w:r>
          </w:p>
        </w:tc>
        <w:tc>
          <w:tcPr>
            <w:tcW w:w="545" w:type="pct"/>
            <w:tcBorders>
              <w:top w:val="nil"/>
              <w:left w:val="nil"/>
              <w:bottom w:val="nil"/>
              <w:right w:val="nil"/>
            </w:tcBorders>
            <w:shd w:val="clear" w:color="000000" w:fill="FFFFFF"/>
            <w:vAlign w:val="center"/>
          </w:tcPr>
          <w:p w14:paraId="174ED8CB" w14:textId="491D8282"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753</w:t>
            </w:r>
          </w:p>
        </w:tc>
        <w:tc>
          <w:tcPr>
            <w:tcW w:w="782" w:type="pct"/>
            <w:tcBorders>
              <w:top w:val="nil"/>
              <w:left w:val="nil"/>
              <w:bottom w:val="nil"/>
              <w:right w:val="nil"/>
            </w:tcBorders>
            <w:shd w:val="clear" w:color="000000" w:fill="FFFFFF"/>
            <w:vAlign w:val="center"/>
          </w:tcPr>
          <w:p w14:paraId="46DFA323" w14:textId="0C2494EA"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710</w:t>
            </w:r>
          </w:p>
        </w:tc>
        <w:tc>
          <w:tcPr>
            <w:tcW w:w="844" w:type="pct"/>
            <w:tcBorders>
              <w:top w:val="nil"/>
              <w:left w:val="nil"/>
              <w:bottom w:val="nil"/>
              <w:right w:val="nil"/>
            </w:tcBorders>
            <w:shd w:val="clear" w:color="000000" w:fill="FFFFFF"/>
            <w:vAlign w:val="center"/>
          </w:tcPr>
          <w:p w14:paraId="0C8242D2" w14:textId="084BB1B2"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43</w:t>
            </w:r>
          </w:p>
        </w:tc>
      </w:tr>
      <w:tr w:rsidR="00257E64" w:rsidRPr="00975467" w14:paraId="0980A2CE"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431087F4" w14:textId="5AECBED2" w:rsidR="00257E64" w:rsidRPr="005D4C4E" w:rsidRDefault="00257E64" w:rsidP="00257E64">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Medzinárodná investičná banka (MIB)</w:t>
            </w:r>
          </w:p>
        </w:tc>
        <w:tc>
          <w:tcPr>
            <w:tcW w:w="545" w:type="pct"/>
            <w:tcBorders>
              <w:top w:val="nil"/>
              <w:left w:val="nil"/>
              <w:bottom w:val="nil"/>
              <w:right w:val="nil"/>
            </w:tcBorders>
            <w:shd w:val="clear" w:color="000000" w:fill="FFFFFF"/>
            <w:vAlign w:val="center"/>
          </w:tcPr>
          <w:p w14:paraId="6C3C76FA" w14:textId="4761713B"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28 869</w:t>
            </w:r>
          </w:p>
        </w:tc>
        <w:tc>
          <w:tcPr>
            <w:tcW w:w="782" w:type="pct"/>
            <w:tcBorders>
              <w:top w:val="nil"/>
              <w:left w:val="nil"/>
              <w:bottom w:val="nil"/>
              <w:right w:val="nil"/>
            </w:tcBorders>
            <w:shd w:val="clear" w:color="000000" w:fill="FFFFFF"/>
            <w:vAlign w:val="center"/>
          </w:tcPr>
          <w:p w14:paraId="66AD3EC4" w14:textId="0041B057"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28 869</w:t>
            </w:r>
          </w:p>
        </w:tc>
        <w:tc>
          <w:tcPr>
            <w:tcW w:w="844" w:type="pct"/>
            <w:tcBorders>
              <w:top w:val="nil"/>
              <w:left w:val="nil"/>
              <w:bottom w:val="nil"/>
              <w:right w:val="nil"/>
            </w:tcBorders>
            <w:shd w:val="clear" w:color="000000" w:fill="FFFFFF"/>
            <w:vAlign w:val="center"/>
          </w:tcPr>
          <w:p w14:paraId="1F4DDF6A" w14:textId="7316AD27"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r>
      <w:tr w:rsidR="00257E64" w:rsidRPr="00975467" w14:paraId="1D5EE30C"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26F25C47" w14:textId="47FDB02C" w:rsidR="00257E64" w:rsidRPr="005D4C4E" w:rsidRDefault="00257E64" w:rsidP="00257E64">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Európska banka pre obnovu a rozvoj (EBOR)</w:t>
            </w:r>
          </w:p>
        </w:tc>
        <w:tc>
          <w:tcPr>
            <w:tcW w:w="545" w:type="pct"/>
            <w:tcBorders>
              <w:top w:val="nil"/>
              <w:left w:val="nil"/>
              <w:bottom w:val="nil"/>
              <w:right w:val="nil"/>
            </w:tcBorders>
            <w:shd w:val="clear" w:color="000000" w:fill="FFFFFF"/>
            <w:vAlign w:val="center"/>
          </w:tcPr>
          <w:p w14:paraId="3ACAE669" w14:textId="6A5C6BB6"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26 711</w:t>
            </w:r>
          </w:p>
        </w:tc>
        <w:tc>
          <w:tcPr>
            <w:tcW w:w="782" w:type="pct"/>
            <w:tcBorders>
              <w:top w:val="nil"/>
              <w:left w:val="nil"/>
              <w:bottom w:val="nil"/>
              <w:right w:val="nil"/>
            </w:tcBorders>
            <w:shd w:val="clear" w:color="000000" w:fill="FFFFFF"/>
            <w:vAlign w:val="center"/>
          </w:tcPr>
          <w:p w14:paraId="14F62316" w14:textId="769D1C40"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26 711</w:t>
            </w:r>
          </w:p>
        </w:tc>
        <w:tc>
          <w:tcPr>
            <w:tcW w:w="844" w:type="pct"/>
            <w:tcBorders>
              <w:top w:val="nil"/>
              <w:left w:val="nil"/>
              <w:bottom w:val="nil"/>
              <w:right w:val="nil"/>
            </w:tcBorders>
            <w:shd w:val="clear" w:color="000000" w:fill="FFFFFF"/>
            <w:vAlign w:val="center"/>
          </w:tcPr>
          <w:p w14:paraId="41ACCDC5" w14:textId="0451BC1D"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r>
      <w:tr w:rsidR="00257E64" w:rsidRPr="00975467" w14:paraId="5C7FCA00"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5C390D16" w14:textId="4EAA5790" w:rsidR="00257E64" w:rsidRPr="005D4C4E" w:rsidRDefault="00257E64" w:rsidP="00257E64">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Medzinárodná banka pre hospodársku spoluprácu (MBHS)</w:t>
            </w:r>
          </w:p>
        </w:tc>
        <w:tc>
          <w:tcPr>
            <w:tcW w:w="545" w:type="pct"/>
            <w:tcBorders>
              <w:top w:val="nil"/>
              <w:left w:val="nil"/>
              <w:bottom w:val="nil"/>
              <w:right w:val="nil"/>
            </w:tcBorders>
            <w:shd w:val="clear" w:color="000000" w:fill="FFFFFF"/>
            <w:vAlign w:val="center"/>
          </w:tcPr>
          <w:p w14:paraId="13B7FB02" w14:textId="77EDFD89"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13 342</w:t>
            </w:r>
          </w:p>
        </w:tc>
        <w:tc>
          <w:tcPr>
            <w:tcW w:w="782" w:type="pct"/>
            <w:tcBorders>
              <w:top w:val="nil"/>
              <w:left w:val="nil"/>
              <w:bottom w:val="nil"/>
              <w:right w:val="nil"/>
            </w:tcBorders>
            <w:shd w:val="clear" w:color="000000" w:fill="FFFFFF"/>
            <w:vAlign w:val="center"/>
          </w:tcPr>
          <w:p w14:paraId="1425326D" w14:textId="002462E4"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13 342</w:t>
            </w:r>
          </w:p>
        </w:tc>
        <w:tc>
          <w:tcPr>
            <w:tcW w:w="844" w:type="pct"/>
            <w:tcBorders>
              <w:top w:val="nil"/>
              <w:left w:val="nil"/>
              <w:bottom w:val="nil"/>
              <w:right w:val="nil"/>
            </w:tcBorders>
            <w:shd w:val="clear" w:color="000000" w:fill="FFFFFF"/>
            <w:vAlign w:val="center"/>
          </w:tcPr>
          <w:p w14:paraId="720C4A00" w14:textId="0EF26A85"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r>
      <w:tr w:rsidR="00257E64" w:rsidRPr="00975467" w14:paraId="0430245E" w14:textId="77777777" w:rsidTr="00241F33">
        <w:trPr>
          <w:trHeight w:hRule="exact" w:val="330"/>
          <w:jc w:val="center"/>
        </w:trPr>
        <w:tc>
          <w:tcPr>
            <w:tcW w:w="2829" w:type="pct"/>
            <w:tcBorders>
              <w:top w:val="nil"/>
              <w:left w:val="nil"/>
              <w:bottom w:val="nil"/>
              <w:right w:val="nil"/>
            </w:tcBorders>
            <w:shd w:val="clear" w:color="000000" w:fill="FFFFFF"/>
            <w:vAlign w:val="center"/>
          </w:tcPr>
          <w:p w14:paraId="2D754056" w14:textId="04ED31CF" w:rsidR="00257E64" w:rsidRPr="005D4C4E" w:rsidRDefault="00257E64" w:rsidP="00257E64">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Rozvojová banka Rady Európy (RBRE)</w:t>
            </w:r>
          </w:p>
        </w:tc>
        <w:tc>
          <w:tcPr>
            <w:tcW w:w="545" w:type="pct"/>
            <w:tcBorders>
              <w:top w:val="nil"/>
              <w:left w:val="nil"/>
              <w:bottom w:val="nil"/>
              <w:right w:val="nil"/>
            </w:tcBorders>
            <w:shd w:val="clear" w:color="000000" w:fill="FFFFFF"/>
            <w:vAlign w:val="center"/>
          </w:tcPr>
          <w:p w14:paraId="0631F106" w14:textId="1A9C8A9B"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2 397</w:t>
            </w:r>
          </w:p>
        </w:tc>
        <w:tc>
          <w:tcPr>
            <w:tcW w:w="782" w:type="pct"/>
            <w:tcBorders>
              <w:top w:val="nil"/>
              <w:left w:val="nil"/>
              <w:bottom w:val="nil"/>
              <w:right w:val="nil"/>
            </w:tcBorders>
            <w:shd w:val="clear" w:color="000000" w:fill="FFFFFF"/>
            <w:vAlign w:val="center"/>
          </w:tcPr>
          <w:p w14:paraId="44F8151F" w14:textId="027E0F05"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2 397</w:t>
            </w:r>
          </w:p>
        </w:tc>
        <w:tc>
          <w:tcPr>
            <w:tcW w:w="844" w:type="pct"/>
            <w:tcBorders>
              <w:top w:val="nil"/>
              <w:left w:val="nil"/>
              <w:bottom w:val="nil"/>
              <w:right w:val="nil"/>
            </w:tcBorders>
            <w:shd w:val="clear" w:color="000000" w:fill="FFFFFF"/>
            <w:vAlign w:val="center"/>
          </w:tcPr>
          <w:p w14:paraId="7C4F2AF6" w14:textId="3912ED05"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r>
      <w:tr w:rsidR="00257E64" w:rsidRPr="00975467" w14:paraId="3C85F88D" w14:textId="77777777" w:rsidTr="00241F33">
        <w:trPr>
          <w:trHeight w:hRule="exact" w:val="330"/>
          <w:jc w:val="center"/>
        </w:trPr>
        <w:tc>
          <w:tcPr>
            <w:tcW w:w="2829" w:type="pct"/>
            <w:tcBorders>
              <w:top w:val="nil"/>
              <w:left w:val="nil"/>
              <w:bottom w:val="single" w:sz="4" w:space="0" w:color="auto"/>
              <w:right w:val="nil"/>
            </w:tcBorders>
            <w:shd w:val="clear" w:color="000000" w:fill="FFFFFF"/>
            <w:vAlign w:val="center"/>
          </w:tcPr>
          <w:p w14:paraId="45EFED82" w14:textId="261B9951" w:rsidR="00257E64" w:rsidRPr="005D4C4E" w:rsidRDefault="00257E64" w:rsidP="00257E64">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Európsky finančný stabilizačný nástroj (EFSF)</w:t>
            </w:r>
          </w:p>
        </w:tc>
        <w:tc>
          <w:tcPr>
            <w:tcW w:w="545" w:type="pct"/>
            <w:tcBorders>
              <w:top w:val="nil"/>
              <w:left w:val="nil"/>
              <w:bottom w:val="single" w:sz="4" w:space="0" w:color="auto"/>
              <w:right w:val="nil"/>
            </w:tcBorders>
            <w:shd w:val="clear" w:color="000000" w:fill="FFFFFF"/>
            <w:vAlign w:val="center"/>
          </w:tcPr>
          <w:p w14:paraId="20777962" w14:textId="0BD57379"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282</w:t>
            </w:r>
          </w:p>
        </w:tc>
        <w:tc>
          <w:tcPr>
            <w:tcW w:w="782" w:type="pct"/>
            <w:tcBorders>
              <w:top w:val="nil"/>
              <w:left w:val="nil"/>
              <w:bottom w:val="single" w:sz="4" w:space="0" w:color="auto"/>
              <w:right w:val="nil"/>
            </w:tcBorders>
            <w:shd w:val="clear" w:color="000000" w:fill="FFFFFF"/>
            <w:vAlign w:val="center"/>
          </w:tcPr>
          <w:p w14:paraId="22786052" w14:textId="16BBA188"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282</w:t>
            </w:r>
          </w:p>
        </w:tc>
        <w:tc>
          <w:tcPr>
            <w:tcW w:w="844" w:type="pct"/>
            <w:tcBorders>
              <w:top w:val="nil"/>
              <w:left w:val="nil"/>
              <w:bottom w:val="single" w:sz="4" w:space="0" w:color="auto"/>
              <w:right w:val="nil"/>
            </w:tcBorders>
            <w:shd w:val="clear" w:color="000000" w:fill="FFFFFF"/>
            <w:vAlign w:val="center"/>
          </w:tcPr>
          <w:p w14:paraId="7F13FAB5" w14:textId="37309734" w:rsidR="00257E64" w:rsidRPr="005D4C4E" w:rsidRDefault="00257E64" w:rsidP="00257E6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r>
      <w:tr w:rsidR="00257E64" w:rsidRPr="00975467" w14:paraId="32EA6B9C" w14:textId="77777777" w:rsidTr="00241F33">
        <w:trPr>
          <w:trHeight w:hRule="exact" w:val="277"/>
          <w:jc w:val="center"/>
        </w:trPr>
        <w:tc>
          <w:tcPr>
            <w:tcW w:w="2829" w:type="pct"/>
            <w:tcBorders>
              <w:top w:val="single" w:sz="4" w:space="0" w:color="auto"/>
              <w:left w:val="nil"/>
              <w:bottom w:val="single" w:sz="4" w:space="0" w:color="000000"/>
              <w:right w:val="nil"/>
            </w:tcBorders>
            <w:shd w:val="clear" w:color="000000" w:fill="FFFFFF"/>
            <w:vAlign w:val="center"/>
          </w:tcPr>
          <w:p w14:paraId="7A9D0A5E" w14:textId="5E257397" w:rsidR="00257E64" w:rsidRPr="005D4C4E" w:rsidRDefault="00257E64" w:rsidP="00257E64">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545" w:type="pct"/>
            <w:tcBorders>
              <w:top w:val="single" w:sz="4" w:space="0" w:color="auto"/>
              <w:left w:val="nil"/>
              <w:bottom w:val="single" w:sz="4" w:space="0" w:color="000000"/>
              <w:right w:val="nil"/>
            </w:tcBorders>
            <w:shd w:val="clear" w:color="000000" w:fill="FFFFFF"/>
            <w:vAlign w:val="center"/>
          </w:tcPr>
          <w:p w14:paraId="75A3AD7C" w14:textId="5DD04F8E" w:rsidR="00257E64" w:rsidRPr="005D4C4E" w:rsidRDefault="00257E64" w:rsidP="00257E64">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1 091 578</w:t>
            </w:r>
          </w:p>
        </w:tc>
        <w:tc>
          <w:tcPr>
            <w:tcW w:w="782" w:type="pct"/>
            <w:tcBorders>
              <w:top w:val="single" w:sz="4" w:space="0" w:color="auto"/>
              <w:left w:val="nil"/>
              <w:bottom w:val="single" w:sz="4" w:space="0" w:color="000000"/>
              <w:right w:val="nil"/>
            </w:tcBorders>
            <w:shd w:val="clear" w:color="000000" w:fill="FFFFFF"/>
            <w:vAlign w:val="center"/>
          </w:tcPr>
          <w:p w14:paraId="23435945" w14:textId="1B88E36A" w:rsidR="00257E64" w:rsidRPr="005D4C4E" w:rsidRDefault="00257E64" w:rsidP="00257E64">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1 081 341</w:t>
            </w:r>
          </w:p>
        </w:tc>
        <w:tc>
          <w:tcPr>
            <w:tcW w:w="844" w:type="pct"/>
            <w:tcBorders>
              <w:top w:val="single" w:sz="4" w:space="0" w:color="auto"/>
              <w:left w:val="nil"/>
              <w:bottom w:val="single" w:sz="4" w:space="0" w:color="000000"/>
              <w:right w:val="nil"/>
            </w:tcBorders>
            <w:shd w:val="clear" w:color="000000" w:fill="FFFFFF"/>
            <w:vAlign w:val="center"/>
          </w:tcPr>
          <w:p w14:paraId="69C48335" w14:textId="6D891167" w:rsidR="00257E64" w:rsidRPr="005D4C4E" w:rsidRDefault="00257E64" w:rsidP="00257E64">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10 237</w:t>
            </w:r>
          </w:p>
        </w:tc>
      </w:tr>
    </w:tbl>
    <w:p w14:paraId="662F13F7" w14:textId="77777777" w:rsidR="007B00A5" w:rsidRDefault="007B00A5" w:rsidP="007B00A5">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44014564" w14:textId="5A5B1294" w:rsidR="00A63C62" w:rsidRPr="00C66720" w:rsidRDefault="00A63C62" w:rsidP="007D3C02">
      <w:pPr>
        <w:pStyle w:val="Pismenka"/>
        <w:tabs>
          <w:tab w:val="clear" w:pos="426"/>
        </w:tabs>
        <w:spacing w:before="240" w:after="120"/>
        <w:ind w:left="0" w:firstLine="0"/>
        <w:rPr>
          <w:b w:val="0"/>
          <w:sz w:val="22"/>
          <w:szCs w:val="22"/>
        </w:rPr>
      </w:pPr>
      <w:r w:rsidRPr="00C66720">
        <w:rPr>
          <w:b w:val="0"/>
          <w:sz w:val="22"/>
          <w:szCs w:val="22"/>
        </w:rPr>
        <w:t xml:space="preserve">Z celkovej sumy </w:t>
      </w:r>
      <w:r w:rsidR="005D4C4E" w:rsidRPr="00C66720">
        <w:rPr>
          <w:b w:val="0"/>
          <w:sz w:val="22"/>
          <w:szCs w:val="22"/>
        </w:rPr>
        <w:t xml:space="preserve">ostatného dlhodobého finančného majetku </w:t>
      </w:r>
      <w:r w:rsidRPr="00C66720">
        <w:rPr>
          <w:b w:val="0"/>
          <w:sz w:val="22"/>
          <w:szCs w:val="22"/>
        </w:rPr>
        <w:t>vykázala</w:t>
      </w:r>
      <w:r w:rsidR="006F1C26" w:rsidRPr="00C66720">
        <w:rPr>
          <w:b w:val="0"/>
          <w:sz w:val="22"/>
          <w:szCs w:val="22"/>
        </w:rPr>
        <w:t xml:space="preserve"> ústredná správa hodnotu</w:t>
      </w:r>
      <w:r w:rsidR="006F1C26" w:rsidRPr="00C66720">
        <w:rPr>
          <w:b w:val="0"/>
          <w:sz w:val="22"/>
          <w:szCs w:val="22"/>
          <w:highlight w:val="yellow"/>
        </w:rPr>
        <w:t xml:space="preserve"> </w:t>
      </w:r>
      <w:r w:rsidR="005D4C4E" w:rsidRPr="00C66720">
        <w:rPr>
          <w:b w:val="0"/>
          <w:sz w:val="22"/>
          <w:szCs w:val="22"/>
          <w:highlight w:val="yellow"/>
        </w:rPr>
        <w:br/>
      </w:r>
      <w:r w:rsidR="00A22464" w:rsidRPr="00C66720">
        <w:rPr>
          <w:b w:val="0"/>
          <w:sz w:val="22"/>
          <w:szCs w:val="22"/>
        </w:rPr>
        <w:t>1</w:t>
      </w:r>
      <w:r w:rsidR="00985137" w:rsidRPr="00C66720">
        <w:rPr>
          <w:b w:val="0"/>
          <w:sz w:val="22"/>
          <w:szCs w:val="22"/>
        </w:rPr>
        <w:t> 211 367</w:t>
      </w:r>
      <w:r w:rsidRPr="00C66720">
        <w:rPr>
          <w:b w:val="0"/>
          <w:sz w:val="22"/>
          <w:szCs w:val="22"/>
        </w:rPr>
        <w:t xml:space="preserve"> tis. eur a v rámci nej Ministerstvo financií SR</w:t>
      </w:r>
      <w:r w:rsidR="00C85658" w:rsidRPr="00C66720">
        <w:rPr>
          <w:b w:val="0"/>
          <w:sz w:val="22"/>
          <w:szCs w:val="22"/>
        </w:rPr>
        <w:t xml:space="preserve"> 1 091 578</w:t>
      </w:r>
      <w:r w:rsidRPr="00C66720">
        <w:rPr>
          <w:b w:val="0"/>
          <w:sz w:val="22"/>
          <w:szCs w:val="22"/>
        </w:rPr>
        <w:t xml:space="preserve"> tis. eur. Ide najmä o kapitálovú účasť v rôznych medzinárodných finančných inštitúciách, ktoré boli založené spolu s vládami iných krajín alebo medzinárodnými organizáciami na podporu slabších regiónov v Európe ale aj v iných krajinách, na podporu reforiem ich hospodárstva, ekonomiky a zvyšovania životnej úrovne obyvateľstva</w:t>
      </w:r>
      <w:r w:rsidR="004429EF" w:rsidRPr="00C66720">
        <w:rPr>
          <w:b w:val="0"/>
          <w:sz w:val="22"/>
          <w:szCs w:val="22"/>
        </w:rPr>
        <w:t>.</w:t>
      </w:r>
    </w:p>
    <w:p w14:paraId="09674BE8" w14:textId="1495E1C0" w:rsidR="00DB1130" w:rsidRPr="00C66720" w:rsidRDefault="00DB1130" w:rsidP="007D3C02">
      <w:pPr>
        <w:pStyle w:val="Pismenka"/>
        <w:tabs>
          <w:tab w:val="clear" w:pos="426"/>
        </w:tabs>
        <w:spacing w:before="120" w:after="120"/>
        <w:ind w:left="0" w:firstLine="0"/>
        <w:rPr>
          <w:b w:val="0"/>
          <w:bCs w:val="0"/>
          <w:sz w:val="22"/>
          <w:szCs w:val="22"/>
        </w:rPr>
      </w:pPr>
      <w:r w:rsidRPr="00C66720">
        <w:rPr>
          <w:b w:val="0"/>
          <w:bCs w:val="0"/>
          <w:sz w:val="22"/>
          <w:szCs w:val="22"/>
        </w:rPr>
        <w:t>V roku 2022</w:t>
      </w:r>
      <w:r w:rsidR="002F489C" w:rsidRPr="00C66720">
        <w:rPr>
          <w:b w:val="0"/>
          <w:bCs w:val="0"/>
          <w:sz w:val="22"/>
          <w:szCs w:val="22"/>
        </w:rPr>
        <w:t xml:space="preserve"> </w:t>
      </w:r>
      <w:r w:rsidRPr="00C66720">
        <w:rPr>
          <w:b w:val="0"/>
          <w:bCs w:val="0"/>
          <w:sz w:val="22"/>
          <w:szCs w:val="22"/>
        </w:rPr>
        <w:t xml:space="preserve">došlo k zvýšeniu základného imania </w:t>
      </w:r>
      <w:r w:rsidR="008C2889" w:rsidRPr="00C66720">
        <w:rPr>
          <w:b w:val="0"/>
          <w:bCs w:val="0"/>
          <w:sz w:val="22"/>
          <w:szCs w:val="22"/>
        </w:rPr>
        <w:t>Medzinárodnej finančnej korporácie o 3 097 tis. eur, Medzinárodnej banky pre obnovu a rozvoj o 2 095 tis. eur a k úhrade splátky SR v rámci doplnenia zdrojov iniciatívy pre Medzinárodnú spoluprácu a rozvoj v sume 140 tis. eur. Zdrojom zvýšenia týchto podielov boli prostriedky štátnych finančných aktív. Ostatné zmeny boli z dôvodu kurzových rozdielov z vkladov v medzinárodných finančných inštitúciách.</w:t>
      </w:r>
    </w:p>
    <w:p w14:paraId="7C822E7F" w14:textId="77777777" w:rsidR="00A35BCF" w:rsidRPr="00C66720" w:rsidRDefault="002F489C" w:rsidP="007D3C02">
      <w:pPr>
        <w:pStyle w:val="Pismenka"/>
        <w:tabs>
          <w:tab w:val="clear" w:pos="426"/>
        </w:tabs>
        <w:spacing w:before="120" w:after="120"/>
        <w:ind w:left="0" w:firstLine="0"/>
        <w:rPr>
          <w:b w:val="0"/>
          <w:bCs w:val="0"/>
          <w:sz w:val="22"/>
          <w:szCs w:val="22"/>
        </w:rPr>
      </w:pPr>
      <w:r w:rsidRPr="00C66720">
        <w:rPr>
          <w:b w:val="0"/>
          <w:bCs w:val="0"/>
          <w:sz w:val="22"/>
          <w:szCs w:val="22"/>
        </w:rPr>
        <w:t>K podielom v medzinárodných finančných inštitúciách a k európskym stabilizačným mechanizmom sa viaže aj kapitál splatný na požiadanie, a to podľa zmluvných podmienok dojednaných s konkrétnou inštitúciou.</w:t>
      </w:r>
      <w:r w:rsidR="00476093" w:rsidRPr="00C66720">
        <w:rPr>
          <w:b w:val="0"/>
          <w:bCs w:val="0"/>
          <w:sz w:val="22"/>
          <w:szCs w:val="22"/>
        </w:rPr>
        <w:t xml:space="preserve"> </w:t>
      </w:r>
      <w:r w:rsidRPr="00C66720">
        <w:rPr>
          <w:b w:val="0"/>
          <w:bCs w:val="0"/>
          <w:sz w:val="22"/>
          <w:szCs w:val="22"/>
        </w:rPr>
        <w:t>Ide o tzv. call capital, ktorý sa vykazuje ako podmienené záväzky v iných pasívach (časť</w:t>
      </w:r>
      <w:r w:rsidR="00C3117D" w:rsidRPr="00C66720">
        <w:rPr>
          <w:b w:val="0"/>
          <w:bCs w:val="0"/>
          <w:sz w:val="22"/>
          <w:szCs w:val="22"/>
        </w:rPr>
        <w:t xml:space="preserve"> III poznámok).</w:t>
      </w:r>
    </w:p>
    <w:p w14:paraId="5830380B" w14:textId="47660457" w:rsidR="005B08D1" w:rsidRPr="00C66720" w:rsidRDefault="00201A79" w:rsidP="007D3C02">
      <w:pPr>
        <w:pStyle w:val="Pismenka"/>
        <w:tabs>
          <w:tab w:val="clear" w:pos="426"/>
        </w:tabs>
        <w:spacing w:before="120" w:after="120"/>
        <w:ind w:left="0" w:firstLine="0"/>
        <w:rPr>
          <w:color w:val="FF0000"/>
          <w:szCs w:val="22"/>
          <w:highlight w:val="yellow"/>
        </w:rPr>
      </w:pPr>
      <w:r w:rsidRPr="00C66720">
        <w:rPr>
          <w:b w:val="0"/>
          <w:bCs w:val="0"/>
          <w:sz w:val="22"/>
          <w:szCs w:val="22"/>
        </w:rPr>
        <w:t>Významnú hodnotu ostatného finančné majetku vykazuje aj Nat</w:t>
      </w:r>
      <w:r w:rsidR="00DA13A8" w:rsidRPr="00C66720">
        <w:rPr>
          <w:b w:val="0"/>
          <w:bCs w:val="0"/>
          <w:sz w:val="22"/>
          <w:szCs w:val="22"/>
        </w:rPr>
        <w:t>ional Development Fund II, a.s.</w:t>
      </w:r>
      <w:r w:rsidRPr="00C66720">
        <w:rPr>
          <w:b w:val="0"/>
          <w:bCs w:val="0"/>
          <w:sz w:val="22"/>
          <w:szCs w:val="22"/>
        </w:rPr>
        <w:t xml:space="preserve">, a to </w:t>
      </w:r>
      <w:r w:rsidR="002A63BD" w:rsidRPr="00C66720">
        <w:rPr>
          <w:b w:val="0"/>
          <w:bCs w:val="0"/>
          <w:sz w:val="22"/>
          <w:szCs w:val="22"/>
        </w:rPr>
        <w:br/>
      </w:r>
      <w:r w:rsidR="00BF2B59" w:rsidRPr="00C66720">
        <w:rPr>
          <w:b w:val="0"/>
          <w:bCs w:val="0"/>
          <w:sz w:val="22"/>
          <w:szCs w:val="22"/>
        </w:rPr>
        <w:t>114 219</w:t>
      </w:r>
      <w:r w:rsidR="00D20CD5" w:rsidRPr="00C66720">
        <w:rPr>
          <w:b w:val="0"/>
          <w:bCs w:val="0"/>
          <w:sz w:val="22"/>
          <w:szCs w:val="22"/>
        </w:rPr>
        <w:t xml:space="preserve"> </w:t>
      </w:r>
      <w:r w:rsidR="004677F5" w:rsidRPr="00C66720">
        <w:rPr>
          <w:b w:val="0"/>
          <w:bCs w:val="0"/>
          <w:sz w:val="22"/>
          <w:szCs w:val="22"/>
        </w:rPr>
        <w:t xml:space="preserve">tis. eur v podobe </w:t>
      </w:r>
      <w:r w:rsidR="00A71682" w:rsidRPr="00C66720">
        <w:rPr>
          <w:b w:val="0"/>
          <w:bCs w:val="0"/>
          <w:sz w:val="22"/>
          <w:szCs w:val="22"/>
        </w:rPr>
        <w:t xml:space="preserve">priamych ekvitných investícií do </w:t>
      </w:r>
      <w:r w:rsidR="00693A74" w:rsidRPr="00C66720">
        <w:rPr>
          <w:b w:val="0"/>
          <w:bCs w:val="0"/>
          <w:sz w:val="22"/>
          <w:szCs w:val="22"/>
        </w:rPr>
        <w:t xml:space="preserve">obchodných </w:t>
      </w:r>
      <w:r w:rsidR="00A71682" w:rsidRPr="00C66720">
        <w:rPr>
          <w:b w:val="0"/>
          <w:bCs w:val="0"/>
          <w:sz w:val="22"/>
          <w:szCs w:val="22"/>
        </w:rPr>
        <w:t>spoločností</w:t>
      </w:r>
      <w:r w:rsidR="00693A74" w:rsidRPr="00C66720">
        <w:rPr>
          <w:b w:val="0"/>
          <w:bCs w:val="0"/>
          <w:sz w:val="22"/>
          <w:szCs w:val="22"/>
        </w:rPr>
        <w:t>. Z toho vo výške 77 065 tis. eur vykazuje väčšinové podiely v uzavretých fondoch rizikového kapitálu určené pre profesionálnych investorov a 37 154 tis. eur bolo investovaných v rámci projektu D4</w:t>
      </w:r>
      <w:r w:rsidR="00014870">
        <w:rPr>
          <w:b w:val="0"/>
          <w:bCs w:val="0"/>
          <w:sz w:val="22"/>
          <w:szCs w:val="22"/>
        </w:rPr>
        <w:t>/</w:t>
      </w:r>
      <w:r w:rsidR="00693A74" w:rsidRPr="00C66720">
        <w:rPr>
          <w:b w:val="0"/>
          <w:bCs w:val="0"/>
          <w:sz w:val="22"/>
          <w:szCs w:val="22"/>
        </w:rPr>
        <w:t>R7 formou mezzanine financovania.</w:t>
      </w:r>
      <w:r w:rsidR="005C2C29" w:rsidRPr="00C66720">
        <w:rPr>
          <w:b w:val="0"/>
          <w:bCs w:val="0"/>
          <w:sz w:val="22"/>
          <w:szCs w:val="22"/>
        </w:rPr>
        <w:t xml:space="preserve"> </w:t>
      </w:r>
    </w:p>
    <w:p w14:paraId="3C63F8CD" w14:textId="2C9FF733" w:rsidR="00EC32EF" w:rsidRPr="00C66720" w:rsidRDefault="00EC32EF" w:rsidP="00E60F04">
      <w:pPr>
        <w:spacing w:before="240" w:after="240" w:line="240" w:lineRule="auto"/>
        <w:ind w:left="6"/>
        <w:jc w:val="both"/>
        <w:rPr>
          <w:rFonts w:ascii="Times New Roman" w:hAnsi="Times New Roman"/>
          <w:b/>
          <w:sz w:val="24"/>
          <w:szCs w:val="24"/>
          <w:lang w:eastAsia="sk-SK"/>
        </w:rPr>
      </w:pPr>
      <w:r w:rsidRPr="00C66720">
        <w:rPr>
          <w:rFonts w:ascii="Times New Roman" w:hAnsi="Times New Roman"/>
          <w:b/>
          <w:sz w:val="24"/>
          <w:szCs w:val="24"/>
          <w:lang w:eastAsia="sk-SK"/>
        </w:rPr>
        <w:lastRenderedPageBreak/>
        <w:t>A.IV. Pohľadávky</w:t>
      </w:r>
    </w:p>
    <w:p w14:paraId="45DBB8F7" w14:textId="274DB129" w:rsidR="00B83845" w:rsidRPr="00C66720" w:rsidRDefault="00B83845" w:rsidP="00BA09BB">
      <w:pPr>
        <w:spacing w:before="200" w:line="240" w:lineRule="auto"/>
        <w:ind w:left="6"/>
        <w:jc w:val="both"/>
        <w:rPr>
          <w:rFonts w:ascii="Times New Roman" w:hAnsi="Times New Roman"/>
          <w:szCs w:val="22"/>
          <w:lang w:eastAsia="sk-SK"/>
        </w:rPr>
      </w:pPr>
      <w:r w:rsidRPr="00C66720">
        <w:rPr>
          <w:rFonts w:ascii="Times New Roman" w:hAnsi="Times New Roman"/>
          <w:szCs w:val="22"/>
          <w:lang w:eastAsia="sk-SK"/>
        </w:rPr>
        <w:t>Medzi položkami dlhodobého majetku sa vykazujú pohľadávky subjektov súhrnného celku so zostatkovou dobou splatnosti dlhšou ako jeden rok. Súčasťou dlhodobých pohľadávok sú aj pohľadávky z poskytnutých návratných finančných výpomocí, ktorých zostatková doba splatnosti odo dňa, ku ktorému sa zostavuje účtovná závierka, je dlhšia ako 1 rok.</w:t>
      </w:r>
    </w:p>
    <w:p w14:paraId="1145DA52" w14:textId="5F3D6168" w:rsidR="005944E3" w:rsidRPr="00C66720" w:rsidRDefault="00600EDB" w:rsidP="006E5B67">
      <w:pPr>
        <w:pStyle w:val="Pismenka"/>
        <w:tabs>
          <w:tab w:val="clear" w:pos="426"/>
        </w:tabs>
        <w:spacing w:after="120"/>
        <w:ind w:left="0" w:firstLine="0"/>
        <w:rPr>
          <w:szCs w:val="22"/>
        </w:rPr>
      </w:pPr>
      <w:r w:rsidRPr="00C66720">
        <w:rPr>
          <w:b w:val="0"/>
          <w:bCs w:val="0"/>
          <w:sz w:val="22"/>
          <w:szCs w:val="22"/>
        </w:rPr>
        <w:t>Dlhodobé pohľadávky dosiahli k 31.</w:t>
      </w:r>
      <w:r w:rsidR="00881CAC" w:rsidRPr="00C66720">
        <w:rPr>
          <w:b w:val="0"/>
          <w:bCs w:val="0"/>
          <w:sz w:val="22"/>
          <w:szCs w:val="22"/>
        </w:rPr>
        <w:t>12.2022</w:t>
      </w:r>
      <w:r w:rsidR="002E4527" w:rsidRPr="00C66720">
        <w:rPr>
          <w:b w:val="0"/>
          <w:bCs w:val="0"/>
          <w:sz w:val="22"/>
          <w:szCs w:val="22"/>
        </w:rPr>
        <w:t xml:space="preserve"> úhrnom sumu </w:t>
      </w:r>
      <w:r w:rsidR="002C04C3" w:rsidRPr="00C66720">
        <w:rPr>
          <w:b w:val="0"/>
          <w:bCs w:val="0"/>
          <w:sz w:val="22"/>
          <w:szCs w:val="22"/>
        </w:rPr>
        <w:t>788 142</w:t>
      </w:r>
      <w:r w:rsidR="00DE1CA6" w:rsidRPr="00C66720">
        <w:rPr>
          <w:b w:val="0"/>
          <w:bCs w:val="0"/>
          <w:sz w:val="22"/>
          <w:szCs w:val="22"/>
        </w:rPr>
        <w:t xml:space="preserve"> tis. eur, z toho dlhodobé návratné finančné výpomoci predstavujú </w:t>
      </w:r>
      <w:r w:rsidR="00F574F7" w:rsidRPr="00C66720">
        <w:rPr>
          <w:b w:val="0"/>
          <w:bCs w:val="0"/>
          <w:sz w:val="22"/>
          <w:szCs w:val="22"/>
        </w:rPr>
        <w:t>55 259</w:t>
      </w:r>
      <w:r w:rsidR="00DE1CA6" w:rsidRPr="00C66720">
        <w:rPr>
          <w:b w:val="0"/>
          <w:bCs w:val="0"/>
          <w:sz w:val="22"/>
          <w:szCs w:val="22"/>
        </w:rPr>
        <w:t xml:space="preserve"> tis. eur. Medziročne ide o </w:t>
      </w:r>
      <w:r w:rsidR="00F574F7" w:rsidRPr="00C66720">
        <w:rPr>
          <w:b w:val="0"/>
          <w:bCs w:val="0"/>
          <w:sz w:val="22"/>
          <w:szCs w:val="22"/>
        </w:rPr>
        <w:t>pokles</w:t>
      </w:r>
      <w:r w:rsidR="008D3F53" w:rsidRPr="00C66720">
        <w:rPr>
          <w:b w:val="0"/>
          <w:bCs w:val="0"/>
          <w:sz w:val="22"/>
          <w:szCs w:val="22"/>
        </w:rPr>
        <w:t xml:space="preserve"> hodnoty pohľadávok </w:t>
      </w:r>
      <w:r w:rsidR="008D3F53" w:rsidRPr="00C66720">
        <w:rPr>
          <w:b w:val="0"/>
          <w:bCs w:val="0"/>
          <w:sz w:val="22"/>
          <w:szCs w:val="22"/>
        </w:rPr>
        <w:br/>
        <w:t>o </w:t>
      </w:r>
      <w:r w:rsidR="00F574F7" w:rsidRPr="00C66720">
        <w:rPr>
          <w:b w:val="0"/>
          <w:bCs w:val="0"/>
          <w:sz w:val="22"/>
          <w:szCs w:val="22"/>
        </w:rPr>
        <w:t>6</w:t>
      </w:r>
      <w:r w:rsidR="00363BEF" w:rsidRPr="00C66720">
        <w:rPr>
          <w:b w:val="0"/>
          <w:bCs w:val="0"/>
          <w:sz w:val="22"/>
          <w:szCs w:val="22"/>
        </w:rPr>
        <w:t>2 146</w:t>
      </w:r>
      <w:r w:rsidR="00F574F7" w:rsidRPr="00C66720">
        <w:rPr>
          <w:b w:val="0"/>
          <w:bCs w:val="0"/>
          <w:sz w:val="22"/>
          <w:szCs w:val="22"/>
        </w:rPr>
        <w:t xml:space="preserve"> </w:t>
      </w:r>
      <w:r w:rsidR="00DE1CA6" w:rsidRPr="00C66720">
        <w:rPr>
          <w:b w:val="0"/>
          <w:bCs w:val="0"/>
          <w:sz w:val="22"/>
          <w:szCs w:val="22"/>
        </w:rPr>
        <w:t>tis. eur.</w:t>
      </w:r>
      <w:r w:rsidR="006E5B67" w:rsidRPr="00C66720">
        <w:rPr>
          <w:b w:val="0"/>
          <w:bCs w:val="0"/>
          <w:sz w:val="22"/>
          <w:szCs w:val="22"/>
        </w:rPr>
        <w:t xml:space="preserve"> </w:t>
      </w:r>
    </w:p>
    <w:p w14:paraId="759E06E1" w14:textId="2C58C98F" w:rsidR="00CB0846" w:rsidRPr="00C66720" w:rsidRDefault="00CB0846" w:rsidP="00BA09BB">
      <w:pPr>
        <w:pStyle w:val="Pismenka"/>
        <w:tabs>
          <w:tab w:val="clear" w:pos="426"/>
        </w:tabs>
        <w:spacing w:after="120"/>
        <w:ind w:left="0" w:firstLine="0"/>
        <w:rPr>
          <w:b w:val="0"/>
          <w:bCs w:val="0"/>
          <w:sz w:val="22"/>
          <w:szCs w:val="22"/>
        </w:rPr>
      </w:pPr>
      <w:r w:rsidRPr="00C66720">
        <w:rPr>
          <w:b w:val="0"/>
          <w:bCs w:val="0"/>
          <w:sz w:val="22"/>
          <w:szCs w:val="22"/>
        </w:rPr>
        <w:t>Poskytovanie návratných finančných výpomocí je špecifikom pre štátnu správu a územnú samosprávu. V rámci ústrednej správy môže návratné finančné výpomoci poskytovať Ministerstvo financií SR a iný orgán štátnej správy, ak tak umožňuje príslušný zákon (napríklad Ministerstvo zdravotníctva SR, Ministerstvo hospodárstva SR). Návratné finančné výpomoci sa poskytujú subjektom na riešenie špecifických situácií pri nedostatku vlastných zdrojov subjektu alebo v situácii, že by subjekt musel financovať svoje neočakávané potreby cez úvery a zhoršovalo by to jeho platobnú schopnosť. Návratné finančné výpomoci Ministerstva financií SR sú s priaznivejšími platobnými podmienkami z hľadiska začiatku a doby splácania istiny alebo úroku.</w:t>
      </w:r>
    </w:p>
    <w:p w14:paraId="4A4C0B42" w14:textId="1DCD4F57" w:rsidR="00E60F04" w:rsidRDefault="00CB0846" w:rsidP="009A1EA2">
      <w:pPr>
        <w:pStyle w:val="Pismenka"/>
        <w:tabs>
          <w:tab w:val="clear" w:pos="426"/>
        </w:tabs>
        <w:spacing w:after="120"/>
        <w:ind w:left="0" w:firstLine="0"/>
        <w:rPr>
          <w:b w:val="0"/>
          <w:bCs w:val="0"/>
          <w:sz w:val="22"/>
          <w:szCs w:val="22"/>
        </w:rPr>
      </w:pPr>
      <w:r w:rsidRPr="00C66720">
        <w:rPr>
          <w:b w:val="0"/>
          <w:bCs w:val="0"/>
          <w:sz w:val="22"/>
          <w:szCs w:val="22"/>
        </w:rPr>
        <w:t xml:space="preserve">Všetky návratné finančné výpomoci poskytnuté ústrednou správou napr. mestám, obciam a podnikateľským subjektom v rámci súhrnného celku sú predmetom vzájomnej eliminácie. </w:t>
      </w:r>
      <w:r w:rsidR="004A38C9" w:rsidRPr="00C66720">
        <w:rPr>
          <w:b w:val="0"/>
          <w:bCs w:val="0"/>
          <w:sz w:val="22"/>
          <w:szCs w:val="22"/>
        </w:rPr>
        <w:t xml:space="preserve">V prípade dlhodobých návratných finančných výpomocí eliminácia predstavuje </w:t>
      </w:r>
      <w:r w:rsidR="00D13BE9" w:rsidRPr="00C66720">
        <w:rPr>
          <w:b w:val="0"/>
          <w:bCs w:val="0"/>
          <w:sz w:val="22"/>
          <w:szCs w:val="22"/>
        </w:rPr>
        <w:t>577 181 t</w:t>
      </w:r>
      <w:r w:rsidR="004A38C9" w:rsidRPr="00C66720">
        <w:rPr>
          <w:b w:val="0"/>
          <w:bCs w:val="0"/>
          <w:sz w:val="22"/>
          <w:szCs w:val="22"/>
        </w:rPr>
        <w:t xml:space="preserve">is. eur. </w:t>
      </w:r>
      <w:r w:rsidRPr="00C66720">
        <w:rPr>
          <w:b w:val="0"/>
          <w:bCs w:val="0"/>
          <w:sz w:val="22"/>
          <w:szCs w:val="22"/>
        </w:rPr>
        <w:t xml:space="preserve">Ide najmä o návratnú finančnú výpomoc poskytnutú Agentúre pre núdzové zásoby ropy a ropných výrobkov v hodnote </w:t>
      </w:r>
      <w:r w:rsidR="00A02B0C" w:rsidRPr="00C66720">
        <w:rPr>
          <w:b w:val="0"/>
          <w:bCs w:val="0"/>
          <w:sz w:val="22"/>
          <w:szCs w:val="22"/>
        </w:rPr>
        <w:t>24</w:t>
      </w:r>
      <w:r w:rsidR="00136C6D" w:rsidRPr="00C66720">
        <w:rPr>
          <w:b w:val="0"/>
          <w:bCs w:val="0"/>
          <w:sz w:val="22"/>
          <w:szCs w:val="22"/>
        </w:rPr>
        <w:t>0</w:t>
      </w:r>
      <w:r w:rsidR="00022508" w:rsidRPr="00C66720">
        <w:rPr>
          <w:b w:val="0"/>
          <w:bCs w:val="0"/>
          <w:sz w:val="22"/>
          <w:szCs w:val="22"/>
        </w:rPr>
        <w:t xml:space="preserve"> </w:t>
      </w:r>
      <w:r w:rsidRPr="00C66720">
        <w:rPr>
          <w:b w:val="0"/>
          <w:bCs w:val="0"/>
          <w:sz w:val="22"/>
          <w:szCs w:val="22"/>
        </w:rPr>
        <w:t xml:space="preserve">000 tis. eur, výpomoci mestám SR v objeme </w:t>
      </w:r>
      <w:r w:rsidR="004A4347" w:rsidRPr="00C66720">
        <w:rPr>
          <w:b w:val="0"/>
          <w:bCs w:val="0"/>
          <w:sz w:val="22"/>
          <w:szCs w:val="22"/>
        </w:rPr>
        <w:t xml:space="preserve">132 992 tis. eur </w:t>
      </w:r>
      <w:r w:rsidRPr="00C66720">
        <w:rPr>
          <w:b w:val="0"/>
          <w:bCs w:val="0"/>
          <w:sz w:val="22"/>
          <w:szCs w:val="22"/>
        </w:rPr>
        <w:t xml:space="preserve">a výpomoci poskytnuté VÚC </w:t>
      </w:r>
      <w:r w:rsidR="00254036" w:rsidRPr="00C66720">
        <w:rPr>
          <w:b w:val="0"/>
          <w:bCs w:val="0"/>
          <w:sz w:val="22"/>
          <w:szCs w:val="22"/>
        </w:rPr>
        <w:t>133 291 tis. eur</w:t>
      </w:r>
      <w:r w:rsidR="00135658" w:rsidRPr="00C66720">
        <w:rPr>
          <w:b w:val="0"/>
          <w:bCs w:val="0"/>
          <w:sz w:val="22"/>
          <w:szCs w:val="22"/>
        </w:rPr>
        <w:t>, vrátane poskytnutých NFV za účelom finančnej stabilizácie územnej samosprávy v čase pandémie</w:t>
      </w:r>
      <w:r w:rsidRPr="00C66720">
        <w:rPr>
          <w:b w:val="0"/>
          <w:bCs w:val="0"/>
          <w:sz w:val="22"/>
          <w:szCs w:val="22"/>
        </w:rPr>
        <w:t>.</w:t>
      </w:r>
      <w:r w:rsidR="002C2BD8" w:rsidRPr="00C66720">
        <w:rPr>
          <w:b w:val="0"/>
          <w:bCs w:val="0"/>
          <w:sz w:val="22"/>
          <w:szCs w:val="22"/>
        </w:rPr>
        <w:t xml:space="preserve"> Po vzájomnej eliminácii dlhodobých návratných finančných výpomocí medzi subjektami súhrnného celku sú najvýznamnejšie finančné výpomoci poskytované podnikateľským subjektom v celkovej sume </w:t>
      </w:r>
      <w:r w:rsidR="00C27CA8" w:rsidRPr="00C66720">
        <w:rPr>
          <w:b w:val="0"/>
          <w:bCs w:val="0"/>
          <w:sz w:val="22"/>
          <w:szCs w:val="22"/>
        </w:rPr>
        <w:t>53 907</w:t>
      </w:r>
      <w:r w:rsidR="002C2BD8" w:rsidRPr="00C66720">
        <w:rPr>
          <w:b w:val="0"/>
          <w:bCs w:val="0"/>
          <w:sz w:val="22"/>
          <w:szCs w:val="22"/>
        </w:rPr>
        <w:t xml:space="preserve"> tis. eur</w:t>
      </w:r>
      <w:r w:rsidR="00F63684" w:rsidRPr="00C66720">
        <w:rPr>
          <w:b w:val="0"/>
          <w:bCs w:val="0"/>
          <w:sz w:val="22"/>
          <w:szCs w:val="22"/>
        </w:rPr>
        <w:t>.</w:t>
      </w:r>
      <w:r w:rsidR="002C2BD8" w:rsidRPr="00C66720">
        <w:rPr>
          <w:b w:val="0"/>
          <w:bCs w:val="0"/>
          <w:sz w:val="22"/>
          <w:szCs w:val="22"/>
        </w:rPr>
        <w:t xml:space="preserve"> </w:t>
      </w:r>
    </w:p>
    <w:p w14:paraId="72CA620A" w14:textId="77777777" w:rsidR="00466F76" w:rsidRPr="009254FB" w:rsidRDefault="00466F76" w:rsidP="00466F76">
      <w:pPr>
        <w:pStyle w:val="Pismenka"/>
        <w:tabs>
          <w:tab w:val="clear" w:pos="426"/>
        </w:tabs>
        <w:spacing w:before="240"/>
        <w:ind w:left="0" w:firstLine="0"/>
        <w:rPr>
          <w:bCs w:val="0"/>
          <w:color w:val="FF0000"/>
        </w:rPr>
      </w:pPr>
      <w:r w:rsidRPr="009254FB">
        <w:rPr>
          <w:bCs w:val="0"/>
        </w:rPr>
        <w:t>Tabuľka 7</w:t>
      </w:r>
    </w:p>
    <w:tbl>
      <w:tblPr>
        <w:tblW w:w="5014" w:type="pct"/>
        <w:jc w:val="center"/>
        <w:tblLayout w:type="fixed"/>
        <w:tblCellMar>
          <w:left w:w="70" w:type="dxa"/>
          <w:right w:w="70" w:type="dxa"/>
        </w:tblCellMar>
        <w:tblLook w:val="00A0" w:firstRow="1" w:lastRow="0" w:firstColumn="1" w:lastColumn="0" w:noHBand="0" w:noVBand="0"/>
      </w:tblPr>
      <w:tblGrid>
        <w:gridCol w:w="5101"/>
        <w:gridCol w:w="1135"/>
        <w:gridCol w:w="1228"/>
        <w:gridCol w:w="1632"/>
      </w:tblGrid>
      <w:tr w:rsidR="00466F76" w:rsidRPr="00AD1DD7" w14:paraId="3DEB2B51"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59200EF8" w14:textId="77777777" w:rsidR="00466F76" w:rsidRPr="00AD1DD7" w:rsidRDefault="00466F76" w:rsidP="00241F33">
            <w:pPr>
              <w:spacing w:after="0" w:line="240" w:lineRule="auto"/>
              <w:rPr>
                <w:rFonts w:ascii="Times New Roman" w:hAnsi="Times New Roman"/>
                <w:b/>
                <w:bCs/>
                <w:sz w:val="18"/>
                <w:szCs w:val="18"/>
                <w:highlight w:val="yellow"/>
                <w:lang w:eastAsia="sk-SK"/>
              </w:rPr>
            </w:pPr>
            <w:r w:rsidRPr="00AD1DD7">
              <w:rPr>
                <w:rFonts w:ascii="Times New Roman" w:hAnsi="Times New Roman"/>
                <w:b/>
                <w:bCs/>
                <w:sz w:val="18"/>
                <w:szCs w:val="18"/>
                <w:lang w:eastAsia="sk-SK"/>
              </w:rPr>
              <w:t xml:space="preserve">Dlhodobé pohľadávky súhrnného celku                                                                               </w:t>
            </w:r>
            <w:r>
              <w:rPr>
                <w:rFonts w:ascii="Times New Roman" w:hAnsi="Times New Roman"/>
                <w:b/>
                <w:bCs/>
                <w:sz w:val="18"/>
                <w:szCs w:val="18"/>
                <w:lang w:eastAsia="sk-SK"/>
              </w:rPr>
              <w:t xml:space="preserve">                               </w:t>
            </w:r>
            <w:r w:rsidRPr="00AD1DD7">
              <w:rPr>
                <w:rFonts w:ascii="Times New Roman" w:hAnsi="Times New Roman"/>
                <w:b/>
                <w:bCs/>
                <w:sz w:val="18"/>
                <w:szCs w:val="18"/>
                <w:lang w:eastAsia="sk-SK"/>
              </w:rPr>
              <w:t xml:space="preserve">  (v tis. eur) </w:t>
            </w:r>
          </w:p>
        </w:tc>
      </w:tr>
      <w:tr w:rsidR="00466F76" w:rsidRPr="00975467" w14:paraId="46A275BA" w14:textId="77777777" w:rsidTr="00241F33">
        <w:trPr>
          <w:trHeight w:val="330"/>
          <w:jc w:val="center"/>
        </w:trPr>
        <w:tc>
          <w:tcPr>
            <w:tcW w:w="2804" w:type="pct"/>
            <w:tcBorders>
              <w:top w:val="nil"/>
              <w:left w:val="nil"/>
              <w:bottom w:val="single" w:sz="4" w:space="0" w:color="auto"/>
              <w:right w:val="nil"/>
            </w:tcBorders>
            <w:shd w:val="clear" w:color="auto" w:fill="BDD7EE"/>
            <w:noWrap/>
            <w:vAlign w:val="center"/>
          </w:tcPr>
          <w:p w14:paraId="01E9997F" w14:textId="77777777" w:rsidR="00466F76" w:rsidRPr="00975FCE" w:rsidRDefault="00466F76" w:rsidP="00466F76">
            <w:pPr>
              <w:spacing w:after="0" w:line="240" w:lineRule="auto"/>
              <w:rPr>
                <w:rFonts w:ascii="Times New Roman" w:hAnsi="Times New Roman"/>
                <w:b/>
                <w:bCs/>
                <w:sz w:val="18"/>
                <w:szCs w:val="18"/>
                <w:lang w:eastAsia="sk-SK"/>
              </w:rPr>
            </w:pPr>
            <w:r w:rsidRPr="00975FCE">
              <w:rPr>
                <w:rFonts w:ascii="Times New Roman" w:hAnsi="Times New Roman"/>
                <w:b/>
                <w:bCs/>
                <w:sz w:val="18"/>
                <w:szCs w:val="18"/>
                <w:lang w:eastAsia="sk-SK"/>
              </w:rPr>
              <w:t>Druh pohľadávky</w:t>
            </w:r>
          </w:p>
        </w:tc>
        <w:tc>
          <w:tcPr>
            <w:tcW w:w="624" w:type="pct"/>
            <w:tcBorders>
              <w:top w:val="nil"/>
              <w:left w:val="nil"/>
              <w:bottom w:val="single" w:sz="4" w:space="0" w:color="auto"/>
              <w:right w:val="nil"/>
            </w:tcBorders>
            <w:shd w:val="clear" w:color="auto" w:fill="BDD7EE"/>
            <w:noWrap/>
            <w:vAlign w:val="center"/>
          </w:tcPr>
          <w:p w14:paraId="79B25328" w14:textId="26F7A43F" w:rsidR="00466F76" w:rsidRPr="00975FCE" w:rsidRDefault="00466F76" w:rsidP="00466F7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 xml:space="preserve">    2022</w:t>
            </w:r>
          </w:p>
        </w:tc>
        <w:tc>
          <w:tcPr>
            <w:tcW w:w="675" w:type="pct"/>
            <w:tcBorders>
              <w:top w:val="nil"/>
              <w:left w:val="nil"/>
              <w:bottom w:val="single" w:sz="4" w:space="0" w:color="auto"/>
              <w:right w:val="nil"/>
            </w:tcBorders>
            <w:shd w:val="clear" w:color="auto" w:fill="BDD7EE"/>
            <w:noWrap/>
            <w:vAlign w:val="center"/>
          </w:tcPr>
          <w:p w14:paraId="492D2450" w14:textId="0564CE2C" w:rsidR="00466F76" w:rsidRPr="00975FCE" w:rsidRDefault="00466F76" w:rsidP="00466F7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 xml:space="preserve">    2021</w:t>
            </w:r>
          </w:p>
        </w:tc>
        <w:tc>
          <w:tcPr>
            <w:tcW w:w="897" w:type="pct"/>
            <w:tcBorders>
              <w:top w:val="nil"/>
              <w:left w:val="nil"/>
              <w:bottom w:val="single" w:sz="4" w:space="0" w:color="auto"/>
              <w:right w:val="nil"/>
            </w:tcBorders>
            <w:shd w:val="clear" w:color="auto" w:fill="BDD7EE"/>
            <w:vAlign w:val="center"/>
          </w:tcPr>
          <w:p w14:paraId="63D6E881" w14:textId="074613D4" w:rsidR="00466F76" w:rsidRPr="00975FCE" w:rsidRDefault="00466F76" w:rsidP="00466F7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8665FE" w:rsidRPr="00975467" w14:paraId="4616A3DD" w14:textId="77777777" w:rsidTr="00241F33">
        <w:trPr>
          <w:trHeight w:hRule="exact" w:val="330"/>
          <w:jc w:val="center"/>
        </w:trPr>
        <w:tc>
          <w:tcPr>
            <w:tcW w:w="2804" w:type="pct"/>
            <w:tcBorders>
              <w:top w:val="nil"/>
              <w:left w:val="nil"/>
              <w:bottom w:val="nil"/>
              <w:right w:val="nil"/>
            </w:tcBorders>
            <w:vAlign w:val="center"/>
          </w:tcPr>
          <w:p w14:paraId="618B4ABE" w14:textId="7729F3E1" w:rsidR="008665FE" w:rsidRPr="00975FCE" w:rsidRDefault="008665FE" w:rsidP="008665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Pohľadávky EXIM banky z poskytnutých úverov </w:t>
            </w:r>
          </w:p>
        </w:tc>
        <w:tc>
          <w:tcPr>
            <w:tcW w:w="624" w:type="pct"/>
            <w:tcBorders>
              <w:top w:val="nil"/>
              <w:left w:val="nil"/>
              <w:bottom w:val="nil"/>
              <w:right w:val="nil"/>
            </w:tcBorders>
            <w:shd w:val="clear" w:color="auto" w:fill="auto"/>
            <w:vAlign w:val="center"/>
          </w:tcPr>
          <w:p w14:paraId="37BF43A0" w14:textId="1F7DEB63"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352 840</w:t>
            </w:r>
          </w:p>
        </w:tc>
        <w:tc>
          <w:tcPr>
            <w:tcW w:w="675" w:type="pct"/>
            <w:tcBorders>
              <w:top w:val="nil"/>
              <w:left w:val="nil"/>
              <w:bottom w:val="nil"/>
              <w:right w:val="nil"/>
            </w:tcBorders>
            <w:vAlign w:val="center"/>
          </w:tcPr>
          <w:p w14:paraId="3F921A7B" w14:textId="3CBBF721"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392 345</w:t>
            </w:r>
          </w:p>
        </w:tc>
        <w:tc>
          <w:tcPr>
            <w:tcW w:w="897" w:type="pct"/>
            <w:tcBorders>
              <w:top w:val="nil"/>
              <w:left w:val="nil"/>
              <w:bottom w:val="nil"/>
              <w:right w:val="nil"/>
            </w:tcBorders>
            <w:vAlign w:val="center"/>
          </w:tcPr>
          <w:p w14:paraId="630EB3DA" w14:textId="12046F61"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-39 505</w:t>
            </w:r>
          </w:p>
        </w:tc>
      </w:tr>
      <w:tr w:rsidR="008665FE" w:rsidRPr="00975467" w14:paraId="237DBB7A" w14:textId="77777777" w:rsidTr="00241F33">
        <w:trPr>
          <w:trHeight w:hRule="exact" w:val="330"/>
          <w:jc w:val="center"/>
        </w:trPr>
        <w:tc>
          <w:tcPr>
            <w:tcW w:w="2804" w:type="pct"/>
            <w:tcBorders>
              <w:left w:val="nil"/>
              <w:right w:val="nil"/>
            </w:tcBorders>
            <w:vAlign w:val="center"/>
          </w:tcPr>
          <w:p w14:paraId="6D991DD0" w14:textId="4F318D2A" w:rsidR="008665FE" w:rsidRPr="00975FCE" w:rsidRDefault="008665FE" w:rsidP="008665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Pohľadávky SZRB z poskytnutých úverov  </w:t>
            </w:r>
          </w:p>
        </w:tc>
        <w:tc>
          <w:tcPr>
            <w:tcW w:w="624" w:type="pct"/>
            <w:tcBorders>
              <w:left w:val="nil"/>
              <w:right w:val="nil"/>
            </w:tcBorders>
            <w:shd w:val="clear" w:color="auto" w:fill="auto"/>
            <w:vAlign w:val="center"/>
          </w:tcPr>
          <w:p w14:paraId="2619AE2C" w14:textId="3B01758D"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248 353</w:t>
            </w:r>
          </w:p>
        </w:tc>
        <w:tc>
          <w:tcPr>
            <w:tcW w:w="675" w:type="pct"/>
            <w:tcBorders>
              <w:left w:val="nil"/>
              <w:right w:val="nil"/>
            </w:tcBorders>
            <w:vAlign w:val="center"/>
          </w:tcPr>
          <w:p w14:paraId="423BA055" w14:textId="42076E46"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267 639</w:t>
            </w:r>
          </w:p>
        </w:tc>
        <w:tc>
          <w:tcPr>
            <w:tcW w:w="897" w:type="pct"/>
            <w:tcBorders>
              <w:left w:val="nil"/>
              <w:right w:val="nil"/>
            </w:tcBorders>
            <w:vAlign w:val="center"/>
          </w:tcPr>
          <w:p w14:paraId="0482A843" w14:textId="321E5B48"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-19 286</w:t>
            </w:r>
          </w:p>
        </w:tc>
      </w:tr>
      <w:tr w:rsidR="008665FE" w:rsidRPr="00975467" w14:paraId="13FF8268" w14:textId="77777777" w:rsidTr="00241F33">
        <w:trPr>
          <w:trHeight w:hRule="exact" w:val="330"/>
          <w:jc w:val="center"/>
        </w:trPr>
        <w:tc>
          <w:tcPr>
            <w:tcW w:w="2804" w:type="pct"/>
            <w:tcBorders>
              <w:left w:val="nil"/>
              <w:right w:val="nil"/>
            </w:tcBorders>
            <w:vAlign w:val="center"/>
          </w:tcPr>
          <w:p w14:paraId="298E0672" w14:textId="51A0A98E" w:rsidR="008665FE" w:rsidRPr="00975FCE" w:rsidRDefault="008665FE" w:rsidP="008665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Návratné finančné výpomoci</w:t>
            </w:r>
          </w:p>
        </w:tc>
        <w:tc>
          <w:tcPr>
            <w:tcW w:w="624" w:type="pct"/>
            <w:tcBorders>
              <w:left w:val="nil"/>
              <w:right w:val="nil"/>
            </w:tcBorders>
            <w:shd w:val="clear" w:color="auto" w:fill="auto"/>
            <w:vAlign w:val="center"/>
          </w:tcPr>
          <w:p w14:paraId="489A160F" w14:textId="1B95829B"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55 259</w:t>
            </w:r>
          </w:p>
        </w:tc>
        <w:tc>
          <w:tcPr>
            <w:tcW w:w="675" w:type="pct"/>
            <w:tcBorders>
              <w:left w:val="nil"/>
              <w:right w:val="nil"/>
            </w:tcBorders>
            <w:vAlign w:val="center"/>
          </w:tcPr>
          <w:p w14:paraId="5A4D24B3" w14:textId="51C03BDD"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56 776</w:t>
            </w:r>
          </w:p>
        </w:tc>
        <w:tc>
          <w:tcPr>
            <w:tcW w:w="897" w:type="pct"/>
            <w:tcBorders>
              <w:left w:val="nil"/>
              <w:right w:val="nil"/>
            </w:tcBorders>
            <w:vAlign w:val="center"/>
          </w:tcPr>
          <w:p w14:paraId="5C85CC67" w14:textId="70C10963" w:rsidR="008665FE" w:rsidRPr="00975FCE" w:rsidRDefault="008665FE" w:rsidP="008665FE">
            <w:pPr>
              <w:spacing w:after="0" w:line="240" w:lineRule="auto"/>
              <w:jc w:val="right"/>
              <w:rPr>
                <w:rFonts w:ascii="Times New Roman" w:hAnsi="Times New Roman"/>
                <w:color w:val="FF0000"/>
                <w:sz w:val="18"/>
                <w:szCs w:val="18"/>
                <w:lang w:eastAsia="sk-SK"/>
              </w:rPr>
            </w:pPr>
            <w:r w:rsidRPr="00C66720">
              <w:rPr>
                <w:rFonts w:ascii="Times New Roman" w:hAnsi="Times New Roman"/>
                <w:sz w:val="18"/>
                <w:szCs w:val="18"/>
                <w:lang w:eastAsia="sk-SK"/>
              </w:rPr>
              <w:t>-1 517</w:t>
            </w:r>
          </w:p>
        </w:tc>
      </w:tr>
      <w:tr w:rsidR="008665FE" w:rsidRPr="00975467" w14:paraId="076BB596" w14:textId="77777777" w:rsidTr="00241F33">
        <w:trPr>
          <w:trHeight w:hRule="exact" w:val="330"/>
          <w:jc w:val="center"/>
        </w:trPr>
        <w:tc>
          <w:tcPr>
            <w:tcW w:w="2804" w:type="pct"/>
            <w:tcBorders>
              <w:left w:val="nil"/>
              <w:right w:val="nil"/>
            </w:tcBorders>
            <w:vAlign w:val="center"/>
          </w:tcPr>
          <w:p w14:paraId="4C3A9457" w14:textId="389200DE" w:rsidR="008665FE" w:rsidRPr="00975FCE" w:rsidRDefault="008665FE" w:rsidP="008665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Pohľadávky voči zamestnancom</w:t>
            </w:r>
          </w:p>
        </w:tc>
        <w:tc>
          <w:tcPr>
            <w:tcW w:w="624" w:type="pct"/>
            <w:tcBorders>
              <w:left w:val="nil"/>
              <w:right w:val="nil"/>
            </w:tcBorders>
            <w:shd w:val="clear" w:color="auto" w:fill="auto"/>
            <w:vAlign w:val="center"/>
          </w:tcPr>
          <w:p w14:paraId="7E59AF29" w14:textId="08247104"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23 655</w:t>
            </w:r>
          </w:p>
        </w:tc>
        <w:tc>
          <w:tcPr>
            <w:tcW w:w="675" w:type="pct"/>
            <w:tcBorders>
              <w:left w:val="nil"/>
              <w:right w:val="nil"/>
            </w:tcBorders>
            <w:vAlign w:val="center"/>
          </w:tcPr>
          <w:p w14:paraId="51A1A4C4" w14:textId="79106444"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24 165</w:t>
            </w:r>
          </w:p>
        </w:tc>
        <w:tc>
          <w:tcPr>
            <w:tcW w:w="897" w:type="pct"/>
            <w:tcBorders>
              <w:left w:val="nil"/>
              <w:right w:val="nil"/>
            </w:tcBorders>
            <w:vAlign w:val="center"/>
          </w:tcPr>
          <w:p w14:paraId="413ACA32" w14:textId="2696F3A8"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-510</w:t>
            </w:r>
          </w:p>
        </w:tc>
      </w:tr>
      <w:tr w:rsidR="008665FE" w:rsidRPr="00975467" w14:paraId="56CC7873" w14:textId="77777777" w:rsidTr="00241F33">
        <w:trPr>
          <w:trHeight w:hRule="exact" w:val="330"/>
          <w:jc w:val="center"/>
        </w:trPr>
        <w:tc>
          <w:tcPr>
            <w:tcW w:w="2804" w:type="pct"/>
            <w:tcBorders>
              <w:left w:val="nil"/>
              <w:right w:val="nil"/>
            </w:tcBorders>
            <w:vAlign w:val="center"/>
          </w:tcPr>
          <w:p w14:paraId="4A21F1AA" w14:textId="080E293C" w:rsidR="008665FE" w:rsidRPr="00975FCE" w:rsidRDefault="008665FE" w:rsidP="008665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Pohľadávky NDF II</w:t>
            </w:r>
          </w:p>
        </w:tc>
        <w:tc>
          <w:tcPr>
            <w:tcW w:w="624" w:type="pct"/>
            <w:tcBorders>
              <w:left w:val="nil"/>
              <w:right w:val="nil"/>
            </w:tcBorders>
            <w:shd w:val="clear" w:color="auto" w:fill="auto"/>
            <w:vAlign w:val="center"/>
          </w:tcPr>
          <w:p w14:paraId="1340ED1D" w14:textId="225094ED"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19 703</w:t>
            </w:r>
          </w:p>
        </w:tc>
        <w:tc>
          <w:tcPr>
            <w:tcW w:w="675" w:type="pct"/>
            <w:tcBorders>
              <w:left w:val="nil"/>
              <w:right w:val="nil"/>
            </w:tcBorders>
            <w:vAlign w:val="center"/>
          </w:tcPr>
          <w:p w14:paraId="3CD529A8" w14:textId="086E0F6F"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17 745</w:t>
            </w:r>
          </w:p>
        </w:tc>
        <w:tc>
          <w:tcPr>
            <w:tcW w:w="897" w:type="pct"/>
            <w:tcBorders>
              <w:left w:val="nil"/>
              <w:right w:val="nil"/>
            </w:tcBorders>
            <w:vAlign w:val="center"/>
          </w:tcPr>
          <w:p w14:paraId="58ABEDBE" w14:textId="0152C5CF"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1 958</w:t>
            </w:r>
          </w:p>
        </w:tc>
      </w:tr>
      <w:tr w:rsidR="008665FE" w:rsidRPr="00975467" w14:paraId="366A6EC7" w14:textId="77777777" w:rsidTr="00241F33">
        <w:trPr>
          <w:trHeight w:val="330"/>
          <w:jc w:val="center"/>
        </w:trPr>
        <w:tc>
          <w:tcPr>
            <w:tcW w:w="2804" w:type="pct"/>
            <w:tcBorders>
              <w:left w:val="nil"/>
              <w:right w:val="nil"/>
            </w:tcBorders>
            <w:shd w:val="clear" w:color="000000" w:fill="auto"/>
            <w:noWrap/>
            <w:vAlign w:val="center"/>
          </w:tcPr>
          <w:p w14:paraId="7D35B93A" w14:textId="5F7B3751" w:rsidR="008665FE" w:rsidRPr="00975FCE" w:rsidRDefault="008665FE" w:rsidP="008665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Všeobecná zdravotná poisťovňa, a.s.</w:t>
            </w:r>
          </w:p>
        </w:tc>
        <w:tc>
          <w:tcPr>
            <w:tcW w:w="624" w:type="pct"/>
            <w:tcBorders>
              <w:left w:val="nil"/>
              <w:right w:val="nil"/>
            </w:tcBorders>
            <w:shd w:val="clear" w:color="auto" w:fill="auto"/>
            <w:noWrap/>
            <w:vAlign w:val="center"/>
          </w:tcPr>
          <w:p w14:paraId="110FE407" w14:textId="15060335"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16 300</w:t>
            </w:r>
          </w:p>
        </w:tc>
        <w:tc>
          <w:tcPr>
            <w:tcW w:w="675" w:type="pct"/>
            <w:tcBorders>
              <w:left w:val="nil"/>
              <w:right w:val="nil"/>
            </w:tcBorders>
            <w:shd w:val="clear" w:color="000000" w:fill="auto"/>
            <w:noWrap/>
            <w:vAlign w:val="center"/>
          </w:tcPr>
          <w:p w14:paraId="29ABA10F" w14:textId="22B5D2F6"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17 084</w:t>
            </w:r>
          </w:p>
        </w:tc>
        <w:tc>
          <w:tcPr>
            <w:tcW w:w="897" w:type="pct"/>
            <w:tcBorders>
              <w:left w:val="nil"/>
              <w:right w:val="nil"/>
            </w:tcBorders>
            <w:shd w:val="clear" w:color="000000" w:fill="auto"/>
            <w:vAlign w:val="center"/>
          </w:tcPr>
          <w:p w14:paraId="384E7EFD" w14:textId="7BEE1D1B"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-784</w:t>
            </w:r>
          </w:p>
        </w:tc>
      </w:tr>
      <w:tr w:rsidR="008665FE" w:rsidRPr="00975467" w14:paraId="0BD86571" w14:textId="77777777" w:rsidTr="00241F33">
        <w:trPr>
          <w:trHeight w:hRule="exact" w:val="330"/>
          <w:jc w:val="center"/>
        </w:trPr>
        <w:tc>
          <w:tcPr>
            <w:tcW w:w="2804" w:type="pct"/>
            <w:tcBorders>
              <w:top w:val="nil"/>
              <w:left w:val="nil"/>
              <w:bottom w:val="single" w:sz="4" w:space="0" w:color="auto"/>
              <w:right w:val="nil"/>
            </w:tcBorders>
            <w:vAlign w:val="center"/>
          </w:tcPr>
          <w:p w14:paraId="2C288AFB" w14:textId="78DF9BC1" w:rsidR="008665FE" w:rsidRPr="00975FCE" w:rsidRDefault="008665FE" w:rsidP="008665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Ostatné dlhodobé pohľadávky</w:t>
            </w:r>
          </w:p>
        </w:tc>
        <w:tc>
          <w:tcPr>
            <w:tcW w:w="624" w:type="pct"/>
            <w:tcBorders>
              <w:top w:val="nil"/>
              <w:left w:val="nil"/>
              <w:bottom w:val="single" w:sz="4" w:space="0" w:color="auto"/>
              <w:right w:val="nil"/>
            </w:tcBorders>
            <w:vAlign w:val="center"/>
          </w:tcPr>
          <w:p w14:paraId="2A688BFD" w14:textId="35673120"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72 032</w:t>
            </w:r>
          </w:p>
        </w:tc>
        <w:tc>
          <w:tcPr>
            <w:tcW w:w="675" w:type="pct"/>
            <w:tcBorders>
              <w:top w:val="nil"/>
              <w:left w:val="nil"/>
              <w:bottom w:val="single" w:sz="4" w:space="0" w:color="auto"/>
              <w:right w:val="nil"/>
            </w:tcBorders>
            <w:vAlign w:val="center"/>
          </w:tcPr>
          <w:p w14:paraId="07CF235C" w14:textId="52D475C3"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74 535</w:t>
            </w:r>
          </w:p>
        </w:tc>
        <w:tc>
          <w:tcPr>
            <w:tcW w:w="897" w:type="pct"/>
            <w:tcBorders>
              <w:top w:val="nil"/>
              <w:left w:val="nil"/>
              <w:bottom w:val="single" w:sz="4" w:space="0" w:color="auto"/>
              <w:right w:val="nil"/>
            </w:tcBorders>
            <w:vAlign w:val="center"/>
          </w:tcPr>
          <w:p w14:paraId="308C279C" w14:textId="3BB68B36" w:rsidR="008665FE" w:rsidRPr="00975FCE" w:rsidRDefault="008665FE" w:rsidP="008665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-2 503</w:t>
            </w:r>
          </w:p>
        </w:tc>
      </w:tr>
      <w:tr w:rsidR="008665FE" w:rsidRPr="00975467" w14:paraId="38E1E087" w14:textId="77777777" w:rsidTr="00241F33">
        <w:trPr>
          <w:trHeight w:hRule="exact" w:val="330"/>
          <w:jc w:val="center"/>
        </w:trPr>
        <w:tc>
          <w:tcPr>
            <w:tcW w:w="2804" w:type="pct"/>
            <w:tcBorders>
              <w:top w:val="single" w:sz="4" w:space="0" w:color="auto"/>
              <w:left w:val="nil"/>
              <w:bottom w:val="single" w:sz="4" w:space="0" w:color="auto"/>
              <w:right w:val="nil"/>
            </w:tcBorders>
            <w:vAlign w:val="center"/>
          </w:tcPr>
          <w:p w14:paraId="07B84465" w14:textId="65077A7F" w:rsidR="008665FE" w:rsidRPr="00975FCE" w:rsidRDefault="008665FE" w:rsidP="008665FE">
            <w:pPr>
              <w:spacing w:after="0" w:line="240" w:lineRule="auto"/>
              <w:rPr>
                <w:rFonts w:ascii="Times New Roman" w:hAnsi="Times New Roman"/>
                <w:b/>
                <w:sz w:val="18"/>
                <w:szCs w:val="18"/>
                <w:lang w:eastAsia="sk-SK"/>
              </w:rPr>
            </w:pPr>
            <w:r w:rsidRPr="00C66720">
              <w:rPr>
                <w:rFonts w:ascii="Times New Roman" w:hAnsi="Times New Roman"/>
                <w:b/>
                <w:bCs/>
                <w:sz w:val="18"/>
                <w:szCs w:val="18"/>
                <w:lang w:eastAsia="sk-SK"/>
              </w:rPr>
              <w:t>Spolu</w:t>
            </w:r>
          </w:p>
        </w:tc>
        <w:tc>
          <w:tcPr>
            <w:tcW w:w="624" w:type="pct"/>
            <w:tcBorders>
              <w:top w:val="single" w:sz="4" w:space="0" w:color="auto"/>
              <w:left w:val="nil"/>
              <w:bottom w:val="single" w:sz="4" w:space="0" w:color="auto"/>
              <w:right w:val="nil"/>
            </w:tcBorders>
            <w:vAlign w:val="center"/>
          </w:tcPr>
          <w:p w14:paraId="43248DD7" w14:textId="6AF338D8" w:rsidR="008665FE" w:rsidRPr="00975FCE" w:rsidRDefault="008665FE" w:rsidP="008665FE">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788 142</w:t>
            </w:r>
          </w:p>
        </w:tc>
        <w:tc>
          <w:tcPr>
            <w:tcW w:w="675" w:type="pct"/>
            <w:tcBorders>
              <w:top w:val="single" w:sz="4" w:space="0" w:color="auto"/>
              <w:left w:val="nil"/>
              <w:bottom w:val="single" w:sz="4" w:space="0" w:color="auto"/>
              <w:right w:val="nil"/>
            </w:tcBorders>
            <w:vAlign w:val="center"/>
          </w:tcPr>
          <w:p w14:paraId="6C623EF4" w14:textId="0FD8A717" w:rsidR="008665FE" w:rsidRPr="00975FCE" w:rsidRDefault="008665FE" w:rsidP="008665FE">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850 289</w:t>
            </w:r>
          </w:p>
        </w:tc>
        <w:tc>
          <w:tcPr>
            <w:tcW w:w="897" w:type="pct"/>
            <w:tcBorders>
              <w:top w:val="single" w:sz="4" w:space="0" w:color="auto"/>
              <w:left w:val="nil"/>
              <w:bottom w:val="single" w:sz="4" w:space="0" w:color="auto"/>
              <w:right w:val="nil"/>
            </w:tcBorders>
            <w:vAlign w:val="center"/>
          </w:tcPr>
          <w:p w14:paraId="10160C48" w14:textId="058ED123" w:rsidR="008665FE" w:rsidRPr="00975FCE" w:rsidRDefault="008665FE" w:rsidP="008665FE">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-62 147</w:t>
            </w:r>
          </w:p>
        </w:tc>
      </w:tr>
    </w:tbl>
    <w:p w14:paraId="4C6F61A0" w14:textId="77777777" w:rsidR="00466F76" w:rsidRDefault="00466F76" w:rsidP="00466F76">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1B9BEEB9" w14:textId="77E11D5E" w:rsidR="00157F07" w:rsidRPr="00C66720" w:rsidRDefault="004311D9" w:rsidP="00D86FD0">
      <w:pPr>
        <w:pStyle w:val="Pismenka"/>
        <w:tabs>
          <w:tab w:val="clear" w:pos="426"/>
        </w:tabs>
        <w:spacing w:before="240" w:after="120"/>
        <w:ind w:left="0" w:firstLine="0"/>
        <w:rPr>
          <w:b w:val="0"/>
          <w:bCs w:val="0"/>
          <w:sz w:val="22"/>
          <w:szCs w:val="22"/>
        </w:rPr>
      </w:pPr>
      <w:r w:rsidRPr="00C66720">
        <w:rPr>
          <w:b w:val="0"/>
          <w:bCs w:val="0"/>
          <w:sz w:val="22"/>
          <w:szCs w:val="22"/>
        </w:rPr>
        <w:t>Z dlhodobých pohľadávok predstavujú najvyššiu hodnotu pohľadávky Exportno-importnej banky z poskytnutých úverov a záruk exportujúcim podnikom</w:t>
      </w:r>
      <w:r w:rsidR="00B71E00" w:rsidRPr="00C66720">
        <w:rPr>
          <w:b w:val="0"/>
          <w:bCs w:val="0"/>
          <w:sz w:val="22"/>
          <w:szCs w:val="22"/>
        </w:rPr>
        <w:t xml:space="preserve"> a</w:t>
      </w:r>
      <w:r w:rsidR="00460F1F" w:rsidRPr="00C66720">
        <w:rPr>
          <w:b w:val="0"/>
          <w:bCs w:val="0"/>
          <w:sz w:val="22"/>
          <w:szCs w:val="22"/>
        </w:rPr>
        <w:t> </w:t>
      </w:r>
      <w:r w:rsidR="00B71E00" w:rsidRPr="00C66720">
        <w:rPr>
          <w:b w:val="0"/>
          <w:bCs w:val="0"/>
          <w:sz w:val="22"/>
          <w:szCs w:val="22"/>
        </w:rPr>
        <w:t>bankám</w:t>
      </w:r>
      <w:r w:rsidR="00460F1F" w:rsidRPr="00C66720">
        <w:rPr>
          <w:b w:val="0"/>
          <w:bCs w:val="0"/>
          <w:sz w:val="22"/>
          <w:szCs w:val="22"/>
        </w:rPr>
        <w:t xml:space="preserve"> v sume 352 840 tis. eur. Medziročný pokles o 39 505 tis. eur bol spôsobený znížením hodnoty pohľadávok voči kliento</w:t>
      </w:r>
      <w:r w:rsidR="00C939AD">
        <w:rPr>
          <w:b w:val="0"/>
          <w:bCs w:val="0"/>
          <w:sz w:val="22"/>
          <w:szCs w:val="22"/>
        </w:rPr>
        <w:t>m</w:t>
      </w:r>
      <w:r w:rsidR="00460F1F" w:rsidRPr="00C66720">
        <w:rPr>
          <w:b w:val="0"/>
          <w:bCs w:val="0"/>
          <w:sz w:val="22"/>
          <w:szCs w:val="22"/>
        </w:rPr>
        <w:t xml:space="preserve"> o</w:t>
      </w:r>
      <w:r w:rsidR="00440DCD" w:rsidRPr="00C66720">
        <w:rPr>
          <w:b w:val="0"/>
          <w:bCs w:val="0"/>
          <w:sz w:val="22"/>
          <w:szCs w:val="22"/>
        </w:rPr>
        <w:t> 32 424</w:t>
      </w:r>
      <w:r w:rsidR="00460F1F" w:rsidRPr="00C66720">
        <w:rPr>
          <w:b w:val="0"/>
          <w:bCs w:val="0"/>
          <w:sz w:val="22"/>
          <w:szCs w:val="22"/>
        </w:rPr>
        <w:t xml:space="preserve"> tis. eur</w:t>
      </w:r>
      <w:r w:rsidR="00C939AD">
        <w:rPr>
          <w:b w:val="0"/>
          <w:bCs w:val="0"/>
          <w:sz w:val="22"/>
          <w:szCs w:val="22"/>
        </w:rPr>
        <w:t xml:space="preserve"> a pohľadávok </w:t>
      </w:r>
      <w:r w:rsidR="00C939AD" w:rsidRPr="00C66720">
        <w:rPr>
          <w:b w:val="0"/>
          <w:bCs w:val="0"/>
          <w:sz w:val="22"/>
          <w:szCs w:val="22"/>
        </w:rPr>
        <w:t>voči bankám o 7 041 tis. eur</w:t>
      </w:r>
      <w:r w:rsidR="00C939AD">
        <w:rPr>
          <w:b w:val="0"/>
          <w:bCs w:val="0"/>
          <w:sz w:val="22"/>
          <w:szCs w:val="22"/>
        </w:rPr>
        <w:t>.</w:t>
      </w:r>
      <w:r w:rsidRPr="00C66720">
        <w:rPr>
          <w:b w:val="0"/>
          <w:bCs w:val="0"/>
          <w:sz w:val="22"/>
          <w:szCs w:val="22"/>
        </w:rPr>
        <w:t xml:space="preserve"> </w:t>
      </w:r>
    </w:p>
    <w:p w14:paraId="72C6EE93" w14:textId="31C2DCC3" w:rsidR="00D86FD0" w:rsidRPr="00C66720" w:rsidRDefault="004311D9" w:rsidP="00157F07">
      <w:pPr>
        <w:pStyle w:val="Pismenka"/>
        <w:tabs>
          <w:tab w:val="clear" w:pos="426"/>
        </w:tabs>
        <w:spacing w:before="120" w:after="120"/>
        <w:ind w:left="0" w:firstLine="0"/>
        <w:rPr>
          <w:b w:val="0"/>
          <w:bCs w:val="0"/>
          <w:sz w:val="22"/>
          <w:szCs w:val="22"/>
        </w:rPr>
      </w:pPr>
      <w:r w:rsidRPr="00C66720">
        <w:rPr>
          <w:b w:val="0"/>
          <w:bCs w:val="0"/>
          <w:sz w:val="22"/>
          <w:szCs w:val="22"/>
        </w:rPr>
        <w:t>Slovenská záručná a rozvojová banka, a.s. vykazuje pohľadávky voči prijímateľom úverov a finančných výpomocí, ktorými banka podporuje podnikateľskú činnosť malých a stredných podnikateľov, poľnohospodárskych prvovýrobcov, obnovu bytového fondu a rea</w:t>
      </w:r>
      <w:r w:rsidR="00D86FD0" w:rsidRPr="00C66720">
        <w:rPr>
          <w:b w:val="0"/>
          <w:bCs w:val="0"/>
          <w:sz w:val="22"/>
          <w:szCs w:val="22"/>
        </w:rPr>
        <w:t xml:space="preserve">lizáciu projektov z EÚ fondov. </w:t>
      </w:r>
    </w:p>
    <w:p w14:paraId="4A6C7724" w14:textId="5922C60E" w:rsidR="00D86FD0" w:rsidRPr="00C66720" w:rsidRDefault="00D86FD0" w:rsidP="00D86FD0">
      <w:pPr>
        <w:pStyle w:val="Pismenka"/>
        <w:tabs>
          <w:tab w:val="clear" w:pos="426"/>
        </w:tabs>
        <w:spacing w:after="120"/>
        <w:ind w:left="0" w:firstLine="0"/>
        <w:rPr>
          <w:b w:val="0"/>
          <w:bCs w:val="0"/>
          <w:sz w:val="22"/>
          <w:szCs w:val="22"/>
        </w:rPr>
      </w:pPr>
      <w:r w:rsidRPr="00C66720">
        <w:rPr>
          <w:b w:val="0"/>
          <w:bCs w:val="0"/>
          <w:sz w:val="22"/>
          <w:szCs w:val="22"/>
        </w:rPr>
        <w:lastRenderedPageBreak/>
        <w:t xml:space="preserve">Pohľadávky voči zamestnancom tvorí najmä Ministerstvo vnútra SR (23 </w:t>
      </w:r>
      <w:r w:rsidR="00F9155A" w:rsidRPr="00C66720">
        <w:rPr>
          <w:b w:val="0"/>
          <w:bCs w:val="0"/>
          <w:sz w:val="22"/>
          <w:szCs w:val="22"/>
        </w:rPr>
        <w:t>187</w:t>
      </w:r>
      <w:r w:rsidRPr="00C66720">
        <w:rPr>
          <w:b w:val="0"/>
          <w:bCs w:val="0"/>
          <w:sz w:val="22"/>
          <w:szCs w:val="22"/>
        </w:rPr>
        <w:t xml:space="preserve"> tis. eur) z titulu poskytnutých návratných výpomocí zo sociálneho fondu na riešenie bytovej situácie policajtov a zamestnancov rezortu a za odpredaj služobných bytov. </w:t>
      </w:r>
    </w:p>
    <w:p w14:paraId="2614DDA1" w14:textId="087076A5" w:rsidR="00E911E5" w:rsidRPr="00C66720" w:rsidRDefault="00E911E5" w:rsidP="00D86FD0">
      <w:pPr>
        <w:pStyle w:val="Pismenka"/>
        <w:tabs>
          <w:tab w:val="clear" w:pos="426"/>
        </w:tabs>
        <w:spacing w:after="120"/>
        <w:ind w:left="0" w:firstLine="0"/>
        <w:rPr>
          <w:b w:val="0"/>
          <w:bCs w:val="0"/>
          <w:sz w:val="22"/>
          <w:szCs w:val="22"/>
        </w:rPr>
      </w:pPr>
      <w:r w:rsidRPr="00C66720">
        <w:rPr>
          <w:b w:val="0"/>
          <w:bCs w:val="0"/>
          <w:sz w:val="22"/>
          <w:szCs w:val="22"/>
        </w:rPr>
        <w:t>National Development Fund II, a.s. vykazuje pohľadávky vyplývajúce z portfóliového finančného nástroja zdieľaného rizika na základe zmlúv s komerčnými bankami.</w:t>
      </w:r>
    </w:p>
    <w:p w14:paraId="62178585" w14:textId="3BE236DA" w:rsidR="00EB1994" w:rsidRDefault="00EB1994" w:rsidP="008B4494">
      <w:pPr>
        <w:pStyle w:val="Pismenka"/>
        <w:tabs>
          <w:tab w:val="clear" w:pos="426"/>
        </w:tabs>
        <w:spacing w:before="120" w:after="240"/>
        <w:ind w:left="0" w:firstLine="0"/>
        <w:rPr>
          <w:b w:val="0"/>
          <w:bCs w:val="0"/>
          <w:sz w:val="22"/>
          <w:szCs w:val="22"/>
        </w:rPr>
      </w:pPr>
      <w:r w:rsidRPr="00C66720">
        <w:rPr>
          <w:b w:val="0"/>
          <w:bCs w:val="0"/>
          <w:sz w:val="22"/>
          <w:szCs w:val="22"/>
        </w:rPr>
        <w:t>Pohľadávky v špecifickom režime správy predstavujú vládne pohľadávky voči zahraničiu, ktoré sa vedú voči jednotlivým dlžníckym krajinám. Ide o pohľadávky z delenia federácie, ktoré sú v správe NBS a ČSOB, a.s. Praha, účtovne vedené na Ministerstve financií SR. Pre vymoženie dlžnej sumy sa vykonávajú všetky nevyhnutné úkony, ako je pravidelné kontaktovanie dlžnej strany, negociácia podmienok za ktorých pohľadávky vznikli a ďalšie.</w:t>
      </w:r>
    </w:p>
    <w:p w14:paraId="0A458B0D" w14:textId="77777777" w:rsidR="00A31A20" w:rsidRPr="00E921CC" w:rsidRDefault="00A31A20" w:rsidP="00A31A20">
      <w:pPr>
        <w:pStyle w:val="Pismenka"/>
        <w:tabs>
          <w:tab w:val="clear" w:pos="426"/>
        </w:tabs>
        <w:spacing w:before="120"/>
        <w:ind w:left="0" w:firstLine="0"/>
        <w:rPr>
          <w:bCs w:val="0"/>
          <w:color w:val="FF0000"/>
        </w:rPr>
      </w:pPr>
      <w:r w:rsidRPr="00E921CC">
        <w:rPr>
          <w:bCs w:val="0"/>
        </w:rPr>
        <w:t>Tabuľka 8</w:t>
      </w:r>
    </w:p>
    <w:tbl>
      <w:tblPr>
        <w:tblW w:w="5000" w:type="pct"/>
        <w:jc w:val="center"/>
        <w:tblCellMar>
          <w:left w:w="70" w:type="dxa"/>
          <w:right w:w="70" w:type="dxa"/>
        </w:tblCellMar>
        <w:tblLook w:val="04A0" w:firstRow="1" w:lastRow="0" w:firstColumn="1" w:lastColumn="0" w:noHBand="0" w:noVBand="1"/>
      </w:tblPr>
      <w:tblGrid>
        <w:gridCol w:w="5490"/>
        <w:gridCol w:w="1141"/>
        <w:gridCol w:w="1221"/>
        <w:gridCol w:w="1219"/>
      </w:tblGrid>
      <w:tr w:rsidR="00A31A20" w:rsidRPr="00AD1DD7" w14:paraId="3A0D1E26"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hideMark/>
          </w:tcPr>
          <w:p w14:paraId="28F42A72" w14:textId="77777777" w:rsidR="00A31A20" w:rsidRPr="00AD1DD7" w:rsidRDefault="00A31A20" w:rsidP="00241F33">
            <w:pPr>
              <w:spacing w:after="0" w:line="240" w:lineRule="auto"/>
              <w:rPr>
                <w:rFonts w:ascii="Times New Roman" w:hAnsi="Times New Roman"/>
                <w:b/>
                <w:bCs/>
                <w:sz w:val="18"/>
                <w:szCs w:val="18"/>
                <w:lang w:eastAsia="sk-SK"/>
              </w:rPr>
            </w:pPr>
            <w:r w:rsidRPr="00AD1DD7">
              <w:rPr>
                <w:b/>
                <w:bCs/>
                <w:sz w:val="18"/>
                <w:szCs w:val="18"/>
              </w:rPr>
              <w:br w:type="page"/>
            </w:r>
            <w:r w:rsidRPr="00AD1DD7">
              <w:rPr>
                <w:rFonts w:ascii="Times New Roman" w:hAnsi="Times New Roman"/>
                <w:b/>
                <w:bCs/>
                <w:sz w:val="18"/>
                <w:szCs w:val="18"/>
                <w:lang w:eastAsia="sk-SK"/>
              </w:rPr>
              <w:t>Vybrané pohľadávky SR voči zahraničiu v správe Ministerstva financií SR                                                (v tis. eur) </w:t>
            </w:r>
          </w:p>
        </w:tc>
      </w:tr>
      <w:tr w:rsidR="00A31A20" w:rsidRPr="00F65AC2" w14:paraId="290FA50A" w14:textId="77777777" w:rsidTr="00241F33">
        <w:trPr>
          <w:trHeight w:val="330"/>
          <w:jc w:val="center"/>
        </w:trPr>
        <w:tc>
          <w:tcPr>
            <w:tcW w:w="3026" w:type="pct"/>
            <w:tcBorders>
              <w:top w:val="nil"/>
              <w:left w:val="nil"/>
              <w:bottom w:val="single" w:sz="4" w:space="0" w:color="auto"/>
              <w:right w:val="nil"/>
            </w:tcBorders>
            <w:shd w:val="clear" w:color="auto" w:fill="BDD7EE"/>
            <w:noWrap/>
            <w:vAlign w:val="center"/>
            <w:hideMark/>
          </w:tcPr>
          <w:p w14:paraId="244A5D44" w14:textId="77777777" w:rsidR="00A31A20" w:rsidRPr="00F65AC2" w:rsidRDefault="00A31A20" w:rsidP="00A31A20">
            <w:pPr>
              <w:spacing w:after="0" w:line="240" w:lineRule="auto"/>
              <w:rPr>
                <w:rFonts w:ascii="Times New Roman" w:hAnsi="Times New Roman"/>
                <w:b/>
                <w:bCs/>
                <w:sz w:val="18"/>
                <w:szCs w:val="18"/>
                <w:lang w:eastAsia="sk-SK"/>
              </w:rPr>
            </w:pPr>
            <w:r w:rsidRPr="00F65AC2">
              <w:rPr>
                <w:rFonts w:ascii="Times New Roman" w:hAnsi="Times New Roman"/>
                <w:b/>
                <w:bCs/>
                <w:sz w:val="18"/>
                <w:szCs w:val="18"/>
                <w:lang w:eastAsia="sk-SK"/>
              </w:rPr>
              <w:t>Dlžnícka krajina</w:t>
            </w:r>
          </w:p>
        </w:tc>
        <w:tc>
          <w:tcPr>
            <w:tcW w:w="629" w:type="pct"/>
            <w:tcBorders>
              <w:top w:val="nil"/>
              <w:left w:val="nil"/>
              <w:bottom w:val="single" w:sz="4" w:space="0" w:color="auto"/>
              <w:right w:val="nil"/>
            </w:tcBorders>
            <w:shd w:val="clear" w:color="auto" w:fill="BDD7EE"/>
            <w:noWrap/>
            <w:vAlign w:val="center"/>
            <w:hideMark/>
          </w:tcPr>
          <w:p w14:paraId="53E8BBCA" w14:textId="2D44FC2E" w:rsidR="00A31A20" w:rsidRPr="00F65AC2" w:rsidRDefault="00A31A20" w:rsidP="00A31A20">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 xml:space="preserve">            2022</w:t>
            </w:r>
          </w:p>
        </w:tc>
        <w:tc>
          <w:tcPr>
            <w:tcW w:w="673" w:type="pct"/>
            <w:tcBorders>
              <w:top w:val="nil"/>
              <w:left w:val="nil"/>
              <w:bottom w:val="single" w:sz="4" w:space="0" w:color="auto"/>
              <w:right w:val="nil"/>
            </w:tcBorders>
            <w:shd w:val="clear" w:color="auto" w:fill="BDD7EE"/>
            <w:noWrap/>
            <w:vAlign w:val="center"/>
            <w:hideMark/>
          </w:tcPr>
          <w:p w14:paraId="2279162B" w14:textId="4A8B4887" w:rsidR="00A31A20" w:rsidRPr="00F65AC2" w:rsidRDefault="00A31A20" w:rsidP="00A31A20">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 xml:space="preserve">            2021</w:t>
            </w:r>
          </w:p>
        </w:tc>
        <w:tc>
          <w:tcPr>
            <w:tcW w:w="672" w:type="pct"/>
            <w:tcBorders>
              <w:top w:val="nil"/>
              <w:left w:val="nil"/>
              <w:bottom w:val="single" w:sz="4" w:space="0" w:color="auto"/>
              <w:right w:val="nil"/>
            </w:tcBorders>
            <w:shd w:val="clear" w:color="auto" w:fill="BDD7EE"/>
            <w:vAlign w:val="center"/>
            <w:hideMark/>
          </w:tcPr>
          <w:p w14:paraId="1A5424AC" w14:textId="5C6A3863" w:rsidR="00A31A20" w:rsidRPr="00F65AC2" w:rsidRDefault="00A31A20" w:rsidP="00A31A20">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EB62B9" w:rsidRPr="00F65AC2" w14:paraId="5B3F88EE" w14:textId="77777777" w:rsidTr="00241F33">
        <w:trPr>
          <w:trHeight w:val="330"/>
          <w:jc w:val="center"/>
        </w:trPr>
        <w:tc>
          <w:tcPr>
            <w:tcW w:w="3026" w:type="pct"/>
            <w:shd w:val="clear" w:color="auto" w:fill="FFFFFF"/>
            <w:vAlign w:val="center"/>
            <w:hideMark/>
          </w:tcPr>
          <w:p w14:paraId="583B4035" w14:textId="204B45E4" w:rsidR="00EB62B9" w:rsidRPr="00F65AC2" w:rsidRDefault="00EB62B9" w:rsidP="00EB62B9">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bývalá  SFRJ</w:t>
            </w:r>
          </w:p>
        </w:tc>
        <w:tc>
          <w:tcPr>
            <w:tcW w:w="629" w:type="pct"/>
            <w:vAlign w:val="center"/>
            <w:hideMark/>
          </w:tcPr>
          <w:p w14:paraId="741B0758" w14:textId="5C5EC3FE"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18 072</w:t>
            </w:r>
          </w:p>
        </w:tc>
        <w:tc>
          <w:tcPr>
            <w:tcW w:w="673" w:type="pct"/>
            <w:vAlign w:val="center"/>
            <w:hideMark/>
          </w:tcPr>
          <w:p w14:paraId="4BF5AFDB" w14:textId="3A91CBAE"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17 018</w:t>
            </w:r>
          </w:p>
        </w:tc>
        <w:tc>
          <w:tcPr>
            <w:tcW w:w="672" w:type="pct"/>
            <w:vAlign w:val="center"/>
            <w:hideMark/>
          </w:tcPr>
          <w:p w14:paraId="2B684C30" w14:textId="53B56086"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1 053</w:t>
            </w:r>
          </w:p>
        </w:tc>
      </w:tr>
      <w:tr w:rsidR="00EB62B9" w:rsidRPr="00F65AC2" w14:paraId="459C1CA0" w14:textId="77777777" w:rsidTr="00241F33">
        <w:trPr>
          <w:trHeight w:val="330"/>
          <w:jc w:val="center"/>
        </w:trPr>
        <w:tc>
          <w:tcPr>
            <w:tcW w:w="3026" w:type="pct"/>
            <w:shd w:val="clear" w:color="auto" w:fill="FFFFFF"/>
            <w:vAlign w:val="center"/>
            <w:hideMark/>
          </w:tcPr>
          <w:p w14:paraId="2F74F4D8" w14:textId="7044D230" w:rsidR="00EB62B9" w:rsidRPr="00F65AC2" w:rsidRDefault="00EB62B9" w:rsidP="00EB62B9">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Alžírska demokratická a ľudová republika</w:t>
            </w:r>
          </w:p>
        </w:tc>
        <w:tc>
          <w:tcPr>
            <w:tcW w:w="629" w:type="pct"/>
            <w:vAlign w:val="center"/>
            <w:hideMark/>
          </w:tcPr>
          <w:p w14:paraId="34E1C8E7" w14:textId="1B406FA7"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15 771</w:t>
            </w:r>
          </w:p>
        </w:tc>
        <w:tc>
          <w:tcPr>
            <w:tcW w:w="673" w:type="pct"/>
            <w:vAlign w:val="center"/>
            <w:hideMark/>
          </w:tcPr>
          <w:p w14:paraId="54E515DE" w14:textId="12082905"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14 611</w:t>
            </w:r>
          </w:p>
        </w:tc>
        <w:tc>
          <w:tcPr>
            <w:tcW w:w="672" w:type="pct"/>
            <w:vAlign w:val="center"/>
            <w:hideMark/>
          </w:tcPr>
          <w:p w14:paraId="7384B837" w14:textId="5E1A6601"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1 160</w:t>
            </w:r>
          </w:p>
        </w:tc>
      </w:tr>
      <w:tr w:rsidR="00EB62B9" w:rsidRPr="00F65AC2" w14:paraId="4B1453D7" w14:textId="77777777" w:rsidTr="00241F33">
        <w:trPr>
          <w:trHeight w:val="330"/>
          <w:jc w:val="center"/>
        </w:trPr>
        <w:tc>
          <w:tcPr>
            <w:tcW w:w="3026" w:type="pct"/>
            <w:shd w:val="clear" w:color="auto" w:fill="FFFFFF"/>
            <w:vAlign w:val="center"/>
            <w:hideMark/>
          </w:tcPr>
          <w:p w14:paraId="11030FB4" w14:textId="35C80F41" w:rsidR="00EB62B9" w:rsidRPr="00F65AC2" w:rsidRDefault="00EB62B9" w:rsidP="00EB62B9">
            <w:pPr>
              <w:spacing w:after="0" w:line="240" w:lineRule="auto"/>
              <w:rPr>
                <w:rFonts w:ascii="Times New Roman" w:hAnsi="Times New Roman"/>
                <w:color w:val="FF0000"/>
                <w:sz w:val="18"/>
                <w:szCs w:val="18"/>
                <w:lang w:eastAsia="sk-SK"/>
              </w:rPr>
            </w:pPr>
            <w:r w:rsidRPr="00C66720">
              <w:rPr>
                <w:rFonts w:ascii="Times New Roman" w:hAnsi="Times New Roman"/>
                <w:sz w:val="18"/>
                <w:szCs w:val="18"/>
                <w:lang w:eastAsia="sk-SK"/>
              </w:rPr>
              <w:t>Čínska ľudová republika</w:t>
            </w:r>
          </w:p>
        </w:tc>
        <w:tc>
          <w:tcPr>
            <w:tcW w:w="629" w:type="pct"/>
            <w:vAlign w:val="center"/>
            <w:hideMark/>
          </w:tcPr>
          <w:p w14:paraId="3D7E1D3F" w14:textId="6709E22B"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11 657</w:t>
            </w:r>
          </w:p>
        </w:tc>
        <w:tc>
          <w:tcPr>
            <w:tcW w:w="673" w:type="pct"/>
            <w:vAlign w:val="center"/>
            <w:hideMark/>
          </w:tcPr>
          <w:p w14:paraId="2A34BDD9" w14:textId="01368575"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11 111</w:t>
            </w:r>
          </w:p>
        </w:tc>
        <w:tc>
          <w:tcPr>
            <w:tcW w:w="672" w:type="pct"/>
            <w:vAlign w:val="center"/>
            <w:hideMark/>
          </w:tcPr>
          <w:p w14:paraId="4463FE01" w14:textId="23AA9A52"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546</w:t>
            </w:r>
          </w:p>
        </w:tc>
      </w:tr>
      <w:tr w:rsidR="00EB62B9" w:rsidRPr="00F65AC2" w14:paraId="26BAB41F" w14:textId="77777777" w:rsidTr="00241F33">
        <w:trPr>
          <w:trHeight w:val="330"/>
          <w:jc w:val="center"/>
        </w:trPr>
        <w:tc>
          <w:tcPr>
            <w:tcW w:w="3026" w:type="pct"/>
            <w:shd w:val="clear" w:color="auto" w:fill="FFFFFF"/>
            <w:vAlign w:val="center"/>
            <w:hideMark/>
          </w:tcPr>
          <w:p w14:paraId="65E13306" w14:textId="62EEF3D6" w:rsidR="00EB62B9" w:rsidRPr="00F65AC2" w:rsidRDefault="00EB62B9" w:rsidP="00EB62B9">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Ruská federácia - Krivoj Rog</w:t>
            </w:r>
          </w:p>
        </w:tc>
        <w:tc>
          <w:tcPr>
            <w:tcW w:w="629" w:type="pct"/>
            <w:shd w:val="clear" w:color="auto" w:fill="FFFFFF"/>
            <w:vAlign w:val="center"/>
            <w:hideMark/>
          </w:tcPr>
          <w:p w14:paraId="0B6F57CE" w14:textId="040D38FE"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4 795</w:t>
            </w:r>
          </w:p>
        </w:tc>
        <w:tc>
          <w:tcPr>
            <w:tcW w:w="673" w:type="pct"/>
            <w:shd w:val="clear" w:color="auto" w:fill="FFFFFF"/>
            <w:vAlign w:val="center"/>
            <w:hideMark/>
          </w:tcPr>
          <w:p w14:paraId="49883F85" w14:textId="0A5014C9"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4 722</w:t>
            </w:r>
          </w:p>
        </w:tc>
        <w:tc>
          <w:tcPr>
            <w:tcW w:w="672" w:type="pct"/>
            <w:shd w:val="clear" w:color="auto" w:fill="FFFFFF"/>
            <w:vAlign w:val="center"/>
            <w:hideMark/>
          </w:tcPr>
          <w:p w14:paraId="0AF9A850" w14:textId="3D3A1273"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73</w:t>
            </w:r>
          </w:p>
        </w:tc>
      </w:tr>
      <w:tr w:rsidR="00EB62B9" w:rsidRPr="00F65AC2" w14:paraId="1FF8B949" w14:textId="77777777" w:rsidTr="00241F33">
        <w:trPr>
          <w:trHeight w:val="330"/>
          <w:jc w:val="center"/>
        </w:trPr>
        <w:tc>
          <w:tcPr>
            <w:tcW w:w="3026" w:type="pct"/>
            <w:shd w:val="clear" w:color="auto" w:fill="FFFFFF"/>
            <w:vAlign w:val="center"/>
            <w:hideMark/>
          </w:tcPr>
          <w:p w14:paraId="639CBF6F" w14:textId="77E29ECA" w:rsidR="00EB62B9" w:rsidRPr="00F65AC2" w:rsidRDefault="00EB62B9" w:rsidP="00EB62B9">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Kórejská ľudovodemokratická republika</w:t>
            </w:r>
          </w:p>
        </w:tc>
        <w:tc>
          <w:tcPr>
            <w:tcW w:w="629" w:type="pct"/>
            <w:shd w:val="clear" w:color="auto" w:fill="FFFFFF"/>
            <w:vAlign w:val="center"/>
            <w:hideMark/>
          </w:tcPr>
          <w:p w14:paraId="0F68EBAE" w14:textId="4BF2A37E"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1 884</w:t>
            </w:r>
          </w:p>
        </w:tc>
        <w:tc>
          <w:tcPr>
            <w:tcW w:w="673" w:type="pct"/>
            <w:shd w:val="clear" w:color="auto" w:fill="FFFFFF"/>
            <w:vAlign w:val="center"/>
            <w:hideMark/>
          </w:tcPr>
          <w:p w14:paraId="47262A55" w14:textId="3676F935"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1 664</w:t>
            </w:r>
          </w:p>
        </w:tc>
        <w:tc>
          <w:tcPr>
            <w:tcW w:w="672" w:type="pct"/>
            <w:shd w:val="clear" w:color="auto" w:fill="FFFFFF"/>
            <w:vAlign w:val="center"/>
            <w:hideMark/>
          </w:tcPr>
          <w:p w14:paraId="1E32DA98" w14:textId="0D433754"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220</w:t>
            </w:r>
          </w:p>
        </w:tc>
      </w:tr>
      <w:tr w:rsidR="00EB62B9" w:rsidRPr="00F65AC2" w14:paraId="06F17F08" w14:textId="77777777" w:rsidTr="00241F33">
        <w:trPr>
          <w:trHeight w:val="330"/>
          <w:jc w:val="center"/>
        </w:trPr>
        <w:tc>
          <w:tcPr>
            <w:tcW w:w="3026" w:type="pct"/>
            <w:tcBorders>
              <w:bottom w:val="single" w:sz="4" w:space="0" w:color="auto"/>
            </w:tcBorders>
            <w:shd w:val="clear" w:color="auto" w:fill="FFFFFF"/>
            <w:vAlign w:val="center"/>
            <w:hideMark/>
          </w:tcPr>
          <w:p w14:paraId="2D849F94" w14:textId="66AE5985" w:rsidR="00EB62B9" w:rsidRPr="00F65AC2" w:rsidRDefault="00EB62B9" w:rsidP="00EB62B9">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India</w:t>
            </w:r>
          </w:p>
        </w:tc>
        <w:tc>
          <w:tcPr>
            <w:tcW w:w="629" w:type="pct"/>
            <w:tcBorders>
              <w:bottom w:val="single" w:sz="4" w:space="0" w:color="auto"/>
            </w:tcBorders>
            <w:shd w:val="clear" w:color="auto" w:fill="FFFFFF"/>
            <w:vAlign w:val="center"/>
            <w:hideMark/>
          </w:tcPr>
          <w:p w14:paraId="53EAC116" w14:textId="14779459"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c>
          <w:tcPr>
            <w:tcW w:w="673" w:type="pct"/>
            <w:tcBorders>
              <w:bottom w:val="single" w:sz="4" w:space="0" w:color="auto"/>
            </w:tcBorders>
            <w:shd w:val="clear" w:color="auto" w:fill="FFFFFF"/>
            <w:vAlign w:val="center"/>
            <w:hideMark/>
          </w:tcPr>
          <w:p w14:paraId="6FFE5E67" w14:textId="4A82DC1E"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22</w:t>
            </w:r>
          </w:p>
        </w:tc>
        <w:tc>
          <w:tcPr>
            <w:tcW w:w="672" w:type="pct"/>
            <w:tcBorders>
              <w:bottom w:val="single" w:sz="4" w:space="0" w:color="auto"/>
            </w:tcBorders>
            <w:shd w:val="clear" w:color="auto" w:fill="FFFFFF"/>
            <w:vAlign w:val="center"/>
            <w:hideMark/>
          </w:tcPr>
          <w:p w14:paraId="0C788776" w14:textId="1943572C" w:rsidR="00EB62B9" w:rsidRPr="00F65AC2" w:rsidRDefault="00EB62B9" w:rsidP="00EB62B9">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-22</w:t>
            </w:r>
          </w:p>
        </w:tc>
      </w:tr>
      <w:tr w:rsidR="00EB62B9" w:rsidRPr="00F65AC2" w14:paraId="6D89C727" w14:textId="77777777" w:rsidTr="00241F33">
        <w:trPr>
          <w:trHeight w:val="330"/>
          <w:jc w:val="center"/>
        </w:trPr>
        <w:tc>
          <w:tcPr>
            <w:tcW w:w="3026" w:type="pct"/>
            <w:tcBorders>
              <w:top w:val="single" w:sz="4" w:space="0" w:color="auto"/>
              <w:left w:val="nil"/>
              <w:bottom w:val="single" w:sz="4" w:space="0" w:color="auto"/>
              <w:right w:val="nil"/>
            </w:tcBorders>
            <w:shd w:val="clear" w:color="auto" w:fill="FFFFFF"/>
            <w:vAlign w:val="center"/>
            <w:hideMark/>
          </w:tcPr>
          <w:p w14:paraId="79A2FC1E" w14:textId="4773F885" w:rsidR="00EB62B9" w:rsidRPr="00F65AC2" w:rsidRDefault="00EB62B9" w:rsidP="00EB62B9">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629" w:type="pct"/>
            <w:tcBorders>
              <w:top w:val="single" w:sz="4" w:space="0" w:color="auto"/>
              <w:left w:val="nil"/>
              <w:bottom w:val="single" w:sz="4" w:space="0" w:color="auto"/>
              <w:right w:val="nil"/>
            </w:tcBorders>
            <w:shd w:val="clear" w:color="auto" w:fill="FFFFFF"/>
            <w:vAlign w:val="center"/>
            <w:hideMark/>
          </w:tcPr>
          <w:p w14:paraId="7CAEFD29" w14:textId="4711CF5F" w:rsidR="00EB62B9" w:rsidRPr="00F65AC2" w:rsidRDefault="00EB62B9" w:rsidP="00EB62B9">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52 179</w:t>
            </w:r>
          </w:p>
        </w:tc>
        <w:tc>
          <w:tcPr>
            <w:tcW w:w="673" w:type="pct"/>
            <w:tcBorders>
              <w:top w:val="single" w:sz="4" w:space="0" w:color="auto"/>
              <w:left w:val="nil"/>
              <w:bottom w:val="single" w:sz="4" w:space="0" w:color="auto"/>
              <w:right w:val="nil"/>
            </w:tcBorders>
            <w:shd w:val="clear" w:color="auto" w:fill="FFFFFF"/>
            <w:vAlign w:val="center"/>
            <w:hideMark/>
          </w:tcPr>
          <w:p w14:paraId="60330E3F" w14:textId="114D4D2D" w:rsidR="00EB62B9" w:rsidRPr="00F65AC2" w:rsidRDefault="00EB62B9" w:rsidP="00EB62B9">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49 148</w:t>
            </w:r>
          </w:p>
        </w:tc>
        <w:tc>
          <w:tcPr>
            <w:tcW w:w="672" w:type="pct"/>
            <w:tcBorders>
              <w:top w:val="single" w:sz="4" w:space="0" w:color="auto"/>
              <w:left w:val="nil"/>
              <w:bottom w:val="single" w:sz="4" w:space="0" w:color="auto"/>
              <w:right w:val="nil"/>
            </w:tcBorders>
            <w:shd w:val="clear" w:color="auto" w:fill="FFFFFF"/>
            <w:vAlign w:val="center"/>
            <w:hideMark/>
          </w:tcPr>
          <w:p w14:paraId="21B66693" w14:textId="6ED7AEF6" w:rsidR="00EB62B9" w:rsidRPr="00F65AC2" w:rsidRDefault="00EB62B9" w:rsidP="00EB62B9">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3 031</w:t>
            </w:r>
          </w:p>
        </w:tc>
      </w:tr>
    </w:tbl>
    <w:p w14:paraId="59AA1462" w14:textId="77777777" w:rsidR="00A31A20" w:rsidRDefault="00A31A20" w:rsidP="00A31A20">
      <w:pPr>
        <w:pStyle w:val="Pismenka"/>
        <w:tabs>
          <w:tab w:val="clear" w:pos="426"/>
        </w:tabs>
        <w:ind w:left="0" w:firstLine="0"/>
      </w:pPr>
      <w:r>
        <w:rPr>
          <w:b w:val="0"/>
          <w:szCs w:val="22"/>
        </w:rPr>
        <w:t>*</w:t>
      </w:r>
      <w:r w:rsidRPr="00F65AC2">
        <w:rPr>
          <w:b w:val="0"/>
          <w:szCs w:val="22"/>
        </w:rPr>
        <w:t>hodnoty sú pred zohľadnením opravných položiek</w:t>
      </w:r>
      <w:r>
        <w:rPr>
          <w:b w:val="0"/>
          <w:szCs w:val="22"/>
        </w:rPr>
        <w:t xml:space="preserve">                                               </w:t>
      </w:r>
      <w:r w:rsidRPr="0082161F">
        <w:rPr>
          <w:b w:val="0"/>
        </w:rPr>
        <w:t>Zdroj: MF SR, Centrálny konsolidačný systém</w:t>
      </w:r>
    </w:p>
    <w:p w14:paraId="3A3A0FFA" w14:textId="1651A534" w:rsidR="00EB1994" w:rsidRPr="00C66720" w:rsidRDefault="00EB1994" w:rsidP="00EB1994">
      <w:pPr>
        <w:spacing w:before="240" w:after="120" w:line="240" w:lineRule="auto"/>
        <w:jc w:val="both"/>
        <w:rPr>
          <w:rFonts w:ascii="Times New Roman" w:hAnsi="Times New Roman"/>
          <w:szCs w:val="22"/>
          <w:lang w:eastAsia="sk-SK"/>
        </w:rPr>
      </w:pPr>
      <w:r w:rsidRPr="00C66720">
        <w:rPr>
          <w:rFonts w:ascii="Times New Roman" w:hAnsi="Times New Roman"/>
          <w:szCs w:val="22"/>
          <w:lang w:eastAsia="sk-SK"/>
        </w:rPr>
        <w:t>Ide o pohľadávky úverového charakteru voči iným krajinám a pohľadávky z barterových obchodov voči podnikom v zahraničí, ktoré vznikli pred rokom 1993, pričom ich podrobnejší popis je možné nájsť v Súhrnných účtovných závierkach Slovenskej republiky za predchádzajúce účtovné obdobia.</w:t>
      </w:r>
      <w:r w:rsidRPr="00C66720">
        <w:rPr>
          <w:rStyle w:val="Odkaznapoznmkupodiarou"/>
          <w:rFonts w:ascii="Times New Roman" w:hAnsi="Times New Roman"/>
          <w:szCs w:val="22"/>
          <w:lang w:eastAsia="sk-SK"/>
        </w:rPr>
        <w:footnoteReference w:id="2"/>
      </w:r>
      <w:r w:rsidR="00B138D5" w:rsidRPr="00C66720">
        <w:rPr>
          <w:rFonts w:ascii="Times New Roman" w:hAnsi="Times New Roman"/>
          <w:szCs w:val="22"/>
          <w:lang w:eastAsia="sk-SK"/>
        </w:rPr>
        <w:t xml:space="preserve"> Netto hodnota týchto pohľadávok je </w:t>
      </w:r>
      <w:r w:rsidR="00F525F3" w:rsidRPr="00C66720">
        <w:rPr>
          <w:rFonts w:ascii="Times New Roman" w:hAnsi="Times New Roman"/>
          <w:szCs w:val="22"/>
          <w:lang w:eastAsia="sk-SK"/>
        </w:rPr>
        <w:t>42 349</w:t>
      </w:r>
      <w:r w:rsidR="00DF2BE5" w:rsidRPr="00C66720">
        <w:rPr>
          <w:rFonts w:ascii="Times New Roman" w:hAnsi="Times New Roman"/>
          <w:szCs w:val="22"/>
          <w:lang w:eastAsia="sk-SK"/>
        </w:rPr>
        <w:t xml:space="preserve"> </w:t>
      </w:r>
      <w:r w:rsidR="00B138D5" w:rsidRPr="00C66720">
        <w:rPr>
          <w:rFonts w:ascii="Times New Roman" w:hAnsi="Times New Roman"/>
          <w:szCs w:val="22"/>
          <w:lang w:eastAsia="sk-SK"/>
        </w:rPr>
        <w:t>tis. eur.</w:t>
      </w:r>
    </w:p>
    <w:p w14:paraId="552F151B" w14:textId="176A2F58" w:rsidR="002D6290" w:rsidRPr="00C66720" w:rsidRDefault="006001DE" w:rsidP="001F46BE">
      <w:pPr>
        <w:spacing w:before="240" w:after="120" w:line="240" w:lineRule="auto"/>
        <w:jc w:val="both"/>
        <w:rPr>
          <w:rFonts w:ascii="Times New Roman" w:hAnsi="Times New Roman"/>
          <w:b/>
          <w:sz w:val="24"/>
          <w:szCs w:val="24"/>
          <w:lang w:eastAsia="sk-SK"/>
        </w:rPr>
      </w:pPr>
      <w:r w:rsidRPr="00C66720">
        <w:rPr>
          <w:rFonts w:ascii="Times New Roman" w:hAnsi="Times New Roman"/>
          <w:b/>
          <w:sz w:val="24"/>
          <w:szCs w:val="24"/>
          <w:lang w:eastAsia="sk-SK"/>
        </w:rPr>
        <w:t xml:space="preserve">B. </w:t>
      </w:r>
      <w:r w:rsidR="002A3579" w:rsidRPr="00C66720">
        <w:rPr>
          <w:rFonts w:ascii="Times New Roman" w:hAnsi="Times New Roman"/>
          <w:b/>
          <w:sz w:val="24"/>
          <w:szCs w:val="24"/>
          <w:lang w:eastAsia="sk-SK"/>
        </w:rPr>
        <w:t>Krátkodobý majetok</w:t>
      </w:r>
      <w:r w:rsidR="00155568" w:rsidRPr="00C66720">
        <w:rPr>
          <w:rFonts w:ascii="Times New Roman" w:hAnsi="Times New Roman"/>
          <w:b/>
          <w:sz w:val="24"/>
          <w:szCs w:val="24"/>
          <w:lang w:eastAsia="sk-SK"/>
        </w:rPr>
        <w:t xml:space="preserve"> </w:t>
      </w:r>
    </w:p>
    <w:p w14:paraId="0A499C28" w14:textId="77777777" w:rsidR="002D6290" w:rsidRPr="00C66720" w:rsidRDefault="002D6290" w:rsidP="00D0322E">
      <w:pPr>
        <w:spacing w:line="240" w:lineRule="auto"/>
        <w:jc w:val="both"/>
        <w:rPr>
          <w:rFonts w:ascii="Times New Roman" w:hAnsi="Times New Roman"/>
          <w:b/>
          <w:sz w:val="24"/>
          <w:szCs w:val="24"/>
          <w:lang w:eastAsia="sk-SK"/>
        </w:rPr>
      </w:pPr>
      <w:r w:rsidRPr="00C66720">
        <w:rPr>
          <w:rFonts w:ascii="Times New Roman" w:hAnsi="Times New Roman"/>
          <w:b/>
          <w:sz w:val="24"/>
          <w:szCs w:val="24"/>
          <w:lang w:eastAsia="sk-SK"/>
        </w:rPr>
        <w:t>B.I. Zásoby</w:t>
      </w:r>
    </w:p>
    <w:p w14:paraId="44F85ADC" w14:textId="13BB28C8" w:rsidR="00AA2325" w:rsidRDefault="002D6290" w:rsidP="00D0322E">
      <w:pPr>
        <w:tabs>
          <w:tab w:val="num" w:pos="0"/>
        </w:tabs>
        <w:spacing w:after="120" w:line="240" w:lineRule="auto"/>
        <w:jc w:val="both"/>
        <w:rPr>
          <w:rFonts w:ascii="Times New Roman" w:hAnsi="Times New Roman"/>
          <w:szCs w:val="22"/>
          <w:lang w:eastAsia="sk-SK"/>
        </w:rPr>
      </w:pPr>
      <w:r w:rsidRPr="00C66720">
        <w:rPr>
          <w:rFonts w:ascii="Times New Roman" w:hAnsi="Times New Roman"/>
          <w:szCs w:val="22"/>
          <w:lang w:eastAsia="sk-SK"/>
        </w:rPr>
        <w:t>Ako zásoby súhrnného celku sa vykazuj</w:t>
      </w:r>
      <w:r w:rsidR="007A3F0C" w:rsidRPr="00C66720">
        <w:rPr>
          <w:rFonts w:ascii="Times New Roman" w:hAnsi="Times New Roman"/>
          <w:szCs w:val="22"/>
          <w:lang w:eastAsia="sk-SK"/>
        </w:rPr>
        <w:t>ú</w:t>
      </w:r>
      <w:r w:rsidRPr="00C66720">
        <w:rPr>
          <w:rFonts w:ascii="Times New Roman" w:hAnsi="Times New Roman"/>
          <w:szCs w:val="22"/>
          <w:lang w:eastAsia="sk-SK"/>
        </w:rPr>
        <w:t xml:space="preserve"> materiál na sklade,</w:t>
      </w:r>
      <w:r w:rsidR="00F332DB" w:rsidRPr="00C66720">
        <w:rPr>
          <w:rFonts w:ascii="Times New Roman" w:hAnsi="Times New Roman"/>
          <w:szCs w:val="22"/>
          <w:lang w:eastAsia="sk-SK"/>
        </w:rPr>
        <w:t xml:space="preserve"> tovar, výrobky,</w:t>
      </w:r>
      <w:r w:rsidRPr="00C66720">
        <w:rPr>
          <w:rFonts w:ascii="Times New Roman" w:hAnsi="Times New Roman"/>
          <w:szCs w:val="22"/>
          <w:lang w:eastAsia="sk-SK"/>
        </w:rPr>
        <w:t xml:space="preserve"> nedokončená výroba a</w:t>
      </w:r>
      <w:r w:rsidR="00D7124E" w:rsidRPr="00C66720">
        <w:rPr>
          <w:rFonts w:ascii="Times New Roman" w:hAnsi="Times New Roman"/>
          <w:szCs w:val="22"/>
          <w:lang w:eastAsia="sk-SK"/>
        </w:rPr>
        <w:t> </w:t>
      </w:r>
      <w:r w:rsidRPr="00C66720">
        <w:rPr>
          <w:rFonts w:ascii="Times New Roman" w:hAnsi="Times New Roman"/>
          <w:szCs w:val="22"/>
          <w:lang w:eastAsia="sk-SK"/>
        </w:rPr>
        <w:t>polotovary</w:t>
      </w:r>
      <w:r w:rsidR="00D7124E" w:rsidRPr="00C66720">
        <w:rPr>
          <w:rFonts w:ascii="Times New Roman" w:hAnsi="Times New Roman"/>
          <w:szCs w:val="22"/>
          <w:lang w:eastAsia="sk-SK"/>
        </w:rPr>
        <w:t xml:space="preserve"> </w:t>
      </w:r>
      <w:r w:rsidR="00F332DB" w:rsidRPr="00C66720">
        <w:rPr>
          <w:rFonts w:ascii="Times New Roman" w:hAnsi="Times New Roman"/>
          <w:szCs w:val="22"/>
          <w:lang w:eastAsia="sk-SK"/>
        </w:rPr>
        <w:t>a </w:t>
      </w:r>
      <w:r w:rsidRPr="00C66720">
        <w:rPr>
          <w:rFonts w:ascii="Times New Roman" w:hAnsi="Times New Roman"/>
          <w:szCs w:val="22"/>
          <w:lang w:eastAsia="sk-SK"/>
        </w:rPr>
        <w:t>zvieratá</w:t>
      </w:r>
      <w:r w:rsidR="00F332DB" w:rsidRPr="00C66720">
        <w:rPr>
          <w:rFonts w:ascii="Times New Roman" w:hAnsi="Times New Roman"/>
          <w:szCs w:val="22"/>
          <w:lang w:eastAsia="sk-SK"/>
        </w:rPr>
        <w:t xml:space="preserve">. </w:t>
      </w:r>
      <w:r w:rsidRPr="00C66720">
        <w:rPr>
          <w:rFonts w:ascii="Times New Roman" w:hAnsi="Times New Roman"/>
          <w:szCs w:val="22"/>
          <w:lang w:eastAsia="sk-SK"/>
        </w:rPr>
        <w:t xml:space="preserve">Celková hodnota zásob súhrnného celku </w:t>
      </w:r>
      <w:r w:rsidR="00DF2BE5" w:rsidRPr="00C66720">
        <w:rPr>
          <w:rFonts w:ascii="Times New Roman" w:hAnsi="Times New Roman"/>
          <w:szCs w:val="22"/>
          <w:lang w:eastAsia="sk-SK"/>
        </w:rPr>
        <w:t>k 31.12.2022</w:t>
      </w:r>
      <w:r w:rsidRPr="00C66720">
        <w:rPr>
          <w:rFonts w:ascii="Times New Roman" w:hAnsi="Times New Roman"/>
          <w:szCs w:val="22"/>
          <w:lang w:eastAsia="sk-SK"/>
        </w:rPr>
        <w:t xml:space="preserve"> dosiahla </w:t>
      </w:r>
      <w:r w:rsidR="00794F5F" w:rsidRPr="00C66720">
        <w:rPr>
          <w:rFonts w:ascii="Times New Roman" w:hAnsi="Times New Roman"/>
          <w:szCs w:val="22"/>
          <w:lang w:eastAsia="sk-SK"/>
        </w:rPr>
        <w:br/>
      </w:r>
      <w:r w:rsidR="00DF2BE5" w:rsidRPr="00C66720">
        <w:rPr>
          <w:rFonts w:ascii="Times New Roman" w:hAnsi="Times New Roman"/>
          <w:szCs w:val="22"/>
          <w:lang w:eastAsia="sk-SK"/>
        </w:rPr>
        <w:t>3</w:t>
      </w:r>
      <w:r w:rsidR="00BC0D86" w:rsidRPr="00C66720">
        <w:rPr>
          <w:rFonts w:ascii="Times New Roman" w:hAnsi="Times New Roman"/>
          <w:szCs w:val="22"/>
          <w:lang w:eastAsia="sk-SK"/>
        </w:rPr>
        <w:t> </w:t>
      </w:r>
      <w:r w:rsidR="00DF2BE5" w:rsidRPr="00C66720">
        <w:rPr>
          <w:rFonts w:ascii="Times New Roman" w:hAnsi="Times New Roman"/>
          <w:szCs w:val="22"/>
          <w:lang w:eastAsia="sk-SK"/>
        </w:rPr>
        <w:t>0</w:t>
      </w:r>
      <w:r w:rsidR="00BC0D86" w:rsidRPr="00C66720">
        <w:rPr>
          <w:rFonts w:ascii="Times New Roman" w:hAnsi="Times New Roman"/>
          <w:szCs w:val="22"/>
          <w:lang w:eastAsia="sk-SK"/>
        </w:rPr>
        <w:t>40 049</w:t>
      </w:r>
      <w:r w:rsidR="003031F3" w:rsidRPr="00C66720">
        <w:rPr>
          <w:rFonts w:ascii="Times New Roman" w:hAnsi="Times New Roman"/>
          <w:szCs w:val="22"/>
          <w:lang w:eastAsia="sk-SK"/>
        </w:rPr>
        <w:t xml:space="preserve"> tis. eur </w:t>
      </w:r>
      <w:r w:rsidR="00DF2BE5" w:rsidRPr="00C66720">
        <w:rPr>
          <w:rFonts w:ascii="Times New Roman" w:hAnsi="Times New Roman"/>
          <w:szCs w:val="22"/>
          <w:lang w:eastAsia="sk-SK"/>
        </w:rPr>
        <w:t>a oproti roku 2021</w:t>
      </w:r>
      <w:r w:rsidR="00C22596" w:rsidRPr="00C66720">
        <w:rPr>
          <w:rFonts w:ascii="Times New Roman" w:hAnsi="Times New Roman"/>
          <w:szCs w:val="22"/>
          <w:lang w:eastAsia="sk-SK"/>
        </w:rPr>
        <w:t xml:space="preserve"> </w:t>
      </w:r>
      <w:r w:rsidR="00CA214D" w:rsidRPr="00C66720">
        <w:rPr>
          <w:rFonts w:ascii="Times New Roman" w:hAnsi="Times New Roman"/>
          <w:szCs w:val="22"/>
          <w:lang w:eastAsia="sk-SK"/>
        </w:rPr>
        <w:t xml:space="preserve">sa </w:t>
      </w:r>
      <w:r w:rsidR="00C22596" w:rsidRPr="00C66720">
        <w:rPr>
          <w:rFonts w:ascii="Times New Roman" w:hAnsi="Times New Roman"/>
          <w:szCs w:val="22"/>
          <w:lang w:eastAsia="sk-SK"/>
        </w:rPr>
        <w:t xml:space="preserve">hodnota zásob </w:t>
      </w:r>
      <w:r w:rsidR="00E56407" w:rsidRPr="00C66720">
        <w:rPr>
          <w:rFonts w:ascii="Times New Roman" w:hAnsi="Times New Roman"/>
          <w:szCs w:val="22"/>
          <w:lang w:eastAsia="sk-SK"/>
        </w:rPr>
        <w:t>zvýšila</w:t>
      </w:r>
      <w:r w:rsidR="003031F3" w:rsidRPr="00C66720">
        <w:rPr>
          <w:rFonts w:ascii="Times New Roman" w:hAnsi="Times New Roman"/>
          <w:szCs w:val="22"/>
          <w:lang w:eastAsia="sk-SK"/>
        </w:rPr>
        <w:t xml:space="preserve"> o</w:t>
      </w:r>
      <w:r w:rsidR="00DF2BE5" w:rsidRPr="00C66720">
        <w:rPr>
          <w:rFonts w:ascii="Times New Roman" w:hAnsi="Times New Roman"/>
          <w:szCs w:val="22"/>
          <w:lang w:eastAsia="sk-SK"/>
        </w:rPr>
        <w:t xml:space="preserve"> 1 546 </w:t>
      </w:r>
      <w:r w:rsidR="009C1312" w:rsidRPr="00C66720">
        <w:rPr>
          <w:rFonts w:ascii="Times New Roman" w:hAnsi="Times New Roman"/>
          <w:szCs w:val="22"/>
          <w:lang w:eastAsia="sk-SK"/>
        </w:rPr>
        <w:t>254</w:t>
      </w:r>
      <w:r w:rsidR="00C37071" w:rsidRPr="00C66720">
        <w:rPr>
          <w:rFonts w:ascii="Times New Roman" w:hAnsi="Times New Roman"/>
          <w:szCs w:val="22"/>
          <w:lang w:eastAsia="sk-SK"/>
        </w:rPr>
        <w:t xml:space="preserve"> tis. eur.</w:t>
      </w:r>
    </w:p>
    <w:p w14:paraId="6A2BC241" w14:textId="77777777" w:rsidR="00723392" w:rsidRPr="00C8254E" w:rsidRDefault="00723392" w:rsidP="00723392">
      <w:pPr>
        <w:tabs>
          <w:tab w:val="num" w:pos="0"/>
        </w:tabs>
        <w:spacing w:after="0" w:line="240" w:lineRule="auto"/>
        <w:jc w:val="both"/>
        <w:rPr>
          <w:rFonts w:ascii="Times New Roman" w:hAnsi="Times New Roman"/>
          <w:b/>
          <w:sz w:val="18"/>
          <w:szCs w:val="18"/>
          <w:lang w:eastAsia="sk-SK"/>
        </w:rPr>
      </w:pPr>
      <w:r w:rsidRPr="00C8254E">
        <w:rPr>
          <w:rFonts w:ascii="Times New Roman" w:hAnsi="Times New Roman"/>
          <w:b/>
          <w:sz w:val="18"/>
          <w:szCs w:val="18"/>
          <w:lang w:eastAsia="sk-SK"/>
        </w:rPr>
        <w:t>Tabuľka 9</w:t>
      </w:r>
    </w:p>
    <w:tbl>
      <w:tblPr>
        <w:tblW w:w="5000" w:type="pct"/>
        <w:jc w:val="center"/>
        <w:tblLayout w:type="fixed"/>
        <w:tblCellMar>
          <w:left w:w="70" w:type="dxa"/>
          <w:right w:w="70" w:type="dxa"/>
        </w:tblCellMar>
        <w:tblLook w:val="00A0" w:firstRow="1" w:lastRow="0" w:firstColumn="1" w:lastColumn="0" w:noHBand="0" w:noVBand="0"/>
      </w:tblPr>
      <w:tblGrid>
        <w:gridCol w:w="5083"/>
        <w:gridCol w:w="1343"/>
        <w:gridCol w:w="1324"/>
        <w:gridCol w:w="1321"/>
      </w:tblGrid>
      <w:tr w:rsidR="00723392" w:rsidRPr="00AD1DD7" w14:paraId="3B349D0C"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2BC838B7" w14:textId="77777777" w:rsidR="00723392" w:rsidRPr="00AD1DD7" w:rsidRDefault="00723392" w:rsidP="00241F33">
            <w:pPr>
              <w:spacing w:after="0" w:line="240" w:lineRule="auto"/>
              <w:rPr>
                <w:rFonts w:ascii="Times New Roman" w:hAnsi="Times New Roman"/>
                <w:b/>
                <w:bCs/>
                <w:sz w:val="18"/>
                <w:szCs w:val="18"/>
                <w:highlight w:val="yellow"/>
                <w:lang w:eastAsia="sk-SK"/>
              </w:rPr>
            </w:pPr>
            <w:r w:rsidRPr="00AD1DD7">
              <w:rPr>
                <w:rFonts w:ascii="Times New Roman" w:hAnsi="Times New Roman"/>
                <w:b/>
                <w:bCs/>
                <w:sz w:val="18"/>
                <w:szCs w:val="18"/>
                <w:lang w:eastAsia="sk-SK"/>
              </w:rPr>
              <w:t xml:space="preserve">Zásoby súhrnného celku                                                                                                                      </w:t>
            </w:r>
            <w:r>
              <w:rPr>
                <w:rFonts w:ascii="Times New Roman" w:hAnsi="Times New Roman"/>
                <w:b/>
                <w:bCs/>
                <w:sz w:val="18"/>
                <w:szCs w:val="18"/>
                <w:lang w:eastAsia="sk-SK"/>
              </w:rPr>
              <w:t xml:space="preserve">                    </w:t>
            </w:r>
            <w:r w:rsidRPr="00AD1DD7">
              <w:rPr>
                <w:rFonts w:ascii="Times New Roman" w:hAnsi="Times New Roman"/>
                <w:b/>
                <w:bCs/>
                <w:sz w:val="18"/>
                <w:szCs w:val="18"/>
                <w:lang w:eastAsia="sk-SK"/>
              </w:rPr>
              <w:t>(v tis. eur) </w:t>
            </w:r>
          </w:p>
        </w:tc>
      </w:tr>
      <w:tr w:rsidR="00723392" w:rsidRPr="00975467" w14:paraId="70484D82" w14:textId="77777777" w:rsidTr="00241F33">
        <w:trPr>
          <w:trHeight w:val="330"/>
          <w:jc w:val="center"/>
        </w:trPr>
        <w:tc>
          <w:tcPr>
            <w:tcW w:w="2802" w:type="pct"/>
            <w:tcBorders>
              <w:top w:val="nil"/>
              <w:left w:val="nil"/>
              <w:bottom w:val="single" w:sz="4" w:space="0" w:color="auto"/>
              <w:right w:val="nil"/>
            </w:tcBorders>
            <w:shd w:val="clear" w:color="auto" w:fill="BDD7EE"/>
            <w:noWrap/>
            <w:vAlign w:val="center"/>
          </w:tcPr>
          <w:p w14:paraId="6C79A3A8" w14:textId="77777777" w:rsidR="00723392" w:rsidRPr="00D7124E" w:rsidRDefault="00723392" w:rsidP="00723392">
            <w:pPr>
              <w:spacing w:after="0" w:line="240" w:lineRule="auto"/>
              <w:rPr>
                <w:rFonts w:ascii="Times New Roman" w:hAnsi="Times New Roman"/>
                <w:b/>
                <w:bCs/>
                <w:sz w:val="18"/>
                <w:szCs w:val="18"/>
                <w:lang w:eastAsia="sk-SK"/>
              </w:rPr>
            </w:pPr>
            <w:r w:rsidRPr="00D7124E">
              <w:rPr>
                <w:rFonts w:ascii="Times New Roman" w:hAnsi="Times New Roman"/>
                <w:b/>
                <w:bCs/>
                <w:sz w:val="18"/>
                <w:szCs w:val="18"/>
                <w:lang w:eastAsia="sk-SK"/>
              </w:rPr>
              <w:t>Druh zásob</w:t>
            </w:r>
          </w:p>
        </w:tc>
        <w:tc>
          <w:tcPr>
            <w:tcW w:w="740" w:type="pct"/>
            <w:tcBorders>
              <w:top w:val="nil"/>
              <w:left w:val="nil"/>
              <w:bottom w:val="single" w:sz="4" w:space="0" w:color="auto"/>
              <w:right w:val="nil"/>
            </w:tcBorders>
            <w:shd w:val="clear" w:color="auto" w:fill="BDD7EE"/>
            <w:noWrap/>
            <w:vAlign w:val="center"/>
          </w:tcPr>
          <w:p w14:paraId="11885D1E" w14:textId="3C048C02" w:rsidR="00723392" w:rsidRPr="00D7124E" w:rsidRDefault="00723392" w:rsidP="00723392">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 xml:space="preserve">             2022</w:t>
            </w:r>
          </w:p>
        </w:tc>
        <w:tc>
          <w:tcPr>
            <w:tcW w:w="730" w:type="pct"/>
            <w:tcBorders>
              <w:top w:val="nil"/>
              <w:left w:val="nil"/>
              <w:bottom w:val="single" w:sz="4" w:space="0" w:color="auto"/>
              <w:right w:val="nil"/>
            </w:tcBorders>
            <w:shd w:val="clear" w:color="auto" w:fill="BDD7EE"/>
            <w:noWrap/>
            <w:vAlign w:val="center"/>
          </w:tcPr>
          <w:p w14:paraId="37690FC1" w14:textId="157BEAF7" w:rsidR="00723392" w:rsidRPr="00D7124E" w:rsidRDefault="00723392" w:rsidP="00723392">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 xml:space="preserve">             2021</w:t>
            </w:r>
          </w:p>
        </w:tc>
        <w:tc>
          <w:tcPr>
            <w:tcW w:w="728" w:type="pct"/>
            <w:tcBorders>
              <w:top w:val="nil"/>
              <w:left w:val="nil"/>
              <w:bottom w:val="single" w:sz="4" w:space="0" w:color="auto"/>
              <w:right w:val="nil"/>
            </w:tcBorders>
            <w:shd w:val="clear" w:color="auto" w:fill="BDD7EE"/>
            <w:vAlign w:val="center"/>
          </w:tcPr>
          <w:p w14:paraId="548E405F" w14:textId="7E36E08F" w:rsidR="00723392" w:rsidRPr="00D7124E" w:rsidRDefault="00723392" w:rsidP="007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723392" w:rsidRPr="00975467" w14:paraId="1BC7275E" w14:textId="77777777" w:rsidTr="00241F33">
        <w:trPr>
          <w:trHeight w:hRule="exact" w:val="330"/>
          <w:jc w:val="center"/>
        </w:trPr>
        <w:tc>
          <w:tcPr>
            <w:tcW w:w="2802" w:type="pct"/>
            <w:tcBorders>
              <w:top w:val="nil"/>
              <w:left w:val="nil"/>
              <w:bottom w:val="nil"/>
              <w:right w:val="nil"/>
            </w:tcBorders>
            <w:vAlign w:val="center"/>
          </w:tcPr>
          <w:p w14:paraId="20D25BA1" w14:textId="1A51BCD9" w:rsidR="00723392" w:rsidRPr="00D7124E" w:rsidRDefault="00723392" w:rsidP="007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Materiál</w:t>
            </w:r>
          </w:p>
        </w:tc>
        <w:tc>
          <w:tcPr>
            <w:tcW w:w="740" w:type="pct"/>
            <w:tcBorders>
              <w:top w:val="nil"/>
              <w:left w:val="nil"/>
              <w:bottom w:val="nil"/>
              <w:right w:val="nil"/>
            </w:tcBorders>
            <w:vAlign w:val="center"/>
          </w:tcPr>
          <w:p w14:paraId="4111FC71" w14:textId="4CC67DB7" w:rsidR="00723392" w:rsidRPr="00D7124E" w:rsidRDefault="00723392" w:rsidP="007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1 318 028</w:t>
            </w:r>
          </w:p>
        </w:tc>
        <w:tc>
          <w:tcPr>
            <w:tcW w:w="730" w:type="pct"/>
            <w:tcBorders>
              <w:top w:val="nil"/>
              <w:left w:val="nil"/>
              <w:bottom w:val="nil"/>
              <w:right w:val="nil"/>
            </w:tcBorders>
            <w:vAlign w:val="center"/>
          </w:tcPr>
          <w:p w14:paraId="6A0E436E" w14:textId="75D1A7C0" w:rsidR="00723392" w:rsidRPr="00D7124E" w:rsidRDefault="00723392" w:rsidP="007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1 162 615</w:t>
            </w:r>
          </w:p>
        </w:tc>
        <w:tc>
          <w:tcPr>
            <w:tcW w:w="728" w:type="pct"/>
            <w:tcBorders>
              <w:top w:val="nil"/>
              <w:left w:val="nil"/>
              <w:bottom w:val="nil"/>
              <w:right w:val="nil"/>
            </w:tcBorders>
            <w:vAlign w:val="center"/>
          </w:tcPr>
          <w:p w14:paraId="403DBEA2" w14:textId="071D5B87" w:rsidR="00723392" w:rsidRPr="00D7124E" w:rsidRDefault="00723392" w:rsidP="007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155 413</w:t>
            </w:r>
          </w:p>
        </w:tc>
      </w:tr>
      <w:tr w:rsidR="00723392" w:rsidRPr="00975467" w14:paraId="1E0B1D07" w14:textId="77777777" w:rsidTr="00241F33">
        <w:trPr>
          <w:trHeight w:hRule="exact" w:val="330"/>
          <w:jc w:val="center"/>
        </w:trPr>
        <w:tc>
          <w:tcPr>
            <w:tcW w:w="2802" w:type="pct"/>
            <w:tcBorders>
              <w:top w:val="nil"/>
              <w:left w:val="nil"/>
              <w:right w:val="nil"/>
            </w:tcBorders>
            <w:shd w:val="clear" w:color="000000" w:fill="auto"/>
            <w:vAlign w:val="center"/>
          </w:tcPr>
          <w:p w14:paraId="423E04CF" w14:textId="0C4CF761" w:rsidR="00723392" w:rsidRPr="00D7124E" w:rsidRDefault="00723392" w:rsidP="00723392">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Tovar</w:t>
            </w:r>
          </w:p>
        </w:tc>
        <w:tc>
          <w:tcPr>
            <w:tcW w:w="740" w:type="pct"/>
            <w:tcBorders>
              <w:top w:val="nil"/>
              <w:left w:val="nil"/>
              <w:right w:val="nil"/>
            </w:tcBorders>
            <w:shd w:val="clear" w:color="000000" w:fill="auto"/>
            <w:vAlign w:val="center"/>
          </w:tcPr>
          <w:p w14:paraId="604B53DC" w14:textId="7FBAF397" w:rsidR="00723392" w:rsidRPr="00D7124E" w:rsidRDefault="00723392" w:rsidP="00723392">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147 244</w:t>
            </w:r>
          </w:p>
        </w:tc>
        <w:tc>
          <w:tcPr>
            <w:tcW w:w="730" w:type="pct"/>
            <w:tcBorders>
              <w:top w:val="nil"/>
              <w:left w:val="nil"/>
              <w:right w:val="nil"/>
            </w:tcBorders>
            <w:shd w:val="clear" w:color="000000" w:fill="auto"/>
            <w:vAlign w:val="center"/>
          </w:tcPr>
          <w:p w14:paraId="44DD16E2" w14:textId="421FE044" w:rsidR="00723392" w:rsidRPr="00D7124E" w:rsidRDefault="00723392" w:rsidP="00723392">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160 767</w:t>
            </w:r>
          </w:p>
        </w:tc>
        <w:tc>
          <w:tcPr>
            <w:tcW w:w="728" w:type="pct"/>
            <w:tcBorders>
              <w:top w:val="nil"/>
              <w:left w:val="nil"/>
              <w:right w:val="nil"/>
            </w:tcBorders>
            <w:shd w:val="clear" w:color="000000" w:fill="auto"/>
            <w:vAlign w:val="center"/>
          </w:tcPr>
          <w:p w14:paraId="70C3AE85" w14:textId="5BEB66A5" w:rsidR="00723392" w:rsidRPr="00D7124E" w:rsidRDefault="00723392" w:rsidP="00723392">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-13 523</w:t>
            </w:r>
          </w:p>
        </w:tc>
      </w:tr>
      <w:tr w:rsidR="00723392" w:rsidRPr="00975467" w14:paraId="329604BB" w14:textId="77777777" w:rsidTr="00241F33">
        <w:trPr>
          <w:trHeight w:hRule="exact" w:val="330"/>
          <w:jc w:val="center"/>
        </w:trPr>
        <w:tc>
          <w:tcPr>
            <w:tcW w:w="2802" w:type="pct"/>
            <w:tcBorders>
              <w:top w:val="nil"/>
              <w:left w:val="nil"/>
              <w:right w:val="nil"/>
            </w:tcBorders>
            <w:vAlign w:val="center"/>
          </w:tcPr>
          <w:p w14:paraId="2B6560FF" w14:textId="1DBB50B3" w:rsidR="00723392" w:rsidRPr="00D7124E" w:rsidRDefault="00723392" w:rsidP="007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Výrobky  </w:t>
            </w:r>
          </w:p>
        </w:tc>
        <w:tc>
          <w:tcPr>
            <w:tcW w:w="740" w:type="pct"/>
            <w:tcBorders>
              <w:top w:val="nil"/>
              <w:left w:val="nil"/>
              <w:right w:val="nil"/>
            </w:tcBorders>
            <w:vAlign w:val="center"/>
          </w:tcPr>
          <w:p w14:paraId="6B46ED1A" w14:textId="36139DD9" w:rsidR="00723392" w:rsidRPr="00D7124E" w:rsidRDefault="00723392" w:rsidP="007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1 482 191</w:t>
            </w:r>
          </w:p>
        </w:tc>
        <w:tc>
          <w:tcPr>
            <w:tcW w:w="730" w:type="pct"/>
            <w:tcBorders>
              <w:top w:val="nil"/>
              <w:left w:val="nil"/>
              <w:right w:val="nil"/>
            </w:tcBorders>
            <w:vAlign w:val="center"/>
          </w:tcPr>
          <w:p w14:paraId="1B02EFD0" w14:textId="299B57DD" w:rsidR="00723392" w:rsidRPr="00D7124E" w:rsidRDefault="00723392" w:rsidP="007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127 030</w:t>
            </w:r>
          </w:p>
        </w:tc>
        <w:tc>
          <w:tcPr>
            <w:tcW w:w="728" w:type="pct"/>
            <w:tcBorders>
              <w:top w:val="nil"/>
              <w:left w:val="nil"/>
              <w:right w:val="nil"/>
            </w:tcBorders>
            <w:vAlign w:val="center"/>
          </w:tcPr>
          <w:p w14:paraId="5AB6D1A8" w14:textId="47867E72" w:rsidR="00723392" w:rsidRPr="00D7124E" w:rsidRDefault="00723392" w:rsidP="007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1 355 161</w:t>
            </w:r>
          </w:p>
        </w:tc>
      </w:tr>
      <w:tr w:rsidR="00723392" w:rsidRPr="00975467" w14:paraId="53BC2C46" w14:textId="77777777" w:rsidTr="00241F33">
        <w:trPr>
          <w:trHeight w:hRule="exact" w:val="292"/>
          <w:jc w:val="center"/>
        </w:trPr>
        <w:tc>
          <w:tcPr>
            <w:tcW w:w="2802" w:type="pct"/>
            <w:tcBorders>
              <w:top w:val="nil"/>
              <w:left w:val="nil"/>
              <w:bottom w:val="single" w:sz="4" w:space="0" w:color="auto"/>
              <w:right w:val="nil"/>
            </w:tcBorders>
            <w:vAlign w:val="center"/>
          </w:tcPr>
          <w:p w14:paraId="40404696" w14:textId="0DADA7FF" w:rsidR="00723392" w:rsidRPr="00D7124E" w:rsidRDefault="00723392" w:rsidP="007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Ostatné zásoby</w:t>
            </w:r>
          </w:p>
        </w:tc>
        <w:tc>
          <w:tcPr>
            <w:tcW w:w="740" w:type="pct"/>
            <w:tcBorders>
              <w:top w:val="nil"/>
              <w:left w:val="nil"/>
              <w:bottom w:val="single" w:sz="4" w:space="0" w:color="auto"/>
              <w:right w:val="nil"/>
            </w:tcBorders>
            <w:vAlign w:val="center"/>
          </w:tcPr>
          <w:p w14:paraId="7CE0BB5C" w14:textId="5A12872D" w:rsidR="00723392" w:rsidRPr="00D7124E" w:rsidRDefault="00723392" w:rsidP="007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92 586</w:t>
            </w:r>
          </w:p>
        </w:tc>
        <w:tc>
          <w:tcPr>
            <w:tcW w:w="730" w:type="pct"/>
            <w:tcBorders>
              <w:top w:val="nil"/>
              <w:left w:val="nil"/>
              <w:bottom w:val="single" w:sz="4" w:space="0" w:color="auto"/>
              <w:right w:val="nil"/>
            </w:tcBorders>
            <w:vAlign w:val="center"/>
          </w:tcPr>
          <w:p w14:paraId="5480B494" w14:textId="13D8A344" w:rsidR="00723392" w:rsidRPr="00D7124E" w:rsidRDefault="00723392" w:rsidP="007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43 383</w:t>
            </w:r>
          </w:p>
        </w:tc>
        <w:tc>
          <w:tcPr>
            <w:tcW w:w="728" w:type="pct"/>
            <w:tcBorders>
              <w:top w:val="nil"/>
              <w:left w:val="nil"/>
              <w:bottom w:val="single" w:sz="4" w:space="0" w:color="auto"/>
              <w:right w:val="nil"/>
            </w:tcBorders>
            <w:vAlign w:val="center"/>
          </w:tcPr>
          <w:p w14:paraId="689C6ADA" w14:textId="78FC19FA" w:rsidR="00723392" w:rsidRPr="00D7124E" w:rsidRDefault="00723392" w:rsidP="007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49 203</w:t>
            </w:r>
          </w:p>
        </w:tc>
      </w:tr>
      <w:tr w:rsidR="00723392" w:rsidRPr="00975467" w14:paraId="73CBCCC4" w14:textId="77777777" w:rsidTr="00241F33">
        <w:trPr>
          <w:trHeight w:hRule="exact" w:val="330"/>
          <w:jc w:val="center"/>
        </w:trPr>
        <w:tc>
          <w:tcPr>
            <w:tcW w:w="2802" w:type="pct"/>
            <w:tcBorders>
              <w:top w:val="single" w:sz="4" w:space="0" w:color="auto"/>
              <w:left w:val="nil"/>
              <w:bottom w:val="single" w:sz="4" w:space="0" w:color="000000"/>
              <w:right w:val="nil"/>
            </w:tcBorders>
            <w:shd w:val="clear" w:color="000000" w:fill="auto"/>
            <w:vAlign w:val="center"/>
          </w:tcPr>
          <w:p w14:paraId="74FB55AA" w14:textId="7A7D8773" w:rsidR="00723392" w:rsidRPr="00D7124E" w:rsidRDefault="00723392" w:rsidP="00723392">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740" w:type="pct"/>
            <w:tcBorders>
              <w:top w:val="single" w:sz="4" w:space="0" w:color="auto"/>
              <w:left w:val="nil"/>
              <w:bottom w:val="single" w:sz="4" w:space="0" w:color="000000"/>
              <w:right w:val="nil"/>
            </w:tcBorders>
            <w:shd w:val="clear" w:color="000000" w:fill="auto"/>
            <w:vAlign w:val="center"/>
          </w:tcPr>
          <w:p w14:paraId="69124B99" w14:textId="02807013" w:rsidR="00723392" w:rsidRPr="00D7124E" w:rsidRDefault="00723392" w:rsidP="007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3 040 049</w:t>
            </w:r>
          </w:p>
        </w:tc>
        <w:tc>
          <w:tcPr>
            <w:tcW w:w="730" w:type="pct"/>
            <w:tcBorders>
              <w:top w:val="single" w:sz="4" w:space="0" w:color="auto"/>
              <w:left w:val="nil"/>
              <w:bottom w:val="single" w:sz="4" w:space="0" w:color="000000"/>
              <w:right w:val="nil"/>
            </w:tcBorders>
            <w:shd w:val="clear" w:color="000000" w:fill="auto"/>
            <w:vAlign w:val="center"/>
          </w:tcPr>
          <w:p w14:paraId="7DEB1BB2" w14:textId="14583F01" w:rsidR="00723392" w:rsidRPr="00D7124E" w:rsidRDefault="00723392" w:rsidP="007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1 493 795</w:t>
            </w:r>
          </w:p>
        </w:tc>
        <w:tc>
          <w:tcPr>
            <w:tcW w:w="728" w:type="pct"/>
            <w:tcBorders>
              <w:top w:val="single" w:sz="4" w:space="0" w:color="auto"/>
              <w:left w:val="nil"/>
              <w:bottom w:val="single" w:sz="4" w:space="0" w:color="000000"/>
              <w:right w:val="nil"/>
            </w:tcBorders>
            <w:shd w:val="clear" w:color="000000" w:fill="auto"/>
            <w:vAlign w:val="center"/>
          </w:tcPr>
          <w:p w14:paraId="3F928A2E" w14:textId="1875C264" w:rsidR="00723392" w:rsidRPr="00D7124E" w:rsidRDefault="00723392" w:rsidP="007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1 546 254</w:t>
            </w:r>
          </w:p>
        </w:tc>
      </w:tr>
    </w:tbl>
    <w:p w14:paraId="6C7B7509" w14:textId="77777777" w:rsidR="00723392" w:rsidRDefault="00723392" w:rsidP="00723392">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05A4A7F1" w14:textId="7E8F3625" w:rsidR="00370A8B" w:rsidRPr="00C66720" w:rsidRDefault="002D6290" w:rsidP="00D0322E">
      <w:pPr>
        <w:spacing w:before="240" w:after="120" w:line="240" w:lineRule="auto"/>
        <w:jc w:val="both"/>
        <w:rPr>
          <w:rFonts w:ascii="Times New Roman" w:hAnsi="Times New Roman"/>
          <w:bCs/>
          <w:szCs w:val="22"/>
          <w:lang w:eastAsia="sk-SK"/>
        </w:rPr>
      </w:pPr>
      <w:r w:rsidRPr="00C66720">
        <w:rPr>
          <w:rFonts w:ascii="Times New Roman" w:hAnsi="Times New Roman"/>
          <w:bCs/>
          <w:szCs w:val="22"/>
          <w:lang w:eastAsia="sk-SK"/>
        </w:rPr>
        <w:t xml:space="preserve">Na celkovej hodnote zásob sa podieľa </w:t>
      </w:r>
      <w:r w:rsidR="002A3373" w:rsidRPr="00C66720">
        <w:rPr>
          <w:rFonts w:ascii="Times New Roman" w:hAnsi="Times New Roman"/>
          <w:bCs/>
          <w:szCs w:val="22"/>
          <w:lang w:eastAsia="sk-SK"/>
        </w:rPr>
        <w:t xml:space="preserve">najmä </w:t>
      </w:r>
      <w:r w:rsidRPr="00C66720">
        <w:rPr>
          <w:rFonts w:ascii="Times New Roman" w:hAnsi="Times New Roman"/>
          <w:bCs/>
          <w:szCs w:val="22"/>
          <w:lang w:eastAsia="sk-SK"/>
        </w:rPr>
        <w:t>ústredná správa</w:t>
      </w:r>
      <w:r w:rsidR="008F7B67" w:rsidRPr="00C66720">
        <w:rPr>
          <w:rFonts w:ascii="Times New Roman" w:hAnsi="Times New Roman"/>
          <w:bCs/>
          <w:szCs w:val="22"/>
          <w:lang w:eastAsia="sk-SK"/>
        </w:rPr>
        <w:t xml:space="preserve"> 96</w:t>
      </w:r>
      <w:r w:rsidR="0090201C" w:rsidRPr="00C66720">
        <w:rPr>
          <w:rFonts w:ascii="Times New Roman" w:hAnsi="Times New Roman"/>
          <w:bCs/>
          <w:szCs w:val="22"/>
          <w:lang w:eastAsia="sk-SK"/>
        </w:rPr>
        <w:t>,9</w:t>
      </w:r>
      <w:r w:rsidR="009A12A4" w:rsidRPr="00C66720">
        <w:rPr>
          <w:rFonts w:ascii="Times New Roman" w:hAnsi="Times New Roman"/>
          <w:bCs/>
          <w:szCs w:val="22"/>
          <w:lang w:eastAsia="sk-SK"/>
        </w:rPr>
        <w:t xml:space="preserve"> %</w:t>
      </w:r>
      <w:r w:rsidR="002A3373" w:rsidRPr="00C66720">
        <w:rPr>
          <w:rFonts w:ascii="Times New Roman" w:hAnsi="Times New Roman"/>
          <w:bCs/>
          <w:szCs w:val="22"/>
          <w:lang w:eastAsia="sk-SK"/>
        </w:rPr>
        <w:t xml:space="preserve"> (</w:t>
      </w:r>
      <w:r w:rsidR="007827EC" w:rsidRPr="00C66720">
        <w:rPr>
          <w:rFonts w:ascii="Times New Roman" w:hAnsi="Times New Roman"/>
          <w:bCs/>
          <w:szCs w:val="22"/>
          <w:lang w:eastAsia="sk-SK"/>
        </w:rPr>
        <w:t xml:space="preserve">v absolútnom vyjadrení je to </w:t>
      </w:r>
      <w:r w:rsidR="00287C9C" w:rsidRPr="00C66720">
        <w:rPr>
          <w:rFonts w:ascii="Times New Roman" w:hAnsi="Times New Roman"/>
          <w:bCs/>
          <w:szCs w:val="22"/>
          <w:lang w:eastAsia="sk-SK"/>
        </w:rPr>
        <w:br/>
      </w:r>
      <w:r w:rsidR="002D4EA0" w:rsidRPr="00C66720">
        <w:rPr>
          <w:rFonts w:ascii="Times New Roman" w:hAnsi="Times New Roman"/>
          <w:bCs/>
          <w:szCs w:val="22"/>
          <w:lang w:eastAsia="sk-SK"/>
        </w:rPr>
        <w:t>2 944 912</w:t>
      </w:r>
      <w:r w:rsidR="002A3373" w:rsidRPr="00C66720">
        <w:rPr>
          <w:rFonts w:ascii="Times New Roman" w:hAnsi="Times New Roman"/>
          <w:bCs/>
          <w:szCs w:val="22"/>
          <w:lang w:eastAsia="sk-SK"/>
        </w:rPr>
        <w:t xml:space="preserve"> tis. eur)</w:t>
      </w:r>
      <w:r w:rsidR="00287C9C" w:rsidRPr="00C66720">
        <w:rPr>
          <w:rFonts w:ascii="Times New Roman" w:hAnsi="Times New Roman"/>
          <w:bCs/>
          <w:szCs w:val="22"/>
          <w:lang w:eastAsia="sk-SK"/>
        </w:rPr>
        <w:t>.</w:t>
      </w:r>
      <w:r w:rsidR="00DE0165" w:rsidRPr="00C66720">
        <w:rPr>
          <w:rFonts w:ascii="Times New Roman" w:hAnsi="Times New Roman"/>
          <w:bCs/>
          <w:szCs w:val="22"/>
          <w:lang w:eastAsia="sk-SK"/>
        </w:rPr>
        <w:t xml:space="preserve"> Ho</w:t>
      </w:r>
      <w:r w:rsidR="0090201C" w:rsidRPr="00C66720">
        <w:rPr>
          <w:rFonts w:ascii="Times New Roman" w:hAnsi="Times New Roman"/>
          <w:bCs/>
          <w:szCs w:val="22"/>
          <w:lang w:eastAsia="sk-SK"/>
        </w:rPr>
        <w:t>dnota zásob je medziročne vyššia</w:t>
      </w:r>
      <w:r w:rsidR="00DE0165" w:rsidRPr="00C66720">
        <w:rPr>
          <w:rFonts w:ascii="Times New Roman" w:hAnsi="Times New Roman"/>
          <w:bCs/>
          <w:szCs w:val="22"/>
          <w:lang w:eastAsia="sk-SK"/>
        </w:rPr>
        <w:t xml:space="preserve"> o</w:t>
      </w:r>
      <w:r w:rsidR="00C96881" w:rsidRPr="00C66720">
        <w:rPr>
          <w:rFonts w:ascii="Times New Roman" w:hAnsi="Times New Roman"/>
          <w:bCs/>
          <w:szCs w:val="22"/>
          <w:lang w:eastAsia="sk-SK"/>
        </w:rPr>
        <w:t xml:space="preserve"> 1 546 </w:t>
      </w:r>
      <w:r w:rsidR="00B3516A" w:rsidRPr="00C66720">
        <w:rPr>
          <w:rFonts w:ascii="Times New Roman" w:hAnsi="Times New Roman"/>
          <w:bCs/>
          <w:szCs w:val="22"/>
          <w:lang w:eastAsia="sk-SK"/>
        </w:rPr>
        <w:t>254</w:t>
      </w:r>
      <w:r w:rsidR="00DE0165" w:rsidRPr="00C66720">
        <w:rPr>
          <w:rFonts w:ascii="Times New Roman" w:hAnsi="Times New Roman"/>
          <w:bCs/>
          <w:szCs w:val="22"/>
          <w:lang w:eastAsia="sk-SK"/>
        </w:rPr>
        <w:t xml:space="preserve"> tis. eur najmä z dôvodu </w:t>
      </w:r>
      <w:r w:rsidR="0090201C" w:rsidRPr="00C66720">
        <w:rPr>
          <w:rFonts w:ascii="Times New Roman" w:hAnsi="Times New Roman"/>
          <w:bCs/>
          <w:szCs w:val="22"/>
          <w:lang w:eastAsia="sk-SK"/>
        </w:rPr>
        <w:t>zvýšenia</w:t>
      </w:r>
      <w:r w:rsidR="00DE0165" w:rsidRPr="00C66720">
        <w:rPr>
          <w:rFonts w:ascii="Times New Roman" w:hAnsi="Times New Roman"/>
          <w:bCs/>
          <w:szCs w:val="22"/>
          <w:lang w:eastAsia="sk-SK"/>
        </w:rPr>
        <w:t xml:space="preserve"> </w:t>
      </w:r>
      <w:r w:rsidR="00C72030">
        <w:rPr>
          <w:rFonts w:ascii="Times New Roman" w:hAnsi="Times New Roman"/>
          <w:bCs/>
          <w:szCs w:val="22"/>
          <w:lang w:eastAsia="sk-SK"/>
        </w:rPr>
        <w:lastRenderedPageBreak/>
        <w:t>hodnoty</w:t>
      </w:r>
      <w:r w:rsidR="00C72030" w:rsidRPr="00C66720">
        <w:rPr>
          <w:rFonts w:ascii="Times New Roman" w:hAnsi="Times New Roman"/>
          <w:bCs/>
          <w:szCs w:val="22"/>
          <w:lang w:eastAsia="sk-SK"/>
        </w:rPr>
        <w:t xml:space="preserve"> </w:t>
      </w:r>
      <w:r w:rsidR="00370A8B" w:rsidRPr="00C66720">
        <w:rPr>
          <w:rFonts w:ascii="Times New Roman" w:hAnsi="Times New Roman"/>
          <w:bCs/>
          <w:szCs w:val="22"/>
          <w:lang w:eastAsia="sk-SK"/>
        </w:rPr>
        <w:t>výrobkov o 1 355 161 tis. eur, materiálu o 155 </w:t>
      </w:r>
      <w:r w:rsidR="00EA2FE9" w:rsidRPr="00C66720">
        <w:rPr>
          <w:rFonts w:ascii="Times New Roman" w:hAnsi="Times New Roman"/>
          <w:bCs/>
          <w:szCs w:val="22"/>
          <w:lang w:eastAsia="sk-SK"/>
        </w:rPr>
        <w:t>413</w:t>
      </w:r>
      <w:r w:rsidR="00370A8B" w:rsidRPr="00C66720">
        <w:rPr>
          <w:rFonts w:ascii="Times New Roman" w:hAnsi="Times New Roman"/>
          <w:bCs/>
          <w:szCs w:val="22"/>
          <w:lang w:eastAsia="sk-SK"/>
        </w:rPr>
        <w:t xml:space="preserve"> tis. eur a nedokončenej výroby a polotovarov o 48 845 tis. eur, pričom hodnota tovarov sa znížila o 13 5</w:t>
      </w:r>
      <w:r w:rsidR="00EA2FE9" w:rsidRPr="00C66720">
        <w:rPr>
          <w:rFonts w:ascii="Times New Roman" w:hAnsi="Times New Roman"/>
          <w:bCs/>
          <w:szCs w:val="22"/>
          <w:lang w:eastAsia="sk-SK"/>
        </w:rPr>
        <w:t>23</w:t>
      </w:r>
      <w:r w:rsidR="00370A8B" w:rsidRPr="00C66720">
        <w:rPr>
          <w:rFonts w:ascii="Times New Roman" w:hAnsi="Times New Roman"/>
          <w:bCs/>
          <w:szCs w:val="22"/>
          <w:lang w:eastAsia="sk-SK"/>
        </w:rPr>
        <w:t xml:space="preserve"> tis. eur.</w:t>
      </w:r>
    </w:p>
    <w:p w14:paraId="76FF2684" w14:textId="2A437309" w:rsidR="002B6F7A" w:rsidRPr="00C66720" w:rsidRDefault="00CC2CEE" w:rsidP="00CE7E86">
      <w:pPr>
        <w:spacing w:after="120" w:line="240" w:lineRule="auto"/>
        <w:jc w:val="both"/>
        <w:rPr>
          <w:rFonts w:ascii="Times New Roman" w:hAnsi="Times New Roman"/>
          <w:bCs/>
          <w:szCs w:val="22"/>
          <w:lang w:eastAsia="sk-SK"/>
        </w:rPr>
      </w:pPr>
      <w:r w:rsidRPr="00C66720">
        <w:rPr>
          <w:rFonts w:ascii="Times New Roman" w:hAnsi="Times New Roman"/>
          <w:bCs/>
          <w:szCs w:val="22"/>
          <w:lang w:eastAsia="sk-SK"/>
        </w:rPr>
        <w:t>Prírastok</w:t>
      </w:r>
      <w:r w:rsidR="000A34E2" w:rsidRPr="00C66720">
        <w:rPr>
          <w:rFonts w:ascii="Times New Roman" w:hAnsi="Times New Roman"/>
          <w:bCs/>
          <w:szCs w:val="22"/>
          <w:lang w:eastAsia="sk-SK"/>
        </w:rPr>
        <w:t xml:space="preserve"> hodnoty zásob v ústrednej správe o</w:t>
      </w:r>
      <w:r w:rsidR="00927B5B" w:rsidRPr="00C66720">
        <w:rPr>
          <w:rFonts w:ascii="Times New Roman" w:hAnsi="Times New Roman"/>
          <w:bCs/>
          <w:szCs w:val="22"/>
          <w:lang w:eastAsia="sk-SK"/>
        </w:rPr>
        <w:t xml:space="preserve"> 1 527 653 </w:t>
      </w:r>
      <w:r w:rsidR="000A34E2" w:rsidRPr="00C66720">
        <w:rPr>
          <w:rFonts w:ascii="Times New Roman" w:hAnsi="Times New Roman"/>
          <w:bCs/>
          <w:szCs w:val="22"/>
          <w:lang w:eastAsia="sk-SK"/>
        </w:rPr>
        <w:t xml:space="preserve"> tis. eur bol spôsobený </w:t>
      </w:r>
      <w:r w:rsidRPr="00C66720">
        <w:rPr>
          <w:rFonts w:ascii="Times New Roman" w:hAnsi="Times New Roman"/>
          <w:bCs/>
          <w:szCs w:val="22"/>
          <w:lang w:eastAsia="sk-SK"/>
        </w:rPr>
        <w:t>zvýšením</w:t>
      </w:r>
      <w:r w:rsidR="000A34E2" w:rsidRPr="00C66720">
        <w:rPr>
          <w:rFonts w:ascii="Times New Roman" w:hAnsi="Times New Roman"/>
          <w:bCs/>
          <w:szCs w:val="22"/>
          <w:lang w:eastAsia="sk-SK"/>
        </w:rPr>
        <w:t xml:space="preserve"> </w:t>
      </w:r>
      <w:r w:rsidR="00C72030">
        <w:rPr>
          <w:rFonts w:ascii="Times New Roman" w:hAnsi="Times New Roman"/>
          <w:bCs/>
          <w:szCs w:val="22"/>
          <w:lang w:eastAsia="sk-SK"/>
        </w:rPr>
        <w:t>hodnoty</w:t>
      </w:r>
      <w:r w:rsidR="00C72030" w:rsidRPr="00C66720">
        <w:rPr>
          <w:rFonts w:ascii="Times New Roman" w:hAnsi="Times New Roman"/>
          <w:bCs/>
          <w:szCs w:val="22"/>
          <w:lang w:eastAsia="sk-SK"/>
        </w:rPr>
        <w:t xml:space="preserve"> </w:t>
      </w:r>
      <w:r w:rsidR="00927B5B" w:rsidRPr="00C66720">
        <w:rPr>
          <w:rFonts w:ascii="Times New Roman" w:hAnsi="Times New Roman"/>
          <w:bCs/>
          <w:szCs w:val="22"/>
          <w:lang w:eastAsia="sk-SK"/>
        </w:rPr>
        <w:t xml:space="preserve">výrobkov </w:t>
      </w:r>
      <w:r w:rsidR="004E7BBE" w:rsidRPr="00C66720">
        <w:rPr>
          <w:rFonts w:ascii="Times New Roman" w:hAnsi="Times New Roman"/>
          <w:bCs/>
          <w:szCs w:val="22"/>
          <w:lang w:eastAsia="sk-SK"/>
        </w:rPr>
        <w:t>Slovenského plynárenského priemyslu, a.s. o 1 351 298 tis. eur</w:t>
      </w:r>
      <w:r w:rsidR="00C72030">
        <w:rPr>
          <w:rFonts w:ascii="Times New Roman" w:hAnsi="Times New Roman"/>
          <w:bCs/>
          <w:szCs w:val="22"/>
          <w:lang w:eastAsia="sk-SK"/>
        </w:rPr>
        <w:t xml:space="preserve"> a</w:t>
      </w:r>
      <w:r w:rsidR="004E7BBE" w:rsidRPr="00C66720">
        <w:rPr>
          <w:rFonts w:ascii="Times New Roman" w:hAnsi="Times New Roman"/>
          <w:bCs/>
          <w:szCs w:val="22"/>
          <w:lang w:eastAsia="sk-SK"/>
        </w:rPr>
        <w:t xml:space="preserve"> </w:t>
      </w:r>
      <w:r w:rsidRPr="00C66720">
        <w:rPr>
          <w:rFonts w:ascii="Times New Roman" w:hAnsi="Times New Roman"/>
          <w:bCs/>
          <w:szCs w:val="22"/>
          <w:lang w:eastAsia="sk-SK"/>
        </w:rPr>
        <w:t>materiálu Ministerstva zdravotníctva SR o</w:t>
      </w:r>
      <w:r w:rsidR="00680AC9" w:rsidRPr="00C66720">
        <w:rPr>
          <w:rFonts w:ascii="Times New Roman" w:hAnsi="Times New Roman"/>
          <w:bCs/>
          <w:szCs w:val="22"/>
          <w:lang w:eastAsia="sk-SK"/>
        </w:rPr>
        <w:t> 112 804</w:t>
      </w:r>
      <w:r w:rsidRPr="00C66720">
        <w:rPr>
          <w:rFonts w:ascii="Times New Roman" w:hAnsi="Times New Roman"/>
          <w:bCs/>
          <w:szCs w:val="22"/>
          <w:lang w:eastAsia="sk-SK"/>
        </w:rPr>
        <w:t xml:space="preserve"> tis. eur</w:t>
      </w:r>
      <w:r w:rsidR="002B6F7A" w:rsidRPr="00C66720">
        <w:rPr>
          <w:rFonts w:ascii="Times New Roman" w:hAnsi="Times New Roman"/>
          <w:bCs/>
          <w:szCs w:val="22"/>
          <w:lang w:eastAsia="sk-SK"/>
        </w:rPr>
        <w:t>.</w:t>
      </w:r>
    </w:p>
    <w:p w14:paraId="1563B79A" w14:textId="6A2139C7" w:rsidR="00986AF2" w:rsidRPr="00C66720" w:rsidRDefault="000A34E2" w:rsidP="00CE7E86">
      <w:pPr>
        <w:spacing w:after="120" w:line="240" w:lineRule="auto"/>
        <w:jc w:val="both"/>
        <w:rPr>
          <w:rFonts w:ascii="Times New Roman" w:hAnsi="Times New Roman"/>
          <w:bCs/>
          <w:szCs w:val="22"/>
          <w:lang w:eastAsia="sk-SK"/>
        </w:rPr>
      </w:pPr>
      <w:r w:rsidRPr="00C66720">
        <w:rPr>
          <w:rFonts w:ascii="Times New Roman" w:hAnsi="Times New Roman"/>
          <w:bCs/>
          <w:szCs w:val="22"/>
          <w:lang w:eastAsia="sk-SK"/>
        </w:rPr>
        <w:t xml:space="preserve">Zásoby ústrednej správy tvoria hlavne </w:t>
      </w:r>
      <w:r w:rsidR="00C51B0D" w:rsidRPr="00C66720">
        <w:rPr>
          <w:rFonts w:ascii="Times New Roman" w:hAnsi="Times New Roman"/>
          <w:bCs/>
          <w:szCs w:val="22"/>
          <w:lang w:eastAsia="sk-SK"/>
        </w:rPr>
        <w:t>výrobky (1 478 782 tis. eur), materiál (1 235 569 tis. eur) a tovar (140 375 tis. eur).</w:t>
      </w:r>
      <w:r w:rsidR="005573FC" w:rsidRPr="00C66720">
        <w:rPr>
          <w:rFonts w:ascii="Times New Roman" w:hAnsi="Times New Roman"/>
          <w:bCs/>
          <w:szCs w:val="22"/>
          <w:lang w:eastAsia="sk-SK"/>
        </w:rPr>
        <w:t xml:space="preserve"> Objemovo najvyššiu hodnotu zásob vykazuje Slovenský plynárenský priemysel, a.s. 1 455 631 tis. eur (hlavne </w:t>
      </w:r>
      <w:r w:rsidR="00142E7B" w:rsidRPr="00C66720">
        <w:rPr>
          <w:rFonts w:ascii="Times New Roman" w:hAnsi="Times New Roman"/>
          <w:bCs/>
          <w:szCs w:val="22"/>
          <w:lang w:eastAsia="sk-SK"/>
        </w:rPr>
        <w:t xml:space="preserve">výrobky 1 455 620 tis. eur v podobe </w:t>
      </w:r>
      <w:r w:rsidR="00E56F83" w:rsidRPr="00C66720">
        <w:rPr>
          <w:rFonts w:ascii="Times New Roman" w:hAnsi="Times New Roman"/>
          <w:bCs/>
          <w:szCs w:val="22"/>
          <w:lang w:eastAsia="sk-SK"/>
        </w:rPr>
        <w:t xml:space="preserve">zásob zemného plynu určeného na obchodovanie), </w:t>
      </w:r>
      <w:r w:rsidR="008D4178" w:rsidRPr="00C66720">
        <w:rPr>
          <w:rFonts w:ascii="Times New Roman" w:hAnsi="Times New Roman"/>
          <w:bCs/>
          <w:szCs w:val="22"/>
          <w:lang w:eastAsia="sk-SK"/>
        </w:rPr>
        <w:t xml:space="preserve">ďalej Ministerstvo obrany SR 749 300 tis. eur </w:t>
      </w:r>
      <w:r w:rsidR="00B53A0A" w:rsidRPr="00C66720">
        <w:rPr>
          <w:rFonts w:ascii="Times New Roman" w:hAnsi="Times New Roman"/>
          <w:bCs/>
          <w:szCs w:val="22"/>
          <w:lang w:eastAsia="sk-SK"/>
        </w:rPr>
        <w:t xml:space="preserve">(hlavne materiál v podobe vojenského a obranného charakteru), </w:t>
      </w:r>
      <w:r w:rsidR="00E26F2F" w:rsidRPr="00C66720">
        <w:rPr>
          <w:rFonts w:ascii="Times New Roman" w:hAnsi="Times New Roman"/>
          <w:bCs/>
          <w:szCs w:val="22"/>
          <w:lang w:eastAsia="sk-SK"/>
        </w:rPr>
        <w:t xml:space="preserve">nasleduje Ministerstvo zdravotníctva SR 142 870 tis. eur </w:t>
      </w:r>
      <w:r w:rsidR="00A30B71" w:rsidRPr="00C66720">
        <w:rPr>
          <w:rFonts w:ascii="Times New Roman" w:hAnsi="Times New Roman"/>
          <w:bCs/>
          <w:szCs w:val="22"/>
          <w:lang w:eastAsia="sk-SK"/>
        </w:rPr>
        <w:t>(najmä zásoby vakcín a liekov), Správa štátnych hmotných rezerv</w:t>
      </w:r>
      <w:r w:rsidR="00816851" w:rsidRPr="00C66720">
        <w:rPr>
          <w:rFonts w:ascii="Times New Roman" w:hAnsi="Times New Roman"/>
          <w:bCs/>
          <w:szCs w:val="22"/>
          <w:lang w:eastAsia="sk-SK"/>
        </w:rPr>
        <w:t xml:space="preserve"> 114 736 tis. eur predovšetkým</w:t>
      </w:r>
      <w:r w:rsidR="00A30B71" w:rsidRPr="00C66720">
        <w:rPr>
          <w:rFonts w:ascii="Times New Roman" w:hAnsi="Times New Roman"/>
          <w:bCs/>
          <w:szCs w:val="22"/>
          <w:lang w:eastAsia="sk-SK"/>
        </w:rPr>
        <w:t xml:space="preserve"> v podobe </w:t>
      </w:r>
      <w:r w:rsidR="006A6417" w:rsidRPr="00C66720">
        <w:rPr>
          <w:rFonts w:ascii="Times New Roman" w:hAnsi="Times New Roman"/>
          <w:bCs/>
          <w:szCs w:val="22"/>
          <w:lang w:eastAsia="sk-SK"/>
        </w:rPr>
        <w:t xml:space="preserve">tovaru (zásoby hmotných a mobilizačných </w:t>
      </w:r>
      <w:r w:rsidR="00816851" w:rsidRPr="00C66720">
        <w:rPr>
          <w:rFonts w:ascii="Times New Roman" w:hAnsi="Times New Roman"/>
          <w:bCs/>
          <w:szCs w:val="22"/>
          <w:lang w:eastAsia="sk-SK"/>
        </w:rPr>
        <w:t xml:space="preserve">rezerv) a Ministerstvo vnútra SR 112 647 tis. eur (ako materiál špecifickej povahy). </w:t>
      </w:r>
      <w:r w:rsidR="000B2B18" w:rsidRPr="00C66720">
        <w:rPr>
          <w:rFonts w:ascii="Times New Roman" w:hAnsi="Times New Roman"/>
          <w:bCs/>
          <w:szCs w:val="22"/>
          <w:lang w:eastAsia="sk-SK"/>
        </w:rPr>
        <w:t>Zmena hodnoty zásob ústrednej správy bola ovplyvnená najmä prírastkom hodnoty</w:t>
      </w:r>
      <w:r w:rsidR="00650D2E" w:rsidRPr="00C66720">
        <w:rPr>
          <w:rFonts w:ascii="Times New Roman" w:hAnsi="Times New Roman"/>
          <w:bCs/>
          <w:szCs w:val="22"/>
          <w:lang w:eastAsia="sk-SK"/>
        </w:rPr>
        <w:t xml:space="preserve"> </w:t>
      </w:r>
      <w:r w:rsidR="00986AF2" w:rsidRPr="00C66720">
        <w:rPr>
          <w:rFonts w:ascii="Times New Roman" w:hAnsi="Times New Roman"/>
          <w:bCs/>
          <w:szCs w:val="22"/>
          <w:lang w:eastAsia="sk-SK"/>
        </w:rPr>
        <w:t xml:space="preserve">výrobkov </w:t>
      </w:r>
      <w:r w:rsidR="006D7FDE" w:rsidRPr="00C66720">
        <w:rPr>
          <w:rFonts w:ascii="Times New Roman" w:hAnsi="Times New Roman"/>
          <w:bCs/>
          <w:szCs w:val="22"/>
          <w:lang w:eastAsia="sk-SK"/>
        </w:rPr>
        <w:t xml:space="preserve">Slovenského plynárenského priemyslu, a.s. o 1 351 298 tis. eur z dôvodu </w:t>
      </w:r>
      <w:r w:rsidR="00203194" w:rsidRPr="00C66720">
        <w:rPr>
          <w:rFonts w:ascii="Times New Roman" w:hAnsi="Times New Roman"/>
          <w:bCs/>
          <w:szCs w:val="22"/>
          <w:lang w:eastAsia="sk-SK"/>
        </w:rPr>
        <w:t xml:space="preserve">vykazovania nárastu zemného plynu určeného na obchodovanie a materiálu Ministerstva zdravotníctva SR o 112 804 tis. eur z dôvodu obstarania </w:t>
      </w:r>
      <w:r w:rsidR="007B1E36" w:rsidRPr="00C66720">
        <w:rPr>
          <w:rFonts w:ascii="Times New Roman" w:hAnsi="Times New Roman"/>
          <w:bCs/>
          <w:szCs w:val="22"/>
          <w:lang w:eastAsia="sk-SK"/>
        </w:rPr>
        <w:t xml:space="preserve">zásob vakcín a liekov najmä v súvislosti s pandémiou COVID-19. </w:t>
      </w:r>
    </w:p>
    <w:p w14:paraId="6ABF1EB7" w14:textId="5E568DD0" w:rsidR="00DA1D8A" w:rsidRPr="00C66720" w:rsidRDefault="000A34E2" w:rsidP="003801C1">
      <w:pPr>
        <w:spacing w:after="240" w:line="240" w:lineRule="auto"/>
        <w:jc w:val="both"/>
        <w:rPr>
          <w:rFonts w:ascii="Times New Roman" w:hAnsi="Times New Roman"/>
          <w:bCs/>
          <w:szCs w:val="22"/>
          <w:lang w:eastAsia="sk-SK"/>
        </w:rPr>
      </w:pPr>
      <w:r w:rsidRPr="00C66720">
        <w:rPr>
          <w:rFonts w:ascii="Times New Roman" w:hAnsi="Times New Roman"/>
          <w:bCs/>
          <w:szCs w:val="22"/>
          <w:lang w:eastAsia="sk-SK"/>
        </w:rPr>
        <w:t xml:space="preserve">Subjekty územnej samosprávy vykazujú </w:t>
      </w:r>
      <w:r w:rsidR="00DA1D8A" w:rsidRPr="00C66720">
        <w:rPr>
          <w:rFonts w:ascii="Times New Roman" w:hAnsi="Times New Roman"/>
          <w:bCs/>
          <w:szCs w:val="22"/>
          <w:lang w:eastAsia="sk-SK"/>
        </w:rPr>
        <w:t xml:space="preserve">hodnotu zásob v celkovom objeme </w:t>
      </w:r>
      <w:r w:rsidR="00C347B4" w:rsidRPr="00C66720">
        <w:rPr>
          <w:rFonts w:ascii="Times New Roman" w:hAnsi="Times New Roman"/>
          <w:bCs/>
          <w:szCs w:val="22"/>
          <w:lang w:eastAsia="sk-SK"/>
        </w:rPr>
        <w:t>84 588</w:t>
      </w:r>
      <w:r w:rsidR="00DA1D8A" w:rsidRPr="00C66720">
        <w:rPr>
          <w:rFonts w:ascii="Times New Roman" w:hAnsi="Times New Roman"/>
          <w:bCs/>
          <w:szCs w:val="22"/>
          <w:lang w:eastAsia="sk-SK"/>
        </w:rPr>
        <w:t xml:space="preserve"> tis. eur (v tom materiál </w:t>
      </w:r>
      <w:r w:rsidR="00C347B4" w:rsidRPr="00C66720">
        <w:rPr>
          <w:rFonts w:ascii="Times New Roman" w:hAnsi="Times New Roman"/>
          <w:bCs/>
          <w:szCs w:val="22"/>
          <w:lang w:eastAsia="sk-SK"/>
        </w:rPr>
        <w:t>76 042</w:t>
      </w:r>
      <w:r w:rsidR="00DA1D8A" w:rsidRPr="00C66720">
        <w:rPr>
          <w:rFonts w:ascii="Times New Roman" w:hAnsi="Times New Roman"/>
          <w:bCs/>
          <w:szCs w:val="22"/>
          <w:lang w:eastAsia="sk-SK"/>
        </w:rPr>
        <w:t xml:space="preserve"> tis. eur), ktoré boli </w:t>
      </w:r>
      <w:r w:rsidRPr="00C66720">
        <w:rPr>
          <w:rFonts w:ascii="Times New Roman" w:hAnsi="Times New Roman"/>
          <w:bCs/>
          <w:szCs w:val="22"/>
          <w:lang w:eastAsia="sk-SK"/>
        </w:rPr>
        <w:t xml:space="preserve">medziročne </w:t>
      </w:r>
      <w:r w:rsidR="00C347B4" w:rsidRPr="00C66720">
        <w:rPr>
          <w:rFonts w:ascii="Times New Roman" w:hAnsi="Times New Roman"/>
          <w:bCs/>
          <w:szCs w:val="22"/>
          <w:lang w:eastAsia="sk-SK"/>
        </w:rPr>
        <w:t>vyššie</w:t>
      </w:r>
      <w:r w:rsidR="00DA1D8A" w:rsidRPr="00C66720">
        <w:rPr>
          <w:rFonts w:ascii="Times New Roman" w:hAnsi="Times New Roman"/>
          <w:bCs/>
          <w:szCs w:val="22"/>
          <w:lang w:eastAsia="sk-SK"/>
        </w:rPr>
        <w:t xml:space="preserve"> o</w:t>
      </w:r>
      <w:r w:rsidR="00C347B4" w:rsidRPr="00C66720">
        <w:rPr>
          <w:rFonts w:ascii="Times New Roman" w:hAnsi="Times New Roman"/>
          <w:bCs/>
          <w:szCs w:val="22"/>
          <w:lang w:eastAsia="sk-SK"/>
        </w:rPr>
        <w:t> 17 890</w:t>
      </w:r>
      <w:r w:rsidR="00DA1D8A" w:rsidRPr="00C66720">
        <w:rPr>
          <w:rFonts w:ascii="Times New Roman" w:hAnsi="Times New Roman"/>
          <w:bCs/>
          <w:szCs w:val="22"/>
          <w:lang w:eastAsia="sk-SK"/>
        </w:rPr>
        <w:t xml:space="preserve"> tis.</w:t>
      </w:r>
    </w:p>
    <w:p w14:paraId="3661644E" w14:textId="1D945FF8" w:rsidR="002D7AE7" w:rsidRPr="00C66720" w:rsidRDefault="002D7AE7" w:rsidP="008F097E">
      <w:pPr>
        <w:pStyle w:val="Pismenka"/>
        <w:numPr>
          <w:ilvl w:val="0"/>
          <w:numId w:val="44"/>
        </w:numPr>
        <w:spacing w:after="120"/>
        <w:ind w:left="284" w:hanging="284"/>
        <w:rPr>
          <w:i/>
          <w:szCs w:val="22"/>
          <w:u w:val="single"/>
        </w:rPr>
      </w:pPr>
      <w:bookmarkStart w:id="17" w:name="_Ref86091693"/>
      <w:r w:rsidRPr="00C66720">
        <w:rPr>
          <w:i/>
          <w:sz w:val="22"/>
          <w:szCs w:val="22"/>
          <w:u w:val="single"/>
        </w:rPr>
        <w:t>Materiál</w:t>
      </w:r>
      <w:bookmarkEnd w:id="17"/>
    </w:p>
    <w:p w14:paraId="441E483B" w14:textId="0B0AE6D1" w:rsidR="002D7AE7" w:rsidRPr="00C66720" w:rsidRDefault="004C0F7F" w:rsidP="00E63F85">
      <w:pPr>
        <w:spacing w:before="240" w:after="120" w:line="240" w:lineRule="auto"/>
        <w:jc w:val="both"/>
        <w:rPr>
          <w:rFonts w:ascii="Times New Roman" w:hAnsi="Times New Roman"/>
          <w:bCs/>
          <w:szCs w:val="22"/>
          <w:lang w:eastAsia="sk-SK"/>
        </w:rPr>
      </w:pPr>
      <w:r w:rsidRPr="00C66720">
        <w:rPr>
          <w:rFonts w:ascii="Times New Roman" w:hAnsi="Times New Roman"/>
          <w:bCs/>
          <w:szCs w:val="22"/>
          <w:lang w:eastAsia="sk-SK"/>
        </w:rPr>
        <w:t>Druhý n</w:t>
      </w:r>
      <w:r w:rsidR="003B26EA" w:rsidRPr="00C66720">
        <w:rPr>
          <w:rFonts w:ascii="Times New Roman" w:hAnsi="Times New Roman"/>
          <w:bCs/>
          <w:szCs w:val="22"/>
          <w:lang w:eastAsia="sk-SK"/>
        </w:rPr>
        <w:t xml:space="preserve">ajväčší objem zásob tvoria zásoby materiálu v hodnote </w:t>
      </w:r>
      <w:r w:rsidRPr="00C66720">
        <w:rPr>
          <w:rFonts w:ascii="Times New Roman" w:hAnsi="Times New Roman"/>
          <w:bCs/>
          <w:szCs w:val="22"/>
          <w:lang w:eastAsia="sk-SK"/>
        </w:rPr>
        <w:t xml:space="preserve">1 318 </w:t>
      </w:r>
      <w:r w:rsidR="00AA547A" w:rsidRPr="00C66720">
        <w:rPr>
          <w:rFonts w:ascii="Times New Roman" w:hAnsi="Times New Roman"/>
          <w:bCs/>
          <w:szCs w:val="22"/>
          <w:lang w:eastAsia="sk-SK"/>
        </w:rPr>
        <w:t>028</w:t>
      </w:r>
      <w:r w:rsidR="003B26EA" w:rsidRPr="00C66720">
        <w:rPr>
          <w:rFonts w:ascii="Times New Roman" w:hAnsi="Times New Roman"/>
          <w:bCs/>
          <w:szCs w:val="22"/>
          <w:lang w:eastAsia="sk-SK"/>
        </w:rPr>
        <w:t xml:space="preserve"> tis. eur</w:t>
      </w:r>
      <w:r w:rsidR="00B0327B" w:rsidRPr="00C66720">
        <w:rPr>
          <w:rFonts w:ascii="Times New Roman" w:hAnsi="Times New Roman"/>
          <w:bCs/>
          <w:szCs w:val="22"/>
          <w:lang w:eastAsia="sk-SK"/>
        </w:rPr>
        <w:t xml:space="preserve"> (</w:t>
      </w:r>
      <w:r w:rsidR="00FD1E05" w:rsidRPr="00C66720">
        <w:rPr>
          <w:rFonts w:ascii="Times New Roman" w:hAnsi="Times New Roman"/>
          <w:bCs/>
          <w:szCs w:val="22"/>
          <w:lang w:eastAsia="sk-SK"/>
        </w:rPr>
        <w:t xml:space="preserve">43,3 </w:t>
      </w:r>
      <w:r w:rsidR="00BF3214" w:rsidRPr="00C66720">
        <w:rPr>
          <w:rFonts w:ascii="Times New Roman" w:hAnsi="Times New Roman"/>
          <w:bCs/>
          <w:szCs w:val="22"/>
          <w:lang w:eastAsia="sk-SK"/>
        </w:rPr>
        <w:t>% hodnoty celkových zásob)</w:t>
      </w:r>
      <w:r w:rsidR="003B26EA" w:rsidRPr="00C66720">
        <w:rPr>
          <w:rFonts w:ascii="Times New Roman" w:hAnsi="Times New Roman"/>
          <w:bCs/>
          <w:szCs w:val="22"/>
          <w:lang w:eastAsia="sk-SK"/>
        </w:rPr>
        <w:t>, ktoré zaznamenali</w:t>
      </w:r>
      <w:r w:rsidR="00FD1E05" w:rsidRPr="00C66720">
        <w:rPr>
          <w:rFonts w:ascii="Times New Roman" w:hAnsi="Times New Roman"/>
          <w:bCs/>
          <w:szCs w:val="22"/>
          <w:lang w:eastAsia="sk-SK"/>
        </w:rPr>
        <w:t xml:space="preserve"> nárast v porovnaní s rokom 2021</w:t>
      </w:r>
      <w:r w:rsidR="003B26EA" w:rsidRPr="00C66720">
        <w:rPr>
          <w:rFonts w:ascii="Times New Roman" w:hAnsi="Times New Roman"/>
          <w:bCs/>
          <w:szCs w:val="22"/>
          <w:lang w:eastAsia="sk-SK"/>
        </w:rPr>
        <w:t xml:space="preserve"> o</w:t>
      </w:r>
      <w:r w:rsidR="00FD1E05" w:rsidRPr="00C66720">
        <w:rPr>
          <w:rFonts w:ascii="Times New Roman" w:hAnsi="Times New Roman"/>
          <w:bCs/>
          <w:szCs w:val="22"/>
          <w:lang w:eastAsia="sk-SK"/>
        </w:rPr>
        <w:t xml:space="preserve"> 155 </w:t>
      </w:r>
      <w:r w:rsidR="00AA547A" w:rsidRPr="00C66720">
        <w:rPr>
          <w:rFonts w:ascii="Times New Roman" w:hAnsi="Times New Roman"/>
          <w:bCs/>
          <w:szCs w:val="22"/>
          <w:lang w:eastAsia="sk-SK"/>
        </w:rPr>
        <w:t>413</w:t>
      </w:r>
      <w:r w:rsidR="003B26EA" w:rsidRPr="00C66720">
        <w:rPr>
          <w:rFonts w:ascii="Times New Roman" w:hAnsi="Times New Roman"/>
          <w:bCs/>
          <w:szCs w:val="22"/>
          <w:lang w:eastAsia="sk-SK"/>
        </w:rPr>
        <w:t xml:space="preserve"> tis. eur. </w:t>
      </w:r>
      <w:r w:rsidR="003D3435" w:rsidRPr="00C66720">
        <w:rPr>
          <w:rFonts w:ascii="Times New Roman" w:hAnsi="Times New Roman"/>
          <w:bCs/>
          <w:szCs w:val="22"/>
          <w:lang w:eastAsia="sk-SK"/>
        </w:rPr>
        <w:t>Až 9</w:t>
      </w:r>
      <w:r w:rsidR="00097CC8" w:rsidRPr="00C66720">
        <w:rPr>
          <w:rFonts w:ascii="Times New Roman" w:hAnsi="Times New Roman"/>
          <w:bCs/>
          <w:szCs w:val="22"/>
          <w:lang w:eastAsia="sk-SK"/>
        </w:rPr>
        <w:t>3,7</w:t>
      </w:r>
      <w:r w:rsidR="00BF3214" w:rsidRPr="00C66720">
        <w:rPr>
          <w:rFonts w:ascii="Times New Roman" w:hAnsi="Times New Roman"/>
          <w:bCs/>
          <w:szCs w:val="22"/>
          <w:lang w:eastAsia="sk-SK"/>
        </w:rPr>
        <w:t xml:space="preserve"> % zásob materiálu sústreďujú subjekty ústrednej správy, čo je v hodnotovom vyjadrení </w:t>
      </w:r>
      <w:r w:rsidR="00623379" w:rsidRPr="00C66720">
        <w:rPr>
          <w:rFonts w:ascii="Times New Roman" w:hAnsi="Times New Roman"/>
          <w:bCs/>
          <w:szCs w:val="22"/>
          <w:lang w:eastAsia="sk-SK"/>
        </w:rPr>
        <w:t>1 235 569</w:t>
      </w:r>
      <w:r w:rsidR="00BF3214" w:rsidRPr="00C66720">
        <w:rPr>
          <w:rFonts w:ascii="Times New Roman" w:hAnsi="Times New Roman"/>
          <w:bCs/>
          <w:szCs w:val="22"/>
          <w:lang w:eastAsia="sk-SK"/>
        </w:rPr>
        <w:t xml:space="preserve"> tis. eur. </w:t>
      </w:r>
      <w:r w:rsidR="009F42EC" w:rsidRPr="00C66720">
        <w:rPr>
          <w:rFonts w:ascii="Times New Roman" w:hAnsi="Times New Roman"/>
          <w:bCs/>
          <w:szCs w:val="22"/>
          <w:lang w:eastAsia="sk-SK"/>
        </w:rPr>
        <w:t xml:space="preserve">Na subjekty územnej samosprávy pripadá </w:t>
      </w:r>
      <w:r w:rsidR="00623379" w:rsidRPr="00C66720">
        <w:rPr>
          <w:rFonts w:ascii="Times New Roman" w:hAnsi="Times New Roman"/>
          <w:bCs/>
          <w:szCs w:val="22"/>
          <w:lang w:eastAsia="sk-SK"/>
        </w:rPr>
        <w:t>76 042</w:t>
      </w:r>
      <w:r w:rsidR="009F42EC" w:rsidRPr="00C66720">
        <w:rPr>
          <w:rFonts w:ascii="Times New Roman" w:hAnsi="Times New Roman"/>
          <w:bCs/>
          <w:szCs w:val="22"/>
          <w:lang w:eastAsia="sk-SK"/>
        </w:rPr>
        <w:t xml:space="preserve"> tis. eur a na ostatné subjekty verejnej správy </w:t>
      </w:r>
      <w:r w:rsidR="00AA547A" w:rsidRPr="00C66720">
        <w:rPr>
          <w:rFonts w:ascii="Times New Roman" w:hAnsi="Times New Roman"/>
          <w:bCs/>
          <w:szCs w:val="22"/>
          <w:lang w:eastAsia="sk-SK"/>
        </w:rPr>
        <w:br/>
      </w:r>
      <w:r w:rsidR="00623379" w:rsidRPr="00C66720">
        <w:rPr>
          <w:rFonts w:ascii="Times New Roman" w:hAnsi="Times New Roman"/>
          <w:bCs/>
          <w:szCs w:val="22"/>
          <w:lang w:eastAsia="sk-SK"/>
        </w:rPr>
        <w:t xml:space="preserve">6 </w:t>
      </w:r>
      <w:r w:rsidR="00AA547A" w:rsidRPr="00C66720">
        <w:rPr>
          <w:rFonts w:ascii="Times New Roman" w:hAnsi="Times New Roman"/>
          <w:bCs/>
          <w:szCs w:val="22"/>
          <w:lang w:eastAsia="sk-SK"/>
        </w:rPr>
        <w:t>417</w:t>
      </w:r>
      <w:r w:rsidR="009F42EC" w:rsidRPr="00C66720">
        <w:rPr>
          <w:rFonts w:ascii="Times New Roman" w:hAnsi="Times New Roman"/>
          <w:bCs/>
          <w:szCs w:val="22"/>
          <w:lang w:eastAsia="sk-SK"/>
        </w:rPr>
        <w:t xml:space="preserve"> tis. eur. </w:t>
      </w:r>
    </w:p>
    <w:p w14:paraId="29CB3920" w14:textId="3F8974DD" w:rsidR="006C6F06" w:rsidRPr="00C66720" w:rsidRDefault="009F42EC" w:rsidP="001B6CE1">
      <w:pPr>
        <w:spacing w:before="120" w:after="120" w:line="240" w:lineRule="auto"/>
        <w:jc w:val="both"/>
        <w:rPr>
          <w:rFonts w:ascii="Times New Roman" w:hAnsi="Times New Roman"/>
          <w:bCs/>
          <w:szCs w:val="22"/>
          <w:lang w:eastAsia="sk-SK"/>
        </w:rPr>
      </w:pPr>
      <w:r w:rsidRPr="00C66720">
        <w:rPr>
          <w:rFonts w:ascii="Times New Roman" w:hAnsi="Times New Roman"/>
          <w:bCs/>
          <w:szCs w:val="22"/>
          <w:lang w:eastAsia="sk-SK"/>
        </w:rPr>
        <w:t xml:space="preserve">V rámci ústrednej správy sa na zásobách materiálu v najvyššej miere podieľa kapitola Ministerstva obrany SR v hodnote </w:t>
      </w:r>
      <w:r w:rsidR="00012A3B" w:rsidRPr="00C66720">
        <w:rPr>
          <w:rFonts w:ascii="Times New Roman" w:hAnsi="Times New Roman"/>
          <w:bCs/>
          <w:szCs w:val="22"/>
          <w:lang w:eastAsia="sk-SK"/>
        </w:rPr>
        <w:t>770 811</w:t>
      </w:r>
      <w:r w:rsidRPr="00C66720">
        <w:rPr>
          <w:rFonts w:ascii="Times New Roman" w:hAnsi="Times New Roman"/>
          <w:bCs/>
          <w:szCs w:val="22"/>
          <w:lang w:eastAsia="sk-SK"/>
        </w:rPr>
        <w:t xml:space="preserve"> tis. eur, pričom vykazuje aj najvyšší medziročný </w:t>
      </w:r>
      <w:r w:rsidR="001F6EBA" w:rsidRPr="00C66720">
        <w:rPr>
          <w:rFonts w:ascii="Times New Roman" w:hAnsi="Times New Roman"/>
          <w:bCs/>
          <w:szCs w:val="22"/>
          <w:lang w:eastAsia="sk-SK"/>
        </w:rPr>
        <w:t>úbytok</w:t>
      </w:r>
      <w:r w:rsidRPr="00C66720">
        <w:rPr>
          <w:rFonts w:ascii="Times New Roman" w:hAnsi="Times New Roman"/>
          <w:bCs/>
          <w:szCs w:val="22"/>
          <w:lang w:eastAsia="sk-SK"/>
        </w:rPr>
        <w:t xml:space="preserve"> o</w:t>
      </w:r>
      <w:r w:rsidR="00012A3B" w:rsidRPr="00C66720">
        <w:rPr>
          <w:rFonts w:ascii="Times New Roman" w:hAnsi="Times New Roman"/>
          <w:bCs/>
          <w:szCs w:val="22"/>
          <w:lang w:eastAsia="sk-SK"/>
        </w:rPr>
        <w:t> 12 408</w:t>
      </w:r>
      <w:r w:rsidRPr="00C66720">
        <w:rPr>
          <w:rFonts w:ascii="Times New Roman" w:hAnsi="Times New Roman"/>
          <w:bCs/>
          <w:szCs w:val="22"/>
          <w:lang w:eastAsia="sk-SK"/>
        </w:rPr>
        <w:t xml:space="preserve"> tis. eur</w:t>
      </w:r>
      <w:r w:rsidR="00A2783F" w:rsidRPr="00C66720">
        <w:rPr>
          <w:rFonts w:ascii="Times New Roman" w:hAnsi="Times New Roman"/>
          <w:bCs/>
          <w:szCs w:val="22"/>
          <w:lang w:eastAsia="sk-SK"/>
        </w:rPr>
        <w:t xml:space="preserve">, </w:t>
      </w:r>
      <w:r w:rsidR="008531F0" w:rsidRPr="00C66720">
        <w:rPr>
          <w:rFonts w:ascii="Times New Roman" w:hAnsi="Times New Roman"/>
          <w:bCs/>
          <w:szCs w:val="22"/>
          <w:lang w:eastAsia="sk-SK"/>
        </w:rPr>
        <w:t xml:space="preserve">najmä v prípade Konštrukty – Defence, a.s. o 12 618 tis </w:t>
      </w:r>
      <w:r w:rsidR="0014655D" w:rsidRPr="00C66720">
        <w:rPr>
          <w:rFonts w:ascii="Times New Roman" w:hAnsi="Times New Roman"/>
          <w:bCs/>
          <w:szCs w:val="22"/>
          <w:lang w:eastAsia="sk-SK"/>
        </w:rPr>
        <w:t>eur</w:t>
      </w:r>
      <w:r w:rsidR="006D1FDD" w:rsidRPr="00C66720">
        <w:rPr>
          <w:rFonts w:ascii="Times New Roman" w:hAnsi="Times New Roman"/>
          <w:bCs/>
          <w:szCs w:val="22"/>
          <w:lang w:eastAsia="sk-SK"/>
        </w:rPr>
        <w:t xml:space="preserve"> z</w:t>
      </w:r>
      <w:r w:rsidR="00A2783F" w:rsidRPr="00C66720">
        <w:rPr>
          <w:rFonts w:ascii="Times New Roman" w:hAnsi="Times New Roman"/>
          <w:bCs/>
          <w:szCs w:val="22"/>
          <w:lang w:eastAsia="sk-SK"/>
        </w:rPr>
        <w:t> </w:t>
      </w:r>
      <w:r w:rsidR="006D1FDD" w:rsidRPr="00C66720">
        <w:rPr>
          <w:rFonts w:ascii="Times New Roman" w:hAnsi="Times New Roman"/>
          <w:bCs/>
          <w:szCs w:val="22"/>
          <w:lang w:eastAsia="sk-SK"/>
        </w:rPr>
        <w:t>dôvodu</w:t>
      </w:r>
      <w:r w:rsidR="00A2783F" w:rsidRPr="00C66720">
        <w:rPr>
          <w:rFonts w:ascii="Times New Roman" w:hAnsi="Times New Roman"/>
          <w:bCs/>
          <w:szCs w:val="22"/>
          <w:lang w:eastAsia="sk-SK"/>
        </w:rPr>
        <w:t xml:space="preserve"> </w:t>
      </w:r>
      <w:r w:rsidR="000A167C">
        <w:rPr>
          <w:rFonts w:ascii="Times New Roman" w:hAnsi="Times New Roman"/>
          <w:bCs/>
          <w:szCs w:val="22"/>
          <w:lang w:eastAsia="sk-SK"/>
        </w:rPr>
        <w:t>zvýšenej</w:t>
      </w:r>
      <w:r w:rsidR="000A167C" w:rsidRPr="00C66720">
        <w:rPr>
          <w:rFonts w:ascii="Times New Roman" w:hAnsi="Times New Roman"/>
          <w:bCs/>
          <w:szCs w:val="22"/>
          <w:lang w:eastAsia="sk-SK"/>
        </w:rPr>
        <w:t xml:space="preserve"> </w:t>
      </w:r>
      <w:r w:rsidR="00A2783F" w:rsidRPr="00C66720">
        <w:rPr>
          <w:rFonts w:ascii="Times New Roman" w:hAnsi="Times New Roman"/>
          <w:bCs/>
          <w:szCs w:val="22"/>
          <w:lang w:eastAsia="sk-SK"/>
        </w:rPr>
        <w:t>spotreby</w:t>
      </w:r>
      <w:r w:rsidR="000A167C">
        <w:rPr>
          <w:rFonts w:ascii="Times New Roman" w:hAnsi="Times New Roman"/>
          <w:bCs/>
          <w:szCs w:val="22"/>
          <w:lang w:eastAsia="sk-SK"/>
        </w:rPr>
        <w:t xml:space="preserve"> materiálu</w:t>
      </w:r>
      <w:r w:rsidR="00A2783F" w:rsidRPr="00C66720">
        <w:rPr>
          <w:rFonts w:ascii="Times New Roman" w:hAnsi="Times New Roman"/>
          <w:bCs/>
          <w:szCs w:val="22"/>
          <w:lang w:eastAsia="sk-SK"/>
        </w:rPr>
        <w:t xml:space="preserve"> pri výrobe húfnic ZUZANA 2</w:t>
      </w:r>
      <w:r w:rsidRPr="00C66720">
        <w:rPr>
          <w:rFonts w:ascii="Times New Roman" w:hAnsi="Times New Roman"/>
          <w:bCs/>
          <w:szCs w:val="22"/>
          <w:lang w:eastAsia="sk-SK"/>
        </w:rPr>
        <w:t xml:space="preserve">. </w:t>
      </w:r>
      <w:r w:rsidR="000A167C">
        <w:rPr>
          <w:rFonts w:ascii="Times New Roman" w:hAnsi="Times New Roman"/>
          <w:bCs/>
          <w:szCs w:val="22"/>
          <w:lang w:eastAsia="sk-SK"/>
        </w:rPr>
        <w:t>Celkovo Konštrukta – Defence, a.s. vynaložila na spotrebu materiálu</w:t>
      </w:r>
      <w:r w:rsidR="00424E17">
        <w:rPr>
          <w:rFonts w:ascii="Times New Roman" w:hAnsi="Times New Roman"/>
          <w:bCs/>
          <w:szCs w:val="22"/>
          <w:lang w:eastAsia="sk-SK"/>
        </w:rPr>
        <w:t xml:space="preserve"> v súvislosti výrobou húfnic (13 ks dokončených a ďalšie rozpracované)</w:t>
      </w:r>
      <w:r w:rsidR="000A167C">
        <w:rPr>
          <w:rFonts w:ascii="Times New Roman" w:hAnsi="Times New Roman"/>
          <w:bCs/>
          <w:szCs w:val="22"/>
          <w:lang w:eastAsia="sk-SK"/>
        </w:rPr>
        <w:t xml:space="preserve"> sumu 32 799 tis. eur </w:t>
      </w:r>
      <w:r w:rsidR="00424394" w:rsidRPr="00C66720">
        <w:rPr>
          <w:rFonts w:ascii="Times New Roman" w:hAnsi="Times New Roman"/>
          <w:bCs/>
          <w:szCs w:val="22"/>
          <w:lang w:eastAsia="sk-SK"/>
        </w:rPr>
        <w:t>Samotné Ministerstvo obrany SR vykazuje hodnotu zásob materiálu v sume 749 055 tis. eur, ktor</w:t>
      </w:r>
      <w:r w:rsidR="009377CB">
        <w:rPr>
          <w:rFonts w:ascii="Times New Roman" w:hAnsi="Times New Roman"/>
          <w:bCs/>
          <w:szCs w:val="22"/>
          <w:lang w:eastAsia="sk-SK"/>
        </w:rPr>
        <w:t>ý</w:t>
      </w:r>
      <w:r w:rsidR="00424394" w:rsidRPr="00C66720">
        <w:rPr>
          <w:rFonts w:ascii="Times New Roman" w:hAnsi="Times New Roman"/>
          <w:bCs/>
          <w:szCs w:val="22"/>
          <w:lang w:eastAsia="sk-SK"/>
        </w:rPr>
        <w:t xml:space="preserve"> slúži na zabezpečenie potrieb bojovej činnosti (napr. munície, výbušniny, riadené strely, výzbroje a výstroje, ostatné techniky a náhradné dielce).</w:t>
      </w:r>
    </w:p>
    <w:p w14:paraId="2E9452A0" w14:textId="56E3AE40" w:rsidR="00855BA2" w:rsidRPr="00C66720" w:rsidRDefault="00FE2E75" w:rsidP="008D1CF5">
      <w:pPr>
        <w:spacing w:before="120" w:after="120" w:line="240" w:lineRule="auto"/>
        <w:jc w:val="both"/>
        <w:rPr>
          <w:rFonts w:ascii="Times New Roman" w:hAnsi="Times New Roman"/>
          <w:bCs/>
          <w:szCs w:val="22"/>
          <w:lang w:eastAsia="sk-SK"/>
        </w:rPr>
      </w:pPr>
      <w:r w:rsidRPr="00C66720">
        <w:rPr>
          <w:rFonts w:ascii="Times New Roman" w:hAnsi="Times New Roman"/>
          <w:bCs/>
          <w:szCs w:val="22"/>
          <w:lang w:eastAsia="sk-SK"/>
        </w:rPr>
        <w:t xml:space="preserve">Kapitola Ministerstva zdravotníctva SR vykazuje druhý najväčší objem materiálu v sume </w:t>
      </w:r>
      <w:r w:rsidR="00F27CEA" w:rsidRPr="00C66720">
        <w:rPr>
          <w:rFonts w:ascii="Times New Roman" w:hAnsi="Times New Roman"/>
          <w:bCs/>
          <w:szCs w:val="22"/>
          <w:lang w:eastAsia="sk-SK"/>
        </w:rPr>
        <w:br/>
      </w:r>
      <w:r w:rsidR="00D37756" w:rsidRPr="00C66720">
        <w:rPr>
          <w:rFonts w:ascii="Times New Roman" w:hAnsi="Times New Roman"/>
          <w:bCs/>
          <w:szCs w:val="22"/>
          <w:lang w:eastAsia="sk-SK"/>
        </w:rPr>
        <w:t>233 177</w:t>
      </w:r>
      <w:r w:rsidRPr="00C66720">
        <w:rPr>
          <w:rFonts w:ascii="Times New Roman" w:hAnsi="Times New Roman"/>
          <w:bCs/>
          <w:szCs w:val="22"/>
          <w:lang w:eastAsia="sk-SK"/>
        </w:rPr>
        <w:t xml:space="preserve"> tis. eur, kt</w:t>
      </w:r>
      <w:r w:rsidR="00D37756" w:rsidRPr="00C66720">
        <w:rPr>
          <w:rFonts w:ascii="Times New Roman" w:hAnsi="Times New Roman"/>
          <w:bCs/>
          <w:szCs w:val="22"/>
          <w:lang w:eastAsia="sk-SK"/>
        </w:rPr>
        <w:t>orý bol v porovnaní s rokom 2021</w:t>
      </w:r>
      <w:r w:rsidRPr="00C66720">
        <w:rPr>
          <w:rFonts w:ascii="Times New Roman" w:hAnsi="Times New Roman"/>
          <w:bCs/>
          <w:szCs w:val="22"/>
          <w:lang w:eastAsia="sk-SK"/>
        </w:rPr>
        <w:t xml:space="preserve"> vyšší až o</w:t>
      </w:r>
      <w:r w:rsidR="00D37756" w:rsidRPr="00C66720">
        <w:rPr>
          <w:rFonts w:ascii="Times New Roman" w:hAnsi="Times New Roman"/>
          <w:bCs/>
          <w:szCs w:val="22"/>
          <w:lang w:eastAsia="sk-SK"/>
        </w:rPr>
        <w:t> 123 302</w:t>
      </w:r>
      <w:r w:rsidRPr="00C66720">
        <w:rPr>
          <w:rFonts w:ascii="Times New Roman" w:hAnsi="Times New Roman"/>
          <w:bCs/>
          <w:szCs w:val="22"/>
          <w:lang w:eastAsia="sk-SK"/>
        </w:rPr>
        <w:t xml:space="preserve"> tis. eur</w:t>
      </w:r>
      <w:r w:rsidR="00217160" w:rsidRPr="00C66720">
        <w:rPr>
          <w:rFonts w:ascii="Times New Roman" w:hAnsi="Times New Roman"/>
          <w:bCs/>
          <w:szCs w:val="22"/>
          <w:lang w:eastAsia="sk-SK"/>
        </w:rPr>
        <w:t xml:space="preserve"> (v prípade samotného Ministerstva zdravotníctva o 112 804 tis. eur)</w:t>
      </w:r>
      <w:r w:rsidRPr="00C66720">
        <w:rPr>
          <w:rFonts w:ascii="Times New Roman" w:hAnsi="Times New Roman"/>
          <w:bCs/>
          <w:szCs w:val="22"/>
          <w:lang w:eastAsia="sk-SK"/>
        </w:rPr>
        <w:t>. Ide napr. o</w:t>
      </w:r>
      <w:r w:rsidR="00F65C9F" w:rsidRPr="00C66720">
        <w:rPr>
          <w:rFonts w:ascii="Times New Roman" w:hAnsi="Times New Roman"/>
          <w:bCs/>
          <w:szCs w:val="22"/>
          <w:lang w:eastAsia="sk-SK"/>
        </w:rPr>
        <w:t> obstarané lieky</w:t>
      </w:r>
      <w:r w:rsidR="00877FE9" w:rsidRPr="00C66720">
        <w:rPr>
          <w:rFonts w:ascii="Times New Roman" w:hAnsi="Times New Roman"/>
          <w:bCs/>
          <w:szCs w:val="22"/>
          <w:lang w:eastAsia="sk-SK"/>
        </w:rPr>
        <w:t>,</w:t>
      </w:r>
      <w:r w:rsidR="00F65C9F" w:rsidRPr="00C66720">
        <w:rPr>
          <w:rFonts w:ascii="Times New Roman" w:hAnsi="Times New Roman"/>
          <w:bCs/>
          <w:szCs w:val="22"/>
          <w:lang w:eastAsia="sk-SK"/>
        </w:rPr>
        <w:t> vakcíny</w:t>
      </w:r>
      <w:r w:rsidR="00877FE9" w:rsidRPr="00C66720">
        <w:rPr>
          <w:rFonts w:ascii="Times New Roman" w:hAnsi="Times New Roman"/>
          <w:bCs/>
          <w:szCs w:val="22"/>
          <w:lang w:eastAsia="sk-SK"/>
        </w:rPr>
        <w:t xml:space="preserve"> a testy</w:t>
      </w:r>
      <w:r w:rsidR="00F65C9F" w:rsidRPr="00C66720">
        <w:rPr>
          <w:rFonts w:ascii="Times New Roman" w:hAnsi="Times New Roman"/>
          <w:bCs/>
          <w:szCs w:val="22"/>
          <w:lang w:eastAsia="sk-SK"/>
        </w:rPr>
        <w:t xml:space="preserve"> voči </w:t>
      </w:r>
      <w:r w:rsidR="00F27CEA" w:rsidRPr="00C66720">
        <w:rPr>
          <w:rFonts w:ascii="Times New Roman" w:hAnsi="Times New Roman"/>
          <w:bCs/>
          <w:szCs w:val="22"/>
          <w:lang w:eastAsia="sk-SK"/>
        </w:rPr>
        <w:br/>
      </w:r>
      <w:r w:rsidR="00F65C9F" w:rsidRPr="00C66720">
        <w:rPr>
          <w:rFonts w:ascii="Times New Roman" w:hAnsi="Times New Roman"/>
          <w:bCs/>
          <w:szCs w:val="22"/>
          <w:lang w:eastAsia="sk-SK"/>
        </w:rPr>
        <w:t>COVID-19</w:t>
      </w:r>
      <w:r w:rsidR="00877FE9" w:rsidRPr="00C66720">
        <w:rPr>
          <w:rFonts w:ascii="Times New Roman" w:hAnsi="Times New Roman"/>
          <w:bCs/>
          <w:szCs w:val="22"/>
          <w:lang w:eastAsia="sk-SK"/>
        </w:rPr>
        <w:t>, dezinfekčný a odberový materiál</w:t>
      </w:r>
      <w:r w:rsidR="00F65C9F" w:rsidRPr="00C66720">
        <w:rPr>
          <w:rFonts w:ascii="Times New Roman" w:hAnsi="Times New Roman"/>
          <w:bCs/>
          <w:szCs w:val="22"/>
          <w:lang w:eastAsia="sk-SK"/>
        </w:rPr>
        <w:t xml:space="preserve"> v správe Ministerstva zdravotníctva SR, univerzitných a fakultných nemocníc, Úradu a regionálny</w:t>
      </w:r>
      <w:r w:rsidR="00F27CEA" w:rsidRPr="00C66720">
        <w:rPr>
          <w:rFonts w:ascii="Times New Roman" w:hAnsi="Times New Roman"/>
          <w:bCs/>
          <w:szCs w:val="22"/>
          <w:lang w:eastAsia="sk-SK"/>
        </w:rPr>
        <w:t>ch</w:t>
      </w:r>
      <w:r w:rsidR="00F65C9F" w:rsidRPr="00C66720">
        <w:rPr>
          <w:rFonts w:ascii="Times New Roman" w:hAnsi="Times New Roman"/>
          <w:bCs/>
          <w:szCs w:val="22"/>
          <w:lang w:eastAsia="sk-SK"/>
        </w:rPr>
        <w:t xml:space="preserve"> úradov verejného zdravotníctva.</w:t>
      </w:r>
      <w:r w:rsidR="009948E6" w:rsidRPr="00C66720">
        <w:rPr>
          <w:rFonts w:ascii="Times New Roman" w:hAnsi="Times New Roman"/>
          <w:bCs/>
          <w:szCs w:val="22"/>
          <w:lang w:eastAsia="sk-SK"/>
        </w:rPr>
        <w:t xml:space="preserve"> </w:t>
      </w:r>
      <w:r w:rsidR="00C66B31" w:rsidRPr="00C66720">
        <w:rPr>
          <w:rFonts w:ascii="Times New Roman" w:hAnsi="Times New Roman"/>
          <w:bCs/>
          <w:szCs w:val="22"/>
          <w:lang w:eastAsia="sk-SK"/>
        </w:rPr>
        <w:t>Z dôvodu mimoriadnej pandemickej situácie súvisiacej so šírením nebezpečnej nákazlivej ľudskej choroby COVID-19 došlo k zvýšenému nákupu liekov, ochranných pracovných prostriedkov, dezinfek</w:t>
      </w:r>
      <w:r w:rsidR="008254F3" w:rsidRPr="00C66720">
        <w:rPr>
          <w:rFonts w:ascii="Times New Roman" w:hAnsi="Times New Roman"/>
          <w:bCs/>
          <w:szCs w:val="22"/>
          <w:lang w:eastAsia="sk-SK"/>
        </w:rPr>
        <w:t>čných a čistiacich prostriedkov a očkovacích látok.</w:t>
      </w:r>
    </w:p>
    <w:p w14:paraId="59486917" w14:textId="2F0E324F" w:rsidR="006C6F06" w:rsidRPr="00C66720" w:rsidRDefault="006C6F06" w:rsidP="008D1CF5">
      <w:pPr>
        <w:spacing w:before="120" w:after="120" w:line="240" w:lineRule="auto"/>
        <w:jc w:val="both"/>
        <w:rPr>
          <w:rFonts w:ascii="Times New Roman" w:hAnsi="Times New Roman"/>
          <w:bCs/>
          <w:szCs w:val="22"/>
          <w:lang w:eastAsia="sk-SK"/>
        </w:rPr>
      </w:pPr>
      <w:r w:rsidRPr="00C66720">
        <w:rPr>
          <w:rFonts w:ascii="Times New Roman" w:hAnsi="Times New Roman"/>
          <w:bCs/>
          <w:szCs w:val="22"/>
          <w:lang w:eastAsia="sk-SK"/>
        </w:rPr>
        <w:t xml:space="preserve">Kapitola Ministerstva vnútra SR vykazuje tretí najväčší objem materiálu v sume </w:t>
      </w:r>
      <w:r w:rsidR="00ED3738" w:rsidRPr="00C66720">
        <w:rPr>
          <w:rFonts w:ascii="Times New Roman" w:hAnsi="Times New Roman"/>
          <w:bCs/>
          <w:szCs w:val="22"/>
          <w:lang w:eastAsia="sk-SK"/>
        </w:rPr>
        <w:t>114 487</w:t>
      </w:r>
      <w:r w:rsidRPr="00C66720">
        <w:rPr>
          <w:rFonts w:ascii="Times New Roman" w:hAnsi="Times New Roman"/>
          <w:bCs/>
          <w:szCs w:val="22"/>
          <w:lang w:eastAsia="sk-SK"/>
        </w:rPr>
        <w:t xml:space="preserve"> tis. eur. Ide napr. o interiérové vybavenie, stavebno-inštalačný materiál, výzbroj a muníciu,</w:t>
      </w:r>
      <w:r w:rsidR="00F13082" w:rsidRPr="00C66720">
        <w:rPr>
          <w:rFonts w:ascii="Times New Roman" w:hAnsi="Times New Roman"/>
          <w:bCs/>
          <w:szCs w:val="22"/>
          <w:lang w:eastAsia="sk-SK"/>
        </w:rPr>
        <w:t xml:space="preserve"> výstrojný materiál,</w:t>
      </w:r>
      <w:r w:rsidRPr="00C66720">
        <w:rPr>
          <w:rFonts w:ascii="Times New Roman" w:hAnsi="Times New Roman"/>
          <w:bCs/>
          <w:szCs w:val="22"/>
          <w:lang w:eastAsia="sk-SK"/>
        </w:rPr>
        <w:t xml:space="preserve"> kancelárske potreby a kancelársku techniku, výpočtovú, telekomunikačnú, zdravotnícku a veterinárnu techniku</w:t>
      </w:r>
      <w:r w:rsidR="00F13082" w:rsidRPr="00C66720">
        <w:rPr>
          <w:rFonts w:ascii="Times New Roman" w:hAnsi="Times New Roman"/>
          <w:bCs/>
          <w:szCs w:val="22"/>
          <w:lang w:eastAsia="sk-SK"/>
        </w:rPr>
        <w:t xml:space="preserve"> a materiál civilnej ochrany, kde bol zaznamenaný aj najvýznamnejší medziročný nárast</w:t>
      </w:r>
      <w:r w:rsidRPr="00C66720">
        <w:rPr>
          <w:rFonts w:ascii="Times New Roman" w:hAnsi="Times New Roman"/>
          <w:bCs/>
          <w:szCs w:val="22"/>
          <w:lang w:eastAsia="sk-SK"/>
        </w:rPr>
        <w:t>.</w:t>
      </w:r>
    </w:p>
    <w:p w14:paraId="3389AA5B" w14:textId="37E39288" w:rsidR="00C22039" w:rsidRPr="00C66720" w:rsidRDefault="00C22039" w:rsidP="00245A75">
      <w:pPr>
        <w:pStyle w:val="Pismenka"/>
        <w:numPr>
          <w:ilvl w:val="0"/>
          <w:numId w:val="44"/>
        </w:numPr>
        <w:spacing w:before="240" w:after="120"/>
        <w:ind w:left="284" w:hanging="284"/>
        <w:rPr>
          <w:i/>
          <w:szCs w:val="22"/>
          <w:u w:val="single"/>
        </w:rPr>
      </w:pPr>
      <w:bookmarkStart w:id="18" w:name="_Ref86091709"/>
      <w:r w:rsidRPr="00C66720">
        <w:rPr>
          <w:i/>
          <w:sz w:val="22"/>
          <w:szCs w:val="22"/>
          <w:u w:val="single"/>
        </w:rPr>
        <w:t>Tovar</w:t>
      </w:r>
      <w:bookmarkEnd w:id="18"/>
    </w:p>
    <w:p w14:paraId="1D3BBC87" w14:textId="428C625E" w:rsidR="0046606A" w:rsidRPr="00C66720" w:rsidRDefault="0046606A" w:rsidP="00C65B1D">
      <w:pPr>
        <w:pStyle w:val="Pismenka"/>
        <w:tabs>
          <w:tab w:val="clear" w:pos="426"/>
        </w:tabs>
        <w:spacing w:after="120"/>
        <w:ind w:left="0" w:firstLine="0"/>
        <w:rPr>
          <w:b w:val="0"/>
          <w:szCs w:val="22"/>
        </w:rPr>
      </w:pPr>
      <w:r w:rsidRPr="00C66720">
        <w:rPr>
          <w:b w:val="0"/>
          <w:sz w:val="22"/>
          <w:szCs w:val="22"/>
        </w:rPr>
        <w:t xml:space="preserve">Zásoby tovaru dosiali </w:t>
      </w:r>
      <w:r w:rsidR="00FF6BEA" w:rsidRPr="00C66720">
        <w:rPr>
          <w:b w:val="0"/>
          <w:sz w:val="22"/>
          <w:szCs w:val="22"/>
        </w:rPr>
        <w:t xml:space="preserve">hodnotu </w:t>
      </w:r>
      <w:r w:rsidR="00F54DD6" w:rsidRPr="00C66720">
        <w:rPr>
          <w:b w:val="0"/>
          <w:sz w:val="22"/>
          <w:szCs w:val="22"/>
        </w:rPr>
        <w:t>147 2</w:t>
      </w:r>
      <w:r w:rsidR="00095DB8" w:rsidRPr="00C66720">
        <w:rPr>
          <w:b w:val="0"/>
          <w:sz w:val="22"/>
          <w:szCs w:val="22"/>
        </w:rPr>
        <w:t>44</w:t>
      </w:r>
      <w:r w:rsidR="00F54DD6" w:rsidRPr="00C66720">
        <w:rPr>
          <w:b w:val="0"/>
          <w:sz w:val="22"/>
          <w:szCs w:val="22"/>
        </w:rPr>
        <w:t xml:space="preserve"> tis. eur (2021</w:t>
      </w:r>
      <w:r w:rsidRPr="00C66720">
        <w:rPr>
          <w:b w:val="0"/>
          <w:sz w:val="22"/>
          <w:szCs w:val="22"/>
        </w:rPr>
        <w:t xml:space="preserve">: </w:t>
      </w:r>
      <w:r w:rsidR="00F54DD6" w:rsidRPr="00C66720">
        <w:rPr>
          <w:b w:val="0"/>
          <w:sz w:val="22"/>
          <w:szCs w:val="22"/>
        </w:rPr>
        <w:t xml:space="preserve">160 767 </w:t>
      </w:r>
      <w:r w:rsidRPr="00C66720">
        <w:rPr>
          <w:b w:val="0"/>
          <w:sz w:val="22"/>
          <w:szCs w:val="22"/>
        </w:rPr>
        <w:t>tis. eur)</w:t>
      </w:r>
      <w:r w:rsidR="00FF6BEA" w:rsidRPr="00C66720">
        <w:rPr>
          <w:b w:val="0"/>
          <w:sz w:val="22"/>
          <w:szCs w:val="22"/>
        </w:rPr>
        <w:t xml:space="preserve"> a </w:t>
      </w:r>
      <w:r w:rsidR="00F54DD6" w:rsidRPr="00C66720">
        <w:rPr>
          <w:b w:val="0"/>
          <w:sz w:val="22"/>
          <w:szCs w:val="22"/>
        </w:rPr>
        <w:t>takmer</w:t>
      </w:r>
      <w:r w:rsidR="00FF6BEA" w:rsidRPr="00C66720">
        <w:rPr>
          <w:b w:val="0"/>
          <w:sz w:val="22"/>
          <w:szCs w:val="22"/>
        </w:rPr>
        <w:t xml:space="preserve"> </w:t>
      </w:r>
      <w:r w:rsidR="00C45A8E">
        <w:rPr>
          <w:b w:val="0"/>
          <w:sz w:val="22"/>
          <w:szCs w:val="22"/>
        </w:rPr>
        <w:t>na</w:t>
      </w:r>
      <w:r w:rsidR="00B14CBB" w:rsidRPr="00C66720">
        <w:rPr>
          <w:b w:val="0"/>
          <w:sz w:val="22"/>
          <w:szCs w:val="22"/>
        </w:rPr>
        <w:t> </w:t>
      </w:r>
      <w:r w:rsidR="00FF6BEA" w:rsidRPr="00C66720">
        <w:rPr>
          <w:b w:val="0"/>
          <w:sz w:val="22"/>
          <w:szCs w:val="22"/>
        </w:rPr>
        <w:t>9</w:t>
      </w:r>
      <w:r w:rsidR="004B5389" w:rsidRPr="00C66720">
        <w:rPr>
          <w:b w:val="0"/>
          <w:sz w:val="22"/>
          <w:szCs w:val="22"/>
        </w:rPr>
        <w:t>6</w:t>
      </w:r>
      <w:r w:rsidR="00B14CBB" w:rsidRPr="00C66720">
        <w:rPr>
          <w:b w:val="0"/>
          <w:sz w:val="22"/>
          <w:szCs w:val="22"/>
        </w:rPr>
        <w:t xml:space="preserve"> </w:t>
      </w:r>
      <w:r w:rsidR="00FF6BEA" w:rsidRPr="00C66720">
        <w:rPr>
          <w:b w:val="0"/>
          <w:sz w:val="22"/>
          <w:szCs w:val="22"/>
        </w:rPr>
        <w:t>% sú vykazované subj</w:t>
      </w:r>
      <w:r w:rsidR="004B5389" w:rsidRPr="00C66720">
        <w:rPr>
          <w:b w:val="0"/>
          <w:sz w:val="22"/>
          <w:szCs w:val="22"/>
        </w:rPr>
        <w:t>ektami ústrednej správy (1</w:t>
      </w:r>
      <w:r w:rsidR="00F54DD6" w:rsidRPr="00C66720">
        <w:rPr>
          <w:b w:val="0"/>
          <w:sz w:val="22"/>
          <w:szCs w:val="22"/>
        </w:rPr>
        <w:t>40 375</w:t>
      </w:r>
      <w:r w:rsidR="00FF6BEA" w:rsidRPr="00C66720">
        <w:rPr>
          <w:b w:val="0"/>
          <w:sz w:val="22"/>
          <w:szCs w:val="22"/>
        </w:rPr>
        <w:t xml:space="preserve"> tis. eur)</w:t>
      </w:r>
      <w:r w:rsidRPr="00C66720">
        <w:rPr>
          <w:b w:val="0"/>
          <w:sz w:val="22"/>
          <w:szCs w:val="22"/>
        </w:rPr>
        <w:t xml:space="preserve">. </w:t>
      </w:r>
    </w:p>
    <w:p w14:paraId="0C8BF77F" w14:textId="5BEEF0E4" w:rsidR="004B5389" w:rsidRPr="00C66720" w:rsidRDefault="00447A55" w:rsidP="00245A75">
      <w:pPr>
        <w:spacing w:before="120" w:after="240" w:line="240" w:lineRule="auto"/>
        <w:jc w:val="both"/>
        <w:rPr>
          <w:rFonts w:ascii="Times New Roman" w:hAnsi="Times New Roman"/>
          <w:bCs/>
          <w:szCs w:val="22"/>
          <w:lang w:eastAsia="sk-SK"/>
        </w:rPr>
      </w:pPr>
      <w:r w:rsidRPr="00C66720">
        <w:rPr>
          <w:rFonts w:ascii="Times New Roman" w:hAnsi="Times New Roman"/>
          <w:bCs/>
          <w:szCs w:val="22"/>
          <w:lang w:eastAsia="sk-SK"/>
        </w:rPr>
        <w:lastRenderedPageBreak/>
        <w:t xml:space="preserve">V rámci ústrednej správy </w:t>
      </w:r>
      <w:r w:rsidR="007A234F" w:rsidRPr="00C66720">
        <w:rPr>
          <w:rFonts w:ascii="Times New Roman" w:hAnsi="Times New Roman"/>
          <w:bCs/>
          <w:szCs w:val="22"/>
          <w:lang w:eastAsia="sk-SK"/>
        </w:rPr>
        <w:t xml:space="preserve">bol dosiahnutý medziročný pokles zásob tovaru o 14 034 tis. eur. </w:t>
      </w:r>
      <w:r w:rsidR="00733358" w:rsidRPr="00C66720">
        <w:rPr>
          <w:rFonts w:ascii="Times New Roman" w:hAnsi="Times New Roman"/>
          <w:bCs/>
          <w:szCs w:val="22"/>
          <w:lang w:eastAsia="sk-SK"/>
        </w:rPr>
        <w:t>Spôsobený bol predovšetkým poklesom zásob tovaru u Správy štátnych hmotných rezerv (o 19 030 tis. eur) a prírastkom u DMD EXPO, s.r.o. (o 2 518 tis. eur).</w:t>
      </w:r>
      <w:r w:rsidR="004E1A3C" w:rsidRPr="00C66720">
        <w:rPr>
          <w:rFonts w:ascii="Times New Roman" w:hAnsi="Times New Roman"/>
          <w:bCs/>
          <w:szCs w:val="22"/>
          <w:lang w:eastAsia="sk-SK"/>
        </w:rPr>
        <w:t xml:space="preserve"> Pokles zásob tovaru v prípade Správy štátnych hmotných rezerv nastal v dôsledku bezodplatného prevodu majetku štátu (pohotovostných zásob vrátane</w:t>
      </w:r>
      <w:r w:rsidR="00904B68" w:rsidRPr="00C66720">
        <w:rPr>
          <w:rFonts w:ascii="Times New Roman" w:hAnsi="Times New Roman"/>
          <w:bCs/>
          <w:szCs w:val="22"/>
          <w:lang w:eastAsia="sk-SK"/>
        </w:rPr>
        <w:t xml:space="preserve"> zdravotníckeho materiálu</w:t>
      </w:r>
      <w:r w:rsidR="001A14A6" w:rsidRPr="00C66720">
        <w:rPr>
          <w:rFonts w:ascii="Times New Roman" w:hAnsi="Times New Roman"/>
          <w:bCs/>
          <w:szCs w:val="22"/>
          <w:lang w:eastAsia="sk-SK"/>
        </w:rPr>
        <w:t xml:space="preserve"> o 18 991 tis. eur) </w:t>
      </w:r>
      <w:r w:rsidR="004E1A3C" w:rsidRPr="00C66720">
        <w:rPr>
          <w:rFonts w:ascii="Times New Roman" w:hAnsi="Times New Roman"/>
          <w:bCs/>
          <w:szCs w:val="22"/>
          <w:lang w:eastAsia="sk-SK"/>
        </w:rPr>
        <w:t>a tvorby opravných položiek k prebytočným a neupotrebiteľným zásobám v hodnote 5 607 tis. eur.</w:t>
      </w:r>
      <w:r w:rsidR="00904B68" w:rsidRPr="00C66720">
        <w:rPr>
          <w:rFonts w:ascii="Times New Roman" w:hAnsi="Times New Roman"/>
          <w:bCs/>
          <w:szCs w:val="22"/>
          <w:lang w:eastAsia="sk-SK"/>
        </w:rPr>
        <w:t xml:space="preserve"> </w:t>
      </w:r>
      <w:r w:rsidR="004B5389" w:rsidRPr="00C66720">
        <w:rPr>
          <w:rFonts w:ascii="Times New Roman" w:hAnsi="Times New Roman"/>
          <w:bCs/>
          <w:szCs w:val="22"/>
          <w:lang w:eastAsia="sk-SK"/>
        </w:rPr>
        <w:t>Správa štátnych hmotných rezerv zároveň vykazuje najväčší (</w:t>
      </w:r>
      <w:r w:rsidR="00904B68" w:rsidRPr="00C66720">
        <w:rPr>
          <w:rFonts w:ascii="Times New Roman" w:hAnsi="Times New Roman"/>
          <w:bCs/>
          <w:szCs w:val="22"/>
          <w:lang w:eastAsia="sk-SK"/>
        </w:rPr>
        <w:t>81,6</w:t>
      </w:r>
      <w:r w:rsidR="004B5389" w:rsidRPr="00C66720">
        <w:rPr>
          <w:rFonts w:ascii="Times New Roman" w:hAnsi="Times New Roman"/>
          <w:bCs/>
          <w:szCs w:val="22"/>
          <w:lang w:eastAsia="sk-SK"/>
        </w:rPr>
        <w:t xml:space="preserve">%-ný) podiel na celkovej hodnote tovaru v rámci </w:t>
      </w:r>
      <w:r w:rsidR="002E38FB" w:rsidRPr="00C66720">
        <w:rPr>
          <w:rFonts w:ascii="Times New Roman" w:hAnsi="Times New Roman"/>
          <w:bCs/>
          <w:szCs w:val="22"/>
          <w:lang w:eastAsia="sk-SK"/>
        </w:rPr>
        <w:t xml:space="preserve">ústrednej správy z dôvodu tvorby, zabezpečenia, doplnenia a správy štátnych hmotných </w:t>
      </w:r>
      <w:r w:rsidR="001931B0" w:rsidRPr="00C66720">
        <w:rPr>
          <w:rFonts w:ascii="Times New Roman" w:hAnsi="Times New Roman"/>
          <w:bCs/>
          <w:szCs w:val="22"/>
          <w:lang w:eastAsia="sk-SK"/>
        </w:rPr>
        <w:t xml:space="preserve">a mobilizačných </w:t>
      </w:r>
      <w:r w:rsidR="002E38FB" w:rsidRPr="00C66720">
        <w:rPr>
          <w:rFonts w:ascii="Times New Roman" w:hAnsi="Times New Roman"/>
          <w:bCs/>
          <w:szCs w:val="22"/>
          <w:lang w:eastAsia="sk-SK"/>
        </w:rPr>
        <w:t>rezerv pre riešenie krízovej situácie, v rámci opatrení hospodárskej mobilizácie a v súlade s úlohami určenými jednotlivými ministerstvami a inými ústrednými orgánmi štátnej správy.</w:t>
      </w:r>
      <w:r w:rsidR="00904B68" w:rsidRPr="00C66720">
        <w:rPr>
          <w:rFonts w:ascii="Times New Roman" w:hAnsi="Times New Roman"/>
          <w:bCs/>
          <w:szCs w:val="22"/>
          <w:lang w:eastAsia="sk-SK"/>
        </w:rPr>
        <w:t xml:space="preserve"> Najväčší objem týchto zásob predstavujú mobilizačné rezervy (tovary rôzneho charakteru potrebné v prípade mobilizácie v celkovej brutto hodnote 61 107 tis. eur), pohotovostné zásoby (predovšetkým zdravotnícky materiál v brutto hodnote 32 942 tis. eur) a ostatné hmotné rezervy (napr. pšenica, mäso, jadrové palivo v brutto hodnote 26 657 tis. eur).</w:t>
      </w:r>
    </w:p>
    <w:p w14:paraId="39B8E3E6" w14:textId="6070AAAA" w:rsidR="0061126D" w:rsidRPr="00C66720" w:rsidRDefault="0061126D" w:rsidP="008F097E">
      <w:pPr>
        <w:pStyle w:val="Pismenka"/>
        <w:numPr>
          <w:ilvl w:val="0"/>
          <w:numId w:val="44"/>
        </w:numPr>
        <w:spacing w:after="120"/>
        <w:ind w:left="284" w:hanging="284"/>
        <w:rPr>
          <w:i/>
          <w:szCs w:val="22"/>
          <w:u w:val="single"/>
        </w:rPr>
      </w:pPr>
      <w:bookmarkStart w:id="19" w:name="_Ref86091811"/>
      <w:r w:rsidRPr="00C66720">
        <w:rPr>
          <w:i/>
          <w:sz w:val="22"/>
          <w:szCs w:val="22"/>
          <w:u w:val="single"/>
        </w:rPr>
        <w:t>Výrobky</w:t>
      </w:r>
      <w:bookmarkEnd w:id="19"/>
    </w:p>
    <w:p w14:paraId="3801DA1D" w14:textId="450E4492" w:rsidR="00FF6BEA" w:rsidRPr="00C66720" w:rsidRDefault="00B14CBB" w:rsidP="00245A75">
      <w:pPr>
        <w:spacing w:before="120" w:after="240" w:line="240" w:lineRule="auto"/>
        <w:jc w:val="both"/>
        <w:rPr>
          <w:rFonts w:ascii="Times New Roman" w:hAnsi="Times New Roman"/>
          <w:bCs/>
          <w:szCs w:val="22"/>
          <w:highlight w:val="yellow"/>
          <w:lang w:eastAsia="sk-SK"/>
        </w:rPr>
      </w:pPr>
      <w:r w:rsidRPr="00C66720">
        <w:rPr>
          <w:rFonts w:ascii="Times New Roman" w:hAnsi="Times New Roman"/>
          <w:bCs/>
          <w:szCs w:val="22"/>
          <w:lang w:eastAsia="sk-SK"/>
        </w:rPr>
        <w:t>Hodnota výrobkov za rok 202</w:t>
      </w:r>
      <w:r w:rsidR="00A41AEB" w:rsidRPr="00C66720">
        <w:rPr>
          <w:rFonts w:ascii="Times New Roman" w:hAnsi="Times New Roman"/>
          <w:bCs/>
          <w:szCs w:val="22"/>
          <w:lang w:eastAsia="sk-SK"/>
        </w:rPr>
        <w:t>2</w:t>
      </w:r>
      <w:r w:rsidR="00AA5D5C" w:rsidRPr="00C66720">
        <w:rPr>
          <w:rFonts w:ascii="Times New Roman" w:hAnsi="Times New Roman"/>
          <w:bCs/>
          <w:szCs w:val="22"/>
          <w:lang w:eastAsia="sk-SK"/>
        </w:rPr>
        <w:t xml:space="preserve"> dosiahla </w:t>
      </w:r>
      <w:r w:rsidR="00A41AEB" w:rsidRPr="00C66720">
        <w:rPr>
          <w:rFonts w:ascii="Times New Roman" w:hAnsi="Times New Roman"/>
          <w:bCs/>
          <w:szCs w:val="22"/>
          <w:lang w:eastAsia="sk-SK"/>
        </w:rPr>
        <w:t>1 482 191</w:t>
      </w:r>
      <w:r w:rsidRPr="00C66720">
        <w:rPr>
          <w:rFonts w:ascii="Times New Roman" w:hAnsi="Times New Roman"/>
          <w:bCs/>
          <w:szCs w:val="22"/>
          <w:lang w:eastAsia="sk-SK"/>
        </w:rPr>
        <w:t xml:space="preserve"> tis. eu</w:t>
      </w:r>
      <w:r w:rsidR="00AA5D5C" w:rsidRPr="00C66720">
        <w:rPr>
          <w:rFonts w:ascii="Times New Roman" w:hAnsi="Times New Roman"/>
          <w:bCs/>
          <w:szCs w:val="22"/>
          <w:lang w:eastAsia="sk-SK"/>
        </w:rPr>
        <w:t xml:space="preserve">r, čo predstavuje </w:t>
      </w:r>
      <w:r w:rsidR="00F318CB" w:rsidRPr="00C66720">
        <w:rPr>
          <w:rFonts w:ascii="Times New Roman" w:hAnsi="Times New Roman"/>
          <w:bCs/>
          <w:szCs w:val="22"/>
          <w:lang w:eastAsia="sk-SK"/>
        </w:rPr>
        <w:t>najvýznamnejší</w:t>
      </w:r>
      <w:r w:rsidR="00A41AEB" w:rsidRPr="00C66720">
        <w:rPr>
          <w:rFonts w:ascii="Times New Roman" w:hAnsi="Times New Roman"/>
          <w:bCs/>
          <w:szCs w:val="22"/>
          <w:lang w:eastAsia="sk-SK"/>
        </w:rPr>
        <w:t xml:space="preserve"> nárast </w:t>
      </w:r>
      <w:r w:rsidR="0005029D">
        <w:rPr>
          <w:rFonts w:ascii="Times New Roman" w:hAnsi="Times New Roman"/>
          <w:bCs/>
          <w:szCs w:val="22"/>
          <w:lang w:eastAsia="sk-SK"/>
        </w:rPr>
        <w:t xml:space="preserve">v zásobách </w:t>
      </w:r>
      <w:r w:rsidR="00A41AEB" w:rsidRPr="00C66720">
        <w:rPr>
          <w:rFonts w:ascii="Times New Roman" w:hAnsi="Times New Roman"/>
          <w:bCs/>
          <w:szCs w:val="22"/>
          <w:lang w:eastAsia="sk-SK"/>
        </w:rPr>
        <w:t>oproti roku 2021 o</w:t>
      </w:r>
      <w:r w:rsidR="00E06498" w:rsidRPr="00C66720">
        <w:rPr>
          <w:rFonts w:ascii="Times New Roman" w:hAnsi="Times New Roman"/>
          <w:bCs/>
          <w:szCs w:val="22"/>
          <w:lang w:eastAsia="sk-SK"/>
        </w:rPr>
        <w:t> 1 355 161</w:t>
      </w:r>
      <w:r w:rsidRPr="00C66720">
        <w:rPr>
          <w:rFonts w:ascii="Times New Roman" w:hAnsi="Times New Roman"/>
          <w:bCs/>
          <w:szCs w:val="22"/>
          <w:lang w:eastAsia="sk-SK"/>
        </w:rPr>
        <w:t xml:space="preserve"> tis. eur. Podiel spoločnosti Slovenský plynárenský priemysel, a.s. (</w:t>
      </w:r>
      <w:r w:rsidR="00F318CB" w:rsidRPr="00C66720">
        <w:rPr>
          <w:rFonts w:ascii="Times New Roman" w:hAnsi="Times New Roman"/>
          <w:bCs/>
          <w:szCs w:val="22"/>
          <w:lang w:eastAsia="sk-SK"/>
        </w:rPr>
        <w:t>1 455 620</w:t>
      </w:r>
      <w:r w:rsidR="00287694" w:rsidRPr="00C66720">
        <w:rPr>
          <w:rFonts w:ascii="Times New Roman" w:hAnsi="Times New Roman"/>
          <w:bCs/>
          <w:szCs w:val="22"/>
          <w:lang w:eastAsia="sk-SK"/>
        </w:rPr>
        <w:t xml:space="preserve"> tis. eur), predstavuje až </w:t>
      </w:r>
      <w:r w:rsidR="00F318CB" w:rsidRPr="00C66720">
        <w:rPr>
          <w:rFonts w:ascii="Times New Roman" w:hAnsi="Times New Roman"/>
          <w:bCs/>
          <w:szCs w:val="22"/>
          <w:lang w:eastAsia="sk-SK"/>
        </w:rPr>
        <w:t xml:space="preserve">98,2 </w:t>
      </w:r>
      <w:r w:rsidRPr="00C66720">
        <w:rPr>
          <w:rFonts w:ascii="Times New Roman" w:hAnsi="Times New Roman"/>
          <w:bCs/>
          <w:szCs w:val="22"/>
          <w:lang w:eastAsia="sk-SK"/>
        </w:rPr>
        <w:t xml:space="preserve">% na celkovom objeme, a taktiež sa najväčšou mierou podieľa na medziročnom </w:t>
      </w:r>
      <w:r w:rsidR="00287694" w:rsidRPr="00C66720">
        <w:rPr>
          <w:rFonts w:ascii="Times New Roman" w:hAnsi="Times New Roman"/>
          <w:bCs/>
          <w:szCs w:val="22"/>
          <w:lang w:eastAsia="sk-SK"/>
        </w:rPr>
        <w:t>náraste</w:t>
      </w:r>
      <w:r w:rsidRPr="00C66720">
        <w:rPr>
          <w:rFonts w:ascii="Times New Roman" w:hAnsi="Times New Roman"/>
          <w:bCs/>
          <w:szCs w:val="22"/>
          <w:lang w:eastAsia="sk-SK"/>
        </w:rPr>
        <w:t xml:space="preserve"> o</w:t>
      </w:r>
      <w:r w:rsidR="00F318CB" w:rsidRPr="00C66720">
        <w:rPr>
          <w:rFonts w:ascii="Times New Roman" w:hAnsi="Times New Roman"/>
          <w:bCs/>
          <w:szCs w:val="22"/>
          <w:lang w:eastAsia="sk-SK"/>
        </w:rPr>
        <w:t> 1 351 298</w:t>
      </w:r>
      <w:r w:rsidRPr="00C66720">
        <w:rPr>
          <w:rFonts w:ascii="Times New Roman" w:hAnsi="Times New Roman"/>
          <w:bCs/>
          <w:szCs w:val="22"/>
          <w:lang w:eastAsia="sk-SK"/>
        </w:rPr>
        <w:t xml:space="preserve"> tis. eur. Ide o zásoby zemného plynu</w:t>
      </w:r>
      <w:r w:rsidR="006854E3" w:rsidRPr="00C66720">
        <w:rPr>
          <w:rFonts w:ascii="Times New Roman" w:hAnsi="Times New Roman"/>
          <w:bCs/>
          <w:szCs w:val="22"/>
          <w:lang w:eastAsia="sk-SK"/>
        </w:rPr>
        <w:t xml:space="preserve">, ktorého objem sa medziročne </w:t>
      </w:r>
      <w:r w:rsidR="0005029D">
        <w:rPr>
          <w:rFonts w:ascii="Times New Roman" w:hAnsi="Times New Roman"/>
          <w:bCs/>
          <w:szCs w:val="22"/>
          <w:lang w:eastAsia="sk-SK"/>
        </w:rPr>
        <w:t>zvýšil</w:t>
      </w:r>
      <w:r w:rsidR="0005029D" w:rsidRPr="00C66720">
        <w:rPr>
          <w:rFonts w:ascii="Times New Roman" w:hAnsi="Times New Roman"/>
          <w:bCs/>
          <w:szCs w:val="22"/>
          <w:lang w:eastAsia="sk-SK"/>
        </w:rPr>
        <w:t xml:space="preserve"> </w:t>
      </w:r>
      <w:r w:rsidR="006854E3" w:rsidRPr="00C66720">
        <w:rPr>
          <w:rFonts w:ascii="Times New Roman" w:hAnsi="Times New Roman"/>
          <w:bCs/>
          <w:szCs w:val="22"/>
          <w:lang w:eastAsia="sk-SK"/>
        </w:rPr>
        <w:t>z dôvodu zabezpečenia stabilných dodávok tejto komodity pre všetkých odberateľov počas vykurovacej sezóny 2022/2023.</w:t>
      </w:r>
    </w:p>
    <w:p w14:paraId="22ED014B" w14:textId="4E9FBE0A" w:rsidR="00B8343A" w:rsidRPr="00C66720" w:rsidRDefault="004368E2" w:rsidP="008F097E">
      <w:pPr>
        <w:pStyle w:val="Pismenka"/>
        <w:numPr>
          <w:ilvl w:val="0"/>
          <w:numId w:val="44"/>
        </w:numPr>
        <w:spacing w:after="120"/>
        <w:ind w:left="284" w:hanging="284"/>
        <w:rPr>
          <w:i/>
          <w:szCs w:val="22"/>
          <w:u w:val="single"/>
        </w:rPr>
      </w:pPr>
      <w:bookmarkStart w:id="20" w:name="_Ref86091820"/>
      <w:r w:rsidRPr="00C66720">
        <w:rPr>
          <w:i/>
          <w:sz w:val="22"/>
          <w:szCs w:val="22"/>
          <w:u w:val="single"/>
        </w:rPr>
        <w:t>Ostatné zásoby</w:t>
      </w:r>
      <w:bookmarkEnd w:id="20"/>
    </w:p>
    <w:p w14:paraId="6A11B672" w14:textId="40036695" w:rsidR="00742DE7" w:rsidRPr="00C66720" w:rsidRDefault="00E645DA" w:rsidP="0005029D">
      <w:pPr>
        <w:spacing w:before="120" w:after="120" w:line="240" w:lineRule="auto"/>
        <w:jc w:val="both"/>
        <w:rPr>
          <w:rFonts w:ascii="Times New Roman" w:hAnsi="Times New Roman"/>
          <w:bCs/>
          <w:szCs w:val="22"/>
          <w:lang w:eastAsia="sk-SK"/>
        </w:rPr>
      </w:pPr>
      <w:r w:rsidRPr="00C66720">
        <w:rPr>
          <w:rFonts w:ascii="Times New Roman" w:hAnsi="Times New Roman"/>
          <w:bCs/>
          <w:szCs w:val="22"/>
          <w:lang w:eastAsia="sk-SK"/>
        </w:rPr>
        <w:t>V rámci ostatných zásob sa vykazuje nedokončená výroba a polotovary (</w:t>
      </w:r>
      <w:r w:rsidR="000D4D40" w:rsidRPr="00C66720">
        <w:rPr>
          <w:rFonts w:ascii="Times New Roman" w:hAnsi="Times New Roman"/>
          <w:bCs/>
          <w:szCs w:val="22"/>
          <w:lang w:eastAsia="sk-SK"/>
        </w:rPr>
        <w:t>89 511</w:t>
      </w:r>
      <w:r w:rsidRPr="00C66720">
        <w:rPr>
          <w:rFonts w:ascii="Times New Roman" w:hAnsi="Times New Roman"/>
          <w:bCs/>
          <w:szCs w:val="22"/>
          <w:lang w:eastAsia="sk-SK"/>
        </w:rPr>
        <w:t xml:space="preserve"> tis. eur) a zvieratá </w:t>
      </w:r>
      <w:r w:rsidR="007B19F7" w:rsidRPr="00C66720">
        <w:rPr>
          <w:rFonts w:ascii="Times New Roman" w:hAnsi="Times New Roman"/>
          <w:bCs/>
          <w:szCs w:val="22"/>
          <w:lang w:eastAsia="sk-SK"/>
        </w:rPr>
        <w:br/>
      </w:r>
      <w:r w:rsidRPr="00C66720">
        <w:rPr>
          <w:rFonts w:ascii="Times New Roman" w:hAnsi="Times New Roman"/>
          <w:bCs/>
          <w:szCs w:val="22"/>
          <w:lang w:eastAsia="sk-SK"/>
        </w:rPr>
        <w:t>(</w:t>
      </w:r>
      <w:r w:rsidR="000D4D40" w:rsidRPr="00C66720">
        <w:rPr>
          <w:rFonts w:ascii="Times New Roman" w:hAnsi="Times New Roman"/>
          <w:bCs/>
          <w:szCs w:val="22"/>
          <w:lang w:eastAsia="sk-SK"/>
        </w:rPr>
        <w:t>3 074</w:t>
      </w:r>
      <w:r w:rsidRPr="00C66720">
        <w:rPr>
          <w:rFonts w:ascii="Times New Roman" w:hAnsi="Times New Roman"/>
          <w:bCs/>
          <w:szCs w:val="22"/>
          <w:lang w:eastAsia="sk-SK"/>
        </w:rPr>
        <w:t xml:space="preserve"> tis. eur), najmä v ústrednej správe v hodnote </w:t>
      </w:r>
      <w:r w:rsidR="000D4D40" w:rsidRPr="00C66720">
        <w:rPr>
          <w:rFonts w:ascii="Times New Roman" w:hAnsi="Times New Roman"/>
          <w:bCs/>
          <w:szCs w:val="22"/>
          <w:lang w:eastAsia="sk-SK"/>
        </w:rPr>
        <w:t>90 186</w:t>
      </w:r>
      <w:r w:rsidRPr="00C66720">
        <w:rPr>
          <w:rFonts w:ascii="Times New Roman" w:hAnsi="Times New Roman"/>
          <w:bCs/>
          <w:szCs w:val="22"/>
          <w:lang w:eastAsia="sk-SK"/>
        </w:rPr>
        <w:t xml:space="preserve"> tis</w:t>
      </w:r>
      <w:r w:rsidR="00206C97" w:rsidRPr="00C66720">
        <w:rPr>
          <w:rFonts w:ascii="Times New Roman" w:hAnsi="Times New Roman"/>
          <w:bCs/>
          <w:szCs w:val="22"/>
          <w:lang w:eastAsia="sk-SK"/>
        </w:rPr>
        <w:t>.</w:t>
      </w:r>
      <w:r w:rsidRPr="00C66720">
        <w:rPr>
          <w:rFonts w:ascii="Times New Roman" w:hAnsi="Times New Roman"/>
          <w:bCs/>
          <w:szCs w:val="22"/>
          <w:lang w:eastAsia="sk-SK"/>
        </w:rPr>
        <w:t xml:space="preserve"> eur.</w:t>
      </w:r>
      <w:r w:rsidR="00543C1A" w:rsidRPr="00C66720">
        <w:rPr>
          <w:rFonts w:ascii="Times New Roman" w:hAnsi="Times New Roman"/>
          <w:bCs/>
          <w:szCs w:val="22"/>
          <w:lang w:eastAsia="sk-SK"/>
        </w:rPr>
        <w:t xml:space="preserve"> Medziročne sa objem ostatných zásob zvýšil o 49 203 tis. eur z dôvodu prírastku nedokončenej výroby a polotovarov o 48 845 </w:t>
      </w:r>
      <w:r w:rsidR="00762349" w:rsidRPr="00C66720">
        <w:rPr>
          <w:rFonts w:ascii="Times New Roman" w:hAnsi="Times New Roman"/>
          <w:bCs/>
          <w:szCs w:val="22"/>
          <w:lang w:eastAsia="sk-SK"/>
        </w:rPr>
        <w:t xml:space="preserve">tis. eur. Najväčší vplyv na prírastok nedokončenej výroby mala zmena účtovania a vykazovania technicko-hygienickej údržby (ďalej aj ako „THÚ“) u Železničnej spoločnosti Slovensko, a.s. v sume </w:t>
      </w:r>
      <w:r w:rsidR="00156FAB" w:rsidRPr="00C66720">
        <w:rPr>
          <w:rFonts w:ascii="Times New Roman" w:hAnsi="Times New Roman"/>
          <w:bCs/>
          <w:szCs w:val="22"/>
          <w:lang w:eastAsia="sk-SK"/>
        </w:rPr>
        <w:br/>
      </w:r>
      <w:r w:rsidR="00762349" w:rsidRPr="00C66720">
        <w:rPr>
          <w:rFonts w:ascii="Times New Roman" w:hAnsi="Times New Roman"/>
          <w:bCs/>
          <w:szCs w:val="22"/>
          <w:lang w:eastAsia="sk-SK"/>
        </w:rPr>
        <w:t>62 228 tis. eur. Vzhľadom na zmluvné podmienky vychádzajúce zo stupňa realizácie výstavby THÚ sa od 1.1.2022 zmenil spôsob vykazovania a účtovania THÚ, pričom výstavba jednotlivých stredísk THÚ vrátanej projektovej prípravy bola preklasifikovaná z účtov obstarania dlhodobého majetku do zásob, v rámci ktorých sa vykazuje ako nedokončená výroba s cieľom predaja po jeho finalizácii.</w:t>
      </w:r>
    </w:p>
    <w:p w14:paraId="3AF2ADA4" w14:textId="16C0DD48" w:rsidR="002D6290" w:rsidRPr="00C66720" w:rsidRDefault="002D6290" w:rsidP="0079739C">
      <w:pPr>
        <w:spacing w:before="240" w:line="240" w:lineRule="auto"/>
        <w:jc w:val="both"/>
        <w:rPr>
          <w:rFonts w:ascii="Times New Roman" w:hAnsi="Times New Roman"/>
          <w:b/>
          <w:sz w:val="24"/>
          <w:szCs w:val="24"/>
          <w:lang w:eastAsia="sk-SK"/>
        </w:rPr>
      </w:pPr>
      <w:r w:rsidRPr="00C66720">
        <w:rPr>
          <w:rFonts w:ascii="Times New Roman" w:hAnsi="Times New Roman"/>
          <w:b/>
          <w:sz w:val="24"/>
          <w:szCs w:val="24"/>
          <w:lang w:eastAsia="sk-SK"/>
        </w:rPr>
        <w:t xml:space="preserve">B.II. </w:t>
      </w:r>
      <w:r w:rsidR="003B7922" w:rsidRPr="00C66720">
        <w:rPr>
          <w:rFonts w:ascii="Times New Roman" w:hAnsi="Times New Roman"/>
          <w:b/>
          <w:sz w:val="24"/>
          <w:szCs w:val="24"/>
          <w:lang w:eastAsia="sk-SK"/>
        </w:rPr>
        <w:t xml:space="preserve">Krátkodobé </w:t>
      </w:r>
      <w:r w:rsidR="002A3579" w:rsidRPr="00C66720">
        <w:rPr>
          <w:rFonts w:ascii="Times New Roman" w:hAnsi="Times New Roman"/>
          <w:b/>
          <w:sz w:val="24"/>
          <w:szCs w:val="24"/>
          <w:lang w:eastAsia="sk-SK"/>
        </w:rPr>
        <w:t>Pohľadávky</w:t>
      </w:r>
    </w:p>
    <w:p w14:paraId="1D1F75BE" w14:textId="3EB71B47" w:rsidR="00356E72" w:rsidRDefault="00356E72" w:rsidP="001F505D">
      <w:pPr>
        <w:pStyle w:val="Pismenka"/>
        <w:tabs>
          <w:tab w:val="clear" w:pos="426"/>
        </w:tabs>
        <w:spacing w:after="120"/>
        <w:ind w:left="0" w:firstLine="0"/>
        <w:rPr>
          <w:b w:val="0"/>
          <w:bCs w:val="0"/>
          <w:sz w:val="22"/>
          <w:szCs w:val="22"/>
        </w:rPr>
      </w:pPr>
      <w:r w:rsidRPr="00C66720">
        <w:rPr>
          <w:b w:val="0"/>
          <w:bCs w:val="0"/>
          <w:sz w:val="22"/>
          <w:szCs w:val="22"/>
        </w:rPr>
        <w:t>Za krátkodobé pohľadávky sa považujú také, ktorých zostatková doba splatnosti odo dňa, ku ktorému sa zostavuje účtovná závierka, je najviac 1 rok. Krátkodobé pohľadávky dosiahli k </w:t>
      </w:r>
      <w:r w:rsidR="002F00D2" w:rsidRPr="00C66720">
        <w:rPr>
          <w:b w:val="0"/>
          <w:bCs w:val="0"/>
          <w:sz w:val="22"/>
          <w:szCs w:val="22"/>
        </w:rPr>
        <w:t>31.12.2022</w:t>
      </w:r>
      <w:r w:rsidR="00E8533D" w:rsidRPr="00C66720">
        <w:rPr>
          <w:b w:val="0"/>
          <w:bCs w:val="0"/>
          <w:sz w:val="22"/>
          <w:szCs w:val="22"/>
        </w:rPr>
        <w:t xml:space="preserve"> úhrnom sumu </w:t>
      </w:r>
      <w:r w:rsidR="002F00D2" w:rsidRPr="00C66720">
        <w:rPr>
          <w:b w:val="0"/>
          <w:bCs w:val="0"/>
          <w:sz w:val="22"/>
          <w:szCs w:val="22"/>
        </w:rPr>
        <w:t>13</w:t>
      </w:r>
      <w:r w:rsidR="00214537" w:rsidRPr="00C66720">
        <w:rPr>
          <w:b w:val="0"/>
          <w:bCs w:val="0"/>
          <w:sz w:val="22"/>
          <w:szCs w:val="22"/>
        </w:rPr>
        <w:t> 169 838</w:t>
      </w:r>
      <w:r w:rsidRPr="00C66720">
        <w:rPr>
          <w:b w:val="0"/>
          <w:bCs w:val="0"/>
          <w:sz w:val="22"/>
          <w:szCs w:val="22"/>
        </w:rPr>
        <w:t xml:space="preserve"> tis. eur. Medziročne ide o nárast hodnoty týchto pohľadávok o</w:t>
      </w:r>
      <w:r w:rsidR="007E4F40" w:rsidRPr="00C66720">
        <w:rPr>
          <w:b w:val="0"/>
          <w:bCs w:val="0"/>
          <w:sz w:val="22"/>
          <w:szCs w:val="22"/>
        </w:rPr>
        <w:t> 5</w:t>
      </w:r>
      <w:r w:rsidR="00214537" w:rsidRPr="00C66720">
        <w:rPr>
          <w:b w:val="0"/>
          <w:bCs w:val="0"/>
          <w:sz w:val="22"/>
          <w:szCs w:val="22"/>
        </w:rPr>
        <w:t> </w:t>
      </w:r>
      <w:r w:rsidR="007E4F40" w:rsidRPr="00C66720">
        <w:rPr>
          <w:b w:val="0"/>
          <w:bCs w:val="0"/>
          <w:sz w:val="22"/>
          <w:szCs w:val="22"/>
        </w:rPr>
        <w:t>43</w:t>
      </w:r>
      <w:r w:rsidR="00214537" w:rsidRPr="00C66720">
        <w:rPr>
          <w:b w:val="0"/>
          <w:bCs w:val="0"/>
          <w:sz w:val="22"/>
          <w:szCs w:val="22"/>
        </w:rPr>
        <w:t>8 008</w:t>
      </w:r>
      <w:r w:rsidRPr="00C66720">
        <w:rPr>
          <w:b w:val="0"/>
          <w:bCs w:val="0"/>
          <w:sz w:val="22"/>
          <w:szCs w:val="22"/>
        </w:rPr>
        <w:t xml:space="preserve"> tis. eur</w:t>
      </w:r>
      <w:r w:rsidR="00942563" w:rsidRPr="00C66720">
        <w:rPr>
          <w:b w:val="0"/>
          <w:bCs w:val="0"/>
          <w:sz w:val="22"/>
          <w:szCs w:val="22"/>
        </w:rPr>
        <w:t xml:space="preserve">, najmä </w:t>
      </w:r>
      <w:r w:rsidR="009C33C7" w:rsidRPr="00C66720">
        <w:rPr>
          <w:b w:val="0"/>
          <w:bCs w:val="0"/>
          <w:sz w:val="22"/>
          <w:szCs w:val="22"/>
        </w:rPr>
        <w:t xml:space="preserve">vplyvom nárastu pohľadávok zo špecifických operácií štátu na finančnom trhu </w:t>
      </w:r>
      <w:r w:rsidR="00214537" w:rsidRPr="00C66720">
        <w:rPr>
          <w:b w:val="0"/>
          <w:bCs w:val="0"/>
          <w:sz w:val="22"/>
          <w:szCs w:val="22"/>
        </w:rPr>
        <w:br/>
      </w:r>
      <w:r w:rsidR="009C33C7" w:rsidRPr="00C66720">
        <w:rPr>
          <w:b w:val="0"/>
          <w:bCs w:val="0"/>
          <w:sz w:val="22"/>
          <w:szCs w:val="22"/>
        </w:rPr>
        <w:t>o</w:t>
      </w:r>
      <w:r w:rsidR="00F924FD" w:rsidRPr="00C66720">
        <w:rPr>
          <w:b w:val="0"/>
          <w:bCs w:val="0"/>
          <w:sz w:val="22"/>
          <w:szCs w:val="22"/>
        </w:rPr>
        <w:t> 3 741 144</w:t>
      </w:r>
      <w:r w:rsidR="009C33C7" w:rsidRPr="00C66720">
        <w:rPr>
          <w:b w:val="0"/>
          <w:bCs w:val="0"/>
          <w:sz w:val="22"/>
          <w:szCs w:val="22"/>
        </w:rPr>
        <w:t xml:space="preserve"> tis. eur. </w:t>
      </w:r>
    </w:p>
    <w:p w14:paraId="119E4B83" w14:textId="2C2B537C" w:rsidR="0079739C" w:rsidRDefault="0079739C">
      <w:pPr>
        <w:spacing w:after="0" w:line="240" w:lineRule="auto"/>
        <w:rPr>
          <w:rFonts w:ascii="Times New Roman" w:hAnsi="Times New Roman"/>
          <w:szCs w:val="22"/>
          <w:lang w:eastAsia="sk-SK"/>
        </w:rPr>
      </w:pPr>
      <w:r>
        <w:rPr>
          <w:b/>
          <w:bCs/>
          <w:szCs w:val="22"/>
        </w:rPr>
        <w:br w:type="page"/>
      </w:r>
    </w:p>
    <w:p w14:paraId="2C52C22E" w14:textId="77777777" w:rsidR="009D381E" w:rsidRPr="0084483A" w:rsidRDefault="009D381E" w:rsidP="009D381E">
      <w:pPr>
        <w:pStyle w:val="Pismenka"/>
        <w:tabs>
          <w:tab w:val="clear" w:pos="426"/>
        </w:tabs>
        <w:ind w:left="0" w:firstLine="0"/>
        <w:rPr>
          <w:bCs w:val="0"/>
        </w:rPr>
      </w:pPr>
      <w:r w:rsidRPr="0084483A">
        <w:rPr>
          <w:bCs w:val="0"/>
        </w:rPr>
        <w:lastRenderedPageBreak/>
        <w:t>Tabuľka 10</w:t>
      </w:r>
    </w:p>
    <w:tbl>
      <w:tblPr>
        <w:tblW w:w="5000" w:type="pct"/>
        <w:jc w:val="center"/>
        <w:tblLayout w:type="fixed"/>
        <w:tblCellMar>
          <w:left w:w="70" w:type="dxa"/>
          <w:right w:w="70" w:type="dxa"/>
        </w:tblCellMar>
        <w:tblLook w:val="00A0" w:firstRow="1" w:lastRow="0" w:firstColumn="1" w:lastColumn="0" w:noHBand="0" w:noVBand="0"/>
      </w:tblPr>
      <w:tblGrid>
        <w:gridCol w:w="5101"/>
        <w:gridCol w:w="1136"/>
        <w:gridCol w:w="1228"/>
        <w:gridCol w:w="1606"/>
      </w:tblGrid>
      <w:tr w:rsidR="009D381E" w:rsidRPr="00AD1DD7" w14:paraId="005231F5"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7DF021EB" w14:textId="77777777" w:rsidR="009D381E" w:rsidRPr="00AD1DD7" w:rsidRDefault="009D381E" w:rsidP="00241F33">
            <w:pPr>
              <w:spacing w:after="0" w:line="240" w:lineRule="auto"/>
              <w:rPr>
                <w:rFonts w:ascii="Times New Roman" w:hAnsi="Times New Roman"/>
                <w:b/>
                <w:bCs/>
                <w:sz w:val="18"/>
                <w:szCs w:val="18"/>
                <w:lang w:eastAsia="sk-SK"/>
              </w:rPr>
            </w:pPr>
            <w:r w:rsidRPr="00AD1DD7">
              <w:rPr>
                <w:rFonts w:ascii="Times New Roman" w:hAnsi="Times New Roman"/>
                <w:b/>
                <w:bCs/>
                <w:sz w:val="18"/>
                <w:szCs w:val="18"/>
                <w:lang w:eastAsia="sk-SK"/>
              </w:rPr>
              <w:t xml:space="preserve">Pohľadávky súhrnného celku                                                                                                           </w:t>
            </w:r>
            <w:r>
              <w:rPr>
                <w:rFonts w:ascii="Times New Roman" w:hAnsi="Times New Roman"/>
                <w:b/>
                <w:bCs/>
                <w:sz w:val="18"/>
                <w:szCs w:val="18"/>
                <w:lang w:eastAsia="sk-SK"/>
              </w:rPr>
              <w:t xml:space="preserve">                      </w:t>
            </w:r>
            <w:r w:rsidRPr="00AD1DD7">
              <w:rPr>
                <w:rFonts w:ascii="Times New Roman" w:hAnsi="Times New Roman"/>
                <w:b/>
                <w:bCs/>
                <w:sz w:val="18"/>
                <w:szCs w:val="18"/>
                <w:lang w:eastAsia="sk-SK"/>
              </w:rPr>
              <w:t>(v tis. eur) </w:t>
            </w:r>
          </w:p>
        </w:tc>
      </w:tr>
      <w:tr w:rsidR="009D381E" w:rsidRPr="00BB345C" w14:paraId="65D0DA60" w14:textId="77777777" w:rsidTr="00241F33">
        <w:trPr>
          <w:trHeight w:hRule="exact" w:val="330"/>
          <w:jc w:val="center"/>
        </w:trPr>
        <w:tc>
          <w:tcPr>
            <w:tcW w:w="2812" w:type="pct"/>
            <w:tcBorders>
              <w:top w:val="single" w:sz="4" w:space="0" w:color="000000"/>
              <w:left w:val="nil"/>
              <w:bottom w:val="single" w:sz="4" w:space="0" w:color="000000"/>
              <w:right w:val="nil"/>
            </w:tcBorders>
            <w:shd w:val="clear" w:color="auto" w:fill="BDD7EE"/>
            <w:vAlign w:val="center"/>
          </w:tcPr>
          <w:p w14:paraId="6C532199" w14:textId="77777777" w:rsidR="009D381E" w:rsidRPr="00BB345C" w:rsidRDefault="009D381E" w:rsidP="009D381E">
            <w:pPr>
              <w:spacing w:after="0" w:line="240" w:lineRule="auto"/>
              <w:rPr>
                <w:rFonts w:ascii="Times New Roman" w:hAnsi="Times New Roman"/>
                <w:b/>
                <w:bCs/>
                <w:sz w:val="18"/>
                <w:szCs w:val="18"/>
                <w:lang w:eastAsia="sk-SK"/>
              </w:rPr>
            </w:pPr>
            <w:r w:rsidRPr="00BB345C">
              <w:rPr>
                <w:rFonts w:ascii="Times New Roman" w:hAnsi="Times New Roman"/>
                <w:b/>
                <w:bCs/>
                <w:sz w:val="18"/>
                <w:szCs w:val="18"/>
                <w:lang w:eastAsia="sk-SK"/>
              </w:rPr>
              <w:t>Krátkodobé pohľadávky</w:t>
            </w:r>
          </w:p>
        </w:tc>
        <w:tc>
          <w:tcPr>
            <w:tcW w:w="626" w:type="pct"/>
            <w:tcBorders>
              <w:top w:val="single" w:sz="4" w:space="0" w:color="000000"/>
              <w:left w:val="nil"/>
              <w:bottom w:val="single" w:sz="4" w:space="0" w:color="000000"/>
              <w:right w:val="nil"/>
            </w:tcBorders>
            <w:shd w:val="clear" w:color="auto" w:fill="BDD7EE"/>
            <w:vAlign w:val="center"/>
          </w:tcPr>
          <w:p w14:paraId="4C3CE11F" w14:textId="50BAFFFE" w:rsidR="009D381E" w:rsidRPr="00BB345C" w:rsidRDefault="009D381E" w:rsidP="009D381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677" w:type="pct"/>
            <w:tcBorders>
              <w:top w:val="single" w:sz="4" w:space="0" w:color="000000"/>
              <w:left w:val="nil"/>
              <w:bottom w:val="single" w:sz="4" w:space="0" w:color="000000"/>
              <w:right w:val="nil"/>
            </w:tcBorders>
            <w:shd w:val="clear" w:color="auto" w:fill="BDD7EE"/>
            <w:vAlign w:val="center"/>
          </w:tcPr>
          <w:p w14:paraId="569531C2" w14:textId="30FB9E0C" w:rsidR="009D381E" w:rsidRPr="00BB345C" w:rsidRDefault="009D381E" w:rsidP="009D381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885" w:type="pct"/>
            <w:tcBorders>
              <w:top w:val="single" w:sz="4" w:space="0" w:color="000000"/>
              <w:left w:val="nil"/>
              <w:bottom w:val="single" w:sz="4" w:space="0" w:color="000000"/>
              <w:right w:val="nil"/>
            </w:tcBorders>
            <w:shd w:val="clear" w:color="auto" w:fill="BDD7EE"/>
            <w:vAlign w:val="center"/>
          </w:tcPr>
          <w:p w14:paraId="34A2D4F7" w14:textId="3FEB05FB" w:rsidR="009D381E" w:rsidRPr="00BB345C" w:rsidRDefault="009D381E" w:rsidP="009D381E">
            <w:pPr>
              <w:spacing w:after="0" w:line="240" w:lineRule="auto"/>
              <w:jc w:val="right"/>
              <w:rPr>
                <w:rFonts w:ascii="Times New Roman" w:hAnsi="Times New Roman"/>
                <w:b/>
                <w:bCs/>
                <w:color w:val="FF0000"/>
                <w:sz w:val="18"/>
                <w:szCs w:val="18"/>
                <w:lang w:eastAsia="sk-SK"/>
              </w:rPr>
            </w:pPr>
            <w:r w:rsidRPr="00C66720">
              <w:rPr>
                <w:rFonts w:ascii="Times New Roman" w:hAnsi="Times New Roman"/>
                <w:b/>
                <w:bCs/>
                <w:sz w:val="18"/>
                <w:szCs w:val="18"/>
                <w:lang w:eastAsia="sk-SK"/>
              </w:rPr>
              <w:t>Δ 2022-2021</w:t>
            </w:r>
          </w:p>
        </w:tc>
      </w:tr>
      <w:tr w:rsidR="009D381E" w:rsidRPr="00BB345C" w14:paraId="4246EA27" w14:textId="77777777" w:rsidTr="00241F33">
        <w:trPr>
          <w:trHeight w:hRule="exact" w:val="330"/>
          <w:jc w:val="center"/>
        </w:trPr>
        <w:tc>
          <w:tcPr>
            <w:tcW w:w="2812" w:type="pct"/>
            <w:tcBorders>
              <w:top w:val="single" w:sz="4" w:space="0" w:color="000000"/>
              <w:left w:val="nil"/>
              <w:right w:val="nil"/>
            </w:tcBorders>
            <w:shd w:val="clear" w:color="000000" w:fill="auto"/>
            <w:vAlign w:val="center"/>
          </w:tcPr>
          <w:p w14:paraId="18567C21" w14:textId="659B72FD"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MF SR z operácií na finančnom trhu</w:t>
            </w:r>
          </w:p>
        </w:tc>
        <w:tc>
          <w:tcPr>
            <w:tcW w:w="626" w:type="pct"/>
            <w:tcBorders>
              <w:top w:val="single" w:sz="4" w:space="0" w:color="000000"/>
              <w:left w:val="nil"/>
              <w:right w:val="nil"/>
            </w:tcBorders>
            <w:shd w:val="clear" w:color="000000" w:fill="auto"/>
            <w:vAlign w:val="center"/>
          </w:tcPr>
          <w:p w14:paraId="48E4BD01" w14:textId="6B6E02FC"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7 326 144</w:t>
            </w:r>
          </w:p>
        </w:tc>
        <w:tc>
          <w:tcPr>
            <w:tcW w:w="677" w:type="pct"/>
            <w:tcBorders>
              <w:top w:val="single" w:sz="4" w:space="0" w:color="000000"/>
              <w:left w:val="nil"/>
              <w:right w:val="nil"/>
            </w:tcBorders>
            <w:shd w:val="clear" w:color="000000" w:fill="auto"/>
            <w:vAlign w:val="center"/>
          </w:tcPr>
          <w:p w14:paraId="0A339FFD" w14:textId="76755C67"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3 585 000</w:t>
            </w:r>
          </w:p>
        </w:tc>
        <w:tc>
          <w:tcPr>
            <w:tcW w:w="885" w:type="pct"/>
            <w:tcBorders>
              <w:top w:val="single" w:sz="4" w:space="0" w:color="000000"/>
              <w:left w:val="nil"/>
              <w:right w:val="nil"/>
            </w:tcBorders>
            <w:shd w:val="clear" w:color="000000" w:fill="auto"/>
            <w:vAlign w:val="center"/>
          </w:tcPr>
          <w:p w14:paraId="798D7177" w14:textId="0F66DA20"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3 741 144</w:t>
            </w:r>
          </w:p>
        </w:tc>
      </w:tr>
      <w:tr w:rsidR="009D381E" w:rsidRPr="00BB345C" w14:paraId="0C1DB3DF" w14:textId="77777777" w:rsidTr="00241F33">
        <w:trPr>
          <w:trHeight w:hRule="exact" w:val="330"/>
          <w:jc w:val="center"/>
        </w:trPr>
        <w:tc>
          <w:tcPr>
            <w:tcW w:w="2812" w:type="pct"/>
            <w:tcBorders>
              <w:left w:val="nil"/>
              <w:right w:val="nil"/>
            </w:tcBorders>
            <w:shd w:val="clear" w:color="000000" w:fill="auto"/>
            <w:vAlign w:val="center"/>
          </w:tcPr>
          <w:p w14:paraId="3591A0D4" w14:textId="77CAB718"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Sociálnej poisťovne</w:t>
            </w:r>
          </w:p>
        </w:tc>
        <w:tc>
          <w:tcPr>
            <w:tcW w:w="626" w:type="pct"/>
            <w:tcBorders>
              <w:left w:val="nil"/>
              <w:right w:val="nil"/>
            </w:tcBorders>
            <w:shd w:val="clear" w:color="000000" w:fill="auto"/>
            <w:vAlign w:val="center"/>
          </w:tcPr>
          <w:p w14:paraId="2ED3A382" w14:textId="36DEF9C6"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1 516 691</w:t>
            </w:r>
          </w:p>
        </w:tc>
        <w:tc>
          <w:tcPr>
            <w:tcW w:w="677" w:type="pct"/>
            <w:tcBorders>
              <w:left w:val="nil"/>
              <w:right w:val="nil"/>
            </w:tcBorders>
            <w:shd w:val="clear" w:color="000000" w:fill="auto"/>
            <w:vAlign w:val="center"/>
          </w:tcPr>
          <w:p w14:paraId="08347870" w14:textId="2320E3B1"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507 023</w:t>
            </w:r>
          </w:p>
        </w:tc>
        <w:tc>
          <w:tcPr>
            <w:tcW w:w="885" w:type="pct"/>
            <w:tcBorders>
              <w:left w:val="nil"/>
              <w:right w:val="nil"/>
            </w:tcBorders>
            <w:shd w:val="clear" w:color="000000" w:fill="auto"/>
            <w:vAlign w:val="center"/>
          </w:tcPr>
          <w:p w14:paraId="5FFD1BBB" w14:textId="3FCBD112"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1 009 668</w:t>
            </w:r>
          </w:p>
        </w:tc>
      </w:tr>
      <w:tr w:rsidR="009D381E" w:rsidRPr="00BB345C" w14:paraId="2CEDF006" w14:textId="77777777" w:rsidTr="00241F33">
        <w:trPr>
          <w:trHeight w:hRule="exact" w:val="330"/>
          <w:jc w:val="center"/>
        </w:trPr>
        <w:tc>
          <w:tcPr>
            <w:tcW w:w="2812" w:type="pct"/>
            <w:tcBorders>
              <w:left w:val="nil"/>
              <w:right w:val="nil"/>
            </w:tcBorders>
            <w:shd w:val="clear" w:color="000000" w:fill="auto"/>
            <w:vAlign w:val="center"/>
          </w:tcPr>
          <w:p w14:paraId="6A8A2ACE" w14:textId="09207C3B"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Odberatelia</w:t>
            </w:r>
          </w:p>
        </w:tc>
        <w:tc>
          <w:tcPr>
            <w:tcW w:w="626" w:type="pct"/>
            <w:tcBorders>
              <w:left w:val="nil"/>
              <w:right w:val="nil"/>
            </w:tcBorders>
            <w:shd w:val="clear" w:color="000000" w:fill="auto"/>
            <w:vAlign w:val="center"/>
          </w:tcPr>
          <w:p w14:paraId="519914E6" w14:textId="3E4A8AFF"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 xml:space="preserve">1 189 529 </w:t>
            </w:r>
          </w:p>
        </w:tc>
        <w:tc>
          <w:tcPr>
            <w:tcW w:w="677" w:type="pct"/>
            <w:tcBorders>
              <w:left w:val="nil"/>
              <w:right w:val="nil"/>
            </w:tcBorders>
            <w:shd w:val="clear" w:color="000000" w:fill="auto"/>
            <w:vAlign w:val="center"/>
          </w:tcPr>
          <w:p w14:paraId="78C3A341" w14:textId="4CC32EE1"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 xml:space="preserve">832 531 </w:t>
            </w:r>
          </w:p>
        </w:tc>
        <w:tc>
          <w:tcPr>
            <w:tcW w:w="885" w:type="pct"/>
            <w:tcBorders>
              <w:left w:val="nil"/>
              <w:right w:val="nil"/>
            </w:tcBorders>
            <w:shd w:val="clear" w:color="000000" w:fill="auto"/>
            <w:vAlign w:val="center"/>
          </w:tcPr>
          <w:p w14:paraId="045ADD71" w14:textId="76EA4A32"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356 998</w:t>
            </w:r>
          </w:p>
        </w:tc>
      </w:tr>
      <w:tr w:rsidR="009D381E" w:rsidRPr="00BB345C" w14:paraId="034FD360" w14:textId="77777777" w:rsidTr="00241F33">
        <w:trPr>
          <w:trHeight w:hRule="exact" w:val="330"/>
          <w:jc w:val="center"/>
        </w:trPr>
        <w:tc>
          <w:tcPr>
            <w:tcW w:w="2812" w:type="pct"/>
            <w:tcBorders>
              <w:left w:val="nil"/>
              <w:right w:val="nil"/>
            </w:tcBorders>
            <w:shd w:val="clear" w:color="000000" w:fill="auto"/>
            <w:vAlign w:val="center"/>
          </w:tcPr>
          <w:p w14:paraId="3F1DE3F5" w14:textId="152D65EA"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Poskytnuté prevádzkové preddavky</w:t>
            </w:r>
          </w:p>
        </w:tc>
        <w:tc>
          <w:tcPr>
            <w:tcW w:w="626" w:type="pct"/>
            <w:tcBorders>
              <w:left w:val="nil"/>
              <w:right w:val="nil"/>
            </w:tcBorders>
            <w:shd w:val="clear" w:color="000000" w:fill="auto"/>
            <w:vAlign w:val="center"/>
          </w:tcPr>
          <w:p w14:paraId="78BEF64E" w14:textId="09AB7E54"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615 827</w:t>
            </w:r>
          </w:p>
        </w:tc>
        <w:tc>
          <w:tcPr>
            <w:tcW w:w="677" w:type="pct"/>
            <w:tcBorders>
              <w:left w:val="nil"/>
              <w:right w:val="nil"/>
            </w:tcBorders>
            <w:shd w:val="clear" w:color="000000" w:fill="auto"/>
            <w:vAlign w:val="center"/>
          </w:tcPr>
          <w:p w14:paraId="50FC1967" w14:textId="131A1876"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516 757</w:t>
            </w:r>
          </w:p>
        </w:tc>
        <w:tc>
          <w:tcPr>
            <w:tcW w:w="885" w:type="pct"/>
            <w:tcBorders>
              <w:left w:val="nil"/>
              <w:right w:val="nil"/>
            </w:tcBorders>
            <w:shd w:val="clear" w:color="000000" w:fill="auto"/>
            <w:vAlign w:val="center"/>
          </w:tcPr>
          <w:p w14:paraId="7267630D" w14:textId="6B292654"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99 070</w:t>
            </w:r>
          </w:p>
        </w:tc>
      </w:tr>
      <w:tr w:rsidR="009D381E" w:rsidRPr="00BB345C" w14:paraId="75AD91BF" w14:textId="77777777" w:rsidTr="00241F33">
        <w:trPr>
          <w:trHeight w:hRule="exact" w:val="330"/>
          <w:jc w:val="center"/>
        </w:trPr>
        <w:tc>
          <w:tcPr>
            <w:tcW w:w="2812" w:type="pct"/>
            <w:tcBorders>
              <w:left w:val="nil"/>
              <w:right w:val="nil"/>
            </w:tcBorders>
            <w:shd w:val="clear" w:color="000000" w:fill="auto"/>
            <w:vAlign w:val="center"/>
          </w:tcPr>
          <w:p w14:paraId="286CC1D9" w14:textId="24B05EF3"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sz w:val="18"/>
                <w:szCs w:val="18"/>
                <w:lang w:eastAsia="sk-SK"/>
              </w:rPr>
              <w:t>Pohľadávky Slovenského plynárenského priemyslu, a.s.</w:t>
            </w:r>
          </w:p>
        </w:tc>
        <w:tc>
          <w:tcPr>
            <w:tcW w:w="626" w:type="pct"/>
            <w:tcBorders>
              <w:left w:val="nil"/>
              <w:right w:val="nil"/>
            </w:tcBorders>
            <w:shd w:val="clear" w:color="000000" w:fill="auto"/>
            <w:vAlign w:val="center"/>
          </w:tcPr>
          <w:p w14:paraId="6F556F9B" w14:textId="1D3762A0"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559 101</w:t>
            </w:r>
          </w:p>
        </w:tc>
        <w:tc>
          <w:tcPr>
            <w:tcW w:w="677" w:type="pct"/>
            <w:tcBorders>
              <w:left w:val="nil"/>
              <w:right w:val="nil"/>
            </w:tcBorders>
            <w:shd w:val="clear" w:color="000000" w:fill="auto"/>
            <w:vAlign w:val="center"/>
          </w:tcPr>
          <w:p w14:paraId="3BA792FB" w14:textId="70CF5F80"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335 447</w:t>
            </w:r>
          </w:p>
        </w:tc>
        <w:tc>
          <w:tcPr>
            <w:tcW w:w="885" w:type="pct"/>
            <w:tcBorders>
              <w:left w:val="nil"/>
              <w:right w:val="nil"/>
            </w:tcBorders>
            <w:shd w:val="clear" w:color="000000" w:fill="auto"/>
            <w:vAlign w:val="center"/>
          </w:tcPr>
          <w:p w14:paraId="26BE82D3" w14:textId="5E8FA75C"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223 654</w:t>
            </w:r>
          </w:p>
        </w:tc>
      </w:tr>
      <w:tr w:rsidR="009D381E" w:rsidRPr="00BB345C" w14:paraId="1A9ED5BE" w14:textId="77777777" w:rsidTr="00241F33">
        <w:trPr>
          <w:trHeight w:hRule="exact" w:val="330"/>
          <w:jc w:val="center"/>
        </w:trPr>
        <w:tc>
          <w:tcPr>
            <w:tcW w:w="2812" w:type="pct"/>
            <w:tcBorders>
              <w:left w:val="nil"/>
              <w:right w:val="nil"/>
            </w:tcBorders>
            <w:shd w:val="clear" w:color="000000" w:fill="auto"/>
            <w:vAlign w:val="center"/>
          </w:tcPr>
          <w:p w14:paraId="1EBD35F7" w14:textId="053C05F0"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z daňových a colných príjmov štátu</w:t>
            </w:r>
          </w:p>
        </w:tc>
        <w:tc>
          <w:tcPr>
            <w:tcW w:w="626" w:type="pct"/>
            <w:tcBorders>
              <w:left w:val="nil"/>
              <w:right w:val="nil"/>
            </w:tcBorders>
            <w:shd w:val="clear" w:color="000000" w:fill="auto"/>
            <w:vAlign w:val="center"/>
          </w:tcPr>
          <w:p w14:paraId="5BCBF5A8" w14:textId="6ABC6EED"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432 803</w:t>
            </w:r>
          </w:p>
        </w:tc>
        <w:tc>
          <w:tcPr>
            <w:tcW w:w="677" w:type="pct"/>
            <w:tcBorders>
              <w:left w:val="nil"/>
              <w:right w:val="nil"/>
            </w:tcBorders>
            <w:shd w:val="clear" w:color="000000" w:fill="auto"/>
            <w:vAlign w:val="center"/>
          </w:tcPr>
          <w:p w14:paraId="3A9C1F53" w14:textId="59F85EC9"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282 729</w:t>
            </w:r>
          </w:p>
        </w:tc>
        <w:tc>
          <w:tcPr>
            <w:tcW w:w="885" w:type="pct"/>
            <w:tcBorders>
              <w:left w:val="nil"/>
              <w:right w:val="nil"/>
            </w:tcBorders>
            <w:shd w:val="clear" w:color="000000" w:fill="auto"/>
            <w:vAlign w:val="center"/>
          </w:tcPr>
          <w:p w14:paraId="126A7F35" w14:textId="2859332A"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150 074</w:t>
            </w:r>
          </w:p>
        </w:tc>
      </w:tr>
      <w:tr w:rsidR="009D381E" w:rsidRPr="00BB345C" w14:paraId="3BD510A1" w14:textId="77777777" w:rsidTr="00241F33">
        <w:trPr>
          <w:trHeight w:hRule="exact" w:val="330"/>
          <w:jc w:val="center"/>
        </w:trPr>
        <w:tc>
          <w:tcPr>
            <w:tcW w:w="2812" w:type="pct"/>
            <w:tcBorders>
              <w:left w:val="nil"/>
              <w:right w:val="nil"/>
            </w:tcBorders>
            <w:shd w:val="clear" w:color="000000" w:fill="auto"/>
            <w:vAlign w:val="center"/>
          </w:tcPr>
          <w:p w14:paraId="5A7AAA6C" w14:textId="010CAC8D"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Všeobecnej zdravotnej poisťovne, a.s.</w:t>
            </w:r>
          </w:p>
        </w:tc>
        <w:tc>
          <w:tcPr>
            <w:tcW w:w="626" w:type="pct"/>
            <w:tcBorders>
              <w:left w:val="nil"/>
              <w:right w:val="nil"/>
            </w:tcBorders>
            <w:shd w:val="clear" w:color="000000" w:fill="auto"/>
            <w:vAlign w:val="center"/>
          </w:tcPr>
          <w:p w14:paraId="2EE8C741" w14:textId="5E444BFA"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391 895</w:t>
            </w:r>
          </w:p>
        </w:tc>
        <w:tc>
          <w:tcPr>
            <w:tcW w:w="677" w:type="pct"/>
            <w:tcBorders>
              <w:left w:val="nil"/>
              <w:right w:val="nil"/>
            </w:tcBorders>
            <w:shd w:val="clear" w:color="000000" w:fill="auto"/>
            <w:vAlign w:val="center"/>
          </w:tcPr>
          <w:p w14:paraId="3330D02C" w14:textId="7D239CD8"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377 563</w:t>
            </w:r>
          </w:p>
        </w:tc>
        <w:tc>
          <w:tcPr>
            <w:tcW w:w="885" w:type="pct"/>
            <w:tcBorders>
              <w:left w:val="nil"/>
              <w:right w:val="nil"/>
            </w:tcBorders>
            <w:shd w:val="clear" w:color="000000" w:fill="auto"/>
            <w:vAlign w:val="center"/>
          </w:tcPr>
          <w:p w14:paraId="72AEED5D" w14:textId="5A450CC5"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14 332</w:t>
            </w:r>
          </w:p>
        </w:tc>
      </w:tr>
      <w:tr w:rsidR="009D381E" w:rsidRPr="00BB345C" w14:paraId="6C849333" w14:textId="77777777" w:rsidTr="00241F33">
        <w:trPr>
          <w:trHeight w:hRule="exact" w:val="330"/>
          <w:jc w:val="center"/>
        </w:trPr>
        <w:tc>
          <w:tcPr>
            <w:tcW w:w="2812" w:type="pct"/>
            <w:tcBorders>
              <w:left w:val="nil"/>
              <w:right w:val="nil"/>
            </w:tcBorders>
            <w:shd w:val="clear" w:color="000000" w:fill="auto"/>
            <w:vAlign w:val="center"/>
          </w:tcPr>
          <w:p w14:paraId="77EBD676" w14:textId="2607B69D"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zo zúčtovania s EÚ</w:t>
            </w:r>
          </w:p>
        </w:tc>
        <w:tc>
          <w:tcPr>
            <w:tcW w:w="626" w:type="pct"/>
            <w:tcBorders>
              <w:left w:val="nil"/>
              <w:right w:val="nil"/>
            </w:tcBorders>
            <w:shd w:val="clear" w:color="000000" w:fill="auto"/>
            <w:vAlign w:val="center"/>
          </w:tcPr>
          <w:p w14:paraId="2D8F753D" w14:textId="10F55EBC"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117 351</w:t>
            </w:r>
          </w:p>
        </w:tc>
        <w:tc>
          <w:tcPr>
            <w:tcW w:w="677" w:type="pct"/>
            <w:tcBorders>
              <w:left w:val="nil"/>
              <w:right w:val="nil"/>
            </w:tcBorders>
            <w:shd w:val="clear" w:color="000000" w:fill="auto"/>
            <w:vAlign w:val="center"/>
          </w:tcPr>
          <w:p w14:paraId="73916F1D" w14:textId="30400087"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178 940</w:t>
            </w:r>
          </w:p>
        </w:tc>
        <w:tc>
          <w:tcPr>
            <w:tcW w:w="885" w:type="pct"/>
            <w:tcBorders>
              <w:left w:val="nil"/>
              <w:right w:val="nil"/>
            </w:tcBorders>
            <w:shd w:val="clear" w:color="000000" w:fill="auto"/>
            <w:vAlign w:val="center"/>
          </w:tcPr>
          <w:p w14:paraId="2D609017" w14:textId="226117A8"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-61 589</w:t>
            </w:r>
          </w:p>
        </w:tc>
      </w:tr>
      <w:tr w:rsidR="009D381E" w:rsidRPr="00BB345C" w14:paraId="297A8AEE" w14:textId="77777777" w:rsidTr="00241F33">
        <w:trPr>
          <w:trHeight w:hRule="exact" w:val="330"/>
          <w:jc w:val="center"/>
        </w:trPr>
        <w:tc>
          <w:tcPr>
            <w:tcW w:w="2812" w:type="pct"/>
            <w:tcBorders>
              <w:left w:val="nil"/>
              <w:right w:val="nil"/>
            </w:tcBorders>
            <w:shd w:val="clear" w:color="000000" w:fill="auto"/>
            <w:vAlign w:val="center"/>
          </w:tcPr>
          <w:p w14:paraId="35100B5B" w14:textId="01D54EFE"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z nedaňových príjmov štátu</w:t>
            </w:r>
          </w:p>
        </w:tc>
        <w:tc>
          <w:tcPr>
            <w:tcW w:w="626" w:type="pct"/>
            <w:tcBorders>
              <w:left w:val="nil"/>
              <w:right w:val="nil"/>
            </w:tcBorders>
            <w:shd w:val="clear" w:color="000000" w:fill="auto"/>
            <w:vAlign w:val="center"/>
          </w:tcPr>
          <w:p w14:paraId="43907767" w14:textId="22B0CB85"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108 384</w:t>
            </w:r>
          </w:p>
        </w:tc>
        <w:tc>
          <w:tcPr>
            <w:tcW w:w="677" w:type="pct"/>
            <w:tcBorders>
              <w:left w:val="nil"/>
              <w:right w:val="nil"/>
            </w:tcBorders>
            <w:shd w:val="clear" w:color="000000" w:fill="auto"/>
            <w:vAlign w:val="center"/>
          </w:tcPr>
          <w:p w14:paraId="18417FFD" w14:textId="737C80DC"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88 352</w:t>
            </w:r>
          </w:p>
        </w:tc>
        <w:tc>
          <w:tcPr>
            <w:tcW w:w="885" w:type="pct"/>
            <w:tcBorders>
              <w:left w:val="nil"/>
              <w:right w:val="nil"/>
            </w:tcBorders>
            <w:shd w:val="clear" w:color="000000" w:fill="auto"/>
            <w:vAlign w:val="center"/>
          </w:tcPr>
          <w:p w14:paraId="23D7D106" w14:textId="0A686612"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20 032</w:t>
            </w:r>
          </w:p>
        </w:tc>
      </w:tr>
      <w:tr w:rsidR="009D381E" w:rsidRPr="00BB345C" w14:paraId="0BA2E435" w14:textId="77777777" w:rsidTr="00241F33">
        <w:trPr>
          <w:trHeight w:hRule="exact" w:val="330"/>
          <w:jc w:val="center"/>
        </w:trPr>
        <w:tc>
          <w:tcPr>
            <w:tcW w:w="2812" w:type="pct"/>
            <w:tcBorders>
              <w:left w:val="nil"/>
              <w:right w:val="nil"/>
            </w:tcBorders>
            <w:shd w:val="clear" w:color="000000" w:fill="auto"/>
            <w:vAlign w:val="center"/>
          </w:tcPr>
          <w:p w14:paraId="5D308554" w14:textId="6220749D"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z nedaňových príjmov územnej samosprávy</w:t>
            </w:r>
          </w:p>
        </w:tc>
        <w:tc>
          <w:tcPr>
            <w:tcW w:w="626" w:type="pct"/>
            <w:tcBorders>
              <w:left w:val="nil"/>
              <w:right w:val="nil"/>
            </w:tcBorders>
            <w:shd w:val="clear" w:color="000000" w:fill="auto"/>
            <w:vAlign w:val="center"/>
          </w:tcPr>
          <w:p w14:paraId="2977E28D" w14:textId="12268E18"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92 423</w:t>
            </w:r>
          </w:p>
        </w:tc>
        <w:tc>
          <w:tcPr>
            <w:tcW w:w="677" w:type="pct"/>
            <w:tcBorders>
              <w:left w:val="nil"/>
              <w:right w:val="nil"/>
            </w:tcBorders>
            <w:shd w:val="clear" w:color="000000" w:fill="auto"/>
            <w:vAlign w:val="center"/>
          </w:tcPr>
          <w:p w14:paraId="773AF870" w14:textId="6C25E723"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88 053</w:t>
            </w:r>
          </w:p>
        </w:tc>
        <w:tc>
          <w:tcPr>
            <w:tcW w:w="885" w:type="pct"/>
            <w:tcBorders>
              <w:left w:val="nil"/>
              <w:right w:val="nil"/>
            </w:tcBorders>
            <w:shd w:val="clear" w:color="000000" w:fill="auto"/>
            <w:vAlign w:val="center"/>
          </w:tcPr>
          <w:p w14:paraId="2C59C9E3" w14:textId="0521214E"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4 370</w:t>
            </w:r>
          </w:p>
        </w:tc>
      </w:tr>
      <w:tr w:rsidR="009D381E" w:rsidRPr="00BB345C" w14:paraId="77571988" w14:textId="77777777" w:rsidTr="00241F33">
        <w:trPr>
          <w:trHeight w:hRule="exact" w:val="330"/>
          <w:jc w:val="center"/>
        </w:trPr>
        <w:tc>
          <w:tcPr>
            <w:tcW w:w="2812" w:type="pct"/>
            <w:tcBorders>
              <w:left w:val="nil"/>
              <w:right w:val="nil"/>
            </w:tcBorders>
            <w:shd w:val="clear" w:color="000000" w:fill="auto"/>
            <w:vAlign w:val="center"/>
          </w:tcPr>
          <w:p w14:paraId="03197776" w14:textId="63075CEA"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Úradu pre dohľad nad zdrav. starostlivosťou</w:t>
            </w:r>
          </w:p>
        </w:tc>
        <w:tc>
          <w:tcPr>
            <w:tcW w:w="626" w:type="pct"/>
            <w:tcBorders>
              <w:left w:val="nil"/>
              <w:right w:val="nil"/>
            </w:tcBorders>
            <w:shd w:val="clear" w:color="000000" w:fill="auto"/>
            <w:vAlign w:val="center"/>
          </w:tcPr>
          <w:p w14:paraId="030891CF" w14:textId="2C8463F6"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92 391</w:t>
            </w:r>
          </w:p>
        </w:tc>
        <w:tc>
          <w:tcPr>
            <w:tcW w:w="677" w:type="pct"/>
            <w:tcBorders>
              <w:left w:val="nil"/>
              <w:right w:val="nil"/>
            </w:tcBorders>
            <w:shd w:val="clear" w:color="000000" w:fill="auto"/>
            <w:vAlign w:val="center"/>
          </w:tcPr>
          <w:p w14:paraId="7ACE5E8E" w14:textId="6DFB9DDF"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74 071</w:t>
            </w:r>
          </w:p>
        </w:tc>
        <w:tc>
          <w:tcPr>
            <w:tcW w:w="885" w:type="pct"/>
            <w:tcBorders>
              <w:left w:val="nil"/>
              <w:right w:val="nil"/>
            </w:tcBorders>
            <w:shd w:val="clear" w:color="000000" w:fill="auto"/>
            <w:vAlign w:val="center"/>
          </w:tcPr>
          <w:p w14:paraId="5A0E72CD" w14:textId="68E4551E"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18 320</w:t>
            </w:r>
          </w:p>
        </w:tc>
      </w:tr>
      <w:tr w:rsidR="009D381E" w:rsidRPr="00BB345C" w14:paraId="54583894" w14:textId="77777777" w:rsidTr="00241F33">
        <w:trPr>
          <w:trHeight w:hRule="exact" w:val="330"/>
          <w:jc w:val="center"/>
        </w:trPr>
        <w:tc>
          <w:tcPr>
            <w:tcW w:w="2812" w:type="pct"/>
            <w:tcBorders>
              <w:left w:val="nil"/>
              <w:right w:val="nil"/>
            </w:tcBorders>
            <w:shd w:val="clear" w:color="000000" w:fill="auto"/>
            <w:vAlign w:val="center"/>
          </w:tcPr>
          <w:p w14:paraId="637B684C" w14:textId="1AA24953"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Zúčtovanie medzi subjektami verejnej správy</w:t>
            </w:r>
          </w:p>
        </w:tc>
        <w:tc>
          <w:tcPr>
            <w:tcW w:w="626" w:type="pct"/>
            <w:tcBorders>
              <w:left w:val="nil"/>
              <w:right w:val="nil"/>
            </w:tcBorders>
            <w:shd w:val="clear" w:color="000000" w:fill="auto"/>
            <w:vAlign w:val="center"/>
          </w:tcPr>
          <w:p w14:paraId="105D090C" w14:textId="5EE3BE6E"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78 037</w:t>
            </w:r>
          </w:p>
        </w:tc>
        <w:tc>
          <w:tcPr>
            <w:tcW w:w="677" w:type="pct"/>
            <w:tcBorders>
              <w:left w:val="nil"/>
              <w:right w:val="nil"/>
            </w:tcBorders>
            <w:shd w:val="clear" w:color="000000" w:fill="auto"/>
            <w:vAlign w:val="center"/>
          </w:tcPr>
          <w:p w14:paraId="5C30D83D" w14:textId="620D7486"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79 368</w:t>
            </w:r>
          </w:p>
        </w:tc>
        <w:tc>
          <w:tcPr>
            <w:tcW w:w="885" w:type="pct"/>
            <w:tcBorders>
              <w:left w:val="nil"/>
              <w:right w:val="nil"/>
            </w:tcBorders>
            <w:shd w:val="clear" w:color="000000" w:fill="auto"/>
            <w:vAlign w:val="center"/>
          </w:tcPr>
          <w:p w14:paraId="58E495EB" w14:textId="393C2E78"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-1 331</w:t>
            </w:r>
          </w:p>
        </w:tc>
      </w:tr>
      <w:tr w:rsidR="009D381E" w:rsidRPr="00BB345C" w14:paraId="188A500C" w14:textId="77777777" w:rsidTr="00241F33">
        <w:trPr>
          <w:trHeight w:hRule="exact" w:val="330"/>
          <w:jc w:val="center"/>
        </w:trPr>
        <w:tc>
          <w:tcPr>
            <w:tcW w:w="2812" w:type="pct"/>
            <w:tcBorders>
              <w:top w:val="nil"/>
              <w:left w:val="nil"/>
              <w:right w:val="nil"/>
            </w:tcBorders>
            <w:shd w:val="clear" w:color="000000" w:fill="auto"/>
            <w:vAlign w:val="center"/>
          </w:tcPr>
          <w:p w14:paraId="577F684C" w14:textId="367E9185"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z účelovo poskytnutých transferov</w:t>
            </w:r>
          </w:p>
        </w:tc>
        <w:tc>
          <w:tcPr>
            <w:tcW w:w="626" w:type="pct"/>
            <w:tcBorders>
              <w:top w:val="nil"/>
              <w:left w:val="nil"/>
              <w:right w:val="nil"/>
            </w:tcBorders>
            <w:shd w:val="clear" w:color="000000" w:fill="auto"/>
            <w:vAlign w:val="center"/>
          </w:tcPr>
          <w:p w14:paraId="4DD0FFFA" w14:textId="30A15BD5"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59 835</w:t>
            </w:r>
          </w:p>
        </w:tc>
        <w:tc>
          <w:tcPr>
            <w:tcW w:w="677" w:type="pct"/>
            <w:tcBorders>
              <w:top w:val="nil"/>
              <w:left w:val="nil"/>
              <w:right w:val="nil"/>
            </w:tcBorders>
            <w:shd w:val="clear" w:color="000000" w:fill="auto"/>
            <w:vAlign w:val="center"/>
          </w:tcPr>
          <w:p w14:paraId="65F907E3" w14:textId="394CBCEA"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149 362</w:t>
            </w:r>
          </w:p>
        </w:tc>
        <w:tc>
          <w:tcPr>
            <w:tcW w:w="885" w:type="pct"/>
            <w:tcBorders>
              <w:top w:val="nil"/>
              <w:left w:val="nil"/>
              <w:right w:val="nil"/>
            </w:tcBorders>
            <w:shd w:val="clear" w:color="000000" w:fill="auto"/>
            <w:vAlign w:val="center"/>
          </w:tcPr>
          <w:p w14:paraId="1DB08927" w14:textId="4FF8423C"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-89 527</w:t>
            </w:r>
          </w:p>
        </w:tc>
      </w:tr>
      <w:tr w:rsidR="009D381E" w:rsidRPr="00BB345C" w14:paraId="1A95B296" w14:textId="77777777" w:rsidTr="00241F33">
        <w:trPr>
          <w:trHeight w:hRule="exact" w:val="330"/>
          <w:jc w:val="center"/>
        </w:trPr>
        <w:tc>
          <w:tcPr>
            <w:tcW w:w="2812" w:type="pct"/>
            <w:tcBorders>
              <w:top w:val="nil"/>
              <w:left w:val="nil"/>
              <w:right w:val="nil"/>
            </w:tcBorders>
            <w:shd w:val="clear" w:color="000000" w:fill="auto"/>
            <w:vAlign w:val="center"/>
          </w:tcPr>
          <w:p w14:paraId="0D2D9CA7" w14:textId="0211E0DA"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Pohľadávky z daňových príjmov územnej samosprávy</w:t>
            </w:r>
          </w:p>
        </w:tc>
        <w:tc>
          <w:tcPr>
            <w:tcW w:w="626" w:type="pct"/>
            <w:tcBorders>
              <w:top w:val="nil"/>
              <w:left w:val="nil"/>
              <w:right w:val="nil"/>
            </w:tcBorders>
            <w:shd w:val="clear" w:color="000000" w:fill="auto"/>
            <w:vAlign w:val="center"/>
          </w:tcPr>
          <w:p w14:paraId="29DF604D" w14:textId="02EBB1A3"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36 907</w:t>
            </w:r>
          </w:p>
        </w:tc>
        <w:tc>
          <w:tcPr>
            <w:tcW w:w="677" w:type="pct"/>
            <w:tcBorders>
              <w:top w:val="nil"/>
              <w:left w:val="nil"/>
              <w:right w:val="nil"/>
            </w:tcBorders>
            <w:shd w:val="clear" w:color="000000" w:fill="auto"/>
            <w:vAlign w:val="center"/>
          </w:tcPr>
          <w:p w14:paraId="797E3533" w14:textId="270A74AA"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41 115</w:t>
            </w:r>
          </w:p>
        </w:tc>
        <w:tc>
          <w:tcPr>
            <w:tcW w:w="885" w:type="pct"/>
            <w:tcBorders>
              <w:top w:val="nil"/>
              <w:left w:val="nil"/>
              <w:right w:val="nil"/>
            </w:tcBorders>
            <w:shd w:val="clear" w:color="000000" w:fill="auto"/>
            <w:vAlign w:val="center"/>
          </w:tcPr>
          <w:p w14:paraId="79CBCD73" w14:textId="572A5BF1"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-4 208</w:t>
            </w:r>
          </w:p>
        </w:tc>
      </w:tr>
      <w:tr w:rsidR="009D381E" w:rsidRPr="00BB345C" w14:paraId="7EDC2384" w14:textId="77777777" w:rsidTr="00241F33">
        <w:trPr>
          <w:trHeight w:hRule="exact" w:val="330"/>
          <w:jc w:val="center"/>
        </w:trPr>
        <w:tc>
          <w:tcPr>
            <w:tcW w:w="2812" w:type="pct"/>
            <w:tcBorders>
              <w:left w:val="nil"/>
              <w:bottom w:val="single" w:sz="4" w:space="0" w:color="auto"/>
              <w:right w:val="nil"/>
            </w:tcBorders>
            <w:shd w:val="clear" w:color="000000" w:fill="auto"/>
            <w:vAlign w:val="center"/>
          </w:tcPr>
          <w:p w14:paraId="7BF0D711" w14:textId="0F161BF9" w:rsidR="009D381E" w:rsidRPr="00BB345C" w:rsidRDefault="009D381E" w:rsidP="009D381E">
            <w:pPr>
              <w:spacing w:after="0" w:line="240" w:lineRule="auto"/>
              <w:rPr>
                <w:rFonts w:ascii="Times New Roman" w:hAnsi="Times New Roman"/>
                <w:bCs/>
                <w:sz w:val="18"/>
                <w:szCs w:val="18"/>
                <w:lang w:eastAsia="sk-SK"/>
              </w:rPr>
            </w:pPr>
            <w:r w:rsidRPr="00C66720">
              <w:rPr>
                <w:rFonts w:ascii="Times New Roman" w:hAnsi="Times New Roman"/>
                <w:sz w:val="18"/>
                <w:szCs w:val="18"/>
                <w:lang w:eastAsia="sk-SK"/>
              </w:rPr>
              <w:t>Ostatné krátkodobé pohľadávky subjektov verejnej správy</w:t>
            </w:r>
          </w:p>
        </w:tc>
        <w:tc>
          <w:tcPr>
            <w:tcW w:w="626" w:type="pct"/>
            <w:tcBorders>
              <w:left w:val="nil"/>
              <w:bottom w:val="single" w:sz="4" w:space="0" w:color="auto"/>
              <w:right w:val="nil"/>
            </w:tcBorders>
            <w:shd w:val="clear" w:color="000000" w:fill="auto"/>
            <w:vAlign w:val="center"/>
          </w:tcPr>
          <w:p w14:paraId="61779851" w14:textId="38AA85E7"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552 520</w:t>
            </w:r>
          </w:p>
        </w:tc>
        <w:tc>
          <w:tcPr>
            <w:tcW w:w="677" w:type="pct"/>
            <w:tcBorders>
              <w:left w:val="nil"/>
              <w:bottom w:val="single" w:sz="4" w:space="0" w:color="auto"/>
              <w:right w:val="nil"/>
            </w:tcBorders>
            <w:shd w:val="clear" w:color="000000" w:fill="auto"/>
            <w:vAlign w:val="center"/>
          </w:tcPr>
          <w:p w14:paraId="441B400E" w14:textId="00DFB5F4" w:rsidR="009D381E" w:rsidRPr="00BB345C" w:rsidRDefault="009D381E" w:rsidP="009D381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595 519</w:t>
            </w:r>
          </w:p>
        </w:tc>
        <w:tc>
          <w:tcPr>
            <w:tcW w:w="885" w:type="pct"/>
            <w:tcBorders>
              <w:left w:val="nil"/>
              <w:bottom w:val="single" w:sz="4" w:space="0" w:color="auto"/>
              <w:right w:val="nil"/>
            </w:tcBorders>
            <w:shd w:val="clear" w:color="000000" w:fill="auto"/>
            <w:vAlign w:val="center"/>
          </w:tcPr>
          <w:p w14:paraId="647530C0" w14:textId="21540C9D" w:rsidR="009D381E" w:rsidRPr="00BB345C" w:rsidRDefault="009D381E" w:rsidP="009D381E">
            <w:pPr>
              <w:spacing w:after="0" w:line="240" w:lineRule="auto"/>
              <w:jc w:val="right"/>
              <w:rPr>
                <w:rFonts w:ascii="Times New Roman" w:hAnsi="Times New Roman"/>
                <w:bCs/>
                <w:color w:val="FF0000"/>
                <w:sz w:val="18"/>
                <w:szCs w:val="18"/>
                <w:lang w:eastAsia="sk-SK"/>
              </w:rPr>
            </w:pPr>
            <w:r w:rsidRPr="00C66720">
              <w:rPr>
                <w:rFonts w:ascii="Times New Roman" w:hAnsi="Times New Roman"/>
                <w:bCs/>
                <w:sz w:val="18"/>
                <w:szCs w:val="18"/>
                <w:lang w:eastAsia="sk-SK"/>
              </w:rPr>
              <w:t>-42 999</w:t>
            </w:r>
          </w:p>
        </w:tc>
      </w:tr>
      <w:tr w:rsidR="009D381E" w:rsidRPr="00975467" w14:paraId="146CCCEA" w14:textId="77777777" w:rsidTr="00241F33">
        <w:trPr>
          <w:trHeight w:hRule="exact" w:val="330"/>
          <w:jc w:val="center"/>
        </w:trPr>
        <w:tc>
          <w:tcPr>
            <w:tcW w:w="2812" w:type="pct"/>
            <w:tcBorders>
              <w:top w:val="single" w:sz="4" w:space="0" w:color="auto"/>
              <w:left w:val="nil"/>
              <w:bottom w:val="single" w:sz="4" w:space="0" w:color="auto"/>
              <w:right w:val="nil"/>
            </w:tcBorders>
            <w:shd w:val="clear" w:color="000000" w:fill="auto"/>
            <w:vAlign w:val="center"/>
          </w:tcPr>
          <w:p w14:paraId="5E4B8320" w14:textId="307494A4" w:rsidR="009D381E" w:rsidRPr="00BB345C" w:rsidRDefault="009D381E" w:rsidP="009D381E">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626" w:type="pct"/>
            <w:tcBorders>
              <w:top w:val="single" w:sz="4" w:space="0" w:color="auto"/>
              <w:left w:val="nil"/>
              <w:bottom w:val="single" w:sz="4" w:space="0" w:color="auto"/>
              <w:right w:val="nil"/>
            </w:tcBorders>
            <w:shd w:val="clear" w:color="000000" w:fill="auto"/>
            <w:vAlign w:val="center"/>
          </w:tcPr>
          <w:p w14:paraId="11F24C5A" w14:textId="03772000" w:rsidR="009D381E" w:rsidRPr="00BB345C" w:rsidRDefault="009D381E" w:rsidP="009D381E">
            <w:pPr>
              <w:spacing w:after="0" w:line="240" w:lineRule="auto"/>
              <w:jc w:val="right"/>
              <w:rPr>
                <w:rFonts w:ascii="Times New Roman" w:hAnsi="Times New Roman"/>
                <w:b/>
                <w:bCs/>
                <w:sz w:val="18"/>
                <w:szCs w:val="18"/>
              </w:rPr>
            </w:pPr>
            <w:r w:rsidRPr="00C66720">
              <w:rPr>
                <w:rFonts w:ascii="Times New Roman" w:hAnsi="Times New Roman"/>
                <w:b/>
                <w:bCs/>
                <w:sz w:val="18"/>
                <w:szCs w:val="18"/>
              </w:rPr>
              <w:t>13 169 838</w:t>
            </w:r>
          </w:p>
        </w:tc>
        <w:tc>
          <w:tcPr>
            <w:tcW w:w="677" w:type="pct"/>
            <w:tcBorders>
              <w:top w:val="single" w:sz="4" w:space="0" w:color="auto"/>
              <w:left w:val="nil"/>
              <w:bottom w:val="single" w:sz="4" w:space="0" w:color="auto"/>
              <w:right w:val="nil"/>
            </w:tcBorders>
            <w:shd w:val="clear" w:color="000000" w:fill="auto"/>
            <w:vAlign w:val="center"/>
          </w:tcPr>
          <w:p w14:paraId="1767D77D" w14:textId="0C13559D" w:rsidR="009D381E" w:rsidRPr="00BB345C" w:rsidRDefault="009D381E" w:rsidP="009D381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rPr>
              <w:t>7 731 830</w:t>
            </w:r>
          </w:p>
        </w:tc>
        <w:tc>
          <w:tcPr>
            <w:tcW w:w="885" w:type="pct"/>
            <w:tcBorders>
              <w:top w:val="single" w:sz="4" w:space="0" w:color="auto"/>
              <w:left w:val="nil"/>
              <w:bottom w:val="single" w:sz="4" w:space="0" w:color="auto"/>
              <w:right w:val="nil"/>
            </w:tcBorders>
            <w:shd w:val="clear" w:color="000000" w:fill="auto"/>
            <w:vAlign w:val="center"/>
          </w:tcPr>
          <w:p w14:paraId="05C29222" w14:textId="5CC82D4E" w:rsidR="009D381E" w:rsidRPr="00BB345C" w:rsidRDefault="009D381E" w:rsidP="009D381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5 438 008</w:t>
            </w:r>
          </w:p>
        </w:tc>
      </w:tr>
    </w:tbl>
    <w:p w14:paraId="2CFDE714" w14:textId="77777777" w:rsidR="009D381E" w:rsidRDefault="009D381E" w:rsidP="009D381E">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13C7DF96" w14:textId="102E81F0" w:rsidR="002367B6" w:rsidRPr="00C66720" w:rsidRDefault="002367B6" w:rsidP="00B57E3E">
      <w:pPr>
        <w:pStyle w:val="Pismenka"/>
        <w:tabs>
          <w:tab w:val="clear" w:pos="426"/>
          <w:tab w:val="num" w:pos="0"/>
        </w:tabs>
        <w:spacing w:before="240" w:after="240"/>
        <w:ind w:left="0" w:firstLine="0"/>
        <w:rPr>
          <w:b w:val="0"/>
          <w:bCs w:val="0"/>
          <w:sz w:val="22"/>
          <w:szCs w:val="22"/>
        </w:rPr>
      </w:pPr>
      <w:r w:rsidRPr="00C66720">
        <w:rPr>
          <w:b w:val="0"/>
          <w:bCs w:val="0"/>
          <w:sz w:val="22"/>
          <w:szCs w:val="22"/>
        </w:rPr>
        <w:t xml:space="preserve">Z pohľadu činnosti jednotlivých subjektov súhrnného celku je možné konštatovať, že pre rozpočtové a príspevkové organizácie, obce a vyššie územné celky sú najdôležitejšie </w:t>
      </w:r>
      <w:r w:rsidRPr="00C66720">
        <w:rPr>
          <w:b w:val="0"/>
          <w:bCs w:val="0"/>
          <w:sz w:val="22"/>
          <w:szCs w:val="22"/>
          <w:u w:val="single"/>
        </w:rPr>
        <w:t>pohľadávky z daní, poplatkov a nedaňových príjmov</w:t>
      </w:r>
      <w:r w:rsidRPr="00C66720">
        <w:rPr>
          <w:b w:val="0"/>
          <w:bCs w:val="0"/>
          <w:sz w:val="22"/>
          <w:szCs w:val="22"/>
        </w:rPr>
        <w:t xml:space="preserve"> (napr. z</w:t>
      </w:r>
      <w:r w:rsidR="009020E1">
        <w:rPr>
          <w:b w:val="0"/>
          <w:bCs w:val="0"/>
          <w:sz w:val="22"/>
          <w:szCs w:val="22"/>
        </w:rPr>
        <w:t xml:space="preserve"> dividend, </w:t>
      </w:r>
      <w:r w:rsidRPr="00C66720">
        <w:rPr>
          <w:b w:val="0"/>
          <w:bCs w:val="0"/>
          <w:sz w:val="22"/>
          <w:szCs w:val="22"/>
        </w:rPr>
        <w:t xml:space="preserve">predaja prebytočného majetku, z nájomného a iných nepodnikateľských aktivít). Štátne podniky a obchodné spoločnosti vykazujú najväčší podiel na pohľadávkach z obchodných vzťahov voči odberateľom a svojím klientom. </w:t>
      </w:r>
    </w:p>
    <w:p w14:paraId="04C2CB64" w14:textId="5A55BAAA" w:rsidR="00EE1C2B" w:rsidRPr="00C66720" w:rsidRDefault="00EE1C2B" w:rsidP="008F097E">
      <w:pPr>
        <w:pStyle w:val="Pismenka"/>
        <w:numPr>
          <w:ilvl w:val="0"/>
          <w:numId w:val="44"/>
        </w:numPr>
        <w:spacing w:after="120"/>
        <w:ind w:left="284" w:hanging="284"/>
        <w:rPr>
          <w:i/>
          <w:szCs w:val="22"/>
          <w:u w:val="single"/>
        </w:rPr>
      </w:pPr>
      <w:bookmarkStart w:id="21" w:name="_Ref86091832"/>
      <w:r w:rsidRPr="00C66720">
        <w:rPr>
          <w:i/>
          <w:sz w:val="22"/>
          <w:szCs w:val="22"/>
          <w:u w:val="single"/>
        </w:rPr>
        <w:t>Daňové a colné pohľadávky štátu</w:t>
      </w:r>
      <w:bookmarkEnd w:id="21"/>
    </w:p>
    <w:p w14:paraId="20DD97AD" w14:textId="19B65E30" w:rsidR="00A408E4" w:rsidRPr="00C66720" w:rsidRDefault="00E77E00" w:rsidP="00890FB7">
      <w:pPr>
        <w:pStyle w:val="Pismenka"/>
        <w:tabs>
          <w:tab w:val="clear" w:pos="426"/>
        </w:tabs>
        <w:spacing w:after="240"/>
        <w:ind w:left="0" w:firstLine="0"/>
        <w:rPr>
          <w:b w:val="0"/>
          <w:bCs w:val="0"/>
          <w:sz w:val="22"/>
          <w:szCs w:val="22"/>
          <w:highlight w:val="yellow"/>
        </w:rPr>
      </w:pPr>
      <w:r w:rsidRPr="00C66720">
        <w:rPr>
          <w:b w:val="0"/>
          <w:bCs w:val="0"/>
          <w:sz w:val="22"/>
          <w:szCs w:val="22"/>
        </w:rPr>
        <w:t xml:space="preserve">Pohľadávky z daňových a colných príjmov štátu vykazuje Ministerstvo financií SR vo výške </w:t>
      </w:r>
      <w:r w:rsidR="00C001FB" w:rsidRPr="00C66720">
        <w:rPr>
          <w:b w:val="0"/>
          <w:bCs w:val="0"/>
          <w:sz w:val="22"/>
          <w:szCs w:val="22"/>
          <w:highlight w:val="yellow"/>
        </w:rPr>
        <w:br/>
      </w:r>
      <w:r w:rsidR="00B216F3" w:rsidRPr="00C66720">
        <w:rPr>
          <w:b w:val="0"/>
          <w:bCs w:val="0"/>
          <w:sz w:val="22"/>
          <w:szCs w:val="22"/>
        </w:rPr>
        <w:t>432 803</w:t>
      </w:r>
      <w:r w:rsidRPr="00C66720">
        <w:rPr>
          <w:b w:val="0"/>
          <w:bCs w:val="0"/>
          <w:sz w:val="22"/>
          <w:szCs w:val="22"/>
        </w:rPr>
        <w:t xml:space="preserve">  tis. eur. Medziročný </w:t>
      </w:r>
      <w:r w:rsidR="00B216F3" w:rsidRPr="00C66720">
        <w:rPr>
          <w:b w:val="0"/>
          <w:bCs w:val="0"/>
          <w:sz w:val="22"/>
          <w:szCs w:val="22"/>
        </w:rPr>
        <w:t>prírastok</w:t>
      </w:r>
      <w:r w:rsidRPr="00C66720">
        <w:rPr>
          <w:b w:val="0"/>
          <w:bCs w:val="0"/>
          <w:sz w:val="22"/>
          <w:szCs w:val="22"/>
        </w:rPr>
        <w:t xml:space="preserve"> o</w:t>
      </w:r>
      <w:r w:rsidR="00B216F3" w:rsidRPr="00C66720">
        <w:rPr>
          <w:b w:val="0"/>
          <w:bCs w:val="0"/>
          <w:sz w:val="22"/>
          <w:szCs w:val="22"/>
        </w:rPr>
        <w:t xml:space="preserve"> 150 074 </w:t>
      </w:r>
      <w:r w:rsidRPr="00C66720">
        <w:rPr>
          <w:b w:val="0"/>
          <w:bCs w:val="0"/>
          <w:sz w:val="22"/>
          <w:szCs w:val="22"/>
        </w:rPr>
        <w:t> tis. eur je spôsobený najmä</w:t>
      </w:r>
      <w:r w:rsidR="00B216F3" w:rsidRPr="00C66720">
        <w:rPr>
          <w:b w:val="0"/>
          <w:bCs w:val="0"/>
          <w:sz w:val="22"/>
          <w:szCs w:val="22"/>
        </w:rPr>
        <w:t xml:space="preserve"> nárastom pohľadávok z dane z príjmov právnických osôb, dani z pridanej hodnoty a z dôvodu nárastu podnikateľskej aktivity po období mimoriadnych a legislatívnych opatrení v súvislosti so šírením nebezpečnej nákazlivej ľudskej choroby COVID-19.</w:t>
      </w:r>
      <w:r w:rsidRPr="00C66720">
        <w:rPr>
          <w:b w:val="0"/>
          <w:bCs w:val="0"/>
          <w:sz w:val="22"/>
          <w:szCs w:val="22"/>
        </w:rPr>
        <w:t xml:space="preserve"> </w:t>
      </w:r>
    </w:p>
    <w:p w14:paraId="0CD04423" w14:textId="64CA5978" w:rsidR="00EE1C2B" w:rsidRPr="00C66720" w:rsidRDefault="00EE1C2B" w:rsidP="008F097E">
      <w:pPr>
        <w:pStyle w:val="Pismenka"/>
        <w:numPr>
          <w:ilvl w:val="0"/>
          <w:numId w:val="44"/>
        </w:numPr>
        <w:spacing w:after="120"/>
        <w:ind w:left="284" w:hanging="284"/>
        <w:rPr>
          <w:i/>
          <w:szCs w:val="22"/>
          <w:u w:val="single"/>
        </w:rPr>
      </w:pPr>
      <w:bookmarkStart w:id="22" w:name="_Ref86091842"/>
      <w:r w:rsidRPr="00C66720">
        <w:rPr>
          <w:i/>
          <w:sz w:val="22"/>
          <w:szCs w:val="22"/>
          <w:u w:val="single"/>
        </w:rPr>
        <w:t>Daňové pohľadávky územnej samosprávy</w:t>
      </w:r>
      <w:bookmarkEnd w:id="22"/>
    </w:p>
    <w:p w14:paraId="2E1D78FF" w14:textId="30BA541C" w:rsidR="00EE1C2B" w:rsidRPr="00C66720" w:rsidRDefault="00C572A9" w:rsidP="00890FB7">
      <w:pPr>
        <w:pStyle w:val="Pismenka"/>
        <w:tabs>
          <w:tab w:val="clear" w:pos="426"/>
        </w:tabs>
        <w:spacing w:after="240"/>
        <w:ind w:left="0" w:firstLine="0"/>
        <w:rPr>
          <w:b w:val="0"/>
          <w:bCs w:val="0"/>
          <w:sz w:val="22"/>
          <w:szCs w:val="22"/>
        </w:rPr>
      </w:pPr>
      <w:r w:rsidRPr="00C66720">
        <w:rPr>
          <w:b w:val="0"/>
          <w:bCs w:val="0"/>
          <w:sz w:val="22"/>
          <w:szCs w:val="22"/>
        </w:rPr>
        <w:t xml:space="preserve">V rámci daňových pohľadávok územnej samosprávy sa vykazujú </w:t>
      </w:r>
      <w:r w:rsidR="0097419C" w:rsidRPr="00C66720">
        <w:rPr>
          <w:b w:val="0"/>
          <w:bCs w:val="0"/>
          <w:sz w:val="22"/>
          <w:szCs w:val="22"/>
        </w:rPr>
        <w:t xml:space="preserve">pohľadávky obcí a miest z predpisu miestnych daní a poplatkov, ktoré sú ukladané na základe </w:t>
      </w:r>
      <w:r w:rsidR="008D30D9" w:rsidRPr="00C66720">
        <w:rPr>
          <w:b w:val="0"/>
          <w:bCs w:val="0"/>
          <w:sz w:val="22"/>
          <w:szCs w:val="22"/>
        </w:rPr>
        <w:t xml:space="preserve">zákona č. 582/2004 Z. z. o miestnych daniach a miestnom poplatku a príslušného </w:t>
      </w:r>
      <w:r w:rsidR="0097419C" w:rsidRPr="00C66720">
        <w:rPr>
          <w:b w:val="0"/>
          <w:bCs w:val="0"/>
          <w:sz w:val="22"/>
          <w:szCs w:val="22"/>
        </w:rPr>
        <w:t>všeobecne záväzného nariadenia, ktorý ustanovuje podrobnosti o výške dane a poplatku, podmienkach ich určenia a výberu. Medzi miestne dane, ktoré ukladá obec patrí napr. daň z nehnuteľností, daň za psa, daň za užívanie verejného priestranstva, daň za ubytovanie, daň za predajné automaty, daň za nevýherné hracie prístroje, daň za vjazd a zotrvanie motorového vozidla v historickej časti mesta</w:t>
      </w:r>
      <w:r w:rsidR="00627F4D" w:rsidRPr="00C66720">
        <w:rPr>
          <w:b w:val="0"/>
          <w:bCs w:val="0"/>
          <w:sz w:val="22"/>
          <w:szCs w:val="22"/>
        </w:rPr>
        <w:t>, daň za jadrové zariadenia a ostatné miestne dane</w:t>
      </w:r>
      <w:r w:rsidR="0097419C" w:rsidRPr="00C66720">
        <w:rPr>
          <w:b w:val="0"/>
          <w:bCs w:val="0"/>
          <w:color w:val="FF0000"/>
          <w:sz w:val="22"/>
          <w:szCs w:val="22"/>
        </w:rPr>
        <w:t xml:space="preserve">. </w:t>
      </w:r>
      <w:r w:rsidR="0097419C" w:rsidRPr="00C66720">
        <w:rPr>
          <w:b w:val="0"/>
          <w:bCs w:val="0"/>
          <w:sz w:val="22"/>
          <w:szCs w:val="22"/>
        </w:rPr>
        <w:t>Medzi miestne poplatky patrí napr. poplatok za komunálny odpad a drobné stavebné odpady</w:t>
      </w:r>
      <w:r w:rsidR="00DB754D" w:rsidRPr="00C66720">
        <w:rPr>
          <w:b w:val="0"/>
          <w:bCs w:val="0"/>
          <w:sz w:val="22"/>
          <w:szCs w:val="22"/>
        </w:rPr>
        <w:t>, poplatok za rozvoj</w:t>
      </w:r>
      <w:r w:rsidR="0097419C" w:rsidRPr="00C66720">
        <w:rPr>
          <w:b w:val="0"/>
          <w:bCs w:val="0"/>
          <w:sz w:val="22"/>
          <w:szCs w:val="22"/>
        </w:rPr>
        <w:t>.</w:t>
      </w:r>
      <w:r w:rsidR="008D30D9" w:rsidRPr="00C66720">
        <w:rPr>
          <w:b w:val="0"/>
          <w:bCs w:val="0"/>
          <w:sz w:val="22"/>
          <w:szCs w:val="22"/>
        </w:rPr>
        <w:t xml:space="preserve"> </w:t>
      </w:r>
      <w:r w:rsidR="00782F9E" w:rsidRPr="00C66720">
        <w:rPr>
          <w:b w:val="0"/>
          <w:bCs w:val="0"/>
          <w:sz w:val="22"/>
          <w:szCs w:val="22"/>
        </w:rPr>
        <w:t>Tieto pohľadávky obcí dosiahli úhr</w:t>
      </w:r>
      <w:r w:rsidR="000B4C4E" w:rsidRPr="00C66720">
        <w:rPr>
          <w:b w:val="0"/>
          <w:bCs w:val="0"/>
          <w:sz w:val="22"/>
          <w:szCs w:val="22"/>
        </w:rPr>
        <w:t>nn</w:t>
      </w:r>
      <w:r w:rsidR="00782F9E" w:rsidRPr="00C66720">
        <w:rPr>
          <w:b w:val="0"/>
          <w:bCs w:val="0"/>
          <w:sz w:val="22"/>
          <w:szCs w:val="22"/>
        </w:rPr>
        <w:t xml:space="preserve">om </w:t>
      </w:r>
      <w:r w:rsidR="00BF4482" w:rsidRPr="00C66720">
        <w:rPr>
          <w:b w:val="0"/>
          <w:bCs w:val="0"/>
          <w:sz w:val="22"/>
          <w:szCs w:val="22"/>
        </w:rPr>
        <w:t>36 907</w:t>
      </w:r>
      <w:r w:rsidR="00782F9E" w:rsidRPr="00C66720">
        <w:rPr>
          <w:b w:val="0"/>
          <w:bCs w:val="0"/>
          <w:sz w:val="22"/>
          <w:szCs w:val="22"/>
        </w:rPr>
        <w:t xml:space="preserve"> tis. eur a boli medziročne </w:t>
      </w:r>
      <w:r w:rsidR="00BF4482" w:rsidRPr="00C66720">
        <w:rPr>
          <w:b w:val="0"/>
          <w:bCs w:val="0"/>
          <w:sz w:val="22"/>
          <w:szCs w:val="22"/>
        </w:rPr>
        <w:t>nižšie</w:t>
      </w:r>
      <w:r w:rsidR="00782F9E" w:rsidRPr="00C66720">
        <w:rPr>
          <w:b w:val="0"/>
          <w:bCs w:val="0"/>
          <w:sz w:val="22"/>
          <w:szCs w:val="22"/>
        </w:rPr>
        <w:t xml:space="preserve"> o</w:t>
      </w:r>
      <w:r w:rsidR="00BF4482" w:rsidRPr="00C66720">
        <w:rPr>
          <w:b w:val="0"/>
          <w:bCs w:val="0"/>
          <w:sz w:val="22"/>
          <w:szCs w:val="22"/>
        </w:rPr>
        <w:t> 4 208</w:t>
      </w:r>
      <w:r w:rsidR="00782F9E" w:rsidRPr="00C66720">
        <w:rPr>
          <w:b w:val="0"/>
          <w:bCs w:val="0"/>
          <w:sz w:val="22"/>
          <w:szCs w:val="22"/>
        </w:rPr>
        <w:t xml:space="preserve"> tis. eur.</w:t>
      </w:r>
      <w:r w:rsidR="008904B4" w:rsidRPr="00C66720">
        <w:rPr>
          <w:b w:val="0"/>
          <w:bCs w:val="0"/>
          <w:sz w:val="22"/>
          <w:szCs w:val="22"/>
        </w:rPr>
        <w:t xml:space="preserve"> </w:t>
      </w:r>
    </w:p>
    <w:p w14:paraId="458B9FDC" w14:textId="175F7C3E" w:rsidR="00EE1C2B" w:rsidRPr="00C66720" w:rsidRDefault="00EE1C2B" w:rsidP="008F097E">
      <w:pPr>
        <w:pStyle w:val="Pismenka"/>
        <w:numPr>
          <w:ilvl w:val="0"/>
          <w:numId w:val="44"/>
        </w:numPr>
        <w:spacing w:after="120"/>
        <w:ind w:left="284" w:hanging="284"/>
        <w:rPr>
          <w:i/>
          <w:szCs w:val="22"/>
          <w:u w:val="single"/>
        </w:rPr>
      </w:pPr>
      <w:bookmarkStart w:id="23" w:name="_Ref86091854"/>
      <w:r w:rsidRPr="00C66720">
        <w:rPr>
          <w:i/>
          <w:sz w:val="22"/>
          <w:szCs w:val="22"/>
          <w:u w:val="single"/>
        </w:rPr>
        <w:t>Nedaňové pohľadávky štátu a územnej samosprávy</w:t>
      </w:r>
      <w:bookmarkEnd w:id="23"/>
    </w:p>
    <w:p w14:paraId="3C0FDB42" w14:textId="41A698E5" w:rsidR="00BD3BAA" w:rsidRPr="00C66720" w:rsidRDefault="00BD3BAA" w:rsidP="008F097E">
      <w:pPr>
        <w:pStyle w:val="Pismenka"/>
        <w:tabs>
          <w:tab w:val="clear" w:pos="426"/>
        </w:tabs>
        <w:spacing w:after="120"/>
        <w:ind w:left="0" w:firstLine="0"/>
        <w:rPr>
          <w:b w:val="0"/>
          <w:bCs w:val="0"/>
          <w:sz w:val="22"/>
          <w:szCs w:val="22"/>
        </w:rPr>
      </w:pPr>
      <w:r w:rsidRPr="00C66720">
        <w:rPr>
          <w:b w:val="0"/>
          <w:bCs w:val="0"/>
          <w:sz w:val="22"/>
          <w:szCs w:val="22"/>
        </w:rPr>
        <w:t>Z nedaň</w:t>
      </w:r>
      <w:r w:rsidR="0003658A" w:rsidRPr="00C66720">
        <w:rPr>
          <w:b w:val="0"/>
          <w:bCs w:val="0"/>
          <w:sz w:val="22"/>
          <w:szCs w:val="22"/>
        </w:rPr>
        <w:t xml:space="preserve">ových pohľadávok štátu </w:t>
      </w:r>
      <w:r w:rsidR="00D648AE" w:rsidRPr="00C66720">
        <w:rPr>
          <w:b w:val="0"/>
          <w:bCs w:val="0"/>
          <w:sz w:val="22"/>
          <w:szCs w:val="22"/>
        </w:rPr>
        <w:t xml:space="preserve">(108 384 tis. eur) </w:t>
      </w:r>
      <w:r w:rsidR="0003658A" w:rsidRPr="00C66720">
        <w:rPr>
          <w:b w:val="0"/>
          <w:bCs w:val="0"/>
          <w:sz w:val="22"/>
          <w:szCs w:val="22"/>
        </w:rPr>
        <w:t>vykazuje Ústredie práce, sociálnych vecí a rodiny 27 548 tis. eur, Protimonopolný úrad SR 18 511 tis. eur</w:t>
      </w:r>
      <w:r w:rsidR="00EB2F8B" w:rsidRPr="00C66720">
        <w:rPr>
          <w:b w:val="0"/>
          <w:bCs w:val="0"/>
          <w:sz w:val="22"/>
          <w:szCs w:val="22"/>
        </w:rPr>
        <w:t xml:space="preserve">, regionálne veterinárne a potravinové správy </w:t>
      </w:r>
      <w:r w:rsidR="00EB2F8B" w:rsidRPr="00C66720">
        <w:rPr>
          <w:b w:val="0"/>
          <w:bCs w:val="0"/>
          <w:sz w:val="22"/>
          <w:szCs w:val="22"/>
        </w:rPr>
        <w:lastRenderedPageBreak/>
        <w:t>12 982 tis. eur, krajské a okresné súdy 9 199 tis. eur, Ministerstvo vnútra SR 7 922 tis. eur, Úrad vládneho auditu 5 378 tis. eur</w:t>
      </w:r>
      <w:r w:rsidR="003974F0" w:rsidRPr="00C66720">
        <w:rPr>
          <w:b w:val="0"/>
          <w:bCs w:val="0"/>
          <w:sz w:val="22"/>
          <w:szCs w:val="22"/>
        </w:rPr>
        <w:t>,</w:t>
      </w:r>
      <w:r w:rsidR="00EB2F8B" w:rsidRPr="00C66720">
        <w:rPr>
          <w:b w:val="0"/>
          <w:bCs w:val="0"/>
          <w:sz w:val="22"/>
          <w:szCs w:val="22"/>
        </w:rPr>
        <w:t xml:space="preserve"> Ministerstvo financií SR 4 224 tis. eur</w:t>
      </w:r>
      <w:r w:rsidR="00BA3698">
        <w:rPr>
          <w:b w:val="0"/>
          <w:bCs w:val="0"/>
          <w:sz w:val="22"/>
          <w:szCs w:val="22"/>
        </w:rPr>
        <w:t>.</w:t>
      </w:r>
      <w:r w:rsidR="003974F0" w:rsidRPr="00C66720">
        <w:rPr>
          <w:b w:val="0"/>
          <w:bCs w:val="0"/>
          <w:sz w:val="22"/>
          <w:szCs w:val="22"/>
        </w:rPr>
        <w:t xml:space="preserve"> </w:t>
      </w:r>
      <w:r w:rsidRPr="00C66720">
        <w:rPr>
          <w:b w:val="0"/>
          <w:bCs w:val="0"/>
          <w:sz w:val="22"/>
          <w:szCs w:val="22"/>
        </w:rPr>
        <w:t>Ide najmä</w:t>
      </w:r>
      <w:r w:rsidR="00AA18CB" w:rsidRPr="00C66720">
        <w:rPr>
          <w:b w:val="0"/>
          <w:bCs w:val="0"/>
          <w:sz w:val="22"/>
          <w:szCs w:val="22"/>
        </w:rPr>
        <w:t xml:space="preserve"> </w:t>
      </w:r>
      <w:r w:rsidRPr="00C66720">
        <w:rPr>
          <w:b w:val="0"/>
          <w:bCs w:val="0"/>
          <w:sz w:val="22"/>
          <w:szCs w:val="22"/>
        </w:rPr>
        <w:t xml:space="preserve">o pokuty za priestupky udelené policajnými útvarmi, hasičským a záchranným zborom a okresnými úradmi a z výkonu svojej činnosti ďalších štátnych organizácií (poplatky, predaj prebytočného majetku, nájomné a podobne). Protimonopolný úrad vykazuje pohľadávky voči iným subjektom z vydaných rozhodnutí napríklad o porušení hospodárskej súťaže. </w:t>
      </w:r>
      <w:r w:rsidR="00992EC7" w:rsidRPr="00C66720">
        <w:rPr>
          <w:b w:val="0"/>
          <w:bCs w:val="0"/>
          <w:sz w:val="22"/>
          <w:szCs w:val="22"/>
        </w:rPr>
        <w:t xml:space="preserve">Ústredie práce, sociálnych vecí a rodiny spravuje najmä pohľadávky vzniknuté z rôznych poskytnutých príspevkov v dôsledku nedodržania zákonných podmienok ich prijatia. </w:t>
      </w:r>
    </w:p>
    <w:p w14:paraId="41158ABB" w14:textId="036B64EA" w:rsidR="00EC7508" w:rsidRPr="00C66720" w:rsidRDefault="007E0D45" w:rsidP="009B3D56">
      <w:pPr>
        <w:pStyle w:val="Pismenka"/>
        <w:tabs>
          <w:tab w:val="clear" w:pos="426"/>
        </w:tabs>
        <w:spacing w:after="240"/>
        <w:ind w:left="0" w:firstLine="0"/>
        <w:rPr>
          <w:b w:val="0"/>
          <w:bCs w:val="0"/>
          <w:i/>
          <w:szCs w:val="22"/>
          <w:u w:val="single"/>
        </w:rPr>
      </w:pPr>
      <w:r w:rsidRPr="00C66720">
        <w:rPr>
          <w:b w:val="0"/>
          <w:bCs w:val="0"/>
          <w:sz w:val="22"/>
          <w:szCs w:val="22"/>
        </w:rPr>
        <w:t xml:space="preserve">Nedaňové pohľadávky územnej samosprávy dosiahli </w:t>
      </w:r>
      <w:r w:rsidR="00742DAC" w:rsidRPr="00C66720">
        <w:rPr>
          <w:b w:val="0"/>
          <w:bCs w:val="0"/>
          <w:sz w:val="22"/>
          <w:szCs w:val="22"/>
        </w:rPr>
        <w:t>92 423</w:t>
      </w:r>
      <w:r w:rsidRPr="00C66720">
        <w:rPr>
          <w:b w:val="0"/>
          <w:bCs w:val="0"/>
          <w:sz w:val="22"/>
          <w:szCs w:val="22"/>
        </w:rPr>
        <w:t xml:space="preserve"> tis. eur </w:t>
      </w:r>
      <w:r w:rsidR="00D60935" w:rsidRPr="00C66720">
        <w:rPr>
          <w:b w:val="0"/>
          <w:bCs w:val="0"/>
          <w:sz w:val="22"/>
          <w:szCs w:val="22"/>
        </w:rPr>
        <w:t xml:space="preserve">(v tom obce </w:t>
      </w:r>
      <w:r w:rsidR="00742DAC" w:rsidRPr="00C66720">
        <w:rPr>
          <w:b w:val="0"/>
          <w:bCs w:val="0"/>
          <w:sz w:val="22"/>
          <w:szCs w:val="22"/>
        </w:rPr>
        <w:t>80 209</w:t>
      </w:r>
      <w:r w:rsidR="00D60935" w:rsidRPr="00C66720">
        <w:rPr>
          <w:b w:val="0"/>
          <w:bCs w:val="0"/>
          <w:sz w:val="22"/>
          <w:szCs w:val="22"/>
        </w:rPr>
        <w:t xml:space="preserve"> tis. eur a VUC </w:t>
      </w:r>
      <w:r w:rsidR="00742DAC" w:rsidRPr="00C66720">
        <w:rPr>
          <w:b w:val="0"/>
          <w:bCs w:val="0"/>
          <w:sz w:val="22"/>
          <w:szCs w:val="22"/>
        </w:rPr>
        <w:t>12 214</w:t>
      </w:r>
      <w:r w:rsidR="00D60935" w:rsidRPr="00C66720">
        <w:rPr>
          <w:b w:val="0"/>
          <w:bCs w:val="0"/>
          <w:sz w:val="22"/>
          <w:szCs w:val="22"/>
        </w:rPr>
        <w:t xml:space="preserve"> tis. eur) a medziročne boli vyššie o</w:t>
      </w:r>
      <w:r w:rsidR="00742DAC" w:rsidRPr="00C66720">
        <w:rPr>
          <w:b w:val="0"/>
          <w:bCs w:val="0"/>
          <w:sz w:val="22"/>
          <w:szCs w:val="22"/>
        </w:rPr>
        <w:t> 4 370</w:t>
      </w:r>
      <w:r w:rsidR="00D60935" w:rsidRPr="00C66720">
        <w:rPr>
          <w:b w:val="0"/>
          <w:bCs w:val="0"/>
          <w:sz w:val="22"/>
          <w:szCs w:val="22"/>
        </w:rPr>
        <w:t xml:space="preserve"> tis. eur.</w:t>
      </w:r>
      <w:r w:rsidR="009B3D56" w:rsidRPr="00C66720">
        <w:rPr>
          <w:b w:val="0"/>
          <w:bCs w:val="0"/>
          <w:sz w:val="22"/>
          <w:szCs w:val="22"/>
        </w:rPr>
        <w:t xml:space="preserve"> </w:t>
      </w:r>
      <w:bookmarkStart w:id="24" w:name="_Ref86091871"/>
    </w:p>
    <w:p w14:paraId="125692C5" w14:textId="7C50C153" w:rsidR="00EE1C2B" w:rsidRPr="00C66720" w:rsidRDefault="00EE1C2B" w:rsidP="008F097E">
      <w:pPr>
        <w:pStyle w:val="Pismenka"/>
        <w:numPr>
          <w:ilvl w:val="0"/>
          <w:numId w:val="44"/>
        </w:numPr>
        <w:spacing w:after="120"/>
        <w:ind w:left="284" w:hanging="284"/>
        <w:rPr>
          <w:i/>
          <w:szCs w:val="22"/>
          <w:u w:val="single"/>
        </w:rPr>
      </w:pPr>
      <w:r w:rsidRPr="00C66720">
        <w:rPr>
          <w:i/>
          <w:sz w:val="22"/>
          <w:szCs w:val="22"/>
          <w:u w:val="single"/>
        </w:rPr>
        <w:t>Odberatelia</w:t>
      </w:r>
      <w:bookmarkEnd w:id="24"/>
    </w:p>
    <w:p w14:paraId="62B9EEA5" w14:textId="0EB4BC41" w:rsidR="00140819" w:rsidRPr="00C66720" w:rsidRDefault="00140819" w:rsidP="008904B4">
      <w:pPr>
        <w:pStyle w:val="Pismenka"/>
        <w:tabs>
          <w:tab w:val="clear" w:pos="426"/>
        </w:tabs>
        <w:spacing w:after="240"/>
        <w:ind w:left="0" w:firstLine="0"/>
        <w:rPr>
          <w:b w:val="0"/>
          <w:bCs w:val="0"/>
          <w:sz w:val="22"/>
          <w:szCs w:val="22"/>
        </w:rPr>
      </w:pPr>
      <w:r w:rsidRPr="00C66720">
        <w:rPr>
          <w:b w:val="0"/>
          <w:bCs w:val="0"/>
          <w:sz w:val="22"/>
          <w:szCs w:val="22"/>
        </w:rPr>
        <w:t>Z hodnoty pohľadávok voči odberateľom vykazuje najvyššiu hodnotu SPP, a.s. (</w:t>
      </w:r>
      <w:r w:rsidR="00142653" w:rsidRPr="00C66720">
        <w:rPr>
          <w:b w:val="0"/>
          <w:bCs w:val="0"/>
          <w:sz w:val="22"/>
          <w:szCs w:val="22"/>
        </w:rPr>
        <w:t>685 040</w:t>
      </w:r>
      <w:r w:rsidRPr="00C66720">
        <w:rPr>
          <w:b w:val="0"/>
          <w:bCs w:val="0"/>
          <w:sz w:val="22"/>
          <w:szCs w:val="22"/>
        </w:rPr>
        <w:t xml:space="preserve"> tis. eur), </w:t>
      </w:r>
      <w:r w:rsidR="006808B4" w:rsidRPr="00C66720">
        <w:rPr>
          <w:b w:val="0"/>
          <w:bCs w:val="0"/>
          <w:sz w:val="22"/>
          <w:szCs w:val="22"/>
        </w:rPr>
        <w:t xml:space="preserve">Slovenská elektrizačná a prenosová sústava, a.s. (61 105 tis. eur), </w:t>
      </w:r>
      <w:r w:rsidRPr="00C66720">
        <w:rPr>
          <w:b w:val="0"/>
          <w:bCs w:val="0"/>
          <w:sz w:val="22"/>
          <w:szCs w:val="22"/>
        </w:rPr>
        <w:t>Slovenská pošta, a.s. (</w:t>
      </w:r>
      <w:r w:rsidR="00CE7AB4" w:rsidRPr="00C66720">
        <w:rPr>
          <w:b w:val="0"/>
          <w:bCs w:val="0"/>
          <w:sz w:val="22"/>
          <w:szCs w:val="22"/>
        </w:rPr>
        <w:t>48 997</w:t>
      </w:r>
      <w:r w:rsidRPr="00C66720">
        <w:rPr>
          <w:b w:val="0"/>
          <w:bCs w:val="0"/>
          <w:sz w:val="22"/>
          <w:szCs w:val="22"/>
        </w:rPr>
        <w:t xml:space="preserve"> tis. eur), Železničná spoločnosť Cargo Slovakia, a.s. (</w:t>
      </w:r>
      <w:r w:rsidR="00881FA2" w:rsidRPr="00C66720">
        <w:rPr>
          <w:b w:val="0"/>
          <w:bCs w:val="0"/>
          <w:sz w:val="22"/>
          <w:szCs w:val="22"/>
        </w:rPr>
        <w:t>42 674</w:t>
      </w:r>
      <w:r w:rsidRPr="00C66720">
        <w:rPr>
          <w:b w:val="0"/>
          <w:bCs w:val="0"/>
          <w:sz w:val="22"/>
          <w:szCs w:val="22"/>
        </w:rPr>
        <w:t xml:space="preserve"> tis. eur) a ďalšie obchodné spoločnosti štátu.</w:t>
      </w:r>
      <w:r w:rsidR="009F640D" w:rsidRPr="00C66720">
        <w:rPr>
          <w:b w:val="0"/>
          <w:bCs w:val="0"/>
          <w:sz w:val="22"/>
          <w:szCs w:val="22"/>
        </w:rPr>
        <w:br/>
      </w:r>
      <w:r w:rsidR="00386F23" w:rsidRPr="00C66720">
        <w:rPr>
          <w:b w:val="0"/>
          <w:bCs w:val="0"/>
          <w:sz w:val="22"/>
          <w:szCs w:val="22"/>
        </w:rPr>
        <w:t>Tie tvoria spolu takmer 78</w:t>
      </w:r>
      <w:r w:rsidRPr="00C66720">
        <w:rPr>
          <w:b w:val="0"/>
          <w:bCs w:val="0"/>
          <w:sz w:val="22"/>
          <w:szCs w:val="22"/>
        </w:rPr>
        <w:t xml:space="preserve"> % z celkovej hodnoty pohľadávok voči odberateľom (medziročný rast </w:t>
      </w:r>
      <w:r w:rsidR="00BF43D5" w:rsidRPr="00C66720">
        <w:rPr>
          <w:b w:val="0"/>
          <w:bCs w:val="0"/>
          <w:sz w:val="22"/>
          <w:szCs w:val="22"/>
        </w:rPr>
        <w:br/>
      </w:r>
      <w:r w:rsidR="008904B4" w:rsidRPr="00C66720">
        <w:rPr>
          <w:b w:val="0"/>
          <w:bCs w:val="0"/>
          <w:sz w:val="22"/>
          <w:szCs w:val="22"/>
        </w:rPr>
        <w:t xml:space="preserve">je </w:t>
      </w:r>
      <w:r w:rsidRPr="00C66720">
        <w:rPr>
          <w:b w:val="0"/>
          <w:bCs w:val="0"/>
          <w:sz w:val="22"/>
          <w:szCs w:val="22"/>
        </w:rPr>
        <w:t>o</w:t>
      </w:r>
      <w:r w:rsidR="009F640D" w:rsidRPr="00C66720">
        <w:rPr>
          <w:b w:val="0"/>
          <w:bCs w:val="0"/>
          <w:sz w:val="22"/>
          <w:szCs w:val="22"/>
        </w:rPr>
        <w:t> </w:t>
      </w:r>
      <w:r w:rsidR="00386F23" w:rsidRPr="00C66720">
        <w:rPr>
          <w:b w:val="0"/>
          <w:bCs w:val="0"/>
          <w:sz w:val="22"/>
          <w:szCs w:val="22"/>
        </w:rPr>
        <w:t>55</w:t>
      </w:r>
      <w:r w:rsidRPr="00C66720">
        <w:rPr>
          <w:b w:val="0"/>
          <w:bCs w:val="0"/>
          <w:sz w:val="22"/>
          <w:szCs w:val="22"/>
        </w:rPr>
        <w:t xml:space="preserve"> p. b pri náraste hodnoty o</w:t>
      </w:r>
      <w:r w:rsidR="00386F23" w:rsidRPr="00C66720">
        <w:rPr>
          <w:b w:val="0"/>
          <w:bCs w:val="0"/>
          <w:sz w:val="22"/>
          <w:szCs w:val="22"/>
        </w:rPr>
        <w:t> 328 762</w:t>
      </w:r>
      <w:r w:rsidRPr="00C66720">
        <w:rPr>
          <w:b w:val="0"/>
          <w:bCs w:val="0"/>
          <w:sz w:val="22"/>
          <w:szCs w:val="22"/>
        </w:rPr>
        <w:t xml:space="preserve"> tis. eur).</w:t>
      </w:r>
      <w:r w:rsidR="00F46028" w:rsidRPr="00C66720">
        <w:rPr>
          <w:b w:val="0"/>
          <w:bCs w:val="0"/>
          <w:sz w:val="22"/>
          <w:szCs w:val="22"/>
        </w:rPr>
        <w:t xml:space="preserve"> </w:t>
      </w:r>
      <w:r w:rsidR="00790FDD">
        <w:rPr>
          <w:b w:val="0"/>
          <w:bCs w:val="0"/>
          <w:sz w:val="22"/>
          <w:szCs w:val="22"/>
        </w:rPr>
        <w:t xml:space="preserve">Najväčší nárast vykazuje SPP, a.s. </w:t>
      </w:r>
      <w:r w:rsidR="00C71840">
        <w:rPr>
          <w:b w:val="0"/>
          <w:bCs w:val="0"/>
          <w:sz w:val="22"/>
          <w:szCs w:val="22"/>
        </w:rPr>
        <w:br/>
      </w:r>
      <w:r w:rsidR="00790FDD">
        <w:rPr>
          <w:b w:val="0"/>
          <w:bCs w:val="0"/>
          <w:sz w:val="22"/>
          <w:szCs w:val="22"/>
        </w:rPr>
        <w:t>(o 337 899 tis. eur)</w:t>
      </w:r>
      <w:r w:rsidR="006B1FB7">
        <w:rPr>
          <w:b w:val="0"/>
          <w:bCs w:val="0"/>
          <w:sz w:val="22"/>
          <w:szCs w:val="22"/>
        </w:rPr>
        <w:t xml:space="preserve"> z predaja zemného plynu a elektrickej energie.</w:t>
      </w:r>
    </w:p>
    <w:p w14:paraId="7CFD5E85" w14:textId="7A1D16C2" w:rsidR="004B765C" w:rsidRPr="00C66720" w:rsidRDefault="004B765C" w:rsidP="008F097E">
      <w:pPr>
        <w:pStyle w:val="Pismenka"/>
        <w:numPr>
          <w:ilvl w:val="0"/>
          <w:numId w:val="44"/>
        </w:numPr>
        <w:spacing w:after="120"/>
        <w:ind w:left="284" w:hanging="284"/>
        <w:rPr>
          <w:i/>
          <w:sz w:val="22"/>
          <w:szCs w:val="22"/>
          <w:u w:val="single"/>
        </w:rPr>
      </w:pPr>
      <w:bookmarkStart w:id="25" w:name="_Ref86091885"/>
      <w:r w:rsidRPr="00C66720">
        <w:rPr>
          <w:i/>
          <w:sz w:val="22"/>
          <w:szCs w:val="22"/>
          <w:u w:val="single"/>
        </w:rPr>
        <w:t>Poskytnuté preddavky</w:t>
      </w:r>
      <w:bookmarkEnd w:id="25"/>
    </w:p>
    <w:p w14:paraId="234A382E" w14:textId="0E4F473F" w:rsidR="00F2404B" w:rsidRPr="00C66720" w:rsidRDefault="00E11C32" w:rsidP="008904B4">
      <w:pPr>
        <w:pStyle w:val="Pismenka"/>
        <w:tabs>
          <w:tab w:val="clear" w:pos="426"/>
        </w:tabs>
        <w:spacing w:after="120"/>
        <w:ind w:left="0" w:firstLine="0"/>
        <w:rPr>
          <w:b w:val="0"/>
          <w:bCs w:val="0"/>
          <w:sz w:val="22"/>
          <w:szCs w:val="22"/>
        </w:rPr>
      </w:pPr>
      <w:r w:rsidRPr="00C66720">
        <w:rPr>
          <w:b w:val="0"/>
          <w:bCs w:val="0"/>
          <w:sz w:val="22"/>
          <w:szCs w:val="22"/>
        </w:rPr>
        <w:t xml:space="preserve">Poskytnuté prevádzkové preddavky vykazuje najmä ústredná správa, a to </w:t>
      </w:r>
      <w:r w:rsidR="00165D17" w:rsidRPr="00C66720">
        <w:rPr>
          <w:b w:val="0"/>
          <w:bCs w:val="0"/>
          <w:sz w:val="22"/>
          <w:szCs w:val="22"/>
        </w:rPr>
        <w:t>605 290</w:t>
      </w:r>
      <w:r w:rsidRPr="00C66720">
        <w:rPr>
          <w:b w:val="0"/>
          <w:bCs w:val="0"/>
          <w:sz w:val="22"/>
          <w:szCs w:val="22"/>
        </w:rPr>
        <w:t xml:space="preserve"> tis. eur a medziročný prírastok činil </w:t>
      </w:r>
      <w:r w:rsidR="00165D17" w:rsidRPr="00C66720">
        <w:rPr>
          <w:b w:val="0"/>
          <w:bCs w:val="0"/>
          <w:sz w:val="22"/>
          <w:szCs w:val="22"/>
        </w:rPr>
        <w:t>95 607</w:t>
      </w:r>
      <w:r w:rsidRPr="00C66720">
        <w:rPr>
          <w:b w:val="0"/>
          <w:bCs w:val="0"/>
          <w:sz w:val="22"/>
          <w:szCs w:val="22"/>
        </w:rPr>
        <w:t xml:space="preserve"> tis. eur. V rámci nich vykazuje významnú hodno</w:t>
      </w:r>
      <w:r w:rsidR="00A96EED" w:rsidRPr="00C66720">
        <w:rPr>
          <w:b w:val="0"/>
          <w:bCs w:val="0"/>
          <w:sz w:val="22"/>
          <w:szCs w:val="22"/>
        </w:rPr>
        <w:t xml:space="preserve">tu Ministerstvo obrany SR </w:t>
      </w:r>
      <w:r w:rsidR="00A96EED" w:rsidRPr="00C66720">
        <w:rPr>
          <w:b w:val="0"/>
          <w:bCs w:val="0"/>
          <w:sz w:val="22"/>
          <w:szCs w:val="22"/>
        </w:rPr>
        <w:br/>
      </w:r>
      <w:r w:rsidR="008D7619" w:rsidRPr="00C66720">
        <w:rPr>
          <w:b w:val="0"/>
          <w:bCs w:val="0"/>
          <w:sz w:val="22"/>
          <w:szCs w:val="22"/>
        </w:rPr>
        <w:t>360 740</w:t>
      </w:r>
      <w:r w:rsidRPr="00C66720">
        <w:rPr>
          <w:b w:val="0"/>
          <w:bCs w:val="0"/>
          <w:sz w:val="22"/>
          <w:szCs w:val="22"/>
        </w:rPr>
        <w:t xml:space="preserve"> tis. eur, </w:t>
      </w:r>
      <w:r w:rsidR="00F2404B" w:rsidRPr="00C66720">
        <w:rPr>
          <w:b w:val="0"/>
          <w:bCs w:val="0"/>
          <w:sz w:val="22"/>
          <w:szCs w:val="22"/>
        </w:rPr>
        <w:t xml:space="preserve">Ministerstvo investícií, regionálneho rozvoja a informatizácie SR 57 686 </w:t>
      </w:r>
      <w:r w:rsidR="0022609A" w:rsidRPr="00C66720">
        <w:rPr>
          <w:b w:val="0"/>
          <w:bCs w:val="0"/>
          <w:sz w:val="22"/>
          <w:szCs w:val="22"/>
        </w:rPr>
        <w:t>tis. eur</w:t>
      </w:r>
      <w:r w:rsidR="00F2404B" w:rsidRPr="00C66720">
        <w:rPr>
          <w:b w:val="0"/>
          <w:bCs w:val="0"/>
          <w:sz w:val="22"/>
          <w:szCs w:val="22"/>
        </w:rPr>
        <w:t xml:space="preserve">, Ministerstvo školstva, vedy, výskumu a športu SR 49 698 tis. eur, Ministerstvo hospodárstva SR </w:t>
      </w:r>
      <w:r w:rsidR="0022609A" w:rsidRPr="00C66720">
        <w:rPr>
          <w:b w:val="0"/>
          <w:bCs w:val="0"/>
          <w:sz w:val="22"/>
          <w:szCs w:val="22"/>
        </w:rPr>
        <w:br/>
      </w:r>
      <w:r w:rsidR="00F2404B" w:rsidRPr="00C66720">
        <w:rPr>
          <w:b w:val="0"/>
          <w:bCs w:val="0"/>
          <w:sz w:val="22"/>
          <w:szCs w:val="22"/>
        </w:rPr>
        <w:t>37 354 tis. eur a Ministerstvo práce, sociálnych vecí a rodiny SR 37 319 tis. eur.</w:t>
      </w:r>
    </w:p>
    <w:p w14:paraId="126CF3C9" w14:textId="61AA353D" w:rsidR="00FA7C6E" w:rsidRPr="00C66720" w:rsidRDefault="00FA7C6E" w:rsidP="008904B4">
      <w:pPr>
        <w:pStyle w:val="Pismenka"/>
        <w:tabs>
          <w:tab w:val="clear" w:pos="426"/>
        </w:tabs>
        <w:spacing w:after="120"/>
        <w:ind w:left="0" w:firstLine="0"/>
        <w:rPr>
          <w:b w:val="0"/>
          <w:bCs w:val="0"/>
          <w:sz w:val="22"/>
          <w:szCs w:val="22"/>
        </w:rPr>
      </w:pPr>
      <w:r w:rsidRPr="00C66720">
        <w:rPr>
          <w:b w:val="0"/>
          <w:bCs w:val="0"/>
          <w:sz w:val="22"/>
          <w:szCs w:val="22"/>
        </w:rPr>
        <w:t xml:space="preserve">Najvyššiu sumu poskytnutých prevádzkových preddavkov dosiahlo Ministerstvo obrany SR </w:t>
      </w:r>
      <w:r w:rsidR="004B4674" w:rsidRPr="00C66720">
        <w:rPr>
          <w:b w:val="0"/>
          <w:bCs w:val="0"/>
          <w:sz w:val="22"/>
          <w:szCs w:val="22"/>
        </w:rPr>
        <w:br/>
      </w:r>
      <w:r w:rsidRPr="00C66720">
        <w:rPr>
          <w:b w:val="0"/>
          <w:bCs w:val="0"/>
          <w:sz w:val="22"/>
          <w:szCs w:val="22"/>
        </w:rPr>
        <w:t>(360 740 tis. eur, medziročne viac o 22 928 tis. eur), pričom ide najmä o poskytnuté preddavky na logistickú podporu a iné služby k obstarávaním taktickým stíhacím lietadlá F-16 a viacúčelovým vrtuľníkom UH-60M Black Hawk, na muníciu a </w:t>
      </w:r>
      <w:r w:rsidR="00A300D6" w:rsidRPr="00C66720">
        <w:rPr>
          <w:b w:val="0"/>
          <w:bCs w:val="0"/>
          <w:sz w:val="22"/>
          <w:szCs w:val="22"/>
        </w:rPr>
        <w:t>opravy</w:t>
      </w:r>
      <w:r w:rsidRPr="00C66720">
        <w:rPr>
          <w:b w:val="0"/>
          <w:bCs w:val="0"/>
          <w:sz w:val="22"/>
          <w:szCs w:val="22"/>
        </w:rPr>
        <w:t xml:space="preserve"> lietadiel MIG. Nárast oproti roku 2021 spôsobili najmä poskytnuté preddavky na muníciu (20 408 tis. eur).</w:t>
      </w:r>
    </w:p>
    <w:p w14:paraId="7B3069EE" w14:textId="3055B124" w:rsidR="00DF72C5" w:rsidRPr="00C66720" w:rsidRDefault="00E11C32" w:rsidP="008904B4">
      <w:pPr>
        <w:pStyle w:val="Pismenka"/>
        <w:tabs>
          <w:tab w:val="clear" w:pos="426"/>
        </w:tabs>
        <w:spacing w:after="240"/>
        <w:ind w:left="0" w:firstLine="0"/>
        <w:rPr>
          <w:b w:val="0"/>
          <w:bCs w:val="0"/>
          <w:sz w:val="22"/>
          <w:szCs w:val="22"/>
        </w:rPr>
      </w:pPr>
      <w:r w:rsidRPr="00C66720">
        <w:rPr>
          <w:b w:val="0"/>
          <w:bCs w:val="0"/>
          <w:sz w:val="22"/>
          <w:szCs w:val="22"/>
        </w:rPr>
        <w:t xml:space="preserve">Prírastok v ústrednej správe tvorili </w:t>
      </w:r>
      <w:r w:rsidR="00C82B2D" w:rsidRPr="00C66720">
        <w:rPr>
          <w:b w:val="0"/>
          <w:bCs w:val="0"/>
          <w:sz w:val="22"/>
          <w:szCs w:val="22"/>
        </w:rPr>
        <w:t xml:space="preserve">najmä </w:t>
      </w:r>
      <w:r w:rsidRPr="00C66720">
        <w:rPr>
          <w:b w:val="0"/>
          <w:bCs w:val="0"/>
          <w:sz w:val="22"/>
          <w:szCs w:val="22"/>
        </w:rPr>
        <w:t>poskytnuté preddavk</w:t>
      </w:r>
      <w:r w:rsidR="00402337" w:rsidRPr="00C66720">
        <w:rPr>
          <w:b w:val="0"/>
          <w:bCs w:val="0"/>
          <w:sz w:val="22"/>
          <w:szCs w:val="22"/>
        </w:rPr>
        <w:t xml:space="preserve">y </w:t>
      </w:r>
      <w:r w:rsidR="00DF72C5" w:rsidRPr="00C66720">
        <w:rPr>
          <w:b w:val="0"/>
          <w:bCs w:val="0"/>
          <w:sz w:val="22"/>
          <w:szCs w:val="22"/>
        </w:rPr>
        <w:t>Ministerstva investícií, regionálneho rozvoja a informatizácie SR (</w:t>
      </w:r>
      <w:r w:rsidR="00C82B2D" w:rsidRPr="00C66720">
        <w:rPr>
          <w:b w:val="0"/>
          <w:bCs w:val="0"/>
          <w:sz w:val="22"/>
          <w:szCs w:val="22"/>
        </w:rPr>
        <w:t xml:space="preserve">o </w:t>
      </w:r>
      <w:r w:rsidR="00DF72C5" w:rsidRPr="00C66720">
        <w:rPr>
          <w:b w:val="0"/>
          <w:bCs w:val="0"/>
          <w:sz w:val="22"/>
          <w:szCs w:val="22"/>
        </w:rPr>
        <w:t>41 872 tis. eur)</w:t>
      </w:r>
      <w:r w:rsidR="00C82B2D" w:rsidRPr="00C66720">
        <w:rPr>
          <w:b w:val="0"/>
          <w:bCs w:val="0"/>
          <w:sz w:val="22"/>
          <w:szCs w:val="22"/>
        </w:rPr>
        <w:t xml:space="preserve"> v súvislosti s predfinancovaním a poskytovaním zálohových platieb v rámci operačných programov Informatizácia spoločnosti a Integrovaný regionálny rozvoj a cezhraničná spolupráca, ktoré k 31. 12. 2022 neboli zúčtované. Medziročný nárast súvisí so zvýšenou intenzitou implementovania uvedených operačných programov a administratívnym procesom zúčtovania zálohových platieb.</w:t>
      </w:r>
    </w:p>
    <w:p w14:paraId="0BE3626B" w14:textId="70F26C1D" w:rsidR="00DB2DF8" w:rsidRPr="00C66720" w:rsidRDefault="00DB2DF8" w:rsidP="008F097E">
      <w:pPr>
        <w:pStyle w:val="Pismenka"/>
        <w:numPr>
          <w:ilvl w:val="0"/>
          <w:numId w:val="44"/>
        </w:numPr>
        <w:spacing w:after="120"/>
        <w:ind w:left="284" w:hanging="284"/>
        <w:rPr>
          <w:i/>
          <w:sz w:val="22"/>
          <w:szCs w:val="22"/>
          <w:u w:val="single"/>
        </w:rPr>
      </w:pPr>
      <w:bookmarkStart w:id="26" w:name="_Ref86091923"/>
      <w:r w:rsidRPr="00C66720">
        <w:rPr>
          <w:i/>
          <w:sz w:val="22"/>
          <w:szCs w:val="22"/>
          <w:u w:val="single"/>
        </w:rPr>
        <w:t>Po</w:t>
      </w:r>
      <w:r w:rsidR="007D60F6" w:rsidRPr="00C66720">
        <w:rPr>
          <w:i/>
          <w:sz w:val="22"/>
          <w:szCs w:val="22"/>
          <w:u w:val="single"/>
        </w:rPr>
        <w:t>hľadávky zo zúčtovania s</w:t>
      </w:r>
      <w:r w:rsidR="00AC03A8" w:rsidRPr="00C66720">
        <w:rPr>
          <w:i/>
          <w:sz w:val="22"/>
          <w:szCs w:val="22"/>
          <w:u w:val="single"/>
        </w:rPr>
        <w:t> </w:t>
      </w:r>
      <w:r w:rsidR="007D60F6" w:rsidRPr="00C66720">
        <w:rPr>
          <w:i/>
          <w:sz w:val="22"/>
          <w:szCs w:val="22"/>
          <w:u w:val="single"/>
        </w:rPr>
        <w:t>EÚ</w:t>
      </w:r>
      <w:bookmarkEnd w:id="26"/>
    </w:p>
    <w:p w14:paraId="40D1868C" w14:textId="0FD23F17" w:rsidR="003D2C95" w:rsidRPr="00C66720" w:rsidRDefault="00AC03A8" w:rsidP="008904B4">
      <w:pPr>
        <w:pStyle w:val="Pismenka"/>
        <w:tabs>
          <w:tab w:val="clear" w:pos="426"/>
        </w:tabs>
        <w:spacing w:after="240"/>
        <w:ind w:left="0" w:firstLine="0"/>
        <w:rPr>
          <w:b w:val="0"/>
          <w:bCs w:val="0"/>
          <w:sz w:val="22"/>
          <w:szCs w:val="22"/>
        </w:rPr>
      </w:pPr>
      <w:r w:rsidRPr="00C66720">
        <w:rPr>
          <w:b w:val="0"/>
          <w:bCs w:val="0"/>
          <w:sz w:val="22"/>
          <w:szCs w:val="22"/>
        </w:rPr>
        <w:t>Pohľadávky zo zúčtovania s</w:t>
      </w:r>
      <w:r w:rsidR="00B675AB" w:rsidRPr="00C66720">
        <w:rPr>
          <w:b w:val="0"/>
          <w:bCs w:val="0"/>
          <w:sz w:val="22"/>
          <w:szCs w:val="22"/>
        </w:rPr>
        <w:t> </w:t>
      </w:r>
      <w:r w:rsidRPr="00C66720">
        <w:rPr>
          <w:b w:val="0"/>
          <w:bCs w:val="0"/>
          <w:sz w:val="22"/>
          <w:szCs w:val="22"/>
        </w:rPr>
        <w:t>EÚ</w:t>
      </w:r>
      <w:r w:rsidR="00B675AB" w:rsidRPr="00C66720">
        <w:rPr>
          <w:b w:val="0"/>
          <w:bCs w:val="0"/>
          <w:sz w:val="22"/>
          <w:szCs w:val="22"/>
        </w:rPr>
        <w:t>, ktoré boli medziročne nižšie o</w:t>
      </w:r>
      <w:r w:rsidR="00266E3F" w:rsidRPr="00C66720">
        <w:rPr>
          <w:b w:val="0"/>
          <w:bCs w:val="0"/>
          <w:sz w:val="22"/>
          <w:szCs w:val="22"/>
        </w:rPr>
        <w:t> 61 589</w:t>
      </w:r>
      <w:r w:rsidR="00B675AB" w:rsidRPr="00C66720">
        <w:rPr>
          <w:b w:val="0"/>
          <w:bCs w:val="0"/>
          <w:sz w:val="22"/>
          <w:szCs w:val="22"/>
        </w:rPr>
        <w:t xml:space="preserve"> tis. eur,</w:t>
      </w:r>
      <w:r w:rsidRPr="00C66720">
        <w:rPr>
          <w:b w:val="0"/>
          <w:bCs w:val="0"/>
          <w:sz w:val="22"/>
          <w:szCs w:val="22"/>
        </w:rPr>
        <w:t xml:space="preserve"> vykazuje Jadrová a vyraďovacia spoločnosť, a.s. úhrnom</w:t>
      </w:r>
      <w:r w:rsidR="00B675AB" w:rsidRPr="00C66720">
        <w:rPr>
          <w:b w:val="0"/>
          <w:bCs w:val="0"/>
          <w:sz w:val="22"/>
          <w:szCs w:val="22"/>
        </w:rPr>
        <w:t xml:space="preserve"> </w:t>
      </w:r>
      <w:r w:rsidR="00390714" w:rsidRPr="00C66720">
        <w:rPr>
          <w:b w:val="0"/>
          <w:bCs w:val="0"/>
          <w:sz w:val="22"/>
          <w:szCs w:val="22"/>
        </w:rPr>
        <w:t>47 674</w:t>
      </w:r>
      <w:r w:rsidRPr="00C66720">
        <w:rPr>
          <w:b w:val="0"/>
          <w:bCs w:val="0"/>
          <w:sz w:val="22"/>
          <w:szCs w:val="22"/>
        </w:rPr>
        <w:t xml:space="preserve"> tis. eur, z dôvodu pokračujúceho projektu vyraďovania jadrových zariadení na území SR, ďalej Vodohospodárska výstavba, š. p. v hodnote </w:t>
      </w:r>
      <w:r w:rsidR="00390714" w:rsidRPr="00C66720">
        <w:rPr>
          <w:b w:val="0"/>
          <w:bCs w:val="0"/>
          <w:sz w:val="22"/>
          <w:szCs w:val="22"/>
        </w:rPr>
        <w:t>32 893</w:t>
      </w:r>
      <w:r w:rsidRPr="00C66720">
        <w:rPr>
          <w:b w:val="0"/>
          <w:bCs w:val="0"/>
          <w:sz w:val="22"/>
          <w:szCs w:val="22"/>
        </w:rPr>
        <w:t xml:space="preserve"> tis. eur</w:t>
      </w:r>
      <w:r w:rsidR="00B675AB" w:rsidRPr="00C66720">
        <w:rPr>
          <w:b w:val="0"/>
          <w:bCs w:val="0"/>
          <w:sz w:val="22"/>
          <w:szCs w:val="22"/>
        </w:rPr>
        <w:t xml:space="preserve"> v rámci realizácie projektu modernizácie plavebnej komory vodného diela Gabčíkovo a ostatných projektov financovaných z fondov EÚ</w:t>
      </w:r>
      <w:r w:rsidRPr="00C66720">
        <w:rPr>
          <w:b w:val="0"/>
          <w:bCs w:val="0"/>
          <w:sz w:val="22"/>
          <w:szCs w:val="22"/>
        </w:rPr>
        <w:t xml:space="preserve"> a Slovenská elektrizačná a prenosová sústava, a.s. </w:t>
      </w:r>
      <w:r w:rsidR="00390714" w:rsidRPr="00C66720">
        <w:rPr>
          <w:b w:val="0"/>
          <w:bCs w:val="0"/>
          <w:sz w:val="22"/>
          <w:szCs w:val="22"/>
        </w:rPr>
        <w:t>15 789</w:t>
      </w:r>
      <w:r w:rsidRPr="00C66720">
        <w:rPr>
          <w:b w:val="0"/>
          <w:bCs w:val="0"/>
          <w:sz w:val="22"/>
          <w:szCs w:val="22"/>
        </w:rPr>
        <w:t xml:space="preserve"> tis. eur v rámci spolufinancovania viacerých projektov rozvíjajúcich spoločné aktivity s EÚ. </w:t>
      </w:r>
    </w:p>
    <w:p w14:paraId="6590193C" w14:textId="6EDBD9E4" w:rsidR="00B134C4" w:rsidRPr="00C66720" w:rsidRDefault="00B134C4" w:rsidP="008F097E">
      <w:pPr>
        <w:pStyle w:val="Pismenka"/>
        <w:numPr>
          <w:ilvl w:val="0"/>
          <w:numId w:val="44"/>
        </w:numPr>
        <w:spacing w:after="120"/>
        <w:ind w:left="284" w:hanging="284"/>
        <w:rPr>
          <w:i/>
          <w:sz w:val="22"/>
          <w:szCs w:val="22"/>
          <w:u w:val="single"/>
        </w:rPr>
      </w:pPr>
      <w:bookmarkStart w:id="27" w:name="_Ref86091935"/>
      <w:r w:rsidRPr="00C66720">
        <w:rPr>
          <w:i/>
          <w:sz w:val="22"/>
          <w:szCs w:val="22"/>
          <w:u w:val="single"/>
        </w:rPr>
        <w:t>Zúčtovanie medzi subjektami verejnej správy</w:t>
      </w:r>
      <w:bookmarkEnd w:id="27"/>
    </w:p>
    <w:p w14:paraId="62E126FD" w14:textId="605F243A" w:rsidR="00AC7687" w:rsidRPr="00C66720" w:rsidRDefault="00B134C4" w:rsidP="008F332E">
      <w:pPr>
        <w:spacing w:after="240" w:line="240" w:lineRule="auto"/>
        <w:jc w:val="both"/>
        <w:rPr>
          <w:rFonts w:ascii="Times New Roman" w:hAnsi="Times New Roman"/>
          <w:color w:val="FF0000"/>
          <w:szCs w:val="22"/>
          <w:lang w:eastAsia="sk-SK"/>
        </w:rPr>
      </w:pPr>
      <w:r w:rsidRPr="00C66720">
        <w:rPr>
          <w:rFonts w:ascii="Times New Roman" w:hAnsi="Times New Roman"/>
          <w:szCs w:val="22"/>
          <w:lang w:eastAsia="sk-SK"/>
        </w:rPr>
        <w:t xml:space="preserve">Zúčtovacie vzťahy sa používajú na zaznamenanie poskytnutých a prijatých bežných a kapitálových transferov medzi subjektmi verejnej správy. Z účtovného pohľadu ide </w:t>
      </w:r>
      <w:r w:rsidR="00121B74" w:rsidRPr="00C66720">
        <w:rPr>
          <w:rFonts w:ascii="Times New Roman" w:hAnsi="Times New Roman"/>
          <w:szCs w:val="22"/>
          <w:lang w:eastAsia="sk-SK"/>
        </w:rPr>
        <w:t>zaznamenanie</w:t>
      </w:r>
      <w:r w:rsidRPr="00C66720">
        <w:rPr>
          <w:rFonts w:ascii="Times New Roman" w:hAnsi="Times New Roman"/>
          <w:szCs w:val="22"/>
          <w:lang w:eastAsia="sk-SK"/>
        </w:rPr>
        <w:t xml:space="preserve"> prostriedk</w:t>
      </w:r>
      <w:r w:rsidR="00121B74" w:rsidRPr="00C66720">
        <w:rPr>
          <w:rFonts w:ascii="Times New Roman" w:hAnsi="Times New Roman"/>
          <w:szCs w:val="22"/>
          <w:lang w:eastAsia="sk-SK"/>
        </w:rPr>
        <w:t>ov</w:t>
      </w:r>
      <w:r w:rsidRPr="00C66720">
        <w:rPr>
          <w:rFonts w:ascii="Times New Roman" w:hAnsi="Times New Roman"/>
          <w:szCs w:val="22"/>
          <w:lang w:eastAsia="sk-SK"/>
        </w:rPr>
        <w:t xml:space="preserve"> štátneho rozpočtu, rozpočtu obce a vyššieho územného celku, ktoré sú poskytované ostatným organizáciám v rámci verejnej správy</w:t>
      </w:r>
      <w:r w:rsidR="00121B74" w:rsidRPr="00C66720">
        <w:rPr>
          <w:rFonts w:ascii="Times New Roman" w:hAnsi="Times New Roman"/>
          <w:szCs w:val="22"/>
          <w:lang w:eastAsia="sk-SK"/>
        </w:rPr>
        <w:t>, a tieto ich majú následne zúčtovať</w:t>
      </w:r>
      <w:r w:rsidRPr="00C66720">
        <w:rPr>
          <w:rFonts w:ascii="Times New Roman" w:hAnsi="Times New Roman"/>
          <w:szCs w:val="22"/>
          <w:lang w:eastAsia="sk-SK"/>
        </w:rPr>
        <w:t>.</w:t>
      </w:r>
      <w:r w:rsidR="002E414C" w:rsidRPr="00C66720">
        <w:rPr>
          <w:rFonts w:ascii="Times New Roman" w:hAnsi="Times New Roman"/>
          <w:szCs w:val="22"/>
          <w:lang w:eastAsia="sk-SK"/>
        </w:rPr>
        <w:t xml:space="preserve"> Hodnota transferov k 31.12.2022</w:t>
      </w:r>
      <w:r w:rsidRPr="00C66720">
        <w:rPr>
          <w:rFonts w:ascii="Times New Roman" w:hAnsi="Times New Roman"/>
          <w:szCs w:val="22"/>
          <w:lang w:eastAsia="sk-SK"/>
        </w:rPr>
        <w:t xml:space="preserve"> bola </w:t>
      </w:r>
      <w:r w:rsidR="00442EAB" w:rsidRPr="00C66720">
        <w:rPr>
          <w:rFonts w:ascii="Times New Roman" w:hAnsi="Times New Roman"/>
          <w:szCs w:val="22"/>
          <w:lang w:eastAsia="sk-SK"/>
        </w:rPr>
        <w:t>78 037</w:t>
      </w:r>
      <w:r w:rsidRPr="00C66720">
        <w:rPr>
          <w:rFonts w:ascii="Times New Roman" w:hAnsi="Times New Roman"/>
          <w:szCs w:val="22"/>
          <w:lang w:eastAsia="sk-SK"/>
        </w:rPr>
        <w:t xml:space="preserve"> tis. eur, z toho </w:t>
      </w:r>
      <w:r w:rsidR="002E414C" w:rsidRPr="00C66720">
        <w:rPr>
          <w:rFonts w:ascii="Times New Roman" w:hAnsi="Times New Roman"/>
          <w:szCs w:val="22"/>
          <w:lang w:eastAsia="sk-SK"/>
        </w:rPr>
        <w:t>obce 50 685 tis. eur,</w:t>
      </w:r>
      <w:r w:rsidR="00BE2699" w:rsidRPr="00C66720">
        <w:rPr>
          <w:rFonts w:ascii="Times New Roman" w:hAnsi="Times New Roman"/>
          <w:szCs w:val="22"/>
          <w:lang w:eastAsia="sk-SK"/>
        </w:rPr>
        <w:t xml:space="preserve"> ostatné subjekty verejnej správy </w:t>
      </w:r>
      <w:r w:rsidR="00BE2699" w:rsidRPr="00C66720">
        <w:rPr>
          <w:rFonts w:ascii="Times New Roman" w:hAnsi="Times New Roman"/>
          <w:szCs w:val="22"/>
          <w:lang w:eastAsia="sk-SK"/>
        </w:rPr>
        <w:br/>
        <w:t xml:space="preserve">11 838  tis. eur, </w:t>
      </w:r>
      <w:r w:rsidR="002E414C" w:rsidRPr="00C66720">
        <w:rPr>
          <w:rFonts w:ascii="Times New Roman" w:hAnsi="Times New Roman"/>
          <w:szCs w:val="22"/>
          <w:lang w:eastAsia="sk-SK"/>
        </w:rPr>
        <w:t xml:space="preserve">subjekty ústrednej správy </w:t>
      </w:r>
      <w:r w:rsidR="00BE2699" w:rsidRPr="00C66720">
        <w:rPr>
          <w:rFonts w:ascii="Times New Roman" w:hAnsi="Times New Roman"/>
          <w:szCs w:val="22"/>
          <w:lang w:eastAsia="sk-SK"/>
        </w:rPr>
        <w:t xml:space="preserve">10 861 tis. eur </w:t>
      </w:r>
      <w:r w:rsidR="002E414C" w:rsidRPr="00C66720">
        <w:rPr>
          <w:rFonts w:ascii="Times New Roman" w:hAnsi="Times New Roman"/>
          <w:szCs w:val="22"/>
          <w:lang w:eastAsia="sk-SK"/>
        </w:rPr>
        <w:t xml:space="preserve">a vyššie územné celky </w:t>
      </w:r>
      <w:r w:rsidR="00B601C0" w:rsidRPr="00C66720">
        <w:rPr>
          <w:rFonts w:ascii="Times New Roman" w:hAnsi="Times New Roman"/>
          <w:szCs w:val="22"/>
          <w:lang w:eastAsia="sk-SK"/>
        </w:rPr>
        <w:t xml:space="preserve">vykázali </w:t>
      </w:r>
      <w:r w:rsidR="002E414C" w:rsidRPr="00C66720">
        <w:rPr>
          <w:rFonts w:ascii="Times New Roman" w:hAnsi="Times New Roman"/>
          <w:szCs w:val="22"/>
          <w:lang w:eastAsia="sk-SK"/>
        </w:rPr>
        <w:t>4 652 tis. eur</w:t>
      </w:r>
      <w:r w:rsidR="00B601C0" w:rsidRPr="00C66720">
        <w:rPr>
          <w:rFonts w:ascii="Times New Roman" w:hAnsi="Times New Roman"/>
          <w:szCs w:val="22"/>
          <w:lang w:eastAsia="sk-SK"/>
        </w:rPr>
        <w:t>.</w:t>
      </w:r>
      <w:r w:rsidRPr="00C66720">
        <w:rPr>
          <w:rFonts w:ascii="Times New Roman" w:hAnsi="Times New Roman"/>
          <w:szCs w:val="22"/>
          <w:lang w:eastAsia="sk-SK"/>
        </w:rPr>
        <w:t xml:space="preserve"> </w:t>
      </w:r>
    </w:p>
    <w:p w14:paraId="72DA746A" w14:textId="7E1653D3" w:rsidR="00CA79E1" w:rsidRPr="00C66720" w:rsidRDefault="00CA79E1" w:rsidP="008F097E">
      <w:pPr>
        <w:pStyle w:val="Pismenka"/>
        <w:numPr>
          <w:ilvl w:val="0"/>
          <w:numId w:val="44"/>
        </w:numPr>
        <w:spacing w:after="120"/>
        <w:ind w:left="284" w:hanging="284"/>
        <w:rPr>
          <w:i/>
          <w:sz w:val="22"/>
          <w:szCs w:val="22"/>
          <w:u w:val="single"/>
        </w:rPr>
      </w:pPr>
      <w:bookmarkStart w:id="28" w:name="_Ref86091951"/>
      <w:r w:rsidRPr="00C66720">
        <w:rPr>
          <w:i/>
          <w:sz w:val="22"/>
          <w:szCs w:val="22"/>
          <w:u w:val="single"/>
        </w:rPr>
        <w:lastRenderedPageBreak/>
        <w:t>Ostatné krátkodobé pohľadávky subjektov verejnej správy</w:t>
      </w:r>
      <w:bookmarkEnd w:id="28"/>
    </w:p>
    <w:p w14:paraId="34367168" w14:textId="62525B79" w:rsidR="00EC7508" w:rsidRPr="00C66720" w:rsidRDefault="00EC7508" w:rsidP="006F6ADA">
      <w:pPr>
        <w:pStyle w:val="Pismenka"/>
        <w:tabs>
          <w:tab w:val="clear" w:pos="426"/>
        </w:tabs>
        <w:spacing w:after="120"/>
        <w:ind w:left="0" w:firstLine="0"/>
        <w:rPr>
          <w:b w:val="0"/>
          <w:bCs w:val="0"/>
          <w:sz w:val="22"/>
          <w:szCs w:val="22"/>
          <w:u w:val="single"/>
        </w:rPr>
      </w:pPr>
      <w:r w:rsidRPr="00C66720">
        <w:rPr>
          <w:b w:val="0"/>
          <w:bCs w:val="0"/>
          <w:sz w:val="22"/>
          <w:szCs w:val="22"/>
        </w:rPr>
        <w:t xml:space="preserve">V rámci nich vykazuje rozhodujúcu hodnotu </w:t>
      </w:r>
      <w:r w:rsidRPr="00C66720">
        <w:rPr>
          <w:b w:val="0"/>
          <w:bCs w:val="0"/>
          <w:sz w:val="22"/>
          <w:szCs w:val="22"/>
          <w:u w:val="single"/>
        </w:rPr>
        <w:t>Ministerstvo financií SR z titulu špecifických operácií štátu</w:t>
      </w:r>
      <w:r w:rsidRPr="00C66720">
        <w:rPr>
          <w:b w:val="0"/>
          <w:bCs w:val="0"/>
          <w:sz w:val="22"/>
          <w:szCs w:val="22"/>
        </w:rPr>
        <w:t xml:space="preserve"> - uloženie voľných finančných prostriedkov v komerčných bankách za účelom ich zhodnotenia</w:t>
      </w:r>
      <w:r w:rsidRPr="00C66720">
        <w:rPr>
          <w:b w:val="0"/>
          <w:bCs w:val="0"/>
          <w:sz w:val="22"/>
          <w:szCs w:val="22"/>
        </w:rPr>
        <w:br/>
        <w:t>(</w:t>
      </w:r>
      <w:r w:rsidR="005C2048" w:rsidRPr="00C66720">
        <w:rPr>
          <w:b w:val="0"/>
          <w:bCs w:val="0"/>
          <w:sz w:val="22"/>
          <w:szCs w:val="22"/>
        </w:rPr>
        <w:t>7 326 144</w:t>
      </w:r>
      <w:r w:rsidRPr="00C66720">
        <w:rPr>
          <w:b w:val="0"/>
          <w:bCs w:val="0"/>
          <w:sz w:val="22"/>
          <w:szCs w:val="22"/>
        </w:rPr>
        <w:t xml:space="preserve"> tis. eur), ktoré boli medziročne vyššie o</w:t>
      </w:r>
      <w:r w:rsidR="005C2048" w:rsidRPr="00C66720">
        <w:rPr>
          <w:b w:val="0"/>
          <w:bCs w:val="0"/>
          <w:sz w:val="22"/>
          <w:szCs w:val="22"/>
        </w:rPr>
        <w:t> 3 741 144</w:t>
      </w:r>
      <w:r w:rsidR="00840E47" w:rsidRPr="00C66720">
        <w:rPr>
          <w:b w:val="0"/>
          <w:bCs w:val="0"/>
          <w:sz w:val="22"/>
          <w:szCs w:val="22"/>
        </w:rPr>
        <w:t xml:space="preserve"> tis. eur</w:t>
      </w:r>
      <w:r w:rsidR="006F5A56">
        <w:rPr>
          <w:b w:val="0"/>
          <w:bCs w:val="0"/>
          <w:sz w:val="22"/>
          <w:szCs w:val="22"/>
        </w:rPr>
        <w:t xml:space="preserve"> z dôvodu uloženia </w:t>
      </w:r>
      <w:r w:rsidR="00C617B9">
        <w:rPr>
          <w:b w:val="0"/>
          <w:bCs w:val="0"/>
          <w:sz w:val="22"/>
          <w:szCs w:val="22"/>
        </w:rPr>
        <w:t>voľných finančných prostriedkov mimo systém štátnej pokladnice</w:t>
      </w:r>
      <w:r w:rsidR="006F5A56">
        <w:rPr>
          <w:b w:val="0"/>
          <w:bCs w:val="0"/>
          <w:sz w:val="22"/>
          <w:szCs w:val="22"/>
        </w:rPr>
        <w:t>.</w:t>
      </w:r>
      <w:r w:rsidR="00C617B9">
        <w:rPr>
          <w:b w:val="0"/>
          <w:bCs w:val="0"/>
          <w:sz w:val="22"/>
          <w:szCs w:val="22"/>
        </w:rPr>
        <w:t xml:space="preserve"> </w:t>
      </w:r>
    </w:p>
    <w:p w14:paraId="5170FE5F" w14:textId="3CD7C67E" w:rsidR="00D9595B" w:rsidRPr="00C66720" w:rsidRDefault="00D9595B" w:rsidP="006F6ADA">
      <w:pPr>
        <w:pStyle w:val="Pismenka"/>
        <w:tabs>
          <w:tab w:val="clear" w:pos="426"/>
        </w:tabs>
        <w:spacing w:after="120"/>
        <w:ind w:left="0" w:firstLine="0"/>
        <w:rPr>
          <w:b w:val="0"/>
          <w:bCs w:val="0"/>
          <w:sz w:val="22"/>
          <w:szCs w:val="22"/>
        </w:rPr>
      </w:pPr>
      <w:r w:rsidRPr="00C66720">
        <w:rPr>
          <w:b w:val="0"/>
          <w:bCs w:val="0"/>
          <w:sz w:val="22"/>
          <w:szCs w:val="22"/>
          <w:u w:val="single"/>
        </w:rPr>
        <w:t>Pohľadávky Sociálnej poisťovne a Všeobecnej zdravotnej poisťovne, a.s.</w:t>
      </w:r>
      <w:r w:rsidRPr="00C66720">
        <w:rPr>
          <w:b w:val="0"/>
          <w:bCs w:val="0"/>
          <w:sz w:val="22"/>
          <w:szCs w:val="22"/>
        </w:rPr>
        <w:t xml:space="preserve"> sú najmä z dôvodu predpisu sociálnych a zdravotných odvodov za bežné obdobie ako aj za predchádzajúce obdobia, ktoré neboli splatené.</w:t>
      </w:r>
      <w:r w:rsidR="003C5F03" w:rsidRPr="00C66720">
        <w:rPr>
          <w:b w:val="0"/>
          <w:bCs w:val="0"/>
          <w:sz w:val="22"/>
          <w:szCs w:val="22"/>
        </w:rPr>
        <w:t xml:space="preserve"> V porovnaní s rokom 2021 došlo</w:t>
      </w:r>
      <w:r w:rsidR="008B6FFB" w:rsidRPr="00C66720">
        <w:rPr>
          <w:b w:val="0"/>
          <w:bCs w:val="0"/>
          <w:sz w:val="22"/>
          <w:szCs w:val="22"/>
        </w:rPr>
        <w:t xml:space="preserve"> pri zostavení súhrnnej účtovnej závierky</w:t>
      </w:r>
      <w:r w:rsidR="003C5F03" w:rsidRPr="00C66720">
        <w:rPr>
          <w:b w:val="0"/>
          <w:bCs w:val="0"/>
          <w:sz w:val="22"/>
          <w:szCs w:val="22"/>
        </w:rPr>
        <w:t xml:space="preserve"> k akrualizácii predpis</w:t>
      </w:r>
      <w:r w:rsidR="00CE43C1">
        <w:rPr>
          <w:b w:val="0"/>
          <w:bCs w:val="0"/>
          <w:sz w:val="22"/>
          <w:szCs w:val="22"/>
        </w:rPr>
        <w:t>u</w:t>
      </w:r>
      <w:r w:rsidR="003C5F03" w:rsidRPr="00C66720">
        <w:rPr>
          <w:b w:val="0"/>
          <w:bCs w:val="0"/>
          <w:sz w:val="22"/>
          <w:szCs w:val="22"/>
        </w:rPr>
        <w:t xml:space="preserve"> poistného Sociálnej poisťovne v celkovej sume 1 092 967 tis. eur, čo predstavuje predpis poist</w:t>
      </w:r>
      <w:r w:rsidR="004E6A98">
        <w:rPr>
          <w:b w:val="0"/>
          <w:bCs w:val="0"/>
          <w:sz w:val="22"/>
          <w:szCs w:val="22"/>
        </w:rPr>
        <w:t>ného vzťahujúceho sa na rok 2022</w:t>
      </w:r>
      <w:r w:rsidR="003C5F03" w:rsidRPr="00C66720">
        <w:rPr>
          <w:b w:val="0"/>
          <w:bCs w:val="0"/>
          <w:sz w:val="22"/>
          <w:szCs w:val="22"/>
        </w:rPr>
        <w:t>, ktorý bol v súlade s platnými právnymi predpismi zaúčtovaný</w:t>
      </w:r>
      <w:r w:rsidR="008B6FFB" w:rsidRPr="00C66720">
        <w:rPr>
          <w:b w:val="0"/>
          <w:bCs w:val="0"/>
          <w:sz w:val="22"/>
          <w:szCs w:val="22"/>
        </w:rPr>
        <w:t xml:space="preserve"> v individuálnom účtovníctve Sociálnej poisťovne </w:t>
      </w:r>
      <w:r w:rsidR="003C5F03" w:rsidRPr="00C66720">
        <w:rPr>
          <w:b w:val="0"/>
          <w:bCs w:val="0"/>
          <w:sz w:val="22"/>
          <w:szCs w:val="22"/>
        </w:rPr>
        <w:t>v januári 202</w:t>
      </w:r>
      <w:r w:rsidR="004E6A98">
        <w:rPr>
          <w:b w:val="0"/>
          <w:bCs w:val="0"/>
          <w:sz w:val="22"/>
          <w:szCs w:val="22"/>
        </w:rPr>
        <w:t>3.</w:t>
      </w:r>
    </w:p>
    <w:p w14:paraId="0D2086EA" w14:textId="0ACBD9D1" w:rsidR="006C5A09" w:rsidRPr="00C66720" w:rsidRDefault="006C5A09" w:rsidP="006C5A09">
      <w:pPr>
        <w:pStyle w:val="Pismenka"/>
        <w:tabs>
          <w:tab w:val="clear" w:pos="426"/>
        </w:tabs>
        <w:spacing w:after="120"/>
        <w:ind w:left="0" w:firstLine="0"/>
        <w:rPr>
          <w:b w:val="0"/>
          <w:bCs w:val="0"/>
          <w:sz w:val="22"/>
          <w:szCs w:val="22"/>
        </w:rPr>
      </w:pPr>
      <w:r w:rsidRPr="00C66720">
        <w:rPr>
          <w:b w:val="0"/>
          <w:bCs w:val="0"/>
          <w:sz w:val="22"/>
          <w:szCs w:val="22"/>
          <w:u w:val="single"/>
        </w:rPr>
        <w:t>Pohľadávky SPP, a.s.</w:t>
      </w:r>
      <w:r w:rsidRPr="00C66720">
        <w:rPr>
          <w:b w:val="0"/>
          <w:bCs w:val="0"/>
          <w:sz w:val="22"/>
          <w:szCs w:val="22"/>
        </w:rPr>
        <w:t xml:space="preserve"> (okrem odberateľov a poskytnutých prevádzkových preddavkov) v objeme </w:t>
      </w:r>
      <w:r w:rsidR="00834B16" w:rsidRPr="00C66720">
        <w:rPr>
          <w:b w:val="0"/>
          <w:bCs w:val="0"/>
          <w:sz w:val="22"/>
          <w:szCs w:val="22"/>
        </w:rPr>
        <w:br/>
        <w:t>559 101</w:t>
      </w:r>
      <w:r w:rsidRPr="00C66720">
        <w:rPr>
          <w:b w:val="0"/>
          <w:bCs w:val="0"/>
          <w:sz w:val="22"/>
          <w:szCs w:val="22"/>
        </w:rPr>
        <w:t xml:space="preserve"> tis. eur predstavujú najmä ostatné pohľadávky z titulu poskytnutých zábezpek a pohľadávky v súvislosti s burzovými obchodmi (clearing) a zabezpečujúcimi derivátmi, pričom medziročný nárast o</w:t>
      </w:r>
      <w:r w:rsidR="00834B16" w:rsidRPr="00C66720">
        <w:rPr>
          <w:b w:val="0"/>
          <w:bCs w:val="0"/>
          <w:sz w:val="22"/>
          <w:szCs w:val="22"/>
        </w:rPr>
        <w:t> </w:t>
      </w:r>
      <w:r w:rsidRPr="00C66720">
        <w:rPr>
          <w:b w:val="0"/>
          <w:bCs w:val="0"/>
          <w:sz w:val="22"/>
          <w:szCs w:val="22"/>
        </w:rPr>
        <w:t>2</w:t>
      </w:r>
      <w:r w:rsidR="00834B16" w:rsidRPr="00C66720">
        <w:rPr>
          <w:b w:val="0"/>
          <w:bCs w:val="0"/>
          <w:sz w:val="22"/>
          <w:szCs w:val="22"/>
        </w:rPr>
        <w:t>23 654</w:t>
      </w:r>
      <w:r w:rsidRPr="00C66720">
        <w:rPr>
          <w:b w:val="0"/>
          <w:bCs w:val="0"/>
          <w:sz w:val="22"/>
          <w:szCs w:val="22"/>
        </w:rPr>
        <w:t xml:space="preserve"> tis. eur bol spôsobený najmä nárastom hodnoty </w:t>
      </w:r>
      <w:r w:rsidR="00CE43C1" w:rsidRPr="00C66720">
        <w:rPr>
          <w:b w:val="0"/>
          <w:bCs w:val="0"/>
          <w:sz w:val="22"/>
          <w:szCs w:val="22"/>
        </w:rPr>
        <w:t>pohľadávok zo zábezpek a burzových obchodov (196 650 tis. eur)</w:t>
      </w:r>
      <w:r w:rsidR="00CE43C1">
        <w:rPr>
          <w:b w:val="0"/>
          <w:bCs w:val="0"/>
          <w:sz w:val="22"/>
          <w:szCs w:val="22"/>
        </w:rPr>
        <w:t xml:space="preserve"> a </w:t>
      </w:r>
      <w:r w:rsidR="00834B16" w:rsidRPr="00C66720">
        <w:rPr>
          <w:b w:val="0"/>
          <w:bCs w:val="0"/>
          <w:sz w:val="22"/>
          <w:szCs w:val="22"/>
        </w:rPr>
        <w:t xml:space="preserve">zabezpečovacích </w:t>
      </w:r>
      <w:r w:rsidRPr="00C66720">
        <w:rPr>
          <w:b w:val="0"/>
          <w:bCs w:val="0"/>
          <w:sz w:val="22"/>
          <w:szCs w:val="22"/>
        </w:rPr>
        <w:t>derivátov</w:t>
      </w:r>
      <w:r w:rsidR="00834B16" w:rsidRPr="00C66720">
        <w:rPr>
          <w:b w:val="0"/>
          <w:bCs w:val="0"/>
          <w:sz w:val="22"/>
          <w:szCs w:val="22"/>
        </w:rPr>
        <w:t xml:space="preserve"> (o 27 004 tis. eur)</w:t>
      </w:r>
      <w:r w:rsidRPr="00C66720">
        <w:rPr>
          <w:b w:val="0"/>
          <w:bCs w:val="0"/>
          <w:sz w:val="22"/>
          <w:szCs w:val="22"/>
        </w:rPr>
        <w:t xml:space="preserve"> a nárastom</w:t>
      </w:r>
    </w:p>
    <w:p w14:paraId="1B3BC66E" w14:textId="77777777" w:rsidR="00F23A40" w:rsidRPr="00C66720" w:rsidRDefault="00F23A40" w:rsidP="00F23A40">
      <w:pPr>
        <w:pStyle w:val="Pismenka"/>
        <w:tabs>
          <w:tab w:val="clear" w:pos="426"/>
        </w:tabs>
        <w:spacing w:after="120"/>
        <w:ind w:left="0" w:firstLine="0"/>
        <w:rPr>
          <w:b w:val="0"/>
          <w:bCs w:val="0"/>
          <w:sz w:val="22"/>
          <w:szCs w:val="22"/>
        </w:rPr>
      </w:pPr>
      <w:r w:rsidRPr="00C66720">
        <w:rPr>
          <w:b w:val="0"/>
          <w:bCs w:val="0"/>
          <w:sz w:val="22"/>
          <w:szCs w:val="22"/>
        </w:rPr>
        <w:t xml:space="preserve">Pohľadávky </w:t>
      </w:r>
      <w:r w:rsidRPr="00C66720">
        <w:rPr>
          <w:b w:val="0"/>
          <w:bCs w:val="0"/>
          <w:sz w:val="22"/>
          <w:szCs w:val="22"/>
          <w:u w:val="single"/>
        </w:rPr>
        <w:t>Úradu pre dohľad nad zdravotnou</w:t>
      </w:r>
      <w:r w:rsidRPr="00C66720">
        <w:rPr>
          <w:b w:val="0"/>
          <w:bCs w:val="0"/>
          <w:sz w:val="22"/>
          <w:szCs w:val="22"/>
        </w:rPr>
        <w:t xml:space="preserve"> starostlivosťou</w:t>
      </w:r>
      <w:r w:rsidRPr="00C66720">
        <w:rPr>
          <w:b w:val="0"/>
          <w:bCs w:val="0"/>
          <w:sz w:val="22"/>
          <w:szCs w:val="22"/>
          <w:u w:val="single"/>
        </w:rPr>
        <w:t xml:space="preserve"> </w:t>
      </w:r>
      <w:r w:rsidRPr="00C66720">
        <w:rPr>
          <w:b w:val="0"/>
          <w:bCs w:val="0"/>
          <w:sz w:val="22"/>
          <w:szCs w:val="22"/>
        </w:rPr>
        <w:t xml:space="preserve">vo výške 92 391 tis. eur sú najmä voči zdravotným poisťovniam a iným štátom z činnosti styčného orgánu a za udelené pokuty. </w:t>
      </w:r>
    </w:p>
    <w:p w14:paraId="7607AA33" w14:textId="03E35BDB" w:rsidR="00AD7281" w:rsidRPr="00C66720" w:rsidRDefault="007F1804" w:rsidP="006F6ADA">
      <w:pPr>
        <w:pStyle w:val="Pismenka"/>
        <w:tabs>
          <w:tab w:val="clear" w:pos="426"/>
        </w:tabs>
        <w:spacing w:after="120"/>
        <w:ind w:left="0" w:firstLine="0"/>
        <w:rPr>
          <w:b w:val="0"/>
          <w:bCs w:val="0"/>
          <w:sz w:val="22"/>
          <w:szCs w:val="22"/>
        </w:rPr>
      </w:pPr>
      <w:r w:rsidRPr="00C66720">
        <w:rPr>
          <w:b w:val="0"/>
          <w:bCs w:val="0"/>
          <w:sz w:val="22"/>
          <w:szCs w:val="22"/>
          <w:u w:val="single"/>
        </w:rPr>
        <w:t>Pohľadávky z účelovo poskytnutých transferov</w:t>
      </w:r>
      <w:r w:rsidRPr="00C66720">
        <w:rPr>
          <w:b w:val="0"/>
          <w:bCs w:val="0"/>
          <w:sz w:val="22"/>
          <w:szCs w:val="22"/>
        </w:rPr>
        <w:t xml:space="preserve"> predstavujú najmä pohľadávky </w:t>
      </w:r>
      <w:r w:rsidR="00C97CCA" w:rsidRPr="00C66720">
        <w:rPr>
          <w:b w:val="0"/>
          <w:bCs w:val="0"/>
          <w:sz w:val="22"/>
          <w:szCs w:val="22"/>
        </w:rPr>
        <w:t>subjektov ústrednej správy v sume 29 793 tis. eur, z toho pohľadávky Slovenskej elektrizačnej prenosovej sústavy, a.s. (29 789 tis. eur)</w:t>
      </w:r>
      <w:r w:rsidR="005560C4" w:rsidRPr="00C66720">
        <w:rPr>
          <w:b w:val="0"/>
          <w:bCs w:val="0"/>
          <w:sz w:val="22"/>
          <w:szCs w:val="22"/>
        </w:rPr>
        <w:t xml:space="preserve"> v súvislosti s predfinancovaním nákladov na investičné výstavby elektrických staníc</w:t>
      </w:r>
      <w:r w:rsidR="00E421E4" w:rsidRPr="00C66720">
        <w:rPr>
          <w:b w:val="0"/>
          <w:bCs w:val="0"/>
          <w:sz w:val="22"/>
          <w:szCs w:val="22"/>
        </w:rPr>
        <w:t xml:space="preserve"> </w:t>
      </w:r>
      <w:r w:rsidR="005F3830" w:rsidRPr="00C66720">
        <w:rPr>
          <w:b w:val="0"/>
          <w:bCs w:val="0"/>
          <w:sz w:val="22"/>
          <w:szCs w:val="22"/>
        </w:rPr>
        <w:t xml:space="preserve">a pohľadávky vyšších územných celkov v sume 25 960 tis. eur, z toho pohľadávky Košického samosprávneho kraja (21 513 tis. eur) </w:t>
      </w:r>
      <w:r w:rsidR="005B03D3" w:rsidRPr="00C66720">
        <w:rPr>
          <w:b w:val="0"/>
          <w:bCs w:val="0"/>
          <w:sz w:val="22"/>
          <w:szCs w:val="22"/>
        </w:rPr>
        <w:t>z nezúčtovaných dotácií poskytnutých napr. dopravným podnikom, neverejným poskytovateľom sociálnych služieb a neštátnym subjektom pôsobiacim v oblasti školstva.</w:t>
      </w:r>
    </w:p>
    <w:p w14:paraId="1E6ED8CE" w14:textId="6BB72C27" w:rsidR="00EF6800" w:rsidRDefault="00AC4E6A" w:rsidP="0047047C">
      <w:pPr>
        <w:pStyle w:val="Pismenka"/>
        <w:tabs>
          <w:tab w:val="clear" w:pos="426"/>
          <w:tab w:val="num" w:pos="0"/>
        </w:tabs>
        <w:spacing w:after="240"/>
        <w:ind w:left="0" w:firstLine="0"/>
        <w:rPr>
          <w:b w:val="0"/>
          <w:bCs w:val="0"/>
          <w:sz w:val="22"/>
          <w:szCs w:val="22"/>
        </w:rPr>
      </w:pPr>
      <w:r w:rsidRPr="00C66720">
        <w:rPr>
          <w:b w:val="0"/>
          <w:bCs w:val="0"/>
          <w:sz w:val="22"/>
          <w:szCs w:val="22"/>
        </w:rPr>
        <w:t xml:space="preserve">Obdobne ako v prípade dlhodobých návratných finančných výpomocí, aj </w:t>
      </w:r>
      <w:r w:rsidRPr="00C66720">
        <w:rPr>
          <w:b w:val="0"/>
          <w:bCs w:val="0"/>
          <w:sz w:val="22"/>
          <w:szCs w:val="22"/>
          <w:u w:val="single"/>
        </w:rPr>
        <w:t>krátkodobé návratné finančné výpomoci</w:t>
      </w:r>
      <w:r w:rsidRPr="00C66720">
        <w:rPr>
          <w:b w:val="0"/>
          <w:bCs w:val="0"/>
          <w:sz w:val="22"/>
          <w:szCs w:val="22"/>
        </w:rPr>
        <w:t xml:space="preserve"> sú poskytované subjektmi štátnej správy a územnej samosprávy, pričom ich splatnosť je najviac do jedného roka. Na celkovom objeme krátkodobých návratných finančných výpomocí sa podieľa územná samospráva (</w:t>
      </w:r>
      <w:r w:rsidR="000C75D1" w:rsidRPr="00C66720">
        <w:rPr>
          <w:b w:val="0"/>
          <w:bCs w:val="0"/>
          <w:sz w:val="22"/>
          <w:szCs w:val="22"/>
        </w:rPr>
        <w:t>431</w:t>
      </w:r>
      <w:r w:rsidR="008B058A" w:rsidRPr="00C66720">
        <w:rPr>
          <w:b w:val="0"/>
          <w:bCs w:val="0"/>
          <w:sz w:val="22"/>
          <w:szCs w:val="22"/>
        </w:rPr>
        <w:t xml:space="preserve"> </w:t>
      </w:r>
      <w:r w:rsidRPr="00C66720">
        <w:rPr>
          <w:b w:val="0"/>
          <w:bCs w:val="0"/>
          <w:sz w:val="22"/>
          <w:szCs w:val="22"/>
        </w:rPr>
        <w:t>tis. eur)</w:t>
      </w:r>
      <w:r w:rsidR="000C75D1" w:rsidRPr="00C66720">
        <w:rPr>
          <w:b w:val="0"/>
          <w:bCs w:val="0"/>
          <w:sz w:val="22"/>
          <w:szCs w:val="22"/>
        </w:rPr>
        <w:t xml:space="preserve"> a subjekty ústrednej sprá</w:t>
      </w:r>
      <w:r w:rsidR="009E26D6" w:rsidRPr="00C66720">
        <w:rPr>
          <w:b w:val="0"/>
          <w:bCs w:val="0"/>
          <w:sz w:val="22"/>
          <w:szCs w:val="22"/>
        </w:rPr>
        <w:t>v</w:t>
      </w:r>
      <w:r w:rsidR="000C75D1" w:rsidRPr="00C66720">
        <w:rPr>
          <w:b w:val="0"/>
          <w:bCs w:val="0"/>
          <w:sz w:val="22"/>
          <w:szCs w:val="22"/>
        </w:rPr>
        <w:t>y</w:t>
      </w:r>
      <w:r w:rsidR="009E26D6" w:rsidRPr="00C66720">
        <w:rPr>
          <w:b w:val="0"/>
          <w:bCs w:val="0"/>
          <w:sz w:val="22"/>
          <w:szCs w:val="22"/>
        </w:rPr>
        <w:t xml:space="preserve"> (201 tis. eur)</w:t>
      </w:r>
      <w:r w:rsidRPr="00C66720">
        <w:rPr>
          <w:b w:val="0"/>
          <w:bCs w:val="0"/>
          <w:sz w:val="22"/>
          <w:szCs w:val="22"/>
        </w:rPr>
        <w:t xml:space="preserve">. </w:t>
      </w:r>
      <w:r w:rsidR="00B8093F" w:rsidRPr="00C66720">
        <w:rPr>
          <w:b w:val="0"/>
          <w:bCs w:val="0"/>
          <w:sz w:val="22"/>
          <w:szCs w:val="22"/>
        </w:rPr>
        <w:t xml:space="preserve">Medziročne boli celkovo nižšie o 684 tis. eur. </w:t>
      </w:r>
      <w:r w:rsidRPr="00C66720">
        <w:rPr>
          <w:b w:val="0"/>
          <w:bCs w:val="0"/>
          <w:sz w:val="22"/>
          <w:szCs w:val="22"/>
        </w:rPr>
        <w:t xml:space="preserve">Predmetom vzájomnej eliminácie na úrovni súhrnného celku boli návratné finančné výpomoci poskytované Ministerstvom hospodárstva SR subjektom územnej samosprávy v celkovej sume </w:t>
      </w:r>
      <w:r w:rsidR="008B058A" w:rsidRPr="00C66720">
        <w:rPr>
          <w:b w:val="0"/>
          <w:bCs w:val="0"/>
          <w:sz w:val="22"/>
          <w:szCs w:val="22"/>
        </w:rPr>
        <w:t>369</w:t>
      </w:r>
      <w:r w:rsidRPr="00C66720">
        <w:rPr>
          <w:b w:val="0"/>
          <w:bCs w:val="0"/>
          <w:sz w:val="22"/>
          <w:szCs w:val="22"/>
        </w:rPr>
        <w:t xml:space="preserve"> tis. eur.</w:t>
      </w:r>
    </w:p>
    <w:p w14:paraId="10850C65" w14:textId="77777777" w:rsidR="0047047C" w:rsidRPr="006431BA" w:rsidRDefault="0047047C" w:rsidP="0047047C">
      <w:pPr>
        <w:pStyle w:val="Pismenka"/>
        <w:tabs>
          <w:tab w:val="clear" w:pos="426"/>
          <w:tab w:val="num" w:pos="0"/>
        </w:tabs>
        <w:ind w:left="0" w:firstLine="0"/>
        <w:rPr>
          <w:bCs w:val="0"/>
          <w:color w:val="FF0000"/>
        </w:rPr>
      </w:pPr>
      <w:r w:rsidRPr="006431BA">
        <w:rPr>
          <w:bCs w:val="0"/>
        </w:rPr>
        <w:t>Tabuľka</w:t>
      </w:r>
      <w:r>
        <w:rPr>
          <w:bCs w:val="0"/>
        </w:rPr>
        <w:t xml:space="preserve"> 11</w:t>
      </w:r>
    </w:p>
    <w:tbl>
      <w:tblPr>
        <w:tblW w:w="4845" w:type="pct"/>
        <w:jc w:val="center"/>
        <w:tblLayout w:type="fixed"/>
        <w:tblCellMar>
          <w:left w:w="70" w:type="dxa"/>
          <w:right w:w="70" w:type="dxa"/>
        </w:tblCellMar>
        <w:tblLook w:val="00A0" w:firstRow="1" w:lastRow="0" w:firstColumn="1" w:lastColumn="0" w:noHBand="0" w:noVBand="0"/>
      </w:tblPr>
      <w:tblGrid>
        <w:gridCol w:w="4963"/>
        <w:gridCol w:w="1336"/>
        <w:gridCol w:w="1058"/>
        <w:gridCol w:w="1433"/>
      </w:tblGrid>
      <w:tr w:rsidR="0047047C" w:rsidRPr="00AD1DD7" w14:paraId="3E31F72E"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5B393EFB" w14:textId="77777777" w:rsidR="0047047C" w:rsidRPr="00AD1DD7" w:rsidRDefault="0047047C" w:rsidP="00241F33">
            <w:pPr>
              <w:spacing w:after="0" w:line="240" w:lineRule="auto"/>
              <w:rPr>
                <w:b/>
                <w:bCs/>
                <w:sz w:val="18"/>
                <w:szCs w:val="18"/>
              </w:rPr>
            </w:pPr>
            <w:r w:rsidRPr="00AD1DD7">
              <w:rPr>
                <w:b/>
                <w:bCs/>
                <w:sz w:val="18"/>
                <w:szCs w:val="18"/>
              </w:rPr>
              <w:br w:type="page"/>
            </w:r>
            <w:r w:rsidRPr="00AD1DD7">
              <w:rPr>
                <w:rFonts w:ascii="Times New Roman" w:hAnsi="Times New Roman"/>
                <w:b/>
                <w:bCs/>
                <w:sz w:val="18"/>
                <w:szCs w:val="18"/>
                <w:lang w:eastAsia="sk-SK"/>
              </w:rPr>
              <w:t>Krátkodobé návratné finančné výpomoci súhrnného celku                                                                       (v tis. eur) </w:t>
            </w:r>
          </w:p>
        </w:tc>
      </w:tr>
      <w:tr w:rsidR="0047047C" w:rsidRPr="006A70E3" w14:paraId="185F38EF" w14:textId="77777777" w:rsidTr="00241F33">
        <w:trPr>
          <w:trHeight w:val="382"/>
          <w:jc w:val="center"/>
        </w:trPr>
        <w:tc>
          <w:tcPr>
            <w:tcW w:w="2823" w:type="pct"/>
            <w:tcBorders>
              <w:top w:val="nil"/>
              <w:left w:val="nil"/>
              <w:bottom w:val="single" w:sz="4" w:space="0" w:color="auto"/>
              <w:right w:val="nil"/>
            </w:tcBorders>
            <w:shd w:val="clear" w:color="auto" w:fill="BDD7EE"/>
            <w:noWrap/>
            <w:vAlign w:val="center"/>
          </w:tcPr>
          <w:p w14:paraId="1DE46AF1" w14:textId="77777777" w:rsidR="0047047C" w:rsidRPr="006A70E3" w:rsidRDefault="0047047C" w:rsidP="0047047C">
            <w:pPr>
              <w:spacing w:after="0" w:line="240" w:lineRule="auto"/>
              <w:rPr>
                <w:rFonts w:ascii="Times New Roman" w:hAnsi="Times New Roman"/>
                <w:b/>
                <w:bCs/>
                <w:sz w:val="18"/>
                <w:szCs w:val="18"/>
                <w:lang w:eastAsia="sk-SK"/>
              </w:rPr>
            </w:pPr>
            <w:r w:rsidRPr="006A70E3">
              <w:rPr>
                <w:rFonts w:ascii="Times New Roman" w:hAnsi="Times New Roman"/>
                <w:b/>
                <w:bCs/>
                <w:sz w:val="18"/>
                <w:szCs w:val="18"/>
                <w:lang w:eastAsia="sk-SK"/>
              </w:rPr>
              <w:t>Druh výpomoci</w:t>
            </w:r>
          </w:p>
        </w:tc>
        <w:tc>
          <w:tcPr>
            <w:tcW w:w="760" w:type="pct"/>
            <w:tcBorders>
              <w:top w:val="nil"/>
              <w:left w:val="nil"/>
              <w:bottom w:val="single" w:sz="4" w:space="0" w:color="auto"/>
              <w:right w:val="nil"/>
            </w:tcBorders>
            <w:shd w:val="clear" w:color="auto" w:fill="BDD7EE"/>
            <w:noWrap/>
            <w:vAlign w:val="center"/>
          </w:tcPr>
          <w:p w14:paraId="5EE7611D" w14:textId="66AB7AFB" w:rsidR="0047047C" w:rsidRPr="006A70E3" w:rsidRDefault="0047047C" w:rsidP="0047047C">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602" w:type="pct"/>
            <w:tcBorders>
              <w:top w:val="nil"/>
              <w:left w:val="nil"/>
              <w:bottom w:val="single" w:sz="4" w:space="0" w:color="auto"/>
              <w:right w:val="nil"/>
            </w:tcBorders>
            <w:shd w:val="clear" w:color="auto" w:fill="BDD7EE"/>
            <w:noWrap/>
            <w:vAlign w:val="center"/>
          </w:tcPr>
          <w:p w14:paraId="6D856CE6" w14:textId="5B99E232" w:rsidR="0047047C" w:rsidRPr="006A70E3" w:rsidRDefault="0047047C" w:rsidP="0047047C">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815" w:type="pct"/>
            <w:tcBorders>
              <w:top w:val="nil"/>
              <w:left w:val="nil"/>
              <w:bottom w:val="single" w:sz="4" w:space="0" w:color="auto"/>
              <w:right w:val="nil"/>
            </w:tcBorders>
            <w:shd w:val="clear" w:color="auto" w:fill="BDD7EE"/>
            <w:vAlign w:val="center"/>
          </w:tcPr>
          <w:p w14:paraId="32AFABD1" w14:textId="39879166" w:rsidR="0047047C" w:rsidRPr="006A70E3" w:rsidRDefault="0047047C" w:rsidP="0047047C">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47047C" w:rsidRPr="006A70E3" w14:paraId="40F8D400" w14:textId="77777777" w:rsidTr="00241F33">
        <w:trPr>
          <w:trHeight w:hRule="exact" w:val="292"/>
          <w:jc w:val="center"/>
        </w:trPr>
        <w:tc>
          <w:tcPr>
            <w:tcW w:w="2823" w:type="pct"/>
            <w:tcBorders>
              <w:top w:val="nil"/>
              <w:left w:val="nil"/>
              <w:bottom w:val="nil"/>
              <w:right w:val="nil"/>
            </w:tcBorders>
            <w:vAlign w:val="center"/>
          </w:tcPr>
          <w:p w14:paraId="1817F1A8" w14:textId="20E1CBDA" w:rsidR="0047047C" w:rsidRPr="006A70E3" w:rsidRDefault="0047047C" w:rsidP="0047047C">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Subjektom verejnej správy</w:t>
            </w:r>
          </w:p>
        </w:tc>
        <w:tc>
          <w:tcPr>
            <w:tcW w:w="760" w:type="pct"/>
            <w:tcBorders>
              <w:top w:val="nil"/>
              <w:left w:val="nil"/>
              <w:bottom w:val="nil"/>
              <w:right w:val="nil"/>
            </w:tcBorders>
            <w:vAlign w:val="center"/>
          </w:tcPr>
          <w:p w14:paraId="010C412D" w14:textId="2F9D8295"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298</w:t>
            </w:r>
          </w:p>
        </w:tc>
        <w:tc>
          <w:tcPr>
            <w:tcW w:w="602" w:type="pct"/>
            <w:tcBorders>
              <w:top w:val="nil"/>
              <w:left w:val="nil"/>
              <w:bottom w:val="nil"/>
              <w:right w:val="nil"/>
            </w:tcBorders>
            <w:vAlign w:val="center"/>
          </w:tcPr>
          <w:p w14:paraId="2EA1E8BA" w14:textId="5486BDBA"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306</w:t>
            </w:r>
          </w:p>
        </w:tc>
        <w:tc>
          <w:tcPr>
            <w:tcW w:w="815" w:type="pct"/>
            <w:tcBorders>
              <w:top w:val="nil"/>
              <w:left w:val="nil"/>
              <w:bottom w:val="nil"/>
              <w:right w:val="nil"/>
            </w:tcBorders>
            <w:vAlign w:val="center"/>
          </w:tcPr>
          <w:p w14:paraId="1469FC18" w14:textId="50297B0F"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w:t>
            </w:r>
          </w:p>
        </w:tc>
      </w:tr>
      <w:tr w:rsidR="0047047C" w:rsidRPr="006A70E3" w14:paraId="101E3089" w14:textId="77777777" w:rsidTr="00241F33">
        <w:trPr>
          <w:trHeight w:hRule="exact" w:val="292"/>
          <w:jc w:val="center"/>
        </w:trPr>
        <w:tc>
          <w:tcPr>
            <w:tcW w:w="2823" w:type="pct"/>
            <w:tcBorders>
              <w:top w:val="nil"/>
              <w:left w:val="nil"/>
              <w:bottom w:val="nil"/>
              <w:right w:val="nil"/>
            </w:tcBorders>
            <w:vAlign w:val="center"/>
          </w:tcPr>
          <w:p w14:paraId="24E9CF15" w14:textId="6262DD44" w:rsidR="0047047C" w:rsidRPr="006A70E3" w:rsidRDefault="0047047C" w:rsidP="0047047C">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Ostatným organizáciám</w:t>
            </w:r>
          </w:p>
        </w:tc>
        <w:tc>
          <w:tcPr>
            <w:tcW w:w="760" w:type="pct"/>
            <w:tcBorders>
              <w:top w:val="nil"/>
              <w:left w:val="nil"/>
              <w:bottom w:val="nil"/>
              <w:right w:val="nil"/>
            </w:tcBorders>
            <w:vAlign w:val="center"/>
          </w:tcPr>
          <w:p w14:paraId="43733D9E" w14:textId="77777777" w:rsidR="0047047C" w:rsidRPr="00C66720"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124</w:t>
            </w:r>
          </w:p>
          <w:p w14:paraId="38BA0C41" w14:textId="05CF6C59" w:rsidR="0047047C" w:rsidRPr="006A70E3" w:rsidRDefault="0047047C" w:rsidP="0047047C">
            <w:pPr>
              <w:spacing w:after="0" w:line="240" w:lineRule="auto"/>
              <w:jc w:val="right"/>
              <w:rPr>
                <w:rFonts w:ascii="Times New Roman" w:hAnsi="Times New Roman"/>
                <w:sz w:val="18"/>
                <w:szCs w:val="18"/>
                <w:lang w:eastAsia="sk-SK"/>
              </w:rPr>
            </w:pPr>
          </w:p>
        </w:tc>
        <w:tc>
          <w:tcPr>
            <w:tcW w:w="602" w:type="pct"/>
            <w:tcBorders>
              <w:top w:val="nil"/>
              <w:left w:val="nil"/>
              <w:bottom w:val="nil"/>
              <w:right w:val="nil"/>
            </w:tcBorders>
            <w:vAlign w:val="center"/>
          </w:tcPr>
          <w:p w14:paraId="6E259A22" w14:textId="77777777" w:rsidR="0047047C" w:rsidRPr="00C66720"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739</w:t>
            </w:r>
          </w:p>
          <w:p w14:paraId="5474F939" w14:textId="017C425D" w:rsidR="0047047C" w:rsidRPr="006A70E3" w:rsidRDefault="0047047C" w:rsidP="0047047C">
            <w:pPr>
              <w:spacing w:after="0" w:line="240" w:lineRule="auto"/>
              <w:jc w:val="right"/>
              <w:rPr>
                <w:rFonts w:ascii="Times New Roman" w:hAnsi="Times New Roman"/>
                <w:sz w:val="18"/>
                <w:szCs w:val="18"/>
                <w:lang w:eastAsia="sk-SK"/>
              </w:rPr>
            </w:pPr>
          </w:p>
        </w:tc>
        <w:tc>
          <w:tcPr>
            <w:tcW w:w="815" w:type="pct"/>
            <w:tcBorders>
              <w:top w:val="nil"/>
              <w:left w:val="nil"/>
              <w:bottom w:val="nil"/>
              <w:right w:val="nil"/>
            </w:tcBorders>
            <w:vAlign w:val="center"/>
          </w:tcPr>
          <w:p w14:paraId="2689D0DB" w14:textId="170AADD3"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-615</w:t>
            </w:r>
          </w:p>
        </w:tc>
      </w:tr>
      <w:tr w:rsidR="0047047C" w:rsidRPr="006A70E3" w14:paraId="405FF500" w14:textId="77777777" w:rsidTr="00241F33">
        <w:trPr>
          <w:trHeight w:hRule="exact" w:val="292"/>
          <w:jc w:val="center"/>
        </w:trPr>
        <w:tc>
          <w:tcPr>
            <w:tcW w:w="2823" w:type="pct"/>
            <w:tcBorders>
              <w:top w:val="nil"/>
              <w:left w:val="nil"/>
              <w:bottom w:val="nil"/>
              <w:right w:val="nil"/>
            </w:tcBorders>
            <w:vAlign w:val="center"/>
          </w:tcPr>
          <w:p w14:paraId="7138BC7A" w14:textId="0FBB286F" w:rsidR="0047047C" w:rsidRPr="006A70E3" w:rsidRDefault="0047047C" w:rsidP="0047047C">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Subjektom v rámci konsolidovaného celku</w:t>
            </w:r>
          </w:p>
        </w:tc>
        <w:tc>
          <w:tcPr>
            <w:tcW w:w="760" w:type="pct"/>
            <w:tcBorders>
              <w:top w:val="nil"/>
              <w:left w:val="nil"/>
              <w:bottom w:val="nil"/>
              <w:right w:val="nil"/>
            </w:tcBorders>
            <w:vAlign w:val="center"/>
          </w:tcPr>
          <w:p w14:paraId="28A383D1" w14:textId="1A0AF2D2"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97</w:t>
            </w:r>
          </w:p>
        </w:tc>
        <w:tc>
          <w:tcPr>
            <w:tcW w:w="602" w:type="pct"/>
            <w:tcBorders>
              <w:top w:val="nil"/>
              <w:left w:val="nil"/>
              <w:bottom w:val="nil"/>
              <w:right w:val="nil"/>
            </w:tcBorders>
            <w:vAlign w:val="center"/>
          </w:tcPr>
          <w:p w14:paraId="2404A731" w14:textId="31121EDF"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146</w:t>
            </w:r>
          </w:p>
        </w:tc>
        <w:tc>
          <w:tcPr>
            <w:tcW w:w="815" w:type="pct"/>
            <w:tcBorders>
              <w:top w:val="nil"/>
              <w:left w:val="nil"/>
              <w:bottom w:val="nil"/>
              <w:right w:val="nil"/>
            </w:tcBorders>
            <w:vAlign w:val="center"/>
          </w:tcPr>
          <w:p w14:paraId="618EDA77" w14:textId="1F37122A"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-49</w:t>
            </w:r>
          </w:p>
        </w:tc>
      </w:tr>
      <w:tr w:rsidR="0047047C" w:rsidRPr="006A70E3" w14:paraId="25E60FC9" w14:textId="77777777" w:rsidTr="00241F33">
        <w:trPr>
          <w:trHeight w:hRule="exact" w:val="292"/>
          <w:jc w:val="center"/>
        </w:trPr>
        <w:tc>
          <w:tcPr>
            <w:tcW w:w="2823" w:type="pct"/>
            <w:tcBorders>
              <w:top w:val="nil"/>
              <w:left w:val="nil"/>
              <w:bottom w:val="nil"/>
              <w:right w:val="nil"/>
            </w:tcBorders>
            <w:vAlign w:val="center"/>
          </w:tcPr>
          <w:p w14:paraId="3C46DED0" w14:textId="1EC0997B" w:rsidR="0047047C" w:rsidRPr="006A70E3" w:rsidRDefault="0047047C" w:rsidP="0047047C">
            <w:pPr>
              <w:spacing w:after="0" w:line="240" w:lineRule="auto"/>
              <w:rPr>
                <w:rFonts w:ascii="Times New Roman" w:hAnsi="Times New Roman"/>
                <w:sz w:val="18"/>
                <w:szCs w:val="18"/>
                <w:lang w:eastAsia="sk-SK"/>
              </w:rPr>
            </w:pPr>
            <w:r w:rsidRPr="00C66720">
              <w:rPr>
                <w:rFonts w:ascii="Times New Roman" w:hAnsi="Times New Roman"/>
                <w:bCs/>
                <w:sz w:val="18"/>
                <w:szCs w:val="18"/>
                <w:lang w:eastAsia="sk-SK"/>
              </w:rPr>
              <w:t>Fyzickým osobám</w:t>
            </w:r>
          </w:p>
        </w:tc>
        <w:tc>
          <w:tcPr>
            <w:tcW w:w="760" w:type="pct"/>
            <w:tcBorders>
              <w:top w:val="nil"/>
              <w:left w:val="nil"/>
              <w:bottom w:val="nil"/>
              <w:right w:val="nil"/>
            </w:tcBorders>
            <w:vAlign w:val="center"/>
          </w:tcPr>
          <w:p w14:paraId="05DE94ED" w14:textId="5DCCD910"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85</w:t>
            </w:r>
          </w:p>
        </w:tc>
        <w:tc>
          <w:tcPr>
            <w:tcW w:w="602" w:type="pct"/>
            <w:tcBorders>
              <w:top w:val="nil"/>
              <w:left w:val="nil"/>
              <w:bottom w:val="nil"/>
              <w:right w:val="nil"/>
            </w:tcBorders>
            <w:vAlign w:val="center"/>
          </w:tcPr>
          <w:p w14:paraId="470406E3" w14:textId="16B0270D"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96</w:t>
            </w:r>
          </w:p>
        </w:tc>
        <w:tc>
          <w:tcPr>
            <w:tcW w:w="815" w:type="pct"/>
            <w:tcBorders>
              <w:top w:val="nil"/>
              <w:left w:val="nil"/>
              <w:bottom w:val="nil"/>
              <w:right w:val="nil"/>
            </w:tcBorders>
            <w:vAlign w:val="center"/>
          </w:tcPr>
          <w:p w14:paraId="0089148D" w14:textId="7ED6CCA0"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bCs/>
                <w:sz w:val="18"/>
                <w:szCs w:val="18"/>
                <w:lang w:eastAsia="sk-SK"/>
              </w:rPr>
              <w:t>-11</w:t>
            </w:r>
          </w:p>
        </w:tc>
      </w:tr>
      <w:tr w:rsidR="0047047C" w:rsidRPr="006A70E3" w14:paraId="3CE743FA" w14:textId="77777777" w:rsidTr="00241F33">
        <w:trPr>
          <w:trHeight w:hRule="exact" w:val="292"/>
          <w:jc w:val="center"/>
        </w:trPr>
        <w:tc>
          <w:tcPr>
            <w:tcW w:w="2823" w:type="pct"/>
            <w:tcBorders>
              <w:top w:val="nil"/>
              <w:left w:val="nil"/>
              <w:bottom w:val="single" w:sz="4" w:space="0" w:color="auto"/>
              <w:right w:val="nil"/>
            </w:tcBorders>
            <w:vAlign w:val="center"/>
          </w:tcPr>
          <w:p w14:paraId="05F84C18" w14:textId="11750B17" w:rsidR="0047047C" w:rsidRPr="006A70E3" w:rsidRDefault="0047047C" w:rsidP="0047047C">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Podnikateľským subjektom</w:t>
            </w:r>
          </w:p>
        </w:tc>
        <w:tc>
          <w:tcPr>
            <w:tcW w:w="760" w:type="pct"/>
            <w:tcBorders>
              <w:top w:val="nil"/>
              <w:left w:val="nil"/>
              <w:bottom w:val="single" w:sz="4" w:space="0" w:color="auto"/>
              <w:right w:val="nil"/>
            </w:tcBorders>
            <w:vAlign w:val="center"/>
          </w:tcPr>
          <w:p w14:paraId="218BEAEE" w14:textId="523739A9"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28</w:t>
            </w:r>
          </w:p>
        </w:tc>
        <w:tc>
          <w:tcPr>
            <w:tcW w:w="602" w:type="pct"/>
            <w:tcBorders>
              <w:top w:val="nil"/>
              <w:left w:val="nil"/>
              <w:bottom w:val="single" w:sz="4" w:space="0" w:color="auto"/>
              <w:right w:val="nil"/>
            </w:tcBorders>
            <w:vAlign w:val="center"/>
          </w:tcPr>
          <w:p w14:paraId="0FC0831E" w14:textId="2BABED1A"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29</w:t>
            </w:r>
          </w:p>
        </w:tc>
        <w:tc>
          <w:tcPr>
            <w:tcW w:w="815" w:type="pct"/>
            <w:tcBorders>
              <w:top w:val="nil"/>
              <w:left w:val="nil"/>
              <w:bottom w:val="single" w:sz="4" w:space="0" w:color="auto"/>
              <w:right w:val="nil"/>
            </w:tcBorders>
            <w:vAlign w:val="center"/>
          </w:tcPr>
          <w:p w14:paraId="6772DF24" w14:textId="7DB3B6B7" w:rsidR="0047047C" w:rsidRPr="006A70E3" w:rsidRDefault="0047047C" w:rsidP="0047047C">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w:t>
            </w:r>
          </w:p>
        </w:tc>
      </w:tr>
      <w:tr w:rsidR="0047047C" w:rsidRPr="00975467" w14:paraId="56E336A3" w14:textId="77777777" w:rsidTr="00241F33">
        <w:trPr>
          <w:trHeight w:hRule="exact" w:val="330"/>
          <w:jc w:val="center"/>
        </w:trPr>
        <w:tc>
          <w:tcPr>
            <w:tcW w:w="2823" w:type="pct"/>
            <w:tcBorders>
              <w:top w:val="single" w:sz="4" w:space="0" w:color="auto"/>
              <w:left w:val="nil"/>
              <w:bottom w:val="single" w:sz="4" w:space="0" w:color="000000"/>
              <w:right w:val="nil"/>
            </w:tcBorders>
            <w:shd w:val="clear" w:color="000000" w:fill="auto"/>
            <w:vAlign w:val="center"/>
          </w:tcPr>
          <w:p w14:paraId="0F27B287" w14:textId="72757420" w:rsidR="0047047C" w:rsidRPr="006A70E3" w:rsidRDefault="0047047C" w:rsidP="0047047C">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760" w:type="pct"/>
            <w:tcBorders>
              <w:top w:val="single" w:sz="4" w:space="0" w:color="auto"/>
              <w:left w:val="nil"/>
              <w:bottom w:val="single" w:sz="4" w:space="0" w:color="000000"/>
              <w:right w:val="nil"/>
            </w:tcBorders>
            <w:shd w:val="clear" w:color="000000" w:fill="auto"/>
            <w:vAlign w:val="center"/>
          </w:tcPr>
          <w:p w14:paraId="00F89D51" w14:textId="1EF4F453" w:rsidR="0047047C" w:rsidRPr="006A70E3" w:rsidRDefault="0047047C" w:rsidP="0047047C">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632</w:t>
            </w:r>
          </w:p>
        </w:tc>
        <w:tc>
          <w:tcPr>
            <w:tcW w:w="602" w:type="pct"/>
            <w:tcBorders>
              <w:top w:val="single" w:sz="4" w:space="0" w:color="auto"/>
              <w:left w:val="nil"/>
              <w:bottom w:val="single" w:sz="4" w:space="0" w:color="000000"/>
              <w:right w:val="nil"/>
            </w:tcBorders>
            <w:shd w:val="clear" w:color="000000" w:fill="auto"/>
            <w:vAlign w:val="center"/>
          </w:tcPr>
          <w:p w14:paraId="5CB7EFB6" w14:textId="364DE201" w:rsidR="0047047C" w:rsidRPr="006A70E3" w:rsidRDefault="0047047C" w:rsidP="0047047C">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1 316</w:t>
            </w:r>
          </w:p>
        </w:tc>
        <w:tc>
          <w:tcPr>
            <w:tcW w:w="815" w:type="pct"/>
            <w:tcBorders>
              <w:top w:val="single" w:sz="4" w:space="0" w:color="auto"/>
              <w:left w:val="nil"/>
              <w:bottom w:val="single" w:sz="4" w:space="0" w:color="000000"/>
              <w:right w:val="nil"/>
            </w:tcBorders>
            <w:shd w:val="clear" w:color="000000" w:fill="auto"/>
            <w:vAlign w:val="center"/>
          </w:tcPr>
          <w:p w14:paraId="1773F74E" w14:textId="64E40FA3" w:rsidR="0047047C" w:rsidRPr="006A70E3" w:rsidRDefault="0047047C" w:rsidP="0047047C">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-684</w:t>
            </w:r>
          </w:p>
        </w:tc>
      </w:tr>
    </w:tbl>
    <w:p w14:paraId="65B3FA1B" w14:textId="77777777" w:rsidR="0047047C" w:rsidRDefault="0047047C" w:rsidP="0047047C">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0006CED9" w14:textId="2F680C14" w:rsidR="00515E66" w:rsidRDefault="00154DE5" w:rsidP="00515E66">
      <w:pPr>
        <w:pStyle w:val="Pismenka"/>
        <w:tabs>
          <w:tab w:val="clear" w:pos="426"/>
        </w:tabs>
        <w:spacing w:before="240" w:after="120"/>
        <w:ind w:left="0" w:firstLine="0"/>
        <w:rPr>
          <w:b w:val="0"/>
          <w:bCs w:val="0"/>
          <w:sz w:val="22"/>
          <w:szCs w:val="22"/>
        </w:rPr>
      </w:pPr>
      <w:r w:rsidRPr="00C66720">
        <w:rPr>
          <w:b w:val="0"/>
          <w:bCs w:val="0"/>
          <w:sz w:val="22"/>
          <w:szCs w:val="22"/>
        </w:rPr>
        <w:t xml:space="preserve">V rámci ostatných pohľadávok sa vykazujú </w:t>
      </w:r>
      <w:r w:rsidR="006A70E3" w:rsidRPr="00C66720">
        <w:rPr>
          <w:b w:val="0"/>
          <w:bCs w:val="0"/>
          <w:sz w:val="22"/>
          <w:szCs w:val="22"/>
        </w:rPr>
        <w:t xml:space="preserve">aj </w:t>
      </w:r>
      <w:r w:rsidRPr="00C66720">
        <w:rPr>
          <w:b w:val="0"/>
          <w:bCs w:val="0"/>
          <w:sz w:val="22"/>
          <w:szCs w:val="22"/>
        </w:rPr>
        <w:t>pohľadávky Ministerstva financií SR voči prijímateľom E</w:t>
      </w:r>
      <w:r w:rsidR="0037387C" w:rsidRPr="00C66720">
        <w:rPr>
          <w:b w:val="0"/>
          <w:bCs w:val="0"/>
          <w:sz w:val="22"/>
          <w:szCs w:val="22"/>
        </w:rPr>
        <w:t>Ú</w:t>
      </w:r>
      <w:r w:rsidRPr="00C66720">
        <w:rPr>
          <w:b w:val="0"/>
          <w:bCs w:val="0"/>
          <w:sz w:val="22"/>
          <w:szCs w:val="22"/>
        </w:rPr>
        <w:t xml:space="preserve"> prostriedkov z titulu ich vrátenia (</w:t>
      </w:r>
      <w:r w:rsidR="003D0FD8" w:rsidRPr="00C66720">
        <w:rPr>
          <w:b w:val="0"/>
          <w:bCs w:val="0"/>
          <w:sz w:val="22"/>
          <w:szCs w:val="22"/>
        </w:rPr>
        <w:t>3</w:t>
      </w:r>
      <w:r w:rsidR="008D2139" w:rsidRPr="00C66720">
        <w:rPr>
          <w:b w:val="0"/>
          <w:bCs w:val="0"/>
          <w:sz w:val="22"/>
          <w:szCs w:val="22"/>
        </w:rPr>
        <w:t>04 285</w:t>
      </w:r>
      <w:r w:rsidR="004009F6" w:rsidRPr="00C66720">
        <w:rPr>
          <w:b w:val="0"/>
          <w:bCs w:val="0"/>
          <w:sz w:val="22"/>
          <w:szCs w:val="22"/>
        </w:rPr>
        <w:t xml:space="preserve"> </w:t>
      </w:r>
      <w:r w:rsidR="006A0E8D" w:rsidRPr="00C66720">
        <w:rPr>
          <w:b w:val="0"/>
          <w:bCs w:val="0"/>
          <w:sz w:val="22"/>
          <w:szCs w:val="22"/>
        </w:rPr>
        <w:t>tis. eur)</w:t>
      </w:r>
      <w:r w:rsidR="003A3E9D" w:rsidRPr="00C66720">
        <w:rPr>
          <w:b w:val="0"/>
          <w:bCs w:val="0"/>
          <w:sz w:val="22"/>
          <w:szCs w:val="22"/>
        </w:rPr>
        <w:t>, pohľadávky z kolaterálu (</w:t>
      </w:r>
      <w:r w:rsidR="008D2139" w:rsidRPr="00C66720">
        <w:rPr>
          <w:b w:val="0"/>
          <w:bCs w:val="0"/>
          <w:sz w:val="22"/>
          <w:szCs w:val="22"/>
        </w:rPr>
        <w:t>54 037</w:t>
      </w:r>
      <w:r w:rsidR="003A3E9D" w:rsidRPr="00C66720">
        <w:rPr>
          <w:b w:val="0"/>
          <w:bCs w:val="0"/>
          <w:sz w:val="22"/>
          <w:szCs w:val="22"/>
        </w:rPr>
        <w:t xml:space="preserve"> tis. eur)</w:t>
      </w:r>
      <w:r w:rsidR="006A0E8D" w:rsidRPr="00C66720">
        <w:rPr>
          <w:b w:val="0"/>
          <w:bCs w:val="0"/>
          <w:sz w:val="22"/>
          <w:szCs w:val="22"/>
        </w:rPr>
        <w:t xml:space="preserve"> a</w:t>
      </w:r>
      <w:r w:rsidRPr="00C66720">
        <w:rPr>
          <w:b w:val="0"/>
          <w:bCs w:val="0"/>
          <w:sz w:val="22"/>
          <w:szCs w:val="22"/>
        </w:rPr>
        <w:t xml:space="preserve"> </w:t>
      </w:r>
      <w:r w:rsidR="006A0E8D" w:rsidRPr="00C66720">
        <w:rPr>
          <w:b w:val="0"/>
          <w:bCs w:val="0"/>
          <w:sz w:val="22"/>
          <w:szCs w:val="22"/>
        </w:rPr>
        <w:t xml:space="preserve">ostatné </w:t>
      </w:r>
      <w:r w:rsidRPr="00C66720">
        <w:rPr>
          <w:b w:val="0"/>
          <w:bCs w:val="0"/>
          <w:sz w:val="22"/>
          <w:szCs w:val="22"/>
        </w:rPr>
        <w:t>pohľadávky územnej samosprávy</w:t>
      </w:r>
      <w:r w:rsidR="001265F1" w:rsidRPr="00C66720">
        <w:rPr>
          <w:b w:val="0"/>
          <w:bCs w:val="0"/>
          <w:sz w:val="22"/>
          <w:szCs w:val="22"/>
        </w:rPr>
        <w:t xml:space="preserve"> a ostatných subjektov verejnej správy</w:t>
      </w:r>
      <w:r w:rsidR="00C60BC1" w:rsidRPr="00C66720">
        <w:rPr>
          <w:b w:val="0"/>
          <w:bCs w:val="0"/>
          <w:sz w:val="22"/>
          <w:szCs w:val="22"/>
        </w:rPr>
        <w:t>.</w:t>
      </w:r>
    </w:p>
    <w:p w14:paraId="45A428AB" w14:textId="77777777" w:rsidR="00515E66" w:rsidRDefault="00515E66">
      <w:pPr>
        <w:spacing w:after="0" w:line="240" w:lineRule="auto"/>
        <w:rPr>
          <w:rFonts w:ascii="Times New Roman" w:hAnsi="Times New Roman"/>
          <w:szCs w:val="22"/>
          <w:lang w:eastAsia="sk-SK"/>
        </w:rPr>
      </w:pPr>
      <w:r>
        <w:rPr>
          <w:b/>
          <w:bCs/>
          <w:szCs w:val="22"/>
        </w:rPr>
        <w:br w:type="page"/>
      </w:r>
    </w:p>
    <w:p w14:paraId="6DA0FE8C" w14:textId="14AE78F8" w:rsidR="00675468" w:rsidRPr="00C66720" w:rsidRDefault="00ED11DD" w:rsidP="0019674F">
      <w:pPr>
        <w:pStyle w:val="Pismenka"/>
        <w:tabs>
          <w:tab w:val="clear" w:pos="426"/>
        </w:tabs>
        <w:spacing w:before="240" w:after="200"/>
        <w:ind w:left="0" w:firstLine="0"/>
        <w:rPr>
          <w:bCs w:val="0"/>
          <w:sz w:val="24"/>
          <w:szCs w:val="24"/>
        </w:rPr>
      </w:pPr>
      <w:r w:rsidRPr="00C66720">
        <w:rPr>
          <w:bCs w:val="0"/>
          <w:sz w:val="24"/>
          <w:szCs w:val="24"/>
        </w:rPr>
        <w:lastRenderedPageBreak/>
        <w:t>B.III</w:t>
      </w:r>
      <w:r w:rsidR="009270BF" w:rsidRPr="00C66720">
        <w:rPr>
          <w:bCs w:val="0"/>
          <w:sz w:val="24"/>
          <w:szCs w:val="24"/>
        </w:rPr>
        <w:t>.</w:t>
      </w:r>
      <w:r w:rsidR="00675468" w:rsidRPr="00C66720">
        <w:rPr>
          <w:bCs w:val="0"/>
          <w:sz w:val="24"/>
          <w:szCs w:val="24"/>
        </w:rPr>
        <w:t xml:space="preserve"> </w:t>
      </w:r>
      <w:r w:rsidR="009270BF" w:rsidRPr="00C66720">
        <w:rPr>
          <w:bCs w:val="0"/>
          <w:sz w:val="24"/>
          <w:szCs w:val="24"/>
        </w:rPr>
        <w:t>Finan</w:t>
      </w:r>
      <w:r w:rsidR="00675468" w:rsidRPr="00C66720">
        <w:rPr>
          <w:bCs w:val="0"/>
          <w:sz w:val="24"/>
          <w:szCs w:val="24"/>
        </w:rPr>
        <w:t>č</w:t>
      </w:r>
      <w:r w:rsidR="009270BF" w:rsidRPr="00C66720">
        <w:rPr>
          <w:bCs w:val="0"/>
          <w:sz w:val="24"/>
          <w:szCs w:val="24"/>
        </w:rPr>
        <w:t>né účty</w:t>
      </w:r>
      <w:r w:rsidR="00E458AA" w:rsidRPr="00C66720">
        <w:rPr>
          <w:bCs w:val="0"/>
          <w:sz w:val="24"/>
          <w:szCs w:val="24"/>
        </w:rPr>
        <w:t xml:space="preserve"> a krátkodobý finančný majetok</w:t>
      </w:r>
    </w:p>
    <w:p w14:paraId="5452299C" w14:textId="53FD8D4B" w:rsidR="009270BF" w:rsidRPr="00C66720" w:rsidRDefault="009270BF" w:rsidP="0019674F">
      <w:pPr>
        <w:pStyle w:val="Pismenka"/>
        <w:tabs>
          <w:tab w:val="clear" w:pos="426"/>
        </w:tabs>
        <w:spacing w:after="120"/>
        <w:ind w:left="0" w:firstLine="0"/>
        <w:rPr>
          <w:b w:val="0"/>
          <w:bCs w:val="0"/>
          <w:sz w:val="22"/>
          <w:szCs w:val="22"/>
        </w:rPr>
      </w:pPr>
      <w:r w:rsidRPr="00C66720">
        <w:rPr>
          <w:b w:val="0"/>
          <w:bCs w:val="0"/>
          <w:sz w:val="22"/>
          <w:szCs w:val="22"/>
        </w:rPr>
        <w:t>Ako finančné účty</w:t>
      </w:r>
      <w:r w:rsidR="00675468" w:rsidRPr="00C66720">
        <w:rPr>
          <w:b w:val="0"/>
          <w:bCs w:val="0"/>
          <w:sz w:val="22"/>
          <w:szCs w:val="22"/>
        </w:rPr>
        <w:t>,</w:t>
      </w:r>
      <w:r w:rsidRPr="00C66720">
        <w:rPr>
          <w:b w:val="0"/>
          <w:bCs w:val="0"/>
          <w:sz w:val="22"/>
          <w:szCs w:val="22"/>
        </w:rPr>
        <w:t xml:space="preserve"> resp. krátkodobý finančný majetok sa vykazujú </w:t>
      </w:r>
      <w:r w:rsidR="00010B53" w:rsidRPr="00C66720">
        <w:rPr>
          <w:b w:val="0"/>
          <w:bCs w:val="0"/>
          <w:sz w:val="22"/>
          <w:szCs w:val="22"/>
        </w:rPr>
        <w:t>hlavne</w:t>
      </w:r>
      <w:r w:rsidR="00B93256" w:rsidRPr="00C66720">
        <w:rPr>
          <w:b w:val="0"/>
          <w:bCs w:val="0"/>
          <w:sz w:val="22"/>
          <w:szCs w:val="22"/>
        </w:rPr>
        <w:t xml:space="preserve"> prostriedk</w:t>
      </w:r>
      <w:r w:rsidR="00954E94" w:rsidRPr="00C66720">
        <w:rPr>
          <w:b w:val="0"/>
          <w:bCs w:val="0"/>
          <w:sz w:val="22"/>
          <w:szCs w:val="22"/>
        </w:rPr>
        <w:t>y</w:t>
      </w:r>
      <w:r w:rsidR="00010B53" w:rsidRPr="00C66720">
        <w:rPr>
          <w:b w:val="0"/>
          <w:bCs w:val="0"/>
          <w:sz w:val="22"/>
          <w:szCs w:val="22"/>
        </w:rPr>
        <w:t xml:space="preserve"> </w:t>
      </w:r>
      <w:r w:rsidR="00B93256" w:rsidRPr="00C66720">
        <w:rPr>
          <w:b w:val="0"/>
          <w:bCs w:val="0"/>
          <w:sz w:val="22"/>
          <w:szCs w:val="22"/>
        </w:rPr>
        <w:t>na bankových účtoch, účto</w:t>
      </w:r>
      <w:r w:rsidR="00B5027E" w:rsidRPr="00C66720">
        <w:rPr>
          <w:b w:val="0"/>
          <w:bCs w:val="0"/>
          <w:sz w:val="22"/>
          <w:szCs w:val="22"/>
        </w:rPr>
        <w:t>ch</w:t>
      </w:r>
      <w:r w:rsidRPr="00C66720">
        <w:rPr>
          <w:b w:val="0"/>
          <w:bCs w:val="0"/>
          <w:sz w:val="22"/>
          <w:szCs w:val="22"/>
        </w:rPr>
        <w:t xml:space="preserve"> </w:t>
      </w:r>
      <w:r w:rsidR="00675468" w:rsidRPr="00C66720">
        <w:rPr>
          <w:b w:val="0"/>
          <w:bCs w:val="0"/>
          <w:sz w:val="22"/>
          <w:szCs w:val="22"/>
        </w:rPr>
        <w:t>Š</w:t>
      </w:r>
      <w:r w:rsidRPr="00C66720">
        <w:rPr>
          <w:b w:val="0"/>
          <w:bCs w:val="0"/>
          <w:sz w:val="22"/>
          <w:szCs w:val="22"/>
        </w:rPr>
        <w:t>tátnej pokladnic</w:t>
      </w:r>
      <w:r w:rsidR="00B93256" w:rsidRPr="00C66720">
        <w:rPr>
          <w:b w:val="0"/>
          <w:bCs w:val="0"/>
          <w:sz w:val="22"/>
          <w:szCs w:val="22"/>
        </w:rPr>
        <w:t>e</w:t>
      </w:r>
      <w:r w:rsidR="00FB1B5F" w:rsidRPr="00C66720">
        <w:rPr>
          <w:b w:val="0"/>
          <w:bCs w:val="0"/>
          <w:sz w:val="22"/>
          <w:szCs w:val="22"/>
        </w:rPr>
        <w:t>, okrem termínovaných účtoch s dobou viazanosti dlhšou ako jeden rok</w:t>
      </w:r>
      <w:r w:rsidRPr="00C66720">
        <w:rPr>
          <w:b w:val="0"/>
          <w:bCs w:val="0"/>
          <w:sz w:val="22"/>
          <w:szCs w:val="22"/>
        </w:rPr>
        <w:t>, krátkodobé majetkové a dlhové cenné papiere</w:t>
      </w:r>
      <w:r w:rsidR="00A55D28" w:rsidRPr="00C66720">
        <w:rPr>
          <w:b w:val="0"/>
          <w:bCs w:val="0"/>
          <w:sz w:val="22"/>
          <w:szCs w:val="22"/>
        </w:rPr>
        <w:t xml:space="preserve"> a zostatok v</w:t>
      </w:r>
      <w:r w:rsidR="00961572" w:rsidRPr="00C66720">
        <w:rPr>
          <w:b w:val="0"/>
          <w:bCs w:val="0"/>
          <w:sz w:val="22"/>
          <w:szCs w:val="22"/>
        </w:rPr>
        <w:t>o fyzických</w:t>
      </w:r>
      <w:r w:rsidR="00A55D28" w:rsidRPr="00C66720">
        <w:rPr>
          <w:b w:val="0"/>
          <w:bCs w:val="0"/>
          <w:sz w:val="22"/>
          <w:szCs w:val="22"/>
        </w:rPr>
        <w:t> pokladniciach účtovných jednotiek.</w:t>
      </w:r>
    </w:p>
    <w:p w14:paraId="5CC01B11" w14:textId="77777777" w:rsidR="005A428D" w:rsidRDefault="009270BF" w:rsidP="0064477F">
      <w:pPr>
        <w:pStyle w:val="Pismenka"/>
        <w:tabs>
          <w:tab w:val="clear" w:pos="426"/>
        </w:tabs>
        <w:spacing w:after="120"/>
        <w:ind w:left="0" w:firstLine="0"/>
        <w:rPr>
          <w:b w:val="0"/>
          <w:bCs w:val="0"/>
          <w:sz w:val="22"/>
          <w:szCs w:val="22"/>
        </w:rPr>
      </w:pPr>
      <w:r w:rsidRPr="00C66720">
        <w:rPr>
          <w:b w:val="0"/>
          <w:bCs w:val="0"/>
          <w:sz w:val="22"/>
          <w:szCs w:val="22"/>
        </w:rPr>
        <w:t xml:space="preserve">Hodnota </w:t>
      </w:r>
      <w:r w:rsidR="008133AC" w:rsidRPr="00C66720">
        <w:rPr>
          <w:b w:val="0"/>
          <w:bCs w:val="0"/>
          <w:sz w:val="22"/>
          <w:szCs w:val="22"/>
        </w:rPr>
        <w:t xml:space="preserve">finančných účtov a </w:t>
      </w:r>
      <w:r w:rsidRPr="00C66720">
        <w:rPr>
          <w:b w:val="0"/>
          <w:bCs w:val="0"/>
          <w:sz w:val="22"/>
          <w:szCs w:val="22"/>
        </w:rPr>
        <w:t>krátkodobéh</w:t>
      </w:r>
      <w:r w:rsidR="00F4018A" w:rsidRPr="00C66720">
        <w:rPr>
          <w:b w:val="0"/>
          <w:bCs w:val="0"/>
          <w:sz w:val="22"/>
          <w:szCs w:val="22"/>
        </w:rPr>
        <w:t>o</w:t>
      </w:r>
      <w:r w:rsidR="006D10E0" w:rsidRPr="00C66720">
        <w:rPr>
          <w:b w:val="0"/>
          <w:bCs w:val="0"/>
          <w:sz w:val="22"/>
          <w:szCs w:val="22"/>
        </w:rPr>
        <w:t xml:space="preserve"> finančného majetku k 31.12.2022</w:t>
      </w:r>
      <w:r w:rsidRPr="00C66720">
        <w:rPr>
          <w:b w:val="0"/>
          <w:bCs w:val="0"/>
          <w:sz w:val="22"/>
          <w:szCs w:val="22"/>
        </w:rPr>
        <w:t xml:space="preserve"> bola </w:t>
      </w:r>
      <w:r w:rsidR="006D10E0" w:rsidRPr="00C66720">
        <w:rPr>
          <w:b w:val="0"/>
          <w:bCs w:val="0"/>
          <w:sz w:val="22"/>
          <w:szCs w:val="22"/>
        </w:rPr>
        <w:t>5 130 277</w:t>
      </w:r>
      <w:r w:rsidR="00E03EB8" w:rsidRPr="00C66720">
        <w:rPr>
          <w:b w:val="0"/>
          <w:bCs w:val="0"/>
          <w:sz w:val="22"/>
          <w:szCs w:val="22"/>
        </w:rPr>
        <w:t xml:space="preserve"> tis. eur</w:t>
      </w:r>
      <w:r w:rsidRPr="00C66720">
        <w:rPr>
          <w:b w:val="0"/>
          <w:bCs w:val="0"/>
          <w:sz w:val="22"/>
          <w:szCs w:val="22"/>
        </w:rPr>
        <w:t>. Z toho najvyššiu sumu tvorili</w:t>
      </w:r>
      <w:r w:rsidR="00B64E7B" w:rsidRPr="00C66720">
        <w:rPr>
          <w:b w:val="0"/>
          <w:bCs w:val="0"/>
          <w:sz w:val="22"/>
          <w:szCs w:val="22"/>
        </w:rPr>
        <w:t xml:space="preserve"> </w:t>
      </w:r>
      <w:r w:rsidR="00B64E7B" w:rsidRPr="00C66720">
        <w:rPr>
          <w:b w:val="0"/>
          <w:bCs w:val="0"/>
          <w:i/>
          <w:sz w:val="22"/>
          <w:szCs w:val="22"/>
          <w:u w:val="single"/>
        </w:rPr>
        <w:t xml:space="preserve">bankové účty </w:t>
      </w:r>
      <w:r w:rsidR="00B64E7B" w:rsidRPr="00C66720">
        <w:rPr>
          <w:b w:val="0"/>
          <w:bCs w:val="0"/>
          <w:sz w:val="22"/>
          <w:szCs w:val="22"/>
        </w:rPr>
        <w:t xml:space="preserve">3 828 924 tis. eur a </w:t>
      </w:r>
      <w:r w:rsidR="00CD5636" w:rsidRPr="00C66720">
        <w:rPr>
          <w:b w:val="0"/>
          <w:bCs w:val="0"/>
          <w:i/>
          <w:sz w:val="22"/>
          <w:szCs w:val="22"/>
          <w:u w:val="single"/>
        </w:rPr>
        <w:t>účty Štátnej pokladnice</w:t>
      </w:r>
      <w:r w:rsidR="00CD5636" w:rsidRPr="00C66720">
        <w:rPr>
          <w:b w:val="0"/>
          <w:bCs w:val="0"/>
          <w:i/>
          <w:sz w:val="22"/>
          <w:szCs w:val="22"/>
        </w:rPr>
        <w:t xml:space="preserve"> </w:t>
      </w:r>
      <w:r w:rsidR="00CD5636" w:rsidRPr="00C66720">
        <w:rPr>
          <w:b w:val="0"/>
          <w:bCs w:val="0"/>
          <w:sz w:val="22"/>
          <w:szCs w:val="22"/>
        </w:rPr>
        <w:t xml:space="preserve">v hodnote </w:t>
      </w:r>
      <w:r w:rsidR="00B64E7B" w:rsidRPr="00C66720">
        <w:rPr>
          <w:b w:val="0"/>
          <w:bCs w:val="0"/>
          <w:sz w:val="22"/>
          <w:szCs w:val="22"/>
        </w:rPr>
        <w:br/>
        <w:t>1 228 966</w:t>
      </w:r>
      <w:r w:rsidR="00CD5636" w:rsidRPr="00C66720">
        <w:rPr>
          <w:b w:val="0"/>
          <w:bCs w:val="0"/>
          <w:sz w:val="22"/>
          <w:szCs w:val="22"/>
        </w:rPr>
        <w:t xml:space="preserve"> tis. eur</w:t>
      </w:r>
      <w:r w:rsidR="00792AB1" w:rsidRPr="00C66720">
        <w:rPr>
          <w:b w:val="0"/>
          <w:bCs w:val="0"/>
          <w:sz w:val="22"/>
          <w:szCs w:val="22"/>
        </w:rPr>
        <w:t xml:space="preserve">. </w:t>
      </w:r>
      <w:r w:rsidR="00BC741D" w:rsidRPr="00C66720">
        <w:rPr>
          <w:b w:val="0"/>
          <w:bCs w:val="0"/>
          <w:sz w:val="22"/>
          <w:szCs w:val="22"/>
        </w:rPr>
        <w:t xml:space="preserve">Medziročný </w:t>
      </w:r>
      <w:r w:rsidR="00E43788" w:rsidRPr="00C66720">
        <w:rPr>
          <w:b w:val="0"/>
          <w:bCs w:val="0"/>
          <w:sz w:val="22"/>
          <w:szCs w:val="22"/>
        </w:rPr>
        <w:t>úbytok</w:t>
      </w:r>
      <w:r w:rsidR="00792AB1" w:rsidRPr="00C66720">
        <w:rPr>
          <w:b w:val="0"/>
          <w:bCs w:val="0"/>
          <w:sz w:val="22"/>
          <w:szCs w:val="22"/>
        </w:rPr>
        <w:t xml:space="preserve"> </w:t>
      </w:r>
      <w:r w:rsidR="00BC741D" w:rsidRPr="00C66720">
        <w:rPr>
          <w:b w:val="0"/>
          <w:bCs w:val="0"/>
          <w:sz w:val="22"/>
          <w:szCs w:val="22"/>
        </w:rPr>
        <w:t>bol spôsobený najmä</w:t>
      </w:r>
      <w:r w:rsidR="00295DC0" w:rsidRPr="00C66720">
        <w:rPr>
          <w:b w:val="0"/>
          <w:bCs w:val="0"/>
          <w:sz w:val="22"/>
          <w:szCs w:val="22"/>
        </w:rPr>
        <w:t xml:space="preserve"> </w:t>
      </w:r>
      <w:r w:rsidR="00E43788" w:rsidRPr="00C66720">
        <w:rPr>
          <w:b w:val="0"/>
          <w:bCs w:val="0"/>
          <w:sz w:val="22"/>
          <w:szCs w:val="22"/>
        </w:rPr>
        <w:t>poklesom zostatkov</w:t>
      </w:r>
      <w:r w:rsidR="000A41AC" w:rsidRPr="00C66720">
        <w:rPr>
          <w:b w:val="0"/>
          <w:bCs w:val="0"/>
          <w:sz w:val="22"/>
          <w:szCs w:val="22"/>
        </w:rPr>
        <w:t xml:space="preserve"> </w:t>
      </w:r>
      <w:r w:rsidR="007539E6" w:rsidRPr="00C66720">
        <w:rPr>
          <w:b w:val="0"/>
          <w:bCs w:val="0"/>
          <w:sz w:val="22"/>
          <w:szCs w:val="22"/>
        </w:rPr>
        <w:t xml:space="preserve">účtov štátnej pokladnice o </w:t>
      </w:r>
      <w:r w:rsidR="000D4A90" w:rsidRPr="00C66720">
        <w:rPr>
          <w:b w:val="0"/>
          <w:bCs w:val="0"/>
          <w:sz w:val="22"/>
          <w:szCs w:val="22"/>
        </w:rPr>
        <w:t>4 339 139</w:t>
      </w:r>
      <w:r w:rsidR="007539E6" w:rsidRPr="00C66720">
        <w:rPr>
          <w:b w:val="0"/>
          <w:bCs w:val="0"/>
          <w:sz w:val="22"/>
          <w:szCs w:val="22"/>
        </w:rPr>
        <w:t xml:space="preserve"> tis. eur</w:t>
      </w:r>
      <w:r w:rsidR="00F74E37">
        <w:rPr>
          <w:b w:val="0"/>
          <w:bCs w:val="0"/>
          <w:sz w:val="22"/>
          <w:szCs w:val="22"/>
        </w:rPr>
        <w:t>,</w:t>
      </w:r>
      <w:r w:rsidR="00F91779" w:rsidRPr="00C66720">
        <w:rPr>
          <w:b w:val="0"/>
          <w:bCs w:val="0"/>
          <w:sz w:val="22"/>
          <w:szCs w:val="22"/>
        </w:rPr>
        <w:t xml:space="preserve"> najmä účtov zriadených v NBS z dôvodu zníženia stavu finančných prostriedkov</w:t>
      </w:r>
      <w:r w:rsidR="00DD7D9E" w:rsidRPr="00C66720">
        <w:rPr>
          <w:b w:val="0"/>
          <w:bCs w:val="0"/>
          <w:sz w:val="22"/>
          <w:szCs w:val="22"/>
        </w:rPr>
        <w:t xml:space="preserve"> na PM</w:t>
      </w:r>
      <w:r w:rsidR="00DD7D9E" w:rsidRPr="00C66720">
        <w:rPr>
          <w:rStyle w:val="Odkaznapoznmkupodiarou"/>
          <w:b w:val="0"/>
          <w:bCs w:val="0"/>
          <w:sz w:val="22"/>
          <w:szCs w:val="22"/>
        </w:rPr>
        <w:footnoteReference w:id="3"/>
      </w:r>
      <w:r w:rsidR="00DD7D9E" w:rsidRPr="00C66720">
        <w:rPr>
          <w:b w:val="0"/>
          <w:bCs w:val="0"/>
          <w:sz w:val="22"/>
          <w:szCs w:val="22"/>
        </w:rPr>
        <w:t xml:space="preserve"> </w:t>
      </w:r>
      <w:r w:rsidR="00E6760C" w:rsidRPr="00C66720">
        <w:rPr>
          <w:b w:val="0"/>
          <w:bCs w:val="0"/>
          <w:sz w:val="22"/>
          <w:szCs w:val="22"/>
        </w:rPr>
        <w:t xml:space="preserve">účte Štátnej pokladnice ako účastníka dobrovoľných klientov zo systému Štátnej pokladnice. Ďalším faktorom boli zmeny v úrokových sadzbách v priebehu roka 2022, v ktorom došlo k najväčšiemu zvyšovaniu </w:t>
      </w:r>
      <w:r w:rsidR="00F14D81" w:rsidRPr="00C66720">
        <w:rPr>
          <w:b w:val="0"/>
          <w:bCs w:val="0"/>
          <w:sz w:val="22"/>
          <w:szCs w:val="22"/>
        </w:rPr>
        <w:t>úrokových sadzieb dôsledkom čoho bolo vyššie ukladanie voľných finančných prostriedkov na finančných trhoch prostredníctvom refinančného mechanizmu medzi Štátnou pokladnicou a Ardal-om (presun prostriedkov na úložky v komerčných bankách účtované ako krátkodobé pohľadávky, ktoré medziročne vzrástli o 3 710 000 tis. eur)</w:t>
      </w:r>
      <w:r w:rsidR="00F91779" w:rsidRPr="00C66720">
        <w:rPr>
          <w:b w:val="0"/>
          <w:bCs w:val="0"/>
          <w:sz w:val="22"/>
          <w:szCs w:val="22"/>
        </w:rPr>
        <w:t>.</w:t>
      </w:r>
    </w:p>
    <w:p w14:paraId="3D51B254" w14:textId="27AD5DFC" w:rsidR="00F91779" w:rsidRDefault="00F91779" w:rsidP="0080762D">
      <w:pPr>
        <w:pStyle w:val="Pismenka"/>
        <w:tabs>
          <w:tab w:val="clear" w:pos="426"/>
        </w:tabs>
        <w:spacing w:after="240"/>
        <w:ind w:left="0" w:firstLine="0"/>
        <w:rPr>
          <w:b w:val="0"/>
          <w:bCs w:val="0"/>
          <w:sz w:val="22"/>
          <w:szCs w:val="22"/>
        </w:rPr>
      </w:pPr>
      <w:r w:rsidRPr="00C66720">
        <w:rPr>
          <w:b w:val="0"/>
          <w:bCs w:val="0"/>
          <w:sz w:val="22"/>
          <w:szCs w:val="22"/>
        </w:rPr>
        <w:t xml:space="preserve">Naopak </w:t>
      </w:r>
      <w:r w:rsidR="00F12871" w:rsidRPr="00C66720">
        <w:rPr>
          <w:b w:val="0"/>
          <w:bCs w:val="0"/>
          <w:sz w:val="22"/>
          <w:szCs w:val="22"/>
        </w:rPr>
        <w:t>prostrie</w:t>
      </w:r>
      <w:r w:rsidR="00746DC4" w:rsidRPr="00C66720">
        <w:rPr>
          <w:b w:val="0"/>
          <w:bCs w:val="0"/>
          <w:sz w:val="22"/>
          <w:szCs w:val="22"/>
        </w:rPr>
        <w:t>d</w:t>
      </w:r>
      <w:r w:rsidR="00F12871" w:rsidRPr="00C66720">
        <w:rPr>
          <w:b w:val="0"/>
          <w:bCs w:val="0"/>
          <w:sz w:val="22"/>
          <w:szCs w:val="22"/>
        </w:rPr>
        <w:t xml:space="preserve">ky </w:t>
      </w:r>
      <w:r w:rsidR="005A428D">
        <w:rPr>
          <w:b w:val="0"/>
          <w:bCs w:val="0"/>
          <w:sz w:val="22"/>
          <w:szCs w:val="22"/>
        </w:rPr>
        <w:t xml:space="preserve">subjektov </w:t>
      </w:r>
      <w:r w:rsidR="00F12871" w:rsidRPr="00C66720">
        <w:rPr>
          <w:b w:val="0"/>
          <w:bCs w:val="0"/>
          <w:sz w:val="22"/>
          <w:szCs w:val="22"/>
        </w:rPr>
        <w:t xml:space="preserve">na </w:t>
      </w:r>
      <w:r w:rsidR="00746DC4" w:rsidRPr="00C66720">
        <w:rPr>
          <w:b w:val="0"/>
          <w:bCs w:val="0"/>
          <w:sz w:val="22"/>
          <w:szCs w:val="22"/>
        </w:rPr>
        <w:t xml:space="preserve">bežných </w:t>
      </w:r>
      <w:r w:rsidR="00F12871" w:rsidRPr="00C66720">
        <w:rPr>
          <w:b w:val="0"/>
          <w:bCs w:val="0"/>
          <w:sz w:val="22"/>
          <w:szCs w:val="22"/>
        </w:rPr>
        <w:t>bankových účtoch</w:t>
      </w:r>
      <w:r w:rsidR="00746DC4" w:rsidRPr="00C66720">
        <w:rPr>
          <w:b w:val="0"/>
          <w:bCs w:val="0"/>
          <w:sz w:val="22"/>
          <w:szCs w:val="22"/>
        </w:rPr>
        <w:t xml:space="preserve"> v porovnaní s rokom 2021</w:t>
      </w:r>
      <w:r w:rsidR="005A428D">
        <w:rPr>
          <w:b w:val="0"/>
          <w:bCs w:val="0"/>
          <w:sz w:val="22"/>
          <w:szCs w:val="22"/>
        </w:rPr>
        <w:t xml:space="preserve"> </w:t>
      </w:r>
      <w:r w:rsidR="005A428D" w:rsidRPr="00C66720">
        <w:rPr>
          <w:b w:val="0"/>
          <w:bCs w:val="0"/>
          <w:sz w:val="22"/>
          <w:szCs w:val="22"/>
        </w:rPr>
        <w:t>vzrástli</w:t>
      </w:r>
      <w:r w:rsidR="00746DC4" w:rsidRPr="00C66720">
        <w:rPr>
          <w:b w:val="0"/>
          <w:bCs w:val="0"/>
          <w:sz w:val="22"/>
          <w:szCs w:val="22"/>
        </w:rPr>
        <w:t xml:space="preserve"> o 782 685 tis. eur, čím dosiahli objem 3 828 924 tis. eur. Ide o zostatky prostriedkov na bankových účtoch v komerčných bankách s dobou viazanosti najviac 1 rok</w:t>
      </w:r>
      <w:r w:rsidR="00D3150D" w:rsidRPr="00C66720">
        <w:rPr>
          <w:b w:val="0"/>
          <w:bCs w:val="0"/>
          <w:sz w:val="22"/>
          <w:szCs w:val="22"/>
        </w:rPr>
        <w:t xml:space="preserve"> resp. bez viazanosti,</w:t>
      </w:r>
      <w:r w:rsidR="00746DC4" w:rsidRPr="00C66720">
        <w:rPr>
          <w:b w:val="0"/>
          <w:bCs w:val="0"/>
          <w:sz w:val="22"/>
          <w:szCs w:val="22"/>
        </w:rPr>
        <w:t xml:space="preserve"> subjektov územnej samosprávy, ostatných subjektov verejnej správy a niektorých obchodných spoločností v ústrednej správe </w:t>
      </w:r>
      <w:r w:rsidR="00BC42BE" w:rsidRPr="00C66720">
        <w:rPr>
          <w:b w:val="0"/>
          <w:bCs w:val="0"/>
          <w:sz w:val="22"/>
          <w:szCs w:val="22"/>
        </w:rPr>
        <w:t>(napríklad Slovenská elektrizačná prenosová sústava, a.s. 743 430 tis. eur, Vodohospodárska výstavba, š.p. 183 191 tis. eur, Železnice Slovenskej republiky 182 798 tis. eur)</w:t>
      </w:r>
      <w:r w:rsidR="00573338" w:rsidRPr="00C66720">
        <w:rPr>
          <w:b w:val="0"/>
          <w:bCs w:val="0"/>
          <w:sz w:val="22"/>
          <w:szCs w:val="22"/>
        </w:rPr>
        <w:t xml:space="preserve">. </w:t>
      </w:r>
    </w:p>
    <w:p w14:paraId="786EE970" w14:textId="77777777" w:rsidR="00587DE9" w:rsidRPr="009E2901" w:rsidRDefault="00587DE9" w:rsidP="00587DE9">
      <w:pPr>
        <w:pStyle w:val="Pismenka"/>
        <w:tabs>
          <w:tab w:val="clear" w:pos="426"/>
        </w:tabs>
        <w:ind w:left="0" w:firstLine="0"/>
        <w:rPr>
          <w:bCs w:val="0"/>
        </w:rPr>
      </w:pPr>
      <w:r>
        <w:rPr>
          <w:bCs w:val="0"/>
        </w:rPr>
        <w:t>Tabuľka 12</w:t>
      </w:r>
    </w:p>
    <w:tbl>
      <w:tblPr>
        <w:tblW w:w="5000" w:type="pct"/>
        <w:jc w:val="center"/>
        <w:tblLayout w:type="fixed"/>
        <w:tblCellMar>
          <w:left w:w="70" w:type="dxa"/>
          <w:right w:w="70" w:type="dxa"/>
        </w:tblCellMar>
        <w:tblLook w:val="00A0" w:firstRow="1" w:lastRow="0" w:firstColumn="1" w:lastColumn="0" w:noHBand="0" w:noVBand="0"/>
      </w:tblPr>
      <w:tblGrid>
        <w:gridCol w:w="5206"/>
        <w:gridCol w:w="1303"/>
        <w:gridCol w:w="1281"/>
        <w:gridCol w:w="1281"/>
      </w:tblGrid>
      <w:tr w:rsidR="00587DE9" w:rsidRPr="00AD1DD7" w14:paraId="27F01F68"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51FE6832" w14:textId="77777777" w:rsidR="00587DE9" w:rsidRPr="00AD1DD7" w:rsidRDefault="00587DE9" w:rsidP="00241F33">
            <w:pPr>
              <w:spacing w:after="0" w:line="240" w:lineRule="auto"/>
              <w:rPr>
                <w:b/>
                <w:bCs/>
                <w:sz w:val="18"/>
                <w:szCs w:val="18"/>
              </w:rPr>
            </w:pPr>
            <w:r w:rsidRPr="00AD1DD7">
              <w:rPr>
                <w:b/>
                <w:bCs/>
                <w:sz w:val="18"/>
                <w:szCs w:val="18"/>
              </w:rPr>
              <w:br w:type="page"/>
            </w:r>
            <w:r w:rsidRPr="00AD1DD7">
              <w:rPr>
                <w:b/>
                <w:bCs/>
                <w:sz w:val="18"/>
                <w:szCs w:val="18"/>
              </w:rPr>
              <w:br w:type="page"/>
              <w:t xml:space="preserve"> </w:t>
            </w:r>
            <w:r w:rsidRPr="00AD1DD7">
              <w:rPr>
                <w:rFonts w:ascii="Times New Roman" w:hAnsi="Times New Roman"/>
                <w:b/>
                <w:bCs/>
                <w:sz w:val="18"/>
                <w:szCs w:val="18"/>
                <w:lang w:eastAsia="sk-SK"/>
              </w:rPr>
              <w:t xml:space="preserve">Finančné účty a krátkodobý finančný majetok súhrnného celku                                                  </w:t>
            </w:r>
            <w:r>
              <w:rPr>
                <w:rFonts w:ascii="Times New Roman" w:hAnsi="Times New Roman"/>
                <w:b/>
                <w:bCs/>
                <w:sz w:val="18"/>
                <w:szCs w:val="18"/>
                <w:lang w:eastAsia="sk-SK"/>
              </w:rPr>
              <w:t xml:space="preserve">                    </w:t>
            </w:r>
            <w:r w:rsidRPr="00AD1DD7">
              <w:rPr>
                <w:rFonts w:ascii="Times New Roman" w:hAnsi="Times New Roman"/>
                <w:b/>
                <w:bCs/>
                <w:sz w:val="18"/>
                <w:szCs w:val="18"/>
                <w:lang w:eastAsia="sk-SK"/>
              </w:rPr>
              <w:t>(v tis. eur) </w:t>
            </w:r>
          </w:p>
        </w:tc>
      </w:tr>
      <w:tr w:rsidR="00D6651F" w:rsidRPr="00051644" w14:paraId="6CA63AAD" w14:textId="77777777" w:rsidTr="00241F33">
        <w:trPr>
          <w:trHeight w:val="330"/>
          <w:jc w:val="center"/>
        </w:trPr>
        <w:tc>
          <w:tcPr>
            <w:tcW w:w="2870" w:type="pct"/>
            <w:tcBorders>
              <w:top w:val="nil"/>
              <w:left w:val="nil"/>
              <w:bottom w:val="single" w:sz="4" w:space="0" w:color="auto"/>
              <w:right w:val="nil"/>
            </w:tcBorders>
            <w:shd w:val="clear" w:color="auto" w:fill="BDD7EE"/>
            <w:noWrap/>
            <w:vAlign w:val="bottom"/>
          </w:tcPr>
          <w:p w14:paraId="41F19912" w14:textId="65A48166" w:rsidR="00D6651F" w:rsidRPr="00051644" w:rsidRDefault="00D6651F" w:rsidP="00D6651F">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Finančné účty</w:t>
            </w:r>
          </w:p>
        </w:tc>
        <w:tc>
          <w:tcPr>
            <w:tcW w:w="718" w:type="pct"/>
            <w:tcBorders>
              <w:top w:val="nil"/>
              <w:left w:val="nil"/>
              <w:bottom w:val="single" w:sz="4" w:space="0" w:color="auto"/>
              <w:right w:val="nil"/>
            </w:tcBorders>
            <w:shd w:val="clear" w:color="auto" w:fill="BDD7EE"/>
            <w:noWrap/>
            <w:vAlign w:val="bottom"/>
          </w:tcPr>
          <w:p w14:paraId="6C8A1B88" w14:textId="73051C10" w:rsidR="00D6651F" w:rsidRPr="00051644" w:rsidRDefault="00D6651F" w:rsidP="00D6651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06" w:type="pct"/>
            <w:tcBorders>
              <w:top w:val="nil"/>
              <w:left w:val="nil"/>
              <w:bottom w:val="single" w:sz="4" w:space="0" w:color="auto"/>
              <w:right w:val="nil"/>
            </w:tcBorders>
            <w:shd w:val="clear" w:color="auto" w:fill="BDD7EE"/>
            <w:noWrap/>
            <w:vAlign w:val="bottom"/>
          </w:tcPr>
          <w:p w14:paraId="094F2200" w14:textId="2612953D" w:rsidR="00D6651F" w:rsidRPr="00051644" w:rsidRDefault="00D6651F" w:rsidP="00D6651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6" w:type="pct"/>
            <w:tcBorders>
              <w:top w:val="nil"/>
              <w:left w:val="nil"/>
              <w:bottom w:val="single" w:sz="4" w:space="0" w:color="auto"/>
              <w:right w:val="nil"/>
            </w:tcBorders>
            <w:shd w:val="clear" w:color="auto" w:fill="BDD7EE"/>
            <w:vAlign w:val="bottom"/>
          </w:tcPr>
          <w:p w14:paraId="3BD81B90" w14:textId="31F40FB7" w:rsidR="00D6651F" w:rsidRPr="00051644" w:rsidRDefault="00D6651F" w:rsidP="00D6651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D6651F" w:rsidRPr="00051644" w14:paraId="2DCAE667" w14:textId="77777777" w:rsidTr="00D6651F">
        <w:trPr>
          <w:trHeight w:val="324"/>
          <w:jc w:val="center"/>
        </w:trPr>
        <w:tc>
          <w:tcPr>
            <w:tcW w:w="2870" w:type="pct"/>
            <w:tcBorders>
              <w:top w:val="nil"/>
              <w:left w:val="nil"/>
              <w:bottom w:val="nil"/>
              <w:right w:val="nil"/>
            </w:tcBorders>
            <w:vAlign w:val="center"/>
          </w:tcPr>
          <w:p w14:paraId="4025F71C" w14:textId="7B0BAF0D" w:rsidR="00D6651F" w:rsidRPr="00051644" w:rsidRDefault="00D6651F" w:rsidP="00D6651F">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Účty Štátnej pokladnice</w:t>
            </w:r>
          </w:p>
        </w:tc>
        <w:tc>
          <w:tcPr>
            <w:tcW w:w="718" w:type="pct"/>
            <w:tcBorders>
              <w:top w:val="nil"/>
              <w:left w:val="nil"/>
              <w:bottom w:val="nil"/>
              <w:right w:val="nil"/>
            </w:tcBorders>
            <w:vAlign w:val="center"/>
          </w:tcPr>
          <w:p w14:paraId="0B85B52E" w14:textId="0A47822F" w:rsidR="00D6651F" w:rsidRPr="00051644" w:rsidRDefault="00D6651F" w:rsidP="00D6651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1 228 966</w:t>
            </w:r>
          </w:p>
        </w:tc>
        <w:tc>
          <w:tcPr>
            <w:tcW w:w="706" w:type="pct"/>
            <w:tcBorders>
              <w:top w:val="nil"/>
              <w:left w:val="nil"/>
              <w:bottom w:val="nil"/>
              <w:right w:val="nil"/>
            </w:tcBorders>
            <w:vAlign w:val="center"/>
          </w:tcPr>
          <w:p w14:paraId="23846E8B" w14:textId="7459ED4F" w:rsidR="00D6651F" w:rsidRPr="00051644" w:rsidRDefault="00D6651F" w:rsidP="00D6651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5 568 105</w:t>
            </w:r>
          </w:p>
        </w:tc>
        <w:tc>
          <w:tcPr>
            <w:tcW w:w="706" w:type="pct"/>
            <w:tcBorders>
              <w:top w:val="nil"/>
              <w:left w:val="nil"/>
              <w:bottom w:val="nil"/>
              <w:right w:val="nil"/>
            </w:tcBorders>
            <w:vAlign w:val="center"/>
          </w:tcPr>
          <w:p w14:paraId="2A919341" w14:textId="38F1DE4B" w:rsidR="00D6651F" w:rsidRPr="00051644" w:rsidRDefault="00D6651F" w:rsidP="00D6651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-4 339 139</w:t>
            </w:r>
          </w:p>
        </w:tc>
      </w:tr>
      <w:tr w:rsidR="00D6651F" w:rsidRPr="00051644" w14:paraId="73C7B14C" w14:textId="77777777" w:rsidTr="00D6651F">
        <w:trPr>
          <w:trHeight w:val="324"/>
          <w:jc w:val="center"/>
        </w:trPr>
        <w:tc>
          <w:tcPr>
            <w:tcW w:w="2870" w:type="pct"/>
            <w:tcBorders>
              <w:top w:val="nil"/>
              <w:left w:val="nil"/>
              <w:bottom w:val="nil"/>
              <w:right w:val="nil"/>
            </w:tcBorders>
            <w:vAlign w:val="center"/>
          </w:tcPr>
          <w:p w14:paraId="5BF5C353" w14:textId="31E9C0FC" w:rsidR="00D6651F" w:rsidRPr="00051644" w:rsidRDefault="00D6651F" w:rsidP="00D6651F">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Bankové účty</w:t>
            </w:r>
          </w:p>
        </w:tc>
        <w:tc>
          <w:tcPr>
            <w:tcW w:w="718" w:type="pct"/>
            <w:tcBorders>
              <w:top w:val="nil"/>
              <w:left w:val="nil"/>
              <w:bottom w:val="nil"/>
              <w:right w:val="nil"/>
            </w:tcBorders>
            <w:vAlign w:val="center"/>
          </w:tcPr>
          <w:p w14:paraId="7E53330C" w14:textId="6F9D3FF0" w:rsidR="00D6651F" w:rsidRPr="00051644" w:rsidRDefault="00D6651F" w:rsidP="00D6651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3 831 288</w:t>
            </w:r>
          </w:p>
        </w:tc>
        <w:tc>
          <w:tcPr>
            <w:tcW w:w="706" w:type="pct"/>
            <w:tcBorders>
              <w:top w:val="nil"/>
              <w:left w:val="nil"/>
              <w:bottom w:val="nil"/>
              <w:right w:val="nil"/>
            </w:tcBorders>
            <w:vAlign w:val="center"/>
          </w:tcPr>
          <w:p w14:paraId="58DA42C7" w14:textId="7EAAC375" w:rsidR="00D6651F" w:rsidRPr="00051644" w:rsidRDefault="00D6651F" w:rsidP="00D6651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3 048 536</w:t>
            </w:r>
          </w:p>
        </w:tc>
        <w:tc>
          <w:tcPr>
            <w:tcW w:w="706" w:type="pct"/>
            <w:tcBorders>
              <w:top w:val="nil"/>
              <w:left w:val="nil"/>
              <w:bottom w:val="nil"/>
              <w:right w:val="nil"/>
            </w:tcBorders>
            <w:vAlign w:val="center"/>
          </w:tcPr>
          <w:p w14:paraId="4840AA07" w14:textId="781967A5" w:rsidR="00D6651F" w:rsidRPr="00051644" w:rsidRDefault="00D6651F" w:rsidP="00D6651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782 752</w:t>
            </w:r>
          </w:p>
        </w:tc>
      </w:tr>
      <w:tr w:rsidR="00D6651F" w:rsidRPr="00051644" w14:paraId="2C4C39E0" w14:textId="77777777" w:rsidTr="00D6651F">
        <w:trPr>
          <w:trHeight w:val="324"/>
          <w:jc w:val="center"/>
        </w:trPr>
        <w:tc>
          <w:tcPr>
            <w:tcW w:w="2870" w:type="pct"/>
            <w:tcBorders>
              <w:top w:val="nil"/>
              <w:left w:val="nil"/>
              <w:bottom w:val="nil"/>
              <w:right w:val="nil"/>
            </w:tcBorders>
            <w:vAlign w:val="center"/>
          </w:tcPr>
          <w:p w14:paraId="4EE999E2" w14:textId="01AA26CC" w:rsidR="00D6651F" w:rsidRPr="00051644" w:rsidRDefault="00D6651F" w:rsidP="00D6651F">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Pokladnica a ceniny</w:t>
            </w:r>
          </w:p>
        </w:tc>
        <w:tc>
          <w:tcPr>
            <w:tcW w:w="718" w:type="pct"/>
            <w:tcBorders>
              <w:top w:val="nil"/>
              <w:left w:val="nil"/>
              <w:bottom w:val="nil"/>
              <w:right w:val="nil"/>
            </w:tcBorders>
            <w:vAlign w:val="center"/>
          </w:tcPr>
          <w:p w14:paraId="72C154E1" w14:textId="779F0B57" w:rsidR="00D6651F" w:rsidRPr="00051644" w:rsidRDefault="00D6651F" w:rsidP="00D6651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67 018</w:t>
            </w:r>
          </w:p>
        </w:tc>
        <w:tc>
          <w:tcPr>
            <w:tcW w:w="706" w:type="pct"/>
            <w:tcBorders>
              <w:top w:val="nil"/>
              <w:left w:val="nil"/>
              <w:bottom w:val="nil"/>
              <w:right w:val="nil"/>
            </w:tcBorders>
            <w:vAlign w:val="center"/>
          </w:tcPr>
          <w:p w14:paraId="7DE23D83" w14:textId="2B830165" w:rsidR="00D6651F" w:rsidRPr="00051644" w:rsidRDefault="00D6651F" w:rsidP="00D6651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71 313</w:t>
            </w:r>
          </w:p>
        </w:tc>
        <w:tc>
          <w:tcPr>
            <w:tcW w:w="706" w:type="pct"/>
            <w:tcBorders>
              <w:top w:val="nil"/>
              <w:left w:val="nil"/>
              <w:bottom w:val="nil"/>
              <w:right w:val="nil"/>
            </w:tcBorders>
            <w:vAlign w:val="center"/>
          </w:tcPr>
          <w:p w14:paraId="6B5EBB81" w14:textId="1513CEBC" w:rsidR="00D6651F" w:rsidRPr="00051644" w:rsidRDefault="00D6651F" w:rsidP="00D6651F">
            <w:pPr>
              <w:tabs>
                <w:tab w:val="center" w:pos="570"/>
                <w:tab w:val="right" w:pos="1141"/>
              </w:tabs>
              <w:spacing w:after="0" w:line="240" w:lineRule="auto"/>
              <w:rPr>
                <w:rFonts w:ascii="Times New Roman" w:hAnsi="Times New Roman"/>
                <w:sz w:val="18"/>
                <w:szCs w:val="18"/>
                <w:lang w:eastAsia="sk-SK"/>
              </w:rPr>
            </w:pPr>
            <w:r w:rsidRPr="00C66720">
              <w:rPr>
                <w:rFonts w:ascii="Times New Roman" w:hAnsi="Times New Roman"/>
                <w:color w:val="FF0000"/>
                <w:sz w:val="18"/>
                <w:szCs w:val="18"/>
                <w:lang w:eastAsia="sk-SK"/>
              </w:rPr>
              <w:tab/>
            </w:r>
            <w:r w:rsidRPr="00C66720">
              <w:rPr>
                <w:rFonts w:ascii="Times New Roman" w:hAnsi="Times New Roman"/>
                <w:sz w:val="18"/>
                <w:szCs w:val="18"/>
                <w:lang w:eastAsia="sk-SK"/>
              </w:rPr>
              <w:tab/>
              <w:t>-4 295</w:t>
            </w:r>
          </w:p>
        </w:tc>
      </w:tr>
      <w:tr w:rsidR="00D6651F" w:rsidRPr="00051644" w14:paraId="0A413923" w14:textId="77777777" w:rsidTr="00D6651F">
        <w:trPr>
          <w:trHeight w:val="206"/>
          <w:jc w:val="center"/>
        </w:trPr>
        <w:tc>
          <w:tcPr>
            <w:tcW w:w="2870" w:type="pct"/>
            <w:tcBorders>
              <w:top w:val="nil"/>
              <w:left w:val="nil"/>
              <w:bottom w:val="single" w:sz="4" w:space="0" w:color="auto"/>
              <w:right w:val="nil"/>
            </w:tcBorders>
            <w:vAlign w:val="bottom"/>
          </w:tcPr>
          <w:p w14:paraId="03552384" w14:textId="33EEBE64" w:rsidR="00D6651F" w:rsidRPr="00051644" w:rsidRDefault="00D6651F" w:rsidP="00D6651F">
            <w:pPr>
              <w:spacing w:after="0" w:line="240" w:lineRule="auto"/>
              <w:rPr>
                <w:rFonts w:ascii="Times New Roman" w:hAnsi="Times New Roman"/>
                <w:b/>
                <w:sz w:val="18"/>
                <w:szCs w:val="18"/>
                <w:lang w:eastAsia="sk-SK"/>
              </w:rPr>
            </w:pPr>
            <w:r w:rsidRPr="00C66720">
              <w:rPr>
                <w:rFonts w:ascii="Times New Roman" w:hAnsi="Times New Roman"/>
                <w:b/>
                <w:sz w:val="18"/>
                <w:szCs w:val="18"/>
                <w:lang w:eastAsia="sk-SK"/>
              </w:rPr>
              <w:t>Spolu</w:t>
            </w:r>
          </w:p>
        </w:tc>
        <w:tc>
          <w:tcPr>
            <w:tcW w:w="718" w:type="pct"/>
            <w:tcBorders>
              <w:top w:val="nil"/>
              <w:left w:val="nil"/>
              <w:bottom w:val="single" w:sz="4" w:space="0" w:color="auto"/>
              <w:right w:val="nil"/>
            </w:tcBorders>
            <w:vAlign w:val="bottom"/>
          </w:tcPr>
          <w:p w14:paraId="744029F6" w14:textId="690ACFBA" w:rsidR="00D6651F" w:rsidRPr="00051644" w:rsidRDefault="00D6651F" w:rsidP="00D6651F">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5 127 272</w:t>
            </w:r>
          </w:p>
        </w:tc>
        <w:tc>
          <w:tcPr>
            <w:tcW w:w="706" w:type="pct"/>
            <w:tcBorders>
              <w:top w:val="nil"/>
              <w:left w:val="nil"/>
              <w:bottom w:val="single" w:sz="4" w:space="0" w:color="auto"/>
              <w:right w:val="nil"/>
            </w:tcBorders>
            <w:vAlign w:val="bottom"/>
          </w:tcPr>
          <w:p w14:paraId="5C96A63F" w14:textId="5ED004C2" w:rsidR="00D6651F" w:rsidRPr="00051644" w:rsidRDefault="00D6651F" w:rsidP="00D6651F">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8 687 954</w:t>
            </w:r>
          </w:p>
        </w:tc>
        <w:tc>
          <w:tcPr>
            <w:tcW w:w="706" w:type="pct"/>
            <w:tcBorders>
              <w:top w:val="nil"/>
              <w:left w:val="nil"/>
              <w:bottom w:val="single" w:sz="4" w:space="0" w:color="auto"/>
              <w:right w:val="nil"/>
            </w:tcBorders>
            <w:vAlign w:val="center"/>
          </w:tcPr>
          <w:p w14:paraId="1A74B49A" w14:textId="375A1EC8" w:rsidR="00D6651F" w:rsidRPr="00051644" w:rsidRDefault="00D6651F" w:rsidP="00D6651F">
            <w:pPr>
              <w:spacing w:after="0" w:line="240" w:lineRule="auto"/>
              <w:jc w:val="right"/>
              <w:rPr>
                <w:rFonts w:ascii="Times New Roman" w:hAnsi="Times New Roman"/>
                <w:b/>
                <w:color w:val="FF0000"/>
                <w:sz w:val="18"/>
                <w:szCs w:val="18"/>
                <w:lang w:eastAsia="sk-SK"/>
              </w:rPr>
            </w:pPr>
            <w:r w:rsidRPr="00C66720">
              <w:rPr>
                <w:rFonts w:ascii="Times New Roman" w:hAnsi="Times New Roman"/>
                <w:b/>
                <w:sz w:val="18"/>
                <w:szCs w:val="18"/>
                <w:lang w:eastAsia="sk-SK"/>
              </w:rPr>
              <w:t>-3 560 682</w:t>
            </w:r>
          </w:p>
        </w:tc>
      </w:tr>
      <w:tr w:rsidR="00D6651F" w:rsidRPr="00051644" w14:paraId="6B88C42A" w14:textId="77777777" w:rsidTr="00241F33">
        <w:trPr>
          <w:trHeight w:val="324"/>
          <w:jc w:val="center"/>
        </w:trPr>
        <w:tc>
          <w:tcPr>
            <w:tcW w:w="2870" w:type="pct"/>
            <w:tcBorders>
              <w:top w:val="nil"/>
              <w:left w:val="nil"/>
              <w:bottom w:val="single" w:sz="4" w:space="0" w:color="auto"/>
              <w:right w:val="nil"/>
            </w:tcBorders>
            <w:shd w:val="clear" w:color="auto" w:fill="BDD7EE"/>
            <w:vAlign w:val="bottom"/>
          </w:tcPr>
          <w:p w14:paraId="0339A83E" w14:textId="3409BA16" w:rsidR="00D6651F" w:rsidRPr="00051644" w:rsidRDefault="00D6651F" w:rsidP="00D6651F">
            <w:pPr>
              <w:spacing w:after="0" w:line="240" w:lineRule="auto"/>
              <w:rPr>
                <w:rFonts w:ascii="Times New Roman" w:hAnsi="Times New Roman"/>
                <w:b/>
                <w:sz w:val="18"/>
                <w:szCs w:val="18"/>
                <w:lang w:eastAsia="sk-SK"/>
              </w:rPr>
            </w:pPr>
            <w:r w:rsidRPr="00C66720">
              <w:rPr>
                <w:rFonts w:ascii="Times New Roman" w:hAnsi="Times New Roman"/>
                <w:sz w:val="18"/>
                <w:szCs w:val="18"/>
              </w:rPr>
              <w:br w:type="page"/>
            </w:r>
            <w:r w:rsidRPr="00C66720">
              <w:rPr>
                <w:rFonts w:ascii="Times New Roman" w:hAnsi="Times New Roman"/>
                <w:b/>
                <w:sz w:val="18"/>
                <w:szCs w:val="18"/>
                <w:lang w:eastAsia="sk-SK"/>
              </w:rPr>
              <w:t>Krátkodobý finančný majetok</w:t>
            </w:r>
          </w:p>
        </w:tc>
        <w:tc>
          <w:tcPr>
            <w:tcW w:w="718" w:type="pct"/>
            <w:tcBorders>
              <w:top w:val="nil"/>
              <w:left w:val="nil"/>
              <w:bottom w:val="single" w:sz="4" w:space="0" w:color="auto"/>
              <w:right w:val="nil"/>
            </w:tcBorders>
            <w:shd w:val="clear" w:color="auto" w:fill="BDD7EE"/>
            <w:vAlign w:val="bottom"/>
          </w:tcPr>
          <w:p w14:paraId="55F812A9" w14:textId="7434B295" w:rsidR="00D6651F" w:rsidRPr="00051644" w:rsidRDefault="00D6651F" w:rsidP="00D6651F">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2022</w:t>
            </w:r>
          </w:p>
        </w:tc>
        <w:tc>
          <w:tcPr>
            <w:tcW w:w="706" w:type="pct"/>
            <w:tcBorders>
              <w:top w:val="nil"/>
              <w:left w:val="nil"/>
              <w:bottom w:val="single" w:sz="4" w:space="0" w:color="auto"/>
              <w:right w:val="nil"/>
            </w:tcBorders>
            <w:shd w:val="clear" w:color="auto" w:fill="BDD7EE"/>
            <w:vAlign w:val="bottom"/>
          </w:tcPr>
          <w:p w14:paraId="28F0C9D2" w14:textId="24B4011B" w:rsidR="00D6651F" w:rsidRPr="00051644" w:rsidRDefault="00D6651F" w:rsidP="00D6651F">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2021</w:t>
            </w:r>
          </w:p>
        </w:tc>
        <w:tc>
          <w:tcPr>
            <w:tcW w:w="706" w:type="pct"/>
            <w:tcBorders>
              <w:top w:val="nil"/>
              <w:left w:val="nil"/>
              <w:bottom w:val="single" w:sz="4" w:space="0" w:color="auto"/>
              <w:right w:val="nil"/>
            </w:tcBorders>
            <w:shd w:val="clear" w:color="auto" w:fill="BDD7EE"/>
            <w:vAlign w:val="bottom"/>
          </w:tcPr>
          <w:p w14:paraId="387B4166" w14:textId="289B2FC4" w:rsidR="00D6651F" w:rsidRPr="00051644" w:rsidRDefault="00D6651F" w:rsidP="00D6651F">
            <w:pPr>
              <w:spacing w:after="0" w:line="240" w:lineRule="auto"/>
              <w:jc w:val="right"/>
              <w:rPr>
                <w:rFonts w:ascii="Times New Roman" w:hAnsi="Times New Roman"/>
                <w:b/>
                <w:sz w:val="18"/>
                <w:szCs w:val="18"/>
                <w:lang w:eastAsia="sk-SK"/>
              </w:rPr>
            </w:pPr>
            <w:r w:rsidRPr="00C66720">
              <w:rPr>
                <w:rFonts w:ascii="Times New Roman" w:hAnsi="Times New Roman"/>
                <w:b/>
                <w:bCs/>
                <w:sz w:val="18"/>
                <w:szCs w:val="18"/>
                <w:lang w:eastAsia="sk-SK"/>
              </w:rPr>
              <w:t>Δ 2022-2021</w:t>
            </w:r>
          </w:p>
        </w:tc>
      </w:tr>
      <w:tr w:rsidR="00D6651F" w:rsidRPr="00051644" w14:paraId="7AE247A3" w14:textId="77777777" w:rsidTr="00D6651F">
        <w:trPr>
          <w:trHeight w:val="324"/>
          <w:jc w:val="center"/>
        </w:trPr>
        <w:tc>
          <w:tcPr>
            <w:tcW w:w="2870" w:type="pct"/>
            <w:tcBorders>
              <w:top w:val="nil"/>
              <w:left w:val="nil"/>
              <w:right w:val="nil"/>
            </w:tcBorders>
            <w:shd w:val="clear" w:color="000000" w:fill="auto"/>
            <w:vAlign w:val="center"/>
          </w:tcPr>
          <w:p w14:paraId="78DA5E7D" w14:textId="64844C91" w:rsidR="00D6651F" w:rsidRPr="00051644" w:rsidRDefault="00D6651F" w:rsidP="00D6651F">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Realizovateľné cenné papiere</w:t>
            </w:r>
          </w:p>
        </w:tc>
        <w:tc>
          <w:tcPr>
            <w:tcW w:w="718" w:type="pct"/>
            <w:tcBorders>
              <w:top w:val="nil"/>
              <w:left w:val="nil"/>
              <w:right w:val="nil"/>
            </w:tcBorders>
            <w:shd w:val="clear" w:color="000000" w:fill="auto"/>
            <w:vAlign w:val="center"/>
          </w:tcPr>
          <w:p w14:paraId="6C67DC84" w14:textId="427A32C3"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1 850</w:t>
            </w:r>
          </w:p>
        </w:tc>
        <w:tc>
          <w:tcPr>
            <w:tcW w:w="706" w:type="pct"/>
            <w:tcBorders>
              <w:top w:val="nil"/>
              <w:left w:val="nil"/>
              <w:right w:val="nil"/>
            </w:tcBorders>
            <w:shd w:val="clear" w:color="000000" w:fill="auto"/>
            <w:vAlign w:val="center"/>
          </w:tcPr>
          <w:p w14:paraId="67839E93" w14:textId="64FA45BE"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2 613</w:t>
            </w:r>
          </w:p>
        </w:tc>
        <w:tc>
          <w:tcPr>
            <w:tcW w:w="706" w:type="pct"/>
            <w:tcBorders>
              <w:top w:val="nil"/>
              <w:left w:val="nil"/>
              <w:right w:val="nil"/>
            </w:tcBorders>
            <w:shd w:val="clear" w:color="000000" w:fill="auto"/>
            <w:vAlign w:val="center"/>
          </w:tcPr>
          <w:p w14:paraId="3F675986" w14:textId="2834B443"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-763</w:t>
            </w:r>
          </w:p>
        </w:tc>
      </w:tr>
      <w:tr w:rsidR="00D6651F" w:rsidRPr="00051644" w14:paraId="0514D332" w14:textId="77777777" w:rsidTr="00D6651F">
        <w:trPr>
          <w:trHeight w:val="324"/>
          <w:jc w:val="center"/>
        </w:trPr>
        <w:tc>
          <w:tcPr>
            <w:tcW w:w="2870" w:type="pct"/>
            <w:tcBorders>
              <w:top w:val="nil"/>
              <w:left w:val="nil"/>
              <w:right w:val="nil"/>
            </w:tcBorders>
            <w:shd w:val="clear" w:color="000000" w:fill="auto"/>
            <w:vAlign w:val="center"/>
          </w:tcPr>
          <w:p w14:paraId="55E32FE0" w14:textId="08F443B0" w:rsidR="00D6651F" w:rsidRPr="00051644" w:rsidRDefault="00D6651F" w:rsidP="00D6651F">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Dlhové cenné papiere</w:t>
            </w:r>
          </w:p>
        </w:tc>
        <w:tc>
          <w:tcPr>
            <w:tcW w:w="718" w:type="pct"/>
            <w:tcBorders>
              <w:top w:val="nil"/>
              <w:left w:val="nil"/>
              <w:right w:val="nil"/>
            </w:tcBorders>
            <w:shd w:val="clear" w:color="000000" w:fill="auto"/>
            <w:vAlign w:val="center"/>
          </w:tcPr>
          <w:p w14:paraId="07B0815D" w14:textId="1DD56625"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897</w:t>
            </w:r>
          </w:p>
        </w:tc>
        <w:tc>
          <w:tcPr>
            <w:tcW w:w="706" w:type="pct"/>
            <w:tcBorders>
              <w:top w:val="nil"/>
              <w:left w:val="nil"/>
              <w:right w:val="nil"/>
            </w:tcBorders>
            <w:shd w:val="clear" w:color="000000" w:fill="auto"/>
            <w:vAlign w:val="center"/>
          </w:tcPr>
          <w:p w14:paraId="195F9039" w14:textId="1EBC5D8E"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1 883</w:t>
            </w:r>
          </w:p>
        </w:tc>
        <w:tc>
          <w:tcPr>
            <w:tcW w:w="706" w:type="pct"/>
            <w:tcBorders>
              <w:top w:val="nil"/>
              <w:left w:val="nil"/>
              <w:right w:val="nil"/>
            </w:tcBorders>
            <w:shd w:val="clear" w:color="000000" w:fill="auto"/>
            <w:vAlign w:val="center"/>
          </w:tcPr>
          <w:p w14:paraId="022CA078" w14:textId="3B5DC855"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-986</w:t>
            </w:r>
          </w:p>
        </w:tc>
      </w:tr>
      <w:tr w:rsidR="00D6651F" w:rsidRPr="00051644" w14:paraId="5C0040BB" w14:textId="77777777" w:rsidTr="00D6651F">
        <w:trPr>
          <w:trHeight w:val="324"/>
          <w:jc w:val="center"/>
        </w:trPr>
        <w:tc>
          <w:tcPr>
            <w:tcW w:w="2870" w:type="pct"/>
            <w:tcBorders>
              <w:left w:val="nil"/>
              <w:right w:val="nil"/>
            </w:tcBorders>
            <w:shd w:val="clear" w:color="000000" w:fill="auto"/>
            <w:vAlign w:val="center"/>
          </w:tcPr>
          <w:p w14:paraId="0AF6D01B" w14:textId="17DB441E" w:rsidR="00D6651F" w:rsidRPr="00051644" w:rsidRDefault="00D6651F" w:rsidP="00D6651F">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Majetkové cenné papiere</w:t>
            </w:r>
          </w:p>
        </w:tc>
        <w:tc>
          <w:tcPr>
            <w:tcW w:w="718" w:type="pct"/>
            <w:tcBorders>
              <w:left w:val="nil"/>
              <w:right w:val="nil"/>
            </w:tcBorders>
            <w:shd w:val="clear" w:color="000000" w:fill="auto"/>
            <w:vAlign w:val="center"/>
          </w:tcPr>
          <w:p w14:paraId="399A42FD" w14:textId="51D0E134"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78</w:t>
            </w:r>
          </w:p>
        </w:tc>
        <w:tc>
          <w:tcPr>
            <w:tcW w:w="706" w:type="pct"/>
            <w:tcBorders>
              <w:left w:val="nil"/>
              <w:right w:val="nil"/>
            </w:tcBorders>
            <w:shd w:val="clear" w:color="000000" w:fill="auto"/>
            <w:vAlign w:val="center"/>
          </w:tcPr>
          <w:p w14:paraId="6E08AE6A" w14:textId="555C6B78"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599</w:t>
            </w:r>
          </w:p>
        </w:tc>
        <w:tc>
          <w:tcPr>
            <w:tcW w:w="706" w:type="pct"/>
            <w:tcBorders>
              <w:left w:val="nil"/>
              <w:right w:val="nil"/>
            </w:tcBorders>
            <w:shd w:val="clear" w:color="000000" w:fill="auto"/>
            <w:vAlign w:val="center"/>
          </w:tcPr>
          <w:p w14:paraId="5E180EE5" w14:textId="5593C3CB"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-521</w:t>
            </w:r>
          </w:p>
        </w:tc>
      </w:tr>
      <w:tr w:rsidR="00D6651F" w:rsidRPr="00051644" w14:paraId="5330FDC9" w14:textId="77777777" w:rsidTr="00D6651F">
        <w:trPr>
          <w:trHeight w:val="324"/>
          <w:jc w:val="center"/>
        </w:trPr>
        <w:tc>
          <w:tcPr>
            <w:tcW w:w="2870" w:type="pct"/>
            <w:tcBorders>
              <w:top w:val="nil"/>
              <w:left w:val="nil"/>
              <w:bottom w:val="single" w:sz="4" w:space="0" w:color="auto"/>
              <w:right w:val="nil"/>
            </w:tcBorders>
            <w:shd w:val="clear" w:color="000000" w:fill="auto"/>
            <w:vAlign w:val="center"/>
          </w:tcPr>
          <w:p w14:paraId="10C02219" w14:textId="20CB1D7D" w:rsidR="00D6651F" w:rsidRPr="00051644" w:rsidRDefault="00D6651F" w:rsidP="00D6651F">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Ostatný krátkodobý finančný majetok</w:t>
            </w:r>
          </w:p>
        </w:tc>
        <w:tc>
          <w:tcPr>
            <w:tcW w:w="718" w:type="pct"/>
            <w:tcBorders>
              <w:top w:val="nil"/>
              <w:left w:val="nil"/>
              <w:bottom w:val="single" w:sz="4" w:space="0" w:color="auto"/>
              <w:right w:val="nil"/>
            </w:tcBorders>
            <w:shd w:val="clear" w:color="000000" w:fill="auto"/>
            <w:vAlign w:val="center"/>
          </w:tcPr>
          <w:p w14:paraId="35E8DC98" w14:textId="2B36F69D"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180</w:t>
            </w:r>
          </w:p>
        </w:tc>
        <w:tc>
          <w:tcPr>
            <w:tcW w:w="706" w:type="pct"/>
            <w:tcBorders>
              <w:top w:val="nil"/>
              <w:left w:val="nil"/>
              <w:bottom w:val="single" w:sz="4" w:space="0" w:color="auto"/>
              <w:right w:val="nil"/>
            </w:tcBorders>
            <w:shd w:val="clear" w:color="000000" w:fill="auto"/>
            <w:vAlign w:val="center"/>
          </w:tcPr>
          <w:p w14:paraId="41637FF2" w14:textId="769FB355"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120</w:t>
            </w:r>
          </w:p>
        </w:tc>
        <w:tc>
          <w:tcPr>
            <w:tcW w:w="706" w:type="pct"/>
            <w:tcBorders>
              <w:top w:val="nil"/>
              <w:left w:val="nil"/>
              <w:bottom w:val="single" w:sz="4" w:space="0" w:color="auto"/>
              <w:right w:val="nil"/>
            </w:tcBorders>
            <w:shd w:val="clear" w:color="000000" w:fill="auto"/>
            <w:vAlign w:val="center"/>
          </w:tcPr>
          <w:p w14:paraId="213040C1" w14:textId="67AFBCF6" w:rsidR="00D6651F" w:rsidRPr="00051644" w:rsidRDefault="00D6651F" w:rsidP="00D6651F">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60</w:t>
            </w:r>
          </w:p>
        </w:tc>
      </w:tr>
      <w:tr w:rsidR="00D6651F" w:rsidRPr="00975467" w14:paraId="0E6B2B19" w14:textId="77777777" w:rsidTr="00241F33">
        <w:trPr>
          <w:trHeight w:val="324"/>
          <w:jc w:val="center"/>
        </w:trPr>
        <w:tc>
          <w:tcPr>
            <w:tcW w:w="2870" w:type="pct"/>
            <w:tcBorders>
              <w:top w:val="single" w:sz="4" w:space="0" w:color="auto"/>
              <w:left w:val="nil"/>
              <w:bottom w:val="single" w:sz="4" w:space="0" w:color="000000"/>
              <w:right w:val="nil"/>
            </w:tcBorders>
            <w:shd w:val="clear" w:color="000000" w:fill="auto"/>
            <w:vAlign w:val="center"/>
          </w:tcPr>
          <w:p w14:paraId="1984E169" w14:textId="5BF11796" w:rsidR="00D6651F" w:rsidRPr="00051644" w:rsidRDefault="00D6651F" w:rsidP="00D6651F">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718" w:type="pct"/>
            <w:tcBorders>
              <w:top w:val="single" w:sz="4" w:space="0" w:color="auto"/>
              <w:left w:val="nil"/>
              <w:bottom w:val="single" w:sz="4" w:space="0" w:color="000000"/>
              <w:right w:val="nil"/>
            </w:tcBorders>
            <w:shd w:val="clear" w:color="000000" w:fill="auto"/>
            <w:vAlign w:val="center"/>
          </w:tcPr>
          <w:p w14:paraId="19C8475F" w14:textId="0DC9B4C0" w:rsidR="00D6651F" w:rsidRPr="00051644" w:rsidRDefault="00D6651F" w:rsidP="00D6651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3 005</w:t>
            </w:r>
          </w:p>
        </w:tc>
        <w:tc>
          <w:tcPr>
            <w:tcW w:w="706" w:type="pct"/>
            <w:tcBorders>
              <w:top w:val="single" w:sz="4" w:space="0" w:color="auto"/>
              <w:left w:val="nil"/>
              <w:bottom w:val="single" w:sz="4" w:space="0" w:color="000000"/>
              <w:right w:val="nil"/>
            </w:tcBorders>
            <w:shd w:val="clear" w:color="000000" w:fill="auto"/>
            <w:vAlign w:val="center"/>
          </w:tcPr>
          <w:p w14:paraId="3366D344" w14:textId="0E27EACB" w:rsidR="00D6651F" w:rsidRPr="00051644" w:rsidRDefault="00D6651F" w:rsidP="00D6651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5 215</w:t>
            </w:r>
          </w:p>
        </w:tc>
        <w:tc>
          <w:tcPr>
            <w:tcW w:w="706" w:type="pct"/>
            <w:tcBorders>
              <w:top w:val="single" w:sz="4" w:space="0" w:color="auto"/>
              <w:left w:val="nil"/>
              <w:bottom w:val="single" w:sz="4" w:space="0" w:color="000000"/>
              <w:right w:val="nil"/>
            </w:tcBorders>
            <w:shd w:val="clear" w:color="000000" w:fill="auto"/>
            <w:vAlign w:val="center"/>
          </w:tcPr>
          <w:p w14:paraId="0AC3A3AF" w14:textId="2C671456" w:rsidR="00D6651F" w:rsidRPr="00051644" w:rsidRDefault="00D6651F" w:rsidP="00D6651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-2 210</w:t>
            </w:r>
          </w:p>
        </w:tc>
      </w:tr>
    </w:tbl>
    <w:p w14:paraId="40610C3D" w14:textId="77777777" w:rsidR="00587DE9" w:rsidRDefault="00587DE9" w:rsidP="00587DE9">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7770083A" w14:textId="67132B0B" w:rsidR="00956B66" w:rsidRPr="00C66720" w:rsidRDefault="00956B66" w:rsidP="00F05F5A">
      <w:pPr>
        <w:pStyle w:val="Pismenka"/>
        <w:numPr>
          <w:ilvl w:val="0"/>
          <w:numId w:val="44"/>
        </w:numPr>
        <w:spacing w:before="240" w:after="120"/>
        <w:ind w:left="284" w:hanging="284"/>
        <w:rPr>
          <w:i/>
          <w:sz w:val="22"/>
          <w:szCs w:val="22"/>
          <w:u w:val="single"/>
        </w:rPr>
      </w:pPr>
      <w:bookmarkStart w:id="29" w:name="_Ref86091996"/>
      <w:r w:rsidRPr="00C66720">
        <w:rPr>
          <w:i/>
          <w:sz w:val="22"/>
          <w:szCs w:val="22"/>
          <w:u w:val="single"/>
        </w:rPr>
        <w:t>Bežné bankové účty, pokladnica a ceniny</w:t>
      </w:r>
      <w:bookmarkEnd w:id="29"/>
    </w:p>
    <w:p w14:paraId="0EC21611" w14:textId="4AABD75D" w:rsidR="00004F00" w:rsidRPr="00C66720" w:rsidRDefault="009B7B1D" w:rsidP="00997105">
      <w:pPr>
        <w:pStyle w:val="Pismenka"/>
        <w:tabs>
          <w:tab w:val="clear" w:pos="426"/>
        </w:tabs>
        <w:spacing w:before="120" w:after="120"/>
        <w:ind w:left="0" w:firstLine="0"/>
        <w:rPr>
          <w:b w:val="0"/>
          <w:bCs w:val="0"/>
          <w:sz w:val="22"/>
          <w:szCs w:val="22"/>
        </w:rPr>
      </w:pPr>
      <w:r w:rsidRPr="00C66720">
        <w:rPr>
          <w:b w:val="0"/>
          <w:bCs w:val="0"/>
          <w:sz w:val="22"/>
          <w:szCs w:val="22"/>
        </w:rPr>
        <w:t xml:space="preserve">Zostatky na bankových účtoch, hotovosti a cenín dosiahli úhrnom </w:t>
      </w:r>
      <w:r w:rsidR="00DB7E28" w:rsidRPr="00C66720">
        <w:rPr>
          <w:b w:val="0"/>
          <w:bCs w:val="0"/>
          <w:sz w:val="22"/>
          <w:szCs w:val="22"/>
        </w:rPr>
        <w:t>3</w:t>
      </w:r>
      <w:r w:rsidR="00A6740B">
        <w:rPr>
          <w:b w:val="0"/>
          <w:bCs w:val="0"/>
          <w:sz w:val="22"/>
          <w:szCs w:val="22"/>
        </w:rPr>
        <w:t> </w:t>
      </w:r>
      <w:r w:rsidR="009B6CC1" w:rsidRPr="00C66720">
        <w:rPr>
          <w:b w:val="0"/>
          <w:bCs w:val="0"/>
          <w:sz w:val="22"/>
          <w:szCs w:val="22"/>
        </w:rPr>
        <w:t>898</w:t>
      </w:r>
      <w:r w:rsidR="00A6740B">
        <w:rPr>
          <w:b w:val="0"/>
          <w:bCs w:val="0"/>
          <w:sz w:val="22"/>
          <w:szCs w:val="22"/>
        </w:rPr>
        <w:t xml:space="preserve"> 306</w:t>
      </w:r>
      <w:r w:rsidRPr="00C66720">
        <w:rPr>
          <w:b w:val="0"/>
          <w:bCs w:val="0"/>
          <w:sz w:val="22"/>
          <w:szCs w:val="22"/>
        </w:rPr>
        <w:t xml:space="preserve"> tis. eur a v porovnaní s rokom </w:t>
      </w:r>
      <w:r w:rsidR="009B6CC1" w:rsidRPr="00C66720">
        <w:rPr>
          <w:b w:val="0"/>
          <w:bCs w:val="0"/>
          <w:sz w:val="22"/>
          <w:szCs w:val="22"/>
        </w:rPr>
        <w:t>2021</w:t>
      </w:r>
      <w:r w:rsidRPr="00C66720">
        <w:rPr>
          <w:b w:val="0"/>
          <w:bCs w:val="0"/>
          <w:sz w:val="22"/>
          <w:szCs w:val="22"/>
        </w:rPr>
        <w:t xml:space="preserve"> boli vyššie o</w:t>
      </w:r>
      <w:r w:rsidR="00DB7E28" w:rsidRPr="00C66720">
        <w:rPr>
          <w:b w:val="0"/>
          <w:bCs w:val="0"/>
          <w:sz w:val="22"/>
          <w:szCs w:val="22"/>
        </w:rPr>
        <w:t> </w:t>
      </w:r>
      <w:r w:rsidR="009B6CC1" w:rsidRPr="00C66720">
        <w:rPr>
          <w:b w:val="0"/>
          <w:bCs w:val="0"/>
          <w:sz w:val="22"/>
          <w:szCs w:val="22"/>
        </w:rPr>
        <w:t>778</w:t>
      </w:r>
      <w:r w:rsidR="00E940C4">
        <w:rPr>
          <w:b w:val="0"/>
          <w:bCs w:val="0"/>
          <w:sz w:val="22"/>
          <w:szCs w:val="22"/>
        </w:rPr>
        <w:t xml:space="preserve"> 457 </w:t>
      </w:r>
      <w:r w:rsidRPr="00C66720">
        <w:rPr>
          <w:b w:val="0"/>
          <w:bCs w:val="0"/>
          <w:sz w:val="22"/>
          <w:szCs w:val="22"/>
        </w:rPr>
        <w:t xml:space="preserve">tis. eur. </w:t>
      </w:r>
      <w:r w:rsidR="005F3B14" w:rsidRPr="00C66720">
        <w:rPr>
          <w:b w:val="0"/>
          <w:bCs w:val="0"/>
          <w:sz w:val="22"/>
          <w:szCs w:val="22"/>
        </w:rPr>
        <w:t xml:space="preserve">Najvýznamnejšiu položku predstavujú zostatky na bankových účtoch v sume </w:t>
      </w:r>
      <w:r w:rsidR="00714524" w:rsidRPr="00C66720">
        <w:rPr>
          <w:b w:val="0"/>
          <w:bCs w:val="0"/>
          <w:sz w:val="22"/>
          <w:szCs w:val="22"/>
        </w:rPr>
        <w:t>3</w:t>
      </w:r>
      <w:r w:rsidR="00A6740B">
        <w:rPr>
          <w:b w:val="0"/>
          <w:bCs w:val="0"/>
          <w:sz w:val="22"/>
          <w:szCs w:val="22"/>
        </w:rPr>
        <w:t xml:space="preserve"> 831 288 </w:t>
      </w:r>
      <w:r w:rsidR="005F3B14" w:rsidRPr="00C66720">
        <w:rPr>
          <w:b w:val="0"/>
          <w:bCs w:val="0"/>
          <w:sz w:val="22"/>
          <w:szCs w:val="22"/>
        </w:rPr>
        <w:t>tis. eur</w:t>
      </w:r>
      <w:r w:rsidR="0018213D" w:rsidRPr="00C66720">
        <w:rPr>
          <w:b w:val="0"/>
          <w:bCs w:val="0"/>
          <w:sz w:val="22"/>
          <w:szCs w:val="22"/>
        </w:rPr>
        <w:t xml:space="preserve">, v tom </w:t>
      </w:r>
      <w:r w:rsidR="00E940C4">
        <w:rPr>
          <w:b w:val="0"/>
          <w:bCs w:val="0"/>
          <w:sz w:val="22"/>
          <w:szCs w:val="22"/>
        </w:rPr>
        <w:t xml:space="preserve">sú </w:t>
      </w:r>
      <w:r w:rsidR="0018213D" w:rsidRPr="00C66720">
        <w:rPr>
          <w:b w:val="0"/>
          <w:bCs w:val="0"/>
          <w:sz w:val="22"/>
          <w:szCs w:val="22"/>
        </w:rPr>
        <w:t xml:space="preserve">zostatky na </w:t>
      </w:r>
      <w:r w:rsidR="00AF555A">
        <w:rPr>
          <w:b w:val="0"/>
          <w:bCs w:val="0"/>
          <w:sz w:val="22"/>
          <w:szCs w:val="22"/>
        </w:rPr>
        <w:t xml:space="preserve">bežných bankových </w:t>
      </w:r>
      <w:r w:rsidR="0018213D" w:rsidRPr="00C66720">
        <w:rPr>
          <w:b w:val="0"/>
          <w:bCs w:val="0"/>
          <w:sz w:val="22"/>
          <w:szCs w:val="22"/>
        </w:rPr>
        <w:t>účtoch obcí</w:t>
      </w:r>
      <w:r w:rsidR="00AF555A">
        <w:rPr>
          <w:b w:val="0"/>
          <w:bCs w:val="0"/>
          <w:sz w:val="22"/>
          <w:szCs w:val="22"/>
        </w:rPr>
        <w:t xml:space="preserve"> vrátane zostatku účtov všetkých podriadených organizácií tvoriacich konsolidované celky obcí (okrem zostatku na výdavkových a príjmových rozpočtových účtoch) 1 </w:t>
      </w:r>
      <w:r w:rsidR="00AF555A" w:rsidRPr="00723D81">
        <w:rPr>
          <w:b w:val="0"/>
          <w:bCs w:val="0"/>
          <w:sz w:val="22"/>
          <w:szCs w:val="22"/>
        </w:rPr>
        <w:t xml:space="preserve">418 314 </w:t>
      </w:r>
      <w:r w:rsidR="0018213D" w:rsidRPr="00723D81">
        <w:rPr>
          <w:b w:val="0"/>
          <w:bCs w:val="0"/>
          <w:sz w:val="22"/>
          <w:szCs w:val="22"/>
        </w:rPr>
        <w:t>tis. eur</w:t>
      </w:r>
      <w:r w:rsidR="00F357CB">
        <w:rPr>
          <w:b w:val="0"/>
          <w:bCs w:val="0"/>
          <w:sz w:val="22"/>
          <w:szCs w:val="22"/>
        </w:rPr>
        <w:t>.</w:t>
      </w:r>
      <w:r w:rsidR="00252D86" w:rsidRPr="00723D81">
        <w:rPr>
          <w:b w:val="0"/>
          <w:bCs w:val="0"/>
          <w:sz w:val="22"/>
          <w:szCs w:val="22"/>
        </w:rPr>
        <w:t xml:space="preserve"> </w:t>
      </w:r>
      <w:r w:rsidR="00860144" w:rsidRPr="00723D81">
        <w:rPr>
          <w:b w:val="0"/>
          <w:bCs w:val="0"/>
          <w:sz w:val="22"/>
          <w:szCs w:val="22"/>
        </w:rPr>
        <w:t>Hodnota</w:t>
      </w:r>
      <w:r w:rsidR="00860144" w:rsidRPr="00C66720">
        <w:rPr>
          <w:b w:val="0"/>
          <w:bCs w:val="0"/>
          <w:sz w:val="22"/>
          <w:szCs w:val="22"/>
        </w:rPr>
        <w:t xml:space="preserve"> pokladničnej hotovosti dosiahla </w:t>
      </w:r>
      <w:r w:rsidR="00252D86" w:rsidRPr="00C66720">
        <w:rPr>
          <w:b w:val="0"/>
          <w:bCs w:val="0"/>
          <w:sz w:val="22"/>
          <w:szCs w:val="22"/>
        </w:rPr>
        <w:t>53 734</w:t>
      </w:r>
      <w:r w:rsidR="00860144" w:rsidRPr="00C66720">
        <w:rPr>
          <w:b w:val="0"/>
          <w:bCs w:val="0"/>
          <w:sz w:val="22"/>
          <w:szCs w:val="22"/>
        </w:rPr>
        <w:t xml:space="preserve"> tis. eur a cení</w:t>
      </w:r>
      <w:r w:rsidR="00B86B17" w:rsidRPr="00C66720">
        <w:rPr>
          <w:b w:val="0"/>
          <w:bCs w:val="0"/>
          <w:sz w:val="22"/>
          <w:szCs w:val="22"/>
        </w:rPr>
        <w:t>n</w:t>
      </w:r>
      <w:r w:rsidR="00860144" w:rsidRPr="00C66720">
        <w:rPr>
          <w:b w:val="0"/>
          <w:bCs w:val="0"/>
          <w:sz w:val="22"/>
          <w:szCs w:val="22"/>
        </w:rPr>
        <w:t xml:space="preserve"> </w:t>
      </w:r>
      <w:r w:rsidR="00252D86" w:rsidRPr="00C66720">
        <w:rPr>
          <w:b w:val="0"/>
          <w:bCs w:val="0"/>
          <w:sz w:val="22"/>
          <w:szCs w:val="22"/>
        </w:rPr>
        <w:t>13 284</w:t>
      </w:r>
      <w:r w:rsidR="00860144" w:rsidRPr="00C66720">
        <w:rPr>
          <w:b w:val="0"/>
          <w:bCs w:val="0"/>
          <w:sz w:val="22"/>
          <w:szCs w:val="22"/>
        </w:rPr>
        <w:t xml:space="preserve"> tis. eur.</w:t>
      </w:r>
    </w:p>
    <w:p w14:paraId="4BE517A8" w14:textId="4B954507" w:rsidR="00280672" w:rsidRPr="00C66720" w:rsidRDefault="00823110" w:rsidP="00997105">
      <w:pPr>
        <w:pStyle w:val="Pismenka"/>
        <w:tabs>
          <w:tab w:val="clear" w:pos="426"/>
        </w:tabs>
        <w:spacing w:before="120" w:after="120"/>
        <w:ind w:left="0" w:firstLine="0"/>
        <w:rPr>
          <w:b w:val="0"/>
          <w:bCs w:val="0"/>
          <w:sz w:val="22"/>
          <w:szCs w:val="22"/>
        </w:rPr>
      </w:pPr>
      <w:r w:rsidRPr="00C66720">
        <w:rPr>
          <w:b w:val="0"/>
          <w:bCs w:val="0"/>
          <w:sz w:val="22"/>
          <w:szCs w:val="22"/>
        </w:rPr>
        <w:t>V rámci ústrednej správy dochádza k eliminácii hodnoty banko</w:t>
      </w:r>
      <w:r w:rsidR="00A96341" w:rsidRPr="00C66720">
        <w:rPr>
          <w:b w:val="0"/>
          <w:bCs w:val="0"/>
          <w:sz w:val="22"/>
          <w:szCs w:val="22"/>
        </w:rPr>
        <w:t>vých účtov tých subjektov, ktorí</w:t>
      </w:r>
      <w:r w:rsidRPr="00C66720">
        <w:rPr>
          <w:b w:val="0"/>
          <w:bCs w:val="0"/>
          <w:sz w:val="22"/>
          <w:szCs w:val="22"/>
        </w:rPr>
        <w:t xml:space="preserve"> sú klientmi Štátnej pokladnice a majú v nej vedené účty</w:t>
      </w:r>
      <w:r w:rsidR="009B6169" w:rsidRPr="00C66720">
        <w:rPr>
          <w:b w:val="0"/>
          <w:bCs w:val="0"/>
          <w:sz w:val="22"/>
          <w:szCs w:val="22"/>
        </w:rPr>
        <w:t xml:space="preserve"> (napríklad štátne fondy, Sociálna poisťovňa, </w:t>
      </w:r>
      <w:r w:rsidR="009B6169" w:rsidRPr="00C66720">
        <w:rPr>
          <w:b w:val="0"/>
          <w:bCs w:val="0"/>
          <w:sz w:val="22"/>
          <w:szCs w:val="22"/>
        </w:rPr>
        <w:lastRenderedPageBreak/>
        <w:t>verejné vy</w:t>
      </w:r>
      <w:r w:rsidR="00E43151" w:rsidRPr="00C66720">
        <w:rPr>
          <w:b w:val="0"/>
          <w:bCs w:val="0"/>
          <w:sz w:val="22"/>
          <w:szCs w:val="22"/>
        </w:rPr>
        <w:t>soké školy, vyššie územné celky</w:t>
      </w:r>
      <w:r w:rsidR="004D467E" w:rsidRPr="00C66720">
        <w:rPr>
          <w:b w:val="0"/>
          <w:bCs w:val="0"/>
          <w:sz w:val="22"/>
          <w:szCs w:val="22"/>
        </w:rPr>
        <w:t>, dobrovoľní klienti</w:t>
      </w:r>
      <w:r w:rsidR="009B6169" w:rsidRPr="00C66720">
        <w:rPr>
          <w:b w:val="0"/>
          <w:bCs w:val="0"/>
          <w:sz w:val="22"/>
          <w:szCs w:val="22"/>
        </w:rPr>
        <w:t>)</w:t>
      </w:r>
      <w:r w:rsidRPr="00C66720">
        <w:rPr>
          <w:b w:val="0"/>
          <w:bCs w:val="0"/>
          <w:sz w:val="22"/>
          <w:szCs w:val="22"/>
        </w:rPr>
        <w:t>.</w:t>
      </w:r>
      <w:r w:rsidR="009B6169" w:rsidRPr="00C66720">
        <w:rPr>
          <w:b w:val="0"/>
          <w:bCs w:val="0"/>
          <w:sz w:val="22"/>
          <w:szCs w:val="22"/>
        </w:rPr>
        <w:t xml:space="preserve"> Preto sa zostatky týchto organizácií</w:t>
      </w:r>
      <w:r w:rsidR="00E43151" w:rsidRPr="00C66720">
        <w:rPr>
          <w:b w:val="0"/>
          <w:bCs w:val="0"/>
          <w:sz w:val="22"/>
          <w:szCs w:val="22"/>
        </w:rPr>
        <w:t xml:space="preserve"> neuvádzajú</w:t>
      </w:r>
      <w:r w:rsidR="009B6169" w:rsidRPr="00C66720">
        <w:rPr>
          <w:b w:val="0"/>
          <w:bCs w:val="0"/>
          <w:sz w:val="22"/>
          <w:szCs w:val="22"/>
        </w:rPr>
        <w:t>.</w:t>
      </w:r>
      <w:r w:rsidRPr="00C66720">
        <w:rPr>
          <w:b w:val="0"/>
          <w:bCs w:val="0"/>
          <w:sz w:val="22"/>
          <w:szCs w:val="22"/>
        </w:rPr>
        <w:t xml:space="preserve"> </w:t>
      </w:r>
    </w:p>
    <w:p w14:paraId="3DB213EC" w14:textId="46D799B2" w:rsidR="007578CA" w:rsidRPr="00C66720" w:rsidRDefault="007578CA" w:rsidP="009249FF">
      <w:pPr>
        <w:pStyle w:val="Pismenka"/>
        <w:numPr>
          <w:ilvl w:val="0"/>
          <w:numId w:val="44"/>
        </w:numPr>
        <w:spacing w:before="240" w:after="120"/>
        <w:ind w:left="284" w:hanging="284"/>
        <w:rPr>
          <w:i/>
          <w:sz w:val="22"/>
          <w:szCs w:val="22"/>
          <w:u w:val="single"/>
        </w:rPr>
      </w:pPr>
      <w:bookmarkStart w:id="30" w:name="_Ref86092007"/>
      <w:r w:rsidRPr="00C66720">
        <w:rPr>
          <w:i/>
          <w:sz w:val="22"/>
          <w:szCs w:val="22"/>
          <w:u w:val="single"/>
        </w:rPr>
        <w:t>Účty Štátnej pokladnice</w:t>
      </w:r>
      <w:bookmarkEnd w:id="30"/>
    </w:p>
    <w:p w14:paraId="5A866DCE" w14:textId="6527B4ED" w:rsidR="00E12697" w:rsidRPr="00C66720" w:rsidRDefault="00B154E1" w:rsidP="00F84E5F">
      <w:pPr>
        <w:pStyle w:val="Pismenka"/>
        <w:tabs>
          <w:tab w:val="clear" w:pos="426"/>
        </w:tabs>
        <w:spacing w:before="180" w:after="240"/>
        <w:ind w:left="0" w:firstLine="0"/>
        <w:rPr>
          <w:b w:val="0"/>
          <w:bCs w:val="0"/>
          <w:sz w:val="22"/>
          <w:szCs w:val="22"/>
        </w:rPr>
      </w:pPr>
      <w:r w:rsidRPr="00C66720">
        <w:rPr>
          <w:b w:val="0"/>
          <w:bCs w:val="0"/>
          <w:sz w:val="22"/>
          <w:szCs w:val="22"/>
        </w:rPr>
        <w:t xml:space="preserve">Účty Štátnej pokladnice predstavujú prostriedky uložené na bežných účtoch v Národnej banke Slovenska a v ostatných komerčných bankách, bežné účty na zabezpečenie vkladov a výberov finančných prostriedkov v hotovosti pre klientov Štátnej pokladnice prostredníctvom NBS a komerčnej banky. Bežnými účtami môže Štátna pokladnica voľne disponovať. Účty Štátnej </w:t>
      </w:r>
      <w:r w:rsidR="00E12697" w:rsidRPr="00C66720">
        <w:rPr>
          <w:b w:val="0"/>
          <w:bCs w:val="0"/>
          <w:sz w:val="22"/>
          <w:szCs w:val="22"/>
        </w:rPr>
        <w:t>pokladnice dosiahli k 31.12.2022</w:t>
      </w:r>
      <w:r w:rsidR="00FD2A00" w:rsidRPr="00C66720">
        <w:rPr>
          <w:b w:val="0"/>
          <w:bCs w:val="0"/>
          <w:sz w:val="22"/>
          <w:szCs w:val="22"/>
        </w:rPr>
        <w:t xml:space="preserve"> stav </w:t>
      </w:r>
      <w:r w:rsidR="00E12697" w:rsidRPr="00C66720">
        <w:rPr>
          <w:b w:val="0"/>
          <w:bCs w:val="0"/>
          <w:sz w:val="22"/>
          <w:szCs w:val="22"/>
        </w:rPr>
        <w:t>1 228 966</w:t>
      </w:r>
      <w:r w:rsidR="000237AD" w:rsidRPr="00C66720">
        <w:rPr>
          <w:b w:val="0"/>
          <w:bCs w:val="0"/>
          <w:sz w:val="22"/>
          <w:szCs w:val="22"/>
        </w:rPr>
        <w:t xml:space="preserve"> tis.</w:t>
      </w:r>
      <w:r w:rsidRPr="00C66720">
        <w:rPr>
          <w:b w:val="0"/>
          <w:bCs w:val="0"/>
          <w:sz w:val="22"/>
          <w:szCs w:val="22"/>
        </w:rPr>
        <w:t xml:space="preserve"> eur, čo je v porovnan</w:t>
      </w:r>
      <w:r w:rsidR="00FD2A00" w:rsidRPr="00C66720">
        <w:rPr>
          <w:b w:val="0"/>
          <w:bCs w:val="0"/>
          <w:sz w:val="22"/>
          <w:szCs w:val="22"/>
        </w:rPr>
        <w:t>í s rovnakým obdobím v roku 20</w:t>
      </w:r>
      <w:r w:rsidR="00E12697" w:rsidRPr="00C66720">
        <w:rPr>
          <w:b w:val="0"/>
          <w:bCs w:val="0"/>
          <w:sz w:val="22"/>
          <w:szCs w:val="22"/>
        </w:rPr>
        <w:t xml:space="preserve">21 pokles </w:t>
      </w:r>
      <w:r w:rsidR="00E12697" w:rsidRPr="00C66720">
        <w:rPr>
          <w:b w:val="0"/>
          <w:bCs w:val="0"/>
          <w:sz w:val="22"/>
          <w:szCs w:val="22"/>
        </w:rPr>
        <w:br/>
      </w:r>
      <w:r w:rsidRPr="00C66720">
        <w:rPr>
          <w:b w:val="0"/>
          <w:bCs w:val="0"/>
          <w:sz w:val="22"/>
          <w:szCs w:val="22"/>
        </w:rPr>
        <w:t>o</w:t>
      </w:r>
      <w:r w:rsidR="00FD2A00" w:rsidRPr="00C66720">
        <w:rPr>
          <w:b w:val="0"/>
          <w:bCs w:val="0"/>
          <w:sz w:val="22"/>
          <w:szCs w:val="22"/>
        </w:rPr>
        <w:t> </w:t>
      </w:r>
      <w:r w:rsidR="00E12697" w:rsidRPr="00C66720">
        <w:rPr>
          <w:b w:val="0"/>
          <w:bCs w:val="0"/>
          <w:sz w:val="22"/>
          <w:szCs w:val="22"/>
        </w:rPr>
        <w:t>4 339 139</w:t>
      </w:r>
      <w:r w:rsidR="000237AD" w:rsidRPr="00C66720">
        <w:rPr>
          <w:b w:val="0"/>
          <w:bCs w:val="0"/>
          <w:sz w:val="22"/>
          <w:szCs w:val="22"/>
        </w:rPr>
        <w:t xml:space="preserve"> tis.</w:t>
      </w:r>
      <w:r w:rsidRPr="00C66720">
        <w:rPr>
          <w:b w:val="0"/>
          <w:bCs w:val="0"/>
          <w:sz w:val="22"/>
          <w:szCs w:val="22"/>
        </w:rPr>
        <w:t xml:space="preserve"> eur.</w:t>
      </w:r>
    </w:p>
    <w:p w14:paraId="2F6923E9" w14:textId="56693C4B" w:rsidR="007578CA" w:rsidRPr="00C66720" w:rsidRDefault="007578CA" w:rsidP="008F097E">
      <w:pPr>
        <w:pStyle w:val="Pismenka"/>
        <w:numPr>
          <w:ilvl w:val="0"/>
          <w:numId w:val="44"/>
        </w:numPr>
        <w:spacing w:after="120"/>
        <w:ind w:left="284" w:hanging="284"/>
        <w:rPr>
          <w:i/>
          <w:sz w:val="22"/>
          <w:szCs w:val="22"/>
          <w:u w:val="single"/>
        </w:rPr>
      </w:pPr>
      <w:bookmarkStart w:id="31" w:name="_Ref86092025"/>
      <w:r w:rsidRPr="00C66720">
        <w:rPr>
          <w:i/>
          <w:sz w:val="22"/>
          <w:szCs w:val="22"/>
          <w:u w:val="single"/>
        </w:rPr>
        <w:t>Ostatný krátkodobý finančný majetok</w:t>
      </w:r>
      <w:bookmarkEnd w:id="31"/>
    </w:p>
    <w:p w14:paraId="5F5ECD99" w14:textId="26C68C70" w:rsidR="006646E4" w:rsidRPr="00C66720" w:rsidRDefault="00ED0AAE" w:rsidP="008F332E">
      <w:pPr>
        <w:pStyle w:val="Pismenka"/>
        <w:tabs>
          <w:tab w:val="clear" w:pos="426"/>
        </w:tabs>
        <w:spacing w:after="120"/>
        <w:ind w:left="0" w:firstLine="0"/>
        <w:rPr>
          <w:color w:val="FF0000"/>
          <w:szCs w:val="22"/>
          <w:highlight w:val="yellow"/>
        </w:rPr>
      </w:pPr>
      <w:r w:rsidRPr="00C66720">
        <w:rPr>
          <w:b w:val="0"/>
          <w:bCs w:val="0"/>
          <w:sz w:val="22"/>
          <w:szCs w:val="22"/>
        </w:rPr>
        <w:t xml:space="preserve">V rámci krátkodobého finančného majetku došlo </w:t>
      </w:r>
      <w:r w:rsidR="00275D35" w:rsidRPr="00C66720">
        <w:rPr>
          <w:b w:val="0"/>
          <w:bCs w:val="0"/>
          <w:sz w:val="22"/>
          <w:szCs w:val="22"/>
        </w:rPr>
        <w:t xml:space="preserve">medziročne </w:t>
      </w:r>
      <w:r w:rsidRPr="00C66720">
        <w:rPr>
          <w:b w:val="0"/>
          <w:bCs w:val="0"/>
          <w:sz w:val="22"/>
          <w:szCs w:val="22"/>
        </w:rPr>
        <w:t>k</w:t>
      </w:r>
      <w:r w:rsidR="000B4789" w:rsidRPr="00C66720">
        <w:rPr>
          <w:b w:val="0"/>
          <w:bCs w:val="0"/>
          <w:sz w:val="22"/>
          <w:szCs w:val="22"/>
        </w:rPr>
        <w:t> </w:t>
      </w:r>
      <w:r w:rsidR="000D2C8D" w:rsidRPr="00C66720">
        <w:rPr>
          <w:b w:val="0"/>
          <w:bCs w:val="0"/>
          <w:sz w:val="22"/>
          <w:szCs w:val="22"/>
        </w:rPr>
        <w:t>poklesu</w:t>
      </w:r>
      <w:r w:rsidR="00717E99" w:rsidRPr="00C66720">
        <w:rPr>
          <w:b w:val="0"/>
          <w:bCs w:val="0"/>
          <w:sz w:val="22"/>
          <w:szCs w:val="22"/>
        </w:rPr>
        <w:t xml:space="preserve"> </w:t>
      </w:r>
      <w:r w:rsidR="007C0A96" w:rsidRPr="00C66720">
        <w:rPr>
          <w:b w:val="0"/>
          <w:bCs w:val="0"/>
          <w:sz w:val="22"/>
          <w:szCs w:val="22"/>
        </w:rPr>
        <w:t>hodnoty o</w:t>
      </w:r>
      <w:r w:rsidR="000D2C8D" w:rsidRPr="00C66720">
        <w:rPr>
          <w:b w:val="0"/>
          <w:bCs w:val="0"/>
          <w:sz w:val="22"/>
          <w:szCs w:val="22"/>
        </w:rPr>
        <w:t> 2 210</w:t>
      </w:r>
      <w:r w:rsidR="00B91386" w:rsidRPr="00C66720">
        <w:rPr>
          <w:b w:val="0"/>
          <w:bCs w:val="0"/>
          <w:sz w:val="22"/>
          <w:szCs w:val="22"/>
        </w:rPr>
        <w:t xml:space="preserve"> tis. eur, pričom rozhodujúci podiel tvoria ostatné realizovateľné cenné papiere spoločnosti MH Manažment </w:t>
      </w:r>
      <w:r w:rsidR="003E1604" w:rsidRPr="00C66720">
        <w:rPr>
          <w:b w:val="0"/>
          <w:bCs w:val="0"/>
          <w:sz w:val="22"/>
          <w:szCs w:val="22"/>
        </w:rPr>
        <w:t>a.s.</w:t>
      </w:r>
      <w:r w:rsidR="00FA5A7A" w:rsidRPr="00C66720">
        <w:rPr>
          <w:b w:val="0"/>
          <w:bCs w:val="0"/>
          <w:sz w:val="22"/>
          <w:szCs w:val="22"/>
        </w:rPr>
        <w:br/>
      </w:r>
      <w:r w:rsidR="00B91386" w:rsidRPr="00C66720">
        <w:rPr>
          <w:b w:val="0"/>
          <w:bCs w:val="0"/>
          <w:sz w:val="22"/>
          <w:szCs w:val="22"/>
        </w:rPr>
        <w:t>(</w:t>
      </w:r>
      <w:r w:rsidR="00FD6AB9" w:rsidRPr="00C66720">
        <w:rPr>
          <w:b w:val="0"/>
          <w:bCs w:val="0"/>
          <w:sz w:val="22"/>
          <w:szCs w:val="22"/>
        </w:rPr>
        <w:t>1 850</w:t>
      </w:r>
      <w:r w:rsidR="000B4789" w:rsidRPr="00C66720">
        <w:rPr>
          <w:b w:val="0"/>
          <w:bCs w:val="0"/>
          <w:sz w:val="22"/>
          <w:szCs w:val="22"/>
        </w:rPr>
        <w:t xml:space="preserve"> t</w:t>
      </w:r>
      <w:r w:rsidR="00B91386" w:rsidRPr="00C66720">
        <w:rPr>
          <w:b w:val="0"/>
          <w:bCs w:val="0"/>
          <w:sz w:val="22"/>
          <w:szCs w:val="22"/>
        </w:rPr>
        <w:t>is. eur), ktoré predstavujú nevyplatené štátne dlhopis</w:t>
      </w:r>
      <w:r w:rsidR="00BD5F58" w:rsidRPr="00C66720">
        <w:rPr>
          <w:b w:val="0"/>
          <w:bCs w:val="0"/>
          <w:sz w:val="22"/>
          <w:szCs w:val="22"/>
        </w:rPr>
        <w:t>y</w:t>
      </w:r>
      <w:r w:rsidR="00E874F1" w:rsidRPr="00C66720">
        <w:rPr>
          <w:b w:val="0"/>
          <w:bCs w:val="0"/>
          <w:sz w:val="22"/>
          <w:szCs w:val="22"/>
        </w:rPr>
        <w:t xml:space="preserve"> </w:t>
      </w:r>
      <w:r w:rsidR="00961572" w:rsidRPr="00C66720">
        <w:rPr>
          <w:b w:val="0"/>
          <w:bCs w:val="0"/>
          <w:sz w:val="22"/>
          <w:szCs w:val="22"/>
        </w:rPr>
        <w:t xml:space="preserve">zaniknutého </w:t>
      </w:r>
      <w:r w:rsidR="00E874F1" w:rsidRPr="00C66720">
        <w:rPr>
          <w:b w:val="0"/>
          <w:bCs w:val="0"/>
          <w:sz w:val="22"/>
          <w:szCs w:val="22"/>
        </w:rPr>
        <w:t>FNM</w:t>
      </w:r>
      <w:r w:rsidR="00B91386" w:rsidRPr="00C66720">
        <w:rPr>
          <w:b w:val="0"/>
          <w:bCs w:val="0"/>
          <w:sz w:val="22"/>
          <w:szCs w:val="22"/>
        </w:rPr>
        <w:t>.</w:t>
      </w:r>
      <w:r w:rsidR="003E1604" w:rsidRPr="00C66720">
        <w:rPr>
          <w:b w:val="0"/>
          <w:bCs w:val="0"/>
          <w:sz w:val="22"/>
          <w:szCs w:val="22"/>
        </w:rPr>
        <w:t xml:space="preserve"> </w:t>
      </w:r>
    </w:p>
    <w:p w14:paraId="198C6AD0" w14:textId="77777777" w:rsidR="009270BF" w:rsidRPr="00C66720" w:rsidRDefault="009270BF" w:rsidP="00C9657B">
      <w:pPr>
        <w:pStyle w:val="Pismenka"/>
        <w:tabs>
          <w:tab w:val="clear" w:pos="426"/>
        </w:tabs>
        <w:spacing w:before="240" w:after="200"/>
        <w:ind w:left="0" w:firstLine="0"/>
        <w:rPr>
          <w:bCs w:val="0"/>
          <w:sz w:val="24"/>
          <w:szCs w:val="24"/>
        </w:rPr>
      </w:pPr>
      <w:r w:rsidRPr="00C66720">
        <w:rPr>
          <w:bCs w:val="0"/>
          <w:sz w:val="24"/>
          <w:szCs w:val="24"/>
        </w:rPr>
        <w:t>C. Časové rozlíšenie aktív</w:t>
      </w:r>
    </w:p>
    <w:p w14:paraId="3AEA6695" w14:textId="07A82B64" w:rsidR="009270BF" w:rsidRPr="00C66720" w:rsidRDefault="009270BF" w:rsidP="00F05F5A">
      <w:pPr>
        <w:pStyle w:val="Pismenka"/>
        <w:tabs>
          <w:tab w:val="clear" w:pos="426"/>
        </w:tabs>
        <w:spacing w:after="120"/>
        <w:ind w:left="0" w:firstLine="0"/>
        <w:rPr>
          <w:b w:val="0"/>
          <w:bCs w:val="0"/>
          <w:sz w:val="22"/>
          <w:szCs w:val="22"/>
        </w:rPr>
      </w:pPr>
      <w:r w:rsidRPr="00C66720">
        <w:rPr>
          <w:b w:val="0"/>
          <w:bCs w:val="0"/>
          <w:sz w:val="22"/>
          <w:szCs w:val="22"/>
        </w:rPr>
        <w:t xml:space="preserve">V rámci časového rozlíšenia na strane aktív sa vykazujú náklady budúcich období a príjmy budúcich období. Položky časového rozlíšenia slúžia na </w:t>
      </w:r>
      <w:r w:rsidR="00120F88" w:rsidRPr="00C66720">
        <w:rPr>
          <w:b w:val="0"/>
          <w:bCs w:val="0"/>
          <w:sz w:val="22"/>
          <w:szCs w:val="22"/>
        </w:rPr>
        <w:t xml:space="preserve">zaznamenanie </w:t>
      </w:r>
      <w:r w:rsidRPr="00C66720">
        <w:rPr>
          <w:b w:val="0"/>
          <w:bCs w:val="0"/>
          <w:sz w:val="22"/>
          <w:szCs w:val="22"/>
        </w:rPr>
        <w:t>časového nesúladu medzi výdavkami a nákladmi a</w:t>
      </w:r>
      <w:r w:rsidR="00CD6E18" w:rsidRPr="00C66720">
        <w:rPr>
          <w:b w:val="0"/>
          <w:bCs w:val="0"/>
          <w:sz w:val="22"/>
          <w:szCs w:val="22"/>
        </w:rPr>
        <w:t xml:space="preserve"> medzi</w:t>
      </w:r>
      <w:r w:rsidRPr="00C66720">
        <w:rPr>
          <w:b w:val="0"/>
          <w:bCs w:val="0"/>
          <w:sz w:val="22"/>
          <w:szCs w:val="22"/>
        </w:rPr>
        <w:t xml:space="preserve"> príjmami a výnosmi. Uplatňujú sa v účtovníctve z dôvodu akruálneho princípu účtovania, </w:t>
      </w:r>
      <w:r w:rsidR="00CD6E18" w:rsidRPr="00C66720">
        <w:rPr>
          <w:b w:val="0"/>
          <w:bCs w:val="0"/>
          <w:sz w:val="22"/>
          <w:szCs w:val="22"/>
        </w:rPr>
        <w:t>podľa ktorého</w:t>
      </w:r>
      <w:r w:rsidRPr="00C66720">
        <w:rPr>
          <w:b w:val="0"/>
          <w:bCs w:val="0"/>
          <w:sz w:val="22"/>
          <w:szCs w:val="22"/>
        </w:rPr>
        <w:t xml:space="preserve"> </w:t>
      </w:r>
      <w:r w:rsidR="00FA6C64" w:rsidRPr="00C66720">
        <w:rPr>
          <w:b w:val="0"/>
          <w:bCs w:val="0"/>
          <w:sz w:val="22"/>
          <w:szCs w:val="22"/>
        </w:rPr>
        <w:t xml:space="preserve">sa </w:t>
      </w:r>
      <w:r w:rsidR="007715D7" w:rsidRPr="00C66720">
        <w:rPr>
          <w:b w:val="0"/>
          <w:bCs w:val="0"/>
          <w:sz w:val="22"/>
          <w:szCs w:val="22"/>
        </w:rPr>
        <w:t>náklady a výnosy účtujú do obdobia, s ktorým časovo a vecne súvisia</w:t>
      </w:r>
      <w:r w:rsidR="00E8513B" w:rsidRPr="00C66720">
        <w:rPr>
          <w:b w:val="0"/>
          <w:bCs w:val="0"/>
          <w:sz w:val="22"/>
          <w:szCs w:val="22"/>
        </w:rPr>
        <w:br/>
      </w:r>
      <w:r w:rsidR="008B76E2" w:rsidRPr="00C66720">
        <w:rPr>
          <w:b w:val="0"/>
          <w:bCs w:val="0"/>
          <w:sz w:val="22"/>
          <w:szCs w:val="22"/>
        </w:rPr>
        <w:t>(bez ohľadu na hotovostné plnenie príjmov a výdavkov)</w:t>
      </w:r>
      <w:r w:rsidRPr="00C66720">
        <w:rPr>
          <w:b w:val="0"/>
          <w:bCs w:val="0"/>
          <w:sz w:val="22"/>
          <w:szCs w:val="22"/>
        </w:rPr>
        <w:t>.</w:t>
      </w:r>
    </w:p>
    <w:p w14:paraId="4D6E44BC" w14:textId="6C3D7673" w:rsidR="00D91FC8" w:rsidRPr="00C66720" w:rsidRDefault="009270BF" w:rsidP="00F05F5A">
      <w:pPr>
        <w:pStyle w:val="Pismenka"/>
        <w:tabs>
          <w:tab w:val="clear" w:pos="426"/>
        </w:tabs>
        <w:spacing w:after="120"/>
        <w:ind w:left="0" w:firstLine="0"/>
        <w:rPr>
          <w:b w:val="0"/>
          <w:bCs w:val="0"/>
          <w:sz w:val="22"/>
          <w:szCs w:val="22"/>
        </w:rPr>
      </w:pPr>
      <w:r w:rsidRPr="00C66720">
        <w:rPr>
          <w:b w:val="0"/>
          <w:bCs w:val="0"/>
          <w:sz w:val="22"/>
          <w:szCs w:val="22"/>
        </w:rPr>
        <w:t xml:space="preserve">Časové rozlíšenie aktív </w:t>
      </w:r>
      <w:r w:rsidR="00E91DCD" w:rsidRPr="00C66720">
        <w:rPr>
          <w:b w:val="0"/>
          <w:bCs w:val="0"/>
          <w:sz w:val="22"/>
          <w:szCs w:val="22"/>
        </w:rPr>
        <w:t>dosiahlo</w:t>
      </w:r>
      <w:r w:rsidR="00341A9E" w:rsidRPr="00C66720">
        <w:rPr>
          <w:b w:val="0"/>
          <w:bCs w:val="0"/>
          <w:sz w:val="22"/>
          <w:szCs w:val="22"/>
        </w:rPr>
        <w:t> </w:t>
      </w:r>
      <w:r w:rsidRPr="00C66720">
        <w:rPr>
          <w:b w:val="0"/>
          <w:bCs w:val="0"/>
          <w:sz w:val="22"/>
          <w:szCs w:val="22"/>
        </w:rPr>
        <w:t>hodnot</w:t>
      </w:r>
      <w:r w:rsidR="00E91DCD" w:rsidRPr="00C66720">
        <w:rPr>
          <w:b w:val="0"/>
          <w:bCs w:val="0"/>
          <w:sz w:val="22"/>
          <w:szCs w:val="22"/>
        </w:rPr>
        <w:t xml:space="preserve">u </w:t>
      </w:r>
      <w:r w:rsidR="00B569D0" w:rsidRPr="00C66720">
        <w:rPr>
          <w:b w:val="0"/>
          <w:bCs w:val="0"/>
          <w:sz w:val="22"/>
          <w:szCs w:val="22"/>
        </w:rPr>
        <w:t>965 309</w:t>
      </w:r>
      <w:r w:rsidR="002A297F" w:rsidRPr="00C66720">
        <w:rPr>
          <w:b w:val="0"/>
          <w:bCs w:val="0"/>
          <w:sz w:val="22"/>
          <w:szCs w:val="22"/>
        </w:rPr>
        <w:t xml:space="preserve"> </w:t>
      </w:r>
      <w:r w:rsidR="00E91DCD" w:rsidRPr="00C66720">
        <w:rPr>
          <w:b w:val="0"/>
          <w:bCs w:val="0"/>
          <w:sz w:val="22"/>
          <w:szCs w:val="22"/>
        </w:rPr>
        <w:t>tis. eur</w:t>
      </w:r>
      <w:r w:rsidR="008673FF" w:rsidRPr="00C66720">
        <w:rPr>
          <w:b w:val="0"/>
          <w:bCs w:val="0"/>
          <w:sz w:val="22"/>
          <w:szCs w:val="22"/>
        </w:rPr>
        <w:t xml:space="preserve"> </w:t>
      </w:r>
      <w:r w:rsidR="00EA11EA" w:rsidRPr="00C66720">
        <w:rPr>
          <w:b w:val="0"/>
          <w:bCs w:val="0"/>
          <w:sz w:val="22"/>
          <w:szCs w:val="22"/>
        </w:rPr>
        <w:t xml:space="preserve">a medziročne sa </w:t>
      </w:r>
      <w:r w:rsidR="00773704" w:rsidRPr="00C66720">
        <w:rPr>
          <w:b w:val="0"/>
          <w:bCs w:val="0"/>
          <w:sz w:val="22"/>
          <w:szCs w:val="22"/>
        </w:rPr>
        <w:t>zvýšilo</w:t>
      </w:r>
      <w:r w:rsidR="008673FF" w:rsidRPr="00C66720">
        <w:rPr>
          <w:b w:val="0"/>
          <w:bCs w:val="0"/>
          <w:sz w:val="22"/>
          <w:szCs w:val="22"/>
        </w:rPr>
        <w:t xml:space="preserve"> o</w:t>
      </w:r>
      <w:r w:rsidR="00B569D0" w:rsidRPr="00C66720">
        <w:rPr>
          <w:b w:val="0"/>
          <w:bCs w:val="0"/>
          <w:sz w:val="22"/>
          <w:szCs w:val="22"/>
        </w:rPr>
        <w:t> 554 040</w:t>
      </w:r>
      <w:r w:rsidR="008673FF" w:rsidRPr="00C66720">
        <w:rPr>
          <w:b w:val="0"/>
          <w:bCs w:val="0"/>
          <w:sz w:val="22"/>
          <w:szCs w:val="22"/>
        </w:rPr>
        <w:t xml:space="preserve"> tis. eur</w:t>
      </w:r>
      <w:r w:rsidR="00D91FC8" w:rsidRPr="00C66720">
        <w:rPr>
          <w:b w:val="0"/>
          <w:bCs w:val="0"/>
          <w:sz w:val="22"/>
          <w:szCs w:val="22"/>
        </w:rPr>
        <w:t>.</w:t>
      </w:r>
      <w:r w:rsidR="005C518F" w:rsidRPr="00C66720">
        <w:rPr>
          <w:b w:val="0"/>
          <w:bCs w:val="0"/>
          <w:sz w:val="22"/>
          <w:szCs w:val="22"/>
        </w:rPr>
        <w:t xml:space="preserve"> Náklady budúcich období dosiahli hodnotu </w:t>
      </w:r>
      <w:r w:rsidR="00E32EC1" w:rsidRPr="00C66720">
        <w:rPr>
          <w:b w:val="0"/>
          <w:bCs w:val="0"/>
          <w:sz w:val="22"/>
          <w:szCs w:val="22"/>
        </w:rPr>
        <w:t>853 486</w:t>
      </w:r>
      <w:r w:rsidR="008673FF" w:rsidRPr="00C66720">
        <w:rPr>
          <w:b w:val="0"/>
          <w:bCs w:val="0"/>
          <w:sz w:val="22"/>
          <w:szCs w:val="22"/>
        </w:rPr>
        <w:t xml:space="preserve"> tis. eur</w:t>
      </w:r>
      <w:r w:rsidR="00341A9E" w:rsidRPr="00C66720">
        <w:rPr>
          <w:b w:val="0"/>
          <w:bCs w:val="0"/>
          <w:sz w:val="22"/>
          <w:szCs w:val="22"/>
        </w:rPr>
        <w:t xml:space="preserve"> </w:t>
      </w:r>
      <w:r w:rsidR="007F12E1" w:rsidRPr="00C66720">
        <w:rPr>
          <w:b w:val="0"/>
          <w:bCs w:val="0"/>
          <w:sz w:val="22"/>
          <w:szCs w:val="22"/>
        </w:rPr>
        <w:t xml:space="preserve">(vrátane komplexných nákladov budúcich období) </w:t>
      </w:r>
      <w:r w:rsidR="00341A9E" w:rsidRPr="00C66720">
        <w:rPr>
          <w:b w:val="0"/>
          <w:bCs w:val="0"/>
          <w:sz w:val="22"/>
          <w:szCs w:val="22"/>
        </w:rPr>
        <w:t>a príjmy budúcich období</w:t>
      </w:r>
      <w:r w:rsidR="00EA11EA" w:rsidRPr="00C66720">
        <w:rPr>
          <w:b w:val="0"/>
          <w:bCs w:val="0"/>
          <w:sz w:val="22"/>
          <w:szCs w:val="22"/>
        </w:rPr>
        <w:t xml:space="preserve"> </w:t>
      </w:r>
      <w:r w:rsidR="00E32EC1" w:rsidRPr="00C66720">
        <w:rPr>
          <w:b w:val="0"/>
          <w:bCs w:val="0"/>
          <w:sz w:val="22"/>
          <w:szCs w:val="22"/>
        </w:rPr>
        <w:t>111 823</w:t>
      </w:r>
      <w:r w:rsidR="008673FF" w:rsidRPr="00C66720">
        <w:rPr>
          <w:b w:val="0"/>
          <w:bCs w:val="0"/>
          <w:sz w:val="22"/>
          <w:szCs w:val="22"/>
        </w:rPr>
        <w:t xml:space="preserve"> t</w:t>
      </w:r>
      <w:r w:rsidR="005C518F" w:rsidRPr="00C66720">
        <w:rPr>
          <w:b w:val="0"/>
          <w:bCs w:val="0"/>
          <w:sz w:val="22"/>
          <w:szCs w:val="22"/>
        </w:rPr>
        <w:t>is. eur.</w:t>
      </w:r>
    </w:p>
    <w:p w14:paraId="1AFB7C24" w14:textId="028A8A1A" w:rsidR="00AD7363" w:rsidRPr="00C66720" w:rsidRDefault="00527CFD" w:rsidP="00F05F5A">
      <w:pPr>
        <w:pStyle w:val="Pismenka"/>
        <w:tabs>
          <w:tab w:val="clear" w:pos="426"/>
        </w:tabs>
        <w:spacing w:after="120"/>
        <w:ind w:left="0" w:firstLine="0"/>
        <w:rPr>
          <w:b w:val="0"/>
          <w:bCs w:val="0"/>
          <w:sz w:val="22"/>
          <w:szCs w:val="22"/>
        </w:rPr>
      </w:pPr>
      <w:r w:rsidRPr="00C66720">
        <w:rPr>
          <w:b w:val="0"/>
          <w:bCs w:val="0"/>
          <w:sz w:val="22"/>
          <w:szCs w:val="22"/>
        </w:rPr>
        <w:t xml:space="preserve">Rozhodujúci podiel na </w:t>
      </w:r>
      <w:r w:rsidRPr="00C66720">
        <w:rPr>
          <w:b w:val="0"/>
          <w:bCs w:val="0"/>
          <w:sz w:val="22"/>
          <w:szCs w:val="22"/>
          <w:u w:val="single"/>
        </w:rPr>
        <w:t>nákladoch budúcich období</w:t>
      </w:r>
      <w:r w:rsidRPr="00C66720">
        <w:rPr>
          <w:b w:val="0"/>
          <w:bCs w:val="0"/>
          <w:sz w:val="22"/>
          <w:szCs w:val="22"/>
        </w:rPr>
        <w:t xml:space="preserve"> má ústredná správa, a to </w:t>
      </w:r>
      <w:r w:rsidR="00E71E63" w:rsidRPr="00C66720">
        <w:rPr>
          <w:b w:val="0"/>
          <w:bCs w:val="0"/>
          <w:sz w:val="22"/>
          <w:szCs w:val="22"/>
        </w:rPr>
        <w:t>811 658</w:t>
      </w:r>
      <w:r w:rsidR="00B36D1A" w:rsidRPr="00C66720">
        <w:rPr>
          <w:b w:val="0"/>
          <w:bCs w:val="0"/>
          <w:sz w:val="22"/>
          <w:szCs w:val="22"/>
        </w:rPr>
        <w:t xml:space="preserve"> </w:t>
      </w:r>
      <w:r w:rsidRPr="00C66720">
        <w:rPr>
          <w:b w:val="0"/>
          <w:bCs w:val="0"/>
          <w:sz w:val="22"/>
          <w:szCs w:val="22"/>
        </w:rPr>
        <w:t xml:space="preserve">tis. eur. </w:t>
      </w:r>
      <w:r w:rsidR="00624377" w:rsidRPr="00C66720">
        <w:rPr>
          <w:b w:val="0"/>
          <w:bCs w:val="0"/>
          <w:sz w:val="22"/>
          <w:szCs w:val="22"/>
        </w:rPr>
        <w:t>Najvyššiu hodnotu</w:t>
      </w:r>
      <w:r w:rsidR="00C33927" w:rsidRPr="00C66720">
        <w:rPr>
          <w:b w:val="0"/>
          <w:bCs w:val="0"/>
          <w:sz w:val="22"/>
          <w:szCs w:val="22"/>
        </w:rPr>
        <w:t xml:space="preserve"> vykazuje </w:t>
      </w:r>
      <w:r w:rsidR="00B94D0C" w:rsidRPr="00C66720">
        <w:rPr>
          <w:b w:val="0"/>
          <w:bCs w:val="0"/>
          <w:sz w:val="22"/>
          <w:szCs w:val="22"/>
        </w:rPr>
        <w:t xml:space="preserve">Ministerstvo financií SR </w:t>
      </w:r>
      <w:r w:rsidR="00E71E63" w:rsidRPr="00C66720">
        <w:rPr>
          <w:b w:val="0"/>
          <w:bCs w:val="0"/>
          <w:sz w:val="22"/>
          <w:szCs w:val="22"/>
        </w:rPr>
        <w:t>667 836</w:t>
      </w:r>
      <w:r w:rsidR="00D713DB" w:rsidRPr="00C66720">
        <w:rPr>
          <w:b w:val="0"/>
          <w:bCs w:val="0"/>
          <w:sz w:val="22"/>
          <w:szCs w:val="22"/>
        </w:rPr>
        <w:t xml:space="preserve"> tis. eur (medziro</w:t>
      </w:r>
      <w:r w:rsidR="00755B70" w:rsidRPr="00C66720">
        <w:rPr>
          <w:b w:val="0"/>
          <w:bCs w:val="0"/>
          <w:sz w:val="22"/>
          <w:szCs w:val="22"/>
        </w:rPr>
        <w:t xml:space="preserve">čne </w:t>
      </w:r>
      <w:r w:rsidR="00E71E63" w:rsidRPr="00C66720">
        <w:rPr>
          <w:b w:val="0"/>
          <w:bCs w:val="0"/>
          <w:sz w:val="22"/>
          <w:szCs w:val="22"/>
        </w:rPr>
        <w:t>viac</w:t>
      </w:r>
      <w:r w:rsidR="00FB035A" w:rsidRPr="00C66720">
        <w:rPr>
          <w:b w:val="0"/>
          <w:bCs w:val="0"/>
          <w:sz w:val="22"/>
          <w:szCs w:val="22"/>
        </w:rPr>
        <w:t xml:space="preserve"> o</w:t>
      </w:r>
      <w:r w:rsidR="00E71E63" w:rsidRPr="00C66720">
        <w:rPr>
          <w:b w:val="0"/>
          <w:bCs w:val="0"/>
          <w:sz w:val="22"/>
          <w:szCs w:val="22"/>
        </w:rPr>
        <w:t> 492 078</w:t>
      </w:r>
      <w:r w:rsidR="00FB035A" w:rsidRPr="00C66720">
        <w:rPr>
          <w:b w:val="0"/>
          <w:bCs w:val="0"/>
          <w:sz w:val="22"/>
          <w:szCs w:val="22"/>
        </w:rPr>
        <w:t xml:space="preserve"> tis.</w:t>
      </w:r>
      <w:r w:rsidR="00E8513B" w:rsidRPr="00C66720">
        <w:rPr>
          <w:b w:val="0"/>
          <w:bCs w:val="0"/>
          <w:sz w:val="22"/>
          <w:szCs w:val="22"/>
        </w:rPr>
        <w:t> </w:t>
      </w:r>
      <w:r w:rsidR="00FB035A" w:rsidRPr="00C66720">
        <w:rPr>
          <w:b w:val="0"/>
          <w:bCs w:val="0"/>
          <w:sz w:val="22"/>
          <w:szCs w:val="22"/>
        </w:rPr>
        <w:t xml:space="preserve">eur) </w:t>
      </w:r>
      <w:r w:rsidR="00B94D0C" w:rsidRPr="00C66720">
        <w:rPr>
          <w:b w:val="0"/>
          <w:bCs w:val="0"/>
          <w:sz w:val="22"/>
          <w:szCs w:val="22"/>
        </w:rPr>
        <w:t xml:space="preserve">ako </w:t>
      </w:r>
      <w:r w:rsidR="00CF17B1" w:rsidRPr="00C66720">
        <w:rPr>
          <w:b w:val="0"/>
          <w:bCs w:val="0"/>
          <w:sz w:val="22"/>
          <w:szCs w:val="22"/>
        </w:rPr>
        <w:t xml:space="preserve">diskont z predaja štátnych dlhopisov a </w:t>
      </w:r>
      <w:r w:rsidR="00B94D0C" w:rsidRPr="00C66720">
        <w:rPr>
          <w:b w:val="0"/>
          <w:bCs w:val="0"/>
          <w:sz w:val="22"/>
          <w:szCs w:val="22"/>
        </w:rPr>
        <w:t xml:space="preserve">časovo rozlíšené </w:t>
      </w:r>
      <w:r w:rsidR="00CF17B1" w:rsidRPr="00C66720">
        <w:rPr>
          <w:b w:val="0"/>
          <w:bCs w:val="0"/>
          <w:sz w:val="22"/>
          <w:szCs w:val="22"/>
        </w:rPr>
        <w:t xml:space="preserve">nákladové </w:t>
      </w:r>
      <w:r w:rsidR="00B94D0C" w:rsidRPr="00C66720">
        <w:rPr>
          <w:b w:val="0"/>
          <w:bCs w:val="0"/>
          <w:sz w:val="22"/>
          <w:szCs w:val="22"/>
        </w:rPr>
        <w:t>úroky zo štátnych cenných papierov a</w:t>
      </w:r>
      <w:r w:rsidR="00CF17B1" w:rsidRPr="00C66720">
        <w:rPr>
          <w:b w:val="0"/>
          <w:bCs w:val="0"/>
          <w:sz w:val="22"/>
          <w:szCs w:val="22"/>
        </w:rPr>
        <w:t> </w:t>
      </w:r>
      <w:r w:rsidR="00B94D0C" w:rsidRPr="00C66720">
        <w:rPr>
          <w:b w:val="0"/>
          <w:bCs w:val="0"/>
          <w:sz w:val="22"/>
          <w:szCs w:val="22"/>
        </w:rPr>
        <w:t>úverov</w:t>
      </w:r>
      <w:r w:rsidR="00CF17B1" w:rsidRPr="00C66720">
        <w:rPr>
          <w:b w:val="0"/>
          <w:bCs w:val="0"/>
          <w:sz w:val="22"/>
          <w:szCs w:val="22"/>
        </w:rPr>
        <w:t xml:space="preserve">. Významný nárast časovo rozlíšených úrokov bol spôsobený nárastom úrokových sadzieb pri refinančných obchodoch. </w:t>
      </w:r>
      <w:r w:rsidR="003433C4" w:rsidRPr="00C66720">
        <w:rPr>
          <w:b w:val="0"/>
          <w:bCs w:val="0"/>
          <w:sz w:val="22"/>
          <w:szCs w:val="22"/>
        </w:rPr>
        <w:t>Na časovo rozlíšených nákladoch súhrnného celku a ich medziročnej zmene sa ďalej významne podieľal Slovenský plynárenský priemysel sumou 45 417 tis. eur (medziročne viac o 21 705 tis. eur)</w:t>
      </w:r>
      <w:r w:rsidR="007E4EDB" w:rsidRPr="00C66720">
        <w:rPr>
          <w:b w:val="0"/>
          <w:bCs w:val="0"/>
          <w:sz w:val="22"/>
          <w:szCs w:val="22"/>
        </w:rPr>
        <w:t xml:space="preserve">. </w:t>
      </w:r>
      <w:r w:rsidR="00D318FA" w:rsidRPr="00C66720">
        <w:rPr>
          <w:b w:val="0"/>
          <w:bCs w:val="0"/>
          <w:sz w:val="22"/>
          <w:szCs w:val="22"/>
        </w:rPr>
        <w:t xml:space="preserve">Nárast bol spôsobený finančným vysporiadaním komoditných derivátových obchodov súvisiacich s nasledujúcim účtovným obdobím. </w:t>
      </w:r>
      <w:r w:rsidR="007E4EDB" w:rsidRPr="00C66720">
        <w:rPr>
          <w:b w:val="0"/>
          <w:bCs w:val="0"/>
          <w:sz w:val="22"/>
          <w:szCs w:val="22"/>
        </w:rPr>
        <w:t xml:space="preserve">Nasledujú náklady budúcich období </w:t>
      </w:r>
      <w:r w:rsidR="00B94D0C" w:rsidRPr="00C66720">
        <w:rPr>
          <w:b w:val="0"/>
          <w:bCs w:val="0"/>
          <w:sz w:val="22"/>
          <w:szCs w:val="22"/>
        </w:rPr>
        <w:t xml:space="preserve"> </w:t>
      </w:r>
      <w:r w:rsidR="007E4EDB" w:rsidRPr="00C66720">
        <w:rPr>
          <w:b w:val="0"/>
          <w:bCs w:val="0"/>
          <w:sz w:val="22"/>
          <w:szCs w:val="22"/>
        </w:rPr>
        <w:t>Všeobecnej zdravotnej poisťovne</w:t>
      </w:r>
      <w:r w:rsidR="00755B70" w:rsidRPr="00C66720">
        <w:rPr>
          <w:b w:val="0"/>
          <w:bCs w:val="0"/>
          <w:sz w:val="22"/>
          <w:szCs w:val="22"/>
        </w:rPr>
        <w:t xml:space="preserve">, a.s. </w:t>
      </w:r>
      <w:r w:rsidR="00AD7363" w:rsidRPr="00C66720">
        <w:rPr>
          <w:b w:val="0"/>
          <w:bCs w:val="0"/>
          <w:sz w:val="22"/>
          <w:szCs w:val="22"/>
        </w:rPr>
        <w:t>12 167</w:t>
      </w:r>
      <w:r w:rsidR="00E743F9" w:rsidRPr="00C66720">
        <w:rPr>
          <w:b w:val="0"/>
          <w:bCs w:val="0"/>
          <w:sz w:val="22"/>
          <w:szCs w:val="22"/>
        </w:rPr>
        <w:t xml:space="preserve"> tis. eur </w:t>
      </w:r>
      <w:r w:rsidR="00AD7363" w:rsidRPr="00C66720">
        <w:rPr>
          <w:b w:val="0"/>
          <w:bCs w:val="0"/>
          <w:sz w:val="22"/>
          <w:szCs w:val="22"/>
        </w:rPr>
        <w:t>najmä časovo rozlíšené náklady na centrálny nákup liekov, náklady budúcich období Ministerstva obrany SR 11 570 tis. eur a Ministerstva zahraničných vecí a európskych záležitostí S</w:t>
      </w:r>
      <w:r w:rsidR="00892D15">
        <w:rPr>
          <w:b w:val="0"/>
          <w:bCs w:val="0"/>
          <w:sz w:val="22"/>
          <w:szCs w:val="22"/>
        </w:rPr>
        <w:t>R</w:t>
      </w:r>
      <w:r w:rsidR="00AD7363" w:rsidRPr="00C66720">
        <w:rPr>
          <w:b w:val="0"/>
          <w:bCs w:val="0"/>
          <w:sz w:val="22"/>
          <w:szCs w:val="22"/>
        </w:rPr>
        <w:t xml:space="preserve"> 11 392 tis. eur.</w:t>
      </w:r>
    </w:p>
    <w:p w14:paraId="0790165F" w14:textId="10448A19" w:rsidR="00DE617B" w:rsidRPr="00C66720" w:rsidRDefault="00586C19" w:rsidP="00555F1A">
      <w:pPr>
        <w:pStyle w:val="Pismenka"/>
        <w:tabs>
          <w:tab w:val="clear" w:pos="426"/>
        </w:tabs>
        <w:spacing w:after="240"/>
        <w:ind w:left="0" w:firstLine="0"/>
        <w:rPr>
          <w:b w:val="0"/>
          <w:color w:val="FF0000"/>
          <w:sz w:val="26"/>
          <w:szCs w:val="26"/>
          <w:highlight w:val="yellow"/>
        </w:rPr>
      </w:pPr>
      <w:r w:rsidRPr="00C66720">
        <w:rPr>
          <w:b w:val="0"/>
          <w:bCs w:val="0"/>
          <w:sz w:val="22"/>
          <w:szCs w:val="22"/>
          <w:u w:val="single"/>
        </w:rPr>
        <w:t>Príjmy budúcich období</w:t>
      </w:r>
      <w:r w:rsidRPr="00C66720">
        <w:rPr>
          <w:b w:val="0"/>
          <w:bCs w:val="0"/>
          <w:sz w:val="22"/>
          <w:szCs w:val="22"/>
        </w:rPr>
        <w:t xml:space="preserve"> sú tvorené opäť ústrednou správou (</w:t>
      </w:r>
      <w:r w:rsidR="00345A82" w:rsidRPr="00C66720">
        <w:rPr>
          <w:b w:val="0"/>
          <w:bCs w:val="0"/>
          <w:sz w:val="22"/>
          <w:szCs w:val="22"/>
        </w:rPr>
        <w:t>95 473</w:t>
      </w:r>
      <w:r w:rsidR="003F5BC3" w:rsidRPr="00C66720">
        <w:rPr>
          <w:b w:val="0"/>
          <w:bCs w:val="0"/>
          <w:sz w:val="22"/>
          <w:szCs w:val="22"/>
        </w:rPr>
        <w:t xml:space="preserve"> </w:t>
      </w:r>
      <w:r w:rsidRPr="00C66720">
        <w:rPr>
          <w:b w:val="0"/>
          <w:bCs w:val="0"/>
          <w:sz w:val="22"/>
          <w:szCs w:val="22"/>
        </w:rPr>
        <w:t>tis. eur)</w:t>
      </w:r>
      <w:r w:rsidR="00341EAA" w:rsidRPr="00C66720">
        <w:rPr>
          <w:b w:val="0"/>
          <w:bCs w:val="0"/>
          <w:sz w:val="22"/>
          <w:szCs w:val="22"/>
        </w:rPr>
        <w:t xml:space="preserve"> a v rámci toho Národný jadrový fond vykazuje </w:t>
      </w:r>
      <w:r w:rsidR="005B1C03" w:rsidRPr="00C66720">
        <w:rPr>
          <w:b w:val="0"/>
          <w:bCs w:val="0"/>
          <w:sz w:val="22"/>
          <w:szCs w:val="22"/>
        </w:rPr>
        <w:t>65 928</w:t>
      </w:r>
      <w:r w:rsidR="00341EAA" w:rsidRPr="00C66720">
        <w:rPr>
          <w:b w:val="0"/>
          <w:bCs w:val="0"/>
          <w:sz w:val="22"/>
          <w:szCs w:val="22"/>
        </w:rPr>
        <w:t xml:space="preserve"> tis. eur</w:t>
      </w:r>
      <w:r w:rsidR="005B1C03" w:rsidRPr="00C66720">
        <w:rPr>
          <w:b w:val="0"/>
          <w:bCs w:val="0"/>
          <w:sz w:val="22"/>
          <w:szCs w:val="22"/>
        </w:rPr>
        <w:t xml:space="preserve"> (v tom povinný príspevok za rok 2022 od Slovenských elektrární, a.s. 65 928 tis. eur a úroky 94 tis. eur)</w:t>
      </w:r>
      <w:r w:rsidR="00341EAA" w:rsidRPr="00C66720">
        <w:rPr>
          <w:b w:val="0"/>
          <w:bCs w:val="0"/>
          <w:sz w:val="22"/>
          <w:szCs w:val="22"/>
        </w:rPr>
        <w:t xml:space="preserve">, </w:t>
      </w:r>
      <w:r w:rsidR="008E7DA2" w:rsidRPr="00C66720">
        <w:rPr>
          <w:b w:val="0"/>
          <w:bCs w:val="0"/>
          <w:sz w:val="22"/>
          <w:szCs w:val="22"/>
        </w:rPr>
        <w:t xml:space="preserve">JAVYS, a.s. 9 741 tis. eur, Univerzitná nemocnica L. Pasteura Košice 6 383 tis. eur, Ministerstvo hospodárstva SR 5 188 tis. eur. </w:t>
      </w:r>
    </w:p>
    <w:p w14:paraId="0776CF2C" w14:textId="1C230C00" w:rsidR="00BE3114" w:rsidRPr="00C66720" w:rsidRDefault="00300B3C" w:rsidP="00637457">
      <w:pPr>
        <w:pStyle w:val="Pismenka"/>
        <w:tabs>
          <w:tab w:val="clear" w:pos="426"/>
        </w:tabs>
        <w:spacing w:before="120" w:after="200"/>
        <w:ind w:left="425" w:hanging="425"/>
        <w:rPr>
          <w:bCs w:val="0"/>
          <w:sz w:val="26"/>
          <w:szCs w:val="26"/>
        </w:rPr>
      </w:pPr>
      <w:r w:rsidRPr="00C66720">
        <w:rPr>
          <w:bCs w:val="0"/>
          <w:sz w:val="26"/>
          <w:szCs w:val="26"/>
        </w:rPr>
        <w:t>PASÍVA</w:t>
      </w:r>
    </w:p>
    <w:p w14:paraId="73F67A69" w14:textId="3900FEB2" w:rsidR="009270BF" w:rsidRPr="00C66720" w:rsidRDefault="00BE3114" w:rsidP="00637457">
      <w:pPr>
        <w:pStyle w:val="Pismenka"/>
        <w:tabs>
          <w:tab w:val="clear" w:pos="426"/>
        </w:tabs>
        <w:spacing w:after="120"/>
        <w:ind w:left="0" w:firstLine="0"/>
        <w:rPr>
          <w:b w:val="0"/>
          <w:bCs w:val="0"/>
          <w:sz w:val="22"/>
          <w:szCs w:val="22"/>
        </w:rPr>
      </w:pPr>
      <w:r w:rsidRPr="00C66720">
        <w:rPr>
          <w:b w:val="0"/>
          <w:bCs w:val="0"/>
          <w:sz w:val="22"/>
          <w:szCs w:val="22"/>
        </w:rPr>
        <w:t>C</w:t>
      </w:r>
      <w:r w:rsidR="009270BF" w:rsidRPr="00C66720">
        <w:rPr>
          <w:b w:val="0"/>
          <w:bCs w:val="0"/>
          <w:sz w:val="22"/>
          <w:szCs w:val="22"/>
        </w:rPr>
        <w:t>el</w:t>
      </w:r>
      <w:r w:rsidR="002374CF" w:rsidRPr="00C66720">
        <w:rPr>
          <w:b w:val="0"/>
          <w:bCs w:val="0"/>
          <w:sz w:val="22"/>
          <w:szCs w:val="22"/>
        </w:rPr>
        <w:t>kové pasíva dosiahli k 31.12.202</w:t>
      </w:r>
      <w:r w:rsidR="00083C00" w:rsidRPr="00C66720">
        <w:rPr>
          <w:b w:val="0"/>
          <w:bCs w:val="0"/>
          <w:sz w:val="22"/>
          <w:szCs w:val="22"/>
        </w:rPr>
        <w:t>2</w:t>
      </w:r>
      <w:r w:rsidR="009270BF" w:rsidRPr="00C66720">
        <w:rPr>
          <w:b w:val="0"/>
          <w:bCs w:val="0"/>
          <w:sz w:val="22"/>
          <w:szCs w:val="22"/>
        </w:rPr>
        <w:t xml:space="preserve"> hodnotu </w:t>
      </w:r>
      <w:r w:rsidR="005D7072" w:rsidRPr="00C66720">
        <w:rPr>
          <w:b w:val="0"/>
          <w:bCs w:val="0"/>
          <w:sz w:val="22"/>
          <w:szCs w:val="22"/>
        </w:rPr>
        <w:t>85 585 279</w:t>
      </w:r>
      <w:r w:rsidR="00AA19CD" w:rsidRPr="00C66720">
        <w:rPr>
          <w:b w:val="0"/>
          <w:bCs w:val="0"/>
          <w:sz w:val="22"/>
          <w:szCs w:val="22"/>
        </w:rPr>
        <w:t xml:space="preserve"> </w:t>
      </w:r>
      <w:r w:rsidR="001A337B" w:rsidRPr="00C66720">
        <w:rPr>
          <w:b w:val="0"/>
          <w:bCs w:val="0"/>
          <w:sz w:val="22"/>
          <w:szCs w:val="22"/>
        </w:rPr>
        <w:t>tis. eur</w:t>
      </w:r>
      <w:r w:rsidR="009270BF" w:rsidRPr="00C66720">
        <w:rPr>
          <w:b w:val="0"/>
          <w:bCs w:val="0"/>
          <w:sz w:val="22"/>
          <w:szCs w:val="22"/>
        </w:rPr>
        <w:t>, čo je v porovnaní s rokom 2</w:t>
      </w:r>
      <w:r w:rsidR="005D7072" w:rsidRPr="00C66720">
        <w:rPr>
          <w:b w:val="0"/>
          <w:bCs w:val="0"/>
          <w:sz w:val="22"/>
          <w:szCs w:val="22"/>
        </w:rPr>
        <w:t>021</w:t>
      </w:r>
      <w:r w:rsidR="009270BF" w:rsidRPr="00C66720">
        <w:rPr>
          <w:b w:val="0"/>
          <w:bCs w:val="0"/>
          <w:sz w:val="22"/>
          <w:szCs w:val="22"/>
        </w:rPr>
        <w:t xml:space="preserve"> </w:t>
      </w:r>
      <w:r w:rsidR="00B60BD8" w:rsidRPr="00C66720">
        <w:rPr>
          <w:b w:val="0"/>
          <w:bCs w:val="0"/>
          <w:sz w:val="22"/>
          <w:szCs w:val="22"/>
        </w:rPr>
        <w:t>viac</w:t>
      </w:r>
      <w:r w:rsidR="009270BF" w:rsidRPr="00C66720">
        <w:rPr>
          <w:b w:val="0"/>
          <w:bCs w:val="0"/>
          <w:sz w:val="22"/>
          <w:szCs w:val="22"/>
        </w:rPr>
        <w:t xml:space="preserve"> o</w:t>
      </w:r>
      <w:r w:rsidR="005D7072" w:rsidRPr="00C66720">
        <w:rPr>
          <w:b w:val="0"/>
          <w:bCs w:val="0"/>
          <w:sz w:val="22"/>
          <w:szCs w:val="22"/>
        </w:rPr>
        <w:t> 6 517 442</w:t>
      </w:r>
      <w:r w:rsidR="00C33C20" w:rsidRPr="00C66720">
        <w:rPr>
          <w:b w:val="0"/>
          <w:bCs w:val="0"/>
          <w:sz w:val="22"/>
          <w:szCs w:val="22"/>
        </w:rPr>
        <w:t> </w:t>
      </w:r>
      <w:r w:rsidR="00973D6E" w:rsidRPr="00C66720">
        <w:rPr>
          <w:b w:val="0"/>
          <w:bCs w:val="0"/>
          <w:sz w:val="22"/>
          <w:szCs w:val="22"/>
        </w:rPr>
        <w:t>tis.</w:t>
      </w:r>
      <w:r w:rsidR="009270BF" w:rsidRPr="00C66720">
        <w:rPr>
          <w:b w:val="0"/>
          <w:bCs w:val="0"/>
          <w:sz w:val="22"/>
          <w:szCs w:val="22"/>
        </w:rPr>
        <w:t xml:space="preserve"> eur</w:t>
      </w:r>
      <w:r w:rsidR="007510A2" w:rsidRPr="00C66720">
        <w:rPr>
          <w:b w:val="0"/>
          <w:bCs w:val="0"/>
          <w:sz w:val="22"/>
          <w:szCs w:val="22"/>
        </w:rPr>
        <w:t xml:space="preserve">. </w:t>
      </w:r>
      <w:r w:rsidR="009270BF" w:rsidRPr="00C66720">
        <w:rPr>
          <w:b w:val="0"/>
          <w:bCs w:val="0"/>
          <w:sz w:val="22"/>
          <w:szCs w:val="22"/>
        </w:rPr>
        <w:t xml:space="preserve">Celkové pasíva sú tvorené </w:t>
      </w:r>
      <w:r w:rsidR="00CA1F7B" w:rsidRPr="00C66720">
        <w:rPr>
          <w:b w:val="0"/>
          <w:bCs w:val="0"/>
          <w:sz w:val="22"/>
          <w:szCs w:val="22"/>
        </w:rPr>
        <w:t>záväzkami</w:t>
      </w:r>
      <w:r w:rsidR="009270BF" w:rsidRPr="00C66720">
        <w:rPr>
          <w:b w:val="0"/>
          <w:bCs w:val="0"/>
          <w:sz w:val="22"/>
          <w:szCs w:val="22"/>
        </w:rPr>
        <w:t xml:space="preserve"> (</w:t>
      </w:r>
      <w:r w:rsidR="005106B5" w:rsidRPr="00C66720">
        <w:rPr>
          <w:b w:val="0"/>
          <w:bCs w:val="0"/>
          <w:sz w:val="22"/>
          <w:szCs w:val="22"/>
        </w:rPr>
        <w:t>8</w:t>
      </w:r>
      <w:r w:rsidR="00885652" w:rsidRPr="00C66720">
        <w:rPr>
          <w:b w:val="0"/>
          <w:bCs w:val="0"/>
          <w:sz w:val="22"/>
          <w:szCs w:val="22"/>
        </w:rPr>
        <w:t>9</w:t>
      </w:r>
      <w:r w:rsidR="005106B5" w:rsidRPr="00C66720">
        <w:rPr>
          <w:b w:val="0"/>
          <w:bCs w:val="0"/>
          <w:sz w:val="22"/>
          <w:szCs w:val="22"/>
        </w:rPr>
        <w:t>,</w:t>
      </w:r>
      <w:r w:rsidR="004D4468" w:rsidRPr="00C66720">
        <w:rPr>
          <w:b w:val="0"/>
          <w:bCs w:val="0"/>
          <w:sz w:val="22"/>
          <w:szCs w:val="22"/>
        </w:rPr>
        <w:t>6</w:t>
      </w:r>
      <w:r w:rsidR="007510A2" w:rsidRPr="00C66720">
        <w:rPr>
          <w:b w:val="0"/>
          <w:bCs w:val="0"/>
          <w:sz w:val="22"/>
          <w:szCs w:val="22"/>
        </w:rPr>
        <w:t xml:space="preserve"> </w:t>
      </w:r>
      <w:r w:rsidR="00DA533F" w:rsidRPr="00C66720">
        <w:rPr>
          <w:b w:val="0"/>
          <w:bCs w:val="0"/>
          <w:sz w:val="22"/>
          <w:szCs w:val="22"/>
        </w:rPr>
        <w:t>%</w:t>
      </w:r>
      <w:r w:rsidR="007F1665" w:rsidRPr="00C66720">
        <w:rPr>
          <w:b w:val="0"/>
          <w:bCs w:val="0"/>
          <w:sz w:val="22"/>
          <w:szCs w:val="22"/>
        </w:rPr>
        <w:t>, v tom bankové úvery 8,</w:t>
      </w:r>
      <w:r w:rsidR="007754FC" w:rsidRPr="00C66720">
        <w:rPr>
          <w:b w:val="0"/>
          <w:bCs w:val="0"/>
          <w:sz w:val="22"/>
          <w:szCs w:val="22"/>
        </w:rPr>
        <w:t>1</w:t>
      </w:r>
      <w:r w:rsidR="007F1665" w:rsidRPr="00C66720">
        <w:rPr>
          <w:b w:val="0"/>
          <w:bCs w:val="0"/>
          <w:sz w:val="22"/>
          <w:szCs w:val="22"/>
        </w:rPr>
        <w:t xml:space="preserve"> %</w:t>
      </w:r>
      <w:r w:rsidR="00DA533F" w:rsidRPr="00C66720">
        <w:rPr>
          <w:b w:val="0"/>
          <w:bCs w:val="0"/>
          <w:sz w:val="22"/>
          <w:szCs w:val="22"/>
        </w:rPr>
        <w:t xml:space="preserve">), </w:t>
      </w:r>
      <w:r w:rsidR="00CA1F7B" w:rsidRPr="00C66720">
        <w:rPr>
          <w:b w:val="0"/>
          <w:bCs w:val="0"/>
          <w:sz w:val="22"/>
          <w:szCs w:val="22"/>
        </w:rPr>
        <w:t>rezervami (</w:t>
      </w:r>
      <w:r w:rsidR="00FB5E95" w:rsidRPr="00C66720">
        <w:rPr>
          <w:b w:val="0"/>
          <w:bCs w:val="0"/>
          <w:sz w:val="22"/>
          <w:szCs w:val="22"/>
        </w:rPr>
        <w:t>34,9</w:t>
      </w:r>
      <w:r w:rsidR="00281148" w:rsidRPr="00C66720">
        <w:rPr>
          <w:b w:val="0"/>
          <w:bCs w:val="0"/>
          <w:sz w:val="22"/>
          <w:szCs w:val="22"/>
        </w:rPr>
        <w:t xml:space="preserve"> %), vlastným imaním (-</w:t>
      </w:r>
      <w:r w:rsidR="00FA33A3" w:rsidRPr="00C66720">
        <w:rPr>
          <w:b w:val="0"/>
          <w:bCs w:val="0"/>
          <w:sz w:val="22"/>
          <w:szCs w:val="22"/>
        </w:rPr>
        <w:t>37</w:t>
      </w:r>
      <w:r w:rsidR="00CA1F7B" w:rsidRPr="00C66720">
        <w:rPr>
          <w:b w:val="0"/>
          <w:bCs w:val="0"/>
          <w:sz w:val="22"/>
          <w:szCs w:val="22"/>
        </w:rPr>
        <w:t xml:space="preserve"> %), </w:t>
      </w:r>
      <w:r w:rsidR="00B52509" w:rsidRPr="00C66720">
        <w:rPr>
          <w:b w:val="0"/>
          <w:bCs w:val="0"/>
          <w:sz w:val="22"/>
          <w:szCs w:val="22"/>
        </w:rPr>
        <w:t>a časovým rozlíšením (</w:t>
      </w:r>
      <w:r w:rsidR="007F1665" w:rsidRPr="00C66720">
        <w:rPr>
          <w:b w:val="0"/>
          <w:bCs w:val="0"/>
          <w:sz w:val="22"/>
          <w:szCs w:val="22"/>
        </w:rPr>
        <w:t>1</w:t>
      </w:r>
      <w:r w:rsidR="00E350D4" w:rsidRPr="00C66720">
        <w:rPr>
          <w:b w:val="0"/>
          <w:bCs w:val="0"/>
          <w:sz w:val="22"/>
          <w:szCs w:val="22"/>
        </w:rPr>
        <w:t>3,5</w:t>
      </w:r>
      <w:r w:rsidR="00CA1F7B" w:rsidRPr="00C66720">
        <w:rPr>
          <w:b w:val="0"/>
          <w:bCs w:val="0"/>
          <w:sz w:val="22"/>
          <w:szCs w:val="22"/>
        </w:rPr>
        <w:t xml:space="preserve"> %)</w:t>
      </w:r>
      <w:r w:rsidR="009270BF" w:rsidRPr="00C66720">
        <w:rPr>
          <w:b w:val="0"/>
          <w:bCs w:val="0"/>
          <w:sz w:val="22"/>
          <w:szCs w:val="22"/>
        </w:rPr>
        <w:t xml:space="preserve">. </w:t>
      </w:r>
    </w:p>
    <w:p w14:paraId="7637CB27" w14:textId="4B0EDB04" w:rsidR="00410657" w:rsidRPr="00C66720" w:rsidRDefault="00410657" w:rsidP="00637457">
      <w:pPr>
        <w:pStyle w:val="Pismenka"/>
        <w:tabs>
          <w:tab w:val="clear" w:pos="426"/>
        </w:tabs>
        <w:spacing w:after="120"/>
        <w:ind w:left="0" w:firstLine="0"/>
        <w:rPr>
          <w:b w:val="0"/>
          <w:bCs w:val="0"/>
          <w:sz w:val="22"/>
          <w:szCs w:val="22"/>
        </w:rPr>
      </w:pPr>
      <w:r w:rsidRPr="00C66720">
        <w:rPr>
          <w:b w:val="0"/>
          <w:bCs w:val="0"/>
          <w:sz w:val="22"/>
          <w:szCs w:val="22"/>
        </w:rPr>
        <w:t xml:space="preserve">Na zmene celkových pasív sa podieľalo najmä zvýšenie výsledku hospodárenia za účtovné obdobie o 19 219 553 tis. eur, </w:t>
      </w:r>
      <w:r w:rsidR="00A70FFE" w:rsidRPr="00C66720">
        <w:rPr>
          <w:b w:val="0"/>
          <w:bCs w:val="0"/>
          <w:sz w:val="22"/>
          <w:szCs w:val="22"/>
        </w:rPr>
        <w:t xml:space="preserve">zníženie dlhodobých rezerv na zamestnanecké požitky štátnych rozpočtových a príspevkových organizácií o 13 423 608 tis. eur a zvýšenie záväzkov o 4 937 714 tis. eur </w:t>
      </w:r>
      <w:r w:rsidR="0064477F">
        <w:rPr>
          <w:b w:val="0"/>
          <w:bCs w:val="0"/>
          <w:sz w:val="22"/>
          <w:szCs w:val="22"/>
        </w:rPr>
        <w:br/>
      </w:r>
      <w:r w:rsidR="00A70FFE" w:rsidRPr="00C66720">
        <w:rPr>
          <w:b w:val="0"/>
          <w:bCs w:val="0"/>
          <w:sz w:val="22"/>
          <w:szCs w:val="22"/>
        </w:rPr>
        <w:t>(v tom štátnych dlhopisov a pokladničných poukážok o 3 096 210 tis. eur).</w:t>
      </w:r>
    </w:p>
    <w:p w14:paraId="2C3865D2" w14:textId="420A390F" w:rsidR="00CB33D1" w:rsidRPr="00C66720" w:rsidRDefault="00CB33D1" w:rsidP="00637457">
      <w:pPr>
        <w:pStyle w:val="Pismenka"/>
        <w:tabs>
          <w:tab w:val="clear" w:pos="426"/>
        </w:tabs>
        <w:spacing w:after="120"/>
        <w:ind w:left="0" w:firstLine="0"/>
        <w:rPr>
          <w:b w:val="0"/>
          <w:bCs w:val="0"/>
          <w:sz w:val="22"/>
          <w:szCs w:val="22"/>
        </w:rPr>
      </w:pPr>
      <w:r w:rsidRPr="00892D15">
        <w:rPr>
          <w:b w:val="0"/>
          <w:bCs w:val="0"/>
          <w:sz w:val="22"/>
          <w:szCs w:val="22"/>
          <w:u w:val="single"/>
        </w:rPr>
        <w:lastRenderedPageBreak/>
        <w:t>Z položiek vlastného imania</w:t>
      </w:r>
      <w:r w:rsidRPr="00C66720">
        <w:rPr>
          <w:b w:val="0"/>
          <w:bCs w:val="0"/>
          <w:sz w:val="22"/>
          <w:szCs w:val="22"/>
        </w:rPr>
        <w:t xml:space="preserve"> sa pozitívne zmenil výsledok hospodárenia za bežné účtovné obdobie o 19 219 533 tis. eur</w:t>
      </w:r>
      <w:r w:rsidR="000E1B37" w:rsidRPr="00C66720">
        <w:rPr>
          <w:b w:val="0"/>
          <w:bCs w:val="0"/>
          <w:sz w:val="22"/>
          <w:szCs w:val="22"/>
        </w:rPr>
        <w:t xml:space="preserve"> v dôsledku najmä nižších nákladov na transfery o 15 089 155 tis. eur a vyšších výnosov zo zúčtovania rezerv a opravných položiek o 13 348 579 tis. eur. Negatívne sa zmenil výsledok hospodárenia minulých období o 5 148 660 tis. eur (ovplyvnený výsledkom hospodárenia z roku 2021</w:t>
      </w:r>
      <w:r w:rsidR="00651C96" w:rsidRPr="00C66720">
        <w:rPr>
          <w:b w:val="0"/>
          <w:bCs w:val="0"/>
          <w:sz w:val="22"/>
          <w:szCs w:val="22"/>
        </w:rPr>
        <w:t xml:space="preserve"> v sume -6 242 761 tis. eur</w:t>
      </w:r>
      <w:r w:rsidR="000E1B37" w:rsidRPr="00C66720">
        <w:rPr>
          <w:b w:val="0"/>
          <w:bCs w:val="0"/>
          <w:sz w:val="22"/>
          <w:szCs w:val="22"/>
        </w:rPr>
        <w:t>)</w:t>
      </w:r>
      <w:r w:rsidR="007A6A57">
        <w:rPr>
          <w:b w:val="0"/>
          <w:bCs w:val="0"/>
          <w:sz w:val="22"/>
          <w:szCs w:val="22"/>
        </w:rPr>
        <w:t>.</w:t>
      </w:r>
    </w:p>
    <w:p w14:paraId="76FD13B0" w14:textId="6ACAC9EB" w:rsidR="001B78F2" w:rsidRPr="00C66720" w:rsidRDefault="002860E9" w:rsidP="00637457">
      <w:pPr>
        <w:pStyle w:val="Pismenka"/>
        <w:tabs>
          <w:tab w:val="clear" w:pos="426"/>
        </w:tabs>
        <w:spacing w:after="120"/>
        <w:ind w:left="0" w:firstLine="0"/>
        <w:rPr>
          <w:b w:val="0"/>
          <w:bCs w:val="0"/>
          <w:sz w:val="22"/>
          <w:szCs w:val="22"/>
        </w:rPr>
      </w:pPr>
      <w:r w:rsidRPr="00C66720">
        <w:rPr>
          <w:b w:val="0"/>
          <w:bCs w:val="0"/>
          <w:sz w:val="22"/>
          <w:szCs w:val="22"/>
          <w:u w:val="single"/>
        </w:rPr>
        <w:t>Z</w:t>
      </w:r>
      <w:r w:rsidR="00441F2A">
        <w:rPr>
          <w:b w:val="0"/>
          <w:bCs w:val="0"/>
          <w:sz w:val="22"/>
          <w:szCs w:val="22"/>
          <w:u w:val="single"/>
        </w:rPr>
        <w:t>o záväzkov</w:t>
      </w:r>
      <w:r w:rsidR="00E35D61" w:rsidRPr="00C66720">
        <w:rPr>
          <w:b w:val="0"/>
          <w:bCs w:val="0"/>
          <w:sz w:val="22"/>
          <w:szCs w:val="22"/>
        </w:rPr>
        <w:t xml:space="preserve"> zaznamenali významný medziročný </w:t>
      </w:r>
      <w:r w:rsidR="001B78F2" w:rsidRPr="00C66720">
        <w:rPr>
          <w:b w:val="0"/>
          <w:bCs w:val="0"/>
          <w:sz w:val="22"/>
          <w:szCs w:val="22"/>
        </w:rPr>
        <w:t>úbytok dlhodobé rezervy o 12 583 273 tis. eur, vplyvom zníženia rezerv na zamestnanecké požitky štátnych rozpočtových a príspevkových organizácií o 13 423 608 tis. eur a zvýšenia ostatných dlhodobých rezerv o 840 335 tis. eur. Krátkodobé rezervy boli v porovnaní s rokom 2021 vyššie o 318 678 tis. eur. Krátkodobé záväzky boli medziročne vyššie o 4 928 111 tis. eur (z toho štátne dlhopisy o 3 096 210 tis. eur a záväzky zo zúčtovania s EÚ o 1 590 929 tis. eur).</w:t>
      </w:r>
    </w:p>
    <w:p w14:paraId="620F934C" w14:textId="5FA8A00E" w:rsidR="009270BF" w:rsidRPr="00C66720" w:rsidRDefault="009270BF" w:rsidP="004C0CE7">
      <w:pPr>
        <w:pStyle w:val="Pismenka"/>
        <w:numPr>
          <w:ilvl w:val="0"/>
          <w:numId w:val="21"/>
        </w:numPr>
        <w:spacing w:before="240" w:after="200"/>
        <w:ind w:left="284" w:hanging="284"/>
        <w:rPr>
          <w:bCs w:val="0"/>
          <w:sz w:val="24"/>
          <w:szCs w:val="24"/>
        </w:rPr>
      </w:pPr>
      <w:r w:rsidRPr="00C66720">
        <w:rPr>
          <w:bCs w:val="0"/>
          <w:sz w:val="24"/>
          <w:szCs w:val="24"/>
        </w:rPr>
        <w:t>Vlastné imanie</w:t>
      </w:r>
    </w:p>
    <w:p w14:paraId="44E246B4" w14:textId="4AC2E328" w:rsidR="00B47C24" w:rsidRPr="00C66720" w:rsidRDefault="009270BF" w:rsidP="00637457">
      <w:pPr>
        <w:pStyle w:val="Pismenka"/>
        <w:tabs>
          <w:tab w:val="clear" w:pos="426"/>
        </w:tabs>
        <w:ind w:left="0" w:firstLine="0"/>
        <w:rPr>
          <w:b w:val="0"/>
          <w:bCs w:val="0"/>
          <w:sz w:val="22"/>
          <w:szCs w:val="22"/>
        </w:rPr>
      </w:pPr>
      <w:r w:rsidRPr="00C66720">
        <w:rPr>
          <w:b w:val="0"/>
          <w:bCs w:val="0"/>
          <w:sz w:val="22"/>
          <w:szCs w:val="22"/>
        </w:rPr>
        <w:t xml:space="preserve">Vlastné imanie súhrnného celku dosiahlo </w:t>
      </w:r>
      <w:r w:rsidR="004C2730" w:rsidRPr="00C66720">
        <w:rPr>
          <w:b w:val="0"/>
          <w:bCs w:val="0"/>
          <w:sz w:val="22"/>
          <w:szCs w:val="22"/>
        </w:rPr>
        <w:t>-</w:t>
      </w:r>
      <w:r w:rsidR="00AE6F30" w:rsidRPr="00C66720">
        <w:rPr>
          <w:b w:val="0"/>
          <w:bCs w:val="0"/>
          <w:sz w:val="22"/>
          <w:szCs w:val="22"/>
        </w:rPr>
        <w:t>31 677 565</w:t>
      </w:r>
      <w:r w:rsidR="00EB4BA6" w:rsidRPr="00C66720">
        <w:rPr>
          <w:b w:val="0"/>
          <w:bCs w:val="0"/>
          <w:sz w:val="22"/>
          <w:szCs w:val="22"/>
        </w:rPr>
        <w:t xml:space="preserve"> </w:t>
      </w:r>
      <w:r w:rsidR="00B52684" w:rsidRPr="00C66720">
        <w:rPr>
          <w:b w:val="0"/>
          <w:bCs w:val="0"/>
          <w:sz w:val="22"/>
          <w:szCs w:val="22"/>
        </w:rPr>
        <w:t>ti</w:t>
      </w:r>
      <w:r w:rsidR="004C2730" w:rsidRPr="00C66720">
        <w:rPr>
          <w:b w:val="0"/>
          <w:bCs w:val="0"/>
          <w:sz w:val="22"/>
          <w:szCs w:val="22"/>
        </w:rPr>
        <w:t>s. eur</w:t>
      </w:r>
      <w:r w:rsidR="008A599D" w:rsidRPr="00C66720">
        <w:rPr>
          <w:b w:val="0"/>
          <w:bCs w:val="0"/>
          <w:sz w:val="22"/>
          <w:szCs w:val="22"/>
        </w:rPr>
        <w:t>,</w:t>
      </w:r>
      <w:r w:rsidR="00666F99" w:rsidRPr="00C66720">
        <w:rPr>
          <w:b w:val="0"/>
          <w:bCs w:val="0"/>
          <w:sz w:val="22"/>
          <w:szCs w:val="22"/>
        </w:rPr>
        <w:t xml:space="preserve"> z</w:t>
      </w:r>
      <w:r w:rsidRPr="00C66720">
        <w:rPr>
          <w:b w:val="0"/>
          <w:bCs w:val="0"/>
          <w:sz w:val="22"/>
          <w:szCs w:val="22"/>
        </w:rPr>
        <w:t> toho </w:t>
      </w:r>
      <w:r w:rsidR="00A47CEE" w:rsidRPr="00C66720">
        <w:rPr>
          <w:b w:val="0"/>
          <w:bCs w:val="0"/>
          <w:sz w:val="22"/>
          <w:szCs w:val="22"/>
        </w:rPr>
        <w:t xml:space="preserve">celkový </w:t>
      </w:r>
      <w:r w:rsidR="00DC453D" w:rsidRPr="00C66720">
        <w:rPr>
          <w:b w:val="0"/>
          <w:bCs w:val="0"/>
          <w:sz w:val="22"/>
          <w:szCs w:val="22"/>
        </w:rPr>
        <w:t>výsledok hospodárenia</w:t>
      </w:r>
      <w:r w:rsidR="00DC453D" w:rsidRPr="00C66720">
        <w:rPr>
          <w:b w:val="0"/>
          <w:bCs w:val="0"/>
          <w:sz w:val="22"/>
          <w:szCs w:val="22"/>
        </w:rPr>
        <w:br/>
      </w:r>
      <w:r w:rsidR="004C2730" w:rsidRPr="00C66720">
        <w:rPr>
          <w:b w:val="0"/>
          <w:bCs w:val="0"/>
          <w:sz w:val="22"/>
          <w:szCs w:val="22"/>
        </w:rPr>
        <w:t>-</w:t>
      </w:r>
      <w:r w:rsidR="00AE6F30" w:rsidRPr="00C66720">
        <w:rPr>
          <w:b w:val="0"/>
          <w:bCs w:val="0"/>
          <w:sz w:val="22"/>
          <w:szCs w:val="22"/>
        </w:rPr>
        <w:t>31 856 605</w:t>
      </w:r>
      <w:r w:rsidR="00DB53CC" w:rsidRPr="00C66720">
        <w:rPr>
          <w:b w:val="0"/>
          <w:bCs w:val="0"/>
          <w:sz w:val="22"/>
          <w:szCs w:val="22"/>
        </w:rPr>
        <w:t xml:space="preserve"> t</w:t>
      </w:r>
      <w:r w:rsidR="00CE599B" w:rsidRPr="00C66720">
        <w:rPr>
          <w:b w:val="0"/>
          <w:bCs w:val="0"/>
          <w:sz w:val="22"/>
          <w:szCs w:val="22"/>
        </w:rPr>
        <w:t>is. eur</w:t>
      </w:r>
      <w:r w:rsidR="00DC453D" w:rsidRPr="00C66720">
        <w:rPr>
          <w:b w:val="0"/>
          <w:bCs w:val="0"/>
          <w:sz w:val="22"/>
          <w:szCs w:val="22"/>
        </w:rPr>
        <w:t>, oce</w:t>
      </w:r>
      <w:r w:rsidR="00EB4BA6" w:rsidRPr="00C66720">
        <w:rPr>
          <w:b w:val="0"/>
          <w:bCs w:val="0"/>
          <w:sz w:val="22"/>
          <w:szCs w:val="22"/>
        </w:rPr>
        <w:t xml:space="preserve">ňovacie rozdiely dosiahli </w:t>
      </w:r>
      <w:r w:rsidR="00AE6F30" w:rsidRPr="00C66720">
        <w:rPr>
          <w:b w:val="0"/>
          <w:bCs w:val="0"/>
          <w:sz w:val="22"/>
          <w:szCs w:val="22"/>
        </w:rPr>
        <w:t>22 812</w:t>
      </w:r>
      <w:r w:rsidR="00DC453D" w:rsidRPr="00C66720">
        <w:rPr>
          <w:b w:val="0"/>
          <w:bCs w:val="0"/>
          <w:sz w:val="22"/>
          <w:szCs w:val="22"/>
        </w:rPr>
        <w:t xml:space="preserve"> tis. eur</w:t>
      </w:r>
      <w:r w:rsidR="00CE599B" w:rsidRPr="00C66720">
        <w:rPr>
          <w:b w:val="0"/>
          <w:bCs w:val="0"/>
          <w:sz w:val="22"/>
          <w:szCs w:val="22"/>
        </w:rPr>
        <w:t xml:space="preserve"> </w:t>
      </w:r>
      <w:r w:rsidRPr="00C66720">
        <w:rPr>
          <w:b w:val="0"/>
          <w:bCs w:val="0"/>
          <w:sz w:val="22"/>
          <w:szCs w:val="22"/>
        </w:rPr>
        <w:t xml:space="preserve">a podiely iných účtovných jednotiek </w:t>
      </w:r>
      <w:r w:rsidR="007A0EBD" w:rsidRPr="00C66720">
        <w:rPr>
          <w:b w:val="0"/>
          <w:bCs w:val="0"/>
          <w:sz w:val="22"/>
          <w:szCs w:val="22"/>
        </w:rPr>
        <w:t xml:space="preserve">156 </w:t>
      </w:r>
      <w:r w:rsidR="00AE6F30" w:rsidRPr="00C66720">
        <w:rPr>
          <w:b w:val="0"/>
          <w:bCs w:val="0"/>
          <w:sz w:val="22"/>
          <w:szCs w:val="22"/>
        </w:rPr>
        <w:t>228</w:t>
      </w:r>
      <w:r w:rsidR="00EB4BA6" w:rsidRPr="00C66720">
        <w:rPr>
          <w:b w:val="0"/>
          <w:bCs w:val="0"/>
          <w:sz w:val="22"/>
          <w:szCs w:val="22"/>
        </w:rPr>
        <w:t xml:space="preserve"> </w:t>
      </w:r>
      <w:r w:rsidR="00945761" w:rsidRPr="00C66720">
        <w:rPr>
          <w:b w:val="0"/>
          <w:bCs w:val="0"/>
          <w:sz w:val="22"/>
          <w:szCs w:val="22"/>
        </w:rPr>
        <w:t xml:space="preserve"> </w:t>
      </w:r>
      <w:r w:rsidR="00973D6E" w:rsidRPr="00C66720">
        <w:rPr>
          <w:b w:val="0"/>
          <w:bCs w:val="0"/>
          <w:sz w:val="22"/>
          <w:szCs w:val="22"/>
        </w:rPr>
        <w:t>tis.</w:t>
      </w:r>
      <w:r w:rsidRPr="00C66720">
        <w:rPr>
          <w:b w:val="0"/>
          <w:bCs w:val="0"/>
          <w:sz w:val="22"/>
          <w:szCs w:val="22"/>
        </w:rPr>
        <w:t xml:space="preserve"> eur.</w:t>
      </w:r>
      <w:r w:rsidR="00910621" w:rsidRPr="00C66720">
        <w:rPr>
          <w:b w:val="0"/>
          <w:bCs w:val="0"/>
          <w:sz w:val="22"/>
          <w:szCs w:val="22"/>
        </w:rPr>
        <w:t xml:space="preserve"> Do výsledku hospodárenia minulých období sú zahrnuté aj </w:t>
      </w:r>
      <w:r w:rsidR="000007BE" w:rsidRPr="00C66720">
        <w:rPr>
          <w:b w:val="0"/>
          <w:bCs w:val="0"/>
          <w:sz w:val="22"/>
          <w:szCs w:val="22"/>
        </w:rPr>
        <w:t xml:space="preserve">kapitálové a rezervné </w:t>
      </w:r>
      <w:r w:rsidR="00910621" w:rsidRPr="00C66720">
        <w:rPr>
          <w:b w:val="0"/>
          <w:bCs w:val="0"/>
          <w:sz w:val="22"/>
          <w:szCs w:val="22"/>
        </w:rPr>
        <w:t xml:space="preserve">fondy </w:t>
      </w:r>
      <w:r w:rsidR="00F41B82" w:rsidRPr="00C66720">
        <w:rPr>
          <w:b w:val="0"/>
          <w:bCs w:val="0"/>
          <w:sz w:val="22"/>
          <w:szCs w:val="22"/>
        </w:rPr>
        <w:t xml:space="preserve">tvorené </w:t>
      </w:r>
      <w:r w:rsidR="00910621" w:rsidRPr="00C66720">
        <w:rPr>
          <w:b w:val="0"/>
          <w:bCs w:val="0"/>
          <w:sz w:val="22"/>
          <w:szCs w:val="22"/>
        </w:rPr>
        <w:t>v rámci vlastného im</w:t>
      </w:r>
      <w:r w:rsidR="000D5372" w:rsidRPr="00C66720">
        <w:rPr>
          <w:b w:val="0"/>
          <w:bCs w:val="0"/>
          <w:sz w:val="22"/>
          <w:szCs w:val="22"/>
        </w:rPr>
        <w:t>a</w:t>
      </w:r>
      <w:r w:rsidR="009A266C" w:rsidRPr="00C66720">
        <w:rPr>
          <w:b w:val="0"/>
          <w:bCs w:val="0"/>
          <w:sz w:val="22"/>
          <w:szCs w:val="22"/>
        </w:rPr>
        <w:t>nia, ktorých hodnota za rok 2022</w:t>
      </w:r>
      <w:r w:rsidR="00910621" w:rsidRPr="00C66720">
        <w:rPr>
          <w:b w:val="0"/>
          <w:bCs w:val="0"/>
          <w:sz w:val="22"/>
          <w:szCs w:val="22"/>
        </w:rPr>
        <w:t xml:space="preserve"> bola </w:t>
      </w:r>
      <w:r w:rsidR="000D5372" w:rsidRPr="00C66720">
        <w:rPr>
          <w:b w:val="0"/>
          <w:bCs w:val="0"/>
          <w:sz w:val="22"/>
          <w:szCs w:val="22"/>
        </w:rPr>
        <w:t>4</w:t>
      </w:r>
      <w:r w:rsidR="009A266C" w:rsidRPr="00C66720">
        <w:rPr>
          <w:b w:val="0"/>
          <w:bCs w:val="0"/>
          <w:sz w:val="22"/>
          <w:szCs w:val="22"/>
        </w:rPr>
        <w:t> 431 155</w:t>
      </w:r>
      <w:r w:rsidR="00910621" w:rsidRPr="00C66720">
        <w:rPr>
          <w:b w:val="0"/>
          <w:bCs w:val="0"/>
          <w:sz w:val="22"/>
          <w:szCs w:val="22"/>
        </w:rPr>
        <w:t xml:space="preserve"> tis.</w:t>
      </w:r>
      <w:r w:rsidR="00E8513B" w:rsidRPr="00C66720">
        <w:rPr>
          <w:b w:val="0"/>
          <w:bCs w:val="0"/>
          <w:sz w:val="22"/>
          <w:szCs w:val="22"/>
        </w:rPr>
        <w:t> </w:t>
      </w:r>
      <w:r w:rsidR="00910621" w:rsidRPr="00C66720">
        <w:rPr>
          <w:b w:val="0"/>
          <w:bCs w:val="0"/>
          <w:sz w:val="22"/>
          <w:szCs w:val="22"/>
        </w:rPr>
        <w:t xml:space="preserve">eur. </w:t>
      </w:r>
    </w:p>
    <w:p w14:paraId="39E07D3D" w14:textId="19685775" w:rsidR="00666F99" w:rsidRPr="00C66720" w:rsidRDefault="00C7605F" w:rsidP="001D346E">
      <w:pPr>
        <w:pStyle w:val="Pismenka"/>
        <w:tabs>
          <w:tab w:val="clear" w:pos="426"/>
        </w:tabs>
        <w:spacing w:before="240" w:after="200"/>
        <w:ind w:left="0" w:firstLine="0"/>
        <w:rPr>
          <w:bCs w:val="0"/>
          <w:sz w:val="24"/>
          <w:szCs w:val="24"/>
        </w:rPr>
      </w:pPr>
      <w:r w:rsidRPr="00C66720">
        <w:rPr>
          <w:bCs w:val="0"/>
          <w:sz w:val="24"/>
          <w:szCs w:val="24"/>
        </w:rPr>
        <w:t xml:space="preserve">A.I. </w:t>
      </w:r>
      <w:r w:rsidR="00666F99" w:rsidRPr="00C66720">
        <w:rPr>
          <w:bCs w:val="0"/>
          <w:sz w:val="24"/>
          <w:szCs w:val="24"/>
        </w:rPr>
        <w:t>Oceňovacie rozdiely</w:t>
      </w:r>
    </w:p>
    <w:p w14:paraId="7431638D" w14:textId="1851CF84" w:rsidR="00824479" w:rsidRPr="00C66720" w:rsidRDefault="009270BF" w:rsidP="00637457">
      <w:pPr>
        <w:pStyle w:val="Pismenka"/>
        <w:tabs>
          <w:tab w:val="clear" w:pos="426"/>
        </w:tabs>
        <w:ind w:left="0" w:firstLine="0"/>
        <w:rPr>
          <w:b w:val="0"/>
          <w:bCs w:val="0"/>
          <w:color w:val="FF0000"/>
          <w:sz w:val="22"/>
          <w:szCs w:val="22"/>
          <w:highlight w:val="yellow"/>
        </w:rPr>
      </w:pPr>
      <w:r w:rsidRPr="00C66720">
        <w:rPr>
          <w:b w:val="0"/>
          <w:bCs w:val="0"/>
          <w:sz w:val="22"/>
          <w:szCs w:val="22"/>
        </w:rPr>
        <w:t>Oceňovacie rozdiely sú tvorené rozdielmi z precenenia majetku a záväzkov</w:t>
      </w:r>
      <w:r w:rsidR="00C45B8D" w:rsidRPr="00C66720">
        <w:rPr>
          <w:b w:val="0"/>
          <w:bCs w:val="0"/>
          <w:sz w:val="22"/>
          <w:szCs w:val="22"/>
        </w:rPr>
        <w:t xml:space="preserve"> v sume </w:t>
      </w:r>
      <w:r w:rsidR="00FE218B" w:rsidRPr="00C66720">
        <w:rPr>
          <w:b w:val="0"/>
          <w:bCs w:val="0"/>
          <w:sz w:val="22"/>
          <w:szCs w:val="22"/>
        </w:rPr>
        <w:t xml:space="preserve">-971 </w:t>
      </w:r>
      <w:r w:rsidR="00430334" w:rsidRPr="00C66720">
        <w:rPr>
          <w:b w:val="0"/>
          <w:bCs w:val="0"/>
          <w:sz w:val="22"/>
          <w:szCs w:val="22"/>
        </w:rPr>
        <w:t>tis. eur</w:t>
      </w:r>
      <w:r w:rsidR="001C1EA1" w:rsidRPr="00C66720">
        <w:rPr>
          <w:b w:val="0"/>
          <w:bCs w:val="0"/>
          <w:sz w:val="22"/>
          <w:szCs w:val="22"/>
        </w:rPr>
        <w:br/>
      </w:r>
      <w:r w:rsidR="00444749" w:rsidRPr="00C66720">
        <w:rPr>
          <w:b w:val="0"/>
          <w:bCs w:val="0"/>
          <w:sz w:val="22"/>
          <w:szCs w:val="22"/>
        </w:rPr>
        <w:t xml:space="preserve">a </w:t>
      </w:r>
      <w:r w:rsidRPr="00C66720">
        <w:rPr>
          <w:b w:val="0"/>
          <w:bCs w:val="0"/>
          <w:sz w:val="22"/>
          <w:szCs w:val="22"/>
        </w:rPr>
        <w:t>rozdielmi z precenenia kapitálových účastí v obchodných</w:t>
      </w:r>
      <w:r w:rsidR="00375816" w:rsidRPr="00C66720">
        <w:rPr>
          <w:b w:val="0"/>
          <w:bCs w:val="0"/>
          <w:sz w:val="22"/>
          <w:szCs w:val="22"/>
        </w:rPr>
        <w:t xml:space="preserve"> spoločnostiach, ktoré </w:t>
      </w:r>
      <w:r w:rsidR="005415E0" w:rsidRPr="00C66720">
        <w:rPr>
          <w:b w:val="0"/>
          <w:bCs w:val="0"/>
          <w:sz w:val="22"/>
          <w:szCs w:val="22"/>
        </w:rPr>
        <w:t>nie sú zaradené</w:t>
      </w:r>
      <w:r w:rsidR="00375816" w:rsidRPr="00C66720">
        <w:rPr>
          <w:b w:val="0"/>
          <w:bCs w:val="0"/>
          <w:sz w:val="22"/>
          <w:szCs w:val="22"/>
        </w:rPr>
        <w:br/>
      </w:r>
      <w:r w:rsidRPr="00C66720">
        <w:rPr>
          <w:b w:val="0"/>
          <w:bCs w:val="0"/>
          <w:sz w:val="22"/>
          <w:szCs w:val="22"/>
        </w:rPr>
        <w:t xml:space="preserve">do súhrnného celku </w:t>
      </w:r>
      <w:r w:rsidR="005415E0" w:rsidRPr="00C66720">
        <w:rPr>
          <w:b w:val="0"/>
          <w:bCs w:val="0"/>
          <w:sz w:val="22"/>
          <w:szCs w:val="22"/>
        </w:rPr>
        <w:t xml:space="preserve">ako dcérske účtovné jednotky, </w:t>
      </w:r>
      <w:r w:rsidR="00C45B8D" w:rsidRPr="00C66720">
        <w:rPr>
          <w:b w:val="0"/>
          <w:bCs w:val="0"/>
          <w:sz w:val="22"/>
          <w:szCs w:val="22"/>
        </w:rPr>
        <w:t xml:space="preserve">v hodnote </w:t>
      </w:r>
      <w:r w:rsidR="006142DD" w:rsidRPr="00C66720">
        <w:rPr>
          <w:b w:val="0"/>
          <w:bCs w:val="0"/>
          <w:sz w:val="22"/>
          <w:szCs w:val="22"/>
        </w:rPr>
        <w:t>23 783</w:t>
      </w:r>
      <w:r w:rsidR="00934804" w:rsidRPr="00C66720">
        <w:rPr>
          <w:b w:val="0"/>
          <w:bCs w:val="0"/>
          <w:sz w:val="22"/>
          <w:szCs w:val="22"/>
        </w:rPr>
        <w:t xml:space="preserve"> </w:t>
      </w:r>
      <w:r w:rsidR="00973D6E" w:rsidRPr="00C66720">
        <w:rPr>
          <w:b w:val="0"/>
          <w:bCs w:val="0"/>
          <w:sz w:val="22"/>
          <w:szCs w:val="22"/>
        </w:rPr>
        <w:t>tis.</w:t>
      </w:r>
      <w:r w:rsidRPr="00C66720">
        <w:rPr>
          <w:b w:val="0"/>
          <w:bCs w:val="0"/>
          <w:sz w:val="22"/>
          <w:szCs w:val="22"/>
        </w:rPr>
        <w:t xml:space="preserve"> eur.</w:t>
      </w:r>
      <w:r w:rsidR="00430E6F" w:rsidRPr="00C66720">
        <w:rPr>
          <w:b w:val="0"/>
          <w:bCs w:val="0"/>
          <w:sz w:val="22"/>
          <w:szCs w:val="22"/>
        </w:rPr>
        <w:t xml:space="preserve"> </w:t>
      </w:r>
      <w:r w:rsidR="00430334" w:rsidRPr="00C66720">
        <w:rPr>
          <w:b w:val="0"/>
          <w:bCs w:val="0"/>
          <w:sz w:val="22"/>
          <w:szCs w:val="22"/>
        </w:rPr>
        <w:t xml:space="preserve">Oceňovacie rozdiely </w:t>
      </w:r>
      <w:r w:rsidR="00934804" w:rsidRPr="00C66720">
        <w:rPr>
          <w:b w:val="0"/>
          <w:bCs w:val="0"/>
          <w:sz w:val="22"/>
          <w:szCs w:val="22"/>
        </w:rPr>
        <w:t xml:space="preserve">sa úhrnom </w:t>
      </w:r>
      <w:r w:rsidR="002F06EA" w:rsidRPr="00C66720">
        <w:rPr>
          <w:b w:val="0"/>
          <w:bCs w:val="0"/>
          <w:sz w:val="22"/>
          <w:szCs w:val="22"/>
        </w:rPr>
        <w:t>zvýšili</w:t>
      </w:r>
      <w:r w:rsidR="00934804" w:rsidRPr="00C66720">
        <w:rPr>
          <w:b w:val="0"/>
          <w:bCs w:val="0"/>
          <w:sz w:val="22"/>
          <w:szCs w:val="22"/>
        </w:rPr>
        <w:t xml:space="preserve"> o</w:t>
      </w:r>
      <w:r w:rsidR="002F06EA" w:rsidRPr="00C66720">
        <w:rPr>
          <w:b w:val="0"/>
          <w:bCs w:val="0"/>
          <w:sz w:val="22"/>
          <w:szCs w:val="22"/>
        </w:rPr>
        <w:t> 5 379</w:t>
      </w:r>
      <w:r w:rsidR="00F42C81" w:rsidRPr="00C66720">
        <w:rPr>
          <w:b w:val="0"/>
          <w:bCs w:val="0"/>
          <w:sz w:val="22"/>
          <w:szCs w:val="22"/>
        </w:rPr>
        <w:t xml:space="preserve"> tis. eur</w:t>
      </w:r>
      <w:r w:rsidR="00934804" w:rsidRPr="00C66720">
        <w:rPr>
          <w:b w:val="0"/>
          <w:bCs w:val="0"/>
          <w:sz w:val="22"/>
          <w:szCs w:val="22"/>
        </w:rPr>
        <w:t>, a to z</w:t>
      </w:r>
      <w:r w:rsidR="002F06EA" w:rsidRPr="00C66720">
        <w:rPr>
          <w:b w:val="0"/>
          <w:bCs w:val="0"/>
          <w:sz w:val="22"/>
          <w:szCs w:val="22"/>
        </w:rPr>
        <w:t> 17 433</w:t>
      </w:r>
      <w:r w:rsidR="00934804" w:rsidRPr="00C66720">
        <w:rPr>
          <w:b w:val="0"/>
          <w:bCs w:val="0"/>
          <w:sz w:val="22"/>
          <w:szCs w:val="22"/>
        </w:rPr>
        <w:t xml:space="preserve"> tis. eur</w:t>
      </w:r>
      <w:r w:rsidR="00EB4BA6" w:rsidRPr="00C66720">
        <w:rPr>
          <w:b w:val="0"/>
          <w:bCs w:val="0"/>
          <w:sz w:val="22"/>
          <w:szCs w:val="22"/>
        </w:rPr>
        <w:t xml:space="preserve"> na </w:t>
      </w:r>
      <w:r w:rsidR="002F06EA" w:rsidRPr="00C66720">
        <w:rPr>
          <w:b w:val="0"/>
          <w:bCs w:val="0"/>
          <w:sz w:val="22"/>
          <w:szCs w:val="22"/>
        </w:rPr>
        <w:t>22 812</w:t>
      </w:r>
      <w:r w:rsidR="00062DB3" w:rsidRPr="00C66720">
        <w:rPr>
          <w:b w:val="0"/>
          <w:bCs w:val="0"/>
          <w:sz w:val="22"/>
          <w:szCs w:val="22"/>
        </w:rPr>
        <w:t xml:space="preserve"> tis. eur</w:t>
      </w:r>
      <w:r w:rsidR="00934804" w:rsidRPr="00C66720">
        <w:rPr>
          <w:b w:val="0"/>
          <w:bCs w:val="0"/>
          <w:sz w:val="22"/>
          <w:szCs w:val="22"/>
        </w:rPr>
        <w:t>.</w:t>
      </w:r>
      <w:r w:rsidR="00101DA0" w:rsidRPr="00C66720">
        <w:rPr>
          <w:b w:val="0"/>
          <w:bCs w:val="0"/>
          <w:sz w:val="22"/>
          <w:szCs w:val="22"/>
        </w:rPr>
        <w:t xml:space="preserve"> </w:t>
      </w:r>
      <w:r w:rsidR="002F06EA" w:rsidRPr="00C66720">
        <w:rPr>
          <w:b w:val="0"/>
          <w:bCs w:val="0"/>
          <w:sz w:val="22"/>
          <w:szCs w:val="22"/>
        </w:rPr>
        <w:t>Aj v</w:t>
      </w:r>
      <w:r w:rsidR="000E5A39" w:rsidRPr="00C66720">
        <w:rPr>
          <w:b w:val="0"/>
          <w:bCs w:val="0"/>
          <w:sz w:val="22"/>
          <w:szCs w:val="22"/>
        </w:rPr>
        <w:t> roku 202</w:t>
      </w:r>
      <w:r w:rsidR="002F06EA" w:rsidRPr="00C66720">
        <w:rPr>
          <w:b w:val="0"/>
          <w:bCs w:val="0"/>
          <w:sz w:val="22"/>
          <w:szCs w:val="22"/>
        </w:rPr>
        <w:t>2</w:t>
      </w:r>
      <w:r w:rsidR="00A01A11" w:rsidRPr="00C66720">
        <w:rPr>
          <w:b w:val="0"/>
          <w:bCs w:val="0"/>
          <w:sz w:val="22"/>
          <w:szCs w:val="22"/>
        </w:rPr>
        <w:t xml:space="preserve"> rozhodujúci podiel tvorili</w:t>
      </w:r>
      <w:r w:rsidR="002F06EA" w:rsidRPr="00C66720">
        <w:rPr>
          <w:b w:val="0"/>
          <w:bCs w:val="0"/>
          <w:sz w:val="22"/>
          <w:szCs w:val="22"/>
        </w:rPr>
        <w:t xml:space="preserve"> ústredná správa sumou 25 924 tis. eur a obce a ich organizácie, sumou 1 884 tis. eur. </w:t>
      </w:r>
      <w:r w:rsidR="004F4866" w:rsidRPr="00C66720">
        <w:rPr>
          <w:b w:val="0"/>
          <w:bCs w:val="0"/>
          <w:sz w:val="22"/>
          <w:szCs w:val="22"/>
        </w:rPr>
        <w:t>Záporný oceňovací rozdiel z precenenia majetku a záväzkov vykazujú ostatné subjekty verejnej správy v hodnote -</w:t>
      </w:r>
      <w:r w:rsidR="0054454F" w:rsidRPr="00C66720">
        <w:rPr>
          <w:b w:val="0"/>
          <w:bCs w:val="0"/>
          <w:sz w:val="22"/>
          <w:szCs w:val="22"/>
        </w:rPr>
        <w:t>4 093</w:t>
      </w:r>
      <w:r w:rsidR="004F4866" w:rsidRPr="00C66720">
        <w:rPr>
          <w:b w:val="0"/>
          <w:bCs w:val="0"/>
          <w:sz w:val="22"/>
          <w:szCs w:val="22"/>
        </w:rPr>
        <w:t xml:space="preserve"> tis. eur</w:t>
      </w:r>
      <w:r w:rsidR="000E5A39" w:rsidRPr="00C66720">
        <w:rPr>
          <w:b w:val="0"/>
          <w:bCs w:val="0"/>
          <w:sz w:val="22"/>
          <w:szCs w:val="22"/>
        </w:rPr>
        <w:t xml:space="preserve"> a vyššie územné celky v hodnote </w:t>
      </w:r>
      <w:r w:rsidR="007A6A57">
        <w:rPr>
          <w:b w:val="0"/>
          <w:bCs w:val="0"/>
          <w:sz w:val="22"/>
          <w:szCs w:val="22"/>
        </w:rPr>
        <w:t>-</w:t>
      </w:r>
      <w:r w:rsidR="0054454F" w:rsidRPr="00C66720">
        <w:rPr>
          <w:b w:val="0"/>
          <w:bCs w:val="0"/>
          <w:sz w:val="22"/>
          <w:szCs w:val="22"/>
        </w:rPr>
        <w:t>903</w:t>
      </w:r>
      <w:r w:rsidR="000E5A39" w:rsidRPr="00C66720">
        <w:rPr>
          <w:b w:val="0"/>
          <w:bCs w:val="0"/>
          <w:sz w:val="22"/>
          <w:szCs w:val="22"/>
        </w:rPr>
        <w:t xml:space="preserve"> tis. eur</w:t>
      </w:r>
      <w:r w:rsidR="004F4866" w:rsidRPr="00C66720">
        <w:rPr>
          <w:b w:val="0"/>
          <w:bCs w:val="0"/>
          <w:sz w:val="22"/>
          <w:szCs w:val="22"/>
        </w:rPr>
        <w:t>.</w:t>
      </w:r>
    </w:p>
    <w:p w14:paraId="25C5029F" w14:textId="77777777" w:rsidR="00F81816" w:rsidRPr="00C66720" w:rsidRDefault="00F81816" w:rsidP="008F097E">
      <w:pPr>
        <w:spacing w:after="0" w:line="240" w:lineRule="auto"/>
        <w:rPr>
          <w:rFonts w:ascii="Times New Roman" w:hAnsi="Times New Roman"/>
          <w:b/>
          <w:color w:val="FF0000"/>
          <w:sz w:val="24"/>
          <w:szCs w:val="24"/>
          <w:highlight w:val="yellow"/>
          <w:lang w:eastAsia="sk-SK"/>
        </w:rPr>
      </w:pPr>
    </w:p>
    <w:p w14:paraId="120264E8" w14:textId="77777777" w:rsidR="00666F99" w:rsidRPr="00C66720" w:rsidRDefault="00FE63D0" w:rsidP="00637457">
      <w:pPr>
        <w:pStyle w:val="Pismenka"/>
        <w:tabs>
          <w:tab w:val="clear" w:pos="426"/>
        </w:tabs>
        <w:spacing w:after="200"/>
        <w:ind w:left="0" w:firstLine="0"/>
        <w:rPr>
          <w:bCs w:val="0"/>
          <w:sz w:val="24"/>
          <w:szCs w:val="24"/>
        </w:rPr>
      </w:pPr>
      <w:r w:rsidRPr="00C66720">
        <w:rPr>
          <w:bCs w:val="0"/>
          <w:sz w:val="24"/>
          <w:szCs w:val="24"/>
        </w:rPr>
        <w:t>A.II</w:t>
      </w:r>
      <w:r w:rsidR="00666F99" w:rsidRPr="00C66720">
        <w:rPr>
          <w:bCs w:val="0"/>
          <w:sz w:val="24"/>
          <w:szCs w:val="24"/>
        </w:rPr>
        <w:t>. Výsledok hospodárenia</w:t>
      </w:r>
    </w:p>
    <w:p w14:paraId="00E5D547" w14:textId="5C45FDEF" w:rsidR="00F225E4" w:rsidRPr="00C66720" w:rsidRDefault="009270BF" w:rsidP="00637457">
      <w:pPr>
        <w:pStyle w:val="Pismenka"/>
        <w:tabs>
          <w:tab w:val="clear" w:pos="426"/>
        </w:tabs>
        <w:spacing w:after="120"/>
        <w:ind w:left="0" w:firstLine="0"/>
        <w:rPr>
          <w:b w:val="0"/>
          <w:bCs w:val="0"/>
          <w:color w:val="FF0000"/>
          <w:sz w:val="22"/>
          <w:szCs w:val="22"/>
          <w:highlight w:val="yellow"/>
        </w:rPr>
      </w:pPr>
      <w:r w:rsidRPr="00C66720">
        <w:rPr>
          <w:b w:val="0"/>
          <w:bCs w:val="0"/>
          <w:sz w:val="22"/>
          <w:szCs w:val="22"/>
        </w:rPr>
        <w:t xml:space="preserve">Výsledok hospodárenia </w:t>
      </w:r>
      <w:r w:rsidR="00C45B8D" w:rsidRPr="00C66720">
        <w:rPr>
          <w:b w:val="0"/>
          <w:bCs w:val="0"/>
          <w:sz w:val="22"/>
          <w:szCs w:val="22"/>
        </w:rPr>
        <w:t xml:space="preserve">v sume </w:t>
      </w:r>
      <w:r w:rsidR="005415E0" w:rsidRPr="00C66720">
        <w:rPr>
          <w:b w:val="0"/>
          <w:bCs w:val="0"/>
          <w:sz w:val="22"/>
          <w:szCs w:val="22"/>
        </w:rPr>
        <w:t>-</w:t>
      </w:r>
      <w:r w:rsidR="00B10385" w:rsidRPr="00C66720">
        <w:rPr>
          <w:b w:val="0"/>
          <w:bCs w:val="0"/>
          <w:sz w:val="22"/>
          <w:szCs w:val="22"/>
        </w:rPr>
        <w:t>36 287 760</w:t>
      </w:r>
      <w:r w:rsidR="00F53EF1" w:rsidRPr="00C66720">
        <w:rPr>
          <w:b w:val="0"/>
          <w:bCs w:val="0"/>
          <w:sz w:val="22"/>
          <w:szCs w:val="22"/>
        </w:rPr>
        <w:t xml:space="preserve"> tis. eur </w:t>
      </w:r>
      <w:r w:rsidRPr="00C66720">
        <w:rPr>
          <w:b w:val="0"/>
          <w:bCs w:val="0"/>
          <w:sz w:val="22"/>
          <w:szCs w:val="22"/>
        </w:rPr>
        <w:t xml:space="preserve">je tvorený výsledkom </w:t>
      </w:r>
      <w:r w:rsidR="00F53EF1" w:rsidRPr="00C66720">
        <w:rPr>
          <w:b w:val="0"/>
          <w:bCs w:val="0"/>
          <w:sz w:val="22"/>
          <w:szCs w:val="22"/>
        </w:rPr>
        <w:t xml:space="preserve">hospodárenia </w:t>
      </w:r>
      <w:r w:rsidRPr="00C66720">
        <w:rPr>
          <w:b w:val="0"/>
          <w:bCs w:val="0"/>
          <w:sz w:val="22"/>
          <w:szCs w:val="22"/>
        </w:rPr>
        <w:t xml:space="preserve">za bežné účtovné obdobie vo výške </w:t>
      </w:r>
      <w:r w:rsidR="00B10385" w:rsidRPr="00C66720">
        <w:rPr>
          <w:b w:val="0"/>
          <w:bCs w:val="0"/>
          <w:sz w:val="22"/>
          <w:szCs w:val="22"/>
        </w:rPr>
        <w:t>12 974 720</w:t>
      </w:r>
      <w:r w:rsidR="005323D9" w:rsidRPr="00C66720">
        <w:rPr>
          <w:b w:val="0"/>
          <w:bCs w:val="0"/>
          <w:sz w:val="22"/>
          <w:szCs w:val="22"/>
        </w:rPr>
        <w:t xml:space="preserve"> ti</w:t>
      </w:r>
      <w:r w:rsidR="00973D6E" w:rsidRPr="00C66720">
        <w:rPr>
          <w:b w:val="0"/>
          <w:bCs w:val="0"/>
          <w:sz w:val="22"/>
          <w:szCs w:val="22"/>
        </w:rPr>
        <w:t>s.</w:t>
      </w:r>
      <w:r w:rsidRPr="00C66720">
        <w:rPr>
          <w:b w:val="0"/>
          <w:bCs w:val="0"/>
          <w:sz w:val="22"/>
          <w:szCs w:val="22"/>
        </w:rPr>
        <w:t xml:space="preserve"> eur a výsledkom hospodárenia </w:t>
      </w:r>
      <w:r w:rsidR="00DD260C" w:rsidRPr="00C66720">
        <w:rPr>
          <w:b w:val="0"/>
          <w:bCs w:val="0"/>
          <w:sz w:val="22"/>
          <w:szCs w:val="22"/>
        </w:rPr>
        <w:t>minulých období (vytvorených</w:t>
      </w:r>
      <w:r w:rsidRPr="00C66720">
        <w:rPr>
          <w:b w:val="0"/>
          <w:bCs w:val="0"/>
          <w:sz w:val="22"/>
          <w:szCs w:val="22"/>
        </w:rPr>
        <w:t xml:space="preserve"> v minulých rokoch</w:t>
      </w:r>
      <w:r w:rsidR="00DD260C" w:rsidRPr="00C66720">
        <w:rPr>
          <w:b w:val="0"/>
          <w:bCs w:val="0"/>
          <w:sz w:val="22"/>
          <w:szCs w:val="22"/>
        </w:rPr>
        <w:t xml:space="preserve">) </w:t>
      </w:r>
      <w:r w:rsidR="00C45B8D" w:rsidRPr="00C66720">
        <w:rPr>
          <w:b w:val="0"/>
          <w:bCs w:val="0"/>
          <w:sz w:val="22"/>
          <w:szCs w:val="22"/>
        </w:rPr>
        <w:t xml:space="preserve">v hodnote </w:t>
      </w:r>
      <w:r w:rsidR="005415E0" w:rsidRPr="00C66720">
        <w:rPr>
          <w:b w:val="0"/>
          <w:bCs w:val="0"/>
          <w:sz w:val="22"/>
          <w:szCs w:val="22"/>
        </w:rPr>
        <w:t>-</w:t>
      </w:r>
      <w:r w:rsidR="00B10385" w:rsidRPr="00C66720">
        <w:rPr>
          <w:b w:val="0"/>
          <w:bCs w:val="0"/>
          <w:sz w:val="22"/>
          <w:szCs w:val="22"/>
        </w:rPr>
        <w:t>49 262 480</w:t>
      </w:r>
      <w:r w:rsidR="00945761" w:rsidRPr="00C66720">
        <w:rPr>
          <w:b w:val="0"/>
          <w:bCs w:val="0"/>
          <w:sz w:val="22"/>
          <w:szCs w:val="22"/>
        </w:rPr>
        <w:t xml:space="preserve"> </w:t>
      </w:r>
      <w:r w:rsidR="00973D6E" w:rsidRPr="00C66720">
        <w:rPr>
          <w:b w:val="0"/>
          <w:bCs w:val="0"/>
          <w:sz w:val="22"/>
          <w:szCs w:val="22"/>
        </w:rPr>
        <w:t>tis.</w:t>
      </w:r>
      <w:r w:rsidRPr="00C66720">
        <w:rPr>
          <w:b w:val="0"/>
          <w:bCs w:val="0"/>
          <w:sz w:val="22"/>
          <w:szCs w:val="22"/>
        </w:rPr>
        <w:t xml:space="preserve"> eur.</w:t>
      </w:r>
      <w:r w:rsidR="001358BA" w:rsidRPr="00C66720">
        <w:rPr>
          <w:b w:val="0"/>
          <w:bCs w:val="0"/>
          <w:sz w:val="22"/>
          <w:szCs w:val="22"/>
        </w:rPr>
        <w:t xml:space="preserve"> </w:t>
      </w:r>
    </w:p>
    <w:p w14:paraId="48CAEB27" w14:textId="692FAD55" w:rsidR="00420397" w:rsidRPr="00C66720" w:rsidRDefault="00420397" w:rsidP="002E50EF">
      <w:pPr>
        <w:pStyle w:val="Pismenka"/>
        <w:numPr>
          <w:ilvl w:val="0"/>
          <w:numId w:val="44"/>
        </w:numPr>
        <w:spacing w:before="240" w:after="120"/>
        <w:ind w:left="284" w:hanging="284"/>
        <w:rPr>
          <w:i/>
          <w:sz w:val="22"/>
          <w:szCs w:val="22"/>
          <w:u w:val="single"/>
        </w:rPr>
      </w:pPr>
      <w:bookmarkStart w:id="32" w:name="_Ref86092105"/>
      <w:r w:rsidRPr="00C66720">
        <w:rPr>
          <w:i/>
          <w:sz w:val="22"/>
          <w:szCs w:val="22"/>
          <w:u w:val="single"/>
        </w:rPr>
        <w:t>Nevysporiadaný výsledok hospodárenia minulých rokov</w:t>
      </w:r>
      <w:bookmarkEnd w:id="32"/>
    </w:p>
    <w:p w14:paraId="6BF83035" w14:textId="68A007FE" w:rsidR="00EE3DF0" w:rsidRPr="00C66720" w:rsidRDefault="00F225E4" w:rsidP="00637457">
      <w:pPr>
        <w:pStyle w:val="Pismenka"/>
        <w:tabs>
          <w:tab w:val="clear" w:pos="426"/>
        </w:tabs>
        <w:spacing w:after="120"/>
        <w:ind w:left="0" w:firstLine="0"/>
        <w:rPr>
          <w:b w:val="0"/>
          <w:bCs w:val="0"/>
          <w:color w:val="FF0000"/>
          <w:sz w:val="22"/>
          <w:szCs w:val="22"/>
          <w:highlight w:val="yellow"/>
        </w:rPr>
      </w:pPr>
      <w:r w:rsidRPr="00C66720">
        <w:rPr>
          <w:b w:val="0"/>
          <w:bCs w:val="0"/>
          <w:sz w:val="22"/>
          <w:szCs w:val="22"/>
        </w:rPr>
        <w:t xml:space="preserve">Výsledok hospodárenia minulých rokov </w:t>
      </w:r>
      <w:r w:rsidR="00D17559" w:rsidRPr="00C66720">
        <w:rPr>
          <w:b w:val="0"/>
          <w:bCs w:val="0"/>
          <w:sz w:val="22"/>
          <w:szCs w:val="22"/>
        </w:rPr>
        <w:t>bez vplyvu položky fondov dosiahol hodnotu</w:t>
      </w:r>
      <w:r w:rsidR="00D17559" w:rsidRPr="00C66720">
        <w:rPr>
          <w:b w:val="0"/>
          <w:bCs w:val="0"/>
          <w:sz w:val="22"/>
          <w:szCs w:val="22"/>
        </w:rPr>
        <w:br/>
      </w:r>
      <w:r w:rsidR="005A617A" w:rsidRPr="00C66720">
        <w:rPr>
          <w:b w:val="0"/>
          <w:bCs w:val="0"/>
          <w:sz w:val="22"/>
          <w:szCs w:val="22"/>
        </w:rPr>
        <w:t>-</w:t>
      </w:r>
      <w:r w:rsidR="00D534EA" w:rsidRPr="00C66720">
        <w:rPr>
          <w:b w:val="0"/>
          <w:bCs w:val="0"/>
          <w:sz w:val="22"/>
          <w:szCs w:val="22"/>
        </w:rPr>
        <w:t>49 262 480</w:t>
      </w:r>
      <w:r w:rsidR="004F37CC" w:rsidRPr="00C66720">
        <w:rPr>
          <w:b w:val="0"/>
          <w:bCs w:val="0"/>
          <w:sz w:val="22"/>
          <w:szCs w:val="22"/>
        </w:rPr>
        <w:t xml:space="preserve"> tis. eur </w:t>
      </w:r>
      <w:r w:rsidR="005A617A" w:rsidRPr="00C66720">
        <w:rPr>
          <w:b w:val="0"/>
          <w:bCs w:val="0"/>
          <w:sz w:val="22"/>
          <w:szCs w:val="22"/>
        </w:rPr>
        <w:t xml:space="preserve">a medziročne sa </w:t>
      </w:r>
      <w:r w:rsidR="000A1BBF" w:rsidRPr="00C66720">
        <w:rPr>
          <w:b w:val="0"/>
          <w:bCs w:val="0"/>
          <w:sz w:val="22"/>
          <w:szCs w:val="22"/>
        </w:rPr>
        <w:t>zhoršil</w:t>
      </w:r>
      <w:r w:rsidR="004F37CC" w:rsidRPr="00C66720">
        <w:rPr>
          <w:b w:val="0"/>
          <w:bCs w:val="0"/>
          <w:sz w:val="22"/>
          <w:szCs w:val="22"/>
        </w:rPr>
        <w:t xml:space="preserve"> o</w:t>
      </w:r>
      <w:r w:rsidR="00284F6D" w:rsidRPr="00C66720">
        <w:rPr>
          <w:b w:val="0"/>
          <w:bCs w:val="0"/>
          <w:sz w:val="22"/>
          <w:szCs w:val="22"/>
        </w:rPr>
        <w:t xml:space="preserve"> 5 210 124 </w:t>
      </w:r>
      <w:r w:rsidR="004F37CC" w:rsidRPr="00C66720">
        <w:rPr>
          <w:b w:val="0"/>
          <w:bCs w:val="0"/>
          <w:sz w:val="22"/>
          <w:szCs w:val="22"/>
        </w:rPr>
        <w:t>tis. eur</w:t>
      </w:r>
      <w:r w:rsidR="00186B1F" w:rsidRPr="00C66720">
        <w:rPr>
          <w:b w:val="0"/>
          <w:bCs w:val="0"/>
          <w:sz w:val="22"/>
          <w:szCs w:val="22"/>
        </w:rPr>
        <w:t xml:space="preserve">. </w:t>
      </w:r>
      <w:r w:rsidR="00F229EC" w:rsidRPr="00C66720">
        <w:rPr>
          <w:b w:val="0"/>
          <w:bCs w:val="0"/>
          <w:sz w:val="22"/>
          <w:szCs w:val="22"/>
        </w:rPr>
        <w:t>Na tejto po</w:t>
      </w:r>
      <w:r w:rsidR="00284F6D" w:rsidRPr="00C66720">
        <w:rPr>
          <w:b w:val="0"/>
          <w:bCs w:val="0"/>
          <w:sz w:val="22"/>
          <w:szCs w:val="22"/>
        </w:rPr>
        <w:t>ložke sa za rok 2022</w:t>
      </w:r>
      <w:r w:rsidR="00F229EC" w:rsidRPr="00C66720">
        <w:rPr>
          <w:b w:val="0"/>
          <w:bCs w:val="0"/>
          <w:sz w:val="22"/>
          <w:szCs w:val="22"/>
        </w:rPr>
        <w:t xml:space="preserve"> vykazuje najmä prevod výsledku hospodárenia za predchádzajúce obdobie</w:t>
      </w:r>
      <w:r w:rsidR="000A1BBF" w:rsidRPr="00C66720">
        <w:rPr>
          <w:b w:val="0"/>
          <w:bCs w:val="0"/>
          <w:sz w:val="22"/>
          <w:szCs w:val="22"/>
        </w:rPr>
        <w:t xml:space="preserve"> </w:t>
      </w:r>
      <w:r w:rsidR="00284F6D" w:rsidRPr="00C66720">
        <w:rPr>
          <w:b w:val="0"/>
          <w:bCs w:val="0"/>
          <w:sz w:val="22"/>
          <w:szCs w:val="22"/>
        </w:rPr>
        <w:t>(za rok 2021</w:t>
      </w:r>
      <w:r w:rsidR="00F229EC" w:rsidRPr="00C66720">
        <w:rPr>
          <w:b w:val="0"/>
          <w:bCs w:val="0"/>
          <w:sz w:val="22"/>
          <w:szCs w:val="22"/>
        </w:rPr>
        <w:t xml:space="preserve"> to bolo</w:t>
      </w:r>
      <w:r w:rsidR="001C1EA1" w:rsidRPr="00C66720">
        <w:rPr>
          <w:b w:val="0"/>
          <w:bCs w:val="0"/>
          <w:color w:val="FF0000"/>
          <w:sz w:val="22"/>
          <w:szCs w:val="22"/>
          <w:highlight w:val="yellow"/>
        </w:rPr>
        <w:br/>
      </w:r>
      <w:r w:rsidR="00AA0217" w:rsidRPr="00C66720">
        <w:rPr>
          <w:b w:val="0"/>
          <w:bCs w:val="0"/>
          <w:sz w:val="22"/>
          <w:szCs w:val="22"/>
        </w:rPr>
        <w:t>-</w:t>
      </w:r>
      <w:r w:rsidR="00284F6D" w:rsidRPr="00C66720">
        <w:rPr>
          <w:b w:val="0"/>
          <w:bCs w:val="0"/>
          <w:sz w:val="22"/>
          <w:szCs w:val="22"/>
        </w:rPr>
        <w:t>6 244 813</w:t>
      </w:r>
      <w:r w:rsidR="00F229EC" w:rsidRPr="00C66720">
        <w:rPr>
          <w:b w:val="0"/>
          <w:bCs w:val="0"/>
          <w:sz w:val="22"/>
          <w:szCs w:val="22"/>
        </w:rPr>
        <w:t xml:space="preserve"> tis. eur, čo bol </w:t>
      </w:r>
      <w:r w:rsidR="00284F6D" w:rsidRPr="00C66720">
        <w:rPr>
          <w:b w:val="0"/>
          <w:bCs w:val="0"/>
          <w:sz w:val="22"/>
          <w:szCs w:val="22"/>
        </w:rPr>
        <w:t>lepší výsledok ako v roku 2020</w:t>
      </w:r>
      <w:r w:rsidR="00F229EC" w:rsidRPr="00C66720">
        <w:rPr>
          <w:b w:val="0"/>
          <w:bCs w:val="0"/>
          <w:sz w:val="22"/>
          <w:szCs w:val="22"/>
        </w:rPr>
        <w:t>, o</w:t>
      </w:r>
      <w:r w:rsidR="00284F6D" w:rsidRPr="00C66720">
        <w:rPr>
          <w:b w:val="0"/>
          <w:bCs w:val="0"/>
          <w:sz w:val="22"/>
          <w:szCs w:val="22"/>
        </w:rPr>
        <w:t> 947 808</w:t>
      </w:r>
      <w:r w:rsidR="008C48F9" w:rsidRPr="00C66720">
        <w:rPr>
          <w:b w:val="0"/>
          <w:bCs w:val="0"/>
          <w:sz w:val="22"/>
          <w:szCs w:val="22"/>
        </w:rPr>
        <w:t xml:space="preserve"> tis. eur). </w:t>
      </w:r>
    </w:p>
    <w:p w14:paraId="5E872D1E" w14:textId="22B22CCC" w:rsidR="00903829" w:rsidRPr="00C66720" w:rsidRDefault="00107FCF" w:rsidP="00637457">
      <w:pPr>
        <w:pStyle w:val="Pismenka"/>
        <w:tabs>
          <w:tab w:val="clear" w:pos="426"/>
        </w:tabs>
        <w:spacing w:after="120"/>
        <w:ind w:left="0" w:firstLine="0"/>
        <w:rPr>
          <w:b w:val="0"/>
          <w:bCs w:val="0"/>
          <w:sz w:val="22"/>
          <w:szCs w:val="22"/>
        </w:rPr>
      </w:pPr>
      <w:r w:rsidRPr="00C66720">
        <w:rPr>
          <w:b w:val="0"/>
          <w:bCs w:val="0"/>
          <w:sz w:val="22"/>
          <w:szCs w:val="22"/>
        </w:rPr>
        <w:t>Vykazovanie fondov v rámci výsledku hospodárenia platí pre subjekty, ktoré sa</w:t>
      </w:r>
      <w:r w:rsidR="00AE5FBE" w:rsidRPr="00C66720">
        <w:rPr>
          <w:b w:val="0"/>
          <w:bCs w:val="0"/>
          <w:sz w:val="22"/>
          <w:szCs w:val="22"/>
        </w:rPr>
        <w:t xml:space="preserve"> prispôsobujú postupom účtovania pre rozpočtové a príspevkové organizácie. Z tohto dôvodu sú vo výsledku hospodárenia minulých rokov agregované aj všetky kapitálové fondy, fondy tvorené zo zisku a ostatné fondy obchodných spoločností,</w:t>
      </w:r>
      <w:r w:rsidR="007755F0" w:rsidRPr="00C66720">
        <w:rPr>
          <w:b w:val="0"/>
          <w:bCs w:val="0"/>
          <w:sz w:val="22"/>
          <w:szCs w:val="22"/>
        </w:rPr>
        <w:t xml:space="preserve"> neziskových organizácií, verejnoprávnych inštitúcií (ako napríklad verejné vysoké školy)</w:t>
      </w:r>
      <w:r w:rsidR="0038230B" w:rsidRPr="00C66720">
        <w:rPr>
          <w:b w:val="0"/>
          <w:bCs w:val="0"/>
          <w:sz w:val="22"/>
          <w:szCs w:val="22"/>
        </w:rPr>
        <w:t>,</w:t>
      </w:r>
      <w:r w:rsidR="007755F0" w:rsidRPr="00C66720">
        <w:rPr>
          <w:b w:val="0"/>
          <w:bCs w:val="0"/>
          <w:sz w:val="22"/>
          <w:szCs w:val="22"/>
        </w:rPr>
        <w:t> záujmových združení v súhrnnom celku</w:t>
      </w:r>
      <w:r w:rsidR="00AE5FBE" w:rsidRPr="00C66720">
        <w:rPr>
          <w:b w:val="0"/>
          <w:bCs w:val="0"/>
          <w:sz w:val="22"/>
          <w:szCs w:val="22"/>
        </w:rPr>
        <w:t xml:space="preserve"> v prípade, že neboli predmetom eliminácií. </w:t>
      </w:r>
      <w:r w:rsidR="00C77C13" w:rsidRPr="00C66720">
        <w:rPr>
          <w:b w:val="0"/>
          <w:bCs w:val="0"/>
          <w:sz w:val="22"/>
          <w:szCs w:val="22"/>
        </w:rPr>
        <w:t xml:space="preserve">Tieto položky zlepšujú výsledok hospodárenia, nakoľko fondy z podstaty ich tvorby a použitia nemajú záporný zostatok. </w:t>
      </w:r>
      <w:r w:rsidR="008C5E61" w:rsidRPr="00C66720">
        <w:rPr>
          <w:b w:val="0"/>
          <w:bCs w:val="0"/>
          <w:sz w:val="22"/>
          <w:szCs w:val="22"/>
        </w:rPr>
        <w:t>Ich hodnota k</w:t>
      </w:r>
      <w:r w:rsidR="0069214D" w:rsidRPr="00C66720">
        <w:rPr>
          <w:b w:val="0"/>
          <w:bCs w:val="0"/>
          <w:sz w:val="22"/>
          <w:szCs w:val="22"/>
        </w:rPr>
        <w:t> </w:t>
      </w:r>
      <w:r w:rsidR="001D6A03" w:rsidRPr="00C66720">
        <w:rPr>
          <w:b w:val="0"/>
          <w:bCs w:val="0"/>
          <w:sz w:val="22"/>
          <w:szCs w:val="22"/>
        </w:rPr>
        <w:t>31.12.2022</w:t>
      </w:r>
      <w:r w:rsidR="00C77C13" w:rsidRPr="00C66720">
        <w:rPr>
          <w:b w:val="0"/>
          <w:bCs w:val="0"/>
          <w:sz w:val="22"/>
          <w:szCs w:val="22"/>
        </w:rPr>
        <w:t xml:space="preserve"> bola </w:t>
      </w:r>
      <w:r w:rsidR="008C5E61" w:rsidRPr="00C66720">
        <w:rPr>
          <w:b w:val="0"/>
          <w:bCs w:val="0"/>
          <w:sz w:val="22"/>
          <w:szCs w:val="22"/>
        </w:rPr>
        <w:t>4</w:t>
      </w:r>
      <w:r w:rsidR="001D6A03" w:rsidRPr="00C66720">
        <w:rPr>
          <w:b w:val="0"/>
          <w:bCs w:val="0"/>
          <w:sz w:val="22"/>
          <w:szCs w:val="22"/>
        </w:rPr>
        <w:t> 431 155</w:t>
      </w:r>
      <w:r w:rsidR="00C77C13" w:rsidRPr="00C66720">
        <w:rPr>
          <w:b w:val="0"/>
          <w:bCs w:val="0"/>
          <w:sz w:val="22"/>
          <w:szCs w:val="22"/>
        </w:rPr>
        <w:t xml:space="preserve"> tis. eur, pričom </w:t>
      </w:r>
      <w:r w:rsidR="006D1AFF" w:rsidRPr="00C66720">
        <w:rPr>
          <w:b w:val="0"/>
          <w:bCs w:val="0"/>
          <w:sz w:val="22"/>
          <w:szCs w:val="22"/>
        </w:rPr>
        <w:t>boli medziročne vyššie</w:t>
      </w:r>
      <w:r w:rsidR="006D1AFF" w:rsidRPr="00C66720">
        <w:rPr>
          <w:b w:val="0"/>
          <w:bCs w:val="0"/>
          <w:sz w:val="22"/>
          <w:szCs w:val="22"/>
        </w:rPr>
        <w:br/>
      </w:r>
      <w:r w:rsidR="00C77C13" w:rsidRPr="00C66720">
        <w:rPr>
          <w:b w:val="0"/>
          <w:bCs w:val="0"/>
          <w:sz w:val="22"/>
          <w:szCs w:val="22"/>
        </w:rPr>
        <w:t>o</w:t>
      </w:r>
      <w:r w:rsidR="008C5E61" w:rsidRPr="00C66720">
        <w:rPr>
          <w:b w:val="0"/>
          <w:bCs w:val="0"/>
          <w:sz w:val="22"/>
          <w:szCs w:val="22"/>
        </w:rPr>
        <w:t xml:space="preserve"> </w:t>
      </w:r>
      <w:r w:rsidR="00CF620A" w:rsidRPr="00C66720">
        <w:rPr>
          <w:b w:val="0"/>
          <w:bCs w:val="0"/>
          <w:sz w:val="22"/>
          <w:szCs w:val="22"/>
        </w:rPr>
        <w:t>61 464</w:t>
      </w:r>
      <w:r w:rsidR="00C77C13" w:rsidRPr="00C66720">
        <w:rPr>
          <w:b w:val="0"/>
          <w:bCs w:val="0"/>
          <w:sz w:val="22"/>
          <w:szCs w:val="22"/>
        </w:rPr>
        <w:t xml:space="preserve"> tis. eur. Na tomto zvýšení sa podieľa najmä prírastok fondov </w:t>
      </w:r>
      <w:r w:rsidR="00903829" w:rsidRPr="00C66720">
        <w:rPr>
          <w:b w:val="0"/>
          <w:bCs w:val="0"/>
          <w:sz w:val="22"/>
          <w:szCs w:val="22"/>
        </w:rPr>
        <w:t>ostatných subjektov verejnej správy o</w:t>
      </w:r>
      <w:r w:rsidR="00810F05" w:rsidRPr="00C66720">
        <w:rPr>
          <w:b w:val="0"/>
          <w:bCs w:val="0"/>
          <w:sz w:val="22"/>
          <w:szCs w:val="22"/>
        </w:rPr>
        <w:t> 74 035</w:t>
      </w:r>
      <w:r w:rsidR="00903829" w:rsidRPr="00C66720">
        <w:rPr>
          <w:b w:val="0"/>
          <w:bCs w:val="0"/>
          <w:sz w:val="22"/>
          <w:szCs w:val="22"/>
        </w:rPr>
        <w:t xml:space="preserve"> tis. eur (v tom prírastok ostatných fondov predstavuje </w:t>
      </w:r>
      <w:r w:rsidR="00810F05" w:rsidRPr="00C66720">
        <w:rPr>
          <w:b w:val="0"/>
          <w:bCs w:val="0"/>
          <w:sz w:val="22"/>
          <w:szCs w:val="22"/>
        </w:rPr>
        <w:t>58 299</w:t>
      </w:r>
      <w:r w:rsidR="00903829" w:rsidRPr="00C66720">
        <w:rPr>
          <w:b w:val="0"/>
          <w:bCs w:val="0"/>
          <w:sz w:val="22"/>
          <w:szCs w:val="22"/>
        </w:rPr>
        <w:t xml:space="preserve"> tis. eur a zákonného rezervného fondu </w:t>
      </w:r>
      <w:r w:rsidR="00810F05" w:rsidRPr="00C66720">
        <w:rPr>
          <w:b w:val="0"/>
          <w:bCs w:val="0"/>
          <w:sz w:val="22"/>
          <w:szCs w:val="22"/>
        </w:rPr>
        <w:t>15 736</w:t>
      </w:r>
      <w:r w:rsidR="00903829" w:rsidRPr="00C66720">
        <w:rPr>
          <w:b w:val="0"/>
          <w:bCs w:val="0"/>
          <w:sz w:val="22"/>
          <w:szCs w:val="22"/>
        </w:rPr>
        <w:t xml:space="preserve"> tis. eur).</w:t>
      </w:r>
      <w:r w:rsidR="002A4CD2" w:rsidRPr="00C66720">
        <w:rPr>
          <w:b w:val="0"/>
          <w:bCs w:val="0"/>
          <w:sz w:val="22"/>
          <w:szCs w:val="22"/>
        </w:rPr>
        <w:t xml:space="preserve"> </w:t>
      </w:r>
      <w:r w:rsidR="0023435A" w:rsidRPr="00C66720">
        <w:rPr>
          <w:b w:val="0"/>
          <w:bCs w:val="0"/>
          <w:sz w:val="22"/>
          <w:szCs w:val="22"/>
        </w:rPr>
        <w:t xml:space="preserve">Najvyšší prírastok ostatných fondov vykazuje Agentúra pre núdzové zásoby ropy a ropných výrobkov </w:t>
      </w:r>
      <w:r w:rsidR="001826BF" w:rsidRPr="00C66720">
        <w:rPr>
          <w:b w:val="0"/>
          <w:bCs w:val="0"/>
          <w:sz w:val="22"/>
          <w:szCs w:val="22"/>
        </w:rPr>
        <w:t xml:space="preserve">(o 46 634 tis. eur) </w:t>
      </w:r>
      <w:r w:rsidR="0023435A" w:rsidRPr="00C66720">
        <w:rPr>
          <w:b w:val="0"/>
          <w:bCs w:val="0"/>
          <w:sz w:val="22"/>
          <w:szCs w:val="22"/>
        </w:rPr>
        <w:t>z dôvodu presunu v</w:t>
      </w:r>
      <w:r w:rsidR="001826BF" w:rsidRPr="00C66720">
        <w:rPr>
          <w:b w:val="0"/>
          <w:bCs w:val="0"/>
          <w:sz w:val="22"/>
          <w:szCs w:val="22"/>
        </w:rPr>
        <w:t>ýsledku hospodárenia za rok 2021</w:t>
      </w:r>
      <w:r w:rsidR="0023435A" w:rsidRPr="00C66720">
        <w:rPr>
          <w:b w:val="0"/>
          <w:bCs w:val="0"/>
          <w:sz w:val="22"/>
          <w:szCs w:val="22"/>
        </w:rPr>
        <w:t xml:space="preserve"> do fondov.</w:t>
      </w:r>
    </w:p>
    <w:p w14:paraId="0834F58B" w14:textId="5C4F7F52" w:rsidR="009B4139" w:rsidRPr="00C66720" w:rsidRDefault="0038230B" w:rsidP="00695B2C">
      <w:pPr>
        <w:pStyle w:val="Pismenka"/>
        <w:tabs>
          <w:tab w:val="clear" w:pos="426"/>
        </w:tabs>
        <w:spacing w:after="120"/>
        <w:ind w:left="0" w:firstLine="0"/>
        <w:rPr>
          <w:b w:val="0"/>
          <w:bCs w:val="0"/>
          <w:sz w:val="22"/>
          <w:szCs w:val="22"/>
        </w:rPr>
      </w:pPr>
      <w:r w:rsidRPr="00C66720">
        <w:rPr>
          <w:b w:val="0"/>
          <w:bCs w:val="0"/>
          <w:sz w:val="22"/>
          <w:szCs w:val="22"/>
        </w:rPr>
        <w:lastRenderedPageBreak/>
        <w:t>Najvýznamnejšou položkou sú fondy štátnych rozpočtových organizácií (ministerstiev), ktoré evidujú v kapitálových fondoch hodnotu kmeňové</w:t>
      </w:r>
      <w:r w:rsidR="00C77C13" w:rsidRPr="00C66720">
        <w:rPr>
          <w:b w:val="0"/>
          <w:bCs w:val="0"/>
          <w:sz w:val="22"/>
          <w:szCs w:val="22"/>
        </w:rPr>
        <w:t>ho imania v štátnych podnikoch (3</w:t>
      </w:r>
      <w:r w:rsidR="0002527A" w:rsidRPr="00C66720">
        <w:rPr>
          <w:b w:val="0"/>
          <w:bCs w:val="0"/>
          <w:sz w:val="22"/>
          <w:szCs w:val="22"/>
        </w:rPr>
        <w:t> 038 888</w:t>
      </w:r>
      <w:r w:rsidR="00C77C13" w:rsidRPr="00C66720">
        <w:rPr>
          <w:b w:val="0"/>
          <w:bCs w:val="0"/>
          <w:sz w:val="22"/>
          <w:szCs w:val="22"/>
        </w:rPr>
        <w:t xml:space="preserve"> tis. eur)</w:t>
      </w:r>
      <w:r w:rsidR="005B126C" w:rsidRPr="00C66720">
        <w:rPr>
          <w:b w:val="0"/>
          <w:bCs w:val="0"/>
          <w:sz w:val="22"/>
          <w:szCs w:val="22"/>
        </w:rPr>
        <w:t>.</w:t>
      </w:r>
      <w:r w:rsidR="000565AA" w:rsidRPr="00C66720">
        <w:rPr>
          <w:b w:val="0"/>
          <w:bCs w:val="0"/>
          <w:sz w:val="22"/>
          <w:szCs w:val="22"/>
        </w:rPr>
        <w:t xml:space="preserve"> Medziročne došlo k ich poklesu o</w:t>
      </w:r>
      <w:r w:rsidR="006B7CCA" w:rsidRPr="00C66720">
        <w:rPr>
          <w:b w:val="0"/>
          <w:bCs w:val="0"/>
          <w:sz w:val="22"/>
          <w:szCs w:val="22"/>
        </w:rPr>
        <w:t> 24 762</w:t>
      </w:r>
      <w:r w:rsidR="000565AA" w:rsidRPr="00C66720">
        <w:rPr>
          <w:b w:val="0"/>
          <w:bCs w:val="0"/>
          <w:sz w:val="22"/>
          <w:szCs w:val="22"/>
        </w:rPr>
        <w:t xml:space="preserve"> tis. eur najmä vplyvom </w:t>
      </w:r>
      <w:r w:rsidR="009B4139" w:rsidRPr="00C66720">
        <w:rPr>
          <w:b w:val="0"/>
          <w:bCs w:val="0"/>
          <w:sz w:val="22"/>
          <w:szCs w:val="22"/>
        </w:rPr>
        <w:t>zníženia podielov Ministerstva pôdohospodárstva a rozvoja vidieka SR na kmeňovom imaní štátnych podnikov (L</w:t>
      </w:r>
      <w:r w:rsidR="007A6A57">
        <w:rPr>
          <w:b w:val="0"/>
          <w:bCs w:val="0"/>
          <w:sz w:val="22"/>
          <w:szCs w:val="22"/>
        </w:rPr>
        <w:t>esopoľnohospodársky majetok</w:t>
      </w:r>
      <w:r w:rsidR="009B4139" w:rsidRPr="00C66720">
        <w:rPr>
          <w:b w:val="0"/>
          <w:bCs w:val="0"/>
          <w:sz w:val="22"/>
          <w:szCs w:val="22"/>
        </w:rPr>
        <w:t xml:space="preserve"> Ulič, š.p. a Lesy, š.p.) z dôvodu odovzdania pozemkov a iného majetku v správe týchto štátnych podnikov do správy novovzniknutých národných parkov v sume 23 871 </w:t>
      </w:r>
      <w:r w:rsidR="005F6F15" w:rsidRPr="00C66720">
        <w:rPr>
          <w:b w:val="0"/>
          <w:bCs w:val="0"/>
          <w:sz w:val="22"/>
          <w:szCs w:val="22"/>
        </w:rPr>
        <w:t xml:space="preserve">tis. eur, ďalej zníženia podielov Ministerstva hospodárstva SR na kmeňovom imaní štátnych podnikov, ktoré boli vymazané z obchodného registra po ukončení ich likvidácie v sume 10 337 tis. eur, a zvýšenia týchto fondov na Ministerstva obrany SR (o 5 000 tis. eur) a Ministerstve dopravy SR </w:t>
      </w:r>
      <w:r w:rsidR="008C5E69">
        <w:rPr>
          <w:b w:val="0"/>
          <w:bCs w:val="0"/>
          <w:sz w:val="22"/>
          <w:szCs w:val="22"/>
        </w:rPr>
        <w:br/>
      </w:r>
      <w:r w:rsidR="005F6F15" w:rsidRPr="00C66720">
        <w:rPr>
          <w:b w:val="0"/>
          <w:bCs w:val="0"/>
          <w:sz w:val="22"/>
          <w:szCs w:val="22"/>
        </w:rPr>
        <w:t>(o 4 446 tis. eur).</w:t>
      </w:r>
    </w:p>
    <w:p w14:paraId="62520682" w14:textId="07F005C1" w:rsidR="00695B2C" w:rsidRPr="00C66720" w:rsidRDefault="00695B2C" w:rsidP="00695B2C">
      <w:pPr>
        <w:pStyle w:val="Pismenka"/>
        <w:tabs>
          <w:tab w:val="clear" w:pos="426"/>
        </w:tabs>
        <w:spacing w:after="120"/>
        <w:ind w:left="0" w:firstLine="0"/>
        <w:rPr>
          <w:b w:val="0"/>
          <w:bCs w:val="0"/>
          <w:sz w:val="22"/>
          <w:szCs w:val="22"/>
        </w:rPr>
      </w:pPr>
      <w:r w:rsidRPr="00C66720">
        <w:rPr>
          <w:b w:val="0"/>
          <w:bCs w:val="0"/>
          <w:sz w:val="22"/>
          <w:szCs w:val="22"/>
        </w:rPr>
        <w:t xml:space="preserve">Záporný výsledok hospodárenia minulých rokov bol najvýznamnejší medzi subjektami ústrednej správy (-64 922 156 tis. eur) a medziročne sa prehĺbil o 6 755 924 </w:t>
      </w:r>
      <w:r w:rsidR="004F0C31" w:rsidRPr="00C66720">
        <w:rPr>
          <w:b w:val="0"/>
          <w:bCs w:val="0"/>
          <w:sz w:val="22"/>
          <w:szCs w:val="22"/>
        </w:rPr>
        <w:t xml:space="preserve"> tis. eur. Ministerstvo financií dosiahlo negatívny výsledok hospodárenia predchádzajúcich účtovných období až v objeme -83 375 907 tis. eur s medziročným zhoršením o 7 553 820 tis. eur</w:t>
      </w:r>
      <w:r w:rsidR="00B515F6" w:rsidRPr="00C66720">
        <w:rPr>
          <w:b w:val="0"/>
          <w:bCs w:val="0"/>
          <w:sz w:val="22"/>
          <w:szCs w:val="22"/>
        </w:rPr>
        <w:t xml:space="preserve"> najmä z dôvodu prevodu negatívneho výsledku hospodárenia za rok 2021 do výsledku hospodárenia minulých účtovných období v objeme </w:t>
      </w:r>
      <w:r w:rsidR="009A213D" w:rsidRPr="00C66720">
        <w:rPr>
          <w:b w:val="0"/>
          <w:bCs w:val="0"/>
          <w:sz w:val="22"/>
          <w:szCs w:val="22"/>
        </w:rPr>
        <w:br/>
      </w:r>
      <w:r w:rsidR="00B515F6" w:rsidRPr="00C66720">
        <w:rPr>
          <w:b w:val="0"/>
          <w:bCs w:val="0"/>
          <w:sz w:val="22"/>
          <w:szCs w:val="22"/>
        </w:rPr>
        <w:t>8 481 611 tis. eur</w:t>
      </w:r>
      <w:r w:rsidR="004F0C31" w:rsidRPr="00C66720">
        <w:rPr>
          <w:b w:val="0"/>
          <w:bCs w:val="0"/>
          <w:sz w:val="22"/>
          <w:szCs w:val="22"/>
        </w:rPr>
        <w:t>.</w:t>
      </w:r>
      <w:r w:rsidR="00B515F6" w:rsidRPr="00C66720">
        <w:rPr>
          <w:b w:val="0"/>
          <w:bCs w:val="0"/>
          <w:sz w:val="22"/>
          <w:szCs w:val="22"/>
        </w:rPr>
        <w:t xml:space="preserve"> Ďalej v rámci úbytkov na účte 428 – Nevysporiadaný výsledok hospodárenia minulých rokov vykazuje hodnoty zo zúčtovania poskytnutia transferov voči obchodným spoločnostiam štátu, prípadne opravy transferov voči kapitolám štátneho rozpočtu, a výsledný vplyv z účtovania opravy výšky rezervy na zamestnanecké požitky v roku 2022 v úhrne 7 136 522 tis. eur.</w:t>
      </w:r>
      <w:r w:rsidR="009A213D" w:rsidRPr="00C66720">
        <w:rPr>
          <w:b w:val="0"/>
          <w:bCs w:val="0"/>
          <w:sz w:val="22"/>
          <w:szCs w:val="22"/>
        </w:rPr>
        <w:t xml:space="preserve"> Obchodné spoločnosti štátu vykazujú kladný výsledok hospodárenia minulých účtovných období celkom 11 105 678 tis. eur, ktorý bol v porovnaní s rokom 2021 lepší o 1 342 211 tis. eur najmä v</w:t>
      </w:r>
      <w:r w:rsidR="00EE6152" w:rsidRPr="00C66720">
        <w:rPr>
          <w:b w:val="0"/>
          <w:bCs w:val="0"/>
          <w:sz w:val="22"/>
          <w:szCs w:val="22"/>
        </w:rPr>
        <w:t> </w:t>
      </w:r>
      <w:r w:rsidR="009A213D" w:rsidRPr="00C66720">
        <w:rPr>
          <w:b w:val="0"/>
          <w:bCs w:val="0"/>
          <w:sz w:val="22"/>
          <w:szCs w:val="22"/>
        </w:rPr>
        <w:t>dôsledku</w:t>
      </w:r>
      <w:r w:rsidR="00EE6152" w:rsidRPr="00C66720">
        <w:rPr>
          <w:b w:val="0"/>
          <w:bCs w:val="0"/>
          <w:sz w:val="22"/>
          <w:szCs w:val="22"/>
        </w:rPr>
        <w:t xml:space="preserve"> prevodu</w:t>
      </w:r>
      <w:r w:rsidR="009A213D" w:rsidRPr="00C66720">
        <w:rPr>
          <w:b w:val="0"/>
          <w:bCs w:val="0"/>
          <w:sz w:val="22"/>
          <w:szCs w:val="22"/>
        </w:rPr>
        <w:t xml:space="preserve"> kladného výsledku hospodárenia za rok 2021 v sume 639 491 tis. eur</w:t>
      </w:r>
      <w:r w:rsidR="007C4150" w:rsidRPr="00C66720">
        <w:rPr>
          <w:b w:val="0"/>
          <w:bCs w:val="0"/>
          <w:sz w:val="22"/>
          <w:szCs w:val="22"/>
        </w:rPr>
        <w:t xml:space="preserve"> a opráv významných chýb a iných zmien spôsobujúci</w:t>
      </w:r>
      <w:r w:rsidR="000C6578" w:rsidRPr="00C66720">
        <w:rPr>
          <w:b w:val="0"/>
          <w:bCs w:val="0"/>
          <w:sz w:val="22"/>
          <w:szCs w:val="22"/>
        </w:rPr>
        <w:t>ch prírastok vlastného imania.</w:t>
      </w:r>
    </w:p>
    <w:p w14:paraId="1E196DF8" w14:textId="5E3A2FAB" w:rsidR="000C6578" w:rsidRPr="00C66720" w:rsidRDefault="000C6578" w:rsidP="00695B2C">
      <w:pPr>
        <w:pStyle w:val="Pismenka"/>
        <w:tabs>
          <w:tab w:val="clear" w:pos="426"/>
        </w:tabs>
        <w:spacing w:after="120"/>
        <w:ind w:left="0" w:firstLine="0"/>
        <w:rPr>
          <w:b w:val="0"/>
          <w:bCs w:val="0"/>
          <w:sz w:val="22"/>
          <w:szCs w:val="22"/>
        </w:rPr>
      </w:pPr>
      <w:r w:rsidRPr="00C66720">
        <w:rPr>
          <w:b w:val="0"/>
          <w:bCs w:val="0"/>
          <w:sz w:val="22"/>
          <w:szCs w:val="22"/>
        </w:rPr>
        <w:t xml:space="preserve">Výsledok hospodárenia dosiahnutý v minulých účtovných obdobiach u subjektov územnej samosprávy predstavuje 12 512 868 tis. eur (viac o 62 033 tis. eur) a u ostatných subjektov verejnej správy </w:t>
      </w:r>
      <w:r w:rsidRPr="00C66720">
        <w:rPr>
          <w:b w:val="0"/>
          <w:bCs w:val="0"/>
          <w:sz w:val="22"/>
          <w:szCs w:val="22"/>
        </w:rPr>
        <w:br/>
        <w:t>3 146 807 tis. eur (viac o 1 303 610 tis. eur).</w:t>
      </w:r>
    </w:p>
    <w:p w14:paraId="27DA7D6F" w14:textId="2FB70385" w:rsidR="00420397" w:rsidRPr="00C66720" w:rsidRDefault="00420397" w:rsidP="00B635F4">
      <w:pPr>
        <w:pStyle w:val="Pismenka"/>
        <w:numPr>
          <w:ilvl w:val="0"/>
          <w:numId w:val="44"/>
        </w:numPr>
        <w:spacing w:before="240" w:after="120"/>
        <w:ind w:left="284" w:hanging="284"/>
        <w:rPr>
          <w:i/>
          <w:sz w:val="22"/>
          <w:szCs w:val="22"/>
          <w:u w:val="single"/>
        </w:rPr>
      </w:pPr>
      <w:bookmarkStart w:id="33" w:name="_Ref86092114"/>
      <w:r w:rsidRPr="00C66720">
        <w:rPr>
          <w:i/>
          <w:sz w:val="22"/>
          <w:szCs w:val="22"/>
          <w:u w:val="single"/>
        </w:rPr>
        <w:t>Výsledok hospodárenia za účtovné obdobie</w:t>
      </w:r>
      <w:bookmarkEnd w:id="33"/>
    </w:p>
    <w:p w14:paraId="374A270D" w14:textId="71E280FA" w:rsidR="000F6E63" w:rsidRPr="00C66720" w:rsidRDefault="005A617A" w:rsidP="0034470B">
      <w:pPr>
        <w:pStyle w:val="Pismenka"/>
        <w:tabs>
          <w:tab w:val="clear" w:pos="426"/>
        </w:tabs>
        <w:spacing w:after="120"/>
        <w:ind w:left="0" w:firstLine="0"/>
        <w:rPr>
          <w:b w:val="0"/>
          <w:bCs w:val="0"/>
          <w:sz w:val="22"/>
          <w:szCs w:val="22"/>
        </w:rPr>
      </w:pPr>
      <w:r w:rsidRPr="00C66720">
        <w:rPr>
          <w:b w:val="0"/>
          <w:bCs w:val="0"/>
          <w:sz w:val="22"/>
          <w:szCs w:val="22"/>
        </w:rPr>
        <w:t xml:space="preserve">Výsledok hospodárenia </w:t>
      </w:r>
      <w:r w:rsidR="006F5899" w:rsidRPr="00C66720">
        <w:rPr>
          <w:b w:val="0"/>
          <w:bCs w:val="0"/>
          <w:sz w:val="22"/>
          <w:szCs w:val="22"/>
        </w:rPr>
        <w:t>za rok 20</w:t>
      </w:r>
      <w:r w:rsidR="000F6E63" w:rsidRPr="00C66720">
        <w:rPr>
          <w:b w:val="0"/>
          <w:bCs w:val="0"/>
          <w:sz w:val="22"/>
          <w:szCs w:val="22"/>
        </w:rPr>
        <w:t>22</w:t>
      </w:r>
      <w:r w:rsidRPr="00C66720">
        <w:rPr>
          <w:b w:val="0"/>
          <w:bCs w:val="0"/>
          <w:sz w:val="22"/>
          <w:szCs w:val="22"/>
        </w:rPr>
        <w:t xml:space="preserve"> dosiahol </w:t>
      </w:r>
      <w:r w:rsidR="000F6E63" w:rsidRPr="00C66720">
        <w:rPr>
          <w:b w:val="0"/>
          <w:bCs w:val="0"/>
          <w:sz w:val="22"/>
          <w:szCs w:val="22"/>
        </w:rPr>
        <w:t>kladnú</w:t>
      </w:r>
      <w:r w:rsidRPr="00C66720">
        <w:rPr>
          <w:b w:val="0"/>
          <w:bCs w:val="0"/>
          <w:sz w:val="22"/>
          <w:szCs w:val="22"/>
        </w:rPr>
        <w:t xml:space="preserve"> hodnotu </w:t>
      </w:r>
      <w:r w:rsidR="000F6E63" w:rsidRPr="00C66720">
        <w:rPr>
          <w:b w:val="0"/>
          <w:bCs w:val="0"/>
          <w:sz w:val="22"/>
          <w:szCs w:val="22"/>
        </w:rPr>
        <w:t>12 974 720</w:t>
      </w:r>
      <w:r w:rsidR="00F03DCB" w:rsidRPr="00C66720">
        <w:rPr>
          <w:b w:val="0"/>
          <w:bCs w:val="0"/>
          <w:sz w:val="22"/>
          <w:szCs w:val="22"/>
        </w:rPr>
        <w:t xml:space="preserve"> tis. eur </w:t>
      </w:r>
      <w:r w:rsidRPr="00C66720">
        <w:rPr>
          <w:b w:val="0"/>
          <w:bCs w:val="0"/>
          <w:sz w:val="22"/>
          <w:szCs w:val="22"/>
        </w:rPr>
        <w:t>a</w:t>
      </w:r>
      <w:r w:rsidR="000C6EC8" w:rsidRPr="00C66720">
        <w:rPr>
          <w:b w:val="0"/>
          <w:bCs w:val="0"/>
          <w:sz w:val="22"/>
          <w:szCs w:val="22"/>
        </w:rPr>
        <w:t xml:space="preserve"> tým </w:t>
      </w:r>
      <w:r w:rsidR="00FC531F">
        <w:rPr>
          <w:b w:val="0"/>
          <w:bCs w:val="0"/>
          <w:sz w:val="22"/>
          <w:szCs w:val="22"/>
        </w:rPr>
        <w:t xml:space="preserve">sa </w:t>
      </w:r>
      <w:r w:rsidR="000C6EC8" w:rsidRPr="00C66720">
        <w:rPr>
          <w:b w:val="0"/>
          <w:bCs w:val="0"/>
          <w:sz w:val="22"/>
          <w:szCs w:val="22"/>
        </w:rPr>
        <w:t>medziročne zmenil záporný výsledok hospodárenia (2021: -6</w:t>
      </w:r>
      <w:r w:rsidR="00C13174" w:rsidRPr="00C66720">
        <w:rPr>
          <w:b w:val="0"/>
          <w:bCs w:val="0"/>
          <w:sz w:val="22"/>
          <w:szCs w:val="22"/>
        </w:rPr>
        <w:t> </w:t>
      </w:r>
      <w:r w:rsidR="000C6EC8" w:rsidRPr="00C66720">
        <w:rPr>
          <w:b w:val="0"/>
          <w:bCs w:val="0"/>
          <w:sz w:val="22"/>
          <w:szCs w:val="22"/>
        </w:rPr>
        <w:t>244</w:t>
      </w:r>
      <w:r w:rsidR="00C13174" w:rsidRPr="00C66720">
        <w:rPr>
          <w:b w:val="0"/>
          <w:bCs w:val="0"/>
          <w:sz w:val="22"/>
          <w:szCs w:val="22"/>
        </w:rPr>
        <w:t xml:space="preserve"> </w:t>
      </w:r>
      <w:r w:rsidR="000C6EC8" w:rsidRPr="00C66720">
        <w:rPr>
          <w:b w:val="0"/>
          <w:bCs w:val="0"/>
          <w:sz w:val="22"/>
          <w:szCs w:val="22"/>
        </w:rPr>
        <w:t xml:space="preserve">813 tis. eur) na kladný a zlepšil sa </w:t>
      </w:r>
      <w:r w:rsidR="006E144C" w:rsidRPr="00C66720">
        <w:rPr>
          <w:b w:val="0"/>
          <w:bCs w:val="0"/>
          <w:sz w:val="22"/>
          <w:szCs w:val="22"/>
        </w:rPr>
        <w:br/>
      </w:r>
      <w:r w:rsidR="000C6EC8" w:rsidRPr="00C66720">
        <w:rPr>
          <w:b w:val="0"/>
          <w:bCs w:val="0"/>
          <w:sz w:val="22"/>
          <w:szCs w:val="22"/>
        </w:rPr>
        <w:t>o 19 219 533 tis. eur.</w:t>
      </w:r>
      <w:r w:rsidR="006E144C" w:rsidRPr="00C66720">
        <w:rPr>
          <w:b w:val="0"/>
          <w:bCs w:val="0"/>
          <w:sz w:val="22"/>
          <w:szCs w:val="22"/>
        </w:rPr>
        <w:t xml:space="preserve"> </w:t>
      </w:r>
      <w:r w:rsidR="00C13174" w:rsidRPr="00C66720">
        <w:rPr>
          <w:b w:val="0"/>
          <w:bCs w:val="0"/>
          <w:sz w:val="22"/>
          <w:szCs w:val="22"/>
        </w:rPr>
        <w:t>Na pozitívnom výsledku hospodárenia sa podieľali subjekty ústrednej správy hodnotou 12 446 964 tis. eur, pričom medziročne došlo k zlepšeniu výsledku hospodárenia za bežné účtovné obdobie o 19 332 681 tis. eur, najmä u</w:t>
      </w:r>
      <w:r w:rsidR="00064A19" w:rsidRPr="00C66720">
        <w:rPr>
          <w:b w:val="0"/>
          <w:bCs w:val="0"/>
          <w:sz w:val="22"/>
          <w:szCs w:val="22"/>
        </w:rPr>
        <w:t xml:space="preserve"> Ministerstva financií SR o 18 134 795 tis. eur. Naopak ostatné subjekty verejnej správy v porovnaní s rokom 2021 zhoršili výsledok hospodárenia </w:t>
      </w:r>
      <w:r w:rsidR="00064A19" w:rsidRPr="00C66720">
        <w:rPr>
          <w:b w:val="0"/>
          <w:bCs w:val="0"/>
          <w:sz w:val="22"/>
          <w:szCs w:val="22"/>
        </w:rPr>
        <w:br/>
        <w:t>o 620 702 tis. eur a subjekty územnej samosprávy o 148 491 tis. eur.</w:t>
      </w:r>
    </w:p>
    <w:p w14:paraId="7AED2C77" w14:textId="056CB7ED" w:rsidR="00D0351E" w:rsidRDefault="00E620C7" w:rsidP="0034470B">
      <w:pPr>
        <w:pStyle w:val="Pismenka"/>
        <w:tabs>
          <w:tab w:val="clear" w:pos="426"/>
        </w:tabs>
        <w:spacing w:after="120"/>
        <w:ind w:left="0" w:firstLine="0"/>
        <w:rPr>
          <w:b w:val="0"/>
          <w:bCs w:val="0"/>
          <w:sz w:val="22"/>
          <w:szCs w:val="22"/>
        </w:rPr>
      </w:pPr>
      <w:r w:rsidRPr="00C66720">
        <w:rPr>
          <w:b w:val="0"/>
          <w:bCs w:val="0"/>
          <w:sz w:val="22"/>
          <w:szCs w:val="22"/>
        </w:rPr>
        <w:t xml:space="preserve">Tento </w:t>
      </w:r>
      <w:r w:rsidR="00B47D03" w:rsidRPr="00C66720">
        <w:rPr>
          <w:b w:val="0"/>
          <w:bCs w:val="0"/>
          <w:sz w:val="22"/>
          <w:szCs w:val="22"/>
        </w:rPr>
        <w:t xml:space="preserve">pozitívny výsledok bol dosiahnutý </w:t>
      </w:r>
      <w:r w:rsidR="00F90D51" w:rsidRPr="00C66720">
        <w:rPr>
          <w:b w:val="0"/>
          <w:bCs w:val="0"/>
          <w:sz w:val="22"/>
          <w:szCs w:val="22"/>
        </w:rPr>
        <w:t>vyššími výnosmi zo zúčtovania rezerv o 13 286 574 tis. eur, najmä z dôvodu zrušenia časti rezervy na zamestnanecké požitky do výnosov (medziročne viac o 12 986 592 tis. eur), vyššími daňovými výnosmi štátu o 1 925 556 t</w:t>
      </w:r>
      <w:r w:rsidR="00B70F5F" w:rsidRPr="00C66720">
        <w:rPr>
          <w:b w:val="0"/>
          <w:bCs w:val="0"/>
          <w:sz w:val="22"/>
          <w:szCs w:val="22"/>
        </w:rPr>
        <w:t>is. eur</w:t>
      </w:r>
      <w:r w:rsidR="00D0351E">
        <w:rPr>
          <w:b w:val="0"/>
          <w:bCs w:val="0"/>
          <w:sz w:val="22"/>
          <w:szCs w:val="22"/>
        </w:rPr>
        <w:t>, nižšími nákladmi Sociálnej poisťovne o 4 156 924 tis. eur z dôvodu zmeny (vylúčenia) vykazovania tvorby fondov Sociálnej</w:t>
      </w:r>
      <w:r w:rsidR="00B70F5F" w:rsidRPr="00C66720">
        <w:rPr>
          <w:b w:val="0"/>
          <w:bCs w:val="0"/>
          <w:sz w:val="22"/>
          <w:szCs w:val="22"/>
        </w:rPr>
        <w:t> </w:t>
      </w:r>
      <w:r w:rsidR="00D0351E">
        <w:rPr>
          <w:b w:val="0"/>
          <w:bCs w:val="0"/>
          <w:sz w:val="22"/>
          <w:szCs w:val="22"/>
        </w:rPr>
        <w:t>poisťovne z prijatého poistného</w:t>
      </w:r>
      <w:r w:rsidR="00692A4A">
        <w:rPr>
          <w:b w:val="0"/>
          <w:bCs w:val="0"/>
          <w:sz w:val="22"/>
          <w:szCs w:val="22"/>
        </w:rPr>
        <w:t xml:space="preserve">, vyššími nákladmi na spotrebu materiálu a predaný tovar </w:t>
      </w:r>
      <w:r w:rsidR="00692A4A">
        <w:rPr>
          <w:b w:val="0"/>
          <w:bCs w:val="0"/>
          <w:sz w:val="22"/>
          <w:szCs w:val="22"/>
        </w:rPr>
        <w:br/>
        <w:t>u SPP, a.s. (4 685 379 tis. eur) a</w:t>
      </w:r>
      <w:r w:rsidR="004B21B9">
        <w:rPr>
          <w:b w:val="0"/>
          <w:bCs w:val="0"/>
          <w:sz w:val="22"/>
          <w:szCs w:val="22"/>
        </w:rPr>
        <w:t> SEPS, a.s. (2 403 695 tis. eur), ktoré ale boli prevažne kryté nárastom výnosov týchto spoločností z predaja výrobkov a tovaru.</w:t>
      </w:r>
    </w:p>
    <w:p w14:paraId="25AECA22" w14:textId="77777777" w:rsidR="00666F99" w:rsidRPr="00C66720" w:rsidRDefault="00666F99" w:rsidP="001544E3">
      <w:pPr>
        <w:pStyle w:val="Pismenka"/>
        <w:tabs>
          <w:tab w:val="clear" w:pos="426"/>
        </w:tabs>
        <w:spacing w:before="240" w:after="200"/>
        <w:ind w:left="0" w:firstLine="0"/>
        <w:rPr>
          <w:bCs w:val="0"/>
          <w:sz w:val="24"/>
          <w:szCs w:val="24"/>
        </w:rPr>
      </w:pPr>
      <w:r w:rsidRPr="00C66720">
        <w:rPr>
          <w:bCs w:val="0"/>
          <w:sz w:val="24"/>
          <w:szCs w:val="24"/>
        </w:rPr>
        <w:t>A.I</w:t>
      </w:r>
      <w:r w:rsidR="00FE63D0" w:rsidRPr="00C66720">
        <w:rPr>
          <w:bCs w:val="0"/>
          <w:sz w:val="24"/>
          <w:szCs w:val="24"/>
        </w:rPr>
        <w:t>II</w:t>
      </w:r>
      <w:r w:rsidRPr="00C66720">
        <w:rPr>
          <w:bCs w:val="0"/>
          <w:sz w:val="24"/>
          <w:szCs w:val="24"/>
        </w:rPr>
        <w:t>. Podiely iných účtovných jednotiek</w:t>
      </w:r>
    </w:p>
    <w:p w14:paraId="4587E08F" w14:textId="365234D3" w:rsidR="00781256" w:rsidRPr="00C66720" w:rsidRDefault="009270BF" w:rsidP="0034470B">
      <w:pPr>
        <w:pStyle w:val="Pismenka"/>
        <w:tabs>
          <w:tab w:val="clear" w:pos="426"/>
        </w:tabs>
        <w:ind w:left="0" w:firstLine="0"/>
        <w:rPr>
          <w:b w:val="0"/>
          <w:bCs w:val="0"/>
          <w:sz w:val="22"/>
          <w:szCs w:val="22"/>
        </w:rPr>
      </w:pPr>
      <w:r w:rsidRPr="00C66720">
        <w:rPr>
          <w:b w:val="0"/>
          <w:bCs w:val="0"/>
          <w:sz w:val="22"/>
          <w:szCs w:val="22"/>
        </w:rPr>
        <w:t>Podiely iných účtovných jednotiek predstavujú pasívum v podobe vlastníckeho podielu</w:t>
      </w:r>
      <w:r w:rsidR="005D1898" w:rsidRPr="00C66720">
        <w:rPr>
          <w:b w:val="0"/>
          <w:bCs w:val="0"/>
          <w:sz w:val="22"/>
          <w:szCs w:val="22"/>
        </w:rPr>
        <w:t xml:space="preserve"> iných spoločností</w:t>
      </w:r>
      <w:r w:rsidRPr="00C66720">
        <w:rPr>
          <w:b w:val="0"/>
          <w:bCs w:val="0"/>
          <w:sz w:val="22"/>
          <w:szCs w:val="22"/>
        </w:rPr>
        <w:t xml:space="preserve"> </w:t>
      </w:r>
      <w:r w:rsidR="00157A4E" w:rsidRPr="00C66720">
        <w:rPr>
          <w:b w:val="0"/>
          <w:bCs w:val="0"/>
          <w:sz w:val="22"/>
          <w:szCs w:val="22"/>
        </w:rPr>
        <w:t>na základnom imaní</w:t>
      </w:r>
      <w:r w:rsidRPr="00C66720">
        <w:rPr>
          <w:b w:val="0"/>
          <w:bCs w:val="0"/>
          <w:sz w:val="22"/>
          <w:szCs w:val="22"/>
        </w:rPr>
        <w:t xml:space="preserve"> v obcho</w:t>
      </w:r>
      <w:r w:rsidR="00157A4E" w:rsidRPr="00C66720">
        <w:rPr>
          <w:b w:val="0"/>
          <w:bCs w:val="0"/>
          <w:sz w:val="22"/>
          <w:szCs w:val="22"/>
        </w:rPr>
        <w:t>dných spoločnostiach súhrnn</w:t>
      </w:r>
      <w:r w:rsidR="005D1898" w:rsidRPr="00C66720">
        <w:rPr>
          <w:b w:val="0"/>
          <w:bCs w:val="0"/>
          <w:sz w:val="22"/>
          <w:szCs w:val="22"/>
        </w:rPr>
        <w:t>ého</w:t>
      </w:r>
      <w:r w:rsidR="00157A4E" w:rsidRPr="00C66720">
        <w:rPr>
          <w:b w:val="0"/>
          <w:bCs w:val="0"/>
          <w:sz w:val="22"/>
          <w:szCs w:val="22"/>
        </w:rPr>
        <w:t xml:space="preserve"> celku</w:t>
      </w:r>
      <w:r w:rsidR="00FE63D0" w:rsidRPr="00C66720">
        <w:rPr>
          <w:b w:val="0"/>
          <w:bCs w:val="0"/>
          <w:sz w:val="22"/>
          <w:szCs w:val="22"/>
        </w:rPr>
        <w:t>. V</w:t>
      </w:r>
      <w:r w:rsidR="00666F99" w:rsidRPr="00C66720">
        <w:rPr>
          <w:b w:val="0"/>
          <w:bCs w:val="0"/>
          <w:sz w:val="22"/>
          <w:szCs w:val="22"/>
        </w:rPr>
        <w:t>z</w:t>
      </w:r>
      <w:r w:rsidRPr="00C66720">
        <w:rPr>
          <w:b w:val="0"/>
          <w:bCs w:val="0"/>
          <w:sz w:val="22"/>
          <w:szCs w:val="22"/>
        </w:rPr>
        <w:t xml:space="preserve">nikajú pri konsolidácii kapitálu </w:t>
      </w:r>
      <w:r w:rsidR="00157A4E" w:rsidRPr="00C66720">
        <w:rPr>
          <w:b w:val="0"/>
          <w:bCs w:val="0"/>
          <w:sz w:val="22"/>
          <w:szCs w:val="22"/>
        </w:rPr>
        <w:t xml:space="preserve">u tých </w:t>
      </w:r>
      <w:r w:rsidRPr="00C66720">
        <w:rPr>
          <w:b w:val="0"/>
          <w:bCs w:val="0"/>
          <w:sz w:val="22"/>
          <w:szCs w:val="22"/>
        </w:rPr>
        <w:t>spoločnost</w:t>
      </w:r>
      <w:r w:rsidR="00666F99" w:rsidRPr="00C66720">
        <w:rPr>
          <w:b w:val="0"/>
          <w:bCs w:val="0"/>
          <w:sz w:val="22"/>
          <w:szCs w:val="22"/>
        </w:rPr>
        <w:t>í</w:t>
      </w:r>
      <w:r w:rsidRPr="00C66720">
        <w:rPr>
          <w:b w:val="0"/>
          <w:bCs w:val="0"/>
          <w:sz w:val="22"/>
          <w:szCs w:val="22"/>
        </w:rPr>
        <w:t>, v ktorých subjekty súhrnn</w:t>
      </w:r>
      <w:r w:rsidR="001C1EA1" w:rsidRPr="00C66720">
        <w:rPr>
          <w:b w:val="0"/>
          <w:bCs w:val="0"/>
          <w:sz w:val="22"/>
          <w:szCs w:val="22"/>
        </w:rPr>
        <w:t>ého celku majú podiel menší ako</w:t>
      </w:r>
      <w:r w:rsidR="001C1EA1" w:rsidRPr="00C66720">
        <w:rPr>
          <w:b w:val="0"/>
          <w:bCs w:val="0"/>
          <w:sz w:val="22"/>
          <w:szCs w:val="22"/>
        </w:rPr>
        <w:br/>
      </w:r>
      <w:r w:rsidRPr="00C66720">
        <w:rPr>
          <w:b w:val="0"/>
          <w:bCs w:val="0"/>
          <w:sz w:val="22"/>
          <w:szCs w:val="22"/>
        </w:rPr>
        <w:t>100</w:t>
      </w:r>
      <w:r w:rsidR="004B443D" w:rsidRPr="00C66720">
        <w:rPr>
          <w:b w:val="0"/>
          <w:bCs w:val="0"/>
          <w:sz w:val="22"/>
          <w:szCs w:val="22"/>
        </w:rPr>
        <w:t xml:space="preserve"> </w:t>
      </w:r>
      <w:r w:rsidRPr="00C66720">
        <w:rPr>
          <w:b w:val="0"/>
          <w:bCs w:val="0"/>
          <w:sz w:val="22"/>
          <w:szCs w:val="22"/>
        </w:rPr>
        <w:t>%</w:t>
      </w:r>
      <w:r w:rsidR="00157A4E" w:rsidRPr="00C66720">
        <w:rPr>
          <w:b w:val="0"/>
          <w:bCs w:val="0"/>
          <w:sz w:val="22"/>
          <w:szCs w:val="22"/>
        </w:rPr>
        <w:t>,</w:t>
      </w:r>
      <w:r w:rsidRPr="00C66720">
        <w:rPr>
          <w:b w:val="0"/>
          <w:bCs w:val="0"/>
          <w:sz w:val="22"/>
          <w:szCs w:val="22"/>
        </w:rPr>
        <w:t xml:space="preserve"> ale vyšší ako 51 %.</w:t>
      </w:r>
      <w:r w:rsidR="00C02761" w:rsidRPr="00C66720">
        <w:rPr>
          <w:b w:val="0"/>
          <w:bCs w:val="0"/>
          <w:sz w:val="22"/>
          <w:szCs w:val="22"/>
        </w:rPr>
        <w:t xml:space="preserve"> Podiely iných účtovných jednotiek teda jedným číslom vyjadrujú aktíva a pasíva danej obchodnej spoločnosti, ktoré subjekty súhrnného celku nevlastnia, pretože nevlastnia 100% podiel.</w:t>
      </w:r>
      <w:r w:rsidR="00EB207F" w:rsidRPr="00C66720">
        <w:rPr>
          <w:b w:val="0"/>
          <w:bCs w:val="0"/>
          <w:sz w:val="22"/>
          <w:szCs w:val="22"/>
        </w:rPr>
        <w:t xml:space="preserve"> </w:t>
      </w:r>
      <w:r w:rsidR="00BB5EBB" w:rsidRPr="00C66720">
        <w:rPr>
          <w:b w:val="0"/>
          <w:bCs w:val="0"/>
          <w:sz w:val="22"/>
          <w:szCs w:val="22"/>
        </w:rPr>
        <w:t>Oproti roku 2021</w:t>
      </w:r>
      <w:r w:rsidR="00EB207F" w:rsidRPr="00C66720">
        <w:rPr>
          <w:b w:val="0"/>
          <w:bCs w:val="0"/>
          <w:sz w:val="22"/>
          <w:szCs w:val="22"/>
        </w:rPr>
        <w:t xml:space="preserve"> </w:t>
      </w:r>
      <w:r w:rsidR="00807AD6" w:rsidRPr="00C66720">
        <w:rPr>
          <w:b w:val="0"/>
          <w:bCs w:val="0"/>
          <w:sz w:val="22"/>
          <w:szCs w:val="22"/>
        </w:rPr>
        <w:t xml:space="preserve">sa </w:t>
      </w:r>
      <w:r w:rsidR="00172467" w:rsidRPr="00C66720">
        <w:rPr>
          <w:b w:val="0"/>
          <w:bCs w:val="0"/>
          <w:sz w:val="22"/>
          <w:szCs w:val="22"/>
        </w:rPr>
        <w:t>znížili</w:t>
      </w:r>
      <w:r w:rsidR="00024838" w:rsidRPr="00C66720">
        <w:rPr>
          <w:b w:val="0"/>
          <w:bCs w:val="0"/>
          <w:sz w:val="22"/>
          <w:szCs w:val="22"/>
        </w:rPr>
        <w:t xml:space="preserve"> o</w:t>
      </w:r>
      <w:r w:rsidR="00172467" w:rsidRPr="00C66720">
        <w:rPr>
          <w:b w:val="0"/>
          <w:bCs w:val="0"/>
          <w:sz w:val="22"/>
          <w:szCs w:val="22"/>
        </w:rPr>
        <w:t> </w:t>
      </w:r>
      <w:r w:rsidR="00BB5EBB" w:rsidRPr="00C66720">
        <w:rPr>
          <w:b w:val="0"/>
          <w:bCs w:val="0"/>
          <w:sz w:val="22"/>
          <w:szCs w:val="22"/>
        </w:rPr>
        <w:t>582</w:t>
      </w:r>
      <w:r w:rsidR="00391CAF" w:rsidRPr="00C66720">
        <w:rPr>
          <w:b w:val="0"/>
          <w:bCs w:val="0"/>
          <w:sz w:val="22"/>
          <w:szCs w:val="22"/>
        </w:rPr>
        <w:t xml:space="preserve"> tis. eur, a to najmä </w:t>
      </w:r>
      <w:r w:rsidR="00172467" w:rsidRPr="00C66720">
        <w:rPr>
          <w:b w:val="0"/>
          <w:bCs w:val="0"/>
          <w:sz w:val="22"/>
          <w:szCs w:val="22"/>
        </w:rPr>
        <w:t xml:space="preserve">v prípade </w:t>
      </w:r>
      <w:r w:rsidR="00781256" w:rsidRPr="00C66720">
        <w:rPr>
          <w:b w:val="0"/>
          <w:bCs w:val="0"/>
          <w:sz w:val="22"/>
          <w:szCs w:val="22"/>
        </w:rPr>
        <w:t xml:space="preserve">obcí o 1 560 tis. eur, ktoré </w:t>
      </w:r>
    </w:p>
    <w:p w14:paraId="3D8D2EE0" w14:textId="7B271CF9" w:rsidR="008B00A5" w:rsidRPr="00C66720" w:rsidRDefault="00781256" w:rsidP="0034470B">
      <w:pPr>
        <w:pStyle w:val="Pismenka"/>
        <w:tabs>
          <w:tab w:val="clear" w:pos="426"/>
        </w:tabs>
        <w:ind w:left="0" w:firstLine="0"/>
        <w:rPr>
          <w:b w:val="0"/>
          <w:bCs w:val="0"/>
          <w:sz w:val="22"/>
          <w:szCs w:val="22"/>
        </w:rPr>
      </w:pPr>
      <w:r w:rsidRPr="00C66720">
        <w:rPr>
          <w:b w:val="0"/>
          <w:bCs w:val="0"/>
          <w:sz w:val="22"/>
          <w:szCs w:val="22"/>
        </w:rPr>
        <w:lastRenderedPageBreak/>
        <w:t xml:space="preserve">zároveň vykazujú najväčší podiel iných účtovných jednotiek (133 130 tis. eur). </w:t>
      </w:r>
      <w:r w:rsidR="0029455B" w:rsidRPr="00C66720">
        <w:rPr>
          <w:b w:val="0"/>
          <w:bCs w:val="0"/>
          <w:sz w:val="22"/>
          <w:szCs w:val="22"/>
        </w:rPr>
        <w:t>Vo väčšine prípadov ide o podiely v spoločnostiach, ktoré sú vlastnené viacerými obcami a mestami zároveň (vodárenské, teplárenské spoločnosti, spoločnosti spravujúce kanalizácie a podobne).</w:t>
      </w:r>
    </w:p>
    <w:p w14:paraId="4188D6CC" w14:textId="77777777" w:rsidR="009270BF" w:rsidRPr="00C66720" w:rsidRDefault="009270BF" w:rsidP="00F37AA1">
      <w:pPr>
        <w:pStyle w:val="Pismenka"/>
        <w:numPr>
          <w:ilvl w:val="0"/>
          <w:numId w:val="21"/>
        </w:numPr>
        <w:spacing w:before="240" w:after="200"/>
        <w:ind w:left="284" w:hanging="284"/>
        <w:rPr>
          <w:bCs w:val="0"/>
          <w:sz w:val="24"/>
          <w:szCs w:val="24"/>
        </w:rPr>
      </w:pPr>
      <w:r w:rsidRPr="00C66720">
        <w:rPr>
          <w:bCs w:val="0"/>
          <w:sz w:val="24"/>
          <w:szCs w:val="24"/>
        </w:rPr>
        <w:t xml:space="preserve">Záväzky, rezervy, bankové úvery a výpomoci </w:t>
      </w:r>
    </w:p>
    <w:p w14:paraId="39A523A8" w14:textId="4523355A" w:rsidR="00A51247" w:rsidRPr="00C66720" w:rsidRDefault="009270BF" w:rsidP="0034470B">
      <w:pPr>
        <w:pStyle w:val="Pismenka"/>
        <w:tabs>
          <w:tab w:val="clear" w:pos="426"/>
        </w:tabs>
        <w:spacing w:after="120"/>
        <w:ind w:left="0" w:firstLine="0"/>
        <w:rPr>
          <w:b w:val="0"/>
          <w:bCs w:val="0"/>
          <w:color w:val="FF0000"/>
          <w:sz w:val="22"/>
          <w:szCs w:val="22"/>
          <w:highlight w:val="yellow"/>
        </w:rPr>
      </w:pPr>
      <w:r w:rsidRPr="00C66720">
        <w:rPr>
          <w:b w:val="0"/>
          <w:bCs w:val="0"/>
          <w:sz w:val="22"/>
          <w:szCs w:val="22"/>
        </w:rPr>
        <w:t>Záväzky</w:t>
      </w:r>
      <w:r w:rsidR="0031792D" w:rsidRPr="00C66720">
        <w:rPr>
          <w:b w:val="0"/>
          <w:bCs w:val="0"/>
          <w:sz w:val="22"/>
          <w:szCs w:val="22"/>
        </w:rPr>
        <w:t>, rezervy, bankové úvery a</w:t>
      </w:r>
      <w:r w:rsidR="005B036C" w:rsidRPr="00C66720">
        <w:rPr>
          <w:b w:val="0"/>
          <w:bCs w:val="0"/>
          <w:sz w:val="22"/>
          <w:szCs w:val="22"/>
        </w:rPr>
        <w:t> </w:t>
      </w:r>
      <w:r w:rsidR="0031792D" w:rsidRPr="00C66720">
        <w:rPr>
          <w:b w:val="0"/>
          <w:bCs w:val="0"/>
          <w:sz w:val="22"/>
          <w:szCs w:val="22"/>
        </w:rPr>
        <w:t>výpomoci</w:t>
      </w:r>
      <w:r w:rsidR="005B036C" w:rsidRPr="00C66720">
        <w:rPr>
          <w:b w:val="0"/>
          <w:bCs w:val="0"/>
          <w:sz w:val="22"/>
          <w:szCs w:val="22"/>
        </w:rPr>
        <w:t xml:space="preserve"> </w:t>
      </w:r>
      <w:r w:rsidR="00E3096F" w:rsidRPr="00C66720">
        <w:rPr>
          <w:b w:val="0"/>
          <w:bCs w:val="0"/>
          <w:sz w:val="22"/>
          <w:szCs w:val="22"/>
        </w:rPr>
        <w:t xml:space="preserve">spolu </w:t>
      </w:r>
      <w:r w:rsidRPr="00C66720">
        <w:rPr>
          <w:b w:val="0"/>
          <w:bCs w:val="0"/>
          <w:sz w:val="22"/>
          <w:szCs w:val="22"/>
        </w:rPr>
        <w:t>dosiahli hodnotu</w:t>
      </w:r>
      <w:r w:rsidR="00934804" w:rsidRPr="00C66720">
        <w:rPr>
          <w:b w:val="0"/>
          <w:bCs w:val="0"/>
          <w:sz w:val="22"/>
          <w:szCs w:val="22"/>
        </w:rPr>
        <w:t xml:space="preserve"> </w:t>
      </w:r>
      <w:r w:rsidR="00B91396" w:rsidRPr="00C66720">
        <w:rPr>
          <w:b w:val="0"/>
          <w:bCs w:val="0"/>
          <w:sz w:val="22"/>
          <w:szCs w:val="22"/>
        </w:rPr>
        <w:t>105 725 635</w:t>
      </w:r>
      <w:r w:rsidR="001F0BB1" w:rsidRPr="00C66720">
        <w:rPr>
          <w:b w:val="0"/>
          <w:bCs w:val="0"/>
          <w:sz w:val="22"/>
          <w:szCs w:val="22"/>
        </w:rPr>
        <w:t xml:space="preserve"> tis. eur </w:t>
      </w:r>
      <w:r w:rsidR="0055047E" w:rsidRPr="00C66720">
        <w:rPr>
          <w:b w:val="0"/>
          <w:bCs w:val="0"/>
          <w:sz w:val="22"/>
          <w:szCs w:val="22"/>
        </w:rPr>
        <w:t>a</w:t>
      </w:r>
      <w:r w:rsidRPr="00C66720">
        <w:rPr>
          <w:b w:val="0"/>
          <w:bCs w:val="0"/>
          <w:sz w:val="22"/>
          <w:szCs w:val="22"/>
        </w:rPr>
        <w:t xml:space="preserve"> </w:t>
      </w:r>
      <w:r w:rsidR="0055047E" w:rsidRPr="00C66720">
        <w:rPr>
          <w:b w:val="0"/>
          <w:bCs w:val="0"/>
          <w:sz w:val="22"/>
          <w:szCs w:val="22"/>
        </w:rPr>
        <w:t>m</w:t>
      </w:r>
      <w:r w:rsidR="00A51247" w:rsidRPr="00C66720">
        <w:rPr>
          <w:b w:val="0"/>
          <w:bCs w:val="0"/>
          <w:sz w:val="22"/>
          <w:szCs w:val="22"/>
        </w:rPr>
        <w:t xml:space="preserve">edziročne sa </w:t>
      </w:r>
      <w:r w:rsidR="00B91396" w:rsidRPr="00C66720">
        <w:rPr>
          <w:b w:val="0"/>
          <w:bCs w:val="0"/>
          <w:sz w:val="22"/>
          <w:szCs w:val="22"/>
        </w:rPr>
        <w:t xml:space="preserve">znížili </w:t>
      </w:r>
      <w:r w:rsidR="00A51247" w:rsidRPr="00C66720">
        <w:rPr>
          <w:b w:val="0"/>
          <w:bCs w:val="0"/>
          <w:sz w:val="22"/>
          <w:szCs w:val="22"/>
        </w:rPr>
        <w:t>o</w:t>
      </w:r>
      <w:r w:rsidR="00B91396" w:rsidRPr="00C66720">
        <w:rPr>
          <w:b w:val="0"/>
          <w:bCs w:val="0"/>
          <w:sz w:val="22"/>
          <w:szCs w:val="22"/>
        </w:rPr>
        <w:t> 7 876 906</w:t>
      </w:r>
      <w:r w:rsidR="001F0BB1" w:rsidRPr="00C66720">
        <w:rPr>
          <w:b w:val="0"/>
          <w:bCs w:val="0"/>
          <w:sz w:val="22"/>
          <w:szCs w:val="22"/>
        </w:rPr>
        <w:t xml:space="preserve"> </w:t>
      </w:r>
      <w:r w:rsidR="0055047E" w:rsidRPr="00C66720">
        <w:rPr>
          <w:b w:val="0"/>
          <w:bCs w:val="0"/>
          <w:sz w:val="22"/>
          <w:szCs w:val="22"/>
        </w:rPr>
        <w:t xml:space="preserve">tis. eur. </w:t>
      </w:r>
      <w:r w:rsidR="00276237" w:rsidRPr="00C66720">
        <w:rPr>
          <w:b w:val="0"/>
          <w:bCs w:val="0"/>
          <w:sz w:val="22"/>
          <w:szCs w:val="22"/>
        </w:rPr>
        <w:t xml:space="preserve">Medzi krátkodobými záväzkami sa vykazujú aj záväzky vyplývajúce zo zúčtovacích vzťahov medzi subjektami verejnej správy v celkovej hodnote </w:t>
      </w:r>
      <w:r w:rsidR="00947E26" w:rsidRPr="00C66720">
        <w:rPr>
          <w:b w:val="0"/>
          <w:bCs w:val="0"/>
          <w:sz w:val="22"/>
          <w:szCs w:val="22"/>
        </w:rPr>
        <w:t xml:space="preserve">817 293 tis. eur </w:t>
      </w:r>
      <w:r w:rsidR="005A69D1">
        <w:rPr>
          <w:b w:val="0"/>
          <w:bCs w:val="0"/>
          <w:sz w:val="22"/>
          <w:szCs w:val="22"/>
        </w:rPr>
        <w:br/>
      </w:r>
      <w:r w:rsidR="00947E26" w:rsidRPr="00C66720">
        <w:rPr>
          <w:b w:val="0"/>
          <w:bCs w:val="0"/>
          <w:sz w:val="22"/>
          <w:szCs w:val="22"/>
        </w:rPr>
        <w:t>(2021</w:t>
      </w:r>
      <w:r w:rsidR="00276237" w:rsidRPr="00C66720">
        <w:rPr>
          <w:b w:val="0"/>
          <w:bCs w:val="0"/>
          <w:sz w:val="22"/>
          <w:szCs w:val="22"/>
        </w:rPr>
        <w:t xml:space="preserve">: </w:t>
      </w:r>
      <w:r w:rsidR="00947E26" w:rsidRPr="00C66720">
        <w:rPr>
          <w:b w:val="0"/>
          <w:bCs w:val="0"/>
          <w:sz w:val="22"/>
          <w:szCs w:val="22"/>
        </w:rPr>
        <w:t xml:space="preserve">823 870 </w:t>
      </w:r>
      <w:r w:rsidR="00276237" w:rsidRPr="00C66720">
        <w:rPr>
          <w:b w:val="0"/>
          <w:bCs w:val="0"/>
          <w:sz w:val="22"/>
          <w:szCs w:val="22"/>
        </w:rPr>
        <w:t xml:space="preserve">tis. eur). </w:t>
      </w:r>
      <w:r w:rsidR="005C6293" w:rsidRPr="00C66720">
        <w:rPr>
          <w:b w:val="0"/>
          <w:bCs w:val="0"/>
          <w:sz w:val="22"/>
          <w:szCs w:val="22"/>
        </w:rPr>
        <w:t xml:space="preserve">Bankové úvery so splatnosťou dlhšou ako jeden rok sa vykazujú ako súčasť dlhodobých záväzkov v hodnote </w:t>
      </w:r>
      <w:r w:rsidR="00000629" w:rsidRPr="00C66720">
        <w:rPr>
          <w:b w:val="0"/>
          <w:bCs w:val="0"/>
          <w:sz w:val="22"/>
          <w:szCs w:val="22"/>
        </w:rPr>
        <w:t>5 969 129</w:t>
      </w:r>
      <w:r w:rsidR="005C6293" w:rsidRPr="00C66720">
        <w:rPr>
          <w:b w:val="0"/>
          <w:bCs w:val="0"/>
          <w:sz w:val="22"/>
          <w:szCs w:val="22"/>
        </w:rPr>
        <w:t xml:space="preserve"> tis. eur </w:t>
      </w:r>
      <w:r w:rsidR="00000629" w:rsidRPr="00C66720">
        <w:rPr>
          <w:b w:val="0"/>
          <w:bCs w:val="0"/>
          <w:sz w:val="22"/>
          <w:szCs w:val="22"/>
        </w:rPr>
        <w:t>(2021</w:t>
      </w:r>
      <w:r w:rsidR="005C6293" w:rsidRPr="00C66720">
        <w:rPr>
          <w:b w:val="0"/>
          <w:bCs w:val="0"/>
          <w:sz w:val="22"/>
          <w:szCs w:val="22"/>
        </w:rPr>
        <w:t xml:space="preserve">: </w:t>
      </w:r>
      <w:r w:rsidR="00000629" w:rsidRPr="00C66720">
        <w:rPr>
          <w:b w:val="0"/>
          <w:bCs w:val="0"/>
          <w:sz w:val="22"/>
          <w:szCs w:val="22"/>
        </w:rPr>
        <w:t xml:space="preserve">5 841 026 </w:t>
      </w:r>
      <w:r w:rsidR="005C6293" w:rsidRPr="00C66720">
        <w:rPr>
          <w:b w:val="0"/>
          <w:bCs w:val="0"/>
          <w:sz w:val="22"/>
          <w:szCs w:val="22"/>
        </w:rPr>
        <w:t xml:space="preserve">tis. eur) a so splatnosťou do jedného roka ako položka v rámci krátkodobých záväzkov v hodnote </w:t>
      </w:r>
      <w:r w:rsidR="005D7FA5" w:rsidRPr="00C66720">
        <w:rPr>
          <w:b w:val="0"/>
          <w:bCs w:val="0"/>
          <w:sz w:val="22"/>
          <w:szCs w:val="22"/>
        </w:rPr>
        <w:t>946 194 tis. eur (2021</w:t>
      </w:r>
      <w:r w:rsidR="005C6293" w:rsidRPr="00C66720">
        <w:rPr>
          <w:b w:val="0"/>
          <w:bCs w:val="0"/>
          <w:sz w:val="22"/>
          <w:szCs w:val="22"/>
        </w:rPr>
        <w:t xml:space="preserve">: </w:t>
      </w:r>
      <w:r w:rsidR="005D7FA5" w:rsidRPr="00C66720">
        <w:rPr>
          <w:b w:val="0"/>
          <w:bCs w:val="0"/>
          <w:sz w:val="22"/>
          <w:szCs w:val="22"/>
        </w:rPr>
        <w:t xml:space="preserve">648 235 </w:t>
      </w:r>
      <w:r w:rsidR="005C6293" w:rsidRPr="00C66720">
        <w:rPr>
          <w:b w:val="0"/>
          <w:bCs w:val="0"/>
          <w:sz w:val="22"/>
          <w:szCs w:val="22"/>
        </w:rPr>
        <w:t>tis. eur).</w:t>
      </w:r>
    </w:p>
    <w:p w14:paraId="0F55ABD1" w14:textId="21B336FF" w:rsidR="00EF22BC" w:rsidRPr="00C66720" w:rsidRDefault="0055047E" w:rsidP="0034470B">
      <w:pPr>
        <w:pStyle w:val="Pismenka"/>
        <w:tabs>
          <w:tab w:val="clear" w:pos="426"/>
        </w:tabs>
        <w:spacing w:before="180" w:after="120"/>
        <w:ind w:left="0" w:firstLine="0"/>
        <w:rPr>
          <w:b w:val="0"/>
          <w:bCs w:val="0"/>
          <w:sz w:val="22"/>
          <w:szCs w:val="22"/>
        </w:rPr>
      </w:pPr>
      <w:r w:rsidRPr="00C66720">
        <w:rPr>
          <w:b w:val="0"/>
          <w:bCs w:val="0"/>
          <w:sz w:val="22"/>
          <w:szCs w:val="22"/>
          <w:u w:val="single"/>
        </w:rPr>
        <w:t xml:space="preserve">Z celkovej sumy </w:t>
      </w:r>
      <w:r w:rsidR="000A1A32" w:rsidRPr="00C66720">
        <w:rPr>
          <w:b w:val="0"/>
          <w:bCs w:val="0"/>
          <w:sz w:val="22"/>
          <w:szCs w:val="22"/>
          <w:u w:val="single"/>
        </w:rPr>
        <w:t>týchto záväzkov</w:t>
      </w:r>
      <w:r w:rsidRPr="00C66720">
        <w:rPr>
          <w:b w:val="0"/>
          <w:bCs w:val="0"/>
          <w:sz w:val="22"/>
          <w:szCs w:val="22"/>
          <w:u w:val="single"/>
        </w:rPr>
        <w:t xml:space="preserve"> sú najvýznamnejšou položkou </w:t>
      </w:r>
      <w:r w:rsidR="009270BF" w:rsidRPr="00C66720">
        <w:rPr>
          <w:b w:val="0"/>
          <w:bCs w:val="0"/>
          <w:sz w:val="22"/>
          <w:szCs w:val="22"/>
          <w:u w:val="single"/>
        </w:rPr>
        <w:t>záväzky z</w:t>
      </w:r>
      <w:r w:rsidR="00A17919" w:rsidRPr="00C66720">
        <w:rPr>
          <w:b w:val="0"/>
          <w:bCs w:val="0"/>
          <w:sz w:val="22"/>
          <w:szCs w:val="22"/>
          <w:u w:val="single"/>
        </w:rPr>
        <w:t>o štátnych</w:t>
      </w:r>
      <w:r w:rsidR="00D65225" w:rsidRPr="00C66720">
        <w:rPr>
          <w:b w:val="0"/>
          <w:bCs w:val="0"/>
          <w:sz w:val="22"/>
          <w:szCs w:val="22"/>
          <w:u w:val="single"/>
        </w:rPr>
        <w:t> </w:t>
      </w:r>
      <w:r w:rsidR="00A17919" w:rsidRPr="00C66720">
        <w:rPr>
          <w:b w:val="0"/>
          <w:bCs w:val="0"/>
          <w:sz w:val="22"/>
          <w:szCs w:val="22"/>
          <w:u w:val="single"/>
        </w:rPr>
        <w:t>dlhopisov</w:t>
      </w:r>
      <w:r w:rsidR="00587A98" w:rsidRPr="00C66720">
        <w:rPr>
          <w:rStyle w:val="Odkaznapoznmkupodiarou"/>
          <w:b w:val="0"/>
          <w:bCs w:val="0"/>
          <w:sz w:val="22"/>
          <w:szCs w:val="22"/>
          <w:u w:val="single"/>
        </w:rPr>
        <w:footnoteReference w:id="4"/>
      </w:r>
      <w:r w:rsidR="00A17919" w:rsidRPr="00C66720">
        <w:rPr>
          <w:b w:val="0"/>
          <w:bCs w:val="0"/>
          <w:sz w:val="22"/>
          <w:szCs w:val="22"/>
        </w:rPr>
        <w:t xml:space="preserve"> </w:t>
      </w:r>
      <w:r w:rsidR="0097612B" w:rsidRPr="00C66720">
        <w:rPr>
          <w:b w:val="0"/>
          <w:bCs w:val="0"/>
          <w:sz w:val="22"/>
          <w:szCs w:val="22"/>
        </w:rPr>
        <w:t xml:space="preserve">vydávaných Agentúrou </w:t>
      </w:r>
      <w:r w:rsidR="0044755B" w:rsidRPr="00C66720">
        <w:rPr>
          <w:b w:val="0"/>
          <w:bCs w:val="0"/>
          <w:sz w:val="22"/>
          <w:szCs w:val="22"/>
        </w:rPr>
        <w:t>pre</w:t>
      </w:r>
      <w:r w:rsidR="0097612B" w:rsidRPr="00C66720">
        <w:rPr>
          <w:b w:val="0"/>
          <w:bCs w:val="0"/>
          <w:sz w:val="22"/>
          <w:szCs w:val="22"/>
        </w:rPr>
        <w:t xml:space="preserve"> riadenie dlhu a likvidity, ktorá emituje štátne cenné papiere v mene a na účet</w:t>
      </w:r>
      <w:r w:rsidR="00D65225" w:rsidRPr="00C66720">
        <w:rPr>
          <w:b w:val="0"/>
          <w:bCs w:val="0"/>
          <w:sz w:val="22"/>
          <w:szCs w:val="22"/>
        </w:rPr>
        <w:t xml:space="preserve"> Ministerstv</w:t>
      </w:r>
      <w:r w:rsidR="003F1958" w:rsidRPr="00C66720">
        <w:rPr>
          <w:b w:val="0"/>
          <w:bCs w:val="0"/>
          <w:sz w:val="22"/>
          <w:szCs w:val="22"/>
        </w:rPr>
        <w:t>a</w:t>
      </w:r>
      <w:r w:rsidR="00D65225" w:rsidRPr="00C66720">
        <w:rPr>
          <w:b w:val="0"/>
          <w:bCs w:val="0"/>
          <w:sz w:val="22"/>
          <w:szCs w:val="22"/>
        </w:rPr>
        <w:t xml:space="preserve"> financií SR na krytie </w:t>
      </w:r>
      <w:r w:rsidR="002A2571" w:rsidRPr="00C66720">
        <w:rPr>
          <w:b w:val="0"/>
          <w:bCs w:val="0"/>
          <w:sz w:val="22"/>
          <w:szCs w:val="22"/>
        </w:rPr>
        <w:t xml:space="preserve">výdavkov </w:t>
      </w:r>
      <w:r w:rsidR="00D65225" w:rsidRPr="00C66720">
        <w:rPr>
          <w:b w:val="0"/>
          <w:bCs w:val="0"/>
          <w:sz w:val="22"/>
          <w:szCs w:val="22"/>
        </w:rPr>
        <w:t xml:space="preserve">štátneho rozpočtu. </w:t>
      </w:r>
      <w:r w:rsidR="00E3096F" w:rsidRPr="00C66720">
        <w:rPr>
          <w:b w:val="0"/>
          <w:bCs w:val="0"/>
          <w:sz w:val="22"/>
          <w:szCs w:val="22"/>
          <w:u w:val="single"/>
        </w:rPr>
        <w:t xml:space="preserve">Dlhodobé </w:t>
      </w:r>
      <w:r w:rsidR="00F05122" w:rsidRPr="00C66720">
        <w:rPr>
          <w:b w:val="0"/>
          <w:bCs w:val="0"/>
          <w:sz w:val="22"/>
          <w:szCs w:val="22"/>
          <w:u w:val="single"/>
        </w:rPr>
        <w:t>štátne dlhopisy</w:t>
      </w:r>
      <w:r w:rsidR="00E3096F" w:rsidRPr="00C66720">
        <w:rPr>
          <w:b w:val="0"/>
          <w:bCs w:val="0"/>
          <w:sz w:val="22"/>
          <w:szCs w:val="22"/>
        </w:rPr>
        <w:t xml:space="preserve"> vykazované v záväzkoch tvoria z</w:t>
      </w:r>
      <w:r w:rsidR="00C45B8D" w:rsidRPr="00C66720">
        <w:rPr>
          <w:b w:val="0"/>
          <w:bCs w:val="0"/>
          <w:sz w:val="22"/>
          <w:szCs w:val="22"/>
        </w:rPr>
        <w:t xml:space="preserve"> celkovej </w:t>
      </w:r>
      <w:r w:rsidR="004E0940" w:rsidRPr="00C66720">
        <w:rPr>
          <w:b w:val="0"/>
          <w:bCs w:val="0"/>
          <w:sz w:val="22"/>
          <w:szCs w:val="22"/>
        </w:rPr>
        <w:t xml:space="preserve">hodnoty </w:t>
      </w:r>
      <w:r w:rsidR="001721A7">
        <w:rPr>
          <w:b w:val="0"/>
          <w:bCs w:val="0"/>
          <w:sz w:val="22"/>
          <w:szCs w:val="22"/>
        </w:rPr>
        <w:t>záväzkov</w:t>
      </w:r>
      <w:r w:rsidR="004E0940" w:rsidRPr="00C66720">
        <w:rPr>
          <w:b w:val="0"/>
          <w:bCs w:val="0"/>
          <w:sz w:val="22"/>
          <w:szCs w:val="22"/>
        </w:rPr>
        <w:t xml:space="preserve"> </w:t>
      </w:r>
      <w:r w:rsidR="0048244E" w:rsidRPr="00C66720">
        <w:rPr>
          <w:b w:val="0"/>
          <w:bCs w:val="0"/>
          <w:sz w:val="22"/>
          <w:szCs w:val="22"/>
        </w:rPr>
        <w:t>47,4</w:t>
      </w:r>
      <w:r w:rsidR="004E0940" w:rsidRPr="00C66720">
        <w:rPr>
          <w:b w:val="0"/>
          <w:bCs w:val="0"/>
          <w:sz w:val="22"/>
          <w:szCs w:val="22"/>
        </w:rPr>
        <w:t xml:space="preserve"> %</w:t>
      </w:r>
      <w:r w:rsidR="00EF22BC" w:rsidRPr="00C66720">
        <w:rPr>
          <w:b w:val="0"/>
          <w:bCs w:val="0"/>
          <w:sz w:val="22"/>
          <w:szCs w:val="22"/>
        </w:rPr>
        <w:t xml:space="preserve"> a medziročne ich podiel </w:t>
      </w:r>
      <w:r w:rsidR="00A9777C" w:rsidRPr="00C66720">
        <w:rPr>
          <w:b w:val="0"/>
          <w:bCs w:val="0"/>
          <w:sz w:val="22"/>
          <w:szCs w:val="22"/>
        </w:rPr>
        <w:t xml:space="preserve">mierne </w:t>
      </w:r>
      <w:r w:rsidR="0048244E" w:rsidRPr="00C66720">
        <w:rPr>
          <w:b w:val="0"/>
          <w:bCs w:val="0"/>
          <w:sz w:val="22"/>
          <w:szCs w:val="22"/>
        </w:rPr>
        <w:t>vzrástol</w:t>
      </w:r>
      <w:r w:rsidR="00EF22BC" w:rsidRPr="00C66720">
        <w:rPr>
          <w:b w:val="0"/>
          <w:bCs w:val="0"/>
          <w:sz w:val="22"/>
          <w:szCs w:val="22"/>
        </w:rPr>
        <w:t xml:space="preserve"> </w:t>
      </w:r>
      <w:r w:rsidR="005A69D1">
        <w:rPr>
          <w:b w:val="0"/>
          <w:bCs w:val="0"/>
          <w:sz w:val="22"/>
          <w:szCs w:val="22"/>
        </w:rPr>
        <w:br/>
      </w:r>
      <w:r w:rsidR="00EF22BC" w:rsidRPr="00C66720">
        <w:rPr>
          <w:b w:val="0"/>
          <w:bCs w:val="0"/>
          <w:sz w:val="22"/>
          <w:szCs w:val="22"/>
        </w:rPr>
        <w:t>o</w:t>
      </w:r>
      <w:r w:rsidR="0048244E" w:rsidRPr="00C66720">
        <w:rPr>
          <w:b w:val="0"/>
          <w:bCs w:val="0"/>
          <w:sz w:val="22"/>
          <w:szCs w:val="22"/>
        </w:rPr>
        <w:t> 3,8</w:t>
      </w:r>
      <w:r w:rsidR="00A9777C" w:rsidRPr="00C66720">
        <w:rPr>
          <w:b w:val="0"/>
          <w:bCs w:val="0"/>
          <w:sz w:val="22"/>
          <w:szCs w:val="22"/>
        </w:rPr>
        <w:t xml:space="preserve"> </w:t>
      </w:r>
      <w:r w:rsidR="00774874" w:rsidRPr="00C66720">
        <w:rPr>
          <w:b w:val="0"/>
          <w:bCs w:val="0"/>
          <w:sz w:val="22"/>
          <w:szCs w:val="22"/>
        </w:rPr>
        <w:t>p. b</w:t>
      </w:r>
      <w:r w:rsidR="000A1A32" w:rsidRPr="00C66720">
        <w:rPr>
          <w:b w:val="0"/>
          <w:bCs w:val="0"/>
          <w:sz w:val="22"/>
          <w:szCs w:val="22"/>
        </w:rPr>
        <w:t>.</w:t>
      </w:r>
      <w:r w:rsidR="00EF22BC" w:rsidRPr="00C66720">
        <w:rPr>
          <w:b w:val="0"/>
          <w:bCs w:val="0"/>
          <w:sz w:val="22"/>
          <w:szCs w:val="22"/>
        </w:rPr>
        <w:t xml:space="preserve"> </w:t>
      </w:r>
    </w:p>
    <w:p w14:paraId="64AD24D9" w14:textId="46A7557A" w:rsidR="00EF22BC" w:rsidRPr="00C66720" w:rsidRDefault="00E3096F" w:rsidP="0034470B">
      <w:pPr>
        <w:pStyle w:val="Pismenka"/>
        <w:tabs>
          <w:tab w:val="clear" w:pos="426"/>
        </w:tabs>
        <w:spacing w:after="120"/>
        <w:ind w:left="0" w:firstLine="0"/>
        <w:rPr>
          <w:b w:val="0"/>
          <w:bCs w:val="0"/>
          <w:sz w:val="22"/>
          <w:szCs w:val="22"/>
        </w:rPr>
      </w:pPr>
      <w:r w:rsidRPr="00C66720">
        <w:rPr>
          <w:b w:val="0"/>
          <w:bCs w:val="0"/>
          <w:sz w:val="22"/>
          <w:szCs w:val="22"/>
        </w:rPr>
        <w:t>K</w:t>
      </w:r>
      <w:r w:rsidR="004E0940" w:rsidRPr="00C66720">
        <w:rPr>
          <w:b w:val="0"/>
          <w:bCs w:val="0"/>
          <w:sz w:val="22"/>
          <w:szCs w:val="22"/>
        </w:rPr>
        <w:t>rátkodobé dlhové cenné papiere</w:t>
      </w:r>
      <w:r w:rsidRPr="00C66720">
        <w:rPr>
          <w:b w:val="0"/>
          <w:bCs w:val="0"/>
          <w:sz w:val="22"/>
          <w:szCs w:val="22"/>
        </w:rPr>
        <w:t xml:space="preserve"> </w:t>
      </w:r>
      <w:r w:rsidR="00F200EE" w:rsidRPr="00C66720">
        <w:rPr>
          <w:b w:val="0"/>
          <w:bCs w:val="0"/>
          <w:sz w:val="22"/>
          <w:szCs w:val="22"/>
        </w:rPr>
        <w:t xml:space="preserve">štátu </w:t>
      </w:r>
      <w:r w:rsidR="004E0940" w:rsidRPr="00C66720">
        <w:rPr>
          <w:b w:val="0"/>
          <w:bCs w:val="0"/>
          <w:sz w:val="22"/>
          <w:szCs w:val="22"/>
        </w:rPr>
        <w:t xml:space="preserve">tvoria z hodnoty </w:t>
      </w:r>
      <w:r w:rsidR="00AC08E4">
        <w:rPr>
          <w:b w:val="0"/>
          <w:bCs w:val="0"/>
          <w:sz w:val="22"/>
          <w:szCs w:val="22"/>
        </w:rPr>
        <w:t>záväzkov</w:t>
      </w:r>
      <w:r w:rsidR="004E0940" w:rsidRPr="00C66720">
        <w:rPr>
          <w:b w:val="0"/>
          <w:bCs w:val="0"/>
          <w:sz w:val="22"/>
          <w:szCs w:val="22"/>
        </w:rPr>
        <w:t xml:space="preserve"> </w:t>
      </w:r>
      <w:r w:rsidR="001C0803" w:rsidRPr="00C66720">
        <w:rPr>
          <w:b w:val="0"/>
          <w:bCs w:val="0"/>
          <w:sz w:val="22"/>
          <w:szCs w:val="22"/>
        </w:rPr>
        <w:t>4,9</w:t>
      </w:r>
      <w:r w:rsidR="004E0940" w:rsidRPr="00C66720">
        <w:rPr>
          <w:b w:val="0"/>
          <w:bCs w:val="0"/>
          <w:sz w:val="22"/>
          <w:szCs w:val="22"/>
        </w:rPr>
        <w:t xml:space="preserve"> %.</w:t>
      </w:r>
      <w:r w:rsidR="007715D7" w:rsidRPr="00C66720">
        <w:rPr>
          <w:b w:val="0"/>
          <w:bCs w:val="0"/>
          <w:sz w:val="22"/>
          <w:szCs w:val="22"/>
        </w:rPr>
        <w:t xml:space="preserve"> Celková hodnota záväzkov zo štátnych dlhopisov</w:t>
      </w:r>
      <w:r w:rsidR="00A1183B" w:rsidRPr="00C66720">
        <w:rPr>
          <w:b w:val="0"/>
          <w:bCs w:val="0"/>
          <w:sz w:val="22"/>
          <w:szCs w:val="22"/>
        </w:rPr>
        <w:t xml:space="preserve"> </w:t>
      </w:r>
      <w:r w:rsidR="007715D7" w:rsidRPr="00C66720">
        <w:rPr>
          <w:b w:val="0"/>
          <w:bCs w:val="0"/>
          <w:sz w:val="22"/>
          <w:szCs w:val="22"/>
        </w:rPr>
        <w:t xml:space="preserve">bola </w:t>
      </w:r>
      <w:r w:rsidR="001C0803" w:rsidRPr="00C66720">
        <w:rPr>
          <w:b w:val="0"/>
          <w:bCs w:val="0"/>
          <w:sz w:val="22"/>
          <w:szCs w:val="22"/>
        </w:rPr>
        <w:t>55 307 417</w:t>
      </w:r>
      <w:r w:rsidR="00F200EE" w:rsidRPr="00C66720">
        <w:rPr>
          <w:b w:val="0"/>
          <w:bCs w:val="0"/>
          <w:sz w:val="22"/>
          <w:szCs w:val="22"/>
        </w:rPr>
        <w:t xml:space="preserve"> tis. eur </w:t>
      </w:r>
      <w:r w:rsidR="00EF22BC" w:rsidRPr="00C66720">
        <w:rPr>
          <w:b w:val="0"/>
          <w:bCs w:val="0"/>
          <w:sz w:val="22"/>
          <w:szCs w:val="22"/>
        </w:rPr>
        <w:t>(20</w:t>
      </w:r>
      <w:r w:rsidR="001C0803" w:rsidRPr="00C66720">
        <w:rPr>
          <w:b w:val="0"/>
          <w:bCs w:val="0"/>
          <w:sz w:val="22"/>
          <w:szCs w:val="22"/>
        </w:rPr>
        <w:t>21</w:t>
      </w:r>
      <w:r w:rsidR="00EF22BC" w:rsidRPr="00C66720">
        <w:rPr>
          <w:b w:val="0"/>
          <w:bCs w:val="0"/>
          <w:sz w:val="22"/>
          <w:szCs w:val="22"/>
        </w:rPr>
        <w:t xml:space="preserve">: </w:t>
      </w:r>
      <w:r w:rsidR="001C0803" w:rsidRPr="00C66720">
        <w:rPr>
          <w:b w:val="0"/>
          <w:bCs w:val="0"/>
          <w:sz w:val="22"/>
          <w:szCs w:val="22"/>
        </w:rPr>
        <w:t xml:space="preserve">51 682 324 </w:t>
      </w:r>
      <w:r w:rsidR="00F200EE" w:rsidRPr="00C66720">
        <w:rPr>
          <w:b w:val="0"/>
          <w:bCs w:val="0"/>
          <w:sz w:val="22"/>
          <w:szCs w:val="22"/>
        </w:rPr>
        <w:t>tis. eur</w:t>
      </w:r>
      <w:r w:rsidR="00EF22BC" w:rsidRPr="00C66720">
        <w:rPr>
          <w:b w:val="0"/>
          <w:bCs w:val="0"/>
          <w:sz w:val="22"/>
          <w:szCs w:val="22"/>
        </w:rPr>
        <w:t>)</w:t>
      </w:r>
      <w:r w:rsidR="007715D7" w:rsidRPr="00C66720">
        <w:rPr>
          <w:b w:val="0"/>
          <w:bCs w:val="0"/>
          <w:sz w:val="22"/>
          <w:szCs w:val="22"/>
        </w:rPr>
        <w:t>.</w:t>
      </w:r>
      <w:r w:rsidR="00EF22BC" w:rsidRPr="00C66720">
        <w:rPr>
          <w:b w:val="0"/>
          <w:bCs w:val="0"/>
          <w:sz w:val="22"/>
          <w:szCs w:val="22"/>
        </w:rPr>
        <w:t xml:space="preserve"> </w:t>
      </w:r>
    </w:p>
    <w:p w14:paraId="7725A816" w14:textId="59CB8548" w:rsidR="00D832B3" w:rsidRPr="00C66720" w:rsidRDefault="001265A1" w:rsidP="0034470B">
      <w:pPr>
        <w:pStyle w:val="Pismenka"/>
        <w:tabs>
          <w:tab w:val="clear" w:pos="426"/>
        </w:tabs>
        <w:ind w:left="0" w:firstLine="0"/>
        <w:rPr>
          <w:b w:val="0"/>
          <w:bCs w:val="0"/>
          <w:sz w:val="22"/>
          <w:szCs w:val="22"/>
        </w:rPr>
      </w:pPr>
      <w:r w:rsidRPr="00C66720">
        <w:rPr>
          <w:b w:val="0"/>
          <w:bCs w:val="0"/>
          <w:sz w:val="22"/>
          <w:szCs w:val="22"/>
        </w:rPr>
        <w:t>Druh</w:t>
      </w:r>
      <w:r w:rsidR="00EE78E0" w:rsidRPr="00C66720">
        <w:rPr>
          <w:b w:val="0"/>
          <w:bCs w:val="0"/>
          <w:sz w:val="22"/>
          <w:szCs w:val="22"/>
        </w:rPr>
        <w:t>ú</w:t>
      </w:r>
      <w:r w:rsidRPr="00C66720">
        <w:rPr>
          <w:b w:val="0"/>
          <w:bCs w:val="0"/>
          <w:sz w:val="22"/>
          <w:szCs w:val="22"/>
        </w:rPr>
        <w:t xml:space="preserve"> najväčš</w:t>
      </w:r>
      <w:r w:rsidR="00EE78E0" w:rsidRPr="00C66720">
        <w:rPr>
          <w:b w:val="0"/>
          <w:bCs w:val="0"/>
          <w:sz w:val="22"/>
          <w:szCs w:val="22"/>
        </w:rPr>
        <w:t xml:space="preserve">ou položku v rámci </w:t>
      </w:r>
      <w:r w:rsidR="007C5496" w:rsidRPr="00C66720">
        <w:rPr>
          <w:b w:val="0"/>
          <w:bCs w:val="0"/>
          <w:sz w:val="22"/>
          <w:szCs w:val="22"/>
        </w:rPr>
        <w:t>skupiny B. pasív</w:t>
      </w:r>
      <w:r w:rsidR="00EE78E0" w:rsidRPr="00C66720">
        <w:rPr>
          <w:b w:val="0"/>
          <w:bCs w:val="0"/>
          <w:sz w:val="22"/>
          <w:szCs w:val="22"/>
        </w:rPr>
        <w:t xml:space="preserve"> predstavujú </w:t>
      </w:r>
      <w:r w:rsidR="001D541F" w:rsidRPr="00C66720">
        <w:rPr>
          <w:b w:val="0"/>
          <w:bCs w:val="0"/>
          <w:sz w:val="22"/>
          <w:szCs w:val="22"/>
          <w:u w:val="single"/>
        </w:rPr>
        <w:t xml:space="preserve">účtovné </w:t>
      </w:r>
      <w:r w:rsidRPr="00C66720">
        <w:rPr>
          <w:b w:val="0"/>
          <w:bCs w:val="0"/>
          <w:sz w:val="22"/>
          <w:szCs w:val="22"/>
          <w:u w:val="single"/>
        </w:rPr>
        <w:t>rezervy</w:t>
      </w:r>
      <w:r w:rsidR="0063656D" w:rsidRPr="00C66720">
        <w:rPr>
          <w:b w:val="0"/>
          <w:bCs w:val="0"/>
          <w:sz w:val="22"/>
          <w:szCs w:val="22"/>
        </w:rPr>
        <w:t xml:space="preserve"> v hodnote </w:t>
      </w:r>
      <w:r w:rsidR="00371540" w:rsidRPr="00C66720">
        <w:rPr>
          <w:b w:val="0"/>
          <w:bCs w:val="0"/>
          <w:sz w:val="22"/>
          <w:szCs w:val="22"/>
        </w:rPr>
        <w:br/>
      </w:r>
      <w:r w:rsidR="004B08BF" w:rsidRPr="00C66720">
        <w:rPr>
          <w:b w:val="0"/>
          <w:bCs w:val="0"/>
          <w:sz w:val="22"/>
          <w:szCs w:val="22"/>
        </w:rPr>
        <w:t>29 879 885</w:t>
      </w:r>
      <w:r w:rsidR="006F43CD" w:rsidRPr="00C66720">
        <w:rPr>
          <w:b w:val="0"/>
          <w:bCs w:val="0"/>
          <w:sz w:val="22"/>
          <w:szCs w:val="22"/>
        </w:rPr>
        <w:t xml:space="preserve"> tis. eur</w:t>
      </w:r>
      <w:r w:rsidR="00990E8D" w:rsidRPr="00C66720">
        <w:rPr>
          <w:b w:val="0"/>
          <w:bCs w:val="0"/>
          <w:sz w:val="22"/>
          <w:szCs w:val="22"/>
        </w:rPr>
        <w:t xml:space="preserve">, čo predstavuje medziročný </w:t>
      </w:r>
      <w:r w:rsidR="00EE78E0" w:rsidRPr="00C66720">
        <w:rPr>
          <w:b w:val="0"/>
          <w:bCs w:val="0"/>
          <w:sz w:val="22"/>
          <w:szCs w:val="22"/>
        </w:rPr>
        <w:t xml:space="preserve">kumulatívny </w:t>
      </w:r>
      <w:r w:rsidR="004B08BF" w:rsidRPr="00C66720">
        <w:rPr>
          <w:b w:val="0"/>
          <w:bCs w:val="0"/>
          <w:sz w:val="22"/>
          <w:szCs w:val="22"/>
        </w:rPr>
        <w:t>úbytok</w:t>
      </w:r>
      <w:r w:rsidR="00534364" w:rsidRPr="00C66720">
        <w:rPr>
          <w:b w:val="0"/>
          <w:bCs w:val="0"/>
          <w:sz w:val="22"/>
          <w:szCs w:val="22"/>
        </w:rPr>
        <w:t xml:space="preserve"> </w:t>
      </w:r>
      <w:r w:rsidR="004B08BF" w:rsidRPr="00C66720">
        <w:rPr>
          <w:b w:val="0"/>
          <w:bCs w:val="0"/>
          <w:sz w:val="22"/>
          <w:szCs w:val="22"/>
        </w:rPr>
        <w:t>12 814 618</w:t>
      </w:r>
      <w:r w:rsidR="006F43CD" w:rsidRPr="00C66720">
        <w:rPr>
          <w:b w:val="0"/>
          <w:bCs w:val="0"/>
          <w:sz w:val="22"/>
          <w:szCs w:val="22"/>
        </w:rPr>
        <w:t xml:space="preserve"> </w:t>
      </w:r>
      <w:r w:rsidR="00D832B3" w:rsidRPr="00C66720">
        <w:rPr>
          <w:b w:val="0"/>
          <w:bCs w:val="0"/>
          <w:sz w:val="22"/>
          <w:szCs w:val="22"/>
        </w:rPr>
        <w:t>tis. eur.</w:t>
      </w:r>
    </w:p>
    <w:p w14:paraId="7AAE4AD3" w14:textId="69772AFC" w:rsidR="00990E8D" w:rsidRPr="00C66720" w:rsidRDefault="00990E8D" w:rsidP="0034470B">
      <w:pPr>
        <w:pStyle w:val="Pismenka"/>
        <w:tabs>
          <w:tab w:val="clear" w:pos="426"/>
        </w:tabs>
        <w:spacing w:before="120"/>
        <w:ind w:left="0" w:firstLine="0"/>
        <w:rPr>
          <w:b w:val="0"/>
          <w:bCs w:val="0"/>
          <w:sz w:val="22"/>
          <w:szCs w:val="22"/>
        </w:rPr>
      </w:pPr>
      <w:r w:rsidRPr="00C66720">
        <w:rPr>
          <w:b w:val="0"/>
          <w:bCs w:val="0"/>
          <w:sz w:val="22"/>
          <w:szCs w:val="22"/>
          <w:u w:val="single"/>
        </w:rPr>
        <w:t>Bankové úvery</w:t>
      </w:r>
      <w:r w:rsidRPr="00C66720">
        <w:rPr>
          <w:b w:val="0"/>
          <w:bCs w:val="0"/>
          <w:sz w:val="22"/>
          <w:szCs w:val="22"/>
        </w:rPr>
        <w:t xml:space="preserve"> </w:t>
      </w:r>
      <w:r w:rsidR="00B37B5D" w:rsidRPr="00C66720">
        <w:rPr>
          <w:b w:val="0"/>
          <w:bCs w:val="0"/>
          <w:sz w:val="22"/>
          <w:szCs w:val="22"/>
        </w:rPr>
        <w:t xml:space="preserve">tvoria tretie najvyššie záväzky a dosiahli </w:t>
      </w:r>
      <w:r w:rsidR="00396039" w:rsidRPr="00C66720">
        <w:rPr>
          <w:b w:val="0"/>
          <w:bCs w:val="0"/>
          <w:sz w:val="22"/>
          <w:szCs w:val="22"/>
        </w:rPr>
        <w:t>6 915 323</w:t>
      </w:r>
      <w:r w:rsidR="006F1614" w:rsidRPr="00C66720">
        <w:rPr>
          <w:b w:val="0"/>
          <w:bCs w:val="0"/>
          <w:sz w:val="22"/>
          <w:szCs w:val="22"/>
        </w:rPr>
        <w:t xml:space="preserve"> </w:t>
      </w:r>
      <w:r w:rsidR="00B37B5D" w:rsidRPr="00C66720">
        <w:rPr>
          <w:b w:val="0"/>
          <w:bCs w:val="0"/>
          <w:sz w:val="22"/>
          <w:szCs w:val="22"/>
        </w:rPr>
        <w:t>tis. eur</w:t>
      </w:r>
      <w:r w:rsidR="009D06F8" w:rsidRPr="00C66720">
        <w:rPr>
          <w:b w:val="0"/>
          <w:bCs w:val="0"/>
          <w:sz w:val="22"/>
          <w:szCs w:val="22"/>
        </w:rPr>
        <w:t xml:space="preserve"> (v tom dlhodobé </w:t>
      </w:r>
      <w:r w:rsidR="00396039" w:rsidRPr="00C66720">
        <w:rPr>
          <w:b w:val="0"/>
          <w:bCs w:val="0"/>
          <w:sz w:val="22"/>
          <w:szCs w:val="22"/>
        </w:rPr>
        <w:br/>
        <w:t>5 969 129</w:t>
      </w:r>
      <w:r w:rsidR="009D06F8" w:rsidRPr="00C66720">
        <w:rPr>
          <w:b w:val="0"/>
          <w:bCs w:val="0"/>
          <w:sz w:val="22"/>
          <w:szCs w:val="22"/>
        </w:rPr>
        <w:t xml:space="preserve"> tis. eur a krátkodobé </w:t>
      </w:r>
      <w:r w:rsidR="00396039" w:rsidRPr="00C66720">
        <w:rPr>
          <w:b w:val="0"/>
          <w:bCs w:val="0"/>
          <w:sz w:val="22"/>
          <w:szCs w:val="22"/>
        </w:rPr>
        <w:t>946 194</w:t>
      </w:r>
      <w:r w:rsidR="009D06F8" w:rsidRPr="00C66720">
        <w:rPr>
          <w:b w:val="0"/>
          <w:bCs w:val="0"/>
          <w:sz w:val="22"/>
          <w:szCs w:val="22"/>
        </w:rPr>
        <w:t xml:space="preserve"> tis. eur)</w:t>
      </w:r>
      <w:r w:rsidR="00B37B5D" w:rsidRPr="00C66720">
        <w:rPr>
          <w:b w:val="0"/>
          <w:bCs w:val="0"/>
          <w:sz w:val="22"/>
          <w:szCs w:val="22"/>
        </w:rPr>
        <w:t xml:space="preserve">, </w:t>
      </w:r>
      <w:r w:rsidRPr="00C66720">
        <w:rPr>
          <w:b w:val="0"/>
          <w:bCs w:val="0"/>
          <w:sz w:val="22"/>
          <w:szCs w:val="22"/>
        </w:rPr>
        <w:t xml:space="preserve">medziročne </w:t>
      </w:r>
      <w:r w:rsidR="00B37B5D" w:rsidRPr="00C66720">
        <w:rPr>
          <w:b w:val="0"/>
          <w:bCs w:val="0"/>
          <w:sz w:val="22"/>
          <w:szCs w:val="22"/>
        </w:rPr>
        <w:t xml:space="preserve">boli </w:t>
      </w:r>
      <w:r w:rsidR="00C3103D" w:rsidRPr="00C66720">
        <w:rPr>
          <w:b w:val="0"/>
          <w:bCs w:val="0"/>
          <w:sz w:val="22"/>
          <w:szCs w:val="22"/>
        </w:rPr>
        <w:t>vyššie</w:t>
      </w:r>
      <w:r w:rsidR="00ED5896" w:rsidRPr="00C66720">
        <w:rPr>
          <w:b w:val="0"/>
          <w:bCs w:val="0"/>
          <w:sz w:val="22"/>
          <w:szCs w:val="22"/>
        </w:rPr>
        <w:t xml:space="preserve"> kumulatívne</w:t>
      </w:r>
      <w:r w:rsidR="00D832B3" w:rsidRPr="00C66720">
        <w:rPr>
          <w:b w:val="0"/>
          <w:bCs w:val="0"/>
          <w:sz w:val="22"/>
          <w:szCs w:val="22"/>
        </w:rPr>
        <w:t xml:space="preserve"> </w:t>
      </w:r>
      <w:r w:rsidRPr="00C66720">
        <w:rPr>
          <w:b w:val="0"/>
          <w:bCs w:val="0"/>
          <w:sz w:val="22"/>
          <w:szCs w:val="22"/>
        </w:rPr>
        <w:t>o</w:t>
      </w:r>
      <w:r w:rsidR="00396039" w:rsidRPr="00C66720">
        <w:rPr>
          <w:b w:val="0"/>
          <w:bCs w:val="0"/>
          <w:sz w:val="22"/>
          <w:szCs w:val="22"/>
        </w:rPr>
        <w:t> 426 062</w:t>
      </w:r>
      <w:r w:rsidRPr="00C66720">
        <w:rPr>
          <w:b w:val="0"/>
          <w:bCs w:val="0"/>
          <w:sz w:val="22"/>
          <w:szCs w:val="22"/>
        </w:rPr>
        <w:t xml:space="preserve"> tis. eur.</w:t>
      </w:r>
    </w:p>
    <w:p w14:paraId="60517370" w14:textId="4AA65C82" w:rsidR="00C1104E" w:rsidRPr="00C66720" w:rsidRDefault="004C6EA9" w:rsidP="009B14EC">
      <w:pPr>
        <w:pStyle w:val="Pismenka"/>
        <w:tabs>
          <w:tab w:val="clear" w:pos="426"/>
        </w:tabs>
        <w:spacing w:before="120"/>
        <w:ind w:left="0" w:firstLine="0"/>
        <w:rPr>
          <w:b w:val="0"/>
          <w:bCs w:val="0"/>
          <w:sz w:val="22"/>
          <w:szCs w:val="22"/>
        </w:rPr>
      </w:pPr>
      <w:r w:rsidRPr="00C66720">
        <w:rPr>
          <w:b w:val="0"/>
          <w:bCs w:val="0"/>
          <w:sz w:val="22"/>
          <w:szCs w:val="22"/>
          <w:u w:val="single"/>
        </w:rPr>
        <w:t>Z ostatných záväzkov</w:t>
      </w:r>
      <w:r w:rsidRPr="00C66720">
        <w:rPr>
          <w:b w:val="0"/>
          <w:bCs w:val="0"/>
          <w:sz w:val="22"/>
          <w:szCs w:val="22"/>
        </w:rPr>
        <w:t xml:space="preserve"> sú významné záväzky </w:t>
      </w:r>
      <w:r w:rsidR="00D67E65" w:rsidRPr="00C66720">
        <w:rPr>
          <w:b w:val="0"/>
          <w:bCs w:val="0"/>
          <w:sz w:val="22"/>
          <w:szCs w:val="22"/>
        </w:rPr>
        <w:t>zo zúčtovania s Európskou úniou (4 130 293 tis. eur),</w:t>
      </w:r>
      <w:r w:rsidR="004349A8" w:rsidRPr="00C66720">
        <w:rPr>
          <w:b w:val="0"/>
          <w:bCs w:val="0"/>
          <w:sz w:val="22"/>
          <w:szCs w:val="22"/>
        </w:rPr>
        <w:t xml:space="preserve"> záväzky voči dodávateľom s krátkodobou dobou splatnosti (1 974 791 tis. eur),</w:t>
      </w:r>
      <w:r w:rsidR="00EC20F0" w:rsidRPr="00C66720">
        <w:rPr>
          <w:b w:val="0"/>
          <w:bCs w:val="0"/>
          <w:sz w:val="22"/>
          <w:szCs w:val="22"/>
        </w:rPr>
        <w:t xml:space="preserve"> záväzky </w:t>
      </w:r>
      <w:r w:rsidR="007A303A" w:rsidRPr="00C66720">
        <w:rPr>
          <w:b w:val="0"/>
          <w:bCs w:val="0"/>
          <w:sz w:val="22"/>
          <w:szCs w:val="22"/>
        </w:rPr>
        <w:t>Ministerstva financií</w:t>
      </w:r>
      <w:r w:rsidR="00056AEF" w:rsidRPr="00C66720">
        <w:rPr>
          <w:b w:val="0"/>
          <w:bCs w:val="0"/>
          <w:sz w:val="22"/>
          <w:szCs w:val="22"/>
        </w:rPr>
        <w:t xml:space="preserve"> </w:t>
      </w:r>
      <w:r w:rsidR="00DA6ADB" w:rsidRPr="00C66720">
        <w:rPr>
          <w:b w:val="0"/>
          <w:bCs w:val="0"/>
          <w:sz w:val="22"/>
          <w:szCs w:val="22"/>
        </w:rPr>
        <w:t>SR</w:t>
      </w:r>
      <w:r w:rsidR="007A303A" w:rsidRPr="00C66720">
        <w:rPr>
          <w:b w:val="0"/>
          <w:bCs w:val="0"/>
          <w:sz w:val="22"/>
          <w:szCs w:val="22"/>
        </w:rPr>
        <w:t xml:space="preserve"> </w:t>
      </w:r>
      <w:r w:rsidR="00D67E65" w:rsidRPr="00C66720">
        <w:rPr>
          <w:b w:val="0"/>
          <w:bCs w:val="0"/>
          <w:sz w:val="22"/>
          <w:szCs w:val="22"/>
        </w:rPr>
        <w:t xml:space="preserve"> </w:t>
      </w:r>
      <w:r w:rsidR="00056AEF" w:rsidRPr="00C66720">
        <w:rPr>
          <w:b w:val="0"/>
          <w:bCs w:val="0"/>
          <w:sz w:val="22"/>
          <w:szCs w:val="22"/>
        </w:rPr>
        <w:t>(</w:t>
      </w:r>
      <w:r w:rsidR="00C14AE2" w:rsidRPr="00C66720">
        <w:rPr>
          <w:b w:val="0"/>
          <w:bCs w:val="0"/>
          <w:sz w:val="22"/>
          <w:szCs w:val="22"/>
        </w:rPr>
        <w:t>1</w:t>
      </w:r>
      <w:r w:rsidR="00CA6ECE" w:rsidRPr="00C66720">
        <w:rPr>
          <w:b w:val="0"/>
          <w:bCs w:val="0"/>
          <w:sz w:val="22"/>
          <w:szCs w:val="22"/>
        </w:rPr>
        <w:t> 771 583</w:t>
      </w:r>
      <w:r w:rsidR="00056AEF" w:rsidRPr="00C66720">
        <w:rPr>
          <w:b w:val="0"/>
          <w:bCs w:val="0"/>
          <w:sz w:val="22"/>
          <w:szCs w:val="22"/>
        </w:rPr>
        <w:t xml:space="preserve"> tis.</w:t>
      </w:r>
      <w:r w:rsidR="00461054" w:rsidRPr="00C66720">
        <w:rPr>
          <w:b w:val="0"/>
          <w:bCs w:val="0"/>
          <w:sz w:val="22"/>
          <w:szCs w:val="22"/>
        </w:rPr>
        <w:t xml:space="preserve"> eur) zo správy daní (najmä z nadmerných odpočtov, úhrad na základe predbežných opatrení),</w:t>
      </w:r>
      <w:r w:rsidR="006918A8" w:rsidRPr="00C66720">
        <w:rPr>
          <w:b w:val="0"/>
          <w:bCs w:val="0"/>
          <w:sz w:val="22"/>
          <w:szCs w:val="22"/>
        </w:rPr>
        <w:t xml:space="preserve"> záväzky</w:t>
      </w:r>
      <w:r w:rsidR="00B9691A" w:rsidRPr="00C66720">
        <w:rPr>
          <w:b w:val="0"/>
          <w:bCs w:val="0"/>
          <w:sz w:val="22"/>
          <w:szCs w:val="22"/>
        </w:rPr>
        <w:t xml:space="preserve"> zo zúčtovania medzi subjektami verejnej správy (817 293 tis. eur),</w:t>
      </w:r>
      <w:r w:rsidR="006918A8" w:rsidRPr="00C66720">
        <w:rPr>
          <w:b w:val="0"/>
          <w:bCs w:val="0"/>
          <w:sz w:val="22"/>
          <w:szCs w:val="22"/>
        </w:rPr>
        <w:t xml:space="preserve"> </w:t>
      </w:r>
      <w:r w:rsidR="00900E34" w:rsidRPr="00C66720">
        <w:rPr>
          <w:b w:val="0"/>
          <w:bCs w:val="0"/>
          <w:sz w:val="22"/>
          <w:szCs w:val="22"/>
        </w:rPr>
        <w:t xml:space="preserve">záväzky Národného jadrového fondu </w:t>
      </w:r>
      <w:r w:rsidR="00B46922" w:rsidRPr="00C66720">
        <w:rPr>
          <w:b w:val="0"/>
          <w:bCs w:val="0"/>
          <w:sz w:val="22"/>
          <w:szCs w:val="22"/>
        </w:rPr>
        <w:t>(</w:t>
      </w:r>
      <w:r w:rsidR="004349A8" w:rsidRPr="00C66720">
        <w:rPr>
          <w:b w:val="0"/>
          <w:bCs w:val="0"/>
          <w:sz w:val="22"/>
          <w:szCs w:val="22"/>
        </w:rPr>
        <w:t>636 300</w:t>
      </w:r>
      <w:r w:rsidR="00900E34" w:rsidRPr="00C66720">
        <w:rPr>
          <w:b w:val="0"/>
          <w:bCs w:val="0"/>
          <w:sz w:val="22"/>
          <w:szCs w:val="22"/>
        </w:rPr>
        <w:t xml:space="preserve"> tis. eur), </w:t>
      </w:r>
      <w:r w:rsidR="006918A8" w:rsidRPr="00C66720">
        <w:rPr>
          <w:b w:val="0"/>
          <w:bCs w:val="0"/>
          <w:sz w:val="22"/>
          <w:szCs w:val="22"/>
        </w:rPr>
        <w:t>záväzky Slovenského plynárenského priemyslu, a.s. (</w:t>
      </w:r>
      <w:r w:rsidR="00861C5A" w:rsidRPr="00C66720">
        <w:rPr>
          <w:b w:val="0"/>
          <w:bCs w:val="0"/>
          <w:sz w:val="22"/>
          <w:szCs w:val="22"/>
        </w:rPr>
        <w:t>605 323</w:t>
      </w:r>
      <w:r w:rsidR="006918A8" w:rsidRPr="00C66720">
        <w:rPr>
          <w:b w:val="0"/>
          <w:bCs w:val="0"/>
          <w:sz w:val="22"/>
          <w:szCs w:val="22"/>
        </w:rPr>
        <w:t xml:space="preserve"> tis. eur), </w:t>
      </w:r>
      <w:r w:rsidRPr="00C66720">
        <w:rPr>
          <w:b w:val="0"/>
          <w:bCs w:val="0"/>
          <w:sz w:val="22"/>
          <w:szCs w:val="22"/>
        </w:rPr>
        <w:t>záväzky voči zamestnancom (</w:t>
      </w:r>
      <w:r w:rsidR="00B9691A" w:rsidRPr="00C66720">
        <w:rPr>
          <w:b w:val="0"/>
          <w:bCs w:val="0"/>
          <w:sz w:val="22"/>
          <w:szCs w:val="22"/>
        </w:rPr>
        <w:t>591 806</w:t>
      </w:r>
      <w:r w:rsidR="000D256D" w:rsidRPr="00C66720">
        <w:rPr>
          <w:b w:val="0"/>
          <w:bCs w:val="0"/>
          <w:sz w:val="22"/>
          <w:szCs w:val="22"/>
        </w:rPr>
        <w:t xml:space="preserve"> tis. eur), prijaté preddavky </w:t>
      </w:r>
      <w:r w:rsidR="000E4B44" w:rsidRPr="00C66720">
        <w:rPr>
          <w:b w:val="0"/>
          <w:bCs w:val="0"/>
          <w:sz w:val="22"/>
          <w:szCs w:val="22"/>
        </w:rPr>
        <w:br/>
      </w:r>
      <w:r w:rsidR="000D256D" w:rsidRPr="00C66720">
        <w:rPr>
          <w:b w:val="0"/>
          <w:bCs w:val="0"/>
          <w:sz w:val="22"/>
          <w:szCs w:val="22"/>
        </w:rPr>
        <w:t>(</w:t>
      </w:r>
      <w:r w:rsidR="00B9691A" w:rsidRPr="00C66720">
        <w:rPr>
          <w:b w:val="0"/>
          <w:bCs w:val="0"/>
          <w:sz w:val="22"/>
          <w:szCs w:val="22"/>
        </w:rPr>
        <w:t>146 241</w:t>
      </w:r>
      <w:r w:rsidR="003079DC" w:rsidRPr="00C66720">
        <w:rPr>
          <w:b w:val="0"/>
          <w:bCs w:val="0"/>
          <w:sz w:val="22"/>
          <w:szCs w:val="22"/>
        </w:rPr>
        <w:t xml:space="preserve"> tis. eur).</w:t>
      </w:r>
    </w:p>
    <w:p w14:paraId="0FFF14AC" w14:textId="5FE7400B" w:rsidR="00D91AA2" w:rsidRPr="00C66720" w:rsidRDefault="00D91AA2" w:rsidP="004A4D70">
      <w:pPr>
        <w:pStyle w:val="Pismenka"/>
        <w:tabs>
          <w:tab w:val="clear" w:pos="426"/>
        </w:tabs>
        <w:spacing w:before="240" w:after="200"/>
        <w:ind w:left="425" w:hanging="425"/>
        <w:rPr>
          <w:bCs w:val="0"/>
          <w:sz w:val="24"/>
          <w:szCs w:val="24"/>
        </w:rPr>
      </w:pPr>
      <w:r w:rsidRPr="00C66720">
        <w:rPr>
          <w:bCs w:val="0"/>
          <w:sz w:val="24"/>
          <w:szCs w:val="24"/>
        </w:rPr>
        <w:t>B.I. Dlhodobé záväzky</w:t>
      </w:r>
    </w:p>
    <w:p w14:paraId="7CCED915" w14:textId="17F548E2" w:rsidR="0052671B" w:rsidRPr="00C66720" w:rsidRDefault="00B4594A" w:rsidP="009B14EC">
      <w:pPr>
        <w:pStyle w:val="Pismenka"/>
        <w:tabs>
          <w:tab w:val="clear" w:pos="426"/>
        </w:tabs>
        <w:spacing w:after="240"/>
        <w:ind w:left="0" w:firstLine="0"/>
        <w:rPr>
          <w:b w:val="0"/>
          <w:bCs w:val="0"/>
          <w:sz w:val="22"/>
          <w:szCs w:val="22"/>
        </w:rPr>
      </w:pPr>
      <w:r w:rsidRPr="00C66720">
        <w:rPr>
          <w:b w:val="0"/>
          <w:bCs w:val="0"/>
          <w:sz w:val="22"/>
          <w:szCs w:val="22"/>
        </w:rPr>
        <w:t xml:space="preserve">Dlhodobé záväzky súhrnného celku dosiahli hodnotu </w:t>
      </w:r>
      <w:r w:rsidR="000846E7" w:rsidRPr="00C66720">
        <w:rPr>
          <w:b w:val="0"/>
          <w:bCs w:val="0"/>
          <w:sz w:val="22"/>
          <w:szCs w:val="22"/>
        </w:rPr>
        <w:t>57 205 521</w:t>
      </w:r>
      <w:r w:rsidRPr="00C66720">
        <w:rPr>
          <w:b w:val="0"/>
          <w:bCs w:val="0"/>
          <w:sz w:val="22"/>
          <w:szCs w:val="22"/>
        </w:rPr>
        <w:t xml:space="preserve"> tis. eur a medziročne sa zvýšili </w:t>
      </w:r>
      <w:r w:rsidR="005E7D2C" w:rsidRPr="00C66720">
        <w:rPr>
          <w:b w:val="0"/>
          <w:bCs w:val="0"/>
          <w:sz w:val="22"/>
          <w:szCs w:val="22"/>
        </w:rPr>
        <w:br/>
      </w:r>
      <w:r w:rsidRPr="00C66720">
        <w:rPr>
          <w:b w:val="0"/>
          <w:bCs w:val="0"/>
          <w:sz w:val="22"/>
          <w:szCs w:val="22"/>
        </w:rPr>
        <w:t>o</w:t>
      </w:r>
      <w:r w:rsidR="005E7D2C" w:rsidRPr="00C66720">
        <w:rPr>
          <w:b w:val="0"/>
          <w:bCs w:val="0"/>
          <w:sz w:val="22"/>
          <w:szCs w:val="22"/>
        </w:rPr>
        <w:t> </w:t>
      </w:r>
      <w:r w:rsidR="000846E7" w:rsidRPr="00C66720">
        <w:rPr>
          <w:b w:val="0"/>
          <w:bCs w:val="0"/>
          <w:sz w:val="22"/>
          <w:szCs w:val="22"/>
        </w:rPr>
        <w:t>9 603</w:t>
      </w:r>
      <w:r w:rsidRPr="00C66720">
        <w:rPr>
          <w:b w:val="0"/>
          <w:bCs w:val="0"/>
          <w:sz w:val="22"/>
          <w:szCs w:val="22"/>
        </w:rPr>
        <w:t xml:space="preserve"> tis. eur. </w:t>
      </w:r>
    </w:p>
    <w:p w14:paraId="65066E4D" w14:textId="6883B3EC" w:rsidR="0038164A" w:rsidRPr="00C66720" w:rsidRDefault="0038164A" w:rsidP="008F097E">
      <w:pPr>
        <w:pStyle w:val="Pismenka"/>
        <w:numPr>
          <w:ilvl w:val="0"/>
          <w:numId w:val="44"/>
        </w:numPr>
        <w:spacing w:after="120"/>
        <w:ind w:left="284" w:hanging="284"/>
        <w:rPr>
          <w:i/>
          <w:sz w:val="22"/>
          <w:szCs w:val="22"/>
          <w:u w:val="single"/>
        </w:rPr>
      </w:pPr>
      <w:bookmarkStart w:id="34" w:name="_Ref86092123"/>
      <w:r w:rsidRPr="00C66720">
        <w:rPr>
          <w:i/>
          <w:sz w:val="22"/>
          <w:szCs w:val="22"/>
          <w:u w:val="single"/>
        </w:rPr>
        <w:t>Štátne dlhopisy</w:t>
      </w:r>
      <w:bookmarkEnd w:id="34"/>
    </w:p>
    <w:p w14:paraId="2673D7ED" w14:textId="081E28DD" w:rsidR="00B4594A" w:rsidRPr="00C66720" w:rsidRDefault="00BE03D4" w:rsidP="00B80247">
      <w:pPr>
        <w:pStyle w:val="Pismenka"/>
        <w:tabs>
          <w:tab w:val="clear" w:pos="426"/>
        </w:tabs>
        <w:ind w:left="0" w:firstLine="0"/>
        <w:rPr>
          <w:b w:val="0"/>
          <w:bCs w:val="0"/>
          <w:sz w:val="22"/>
          <w:szCs w:val="22"/>
        </w:rPr>
      </w:pPr>
      <w:r w:rsidRPr="00C66720">
        <w:rPr>
          <w:b w:val="0"/>
          <w:bCs w:val="0"/>
          <w:i/>
          <w:sz w:val="22"/>
          <w:szCs w:val="22"/>
          <w:u w:val="single"/>
        </w:rPr>
        <w:t>Š</w:t>
      </w:r>
      <w:r w:rsidR="00B4594A" w:rsidRPr="00C66720">
        <w:rPr>
          <w:b w:val="0"/>
          <w:bCs w:val="0"/>
          <w:i/>
          <w:sz w:val="22"/>
          <w:szCs w:val="22"/>
          <w:u w:val="single"/>
        </w:rPr>
        <w:t>tátom emitované dlhodobé dlhopisy</w:t>
      </w:r>
      <w:r w:rsidR="00B4594A" w:rsidRPr="00C66720">
        <w:rPr>
          <w:b w:val="0"/>
          <w:bCs w:val="0"/>
          <w:sz w:val="22"/>
          <w:szCs w:val="22"/>
        </w:rPr>
        <w:t xml:space="preserve"> dosiahli konsolidovanú hodnotu </w:t>
      </w:r>
      <w:r w:rsidR="009F1ADB" w:rsidRPr="00C66720">
        <w:rPr>
          <w:b w:val="0"/>
          <w:bCs w:val="0"/>
          <w:sz w:val="22"/>
          <w:szCs w:val="22"/>
        </w:rPr>
        <w:t>50 141 830</w:t>
      </w:r>
      <w:r w:rsidR="00B4594A" w:rsidRPr="00C66720">
        <w:rPr>
          <w:b w:val="0"/>
          <w:bCs w:val="0"/>
          <w:sz w:val="22"/>
          <w:szCs w:val="22"/>
        </w:rPr>
        <w:t xml:space="preserve"> tis. eur, čo je </w:t>
      </w:r>
      <w:r w:rsidR="00583B86" w:rsidRPr="00C66720">
        <w:rPr>
          <w:b w:val="0"/>
          <w:bCs w:val="0"/>
          <w:sz w:val="22"/>
          <w:szCs w:val="22"/>
        </w:rPr>
        <w:br/>
      </w:r>
      <w:r w:rsidR="00B4594A" w:rsidRPr="00C66720">
        <w:rPr>
          <w:b w:val="0"/>
          <w:bCs w:val="0"/>
          <w:sz w:val="22"/>
          <w:szCs w:val="22"/>
        </w:rPr>
        <w:t>o</w:t>
      </w:r>
      <w:r w:rsidR="000E101C" w:rsidRPr="00C66720">
        <w:rPr>
          <w:b w:val="0"/>
          <w:bCs w:val="0"/>
          <w:sz w:val="22"/>
          <w:szCs w:val="22"/>
        </w:rPr>
        <w:t> </w:t>
      </w:r>
      <w:r w:rsidR="009F1ADB" w:rsidRPr="00C66720">
        <w:rPr>
          <w:b w:val="0"/>
          <w:bCs w:val="0"/>
          <w:sz w:val="22"/>
          <w:szCs w:val="22"/>
        </w:rPr>
        <w:t>528 883</w:t>
      </w:r>
      <w:r w:rsidR="00B4594A" w:rsidRPr="00C66720">
        <w:rPr>
          <w:b w:val="0"/>
          <w:bCs w:val="0"/>
          <w:sz w:val="22"/>
          <w:szCs w:val="22"/>
        </w:rPr>
        <w:t xml:space="preserve"> tis. eur viac ako k ultimu r</w:t>
      </w:r>
      <w:r w:rsidR="009F1ADB" w:rsidRPr="00C66720">
        <w:rPr>
          <w:b w:val="0"/>
          <w:bCs w:val="0"/>
          <w:sz w:val="22"/>
          <w:szCs w:val="22"/>
        </w:rPr>
        <w:t>oka 2021</w:t>
      </w:r>
      <w:r w:rsidR="00B4594A" w:rsidRPr="00C66720">
        <w:rPr>
          <w:b w:val="0"/>
          <w:bCs w:val="0"/>
          <w:sz w:val="22"/>
          <w:szCs w:val="22"/>
        </w:rPr>
        <w:t xml:space="preserve">. </w:t>
      </w:r>
      <w:r w:rsidR="0018634F" w:rsidRPr="00C66720">
        <w:rPr>
          <w:b w:val="0"/>
          <w:bCs w:val="0"/>
          <w:sz w:val="22"/>
          <w:szCs w:val="22"/>
        </w:rPr>
        <w:t>Emitentom dlhopisov je Slovenská republika zastúpená Ministerstvom financií SR. Vydávanie dlhopisov, ich predaj a splácanie má v kompetencii Agentúra pre riadenie dlhu a likvidity, v súlade so stratégiou riadenia dlhu schválenou Ministerstvom financií SR.</w:t>
      </w:r>
      <w:r w:rsidR="00C84B30" w:rsidRPr="00C66720">
        <w:rPr>
          <w:b w:val="0"/>
          <w:bCs w:val="0"/>
          <w:sz w:val="22"/>
          <w:szCs w:val="22"/>
        </w:rPr>
        <w:t xml:space="preserve"> </w:t>
      </w:r>
      <w:r w:rsidR="00917218" w:rsidRPr="00C66720">
        <w:rPr>
          <w:b w:val="0"/>
          <w:bCs w:val="0"/>
          <w:sz w:val="22"/>
          <w:szCs w:val="22"/>
        </w:rPr>
        <w:t xml:space="preserve">Dlhodobé štátne dlhopisy emitované v tuzemsku boli v celkovej výške </w:t>
      </w:r>
      <w:r w:rsidR="00E04180" w:rsidRPr="00C66720">
        <w:rPr>
          <w:b w:val="0"/>
          <w:bCs w:val="0"/>
          <w:sz w:val="22"/>
          <w:szCs w:val="22"/>
        </w:rPr>
        <w:t>49 318 446</w:t>
      </w:r>
      <w:r w:rsidR="00917218" w:rsidRPr="00C66720">
        <w:rPr>
          <w:b w:val="0"/>
          <w:bCs w:val="0"/>
          <w:sz w:val="22"/>
          <w:szCs w:val="22"/>
        </w:rPr>
        <w:t xml:space="preserve"> tis. eur a emitované v zahraničí v celkovej výške </w:t>
      </w:r>
      <w:r w:rsidR="00E04180" w:rsidRPr="00C66720">
        <w:rPr>
          <w:b w:val="0"/>
          <w:bCs w:val="0"/>
          <w:sz w:val="22"/>
          <w:szCs w:val="22"/>
        </w:rPr>
        <w:t>823 385</w:t>
      </w:r>
      <w:r w:rsidR="00917218" w:rsidRPr="00C66720">
        <w:rPr>
          <w:b w:val="0"/>
          <w:bCs w:val="0"/>
          <w:sz w:val="22"/>
          <w:szCs w:val="22"/>
        </w:rPr>
        <w:t xml:space="preserve"> tis. eur. </w:t>
      </w:r>
      <w:r w:rsidR="00C84B30" w:rsidRPr="00C66720">
        <w:rPr>
          <w:b w:val="0"/>
          <w:bCs w:val="0"/>
          <w:sz w:val="22"/>
          <w:szCs w:val="22"/>
        </w:rPr>
        <w:t>V roku 202</w:t>
      </w:r>
      <w:r w:rsidR="00287B55" w:rsidRPr="00C66720">
        <w:rPr>
          <w:b w:val="0"/>
          <w:bCs w:val="0"/>
          <w:sz w:val="22"/>
          <w:szCs w:val="22"/>
        </w:rPr>
        <w:t>2</w:t>
      </w:r>
      <w:r w:rsidR="00C84B30" w:rsidRPr="00C66720">
        <w:rPr>
          <w:b w:val="0"/>
          <w:bCs w:val="0"/>
          <w:sz w:val="22"/>
          <w:szCs w:val="22"/>
        </w:rPr>
        <w:t xml:space="preserve"> boli emitované štátne dlhopisy v celkovej nominálnej hodnote </w:t>
      </w:r>
      <w:r w:rsidR="00287B55" w:rsidRPr="00C66720">
        <w:rPr>
          <w:b w:val="0"/>
          <w:bCs w:val="0"/>
          <w:sz w:val="22"/>
          <w:szCs w:val="22"/>
        </w:rPr>
        <w:t>5 215 200</w:t>
      </w:r>
      <w:r w:rsidR="00C84B30" w:rsidRPr="00C66720">
        <w:rPr>
          <w:b w:val="0"/>
          <w:bCs w:val="0"/>
          <w:sz w:val="22"/>
          <w:szCs w:val="22"/>
        </w:rPr>
        <w:t xml:space="preserve"> tis. eur, dlhopisy boli splatné vo výške </w:t>
      </w:r>
      <w:r w:rsidR="00287B55" w:rsidRPr="00C66720">
        <w:rPr>
          <w:b w:val="0"/>
          <w:bCs w:val="0"/>
          <w:sz w:val="22"/>
          <w:szCs w:val="22"/>
        </w:rPr>
        <w:t>1 587 483</w:t>
      </w:r>
      <w:r w:rsidR="00D07C32" w:rsidRPr="00C66720">
        <w:rPr>
          <w:b w:val="0"/>
          <w:bCs w:val="0"/>
          <w:sz w:val="22"/>
          <w:szCs w:val="22"/>
        </w:rPr>
        <w:t xml:space="preserve"> tis. eur</w:t>
      </w:r>
      <w:r w:rsidR="00287B55" w:rsidRPr="00C66720">
        <w:rPr>
          <w:b w:val="0"/>
          <w:bCs w:val="0"/>
          <w:sz w:val="22"/>
          <w:szCs w:val="22"/>
        </w:rPr>
        <w:t xml:space="preserve"> a spätné odkupy štátnych dlhopisov splatných v roku 2022 boli realizované v nominálnej hodnote 99 031 tis. eur</w:t>
      </w:r>
      <w:r w:rsidR="00D07C32" w:rsidRPr="00C66720">
        <w:rPr>
          <w:b w:val="0"/>
          <w:bCs w:val="0"/>
          <w:sz w:val="22"/>
          <w:szCs w:val="22"/>
        </w:rPr>
        <w:t>.</w:t>
      </w:r>
      <w:r w:rsidR="000420B4" w:rsidRPr="00C66720">
        <w:rPr>
          <w:b w:val="0"/>
          <w:bCs w:val="0"/>
          <w:sz w:val="22"/>
          <w:szCs w:val="22"/>
        </w:rPr>
        <w:t xml:space="preserve"> </w:t>
      </w:r>
      <w:r w:rsidR="003A7F83" w:rsidRPr="00C66720">
        <w:rPr>
          <w:b w:val="0"/>
          <w:bCs w:val="0"/>
          <w:sz w:val="22"/>
          <w:szCs w:val="22"/>
        </w:rPr>
        <w:t>Na štátny dlh má vplyv najmä výška deficitu štátneho rozpočtu, podmienky na finančných trhoch, efektivita správy štátneho dlhu i ciele vlády SR, pre ktoré je nutné zabezpečiť finančné prostriedky v danom období.</w:t>
      </w:r>
      <w:r w:rsidR="00B80247">
        <w:rPr>
          <w:b w:val="0"/>
          <w:bCs w:val="0"/>
          <w:sz w:val="22"/>
          <w:szCs w:val="22"/>
        </w:rPr>
        <w:t xml:space="preserve"> </w:t>
      </w:r>
      <w:r w:rsidR="00B4594A" w:rsidRPr="00C66720">
        <w:rPr>
          <w:b w:val="0"/>
          <w:bCs w:val="0"/>
          <w:sz w:val="22"/>
          <w:szCs w:val="22"/>
        </w:rPr>
        <w:t xml:space="preserve">Krátkodobá časť štátnych dlhopisov dosiahla hodnotu </w:t>
      </w:r>
      <w:r w:rsidR="00082293" w:rsidRPr="00C66720">
        <w:rPr>
          <w:b w:val="0"/>
          <w:bCs w:val="0"/>
          <w:sz w:val="22"/>
          <w:szCs w:val="22"/>
        </w:rPr>
        <w:t>5 165 587</w:t>
      </w:r>
      <w:r w:rsidR="00B4594A" w:rsidRPr="00C66720">
        <w:rPr>
          <w:b w:val="0"/>
          <w:bCs w:val="0"/>
          <w:sz w:val="22"/>
          <w:szCs w:val="22"/>
        </w:rPr>
        <w:t xml:space="preserve"> tis</w:t>
      </w:r>
      <w:r w:rsidR="00715DA5" w:rsidRPr="00C66720">
        <w:rPr>
          <w:b w:val="0"/>
          <w:bCs w:val="0"/>
          <w:sz w:val="22"/>
          <w:szCs w:val="22"/>
        </w:rPr>
        <w:t>. eur a popisuje sa v časti B.III</w:t>
      </w:r>
      <w:r w:rsidR="00B4594A" w:rsidRPr="00C66720">
        <w:rPr>
          <w:b w:val="0"/>
          <w:bCs w:val="0"/>
          <w:sz w:val="22"/>
          <w:szCs w:val="22"/>
        </w:rPr>
        <w:t>. pasív.</w:t>
      </w:r>
    </w:p>
    <w:p w14:paraId="58E68558" w14:textId="77777777" w:rsidR="00823392" w:rsidRPr="00346B9E" w:rsidRDefault="00823392" w:rsidP="00823392">
      <w:pPr>
        <w:pStyle w:val="Pismenka"/>
        <w:tabs>
          <w:tab w:val="clear" w:pos="426"/>
        </w:tabs>
        <w:ind w:left="0" w:firstLine="0"/>
        <w:rPr>
          <w:bCs w:val="0"/>
        </w:rPr>
      </w:pPr>
      <w:r w:rsidRPr="00346B9E">
        <w:rPr>
          <w:bCs w:val="0"/>
        </w:rPr>
        <w:lastRenderedPageBreak/>
        <w:t>Tabuľka 13</w:t>
      </w:r>
    </w:p>
    <w:tbl>
      <w:tblPr>
        <w:tblW w:w="5000" w:type="pct"/>
        <w:jc w:val="center"/>
        <w:tblLayout w:type="fixed"/>
        <w:tblCellMar>
          <w:left w:w="70" w:type="dxa"/>
          <w:right w:w="70" w:type="dxa"/>
        </w:tblCellMar>
        <w:tblLook w:val="00A0" w:firstRow="1" w:lastRow="0" w:firstColumn="1" w:lastColumn="0" w:noHBand="0" w:noVBand="0"/>
      </w:tblPr>
      <w:tblGrid>
        <w:gridCol w:w="5103"/>
        <w:gridCol w:w="1419"/>
        <w:gridCol w:w="1275"/>
        <w:gridCol w:w="1274"/>
      </w:tblGrid>
      <w:tr w:rsidR="00823392" w:rsidRPr="00AD1DD7" w14:paraId="08DBCC3D"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1E9658DD" w14:textId="77777777" w:rsidR="00823392" w:rsidRPr="00AD1DD7" w:rsidRDefault="00823392" w:rsidP="00241F33">
            <w:pPr>
              <w:spacing w:after="0" w:line="240" w:lineRule="auto"/>
              <w:rPr>
                <w:b/>
                <w:bCs/>
                <w:sz w:val="18"/>
                <w:szCs w:val="18"/>
              </w:rPr>
            </w:pPr>
            <w:r w:rsidRPr="00AD1DD7">
              <w:rPr>
                <w:b/>
                <w:bCs/>
                <w:sz w:val="18"/>
                <w:szCs w:val="18"/>
              </w:rPr>
              <w:br w:type="page"/>
            </w:r>
            <w:r w:rsidRPr="00AD1DD7">
              <w:rPr>
                <w:sz w:val="18"/>
                <w:szCs w:val="18"/>
              </w:rPr>
              <w:t xml:space="preserve"> </w:t>
            </w:r>
            <w:r w:rsidRPr="00AD1DD7">
              <w:rPr>
                <w:rFonts w:ascii="Times New Roman" w:hAnsi="Times New Roman"/>
                <w:b/>
                <w:bCs/>
                <w:sz w:val="18"/>
                <w:szCs w:val="18"/>
                <w:lang w:eastAsia="sk-SK"/>
              </w:rPr>
              <w:t xml:space="preserve">Záväzky súhrnného celku                                                                                                                  </w:t>
            </w:r>
            <w:r>
              <w:rPr>
                <w:rFonts w:ascii="Times New Roman" w:hAnsi="Times New Roman"/>
                <w:b/>
                <w:bCs/>
                <w:sz w:val="18"/>
                <w:szCs w:val="18"/>
                <w:lang w:eastAsia="sk-SK"/>
              </w:rPr>
              <w:t xml:space="preserve">                    </w:t>
            </w:r>
            <w:r w:rsidRPr="00AD1DD7">
              <w:rPr>
                <w:rFonts w:ascii="Times New Roman" w:hAnsi="Times New Roman"/>
                <w:b/>
                <w:bCs/>
                <w:sz w:val="18"/>
                <w:szCs w:val="18"/>
                <w:lang w:eastAsia="sk-SK"/>
              </w:rPr>
              <w:t>(v tis. eur) </w:t>
            </w:r>
          </w:p>
        </w:tc>
      </w:tr>
      <w:tr w:rsidR="00823392" w:rsidRPr="00C027E1" w14:paraId="5046663A" w14:textId="77777777" w:rsidTr="00241F33">
        <w:trPr>
          <w:trHeight w:val="330"/>
          <w:jc w:val="center"/>
        </w:trPr>
        <w:tc>
          <w:tcPr>
            <w:tcW w:w="2813" w:type="pct"/>
            <w:tcBorders>
              <w:top w:val="nil"/>
              <w:left w:val="nil"/>
              <w:bottom w:val="single" w:sz="4" w:space="0" w:color="auto"/>
              <w:right w:val="nil"/>
            </w:tcBorders>
            <w:shd w:val="clear" w:color="auto" w:fill="BDD7EE"/>
            <w:noWrap/>
            <w:vAlign w:val="center"/>
          </w:tcPr>
          <w:p w14:paraId="7336EB3E" w14:textId="77777777" w:rsidR="00823392" w:rsidRPr="00C027E1" w:rsidRDefault="00823392" w:rsidP="00823392">
            <w:pPr>
              <w:spacing w:after="0" w:line="240" w:lineRule="auto"/>
              <w:rPr>
                <w:rFonts w:ascii="Times New Roman" w:hAnsi="Times New Roman"/>
                <w:b/>
                <w:bCs/>
                <w:sz w:val="18"/>
                <w:szCs w:val="18"/>
                <w:lang w:eastAsia="sk-SK"/>
              </w:rPr>
            </w:pPr>
            <w:r w:rsidRPr="00C027E1">
              <w:rPr>
                <w:rFonts w:ascii="Times New Roman" w:hAnsi="Times New Roman"/>
                <w:b/>
                <w:bCs/>
                <w:sz w:val="18"/>
                <w:szCs w:val="18"/>
                <w:lang w:eastAsia="sk-SK"/>
              </w:rPr>
              <w:t>Dlhodobé záväzky</w:t>
            </w:r>
          </w:p>
        </w:tc>
        <w:tc>
          <w:tcPr>
            <w:tcW w:w="782" w:type="pct"/>
            <w:tcBorders>
              <w:top w:val="nil"/>
              <w:left w:val="nil"/>
              <w:bottom w:val="single" w:sz="4" w:space="0" w:color="auto"/>
              <w:right w:val="nil"/>
            </w:tcBorders>
            <w:shd w:val="clear" w:color="auto" w:fill="BDD7EE"/>
            <w:noWrap/>
            <w:vAlign w:val="center"/>
          </w:tcPr>
          <w:p w14:paraId="1CEB9460" w14:textId="626B7331" w:rsidR="00823392" w:rsidRPr="00C027E1" w:rsidRDefault="00823392" w:rsidP="008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03" w:type="pct"/>
            <w:tcBorders>
              <w:top w:val="nil"/>
              <w:left w:val="nil"/>
              <w:bottom w:val="single" w:sz="4" w:space="0" w:color="auto"/>
              <w:right w:val="nil"/>
            </w:tcBorders>
            <w:shd w:val="clear" w:color="auto" w:fill="BDD7EE"/>
            <w:noWrap/>
            <w:vAlign w:val="center"/>
          </w:tcPr>
          <w:p w14:paraId="14A7DB41" w14:textId="4F2F1377" w:rsidR="00823392" w:rsidRPr="00C027E1" w:rsidRDefault="00823392" w:rsidP="008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2" w:type="pct"/>
            <w:tcBorders>
              <w:top w:val="nil"/>
              <w:left w:val="nil"/>
              <w:bottom w:val="single" w:sz="4" w:space="0" w:color="auto"/>
              <w:right w:val="nil"/>
            </w:tcBorders>
            <w:shd w:val="clear" w:color="auto" w:fill="BDD7EE"/>
            <w:vAlign w:val="center"/>
          </w:tcPr>
          <w:p w14:paraId="0692FED2" w14:textId="5C0A8EF3" w:rsidR="00823392" w:rsidRPr="00C027E1" w:rsidRDefault="00823392" w:rsidP="008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823392" w:rsidRPr="00C027E1" w14:paraId="73D2F7DD" w14:textId="77777777" w:rsidTr="00241F33">
        <w:trPr>
          <w:trHeight w:hRule="exact" w:val="330"/>
          <w:jc w:val="center"/>
        </w:trPr>
        <w:tc>
          <w:tcPr>
            <w:tcW w:w="2813" w:type="pct"/>
            <w:tcBorders>
              <w:top w:val="nil"/>
              <w:left w:val="nil"/>
              <w:right w:val="nil"/>
            </w:tcBorders>
            <w:vAlign w:val="center"/>
          </w:tcPr>
          <w:p w14:paraId="37CC91CB" w14:textId="503C5F65"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Vydané dlhopisy </w:t>
            </w:r>
          </w:p>
        </w:tc>
        <w:tc>
          <w:tcPr>
            <w:tcW w:w="782" w:type="pct"/>
            <w:tcBorders>
              <w:top w:val="nil"/>
              <w:left w:val="nil"/>
              <w:right w:val="nil"/>
            </w:tcBorders>
            <w:vAlign w:val="center"/>
          </w:tcPr>
          <w:p w14:paraId="3E01E09A" w14:textId="372476B1"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50 141 830</w:t>
            </w:r>
          </w:p>
        </w:tc>
        <w:tc>
          <w:tcPr>
            <w:tcW w:w="703" w:type="pct"/>
            <w:tcBorders>
              <w:top w:val="nil"/>
              <w:left w:val="nil"/>
              <w:right w:val="nil"/>
            </w:tcBorders>
            <w:vAlign w:val="center"/>
          </w:tcPr>
          <w:p w14:paraId="69125533" w14:textId="0CEA2558"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49 612 947</w:t>
            </w:r>
          </w:p>
        </w:tc>
        <w:tc>
          <w:tcPr>
            <w:tcW w:w="702" w:type="pct"/>
            <w:tcBorders>
              <w:top w:val="nil"/>
              <w:left w:val="nil"/>
              <w:right w:val="nil"/>
            </w:tcBorders>
            <w:vAlign w:val="center"/>
          </w:tcPr>
          <w:p w14:paraId="7F5B7CE2" w14:textId="0DA7478F"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528 883</w:t>
            </w:r>
          </w:p>
        </w:tc>
      </w:tr>
      <w:tr w:rsidR="00823392" w:rsidRPr="00C027E1" w14:paraId="2C942F87" w14:textId="77777777" w:rsidTr="00241F33">
        <w:trPr>
          <w:trHeight w:hRule="exact" w:val="330"/>
          <w:jc w:val="center"/>
        </w:trPr>
        <w:tc>
          <w:tcPr>
            <w:tcW w:w="2813" w:type="pct"/>
            <w:tcBorders>
              <w:top w:val="nil"/>
              <w:left w:val="nil"/>
              <w:right w:val="nil"/>
            </w:tcBorders>
            <w:vAlign w:val="center"/>
          </w:tcPr>
          <w:p w14:paraId="7F7BCC99" w14:textId="65710154"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Bankové úvery </w:t>
            </w:r>
          </w:p>
        </w:tc>
        <w:tc>
          <w:tcPr>
            <w:tcW w:w="782" w:type="pct"/>
            <w:tcBorders>
              <w:top w:val="nil"/>
              <w:left w:val="nil"/>
              <w:right w:val="nil"/>
            </w:tcBorders>
            <w:vAlign w:val="center"/>
          </w:tcPr>
          <w:p w14:paraId="4B64F867" w14:textId="3B4CDF30"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5 969 129</w:t>
            </w:r>
          </w:p>
        </w:tc>
        <w:tc>
          <w:tcPr>
            <w:tcW w:w="703" w:type="pct"/>
            <w:tcBorders>
              <w:top w:val="nil"/>
              <w:left w:val="nil"/>
              <w:right w:val="nil"/>
            </w:tcBorders>
            <w:vAlign w:val="center"/>
          </w:tcPr>
          <w:p w14:paraId="7B9A53C4" w14:textId="0F1B0EF4"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5 841 026</w:t>
            </w:r>
          </w:p>
        </w:tc>
        <w:tc>
          <w:tcPr>
            <w:tcW w:w="702" w:type="pct"/>
            <w:tcBorders>
              <w:top w:val="nil"/>
              <w:left w:val="nil"/>
              <w:right w:val="nil"/>
            </w:tcBorders>
            <w:vAlign w:val="center"/>
          </w:tcPr>
          <w:p w14:paraId="6A8C89ED" w14:textId="1C196A4E"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128 103</w:t>
            </w:r>
          </w:p>
        </w:tc>
      </w:tr>
      <w:tr w:rsidR="00823392" w:rsidRPr="00C027E1" w14:paraId="1E64757A" w14:textId="77777777" w:rsidTr="00241F33">
        <w:trPr>
          <w:trHeight w:hRule="exact" w:val="330"/>
          <w:jc w:val="center"/>
        </w:trPr>
        <w:tc>
          <w:tcPr>
            <w:tcW w:w="2813" w:type="pct"/>
            <w:tcBorders>
              <w:top w:val="nil"/>
              <w:left w:val="nil"/>
              <w:right w:val="nil"/>
            </w:tcBorders>
            <w:vAlign w:val="center"/>
          </w:tcPr>
          <w:p w14:paraId="4BF00D22" w14:textId="160FE6A4"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Záväzky z NJF</w:t>
            </w:r>
          </w:p>
        </w:tc>
        <w:tc>
          <w:tcPr>
            <w:tcW w:w="782" w:type="pct"/>
            <w:tcBorders>
              <w:top w:val="nil"/>
              <w:left w:val="nil"/>
              <w:right w:val="nil"/>
            </w:tcBorders>
            <w:vAlign w:val="center"/>
          </w:tcPr>
          <w:p w14:paraId="5334A8F1" w14:textId="7B0FCCCF"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 xml:space="preserve"> 636 300</w:t>
            </w:r>
          </w:p>
        </w:tc>
        <w:tc>
          <w:tcPr>
            <w:tcW w:w="703" w:type="pct"/>
            <w:tcBorders>
              <w:top w:val="nil"/>
              <w:left w:val="nil"/>
              <w:right w:val="nil"/>
            </w:tcBorders>
            <w:vAlign w:val="center"/>
          </w:tcPr>
          <w:p w14:paraId="26420C5B" w14:textId="283119FC"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1 322 069</w:t>
            </w:r>
          </w:p>
        </w:tc>
        <w:tc>
          <w:tcPr>
            <w:tcW w:w="702" w:type="pct"/>
            <w:tcBorders>
              <w:top w:val="nil"/>
              <w:left w:val="nil"/>
              <w:right w:val="nil"/>
            </w:tcBorders>
            <w:vAlign w:val="center"/>
          </w:tcPr>
          <w:p w14:paraId="4EE0BAA0" w14:textId="7EBEAAE4"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-685 769</w:t>
            </w:r>
          </w:p>
        </w:tc>
      </w:tr>
      <w:tr w:rsidR="00823392" w:rsidRPr="00C027E1" w14:paraId="4AC1D84E" w14:textId="77777777" w:rsidTr="00241F33">
        <w:trPr>
          <w:trHeight w:hRule="exact" w:val="292"/>
          <w:jc w:val="center"/>
        </w:trPr>
        <w:tc>
          <w:tcPr>
            <w:tcW w:w="2813" w:type="pct"/>
            <w:tcBorders>
              <w:top w:val="nil"/>
              <w:left w:val="nil"/>
              <w:bottom w:val="nil"/>
              <w:right w:val="nil"/>
            </w:tcBorders>
            <w:vAlign w:val="center"/>
          </w:tcPr>
          <w:p w14:paraId="0EFB8BA3" w14:textId="73AEDE91"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Záväzky VV, š.p.</w:t>
            </w:r>
          </w:p>
        </w:tc>
        <w:tc>
          <w:tcPr>
            <w:tcW w:w="782" w:type="pct"/>
            <w:tcBorders>
              <w:top w:val="nil"/>
              <w:left w:val="nil"/>
              <w:bottom w:val="nil"/>
              <w:right w:val="nil"/>
            </w:tcBorders>
            <w:vAlign w:val="center"/>
          </w:tcPr>
          <w:p w14:paraId="6328962C" w14:textId="169D56B1"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116 307</w:t>
            </w:r>
          </w:p>
        </w:tc>
        <w:tc>
          <w:tcPr>
            <w:tcW w:w="703" w:type="pct"/>
            <w:tcBorders>
              <w:top w:val="nil"/>
              <w:left w:val="nil"/>
              <w:bottom w:val="nil"/>
              <w:right w:val="nil"/>
            </w:tcBorders>
            <w:vAlign w:val="center"/>
          </w:tcPr>
          <w:p w14:paraId="27160B66" w14:textId="2D137B13"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107 984</w:t>
            </w:r>
          </w:p>
        </w:tc>
        <w:tc>
          <w:tcPr>
            <w:tcW w:w="702" w:type="pct"/>
            <w:tcBorders>
              <w:top w:val="nil"/>
              <w:left w:val="nil"/>
              <w:bottom w:val="nil"/>
              <w:right w:val="nil"/>
            </w:tcBorders>
            <w:vAlign w:val="center"/>
          </w:tcPr>
          <w:p w14:paraId="13C013BC" w14:textId="5F655946"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8 323</w:t>
            </w:r>
          </w:p>
        </w:tc>
      </w:tr>
      <w:tr w:rsidR="00823392" w:rsidRPr="00C027E1" w14:paraId="6EC78A6A" w14:textId="77777777" w:rsidTr="00241F33">
        <w:trPr>
          <w:trHeight w:hRule="exact" w:val="292"/>
          <w:jc w:val="center"/>
        </w:trPr>
        <w:tc>
          <w:tcPr>
            <w:tcW w:w="2813" w:type="pct"/>
            <w:tcBorders>
              <w:top w:val="nil"/>
              <w:left w:val="nil"/>
              <w:bottom w:val="nil"/>
              <w:right w:val="nil"/>
            </w:tcBorders>
            <w:vAlign w:val="center"/>
          </w:tcPr>
          <w:p w14:paraId="09940D58" w14:textId="4E1EB64F"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Záväzky sociálneho fondu</w:t>
            </w:r>
          </w:p>
        </w:tc>
        <w:tc>
          <w:tcPr>
            <w:tcW w:w="782" w:type="pct"/>
            <w:tcBorders>
              <w:top w:val="nil"/>
              <w:left w:val="nil"/>
              <w:bottom w:val="nil"/>
              <w:right w:val="nil"/>
            </w:tcBorders>
            <w:vAlign w:val="center"/>
          </w:tcPr>
          <w:p w14:paraId="0FD096C1" w14:textId="0B44D36A"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84 009</w:t>
            </w:r>
          </w:p>
        </w:tc>
        <w:tc>
          <w:tcPr>
            <w:tcW w:w="703" w:type="pct"/>
            <w:tcBorders>
              <w:top w:val="nil"/>
              <w:left w:val="nil"/>
              <w:bottom w:val="nil"/>
              <w:right w:val="nil"/>
            </w:tcBorders>
            <w:vAlign w:val="center"/>
          </w:tcPr>
          <w:p w14:paraId="50341CEA" w14:textId="6A6F2D65"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80 844</w:t>
            </w:r>
          </w:p>
        </w:tc>
        <w:tc>
          <w:tcPr>
            <w:tcW w:w="702" w:type="pct"/>
            <w:tcBorders>
              <w:top w:val="nil"/>
              <w:left w:val="nil"/>
              <w:bottom w:val="nil"/>
              <w:right w:val="nil"/>
            </w:tcBorders>
            <w:vAlign w:val="center"/>
          </w:tcPr>
          <w:p w14:paraId="7A461CB0" w14:textId="462D7C1E"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3 165</w:t>
            </w:r>
          </w:p>
        </w:tc>
      </w:tr>
      <w:tr w:rsidR="00823392" w:rsidRPr="00C027E1" w14:paraId="4BE0B973" w14:textId="77777777" w:rsidTr="00241F33">
        <w:trPr>
          <w:trHeight w:hRule="exact" w:val="292"/>
          <w:jc w:val="center"/>
        </w:trPr>
        <w:tc>
          <w:tcPr>
            <w:tcW w:w="2813" w:type="pct"/>
            <w:tcBorders>
              <w:top w:val="nil"/>
              <w:left w:val="nil"/>
              <w:bottom w:val="nil"/>
              <w:right w:val="nil"/>
            </w:tcBorders>
            <w:vAlign w:val="center"/>
          </w:tcPr>
          <w:p w14:paraId="7815F5B9" w14:textId="59FF7179"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Záväzky z pevných termínových operácií</w:t>
            </w:r>
          </w:p>
        </w:tc>
        <w:tc>
          <w:tcPr>
            <w:tcW w:w="782" w:type="pct"/>
            <w:tcBorders>
              <w:top w:val="nil"/>
              <w:left w:val="nil"/>
              <w:bottom w:val="nil"/>
              <w:right w:val="nil"/>
            </w:tcBorders>
            <w:vAlign w:val="center"/>
          </w:tcPr>
          <w:p w14:paraId="7D80A5BA" w14:textId="37B12259"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84 585</w:t>
            </w:r>
          </w:p>
        </w:tc>
        <w:tc>
          <w:tcPr>
            <w:tcW w:w="703" w:type="pct"/>
            <w:tcBorders>
              <w:top w:val="nil"/>
              <w:left w:val="nil"/>
              <w:bottom w:val="nil"/>
              <w:right w:val="nil"/>
            </w:tcBorders>
            <w:vAlign w:val="center"/>
          </w:tcPr>
          <w:p w14:paraId="4B62C396" w14:textId="217F7FAF"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42 072</w:t>
            </w:r>
          </w:p>
        </w:tc>
        <w:tc>
          <w:tcPr>
            <w:tcW w:w="702" w:type="pct"/>
            <w:tcBorders>
              <w:top w:val="nil"/>
              <w:left w:val="nil"/>
              <w:bottom w:val="nil"/>
              <w:right w:val="nil"/>
            </w:tcBorders>
            <w:vAlign w:val="center"/>
          </w:tcPr>
          <w:p w14:paraId="26F62471" w14:textId="33521DC3"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42 513</w:t>
            </w:r>
          </w:p>
        </w:tc>
      </w:tr>
      <w:tr w:rsidR="00823392" w:rsidRPr="00C027E1" w14:paraId="00C92536" w14:textId="77777777" w:rsidTr="00241F33">
        <w:trPr>
          <w:trHeight w:hRule="exact" w:val="292"/>
          <w:jc w:val="center"/>
        </w:trPr>
        <w:tc>
          <w:tcPr>
            <w:tcW w:w="2813" w:type="pct"/>
            <w:tcBorders>
              <w:top w:val="nil"/>
              <w:left w:val="nil"/>
              <w:bottom w:val="nil"/>
              <w:right w:val="nil"/>
            </w:tcBorders>
            <w:vAlign w:val="center"/>
          </w:tcPr>
          <w:p w14:paraId="073745AD" w14:textId="704C9CBA"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Finančná rezerva Ministerstva životného prostredia SR</w:t>
            </w:r>
          </w:p>
        </w:tc>
        <w:tc>
          <w:tcPr>
            <w:tcW w:w="782" w:type="pct"/>
            <w:tcBorders>
              <w:top w:val="nil"/>
              <w:left w:val="nil"/>
              <w:bottom w:val="nil"/>
              <w:right w:val="nil"/>
            </w:tcBorders>
            <w:vAlign w:val="center"/>
          </w:tcPr>
          <w:p w14:paraId="6E78A99A" w14:textId="46257212"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54 252</w:t>
            </w:r>
          </w:p>
        </w:tc>
        <w:tc>
          <w:tcPr>
            <w:tcW w:w="703" w:type="pct"/>
            <w:tcBorders>
              <w:top w:val="nil"/>
              <w:left w:val="nil"/>
              <w:bottom w:val="nil"/>
              <w:right w:val="nil"/>
            </w:tcBorders>
            <w:vAlign w:val="center"/>
          </w:tcPr>
          <w:p w14:paraId="260F7C26" w14:textId="259608F6"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54 998</w:t>
            </w:r>
          </w:p>
        </w:tc>
        <w:tc>
          <w:tcPr>
            <w:tcW w:w="702" w:type="pct"/>
            <w:tcBorders>
              <w:top w:val="nil"/>
              <w:left w:val="nil"/>
              <w:bottom w:val="nil"/>
              <w:right w:val="nil"/>
            </w:tcBorders>
            <w:vAlign w:val="center"/>
          </w:tcPr>
          <w:p w14:paraId="3B1A7361" w14:textId="07E298D7"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-746</w:t>
            </w:r>
          </w:p>
        </w:tc>
      </w:tr>
      <w:tr w:rsidR="00823392" w:rsidRPr="00C027E1" w14:paraId="0634E5E0" w14:textId="77777777" w:rsidTr="00241F33">
        <w:trPr>
          <w:trHeight w:hRule="exact" w:val="309"/>
          <w:jc w:val="center"/>
        </w:trPr>
        <w:tc>
          <w:tcPr>
            <w:tcW w:w="2813" w:type="pct"/>
            <w:tcBorders>
              <w:top w:val="nil"/>
              <w:left w:val="nil"/>
              <w:bottom w:val="nil"/>
              <w:right w:val="nil"/>
            </w:tcBorders>
            <w:vAlign w:val="center"/>
          </w:tcPr>
          <w:p w14:paraId="3FA53B58" w14:textId="1B0E30EC"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Záväzky NDS, a.s.</w:t>
            </w:r>
          </w:p>
        </w:tc>
        <w:tc>
          <w:tcPr>
            <w:tcW w:w="782" w:type="pct"/>
            <w:tcBorders>
              <w:top w:val="nil"/>
              <w:left w:val="nil"/>
              <w:bottom w:val="nil"/>
              <w:right w:val="nil"/>
            </w:tcBorders>
            <w:vAlign w:val="center"/>
          </w:tcPr>
          <w:p w14:paraId="40E277AF" w14:textId="0A7785C9"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21 995</w:t>
            </w:r>
          </w:p>
        </w:tc>
        <w:tc>
          <w:tcPr>
            <w:tcW w:w="703" w:type="pct"/>
            <w:tcBorders>
              <w:top w:val="nil"/>
              <w:left w:val="nil"/>
              <w:bottom w:val="nil"/>
              <w:right w:val="nil"/>
            </w:tcBorders>
            <w:vAlign w:val="center"/>
          </w:tcPr>
          <w:p w14:paraId="4B165C46" w14:textId="26541E67"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15 149</w:t>
            </w:r>
          </w:p>
        </w:tc>
        <w:tc>
          <w:tcPr>
            <w:tcW w:w="702" w:type="pct"/>
            <w:tcBorders>
              <w:top w:val="nil"/>
              <w:left w:val="nil"/>
              <w:bottom w:val="nil"/>
              <w:right w:val="nil"/>
            </w:tcBorders>
            <w:vAlign w:val="center"/>
          </w:tcPr>
          <w:p w14:paraId="33DED241" w14:textId="041F199B"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6 846</w:t>
            </w:r>
          </w:p>
        </w:tc>
      </w:tr>
      <w:tr w:rsidR="00823392" w:rsidRPr="00C027E1" w14:paraId="524B48E0" w14:textId="77777777" w:rsidTr="00241F33">
        <w:trPr>
          <w:trHeight w:hRule="exact" w:val="292"/>
          <w:jc w:val="center"/>
        </w:trPr>
        <w:tc>
          <w:tcPr>
            <w:tcW w:w="2813" w:type="pct"/>
            <w:tcBorders>
              <w:top w:val="nil"/>
              <w:left w:val="nil"/>
              <w:bottom w:val="nil"/>
              <w:right w:val="nil"/>
            </w:tcBorders>
            <w:vAlign w:val="center"/>
          </w:tcPr>
          <w:p w14:paraId="3663892F" w14:textId="38260E06"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Záväzky z nájmu</w:t>
            </w:r>
          </w:p>
        </w:tc>
        <w:tc>
          <w:tcPr>
            <w:tcW w:w="782" w:type="pct"/>
            <w:tcBorders>
              <w:top w:val="nil"/>
              <w:left w:val="nil"/>
              <w:bottom w:val="nil"/>
              <w:right w:val="nil"/>
            </w:tcBorders>
            <w:vAlign w:val="center"/>
          </w:tcPr>
          <w:p w14:paraId="23929C81" w14:textId="26F4D74B"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11 715</w:t>
            </w:r>
          </w:p>
        </w:tc>
        <w:tc>
          <w:tcPr>
            <w:tcW w:w="703" w:type="pct"/>
            <w:tcBorders>
              <w:top w:val="nil"/>
              <w:left w:val="nil"/>
              <w:bottom w:val="nil"/>
              <w:right w:val="nil"/>
            </w:tcBorders>
            <w:vAlign w:val="center"/>
          </w:tcPr>
          <w:p w14:paraId="4A8ABED4" w14:textId="19F42D4B"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11 922</w:t>
            </w:r>
          </w:p>
        </w:tc>
        <w:tc>
          <w:tcPr>
            <w:tcW w:w="702" w:type="pct"/>
            <w:tcBorders>
              <w:top w:val="nil"/>
              <w:left w:val="nil"/>
              <w:bottom w:val="nil"/>
              <w:right w:val="nil"/>
            </w:tcBorders>
            <w:vAlign w:val="center"/>
          </w:tcPr>
          <w:p w14:paraId="47C7AD2C" w14:textId="477A4FF1"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-207</w:t>
            </w:r>
          </w:p>
        </w:tc>
      </w:tr>
      <w:tr w:rsidR="00823392" w:rsidRPr="00C027E1" w14:paraId="6C0A62D9" w14:textId="77777777" w:rsidTr="00241F33">
        <w:trPr>
          <w:trHeight w:hRule="exact" w:val="292"/>
          <w:jc w:val="center"/>
        </w:trPr>
        <w:tc>
          <w:tcPr>
            <w:tcW w:w="2813" w:type="pct"/>
            <w:tcBorders>
              <w:top w:val="nil"/>
              <w:left w:val="nil"/>
              <w:bottom w:val="nil"/>
              <w:right w:val="nil"/>
            </w:tcBorders>
            <w:vAlign w:val="center"/>
          </w:tcPr>
          <w:p w14:paraId="2D3795B0" w14:textId="3A59A525"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Záväzky ŽSR</w:t>
            </w:r>
          </w:p>
        </w:tc>
        <w:tc>
          <w:tcPr>
            <w:tcW w:w="782" w:type="pct"/>
            <w:tcBorders>
              <w:top w:val="nil"/>
              <w:left w:val="nil"/>
              <w:bottom w:val="nil"/>
              <w:right w:val="nil"/>
            </w:tcBorders>
            <w:vAlign w:val="center"/>
          </w:tcPr>
          <w:p w14:paraId="48765262" w14:textId="1C21590E"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3 716</w:t>
            </w:r>
          </w:p>
        </w:tc>
        <w:tc>
          <w:tcPr>
            <w:tcW w:w="703" w:type="pct"/>
            <w:tcBorders>
              <w:top w:val="nil"/>
              <w:left w:val="nil"/>
              <w:bottom w:val="nil"/>
              <w:right w:val="nil"/>
            </w:tcBorders>
            <w:vAlign w:val="center"/>
          </w:tcPr>
          <w:p w14:paraId="7E436472" w14:textId="4662350B"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3 572</w:t>
            </w:r>
          </w:p>
        </w:tc>
        <w:tc>
          <w:tcPr>
            <w:tcW w:w="702" w:type="pct"/>
            <w:tcBorders>
              <w:top w:val="nil"/>
              <w:left w:val="nil"/>
              <w:bottom w:val="nil"/>
              <w:right w:val="nil"/>
            </w:tcBorders>
            <w:vAlign w:val="center"/>
          </w:tcPr>
          <w:p w14:paraId="7A716A5D" w14:textId="4099C15C"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144</w:t>
            </w:r>
          </w:p>
        </w:tc>
      </w:tr>
      <w:tr w:rsidR="00823392" w:rsidRPr="00C027E1" w14:paraId="2EEFA4B3" w14:textId="77777777" w:rsidTr="00241F33">
        <w:trPr>
          <w:trHeight w:hRule="exact" w:val="330"/>
          <w:jc w:val="center"/>
        </w:trPr>
        <w:tc>
          <w:tcPr>
            <w:tcW w:w="2813" w:type="pct"/>
            <w:tcBorders>
              <w:top w:val="nil"/>
              <w:left w:val="nil"/>
              <w:bottom w:val="single" w:sz="4" w:space="0" w:color="auto"/>
              <w:right w:val="nil"/>
            </w:tcBorders>
            <w:vAlign w:val="center"/>
          </w:tcPr>
          <w:p w14:paraId="657F22C7" w14:textId="659BC282" w:rsidR="00823392" w:rsidRPr="00C027E1" w:rsidRDefault="00823392" w:rsidP="00823392">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Ostatné záväzky</w:t>
            </w:r>
          </w:p>
        </w:tc>
        <w:tc>
          <w:tcPr>
            <w:tcW w:w="782" w:type="pct"/>
            <w:tcBorders>
              <w:top w:val="nil"/>
              <w:left w:val="nil"/>
              <w:bottom w:val="single" w:sz="4" w:space="0" w:color="auto"/>
              <w:right w:val="nil"/>
            </w:tcBorders>
            <w:vAlign w:val="center"/>
          </w:tcPr>
          <w:p w14:paraId="5966278C" w14:textId="2381D822"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81 683</w:t>
            </w:r>
          </w:p>
        </w:tc>
        <w:tc>
          <w:tcPr>
            <w:tcW w:w="703" w:type="pct"/>
            <w:tcBorders>
              <w:top w:val="nil"/>
              <w:left w:val="nil"/>
              <w:bottom w:val="single" w:sz="4" w:space="0" w:color="auto"/>
              <w:right w:val="nil"/>
            </w:tcBorders>
            <w:vAlign w:val="center"/>
          </w:tcPr>
          <w:p w14:paraId="3F081E58" w14:textId="474D6133"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103 335</w:t>
            </w:r>
          </w:p>
        </w:tc>
        <w:tc>
          <w:tcPr>
            <w:tcW w:w="702" w:type="pct"/>
            <w:tcBorders>
              <w:top w:val="nil"/>
              <w:left w:val="nil"/>
              <w:bottom w:val="single" w:sz="4" w:space="0" w:color="auto"/>
              <w:right w:val="nil"/>
            </w:tcBorders>
            <w:vAlign w:val="center"/>
          </w:tcPr>
          <w:p w14:paraId="3580F2CE" w14:textId="7E96BAFD" w:rsidR="00823392" w:rsidRPr="00C027E1" w:rsidRDefault="00823392" w:rsidP="00823392">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-21 652</w:t>
            </w:r>
          </w:p>
        </w:tc>
      </w:tr>
      <w:tr w:rsidR="00823392" w:rsidRPr="00975467" w14:paraId="6E0E8982" w14:textId="77777777" w:rsidTr="00241F33">
        <w:trPr>
          <w:trHeight w:hRule="exact" w:val="330"/>
          <w:jc w:val="center"/>
        </w:trPr>
        <w:tc>
          <w:tcPr>
            <w:tcW w:w="2813" w:type="pct"/>
            <w:tcBorders>
              <w:top w:val="single" w:sz="4" w:space="0" w:color="auto"/>
              <w:left w:val="nil"/>
              <w:bottom w:val="single" w:sz="4" w:space="0" w:color="000000"/>
              <w:right w:val="nil"/>
            </w:tcBorders>
            <w:shd w:val="clear" w:color="000000" w:fill="auto"/>
            <w:vAlign w:val="center"/>
          </w:tcPr>
          <w:p w14:paraId="3A8E3507" w14:textId="77907777" w:rsidR="00823392" w:rsidRPr="00C027E1" w:rsidRDefault="00823392" w:rsidP="00823392">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782" w:type="pct"/>
            <w:tcBorders>
              <w:top w:val="single" w:sz="4" w:space="0" w:color="auto"/>
              <w:left w:val="nil"/>
              <w:bottom w:val="single" w:sz="4" w:space="0" w:color="000000"/>
              <w:right w:val="nil"/>
            </w:tcBorders>
            <w:shd w:val="clear" w:color="000000" w:fill="auto"/>
            <w:vAlign w:val="center"/>
          </w:tcPr>
          <w:p w14:paraId="7C952AC0" w14:textId="7C43FE4C" w:rsidR="00823392" w:rsidRPr="00C027E1" w:rsidRDefault="00823392" w:rsidP="008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57 205 521</w:t>
            </w:r>
          </w:p>
        </w:tc>
        <w:tc>
          <w:tcPr>
            <w:tcW w:w="703" w:type="pct"/>
            <w:tcBorders>
              <w:top w:val="single" w:sz="4" w:space="0" w:color="auto"/>
              <w:left w:val="nil"/>
              <w:bottom w:val="single" w:sz="4" w:space="0" w:color="000000"/>
              <w:right w:val="nil"/>
            </w:tcBorders>
            <w:shd w:val="clear" w:color="000000" w:fill="auto"/>
            <w:vAlign w:val="center"/>
          </w:tcPr>
          <w:p w14:paraId="01960675" w14:textId="577FA35E" w:rsidR="00823392" w:rsidRPr="00C027E1" w:rsidRDefault="00823392" w:rsidP="008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57 195 918</w:t>
            </w:r>
          </w:p>
        </w:tc>
        <w:tc>
          <w:tcPr>
            <w:tcW w:w="702" w:type="pct"/>
            <w:tcBorders>
              <w:top w:val="single" w:sz="4" w:space="0" w:color="auto"/>
              <w:left w:val="nil"/>
              <w:bottom w:val="single" w:sz="4" w:space="0" w:color="000000"/>
              <w:right w:val="nil"/>
            </w:tcBorders>
            <w:shd w:val="clear" w:color="000000" w:fill="auto"/>
            <w:vAlign w:val="center"/>
          </w:tcPr>
          <w:p w14:paraId="73826FF9" w14:textId="56AB2D6E" w:rsidR="00823392" w:rsidRPr="00C027E1" w:rsidRDefault="00823392" w:rsidP="00823392">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9 603</w:t>
            </w:r>
          </w:p>
        </w:tc>
      </w:tr>
    </w:tbl>
    <w:p w14:paraId="3EBE34BE" w14:textId="77777777" w:rsidR="00823392" w:rsidRDefault="00823392" w:rsidP="00823392">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1EBEBA81" w14:textId="5290ECF6" w:rsidR="00F129D8" w:rsidRPr="00C66720" w:rsidRDefault="00F129D8" w:rsidP="009B14EC">
      <w:pPr>
        <w:pStyle w:val="Pismenka"/>
        <w:numPr>
          <w:ilvl w:val="0"/>
          <w:numId w:val="44"/>
        </w:numPr>
        <w:spacing w:before="240" w:after="120"/>
        <w:ind w:left="284" w:hanging="284"/>
        <w:rPr>
          <w:i/>
          <w:sz w:val="22"/>
          <w:szCs w:val="22"/>
          <w:u w:val="single"/>
        </w:rPr>
      </w:pPr>
      <w:bookmarkStart w:id="35" w:name="_Ref86092132"/>
      <w:r w:rsidRPr="00C66720">
        <w:rPr>
          <w:i/>
          <w:sz w:val="22"/>
          <w:szCs w:val="22"/>
          <w:u w:val="single"/>
        </w:rPr>
        <w:t>Bankové úvery</w:t>
      </w:r>
      <w:bookmarkEnd w:id="35"/>
    </w:p>
    <w:p w14:paraId="5D223E31" w14:textId="0B7A3252" w:rsidR="003D0790" w:rsidRPr="00C66720" w:rsidRDefault="0019646C" w:rsidP="009B14EC">
      <w:pPr>
        <w:spacing w:before="240" w:after="120" w:line="240" w:lineRule="auto"/>
        <w:jc w:val="both"/>
        <w:rPr>
          <w:rFonts w:ascii="Times New Roman" w:hAnsi="Times New Roman"/>
          <w:szCs w:val="22"/>
        </w:rPr>
      </w:pPr>
      <w:r w:rsidRPr="00C66720">
        <w:rPr>
          <w:rFonts w:ascii="Times New Roman" w:hAnsi="Times New Roman"/>
          <w:szCs w:val="22"/>
        </w:rPr>
        <w:t>Bankové úvery, ktoré sú poskytované bankami mimo verejnú správu, so splatnosťou dlhšou ako jeden rok dosiahli objem 5</w:t>
      </w:r>
      <w:r w:rsidR="00DA1539" w:rsidRPr="00C66720">
        <w:rPr>
          <w:rFonts w:ascii="Times New Roman" w:hAnsi="Times New Roman"/>
          <w:szCs w:val="22"/>
        </w:rPr>
        <w:t> 969 129</w:t>
      </w:r>
      <w:r w:rsidRPr="00C66720">
        <w:rPr>
          <w:rFonts w:ascii="Times New Roman" w:hAnsi="Times New Roman"/>
          <w:szCs w:val="22"/>
        </w:rPr>
        <w:t xml:space="preserve"> tis. eur. </w:t>
      </w:r>
      <w:r w:rsidR="00B94055" w:rsidRPr="00C66720">
        <w:rPr>
          <w:rFonts w:ascii="Times New Roman" w:hAnsi="Times New Roman"/>
          <w:szCs w:val="22"/>
        </w:rPr>
        <w:t>Zostatok dlhodobých bankových úverov sa medziročne zvýšil o</w:t>
      </w:r>
      <w:r w:rsidR="00DA1539" w:rsidRPr="00C66720">
        <w:rPr>
          <w:rFonts w:ascii="Times New Roman" w:hAnsi="Times New Roman"/>
          <w:szCs w:val="22"/>
        </w:rPr>
        <w:t> 128 103</w:t>
      </w:r>
      <w:r w:rsidR="00B94055" w:rsidRPr="00C66720">
        <w:rPr>
          <w:rFonts w:ascii="Times New Roman" w:hAnsi="Times New Roman"/>
          <w:szCs w:val="22"/>
        </w:rPr>
        <w:t xml:space="preserve"> tis. eur</w:t>
      </w:r>
      <w:r w:rsidR="003C6C35" w:rsidRPr="00C66720">
        <w:rPr>
          <w:rFonts w:ascii="Times New Roman" w:hAnsi="Times New Roman"/>
          <w:szCs w:val="22"/>
        </w:rPr>
        <w:t xml:space="preserve"> najmä vplyvom zvýšenia </w:t>
      </w:r>
      <w:r w:rsidR="007E0AF6" w:rsidRPr="00C66720">
        <w:rPr>
          <w:rFonts w:ascii="Times New Roman" w:hAnsi="Times New Roman"/>
          <w:szCs w:val="22"/>
        </w:rPr>
        <w:t xml:space="preserve">v prípade obcí o 150 325 tis. eur. </w:t>
      </w:r>
      <w:r w:rsidRPr="00C66720">
        <w:rPr>
          <w:rFonts w:ascii="Times New Roman" w:hAnsi="Times New Roman"/>
          <w:szCs w:val="22"/>
        </w:rPr>
        <w:t xml:space="preserve">V najväčšej miere sú </w:t>
      </w:r>
      <w:r w:rsidR="007F309A" w:rsidRPr="00C66720">
        <w:rPr>
          <w:rFonts w:ascii="Times New Roman" w:hAnsi="Times New Roman"/>
          <w:szCs w:val="22"/>
        </w:rPr>
        <w:t xml:space="preserve">dlhodobé bankové úvery </w:t>
      </w:r>
      <w:r w:rsidRPr="00C66720">
        <w:rPr>
          <w:rFonts w:ascii="Times New Roman" w:hAnsi="Times New Roman"/>
          <w:szCs w:val="22"/>
        </w:rPr>
        <w:t>čerpané subjektami ústrednej správy (</w:t>
      </w:r>
      <w:r w:rsidR="007E0AF6" w:rsidRPr="00C66720">
        <w:rPr>
          <w:rFonts w:ascii="Times New Roman" w:hAnsi="Times New Roman"/>
          <w:szCs w:val="22"/>
        </w:rPr>
        <w:t>4 715 993</w:t>
      </w:r>
      <w:r w:rsidRPr="00C66720">
        <w:rPr>
          <w:rFonts w:ascii="Times New Roman" w:hAnsi="Times New Roman"/>
          <w:szCs w:val="22"/>
        </w:rPr>
        <w:t xml:space="preserve"> tis. eur) a subjektami územnej s</w:t>
      </w:r>
      <w:r w:rsidR="003C6C35" w:rsidRPr="00C66720">
        <w:rPr>
          <w:rFonts w:ascii="Times New Roman" w:hAnsi="Times New Roman"/>
          <w:szCs w:val="22"/>
        </w:rPr>
        <w:t>amosprávy (1</w:t>
      </w:r>
      <w:r w:rsidR="007E0AF6" w:rsidRPr="00C66720">
        <w:rPr>
          <w:rFonts w:ascii="Times New Roman" w:hAnsi="Times New Roman"/>
          <w:szCs w:val="22"/>
        </w:rPr>
        <w:t> 243 406</w:t>
      </w:r>
      <w:r w:rsidR="003C6C35" w:rsidRPr="00C66720">
        <w:rPr>
          <w:rFonts w:ascii="Times New Roman" w:hAnsi="Times New Roman"/>
          <w:szCs w:val="22"/>
        </w:rPr>
        <w:t xml:space="preserve"> tis. eur). </w:t>
      </w:r>
    </w:p>
    <w:p w14:paraId="56F99840" w14:textId="4A8893E5" w:rsidR="003D0790" w:rsidRDefault="003D0790" w:rsidP="00BB1319">
      <w:pPr>
        <w:pStyle w:val="Pismenka"/>
        <w:tabs>
          <w:tab w:val="clear" w:pos="426"/>
        </w:tabs>
        <w:spacing w:after="240"/>
        <w:ind w:left="0" w:firstLine="0"/>
        <w:rPr>
          <w:b w:val="0"/>
          <w:bCs w:val="0"/>
          <w:sz w:val="22"/>
          <w:szCs w:val="22"/>
          <w:lang w:eastAsia="en-US"/>
        </w:rPr>
      </w:pPr>
      <w:r w:rsidRPr="00C66720">
        <w:rPr>
          <w:b w:val="0"/>
          <w:bCs w:val="0"/>
          <w:sz w:val="22"/>
          <w:szCs w:val="22"/>
          <w:lang w:eastAsia="en-US"/>
        </w:rPr>
        <w:t>Z ústrednej správy je rozhodujúcim subjektom vo výške prijatých a splácaných úverov Ministerstvo financií SR, ktoré využíva výhodnejšie úrokové a úverové podmienky od medzinárodných finančných inštitúcií (ktorých väčšinou je Slovensko aj samotným členom a prispievateľom) na financovanie projektov v oblasti infraštruktúry, životného prostredia, podpory hospodárstva a jeho modernizácie</w:t>
      </w:r>
      <w:r w:rsidR="00826A9B" w:rsidRPr="00C66720">
        <w:rPr>
          <w:b w:val="0"/>
          <w:bCs w:val="0"/>
          <w:sz w:val="22"/>
          <w:szCs w:val="22"/>
          <w:lang w:eastAsia="en-US"/>
        </w:rPr>
        <w:t>, na krytie zvýšených výdavkov spôsobených celosvetovou pandémiou a na podporu hospodárstva v čase krízy</w:t>
      </w:r>
      <w:r w:rsidRPr="00C66720">
        <w:rPr>
          <w:b w:val="0"/>
          <w:bCs w:val="0"/>
          <w:sz w:val="22"/>
          <w:szCs w:val="22"/>
          <w:lang w:eastAsia="en-US"/>
        </w:rPr>
        <w:t>. Prostriedky sú väčšinou používané ako zdroj spolufinancovania k spoločným projektom s EÚ v rámci jednotlivých programových období.</w:t>
      </w:r>
    </w:p>
    <w:p w14:paraId="6F29F44E" w14:textId="77777777" w:rsidR="00117E7F" w:rsidRPr="00346B9E" w:rsidRDefault="00117E7F" w:rsidP="00117E7F">
      <w:pPr>
        <w:pStyle w:val="Pismenka"/>
        <w:tabs>
          <w:tab w:val="clear" w:pos="426"/>
        </w:tabs>
        <w:ind w:left="0" w:firstLine="0"/>
        <w:rPr>
          <w:bCs w:val="0"/>
        </w:rPr>
      </w:pPr>
      <w:r w:rsidRPr="00346B9E">
        <w:rPr>
          <w:bCs w:val="0"/>
        </w:rPr>
        <w:t>Tabu</w:t>
      </w:r>
      <w:r>
        <w:rPr>
          <w:bCs w:val="0"/>
        </w:rPr>
        <w:t>ľka 14</w:t>
      </w:r>
    </w:p>
    <w:tbl>
      <w:tblPr>
        <w:tblW w:w="5000" w:type="pct"/>
        <w:jc w:val="center"/>
        <w:tblLayout w:type="fixed"/>
        <w:tblCellMar>
          <w:left w:w="70" w:type="dxa"/>
          <w:right w:w="70" w:type="dxa"/>
        </w:tblCellMar>
        <w:tblLook w:val="00A0" w:firstRow="1" w:lastRow="0" w:firstColumn="1" w:lastColumn="0" w:noHBand="0" w:noVBand="0"/>
      </w:tblPr>
      <w:tblGrid>
        <w:gridCol w:w="5176"/>
        <w:gridCol w:w="1201"/>
        <w:gridCol w:w="1419"/>
        <w:gridCol w:w="1275"/>
      </w:tblGrid>
      <w:tr w:rsidR="00117E7F" w:rsidRPr="00AD1DD7" w14:paraId="67E11FD0"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378E445B" w14:textId="77777777" w:rsidR="00117E7F" w:rsidRPr="00AD1DD7" w:rsidRDefault="00117E7F" w:rsidP="00241F33">
            <w:pPr>
              <w:spacing w:after="0" w:line="240" w:lineRule="auto"/>
              <w:rPr>
                <w:rFonts w:ascii="Times New Roman" w:hAnsi="Times New Roman"/>
                <w:b/>
                <w:bCs/>
                <w:sz w:val="18"/>
                <w:szCs w:val="18"/>
                <w:lang w:eastAsia="sk-SK"/>
              </w:rPr>
            </w:pPr>
            <w:r w:rsidRPr="00AD1DD7">
              <w:rPr>
                <w:rFonts w:ascii="Times New Roman" w:hAnsi="Times New Roman"/>
                <w:b/>
                <w:bCs/>
                <w:sz w:val="18"/>
                <w:szCs w:val="18"/>
                <w:lang w:eastAsia="sk-SK"/>
              </w:rPr>
              <w:t xml:space="preserve">Dlhodobé úvery SR voči zahraničným inštitúciám v správe Ministerstva financií SR                 </w:t>
            </w:r>
            <w:r>
              <w:rPr>
                <w:rFonts w:ascii="Times New Roman" w:hAnsi="Times New Roman"/>
                <w:b/>
                <w:bCs/>
                <w:sz w:val="18"/>
                <w:szCs w:val="18"/>
                <w:lang w:eastAsia="sk-SK"/>
              </w:rPr>
              <w:t xml:space="preserve">                   </w:t>
            </w:r>
            <w:r w:rsidRPr="00AD1DD7">
              <w:rPr>
                <w:rFonts w:ascii="Times New Roman" w:hAnsi="Times New Roman"/>
                <w:b/>
                <w:bCs/>
                <w:sz w:val="18"/>
                <w:szCs w:val="18"/>
                <w:lang w:eastAsia="sk-SK"/>
              </w:rPr>
              <w:t>(v tis. eur) </w:t>
            </w:r>
          </w:p>
        </w:tc>
      </w:tr>
      <w:tr w:rsidR="00117E7F" w:rsidRPr="00A031FF" w14:paraId="0FFF8B58" w14:textId="77777777" w:rsidTr="00241F33">
        <w:trPr>
          <w:trHeight w:val="330"/>
          <w:jc w:val="center"/>
        </w:trPr>
        <w:tc>
          <w:tcPr>
            <w:tcW w:w="2853" w:type="pct"/>
            <w:tcBorders>
              <w:top w:val="nil"/>
              <w:left w:val="nil"/>
              <w:bottom w:val="single" w:sz="4" w:space="0" w:color="auto"/>
              <w:right w:val="nil"/>
            </w:tcBorders>
            <w:shd w:val="clear" w:color="auto" w:fill="BDD7EE"/>
            <w:noWrap/>
            <w:vAlign w:val="center"/>
          </w:tcPr>
          <w:p w14:paraId="428E56B7" w14:textId="77777777" w:rsidR="00117E7F" w:rsidRPr="00A031FF" w:rsidRDefault="00117E7F" w:rsidP="00117E7F">
            <w:pPr>
              <w:spacing w:after="0" w:line="240" w:lineRule="auto"/>
              <w:rPr>
                <w:rFonts w:ascii="Times New Roman" w:hAnsi="Times New Roman"/>
                <w:b/>
                <w:bCs/>
                <w:sz w:val="18"/>
                <w:szCs w:val="18"/>
                <w:lang w:eastAsia="sk-SK"/>
              </w:rPr>
            </w:pPr>
            <w:r w:rsidRPr="00A031FF">
              <w:rPr>
                <w:rFonts w:ascii="Times New Roman" w:hAnsi="Times New Roman"/>
                <w:b/>
                <w:bCs/>
                <w:sz w:val="18"/>
                <w:szCs w:val="18"/>
                <w:lang w:eastAsia="sk-SK"/>
              </w:rPr>
              <w:t>Finančná inštitúcia</w:t>
            </w:r>
          </w:p>
        </w:tc>
        <w:tc>
          <w:tcPr>
            <w:tcW w:w="662" w:type="pct"/>
            <w:tcBorders>
              <w:top w:val="nil"/>
              <w:left w:val="nil"/>
              <w:bottom w:val="single" w:sz="4" w:space="0" w:color="auto"/>
              <w:right w:val="nil"/>
            </w:tcBorders>
            <w:shd w:val="clear" w:color="auto" w:fill="BDD7EE"/>
            <w:noWrap/>
            <w:vAlign w:val="center"/>
          </w:tcPr>
          <w:p w14:paraId="69A17063" w14:textId="35E3AD07" w:rsidR="00117E7F" w:rsidRPr="00A031FF" w:rsidRDefault="00117E7F" w:rsidP="00117E7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82" w:type="pct"/>
            <w:tcBorders>
              <w:top w:val="nil"/>
              <w:left w:val="nil"/>
              <w:bottom w:val="single" w:sz="4" w:space="0" w:color="auto"/>
              <w:right w:val="nil"/>
            </w:tcBorders>
            <w:shd w:val="clear" w:color="auto" w:fill="BDD7EE"/>
            <w:noWrap/>
            <w:vAlign w:val="center"/>
          </w:tcPr>
          <w:p w14:paraId="716171DC" w14:textId="7A71B0C5" w:rsidR="00117E7F" w:rsidRPr="00A031FF" w:rsidRDefault="00117E7F" w:rsidP="00117E7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3" w:type="pct"/>
            <w:tcBorders>
              <w:top w:val="nil"/>
              <w:left w:val="nil"/>
              <w:bottom w:val="single" w:sz="4" w:space="0" w:color="auto"/>
              <w:right w:val="nil"/>
            </w:tcBorders>
            <w:shd w:val="clear" w:color="auto" w:fill="BDD7EE"/>
            <w:vAlign w:val="center"/>
          </w:tcPr>
          <w:p w14:paraId="4259F457" w14:textId="769768F4" w:rsidR="00117E7F" w:rsidRPr="00A031FF" w:rsidRDefault="00117E7F" w:rsidP="00117E7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117E7F" w:rsidRPr="00A031FF" w14:paraId="0AA5A8C2" w14:textId="77777777" w:rsidTr="00241F33">
        <w:trPr>
          <w:trHeight w:val="330"/>
          <w:jc w:val="center"/>
        </w:trPr>
        <w:tc>
          <w:tcPr>
            <w:tcW w:w="2853" w:type="pct"/>
            <w:tcBorders>
              <w:top w:val="nil"/>
              <w:left w:val="nil"/>
              <w:bottom w:val="nil"/>
              <w:right w:val="nil"/>
            </w:tcBorders>
            <w:shd w:val="clear" w:color="000000" w:fill="FFFFFF"/>
            <w:vAlign w:val="center"/>
          </w:tcPr>
          <w:p w14:paraId="59916B5C" w14:textId="77777777" w:rsidR="00117E7F" w:rsidRPr="00A031FF" w:rsidRDefault="00117E7F" w:rsidP="00117E7F">
            <w:pPr>
              <w:spacing w:before="120" w:after="0" w:line="240" w:lineRule="auto"/>
              <w:rPr>
                <w:rFonts w:ascii="Times New Roman" w:hAnsi="Times New Roman"/>
                <w:sz w:val="18"/>
                <w:szCs w:val="18"/>
                <w:lang w:eastAsia="sk-SK"/>
              </w:rPr>
            </w:pPr>
            <w:r w:rsidRPr="00A031FF">
              <w:rPr>
                <w:rFonts w:ascii="Times New Roman" w:hAnsi="Times New Roman"/>
                <w:bCs/>
                <w:sz w:val="18"/>
                <w:szCs w:val="18"/>
                <w:lang w:eastAsia="sk-SK"/>
              </w:rPr>
              <w:t>Európska investičná banka (EIB)</w:t>
            </w:r>
          </w:p>
        </w:tc>
        <w:tc>
          <w:tcPr>
            <w:tcW w:w="662" w:type="pct"/>
            <w:tcBorders>
              <w:top w:val="nil"/>
              <w:left w:val="nil"/>
              <w:bottom w:val="nil"/>
              <w:right w:val="nil"/>
            </w:tcBorders>
            <w:shd w:val="clear" w:color="000000" w:fill="FFFFFF"/>
            <w:vAlign w:val="center"/>
          </w:tcPr>
          <w:p w14:paraId="3AD091B2" w14:textId="52A4BA52"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2 516 113</w:t>
            </w:r>
          </w:p>
        </w:tc>
        <w:tc>
          <w:tcPr>
            <w:tcW w:w="782" w:type="pct"/>
            <w:tcBorders>
              <w:top w:val="nil"/>
              <w:left w:val="nil"/>
              <w:bottom w:val="nil"/>
              <w:right w:val="nil"/>
            </w:tcBorders>
            <w:shd w:val="clear" w:color="000000" w:fill="FFFFFF"/>
            <w:vAlign w:val="center"/>
          </w:tcPr>
          <w:p w14:paraId="6E723B5E" w14:textId="148CBDA6"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2 420 724</w:t>
            </w:r>
          </w:p>
        </w:tc>
        <w:tc>
          <w:tcPr>
            <w:tcW w:w="703" w:type="pct"/>
            <w:tcBorders>
              <w:top w:val="nil"/>
              <w:left w:val="nil"/>
              <w:bottom w:val="nil"/>
              <w:right w:val="nil"/>
            </w:tcBorders>
            <w:shd w:val="clear" w:color="000000" w:fill="FFFFFF"/>
            <w:vAlign w:val="center"/>
          </w:tcPr>
          <w:p w14:paraId="2F5C7FF5" w14:textId="19F44796"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95 389</w:t>
            </w:r>
          </w:p>
        </w:tc>
      </w:tr>
      <w:tr w:rsidR="00117E7F" w:rsidRPr="00A031FF" w14:paraId="228765E6" w14:textId="77777777" w:rsidTr="00241F33">
        <w:trPr>
          <w:trHeight w:val="330"/>
          <w:jc w:val="center"/>
        </w:trPr>
        <w:tc>
          <w:tcPr>
            <w:tcW w:w="2853" w:type="pct"/>
            <w:tcBorders>
              <w:top w:val="nil"/>
              <w:left w:val="nil"/>
              <w:bottom w:val="nil"/>
              <w:right w:val="nil"/>
            </w:tcBorders>
            <w:shd w:val="clear" w:color="000000" w:fill="FFFFFF"/>
            <w:vAlign w:val="center"/>
          </w:tcPr>
          <w:p w14:paraId="1047CA49" w14:textId="77777777" w:rsidR="00117E7F" w:rsidRPr="00A031FF" w:rsidRDefault="00117E7F" w:rsidP="00117E7F">
            <w:pPr>
              <w:spacing w:after="0" w:line="240" w:lineRule="auto"/>
              <w:rPr>
                <w:rFonts w:ascii="Times New Roman" w:hAnsi="Times New Roman"/>
                <w:bCs/>
                <w:sz w:val="18"/>
                <w:szCs w:val="18"/>
                <w:lang w:eastAsia="sk-SK"/>
              </w:rPr>
            </w:pPr>
            <w:r w:rsidRPr="00A031FF">
              <w:rPr>
                <w:rFonts w:ascii="Times New Roman" w:hAnsi="Times New Roman"/>
                <w:bCs/>
                <w:sz w:val="18"/>
                <w:szCs w:val="18"/>
                <w:lang w:eastAsia="sk-SK"/>
              </w:rPr>
              <w:t>Rozvojová banka Rady Európy (CEB)</w:t>
            </w:r>
          </w:p>
        </w:tc>
        <w:tc>
          <w:tcPr>
            <w:tcW w:w="662" w:type="pct"/>
            <w:tcBorders>
              <w:top w:val="nil"/>
              <w:left w:val="nil"/>
              <w:bottom w:val="nil"/>
              <w:right w:val="nil"/>
            </w:tcBorders>
            <w:shd w:val="clear" w:color="000000" w:fill="FFFFFF"/>
            <w:vAlign w:val="center"/>
          </w:tcPr>
          <w:p w14:paraId="2D2801A7" w14:textId="4B6B1571"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855 000</w:t>
            </w:r>
          </w:p>
        </w:tc>
        <w:tc>
          <w:tcPr>
            <w:tcW w:w="782" w:type="pct"/>
            <w:tcBorders>
              <w:top w:val="nil"/>
              <w:left w:val="nil"/>
              <w:bottom w:val="nil"/>
              <w:right w:val="nil"/>
            </w:tcBorders>
            <w:shd w:val="clear" w:color="000000" w:fill="FFFFFF"/>
            <w:vAlign w:val="center"/>
          </w:tcPr>
          <w:p w14:paraId="72D420CF" w14:textId="6622629F"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855 000</w:t>
            </w:r>
          </w:p>
        </w:tc>
        <w:tc>
          <w:tcPr>
            <w:tcW w:w="703" w:type="pct"/>
            <w:tcBorders>
              <w:top w:val="nil"/>
              <w:left w:val="nil"/>
              <w:bottom w:val="nil"/>
              <w:right w:val="nil"/>
            </w:tcBorders>
            <w:shd w:val="clear" w:color="000000" w:fill="FFFFFF"/>
            <w:vAlign w:val="center"/>
          </w:tcPr>
          <w:p w14:paraId="4EFB876E" w14:textId="502E4E0B"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r>
      <w:tr w:rsidR="00117E7F" w:rsidRPr="00A031FF" w14:paraId="5346E46D" w14:textId="77777777" w:rsidTr="00241F33">
        <w:trPr>
          <w:trHeight w:val="330"/>
          <w:jc w:val="center"/>
        </w:trPr>
        <w:tc>
          <w:tcPr>
            <w:tcW w:w="2853" w:type="pct"/>
            <w:tcBorders>
              <w:top w:val="nil"/>
              <w:left w:val="nil"/>
              <w:bottom w:val="nil"/>
              <w:right w:val="nil"/>
            </w:tcBorders>
            <w:shd w:val="clear" w:color="000000" w:fill="FFFFFF"/>
            <w:vAlign w:val="center"/>
          </w:tcPr>
          <w:p w14:paraId="3F5CE15A" w14:textId="77777777" w:rsidR="00117E7F" w:rsidRPr="00A031FF" w:rsidRDefault="00117E7F" w:rsidP="00117E7F">
            <w:pPr>
              <w:spacing w:after="0" w:line="240" w:lineRule="auto"/>
              <w:rPr>
                <w:rFonts w:ascii="Times New Roman" w:hAnsi="Times New Roman"/>
                <w:bCs/>
                <w:sz w:val="18"/>
                <w:szCs w:val="18"/>
                <w:lang w:eastAsia="sk-SK"/>
              </w:rPr>
            </w:pPr>
            <w:r w:rsidRPr="00A031FF">
              <w:rPr>
                <w:rFonts w:ascii="Times New Roman" w:hAnsi="Times New Roman"/>
                <w:bCs/>
                <w:sz w:val="18"/>
                <w:szCs w:val="18"/>
                <w:lang w:eastAsia="sk-SK"/>
              </w:rPr>
              <w:t>Európska únia</w:t>
            </w:r>
            <w:r>
              <w:rPr>
                <w:rFonts w:ascii="Times New Roman" w:hAnsi="Times New Roman"/>
                <w:bCs/>
                <w:sz w:val="18"/>
                <w:szCs w:val="18"/>
                <w:lang w:eastAsia="sk-SK"/>
              </w:rPr>
              <w:t xml:space="preserve"> (nástroj SURE)</w:t>
            </w:r>
          </w:p>
        </w:tc>
        <w:tc>
          <w:tcPr>
            <w:tcW w:w="662" w:type="pct"/>
            <w:tcBorders>
              <w:top w:val="nil"/>
              <w:left w:val="nil"/>
              <w:bottom w:val="nil"/>
              <w:right w:val="nil"/>
            </w:tcBorders>
            <w:shd w:val="clear" w:color="000000" w:fill="FFFFFF"/>
            <w:vAlign w:val="center"/>
          </w:tcPr>
          <w:p w14:paraId="693E0765" w14:textId="1B74E57F"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630 000</w:t>
            </w:r>
          </w:p>
        </w:tc>
        <w:tc>
          <w:tcPr>
            <w:tcW w:w="782" w:type="pct"/>
            <w:tcBorders>
              <w:top w:val="nil"/>
              <w:left w:val="nil"/>
              <w:bottom w:val="nil"/>
              <w:right w:val="nil"/>
            </w:tcBorders>
            <w:shd w:val="clear" w:color="000000" w:fill="FFFFFF"/>
            <w:vAlign w:val="center"/>
          </w:tcPr>
          <w:p w14:paraId="0BAE9565" w14:textId="6E950962"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630 000</w:t>
            </w:r>
          </w:p>
        </w:tc>
        <w:tc>
          <w:tcPr>
            <w:tcW w:w="703" w:type="pct"/>
            <w:tcBorders>
              <w:top w:val="nil"/>
              <w:left w:val="nil"/>
              <w:bottom w:val="nil"/>
              <w:right w:val="nil"/>
            </w:tcBorders>
            <w:shd w:val="clear" w:color="000000" w:fill="FFFFFF"/>
            <w:vAlign w:val="center"/>
          </w:tcPr>
          <w:p w14:paraId="43A60627" w14:textId="2BD59046"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0</w:t>
            </w:r>
          </w:p>
        </w:tc>
      </w:tr>
      <w:tr w:rsidR="00117E7F" w:rsidRPr="00A031FF" w14:paraId="75683A55" w14:textId="77777777" w:rsidTr="00241F33">
        <w:trPr>
          <w:trHeight w:val="330"/>
          <w:jc w:val="center"/>
        </w:trPr>
        <w:tc>
          <w:tcPr>
            <w:tcW w:w="2853" w:type="pct"/>
            <w:tcBorders>
              <w:top w:val="nil"/>
              <w:left w:val="nil"/>
              <w:bottom w:val="single" w:sz="4" w:space="0" w:color="auto"/>
              <w:right w:val="nil"/>
            </w:tcBorders>
            <w:shd w:val="clear" w:color="000000" w:fill="FFFFFF"/>
            <w:vAlign w:val="center"/>
          </w:tcPr>
          <w:p w14:paraId="61B616C4" w14:textId="77777777" w:rsidR="00117E7F" w:rsidRPr="00A031FF" w:rsidRDefault="00117E7F" w:rsidP="00117E7F">
            <w:pPr>
              <w:spacing w:after="0" w:line="240" w:lineRule="auto"/>
              <w:rPr>
                <w:rFonts w:ascii="Times New Roman" w:hAnsi="Times New Roman"/>
                <w:sz w:val="18"/>
                <w:szCs w:val="18"/>
                <w:lang w:eastAsia="sk-SK"/>
              </w:rPr>
            </w:pPr>
            <w:r w:rsidRPr="00A031FF">
              <w:rPr>
                <w:rFonts w:ascii="Times New Roman" w:hAnsi="Times New Roman"/>
                <w:bCs/>
                <w:sz w:val="18"/>
                <w:szCs w:val="18"/>
                <w:lang w:eastAsia="sk-SK"/>
              </w:rPr>
              <w:t>Japonská banka pre medzinárodnú spoluprácu</w:t>
            </w:r>
          </w:p>
        </w:tc>
        <w:tc>
          <w:tcPr>
            <w:tcW w:w="662" w:type="pct"/>
            <w:tcBorders>
              <w:top w:val="nil"/>
              <w:left w:val="nil"/>
              <w:bottom w:val="single" w:sz="4" w:space="0" w:color="auto"/>
              <w:right w:val="nil"/>
            </w:tcBorders>
            <w:shd w:val="clear" w:color="000000" w:fill="FFFFFF"/>
            <w:vAlign w:val="center"/>
          </w:tcPr>
          <w:p w14:paraId="21944FFF" w14:textId="3B0C875A"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3 309</w:t>
            </w:r>
          </w:p>
        </w:tc>
        <w:tc>
          <w:tcPr>
            <w:tcW w:w="782" w:type="pct"/>
            <w:tcBorders>
              <w:top w:val="nil"/>
              <w:left w:val="nil"/>
              <w:bottom w:val="single" w:sz="4" w:space="0" w:color="auto"/>
              <w:right w:val="nil"/>
            </w:tcBorders>
            <w:shd w:val="clear" w:color="000000" w:fill="FFFFFF"/>
            <w:vAlign w:val="center"/>
          </w:tcPr>
          <w:p w14:paraId="51CDA79A" w14:textId="6AB14AD4"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8 109</w:t>
            </w:r>
          </w:p>
        </w:tc>
        <w:tc>
          <w:tcPr>
            <w:tcW w:w="703" w:type="pct"/>
            <w:tcBorders>
              <w:top w:val="nil"/>
              <w:left w:val="nil"/>
              <w:bottom w:val="single" w:sz="4" w:space="0" w:color="auto"/>
              <w:right w:val="nil"/>
            </w:tcBorders>
            <w:shd w:val="clear" w:color="000000" w:fill="FFFFFF"/>
            <w:vAlign w:val="center"/>
          </w:tcPr>
          <w:p w14:paraId="59A3A11A" w14:textId="686F3DD6" w:rsidR="00117E7F" w:rsidRPr="00A031FF" w:rsidRDefault="00117E7F" w:rsidP="00117E7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-4 800</w:t>
            </w:r>
          </w:p>
        </w:tc>
      </w:tr>
      <w:tr w:rsidR="00117E7F" w:rsidRPr="00975467" w14:paraId="435C9505" w14:textId="77777777" w:rsidTr="00241F33">
        <w:trPr>
          <w:trHeight w:val="330"/>
          <w:jc w:val="center"/>
        </w:trPr>
        <w:tc>
          <w:tcPr>
            <w:tcW w:w="2853" w:type="pct"/>
            <w:tcBorders>
              <w:top w:val="single" w:sz="4" w:space="0" w:color="auto"/>
              <w:left w:val="nil"/>
              <w:bottom w:val="single" w:sz="4" w:space="0" w:color="000000"/>
              <w:right w:val="nil"/>
            </w:tcBorders>
            <w:shd w:val="clear" w:color="000000" w:fill="FFFFFF"/>
            <w:vAlign w:val="center"/>
          </w:tcPr>
          <w:p w14:paraId="3A92D18E" w14:textId="77777777" w:rsidR="00117E7F" w:rsidRPr="00A031FF" w:rsidRDefault="00117E7F" w:rsidP="00117E7F">
            <w:pPr>
              <w:spacing w:after="0" w:line="240" w:lineRule="auto"/>
              <w:rPr>
                <w:rFonts w:ascii="Times New Roman" w:hAnsi="Times New Roman"/>
                <w:b/>
                <w:bCs/>
                <w:sz w:val="18"/>
                <w:szCs w:val="18"/>
                <w:lang w:eastAsia="sk-SK"/>
              </w:rPr>
            </w:pPr>
            <w:r w:rsidRPr="00A031FF">
              <w:rPr>
                <w:rFonts w:ascii="Times New Roman" w:hAnsi="Times New Roman"/>
                <w:b/>
                <w:bCs/>
                <w:sz w:val="18"/>
                <w:szCs w:val="18"/>
                <w:lang w:eastAsia="sk-SK"/>
              </w:rPr>
              <w:t>Spolu</w:t>
            </w:r>
          </w:p>
        </w:tc>
        <w:tc>
          <w:tcPr>
            <w:tcW w:w="662" w:type="pct"/>
            <w:tcBorders>
              <w:top w:val="single" w:sz="4" w:space="0" w:color="auto"/>
              <w:left w:val="nil"/>
              <w:bottom w:val="single" w:sz="4" w:space="0" w:color="000000"/>
              <w:right w:val="nil"/>
            </w:tcBorders>
            <w:shd w:val="clear" w:color="000000" w:fill="FFFFFF"/>
            <w:vAlign w:val="center"/>
          </w:tcPr>
          <w:p w14:paraId="2D7E0609" w14:textId="0EA425D1" w:rsidR="00117E7F" w:rsidRPr="00A031FF" w:rsidRDefault="00117E7F" w:rsidP="00117E7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4 004 422</w:t>
            </w:r>
          </w:p>
        </w:tc>
        <w:tc>
          <w:tcPr>
            <w:tcW w:w="782" w:type="pct"/>
            <w:tcBorders>
              <w:top w:val="single" w:sz="4" w:space="0" w:color="auto"/>
              <w:left w:val="nil"/>
              <w:bottom w:val="single" w:sz="4" w:space="0" w:color="000000"/>
              <w:right w:val="nil"/>
            </w:tcBorders>
            <w:shd w:val="clear" w:color="000000" w:fill="FFFFFF"/>
            <w:vAlign w:val="center"/>
          </w:tcPr>
          <w:p w14:paraId="56BA4BC1" w14:textId="4A4B8C0E" w:rsidR="00117E7F" w:rsidRPr="00A031FF" w:rsidRDefault="00117E7F" w:rsidP="00117E7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3 913 833</w:t>
            </w:r>
          </w:p>
        </w:tc>
        <w:tc>
          <w:tcPr>
            <w:tcW w:w="703" w:type="pct"/>
            <w:tcBorders>
              <w:top w:val="single" w:sz="4" w:space="0" w:color="auto"/>
              <w:left w:val="nil"/>
              <w:bottom w:val="single" w:sz="4" w:space="0" w:color="000000"/>
              <w:right w:val="nil"/>
            </w:tcBorders>
            <w:shd w:val="clear" w:color="000000" w:fill="FFFFFF"/>
            <w:vAlign w:val="center"/>
          </w:tcPr>
          <w:p w14:paraId="43F905B4" w14:textId="4F48D9B7" w:rsidR="00117E7F" w:rsidRPr="00A031FF" w:rsidRDefault="00117E7F" w:rsidP="00117E7F">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90 589</w:t>
            </w:r>
          </w:p>
        </w:tc>
      </w:tr>
    </w:tbl>
    <w:p w14:paraId="51CDB75C" w14:textId="77777777" w:rsidR="00117E7F" w:rsidRDefault="00117E7F" w:rsidP="00117E7F">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0BB741F7" w14:textId="7A3169B6" w:rsidR="00D34DF2" w:rsidRPr="00C66720" w:rsidRDefault="00B81FE9" w:rsidP="009B14EC">
      <w:pPr>
        <w:spacing w:before="240" w:after="120" w:line="240" w:lineRule="auto"/>
        <w:jc w:val="both"/>
        <w:rPr>
          <w:rFonts w:ascii="Times New Roman" w:hAnsi="Times New Roman"/>
          <w:szCs w:val="22"/>
        </w:rPr>
      </w:pPr>
      <w:r w:rsidRPr="00C66720">
        <w:rPr>
          <w:rFonts w:ascii="Times New Roman" w:hAnsi="Times New Roman"/>
          <w:szCs w:val="22"/>
        </w:rPr>
        <w:t xml:space="preserve">Ministerstvo financií SR vykazuje v mene Slovenskej republiky dlhodobé </w:t>
      </w:r>
      <w:r w:rsidR="00352EC6" w:rsidRPr="00C66720">
        <w:rPr>
          <w:rFonts w:ascii="Times New Roman" w:hAnsi="Times New Roman"/>
          <w:szCs w:val="22"/>
        </w:rPr>
        <w:t xml:space="preserve">bankové </w:t>
      </w:r>
      <w:r w:rsidRPr="00C66720">
        <w:rPr>
          <w:rFonts w:ascii="Times New Roman" w:hAnsi="Times New Roman"/>
          <w:szCs w:val="22"/>
        </w:rPr>
        <w:t xml:space="preserve">úvery prijaté na podporu infraštruktúry a na podporu významných rozvojových projektov v oblasti dopravy, životného prostredia, informatizácie spoločnosti a podobne. Hodnota týchto investičných úverov dosiahla </w:t>
      </w:r>
      <w:r w:rsidR="00351382" w:rsidRPr="00C66720">
        <w:rPr>
          <w:rFonts w:ascii="Times New Roman" w:hAnsi="Times New Roman"/>
          <w:szCs w:val="22"/>
        </w:rPr>
        <w:br/>
      </w:r>
      <w:r w:rsidR="006B6AA5" w:rsidRPr="00C66720">
        <w:rPr>
          <w:rFonts w:ascii="Times New Roman" w:hAnsi="Times New Roman"/>
          <w:szCs w:val="22"/>
        </w:rPr>
        <w:t>k 31. 12. 202</w:t>
      </w:r>
      <w:r w:rsidR="00043743" w:rsidRPr="00C66720">
        <w:rPr>
          <w:rFonts w:ascii="Times New Roman" w:hAnsi="Times New Roman"/>
          <w:szCs w:val="22"/>
        </w:rPr>
        <w:t>2</w:t>
      </w:r>
      <w:r w:rsidRPr="00C66720">
        <w:rPr>
          <w:rFonts w:ascii="Times New Roman" w:hAnsi="Times New Roman"/>
          <w:szCs w:val="22"/>
        </w:rPr>
        <w:t xml:space="preserve"> sumu </w:t>
      </w:r>
      <w:r w:rsidR="00043743" w:rsidRPr="00C66720">
        <w:rPr>
          <w:rFonts w:ascii="Times New Roman" w:hAnsi="Times New Roman"/>
          <w:szCs w:val="22"/>
        </w:rPr>
        <w:t xml:space="preserve">4 004 422 </w:t>
      </w:r>
      <w:r w:rsidRPr="00C66720">
        <w:rPr>
          <w:rFonts w:ascii="Times New Roman" w:hAnsi="Times New Roman"/>
          <w:szCs w:val="22"/>
        </w:rPr>
        <w:t>tis. eur, pričom v roku 202</w:t>
      </w:r>
      <w:r w:rsidR="007529B8" w:rsidRPr="00C66720">
        <w:rPr>
          <w:rFonts w:ascii="Times New Roman" w:hAnsi="Times New Roman"/>
          <w:szCs w:val="22"/>
        </w:rPr>
        <w:t>2</w:t>
      </w:r>
      <w:r w:rsidRPr="00C66720">
        <w:rPr>
          <w:rFonts w:ascii="Times New Roman" w:hAnsi="Times New Roman"/>
          <w:szCs w:val="22"/>
        </w:rPr>
        <w:t xml:space="preserve"> došlo k čerpaniu </w:t>
      </w:r>
      <w:r w:rsidR="007529B8" w:rsidRPr="00C66720">
        <w:rPr>
          <w:rFonts w:ascii="Times New Roman" w:hAnsi="Times New Roman"/>
          <w:szCs w:val="22"/>
        </w:rPr>
        <w:t>štvrtej tranže úveru Národný rozvojový plán III – Doprava v hodnote 100 000 tis. eur</w:t>
      </w:r>
      <w:r w:rsidR="00FB58AD" w:rsidRPr="00C66720">
        <w:rPr>
          <w:rFonts w:ascii="Times New Roman" w:hAnsi="Times New Roman"/>
          <w:szCs w:val="22"/>
        </w:rPr>
        <w:t xml:space="preserve"> od Európskej investičnej banky</w:t>
      </w:r>
      <w:r w:rsidR="007529B8" w:rsidRPr="00C66720">
        <w:rPr>
          <w:rFonts w:ascii="Times New Roman" w:hAnsi="Times New Roman"/>
          <w:szCs w:val="22"/>
        </w:rPr>
        <w:t>.</w:t>
      </w:r>
      <w:r w:rsidR="00531B18" w:rsidRPr="00C66720">
        <w:rPr>
          <w:rFonts w:ascii="Times New Roman" w:hAnsi="Times New Roman"/>
          <w:szCs w:val="22"/>
        </w:rPr>
        <w:t xml:space="preserve"> </w:t>
      </w:r>
      <w:r w:rsidR="008B6C86" w:rsidRPr="00C66720">
        <w:rPr>
          <w:rFonts w:ascii="Times New Roman" w:hAnsi="Times New Roman"/>
          <w:szCs w:val="22"/>
        </w:rPr>
        <w:t xml:space="preserve">Financovanie prostredníctvom </w:t>
      </w:r>
      <w:r w:rsidR="001110C9" w:rsidRPr="00C66720">
        <w:rPr>
          <w:rFonts w:ascii="Times New Roman" w:hAnsi="Times New Roman"/>
          <w:szCs w:val="22"/>
        </w:rPr>
        <w:t xml:space="preserve">týchto </w:t>
      </w:r>
      <w:r w:rsidR="008B6C86" w:rsidRPr="00C66720">
        <w:rPr>
          <w:rFonts w:ascii="Times New Roman" w:hAnsi="Times New Roman"/>
          <w:szCs w:val="22"/>
        </w:rPr>
        <w:t>úverov vstupuje do</w:t>
      </w:r>
      <w:r w:rsidR="001110C9" w:rsidRPr="00C66720">
        <w:rPr>
          <w:rFonts w:ascii="Times New Roman" w:hAnsi="Times New Roman"/>
          <w:szCs w:val="22"/>
        </w:rPr>
        <w:t xml:space="preserve"> financovania štátneho dlhu resp. do krytia potrieb štátneho rozpočtu v danom roku.</w:t>
      </w:r>
      <w:r w:rsidR="008B6C86" w:rsidRPr="00C66720">
        <w:rPr>
          <w:rFonts w:ascii="Times New Roman" w:hAnsi="Times New Roman"/>
          <w:szCs w:val="22"/>
        </w:rPr>
        <w:t xml:space="preserve"> </w:t>
      </w:r>
    </w:p>
    <w:p w14:paraId="006AEFC6" w14:textId="3775AC25" w:rsidR="00C907B9" w:rsidRPr="00C66720" w:rsidRDefault="00C907B9" w:rsidP="009B14EC">
      <w:pPr>
        <w:pStyle w:val="Pismenka"/>
        <w:tabs>
          <w:tab w:val="clear" w:pos="426"/>
          <w:tab w:val="num" w:pos="0"/>
        </w:tabs>
        <w:spacing w:before="180"/>
        <w:ind w:left="0" w:firstLine="0"/>
        <w:rPr>
          <w:b w:val="0"/>
          <w:bCs w:val="0"/>
          <w:sz w:val="22"/>
          <w:szCs w:val="22"/>
        </w:rPr>
      </w:pPr>
      <w:r w:rsidRPr="00C66720">
        <w:rPr>
          <w:b w:val="0"/>
          <w:bCs w:val="0"/>
          <w:sz w:val="22"/>
          <w:szCs w:val="22"/>
        </w:rPr>
        <w:lastRenderedPageBreak/>
        <w:t>Časť zahraničných bankových úverov, ktorých splatnosť je do jedného roka, sa vykazuje v časti B.III. pasív, ako súčasť Krátkodobých záväzkov.</w:t>
      </w:r>
    </w:p>
    <w:p w14:paraId="4945621E" w14:textId="4503F42C" w:rsidR="003B7E9A" w:rsidRPr="00C66720" w:rsidRDefault="00FA6FA3" w:rsidP="009B14EC">
      <w:pPr>
        <w:pStyle w:val="Pismenka"/>
        <w:tabs>
          <w:tab w:val="clear" w:pos="426"/>
          <w:tab w:val="num" w:pos="0"/>
        </w:tabs>
        <w:spacing w:before="180"/>
        <w:ind w:left="0" w:firstLine="0"/>
        <w:rPr>
          <w:b w:val="0"/>
          <w:bCs w:val="0"/>
          <w:sz w:val="22"/>
          <w:szCs w:val="22"/>
        </w:rPr>
      </w:pPr>
      <w:r w:rsidRPr="00C66720">
        <w:rPr>
          <w:b w:val="0"/>
          <w:bCs w:val="0"/>
          <w:sz w:val="22"/>
          <w:szCs w:val="22"/>
        </w:rPr>
        <w:t>Zvyšnú časť dlhodobých úverov ústrednej správy vykazujú obchodné spoločnosti a štátne podniky</w:t>
      </w:r>
      <w:r w:rsidRPr="00C66720">
        <w:rPr>
          <w:b w:val="0"/>
          <w:bCs w:val="0"/>
          <w:sz w:val="22"/>
          <w:szCs w:val="22"/>
        </w:rPr>
        <w:br/>
        <w:t>(</w:t>
      </w:r>
      <w:r w:rsidR="00C1174C" w:rsidRPr="00C66720">
        <w:rPr>
          <w:b w:val="0"/>
          <w:bCs w:val="0"/>
          <w:sz w:val="22"/>
          <w:szCs w:val="22"/>
        </w:rPr>
        <w:t>580 502</w:t>
      </w:r>
      <w:r w:rsidR="006B6AA5" w:rsidRPr="00C66720">
        <w:rPr>
          <w:b w:val="0"/>
          <w:bCs w:val="0"/>
          <w:sz w:val="22"/>
          <w:szCs w:val="22"/>
        </w:rPr>
        <w:t xml:space="preserve"> </w:t>
      </w:r>
      <w:r w:rsidRPr="00C66720">
        <w:rPr>
          <w:b w:val="0"/>
          <w:bCs w:val="0"/>
          <w:sz w:val="22"/>
          <w:szCs w:val="22"/>
        </w:rPr>
        <w:t xml:space="preserve">tis. eur), ako napríklad Železničná spoločnosť Slovensko, a.s. </w:t>
      </w:r>
      <w:r w:rsidR="00C1174C" w:rsidRPr="00C66720">
        <w:rPr>
          <w:b w:val="0"/>
          <w:bCs w:val="0"/>
          <w:sz w:val="22"/>
          <w:szCs w:val="22"/>
        </w:rPr>
        <w:t>284 817</w:t>
      </w:r>
      <w:r w:rsidRPr="00C66720">
        <w:rPr>
          <w:b w:val="0"/>
          <w:bCs w:val="0"/>
          <w:sz w:val="22"/>
          <w:szCs w:val="22"/>
        </w:rPr>
        <w:t xml:space="preserve"> tis. eur, Vodohospodárska výstavba, š. p. </w:t>
      </w:r>
      <w:r w:rsidR="00C1174C" w:rsidRPr="00C66720">
        <w:rPr>
          <w:b w:val="0"/>
          <w:bCs w:val="0"/>
          <w:sz w:val="22"/>
          <w:szCs w:val="22"/>
        </w:rPr>
        <w:t>77 760</w:t>
      </w:r>
      <w:r w:rsidRPr="00C66720">
        <w:rPr>
          <w:b w:val="0"/>
          <w:bCs w:val="0"/>
          <w:sz w:val="22"/>
          <w:szCs w:val="22"/>
        </w:rPr>
        <w:t xml:space="preserve"> tis. eur, </w:t>
      </w:r>
      <w:r w:rsidR="00597A22" w:rsidRPr="00C66720">
        <w:rPr>
          <w:b w:val="0"/>
          <w:bCs w:val="0"/>
          <w:sz w:val="22"/>
          <w:szCs w:val="22"/>
        </w:rPr>
        <w:t xml:space="preserve">Železnice Slovenskej republiky </w:t>
      </w:r>
      <w:r w:rsidR="00C1174C" w:rsidRPr="00C66720">
        <w:rPr>
          <w:b w:val="0"/>
          <w:bCs w:val="0"/>
          <w:sz w:val="22"/>
          <w:szCs w:val="22"/>
        </w:rPr>
        <w:t>56 490</w:t>
      </w:r>
      <w:r w:rsidR="00597A22" w:rsidRPr="00C66720">
        <w:rPr>
          <w:b w:val="0"/>
          <w:bCs w:val="0"/>
          <w:sz w:val="22"/>
          <w:szCs w:val="22"/>
        </w:rPr>
        <w:t xml:space="preserve"> tis. eur, </w:t>
      </w:r>
      <w:r w:rsidR="007C0336" w:rsidRPr="00C66720">
        <w:rPr>
          <w:b w:val="0"/>
          <w:bCs w:val="0"/>
          <w:sz w:val="22"/>
          <w:szCs w:val="22"/>
        </w:rPr>
        <w:t xml:space="preserve">Slovenská pošta, a.s. </w:t>
      </w:r>
      <w:r w:rsidR="00C1174C" w:rsidRPr="00C66720">
        <w:rPr>
          <w:b w:val="0"/>
          <w:bCs w:val="0"/>
          <w:sz w:val="22"/>
          <w:szCs w:val="22"/>
        </w:rPr>
        <w:t>45 581</w:t>
      </w:r>
      <w:r w:rsidR="007C0336" w:rsidRPr="00C66720">
        <w:rPr>
          <w:b w:val="0"/>
          <w:bCs w:val="0"/>
          <w:sz w:val="22"/>
          <w:szCs w:val="22"/>
        </w:rPr>
        <w:t xml:space="preserve"> tis. eur </w:t>
      </w:r>
      <w:r w:rsidR="00597A22" w:rsidRPr="00C66720">
        <w:rPr>
          <w:b w:val="0"/>
          <w:bCs w:val="0"/>
          <w:sz w:val="22"/>
          <w:szCs w:val="22"/>
        </w:rPr>
        <w:t>a</w:t>
      </w:r>
      <w:r w:rsidR="006B6AA5" w:rsidRPr="00C66720">
        <w:rPr>
          <w:b w:val="0"/>
          <w:bCs w:val="0"/>
          <w:sz w:val="22"/>
          <w:szCs w:val="22"/>
        </w:rPr>
        <w:t> </w:t>
      </w:r>
      <w:r w:rsidR="00597A22" w:rsidRPr="00C66720">
        <w:rPr>
          <w:b w:val="0"/>
          <w:bCs w:val="0"/>
          <w:sz w:val="22"/>
          <w:szCs w:val="22"/>
        </w:rPr>
        <w:t>ďalšie</w:t>
      </w:r>
      <w:r w:rsidR="006B6AA5" w:rsidRPr="00C66720">
        <w:rPr>
          <w:b w:val="0"/>
          <w:bCs w:val="0"/>
          <w:sz w:val="22"/>
          <w:szCs w:val="22"/>
        </w:rPr>
        <w:t xml:space="preserve"> a Exportno-importná banka SR (140 000 tis. eur)</w:t>
      </w:r>
      <w:r w:rsidR="00597A22" w:rsidRPr="00C66720">
        <w:rPr>
          <w:b w:val="0"/>
          <w:bCs w:val="0"/>
          <w:sz w:val="22"/>
          <w:szCs w:val="22"/>
        </w:rPr>
        <w:t xml:space="preserve">. </w:t>
      </w:r>
    </w:p>
    <w:p w14:paraId="43BB24F6" w14:textId="6CCE755E" w:rsidR="00407E98" w:rsidRPr="00C66720" w:rsidRDefault="00407E98" w:rsidP="009B14EC">
      <w:pPr>
        <w:pStyle w:val="Pismenka"/>
        <w:tabs>
          <w:tab w:val="clear" w:pos="426"/>
          <w:tab w:val="num" w:pos="0"/>
        </w:tabs>
        <w:spacing w:before="180"/>
        <w:ind w:left="0" w:firstLine="0"/>
        <w:rPr>
          <w:b w:val="0"/>
          <w:bCs w:val="0"/>
          <w:sz w:val="22"/>
          <w:szCs w:val="22"/>
        </w:rPr>
      </w:pPr>
      <w:r w:rsidRPr="00C66720">
        <w:rPr>
          <w:b w:val="0"/>
          <w:bCs w:val="0"/>
          <w:sz w:val="22"/>
          <w:szCs w:val="22"/>
        </w:rPr>
        <w:t>Nové úvery čerpali Automobilové opravovne Ministerstva vnútra SR, a.s., pričom ide najmä o dlhodobý splátkový úver na financovanie investičných potrieb spoločnosti v celkovej hodnote 6 651 tis. eur.</w:t>
      </w:r>
      <w:r w:rsidR="00A57508" w:rsidRPr="00C66720">
        <w:rPr>
          <w:b w:val="0"/>
          <w:bCs w:val="0"/>
          <w:sz w:val="22"/>
          <w:szCs w:val="22"/>
        </w:rPr>
        <w:t xml:space="preserve"> </w:t>
      </w:r>
    </w:p>
    <w:p w14:paraId="61A38B68" w14:textId="782664F2" w:rsidR="00A57508" w:rsidRPr="00C66720" w:rsidRDefault="00A57508" w:rsidP="00A57508">
      <w:pPr>
        <w:pStyle w:val="Pismenka"/>
        <w:tabs>
          <w:tab w:val="clear" w:pos="426"/>
          <w:tab w:val="num" w:pos="0"/>
        </w:tabs>
        <w:spacing w:before="180"/>
        <w:ind w:left="0" w:firstLine="0"/>
        <w:rPr>
          <w:b w:val="0"/>
          <w:bCs w:val="0"/>
          <w:sz w:val="22"/>
          <w:szCs w:val="22"/>
        </w:rPr>
      </w:pPr>
      <w:r w:rsidRPr="00C66720">
        <w:rPr>
          <w:b w:val="0"/>
          <w:bCs w:val="0"/>
          <w:sz w:val="22"/>
          <w:szCs w:val="22"/>
        </w:rPr>
        <w:t>Železničná spoločnosť Slovensko, a.s. vykazuje sumu dlhodobého bankového úveru určeného na investičné účely v sume 284 817 tis. eur, čo predstavuje medziročný pokles o 45 597 tis. eur. V roku 2022 sa čerpal nový investičný úver v sume 32 838 tis. eur na refinancovanie investícií za rok 2022. V roku 2022 došlo aj k refinancovaniu investičného úveru vo výške 8 000 tis. eur, ako aj k splateniu existujúcich investičných úverov vo výške 41 193 tis. eur.</w:t>
      </w:r>
    </w:p>
    <w:p w14:paraId="73FBA30E" w14:textId="78A038F1" w:rsidR="00D2324F" w:rsidRPr="00C66720" w:rsidRDefault="00D2324F" w:rsidP="00A57508">
      <w:pPr>
        <w:pStyle w:val="Pismenka"/>
        <w:tabs>
          <w:tab w:val="clear" w:pos="426"/>
          <w:tab w:val="num" w:pos="0"/>
        </w:tabs>
        <w:spacing w:before="180"/>
        <w:ind w:left="0" w:firstLine="0"/>
        <w:rPr>
          <w:b w:val="0"/>
          <w:bCs w:val="0"/>
          <w:sz w:val="22"/>
          <w:szCs w:val="22"/>
        </w:rPr>
      </w:pPr>
      <w:r w:rsidRPr="00C66720">
        <w:rPr>
          <w:b w:val="0"/>
          <w:bCs w:val="0"/>
          <w:sz w:val="22"/>
          <w:szCs w:val="22"/>
        </w:rPr>
        <w:t>Vodohospodárska výstavba, š.p. vykazuje dlhodobú časť bankového úveru v sume 77 760 tis. eur, ktorý bol čerpaný v roku 2013 a slúžil na vysporiadanie záväzku štátneho podniku voči Ministerstvu financií SR z návratných finančných výpomocí, čím zaniklo záložné právo na časť dlhodobého hmotného majetku Vodného diela Čunovo v celkovom objeme 81 614 tis. eur. Pôvodná výška úveru bola v sume 235 519 tis. eur, splatnosť úrokov je štvrťročná a splatnosť istiny je do roku 2029. V roku 2022 podnik uhradil pravidelné splátky istiny bankového úveru v sume 19 000 tis. eur, ako aj mimoriadnu splátku úveru vo výške 38 760 tis. eur.</w:t>
      </w:r>
    </w:p>
    <w:p w14:paraId="7F80D6A7" w14:textId="2CB061C7" w:rsidR="00D2324F" w:rsidRPr="00C66720" w:rsidRDefault="00D2324F" w:rsidP="00D2324F">
      <w:pPr>
        <w:pStyle w:val="Pismenka"/>
        <w:tabs>
          <w:tab w:val="clear" w:pos="426"/>
          <w:tab w:val="num" w:pos="0"/>
        </w:tabs>
        <w:spacing w:before="180"/>
        <w:ind w:left="0" w:firstLine="0"/>
        <w:rPr>
          <w:b w:val="0"/>
          <w:bCs w:val="0"/>
          <w:sz w:val="22"/>
          <w:szCs w:val="22"/>
        </w:rPr>
      </w:pPr>
      <w:r w:rsidRPr="00C66720">
        <w:rPr>
          <w:b w:val="0"/>
          <w:bCs w:val="0"/>
          <w:sz w:val="22"/>
          <w:szCs w:val="22"/>
        </w:rPr>
        <w:t xml:space="preserve">Železnice Slovenskej republiky </w:t>
      </w:r>
      <w:r w:rsidR="000B0F81" w:rsidRPr="00C66720">
        <w:rPr>
          <w:b w:val="0"/>
          <w:bCs w:val="0"/>
          <w:sz w:val="22"/>
          <w:szCs w:val="22"/>
        </w:rPr>
        <w:t xml:space="preserve">vykazujú bankové úvery so splatnosťou nad 1 rok v sume </w:t>
      </w:r>
      <w:r w:rsidR="00235671">
        <w:rPr>
          <w:b w:val="0"/>
          <w:bCs w:val="0"/>
          <w:sz w:val="22"/>
          <w:szCs w:val="22"/>
        </w:rPr>
        <w:br/>
      </w:r>
      <w:r w:rsidR="000B0F81" w:rsidRPr="00C66720">
        <w:rPr>
          <w:b w:val="0"/>
          <w:bCs w:val="0"/>
          <w:sz w:val="22"/>
          <w:szCs w:val="22"/>
        </w:rPr>
        <w:t>56 490 tis. eur. Ide o prolongovaný úver od Tatrabanky, a.s. vo výške 22 740 tis. eur splatný v roku 2026 a investičný úver od Tatrabanky</w:t>
      </w:r>
      <w:r w:rsidR="00986E08" w:rsidRPr="00C66720">
        <w:rPr>
          <w:b w:val="0"/>
          <w:bCs w:val="0"/>
          <w:sz w:val="22"/>
          <w:szCs w:val="22"/>
        </w:rPr>
        <w:t xml:space="preserve"> v sume 24 750 tis. eur splatný v roku 2027</w:t>
      </w:r>
      <w:r w:rsidR="000B0F81" w:rsidRPr="00C66720">
        <w:rPr>
          <w:b w:val="0"/>
          <w:bCs w:val="0"/>
          <w:sz w:val="22"/>
          <w:szCs w:val="22"/>
        </w:rPr>
        <w:t>, čerpaný na účely spolufinancovania v rámci realizácie projektov financovaných z prostriedkov EÚ.</w:t>
      </w:r>
      <w:r w:rsidR="00986E08" w:rsidRPr="00C66720">
        <w:rPr>
          <w:b w:val="0"/>
          <w:bCs w:val="0"/>
          <w:sz w:val="22"/>
          <w:szCs w:val="22"/>
        </w:rPr>
        <w:t xml:space="preserve"> Ďalej ide o investičný úver zo</w:t>
      </w:r>
      <w:r w:rsidRPr="00C66720">
        <w:rPr>
          <w:b w:val="0"/>
          <w:bCs w:val="0"/>
          <w:sz w:val="22"/>
          <w:szCs w:val="22"/>
        </w:rPr>
        <w:t xml:space="preserve"> Slovenskej sporiteľne, a.s.</w:t>
      </w:r>
      <w:r w:rsidR="00986E08" w:rsidRPr="00C66720">
        <w:rPr>
          <w:b w:val="0"/>
          <w:bCs w:val="0"/>
          <w:sz w:val="22"/>
          <w:szCs w:val="22"/>
        </w:rPr>
        <w:t xml:space="preserve"> </w:t>
      </w:r>
      <w:r w:rsidRPr="00C66720">
        <w:rPr>
          <w:b w:val="0"/>
          <w:bCs w:val="0"/>
          <w:sz w:val="22"/>
          <w:szCs w:val="22"/>
        </w:rPr>
        <w:t xml:space="preserve">vo výške </w:t>
      </w:r>
      <w:r w:rsidR="00986E08" w:rsidRPr="00C66720">
        <w:rPr>
          <w:b w:val="0"/>
          <w:bCs w:val="0"/>
          <w:sz w:val="22"/>
          <w:szCs w:val="22"/>
        </w:rPr>
        <w:t>9</w:t>
      </w:r>
      <w:r w:rsidRPr="00C66720">
        <w:rPr>
          <w:b w:val="0"/>
          <w:bCs w:val="0"/>
          <w:sz w:val="22"/>
          <w:szCs w:val="22"/>
        </w:rPr>
        <w:t> 000 tis. eur</w:t>
      </w:r>
      <w:r w:rsidR="00986E08" w:rsidRPr="00C66720">
        <w:rPr>
          <w:b w:val="0"/>
          <w:bCs w:val="0"/>
          <w:sz w:val="22"/>
          <w:szCs w:val="22"/>
        </w:rPr>
        <w:t>, ktorý bol</w:t>
      </w:r>
      <w:r w:rsidR="00BB2AF1" w:rsidRPr="00C66720">
        <w:rPr>
          <w:b w:val="0"/>
          <w:bCs w:val="0"/>
          <w:sz w:val="22"/>
          <w:szCs w:val="22"/>
        </w:rPr>
        <w:t xml:space="preserve"> v roku 2021</w:t>
      </w:r>
      <w:r w:rsidR="00986E08" w:rsidRPr="00C66720">
        <w:rPr>
          <w:b w:val="0"/>
          <w:bCs w:val="0"/>
          <w:sz w:val="22"/>
          <w:szCs w:val="22"/>
        </w:rPr>
        <w:t xml:space="preserve"> použitý</w:t>
      </w:r>
      <w:r w:rsidRPr="00C66720">
        <w:rPr>
          <w:b w:val="0"/>
          <w:bCs w:val="0"/>
          <w:sz w:val="22"/>
          <w:szCs w:val="22"/>
        </w:rPr>
        <w:t xml:space="preserve"> na financovanie investičných projektov – rekonštrukcia ozubnice Štrba – Štrbské pleso vo výške 6 141 tis. eur a rekonštrukcia koľají v úseku ŽST Kraľovany – ŽST Ľubochňa vo výške 3 859 tis. eur.</w:t>
      </w:r>
    </w:p>
    <w:p w14:paraId="6CD6804D" w14:textId="310523BE" w:rsidR="00BB2AF1" w:rsidRPr="00C66720" w:rsidRDefault="00EE5505" w:rsidP="00D2324F">
      <w:pPr>
        <w:pStyle w:val="Pismenka"/>
        <w:tabs>
          <w:tab w:val="clear" w:pos="426"/>
          <w:tab w:val="num" w:pos="0"/>
        </w:tabs>
        <w:spacing w:before="180"/>
        <w:ind w:left="0" w:firstLine="0"/>
        <w:rPr>
          <w:b w:val="0"/>
          <w:bCs w:val="0"/>
          <w:sz w:val="22"/>
          <w:szCs w:val="22"/>
        </w:rPr>
      </w:pPr>
      <w:r w:rsidRPr="00C66720">
        <w:rPr>
          <w:b w:val="0"/>
          <w:bCs w:val="0"/>
          <w:sz w:val="22"/>
          <w:szCs w:val="22"/>
        </w:rPr>
        <w:t>Exportno-importná banka SR vykazuje dlhodobé bankové úvery v sume 140 000 tis. eur, prijaté od komerčných bánk a od Európskej investičnej banky. Tranže boli čerpané ako súčasť úverových rámcov v celkovej výške 355 000 tis. eur. Úvery boli poskytnuté</w:t>
      </w:r>
      <w:r w:rsidR="003F7806" w:rsidRPr="00C66720">
        <w:rPr>
          <w:b w:val="0"/>
          <w:bCs w:val="0"/>
          <w:sz w:val="22"/>
          <w:szCs w:val="22"/>
        </w:rPr>
        <w:t xml:space="preserve"> na financovanie úverov klientom banky za účelom podpory vývozu Slovenskej republiky.</w:t>
      </w:r>
    </w:p>
    <w:p w14:paraId="198C9DE0" w14:textId="75FE3F74" w:rsidR="008F36AC" w:rsidRPr="00C66720" w:rsidRDefault="00141DCA" w:rsidP="00504D76">
      <w:pPr>
        <w:pStyle w:val="Pismenka"/>
        <w:tabs>
          <w:tab w:val="clear" w:pos="426"/>
          <w:tab w:val="num" w:pos="0"/>
        </w:tabs>
        <w:spacing w:before="180"/>
        <w:ind w:left="0" w:firstLine="0"/>
        <w:rPr>
          <w:b w:val="0"/>
          <w:bCs w:val="0"/>
          <w:sz w:val="22"/>
          <w:szCs w:val="22"/>
        </w:rPr>
      </w:pPr>
      <w:r w:rsidRPr="00C66720">
        <w:rPr>
          <w:b w:val="0"/>
          <w:bCs w:val="0"/>
          <w:sz w:val="22"/>
          <w:szCs w:val="22"/>
        </w:rPr>
        <w:t>Medziročne</w:t>
      </w:r>
      <w:r w:rsidR="007356D9" w:rsidRPr="00C66720">
        <w:rPr>
          <w:b w:val="0"/>
          <w:bCs w:val="0"/>
          <w:sz w:val="22"/>
          <w:szCs w:val="22"/>
        </w:rPr>
        <w:t xml:space="preserve"> došlo k poklesu dlhodobých úverov</w:t>
      </w:r>
      <w:r w:rsidRPr="00C66720">
        <w:rPr>
          <w:b w:val="0"/>
          <w:bCs w:val="0"/>
          <w:sz w:val="22"/>
          <w:szCs w:val="22"/>
        </w:rPr>
        <w:t xml:space="preserve"> obchodných spoločností a štátnych podnikov v celkovej sume 138 613 tis. eur, najmä </w:t>
      </w:r>
      <w:r w:rsidR="007356D9" w:rsidRPr="00C66720">
        <w:rPr>
          <w:b w:val="0"/>
          <w:bCs w:val="0"/>
          <w:sz w:val="22"/>
          <w:szCs w:val="22"/>
        </w:rPr>
        <w:t>u</w:t>
      </w:r>
      <w:r w:rsidRPr="00C66720">
        <w:rPr>
          <w:b w:val="0"/>
          <w:bCs w:val="0"/>
          <w:sz w:val="22"/>
          <w:szCs w:val="22"/>
        </w:rPr>
        <w:t> Vodohospodárskej výstavby, š.p. (o 58 760 tis. eur), Železničnej spoločnosti Slovensko, a.s. (o 45 597 tis. eur), Slovenskej pošty, a.s. (o 13 676 tis. eur) a Železníc Slovenskej republiky (o 12 000 tis. eur)</w:t>
      </w:r>
      <w:r w:rsidR="007356D9" w:rsidRPr="00C66720">
        <w:rPr>
          <w:b w:val="0"/>
          <w:bCs w:val="0"/>
          <w:sz w:val="22"/>
          <w:szCs w:val="22"/>
        </w:rPr>
        <w:t xml:space="preserve"> z dôvodu postupného splácania úverov </w:t>
      </w:r>
      <w:r w:rsidR="00504D76" w:rsidRPr="00C66720">
        <w:rPr>
          <w:b w:val="0"/>
          <w:bCs w:val="0"/>
          <w:sz w:val="22"/>
          <w:szCs w:val="22"/>
        </w:rPr>
        <w:t xml:space="preserve">(aj prostredníctvom mimoriadnych splátok) </w:t>
      </w:r>
      <w:r w:rsidR="007356D9" w:rsidRPr="00C66720">
        <w:rPr>
          <w:b w:val="0"/>
          <w:bCs w:val="0"/>
          <w:sz w:val="22"/>
          <w:szCs w:val="22"/>
        </w:rPr>
        <w:t>počas roka</w:t>
      </w:r>
      <w:r w:rsidR="00AE143D" w:rsidRPr="00C66720">
        <w:rPr>
          <w:b w:val="0"/>
          <w:bCs w:val="0"/>
          <w:sz w:val="22"/>
          <w:szCs w:val="22"/>
        </w:rPr>
        <w:t xml:space="preserve"> </w:t>
      </w:r>
      <w:r w:rsidR="00BB2AF1" w:rsidRPr="00C66720">
        <w:rPr>
          <w:b w:val="0"/>
          <w:bCs w:val="0"/>
          <w:sz w:val="22"/>
          <w:szCs w:val="22"/>
        </w:rPr>
        <w:t xml:space="preserve">2022 </w:t>
      </w:r>
      <w:r w:rsidR="00AE143D" w:rsidRPr="00C66720">
        <w:rPr>
          <w:b w:val="0"/>
          <w:bCs w:val="0"/>
          <w:sz w:val="22"/>
          <w:szCs w:val="22"/>
        </w:rPr>
        <w:t>a z dôvodu vykazovani</w:t>
      </w:r>
      <w:r w:rsidR="00A809AB">
        <w:rPr>
          <w:b w:val="0"/>
          <w:bCs w:val="0"/>
          <w:sz w:val="22"/>
          <w:szCs w:val="22"/>
        </w:rPr>
        <w:t>a</w:t>
      </w:r>
      <w:r w:rsidR="00AE143D" w:rsidRPr="00C66720">
        <w:rPr>
          <w:b w:val="0"/>
          <w:bCs w:val="0"/>
          <w:sz w:val="22"/>
          <w:szCs w:val="22"/>
        </w:rPr>
        <w:t xml:space="preserve"> </w:t>
      </w:r>
      <w:r w:rsidR="00906869" w:rsidRPr="00C66720">
        <w:rPr>
          <w:b w:val="0"/>
          <w:bCs w:val="0"/>
          <w:sz w:val="22"/>
          <w:szCs w:val="22"/>
        </w:rPr>
        <w:t xml:space="preserve">časti dlhodobého </w:t>
      </w:r>
      <w:r w:rsidR="00AE143D" w:rsidRPr="00C66720">
        <w:rPr>
          <w:b w:val="0"/>
          <w:bCs w:val="0"/>
          <w:sz w:val="22"/>
          <w:szCs w:val="22"/>
        </w:rPr>
        <w:t>úveru splatného do jedného roka medzi krátkodobými bankovými úvermi</w:t>
      </w:r>
      <w:r w:rsidR="007356D9" w:rsidRPr="00C66720">
        <w:rPr>
          <w:b w:val="0"/>
          <w:bCs w:val="0"/>
          <w:sz w:val="22"/>
          <w:szCs w:val="22"/>
        </w:rPr>
        <w:t>.</w:t>
      </w:r>
      <w:r w:rsidR="009B14EC" w:rsidRPr="00C66720">
        <w:rPr>
          <w:b w:val="0"/>
          <w:bCs w:val="0"/>
          <w:sz w:val="22"/>
          <w:szCs w:val="22"/>
        </w:rPr>
        <w:t xml:space="preserve"> </w:t>
      </w:r>
    </w:p>
    <w:p w14:paraId="3F44B92E" w14:textId="74B896C1" w:rsidR="00F129D8" w:rsidRPr="00C66720" w:rsidRDefault="00F129D8" w:rsidP="00896E97">
      <w:pPr>
        <w:pStyle w:val="Pismenka"/>
        <w:numPr>
          <w:ilvl w:val="0"/>
          <w:numId w:val="44"/>
        </w:numPr>
        <w:spacing w:before="240" w:after="120"/>
        <w:ind w:left="284" w:hanging="284"/>
        <w:rPr>
          <w:i/>
          <w:sz w:val="22"/>
          <w:szCs w:val="22"/>
          <w:u w:val="single"/>
        </w:rPr>
      </w:pPr>
      <w:bookmarkStart w:id="36" w:name="_Ref86092141"/>
      <w:r w:rsidRPr="00C66720">
        <w:rPr>
          <w:i/>
          <w:sz w:val="22"/>
          <w:szCs w:val="22"/>
          <w:u w:val="single"/>
        </w:rPr>
        <w:t>Ostatné dlhodobé záväzky</w:t>
      </w:r>
      <w:bookmarkEnd w:id="36"/>
    </w:p>
    <w:p w14:paraId="150A45DD" w14:textId="70219F7F" w:rsidR="000250FA" w:rsidRPr="00C66720" w:rsidRDefault="000250FA" w:rsidP="006559EC">
      <w:pPr>
        <w:spacing w:after="120" w:line="240" w:lineRule="auto"/>
        <w:jc w:val="both"/>
        <w:rPr>
          <w:rFonts w:ascii="Times New Roman" w:hAnsi="Times New Roman"/>
          <w:color w:val="FF0000"/>
          <w:highlight w:val="yellow"/>
        </w:rPr>
      </w:pPr>
      <w:r w:rsidRPr="00C66720">
        <w:rPr>
          <w:rFonts w:ascii="Times New Roman" w:hAnsi="Times New Roman"/>
          <w:u w:val="single"/>
        </w:rPr>
        <w:t>Záväzky Národného jadrového fondu</w:t>
      </w:r>
      <w:r w:rsidRPr="00C66720">
        <w:rPr>
          <w:rFonts w:ascii="Times New Roman" w:hAnsi="Times New Roman"/>
        </w:rPr>
        <w:t xml:space="preserve"> z prijatých príspevkov od povinných osôb za účelom kumulovania prostriedkov na vyraďovanie jadrových zariadení a rádioaktívneho odpadu boli medziročne </w:t>
      </w:r>
      <w:r w:rsidR="00B03C18" w:rsidRPr="00C66720">
        <w:rPr>
          <w:rFonts w:ascii="Times New Roman" w:hAnsi="Times New Roman"/>
        </w:rPr>
        <w:t>nižšie</w:t>
      </w:r>
      <w:r w:rsidRPr="00C66720">
        <w:rPr>
          <w:rFonts w:ascii="Times New Roman" w:hAnsi="Times New Roman"/>
        </w:rPr>
        <w:t xml:space="preserve"> </w:t>
      </w:r>
      <w:r w:rsidR="00B033A4" w:rsidRPr="00C66720">
        <w:rPr>
          <w:rFonts w:ascii="Times New Roman" w:hAnsi="Times New Roman"/>
        </w:rPr>
        <w:br/>
      </w:r>
      <w:r w:rsidRPr="00C66720">
        <w:rPr>
          <w:rFonts w:ascii="Times New Roman" w:hAnsi="Times New Roman"/>
        </w:rPr>
        <w:t>o</w:t>
      </w:r>
      <w:r w:rsidR="006926AB" w:rsidRPr="00C66720">
        <w:rPr>
          <w:rFonts w:ascii="Times New Roman" w:hAnsi="Times New Roman"/>
        </w:rPr>
        <w:t> </w:t>
      </w:r>
      <w:r w:rsidR="00B03C18" w:rsidRPr="00C66720">
        <w:rPr>
          <w:rFonts w:ascii="Times New Roman" w:hAnsi="Times New Roman"/>
        </w:rPr>
        <w:t>685 769</w:t>
      </w:r>
      <w:r w:rsidRPr="00C66720">
        <w:rPr>
          <w:rFonts w:ascii="Times New Roman" w:hAnsi="Times New Roman"/>
        </w:rPr>
        <w:t xml:space="preserve"> tis. eur a dosiahli objem </w:t>
      </w:r>
      <w:r w:rsidR="00B03C18" w:rsidRPr="00C66720">
        <w:rPr>
          <w:rFonts w:ascii="Times New Roman" w:hAnsi="Times New Roman"/>
        </w:rPr>
        <w:t>636 300</w:t>
      </w:r>
      <w:r w:rsidRPr="00C66720">
        <w:rPr>
          <w:rFonts w:ascii="Times New Roman" w:hAnsi="Times New Roman"/>
        </w:rPr>
        <w:t xml:space="preserve"> tis. eur.</w:t>
      </w:r>
      <w:r w:rsidR="006559EC">
        <w:rPr>
          <w:rFonts w:ascii="Times New Roman" w:hAnsi="Times New Roman"/>
        </w:rPr>
        <w:t xml:space="preserve"> Zníženie záväzkov bolo spôsobené ich prepočtom na základe podkladov od spoločnosti JAVYS a vyššou mierou eliminácie vzájomných vzťahov v rámci činnosti vyraďovania a likvidácie jadrových elektrární. </w:t>
      </w:r>
      <w:r w:rsidR="001C3CDB" w:rsidRPr="00C66720">
        <w:rPr>
          <w:rFonts w:ascii="Times New Roman" w:hAnsi="Times New Roman"/>
        </w:rPr>
        <w:t xml:space="preserve"> </w:t>
      </w:r>
    </w:p>
    <w:p w14:paraId="2042ADEF" w14:textId="1543BA92" w:rsidR="00B4594A" w:rsidRPr="00C66720" w:rsidRDefault="00B4594A" w:rsidP="00697B47">
      <w:pPr>
        <w:spacing w:after="120" w:line="240" w:lineRule="auto"/>
        <w:jc w:val="both"/>
        <w:rPr>
          <w:rFonts w:ascii="Times New Roman" w:hAnsi="Times New Roman"/>
          <w:szCs w:val="22"/>
        </w:rPr>
      </w:pPr>
      <w:r w:rsidRPr="00C66720">
        <w:rPr>
          <w:rFonts w:ascii="Times New Roman" w:hAnsi="Times New Roman"/>
          <w:szCs w:val="22"/>
          <w:u w:val="single"/>
        </w:rPr>
        <w:t>Záväzky Vodohospodárskej výstavby, š. p.</w:t>
      </w:r>
      <w:r w:rsidRPr="00C66720">
        <w:rPr>
          <w:rFonts w:ascii="Times New Roman" w:hAnsi="Times New Roman"/>
          <w:szCs w:val="22"/>
        </w:rPr>
        <w:t xml:space="preserve"> predstavujú najmä dlhodobé záväzky voči Slove</w:t>
      </w:r>
      <w:r w:rsidR="00A52D23" w:rsidRPr="00C66720">
        <w:rPr>
          <w:rFonts w:ascii="Times New Roman" w:hAnsi="Times New Roman"/>
          <w:szCs w:val="22"/>
        </w:rPr>
        <w:t>nským elektrárňam, a.s. (102 729</w:t>
      </w:r>
      <w:r w:rsidRPr="00C66720">
        <w:rPr>
          <w:rFonts w:ascii="Times New Roman" w:hAnsi="Times New Roman"/>
          <w:szCs w:val="22"/>
        </w:rPr>
        <w:t xml:space="preserve"> tis. eur) na základe dohody o usporiadaní majetkovo-právnych vzťahov VEG z roku 2016 a záväzky zo zádržného zo zmlúv s obchodnými partnermi</w:t>
      </w:r>
      <w:r w:rsidR="004024A2" w:rsidRPr="00C66720">
        <w:rPr>
          <w:rFonts w:ascii="Times New Roman" w:hAnsi="Times New Roman"/>
          <w:szCs w:val="22"/>
        </w:rPr>
        <w:t>, ktoré boli medziročne vyššie o 8 322 tis. eur</w:t>
      </w:r>
      <w:r w:rsidRPr="00C66720">
        <w:rPr>
          <w:rFonts w:ascii="Times New Roman" w:hAnsi="Times New Roman"/>
          <w:szCs w:val="22"/>
        </w:rPr>
        <w:t xml:space="preserve">. </w:t>
      </w:r>
    </w:p>
    <w:p w14:paraId="39177760" w14:textId="3594D804" w:rsidR="00B4594A" w:rsidRPr="00C66720" w:rsidRDefault="00B4594A" w:rsidP="00697B47">
      <w:pPr>
        <w:spacing w:after="120" w:line="240" w:lineRule="auto"/>
        <w:jc w:val="both"/>
        <w:rPr>
          <w:rFonts w:ascii="Times New Roman" w:hAnsi="Times New Roman"/>
          <w:szCs w:val="22"/>
        </w:rPr>
      </w:pPr>
      <w:r w:rsidRPr="00C66720">
        <w:rPr>
          <w:rFonts w:ascii="Times New Roman" w:hAnsi="Times New Roman"/>
          <w:szCs w:val="22"/>
          <w:u w:val="single"/>
        </w:rPr>
        <w:lastRenderedPageBreak/>
        <w:t>Záväzky Ministerstva životné</w:t>
      </w:r>
      <w:r w:rsidR="005B685D" w:rsidRPr="00C66720">
        <w:rPr>
          <w:rFonts w:ascii="Times New Roman" w:hAnsi="Times New Roman"/>
          <w:szCs w:val="22"/>
          <w:u w:val="single"/>
        </w:rPr>
        <w:t>ho prostredia SR</w:t>
      </w:r>
      <w:r w:rsidR="005B685D" w:rsidRPr="00C66720">
        <w:rPr>
          <w:rFonts w:ascii="Times New Roman" w:hAnsi="Times New Roman"/>
          <w:szCs w:val="22"/>
        </w:rPr>
        <w:t xml:space="preserve"> vo výške </w:t>
      </w:r>
      <w:r w:rsidR="004E1869" w:rsidRPr="00C66720">
        <w:rPr>
          <w:rFonts w:ascii="Times New Roman" w:hAnsi="Times New Roman"/>
          <w:szCs w:val="22"/>
        </w:rPr>
        <w:t xml:space="preserve">54 </w:t>
      </w:r>
      <w:r w:rsidR="00654629" w:rsidRPr="00C66720">
        <w:rPr>
          <w:rFonts w:ascii="Times New Roman" w:hAnsi="Times New Roman"/>
          <w:szCs w:val="22"/>
        </w:rPr>
        <w:t>252</w:t>
      </w:r>
      <w:r w:rsidR="00637EEF" w:rsidRPr="00C66720">
        <w:rPr>
          <w:rFonts w:ascii="Times New Roman" w:hAnsi="Times New Roman"/>
          <w:szCs w:val="22"/>
        </w:rPr>
        <w:t xml:space="preserve"> tis. eur tvoria účelové finančné rezervy</w:t>
      </w:r>
      <w:r w:rsidRPr="00C66720">
        <w:rPr>
          <w:rFonts w:ascii="Times New Roman" w:hAnsi="Times New Roman"/>
          <w:szCs w:val="22"/>
        </w:rPr>
        <w:t>, ktorú hradia na účet ministerstva prevádzkovatelia skládok odpadov a ktorej prostriedky sa použijú na uzavretie, rekultiváciu, monitorovanie a zabezpečenie starostlivosti o skládku odpadov po jej uzavretí v zmysle §24 zákona č. 79/2015 Z. z. o odpadoch a o zmene a doplnení niektorých zákonov. Túto povinnosť majú prevádzkovatelia skládok odpadov od roku 2019.</w:t>
      </w:r>
    </w:p>
    <w:p w14:paraId="592DA76B" w14:textId="2829EEDA" w:rsidR="00D91AA2" w:rsidRPr="00C66720" w:rsidRDefault="00D91AA2" w:rsidP="00D03830">
      <w:pPr>
        <w:pStyle w:val="Pismenka"/>
        <w:tabs>
          <w:tab w:val="clear" w:pos="426"/>
        </w:tabs>
        <w:spacing w:before="240" w:after="200"/>
        <w:ind w:left="425" w:hanging="425"/>
        <w:rPr>
          <w:bCs w:val="0"/>
          <w:sz w:val="24"/>
          <w:szCs w:val="24"/>
        </w:rPr>
      </w:pPr>
      <w:r w:rsidRPr="00C66720">
        <w:rPr>
          <w:bCs w:val="0"/>
          <w:sz w:val="24"/>
          <w:szCs w:val="24"/>
        </w:rPr>
        <w:t>B.I</w:t>
      </w:r>
      <w:r w:rsidR="00D37A0A" w:rsidRPr="00C66720">
        <w:rPr>
          <w:bCs w:val="0"/>
          <w:sz w:val="24"/>
          <w:szCs w:val="24"/>
        </w:rPr>
        <w:t>I</w:t>
      </w:r>
      <w:r w:rsidRPr="00C66720">
        <w:rPr>
          <w:bCs w:val="0"/>
          <w:sz w:val="24"/>
          <w:szCs w:val="24"/>
        </w:rPr>
        <w:t xml:space="preserve">. </w:t>
      </w:r>
      <w:r w:rsidR="00D37A0A" w:rsidRPr="00C66720">
        <w:rPr>
          <w:bCs w:val="0"/>
          <w:sz w:val="24"/>
          <w:szCs w:val="24"/>
        </w:rPr>
        <w:t>Dlhodobé r</w:t>
      </w:r>
      <w:r w:rsidRPr="00C66720">
        <w:rPr>
          <w:bCs w:val="0"/>
          <w:sz w:val="24"/>
          <w:szCs w:val="24"/>
        </w:rPr>
        <w:t xml:space="preserve">ezervy </w:t>
      </w:r>
    </w:p>
    <w:p w14:paraId="4FCF9D9D" w14:textId="37678B3D" w:rsidR="004A7634" w:rsidRPr="00C66720" w:rsidRDefault="004A7634" w:rsidP="00A721E1">
      <w:pPr>
        <w:pStyle w:val="Pismenka"/>
        <w:tabs>
          <w:tab w:val="clear" w:pos="426"/>
        </w:tabs>
        <w:spacing w:after="120"/>
        <w:ind w:left="0" w:firstLine="0"/>
        <w:rPr>
          <w:b w:val="0"/>
          <w:bCs w:val="0"/>
          <w:sz w:val="22"/>
          <w:szCs w:val="22"/>
        </w:rPr>
      </w:pPr>
      <w:r w:rsidRPr="00C66720">
        <w:rPr>
          <w:b w:val="0"/>
          <w:bCs w:val="0"/>
          <w:sz w:val="22"/>
          <w:szCs w:val="22"/>
        </w:rPr>
        <w:t>Rezervy sú záväzky s neistým časovým vymedzením alebo ich výškou a predstavujú takú povinnosť účtovnej jednotky, ktorá vznikla z minulých udalostí a je pravdepodobné, že v budúcnosti zníži</w:t>
      </w:r>
      <w:r w:rsidR="007C5496" w:rsidRPr="00C66720">
        <w:rPr>
          <w:b w:val="0"/>
          <w:bCs w:val="0"/>
          <w:sz w:val="22"/>
          <w:szCs w:val="22"/>
        </w:rPr>
        <w:t>a</w:t>
      </w:r>
      <w:r w:rsidRPr="00C66720">
        <w:rPr>
          <w:b w:val="0"/>
          <w:bCs w:val="0"/>
          <w:sz w:val="22"/>
          <w:szCs w:val="22"/>
        </w:rPr>
        <w:t xml:space="preserve"> ekonomické úžitky (peňažné prostriedky). </w:t>
      </w:r>
      <w:r w:rsidR="00F04B6A" w:rsidRPr="00C66720">
        <w:rPr>
          <w:b w:val="0"/>
          <w:bCs w:val="0"/>
          <w:sz w:val="22"/>
          <w:szCs w:val="22"/>
        </w:rPr>
        <w:t>V prípade dlhodobých rezerv je predpoklad možného budúceho plnenia v časovom horizonte dlhšom ako jeden rok.</w:t>
      </w:r>
    </w:p>
    <w:p w14:paraId="162081A1" w14:textId="0176A0CF" w:rsidR="004E561E" w:rsidRPr="00C66720" w:rsidRDefault="004E561E" w:rsidP="00A721E1">
      <w:pPr>
        <w:pStyle w:val="Pismenka"/>
        <w:tabs>
          <w:tab w:val="clear" w:pos="426"/>
        </w:tabs>
        <w:spacing w:after="120"/>
        <w:ind w:left="0" w:firstLine="0"/>
        <w:rPr>
          <w:b w:val="0"/>
          <w:bCs w:val="0"/>
          <w:sz w:val="22"/>
          <w:szCs w:val="22"/>
        </w:rPr>
      </w:pPr>
      <w:r w:rsidRPr="00C66720">
        <w:rPr>
          <w:b w:val="0"/>
          <w:bCs w:val="0"/>
          <w:sz w:val="22"/>
          <w:szCs w:val="22"/>
        </w:rPr>
        <w:t>Dlhodobé rezervy sa v súhrnnom celku vytvárajú najmä na:</w:t>
      </w:r>
    </w:p>
    <w:p w14:paraId="00210983" w14:textId="77777777" w:rsidR="005E2370" w:rsidRPr="00C66720" w:rsidRDefault="005E2370" w:rsidP="00A721E1">
      <w:pPr>
        <w:pStyle w:val="Pismenka"/>
        <w:numPr>
          <w:ilvl w:val="0"/>
          <w:numId w:val="18"/>
        </w:numPr>
        <w:ind w:left="714" w:hanging="357"/>
        <w:rPr>
          <w:b w:val="0"/>
          <w:bCs w:val="0"/>
          <w:sz w:val="22"/>
          <w:szCs w:val="22"/>
        </w:rPr>
      </w:pPr>
      <w:r w:rsidRPr="00C66720">
        <w:rPr>
          <w:b w:val="0"/>
          <w:bCs w:val="0"/>
          <w:sz w:val="22"/>
          <w:szCs w:val="22"/>
        </w:rPr>
        <w:t>zamestnanecké požitky v ústrednej správe,</w:t>
      </w:r>
    </w:p>
    <w:p w14:paraId="18BC7C1B" w14:textId="77777777" w:rsidR="005E2370" w:rsidRPr="00C66720" w:rsidRDefault="005E2370" w:rsidP="00A721E1">
      <w:pPr>
        <w:pStyle w:val="Pismenka"/>
        <w:numPr>
          <w:ilvl w:val="0"/>
          <w:numId w:val="18"/>
        </w:numPr>
        <w:ind w:left="714" w:hanging="357"/>
        <w:rPr>
          <w:b w:val="0"/>
          <w:bCs w:val="0"/>
          <w:sz w:val="22"/>
          <w:szCs w:val="22"/>
        </w:rPr>
      </w:pPr>
      <w:r w:rsidRPr="00C66720">
        <w:rPr>
          <w:b w:val="0"/>
          <w:bCs w:val="0"/>
          <w:sz w:val="22"/>
          <w:szCs w:val="22"/>
        </w:rPr>
        <w:t>prebiehajúce a hroziace súdne spory,</w:t>
      </w:r>
    </w:p>
    <w:p w14:paraId="76073B19" w14:textId="72167396" w:rsidR="005E2370" w:rsidRPr="00C66720" w:rsidRDefault="005E2370" w:rsidP="00A721E1">
      <w:pPr>
        <w:pStyle w:val="Pismenka"/>
        <w:numPr>
          <w:ilvl w:val="0"/>
          <w:numId w:val="18"/>
        </w:numPr>
        <w:ind w:left="714" w:hanging="357"/>
        <w:rPr>
          <w:b w:val="0"/>
          <w:bCs w:val="0"/>
          <w:sz w:val="22"/>
          <w:szCs w:val="22"/>
        </w:rPr>
      </w:pPr>
      <w:r w:rsidRPr="00C66720">
        <w:rPr>
          <w:b w:val="0"/>
          <w:bCs w:val="0"/>
          <w:sz w:val="22"/>
          <w:szCs w:val="22"/>
        </w:rPr>
        <w:t>náklady súvisiace s odstránením znečistenia životného prostredia a odstránenie odpadov,</w:t>
      </w:r>
    </w:p>
    <w:p w14:paraId="625D24D8" w14:textId="6E638E8D" w:rsidR="005E2370" w:rsidRPr="00C66720" w:rsidRDefault="005E2370" w:rsidP="00A721E1">
      <w:pPr>
        <w:pStyle w:val="Pismenka"/>
        <w:numPr>
          <w:ilvl w:val="0"/>
          <w:numId w:val="18"/>
        </w:numPr>
        <w:ind w:left="714" w:hanging="357"/>
        <w:rPr>
          <w:b w:val="0"/>
          <w:bCs w:val="0"/>
          <w:sz w:val="22"/>
          <w:szCs w:val="22"/>
        </w:rPr>
      </w:pPr>
      <w:r w:rsidRPr="00C66720">
        <w:rPr>
          <w:b w:val="0"/>
          <w:bCs w:val="0"/>
          <w:sz w:val="22"/>
          <w:szCs w:val="22"/>
        </w:rPr>
        <w:t>rekultiváciu pozemku, uzavretie, rekultiváciu a monitorovanie skládky odpadov po jej uzavretí,</w:t>
      </w:r>
    </w:p>
    <w:p w14:paraId="41DA4A5C" w14:textId="7C60B3FA" w:rsidR="005E2370" w:rsidRPr="00C66720" w:rsidRDefault="005E2370" w:rsidP="00A721E1">
      <w:pPr>
        <w:pStyle w:val="Pismenka"/>
        <w:numPr>
          <w:ilvl w:val="0"/>
          <w:numId w:val="18"/>
        </w:numPr>
        <w:ind w:left="714" w:hanging="357"/>
        <w:rPr>
          <w:b w:val="0"/>
          <w:bCs w:val="0"/>
          <w:sz w:val="22"/>
          <w:szCs w:val="22"/>
        </w:rPr>
      </w:pPr>
      <w:r w:rsidRPr="00C66720">
        <w:rPr>
          <w:b w:val="0"/>
          <w:bCs w:val="0"/>
          <w:sz w:val="22"/>
          <w:szCs w:val="22"/>
        </w:rPr>
        <w:t>iné budúce povinnosti.</w:t>
      </w:r>
    </w:p>
    <w:p w14:paraId="19BC8443" w14:textId="58038B44" w:rsidR="00D30899" w:rsidRDefault="00D30899" w:rsidP="00D03830">
      <w:pPr>
        <w:pStyle w:val="Pismenka"/>
        <w:tabs>
          <w:tab w:val="clear" w:pos="426"/>
        </w:tabs>
        <w:spacing w:before="180" w:after="240"/>
        <w:ind w:left="0" w:firstLine="0"/>
        <w:rPr>
          <w:b w:val="0"/>
          <w:bCs w:val="0"/>
          <w:sz w:val="22"/>
          <w:szCs w:val="22"/>
        </w:rPr>
      </w:pPr>
      <w:r w:rsidRPr="00C66720">
        <w:rPr>
          <w:b w:val="0"/>
          <w:bCs w:val="0"/>
          <w:sz w:val="22"/>
          <w:szCs w:val="22"/>
        </w:rPr>
        <w:t xml:space="preserve">Celkové dlhodobé rezervy dosiahli hodnotu </w:t>
      </w:r>
      <w:r w:rsidR="00A27184" w:rsidRPr="00C66720">
        <w:rPr>
          <w:b w:val="0"/>
          <w:bCs w:val="0"/>
          <w:sz w:val="22"/>
          <w:szCs w:val="22"/>
        </w:rPr>
        <w:t>28 797 831</w:t>
      </w:r>
      <w:r w:rsidRPr="00C66720">
        <w:rPr>
          <w:b w:val="0"/>
          <w:bCs w:val="0"/>
          <w:sz w:val="22"/>
          <w:szCs w:val="22"/>
        </w:rPr>
        <w:t xml:space="preserve"> tis. eur. Dlhodobé zákonné rezervy, t. j. rezervy vytvárané na základe príslušných predpisov s dobou predpokladaného plnenia dlhšou ako jeden rok,</w:t>
      </w:r>
      <w:r w:rsidR="00A576FE" w:rsidRPr="00C66720">
        <w:rPr>
          <w:b w:val="0"/>
          <w:bCs w:val="0"/>
          <w:sz w:val="22"/>
          <w:szCs w:val="22"/>
        </w:rPr>
        <w:t xml:space="preserve"> boli vykázané v hodnote </w:t>
      </w:r>
      <w:r w:rsidR="008F3738" w:rsidRPr="00C66720">
        <w:rPr>
          <w:b w:val="0"/>
          <w:bCs w:val="0"/>
          <w:sz w:val="22"/>
          <w:szCs w:val="22"/>
        </w:rPr>
        <w:t>36 638</w:t>
      </w:r>
      <w:r w:rsidRPr="00C66720">
        <w:rPr>
          <w:b w:val="0"/>
          <w:bCs w:val="0"/>
          <w:sz w:val="22"/>
          <w:szCs w:val="22"/>
        </w:rPr>
        <w:t xml:space="preserve"> tis. eur. Ostatné rezervy, t. j. rezervy vytvárané na základe účtovných postupov a vnútorných predpisov účtovných jednotiek dosiahli hodnotu </w:t>
      </w:r>
      <w:r w:rsidR="008F3738" w:rsidRPr="00C66720">
        <w:rPr>
          <w:b w:val="0"/>
          <w:bCs w:val="0"/>
          <w:sz w:val="22"/>
          <w:szCs w:val="22"/>
        </w:rPr>
        <w:t>28 761 193</w:t>
      </w:r>
      <w:r w:rsidRPr="00C66720">
        <w:rPr>
          <w:b w:val="0"/>
          <w:bCs w:val="0"/>
          <w:sz w:val="22"/>
          <w:szCs w:val="22"/>
        </w:rPr>
        <w:t xml:space="preserve"> tis. eur. </w:t>
      </w:r>
    </w:p>
    <w:p w14:paraId="7E90D5A2" w14:textId="77777777" w:rsidR="001F68B4" w:rsidRPr="00346B9E" w:rsidRDefault="001F68B4" w:rsidP="001F68B4">
      <w:pPr>
        <w:pStyle w:val="Pismenka"/>
        <w:tabs>
          <w:tab w:val="clear" w:pos="426"/>
        </w:tabs>
        <w:ind w:left="0" w:firstLine="0"/>
        <w:rPr>
          <w:bCs w:val="0"/>
        </w:rPr>
      </w:pPr>
      <w:r w:rsidRPr="00346B9E">
        <w:rPr>
          <w:bCs w:val="0"/>
        </w:rPr>
        <w:t>Tabu</w:t>
      </w:r>
      <w:r>
        <w:rPr>
          <w:bCs w:val="0"/>
        </w:rPr>
        <w:t>ľka 15</w:t>
      </w:r>
    </w:p>
    <w:tbl>
      <w:tblPr>
        <w:tblW w:w="5000" w:type="pct"/>
        <w:jc w:val="center"/>
        <w:tblLayout w:type="fixed"/>
        <w:tblCellMar>
          <w:left w:w="70" w:type="dxa"/>
          <w:right w:w="70" w:type="dxa"/>
        </w:tblCellMar>
        <w:tblLook w:val="00A0" w:firstRow="1" w:lastRow="0" w:firstColumn="1" w:lastColumn="0" w:noHBand="0" w:noVBand="0"/>
      </w:tblPr>
      <w:tblGrid>
        <w:gridCol w:w="5206"/>
        <w:gridCol w:w="1303"/>
        <w:gridCol w:w="1281"/>
        <w:gridCol w:w="1281"/>
      </w:tblGrid>
      <w:tr w:rsidR="001F68B4" w:rsidRPr="00AD1DD7" w14:paraId="37F69497"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1560A715" w14:textId="77777777" w:rsidR="001F68B4" w:rsidRPr="00AD1DD7" w:rsidRDefault="001F68B4" w:rsidP="00241F33">
            <w:pPr>
              <w:spacing w:after="0" w:line="240" w:lineRule="auto"/>
              <w:rPr>
                <w:b/>
                <w:bCs/>
                <w:sz w:val="18"/>
                <w:szCs w:val="18"/>
              </w:rPr>
            </w:pPr>
            <w:r w:rsidRPr="00AD1DD7">
              <w:rPr>
                <w:b/>
                <w:bCs/>
                <w:sz w:val="18"/>
                <w:szCs w:val="18"/>
              </w:rPr>
              <w:br w:type="page"/>
            </w:r>
            <w:r w:rsidRPr="00AD1DD7">
              <w:rPr>
                <w:b/>
                <w:bCs/>
                <w:sz w:val="18"/>
                <w:szCs w:val="18"/>
              </w:rPr>
              <w:br w:type="page"/>
            </w:r>
            <w:r w:rsidRPr="00AD1DD7">
              <w:rPr>
                <w:rFonts w:ascii="Times New Roman" w:hAnsi="Times New Roman"/>
                <w:b/>
                <w:bCs/>
                <w:sz w:val="18"/>
                <w:szCs w:val="18"/>
                <w:lang w:eastAsia="sk-SK"/>
              </w:rPr>
              <w:t xml:space="preserve">Dlhodobé rezervy súhrnného celku podľa druhu                                                                                             </w:t>
            </w:r>
            <w:r>
              <w:rPr>
                <w:rFonts w:ascii="Times New Roman" w:hAnsi="Times New Roman"/>
                <w:b/>
                <w:bCs/>
                <w:sz w:val="18"/>
                <w:szCs w:val="18"/>
                <w:lang w:eastAsia="sk-SK"/>
              </w:rPr>
              <w:t xml:space="preserve">    </w:t>
            </w:r>
            <w:r w:rsidRPr="00AD1DD7">
              <w:rPr>
                <w:rFonts w:ascii="Times New Roman" w:hAnsi="Times New Roman"/>
                <w:b/>
                <w:bCs/>
                <w:sz w:val="18"/>
                <w:szCs w:val="18"/>
                <w:lang w:eastAsia="sk-SK"/>
              </w:rPr>
              <w:t>(v tis. eur) </w:t>
            </w:r>
          </w:p>
        </w:tc>
      </w:tr>
      <w:tr w:rsidR="001F68B4" w:rsidRPr="005E1D09" w14:paraId="12D3956C" w14:textId="77777777" w:rsidTr="00241F33">
        <w:trPr>
          <w:trHeight w:val="330"/>
          <w:jc w:val="center"/>
        </w:trPr>
        <w:tc>
          <w:tcPr>
            <w:tcW w:w="2870" w:type="pct"/>
            <w:tcBorders>
              <w:top w:val="nil"/>
              <w:left w:val="nil"/>
              <w:bottom w:val="single" w:sz="4" w:space="0" w:color="auto"/>
              <w:right w:val="nil"/>
            </w:tcBorders>
            <w:shd w:val="clear" w:color="auto" w:fill="BDD7EE"/>
            <w:noWrap/>
            <w:vAlign w:val="center"/>
          </w:tcPr>
          <w:p w14:paraId="09AF3508" w14:textId="77777777" w:rsidR="001F68B4" w:rsidRPr="005E1D09" w:rsidRDefault="001F68B4" w:rsidP="001F68B4">
            <w:pPr>
              <w:spacing w:after="0" w:line="240" w:lineRule="auto"/>
              <w:rPr>
                <w:rFonts w:ascii="Times New Roman" w:hAnsi="Times New Roman"/>
                <w:b/>
                <w:bCs/>
                <w:sz w:val="18"/>
                <w:szCs w:val="18"/>
                <w:lang w:eastAsia="sk-SK"/>
              </w:rPr>
            </w:pPr>
            <w:r w:rsidRPr="005E1D09">
              <w:rPr>
                <w:rFonts w:ascii="Times New Roman" w:hAnsi="Times New Roman"/>
                <w:b/>
                <w:bCs/>
                <w:sz w:val="18"/>
                <w:szCs w:val="18"/>
                <w:lang w:eastAsia="sk-SK"/>
              </w:rPr>
              <w:t>Druh rezerv</w:t>
            </w:r>
          </w:p>
        </w:tc>
        <w:tc>
          <w:tcPr>
            <w:tcW w:w="718" w:type="pct"/>
            <w:tcBorders>
              <w:top w:val="nil"/>
              <w:left w:val="nil"/>
              <w:bottom w:val="single" w:sz="4" w:space="0" w:color="auto"/>
              <w:right w:val="nil"/>
            </w:tcBorders>
            <w:shd w:val="clear" w:color="auto" w:fill="BDD7EE"/>
            <w:noWrap/>
            <w:vAlign w:val="center"/>
          </w:tcPr>
          <w:p w14:paraId="21923505" w14:textId="1F1DC7B9" w:rsidR="001F68B4" w:rsidRPr="005E1D09" w:rsidRDefault="001F68B4" w:rsidP="001F68B4">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06" w:type="pct"/>
            <w:tcBorders>
              <w:top w:val="nil"/>
              <w:left w:val="nil"/>
              <w:bottom w:val="single" w:sz="4" w:space="0" w:color="auto"/>
              <w:right w:val="nil"/>
            </w:tcBorders>
            <w:shd w:val="clear" w:color="auto" w:fill="BDD7EE"/>
            <w:noWrap/>
            <w:vAlign w:val="center"/>
          </w:tcPr>
          <w:p w14:paraId="0108D4BE" w14:textId="5483CF0F" w:rsidR="001F68B4" w:rsidRPr="005E1D09" w:rsidRDefault="001F68B4" w:rsidP="001F68B4">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6" w:type="pct"/>
            <w:tcBorders>
              <w:top w:val="nil"/>
              <w:left w:val="nil"/>
              <w:bottom w:val="single" w:sz="4" w:space="0" w:color="auto"/>
              <w:right w:val="nil"/>
            </w:tcBorders>
            <w:shd w:val="clear" w:color="auto" w:fill="BDD7EE"/>
            <w:vAlign w:val="center"/>
          </w:tcPr>
          <w:p w14:paraId="4AD61AEB" w14:textId="5FAB5DE5" w:rsidR="001F68B4" w:rsidRPr="005E1D09" w:rsidRDefault="001F68B4" w:rsidP="001F68B4">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1F68B4" w:rsidRPr="005E1D09" w14:paraId="336E4FB8" w14:textId="77777777" w:rsidTr="00241F33">
        <w:trPr>
          <w:trHeight w:hRule="exact" w:val="330"/>
          <w:jc w:val="center"/>
        </w:trPr>
        <w:tc>
          <w:tcPr>
            <w:tcW w:w="2870" w:type="pct"/>
            <w:tcBorders>
              <w:top w:val="nil"/>
              <w:left w:val="nil"/>
              <w:right w:val="nil"/>
            </w:tcBorders>
            <w:vAlign w:val="center"/>
          </w:tcPr>
          <w:p w14:paraId="5A180C53" w14:textId="77777777" w:rsidR="001F68B4" w:rsidRPr="005E1D09" w:rsidRDefault="001F68B4" w:rsidP="001F68B4">
            <w:pPr>
              <w:spacing w:after="0" w:line="240" w:lineRule="auto"/>
              <w:rPr>
                <w:rFonts w:ascii="Times New Roman" w:hAnsi="Times New Roman"/>
                <w:sz w:val="18"/>
                <w:szCs w:val="18"/>
                <w:lang w:eastAsia="sk-SK"/>
              </w:rPr>
            </w:pPr>
            <w:r w:rsidRPr="005E1D09">
              <w:rPr>
                <w:rFonts w:ascii="Times New Roman" w:hAnsi="Times New Roman"/>
                <w:sz w:val="18"/>
                <w:szCs w:val="18"/>
                <w:lang w:eastAsia="sk-SK"/>
              </w:rPr>
              <w:t>Dlhodobé ostatné</w:t>
            </w:r>
          </w:p>
        </w:tc>
        <w:tc>
          <w:tcPr>
            <w:tcW w:w="718" w:type="pct"/>
            <w:tcBorders>
              <w:top w:val="nil"/>
              <w:left w:val="nil"/>
              <w:right w:val="nil"/>
            </w:tcBorders>
            <w:vAlign w:val="center"/>
          </w:tcPr>
          <w:p w14:paraId="679DBFEA" w14:textId="4C3E062A" w:rsidR="001F68B4" w:rsidRPr="005E1D09" w:rsidRDefault="001F68B4" w:rsidP="001F68B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28 761 193</w:t>
            </w:r>
          </w:p>
        </w:tc>
        <w:tc>
          <w:tcPr>
            <w:tcW w:w="706" w:type="pct"/>
            <w:tcBorders>
              <w:top w:val="nil"/>
              <w:left w:val="nil"/>
              <w:right w:val="nil"/>
            </w:tcBorders>
            <w:vAlign w:val="center"/>
          </w:tcPr>
          <w:p w14:paraId="29D86633" w14:textId="027F4949" w:rsidR="001F68B4" w:rsidRPr="005E1D09" w:rsidRDefault="001F68B4" w:rsidP="001F68B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41 347 087</w:t>
            </w:r>
          </w:p>
        </w:tc>
        <w:tc>
          <w:tcPr>
            <w:tcW w:w="706" w:type="pct"/>
            <w:tcBorders>
              <w:top w:val="nil"/>
              <w:left w:val="nil"/>
              <w:right w:val="nil"/>
            </w:tcBorders>
            <w:vAlign w:val="center"/>
          </w:tcPr>
          <w:p w14:paraId="6DD58578" w14:textId="682B28B2" w:rsidR="001F68B4" w:rsidRPr="005E1D09" w:rsidRDefault="001F68B4" w:rsidP="001F68B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-12 585 894</w:t>
            </w:r>
          </w:p>
        </w:tc>
      </w:tr>
      <w:tr w:rsidR="001F68B4" w:rsidRPr="005E1D09" w14:paraId="0E5CBDF5" w14:textId="77777777" w:rsidTr="00241F33">
        <w:trPr>
          <w:trHeight w:hRule="exact" w:val="330"/>
          <w:jc w:val="center"/>
        </w:trPr>
        <w:tc>
          <w:tcPr>
            <w:tcW w:w="2870" w:type="pct"/>
            <w:tcBorders>
              <w:top w:val="nil"/>
              <w:left w:val="nil"/>
              <w:bottom w:val="single" w:sz="4" w:space="0" w:color="auto"/>
              <w:right w:val="nil"/>
            </w:tcBorders>
            <w:vAlign w:val="center"/>
          </w:tcPr>
          <w:p w14:paraId="29F51AE4" w14:textId="77777777" w:rsidR="001F68B4" w:rsidRPr="005E1D09" w:rsidRDefault="001F68B4" w:rsidP="001F68B4">
            <w:pPr>
              <w:spacing w:after="0" w:line="240" w:lineRule="auto"/>
              <w:rPr>
                <w:rFonts w:ascii="Times New Roman" w:hAnsi="Times New Roman"/>
                <w:sz w:val="18"/>
                <w:szCs w:val="18"/>
                <w:lang w:eastAsia="sk-SK"/>
              </w:rPr>
            </w:pPr>
            <w:r w:rsidRPr="005E1D09">
              <w:rPr>
                <w:rFonts w:ascii="Times New Roman" w:hAnsi="Times New Roman"/>
                <w:sz w:val="18"/>
                <w:szCs w:val="18"/>
                <w:lang w:eastAsia="sk-SK"/>
              </w:rPr>
              <w:t>Dlhodobé zákonné</w:t>
            </w:r>
          </w:p>
        </w:tc>
        <w:tc>
          <w:tcPr>
            <w:tcW w:w="718" w:type="pct"/>
            <w:tcBorders>
              <w:top w:val="nil"/>
              <w:left w:val="nil"/>
              <w:bottom w:val="single" w:sz="4" w:space="0" w:color="auto"/>
              <w:right w:val="nil"/>
            </w:tcBorders>
            <w:vAlign w:val="center"/>
          </w:tcPr>
          <w:p w14:paraId="3B155686" w14:textId="5AC510D4" w:rsidR="001F68B4" w:rsidRPr="005E1D09" w:rsidRDefault="001F68B4" w:rsidP="001F68B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36 638</w:t>
            </w:r>
          </w:p>
        </w:tc>
        <w:tc>
          <w:tcPr>
            <w:tcW w:w="706" w:type="pct"/>
            <w:tcBorders>
              <w:top w:val="nil"/>
              <w:left w:val="nil"/>
              <w:bottom w:val="single" w:sz="4" w:space="0" w:color="auto"/>
              <w:right w:val="nil"/>
            </w:tcBorders>
            <w:vAlign w:val="center"/>
          </w:tcPr>
          <w:p w14:paraId="3CA52746" w14:textId="55236F87" w:rsidR="001F68B4" w:rsidRPr="005E1D09" w:rsidRDefault="001F68B4" w:rsidP="001F68B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34 018</w:t>
            </w:r>
          </w:p>
        </w:tc>
        <w:tc>
          <w:tcPr>
            <w:tcW w:w="706" w:type="pct"/>
            <w:tcBorders>
              <w:top w:val="nil"/>
              <w:left w:val="nil"/>
              <w:bottom w:val="single" w:sz="4" w:space="0" w:color="auto"/>
              <w:right w:val="nil"/>
            </w:tcBorders>
            <w:vAlign w:val="center"/>
          </w:tcPr>
          <w:p w14:paraId="26E0850B" w14:textId="345CFED7" w:rsidR="001F68B4" w:rsidRPr="005E1D09" w:rsidRDefault="001F68B4" w:rsidP="001F68B4">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2 620</w:t>
            </w:r>
          </w:p>
        </w:tc>
      </w:tr>
      <w:tr w:rsidR="001F68B4" w:rsidRPr="00975467" w14:paraId="557096B3" w14:textId="77777777" w:rsidTr="00241F33">
        <w:trPr>
          <w:trHeight w:hRule="exact" w:val="330"/>
          <w:jc w:val="center"/>
        </w:trPr>
        <w:tc>
          <w:tcPr>
            <w:tcW w:w="2870" w:type="pct"/>
            <w:tcBorders>
              <w:top w:val="single" w:sz="4" w:space="0" w:color="auto"/>
              <w:left w:val="nil"/>
              <w:bottom w:val="single" w:sz="4" w:space="0" w:color="000000"/>
              <w:right w:val="nil"/>
            </w:tcBorders>
            <w:shd w:val="clear" w:color="000000" w:fill="auto"/>
            <w:vAlign w:val="center"/>
          </w:tcPr>
          <w:p w14:paraId="16F01402" w14:textId="77777777" w:rsidR="001F68B4" w:rsidRPr="005E1D09" w:rsidRDefault="001F68B4" w:rsidP="001F68B4">
            <w:pPr>
              <w:spacing w:after="0" w:line="240" w:lineRule="auto"/>
              <w:rPr>
                <w:rFonts w:ascii="Times New Roman" w:hAnsi="Times New Roman"/>
                <w:b/>
                <w:bCs/>
                <w:sz w:val="18"/>
                <w:szCs w:val="18"/>
                <w:lang w:eastAsia="sk-SK"/>
              </w:rPr>
            </w:pPr>
            <w:r w:rsidRPr="005E1D09">
              <w:rPr>
                <w:rFonts w:ascii="Times New Roman" w:hAnsi="Times New Roman"/>
                <w:b/>
                <w:bCs/>
                <w:sz w:val="18"/>
                <w:szCs w:val="18"/>
                <w:lang w:eastAsia="sk-SK"/>
              </w:rPr>
              <w:t>Spolu</w:t>
            </w:r>
          </w:p>
        </w:tc>
        <w:tc>
          <w:tcPr>
            <w:tcW w:w="718" w:type="pct"/>
            <w:tcBorders>
              <w:top w:val="single" w:sz="4" w:space="0" w:color="auto"/>
              <w:left w:val="nil"/>
              <w:bottom w:val="single" w:sz="4" w:space="0" w:color="000000"/>
              <w:right w:val="nil"/>
            </w:tcBorders>
            <w:shd w:val="clear" w:color="000000" w:fill="auto"/>
            <w:vAlign w:val="center"/>
          </w:tcPr>
          <w:p w14:paraId="133C4674" w14:textId="6EA94FB3" w:rsidR="001F68B4" w:rsidRPr="005E1D09" w:rsidRDefault="001F68B4" w:rsidP="001F68B4">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28 797 831</w:t>
            </w:r>
          </w:p>
        </w:tc>
        <w:tc>
          <w:tcPr>
            <w:tcW w:w="706" w:type="pct"/>
            <w:tcBorders>
              <w:top w:val="single" w:sz="4" w:space="0" w:color="auto"/>
              <w:left w:val="nil"/>
              <w:bottom w:val="single" w:sz="4" w:space="0" w:color="000000"/>
              <w:right w:val="nil"/>
            </w:tcBorders>
            <w:shd w:val="clear" w:color="000000" w:fill="auto"/>
            <w:vAlign w:val="center"/>
          </w:tcPr>
          <w:p w14:paraId="0A678CB0" w14:textId="70637ECF" w:rsidR="001F68B4" w:rsidRPr="005E1D09" w:rsidRDefault="001F68B4" w:rsidP="001F68B4">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41 381 105</w:t>
            </w:r>
          </w:p>
        </w:tc>
        <w:tc>
          <w:tcPr>
            <w:tcW w:w="706" w:type="pct"/>
            <w:tcBorders>
              <w:top w:val="single" w:sz="4" w:space="0" w:color="auto"/>
              <w:left w:val="nil"/>
              <w:bottom w:val="single" w:sz="4" w:space="0" w:color="000000"/>
              <w:right w:val="nil"/>
            </w:tcBorders>
            <w:shd w:val="clear" w:color="000000" w:fill="auto"/>
            <w:vAlign w:val="center"/>
          </w:tcPr>
          <w:p w14:paraId="418CE66C" w14:textId="3404C3E9" w:rsidR="001F68B4" w:rsidRPr="005E1D09" w:rsidRDefault="001F68B4" w:rsidP="001F68B4">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-12 583 274</w:t>
            </w:r>
          </w:p>
        </w:tc>
      </w:tr>
    </w:tbl>
    <w:p w14:paraId="5B522638" w14:textId="77777777" w:rsidR="001F68B4" w:rsidRDefault="001F68B4" w:rsidP="001F68B4">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7E5098D2" w14:textId="4E62B7BE" w:rsidR="00D03830" w:rsidRDefault="00194ACE" w:rsidP="00000BA3">
      <w:pPr>
        <w:pStyle w:val="Pismenka"/>
        <w:tabs>
          <w:tab w:val="clear" w:pos="426"/>
        </w:tabs>
        <w:spacing w:before="180" w:after="240"/>
        <w:ind w:left="0" w:firstLine="0"/>
        <w:rPr>
          <w:b w:val="0"/>
          <w:bCs w:val="0"/>
          <w:sz w:val="22"/>
          <w:szCs w:val="22"/>
        </w:rPr>
      </w:pPr>
      <w:r w:rsidRPr="00C66720">
        <w:rPr>
          <w:b w:val="0"/>
          <w:bCs w:val="0"/>
          <w:sz w:val="22"/>
          <w:szCs w:val="22"/>
        </w:rPr>
        <w:t xml:space="preserve">Rozhodujúci podiel na rezervách ako aj na medziročnom </w:t>
      </w:r>
      <w:r w:rsidR="00844F07" w:rsidRPr="00C66720">
        <w:rPr>
          <w:b w:val="0"/>
          <w:bCs w:val="0"/>
          <w:sz w:val="22"/>
          <w:szCs w:val="22"/>
        </w:rPr>
        <w:t>úbytku</w:t>
      </w:r>
      <w:r w:rsidRPr="00C66720">
        <w:rPr>
          <w:b w:val="0"/>
          <w:bCs w:val="0"/>
          <w:sz w:val="22"/>
          <w:szCs w:val="22"/>
        </w:rPr>
        <w:t xml:space="preserve"> má rezerva ústrednej správy na zamestnanecké benefity</w:t>
      </w:r>
      <w:r w:rsidRPr="00C66720">
        <w:rPr>
          <w:b w:val="0"/>
          <w:sz w:val="22"/>
          <w:szCs w:val="22"/>
        </w:rPr>
        <w:t xml:space="preserve"> zamestnancov štátnych rozpočtových a príspevkových organizácií</w:t>
      </w:r>
      <w:r w:rsidRPr="00C66720">
        <w:rPr>
          <w:b w:val="0"/>
          <w:bCs w:val="0"/>
          <w:sz w:val="22"/>
          <w:szCs w:val="22"/>
        </w:rPr>
        <w:t xml:space="preserve">, ktorá na základe expertného odhadu zaznamenala v roku </w:t>
      </w:r>
      <w:r w:rsidR="00844F07" w:rsidRPr="00C66720">
        <w:rPr>
          <w:b w:val="0"/>
          <w:bCs w:val="0"/>
          <w:sz w:val="22"/>
          <w:szCs w:val="22"/>
        </w:rPr>
        <w:t>2022</w:t>
      </w:r>
      <w:r w:rsidRPr="00C66720">
        <w:rPr>
          <w:b w:val="0"/>
          <w:bCs w:val="0"/>
          <w:sz w:val="22"/>
          <w:szCs w:val="22"/>
        </w:rPr>
        <w:t xml:space="preserve"> </w:t>
      </w:r>
      <w:r w:rsidR="00844F07" w:rsidRPr="00C66720">
        <w:rPr>
          <w:b w:val="0"/>
          <w:bCs w:val="0"/>
          <w:sz w:val="22"/>
          <w:szCs w:val="22"/>
        </w:rPr>
        <w:t xml:space="preserve">úbytok </w:t>
      </w:r>
      <w:r w:rsidR="009E24C9" w:rsidRPr="00C66720">
        <w:rPr>
          <w:b w:val="0"/>
          <w:bCs w:val="0"/>
          <w:sz w:val="22"/>
          <w:szCs w:val="22"/>
        </w:rPr>
        <w:t>13 423 608</w:t>
      </w:r>
      <w:r w:rsidRPr="00C66720">
        <w:rPr>
          <w:b w:val="0"/>
          <w:bCs w:val="0"/>
          <w:sz w:val="22"/>
          <w:szCs w:val="22"/>
        </w:rPr>
        <w:t xml:space="preserve"> tis. eur</w:t>
      </w:r>
      <w:r w:rsidR="00804D99" w:rsidRPr="00C66720">
        <w:rPr>
          <w:b w:val="0"/>
          <w:bCs w:val="0"/>
          <w:sz w:val="22"/>
          <w:szCs w:val="22"/>
        </w:rPr>
        <w:t xml:space="preserve"> a dosiahla hodnotu </w:t>
      </w:r>
      <w:r w:rsidR="002B4EE0" w:rsidRPr="00C66720">
        <w:rPr>
          <w:b w:val="0"/>
          <w:bCs w:val="0"/>
          <w:sz w:val="22"/>
          <w:szCs w:val="22"/>
        </w:rPr>
        <w:t>26 367 644</w:t>
      </w:r>
      <w:r w:rsidR="00804D99" w:rsidRPr="00C66720">
        <w:rPr>
          <w:b w:val="0"/>
          <w:bCs w:val="0"/>
          <w:sz w:val="22"/>
          <w:szCs w:val="22"/>
        </w:rPr>
        <w:t xml:space="preserve"> tis. eur</w:t>
      </w:r>
      <w:r w:rsidRPr="00C66720">
        <w:rPr>
          <w:b w:val="0"/>
          <w:bCs w:val="0"/>
          <w:sz w:val="22"/>
          <w:szCs w:val="22"/>
        </w:rPr>
        <w:t>.</w:t>
      </w:r>
    </w:p>
    <w:p w14:paraId="4AE1674D" w14:textId="77777777" w:rsidR="001517FE" w:rsidRPr="00346B9E" w:rsidRDefault="001517FE" w:rsidP="001517FE">
      <w:pPr>
        <w:pStyle w:val="Pismenka"/>
        <w:tabs>
          <w:tab w:val="clear" w:pos="426"/>
        </w:tabs>
        <w:ind w:left="0" w:firstLine="0"/>
        <w:rPr>
          <w:bCs w:val="0"/>
        </w:rPr>
      </w:pPr>
      <w:r w:rsidRPr="00346B9E">
        <w:rPr>
          <w:bCs w:val="0"/>
        </w:rPr>
        <w:t>Tabu</w:t>
      </w:r>
      <w:r>
        <w:rPr>
          <w:bCs w:val="0"/>
        </w:rPr>
        <w:t>ľka 16</w:t>
      </w:r>
    </w:p>
    <w:tbl>
      <w:tblPr>
        <w:tblW w:w="5000" w:type="pct"/>
        <w:jc w:val="center"/>
        <w:tblLayout w:type="fixed"/>
        <w:tblCellMar>
          <w:left w:w="70" w:type="dxa"/>
          <w:right w:w="70" w:type="dxa"/>
        </w:tblCellMar>
        <w:tblLook w:val="00A0" w:firstRow="1" w:lastRow="0" w:firstColumn="1" w:lastColumn="0" w:noHBand="0" w:noVBand="0"/>
      </w:tblPr>
      <w:tblGrid>
        <w:gridCol w:w="5206"/>
        <w:gridCol w:w="1303"/>
        <w:gridCol w:w="1281"/>
        <w:gridCol w:w="1281"/>
      </w:tblGrid>
      <w:tr w:rsidR="001517FE" w:rsidRPr="00AD1DD7" w14:paraId="1EF290E9"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4444D029" w14:textId="77777777" w:rsidR="001517FE" w:rsidRPr="00AD1DD7" w:rsidRDefault="001517FE" w:rsidP="00241F33">
            <w:pPr>
              <w:spacing w:after="0" w:line="240" w:lineRule="auto"/>
              <w:rPr>
                <w:b/>
                <w:bCs/>
                <w:sz w:val="18"/>
                <w:szCs w:val="18"/>
              </w:rPr>
            </w:pPr>
            <w:r w:rsidRPr="00AD1DD7">
              <w:rPr>
                <w:b/>
                <w:bCs/>
                <w:sz w:val="18"/>
                <w:szCs w:val="18"/>
              </w:rPr>
              <w:br w:type="page"/>
            </w:r>
            <w:r w:rsidRPr="00AD1DD7">
              <w:rPr>
                <w:b/>
                <w:bCs/>
                <w:sz w:val="18"/>
                <w:szCs w:val="18"/>
              </w:rPr>
              <w:br w:type="page"/>
            </w:r>
            <w:r w:rsidRPr="00AD1DD7">
              <w:rPr>
                <w:rFonts w:ascii="Times New Roman" w:hAnsi="Times New Roman"/>
                <w:b/>
                <w:bCs/>
                <w:sz w:val="18"/>
                <w:szCs w:val="18"/>
                <w:lang w:eastAsia="sk-SK"/>
              </w:rPr>
              <w:t xml:space="preserve">Dlhodobé rezervy podľa účelu                                                                                                            </w:t>
            </w:r>
            <w:r>
              <w:rPr>
                <w:rFonts w:ascii="Times New Roman" w:hAnsi="Times New Roman"/>
                <w:b/>
                <w:bCs/>
                <w:sz w:val="18"/>
                <w:szCs w:val="18"/>
                <w:lang w:eastAsia="sk-SK"/>
              </w:rPr>
              <w:t xml:space="preserve">                 </w:t>
            </w:r>
            <w:r w:rsidRPr="00AD1DD7">
              <w:rPr>
                <w:rFonts w:ascii="Times New Roman" w:hAnsi="Times New Roman"/>
                <w:b/>
                <w:bCs/>
                <w:sz w:val="18"/>
                <w:szCs w:val="18"/>
                <w:lang w:eastAsia="sk-SK"/>
              </w:rPr>
              <w:t>(v tis. eur) </w:t>
            </w:r>
          </w:p>
        </w:tc>
      </w:tr>
      <w:tr w:rsidR="001517FE" w:rsidRPr="00D37CB6" w14:paraId="1819BD57" w14:textId="77777777" w:rsidTr="00241F33">
        <w:trPr>
          <w:trHeight w:val="330"/>
          <w:jc w:val="center"/>
        </w:trPr>
        <w:tc>
          <w:tcPr>
            <w:tcW w:w="2870" w:type="pct"/>
            <w:tcBorders>
              <w:top w:val="nil"/>
              <w:left w:val="nil"/>
              <w:bottom w:val="single" w:sz="4" w:space="0" w:color="auto"/>
              <w:right w:val="nil"/>
            </w:tcBorders>
            <w:shd w:val="clear" w:color="auto" w:fill="BDD7EE"/>
            <w:noWrap/>
            <w:vAlign w:val="bottom"/>
          </w:tcPr>
          <w:p w14:paraId="5AADF038" w14:textId="77777777" w:rsidR="001517FE" w:rsidRPr="00D37CB6" w:rsidRDefault="001517FE" w:rsidP="001517FE">
            <w:pPr>
              <w:spacing w:after="0" w:line="240" w:lineRule="auto"/>
              <w:rPr>
                <w:rFonts w:ascii="Times New Roman" w:hAnsi="Times New Roman"/>
                <w:b/>
                <w:bCs/>
                <w:sz w:val="18"/>
                <w:szCs w:val="18"/>
                <w:lang w:eastAsia="sk-SK"/>
              </w:rPr>
            </w:pPr>
            <w:r w:rsidRPr="00D37CB6">
              <w:rPr>
                <w:rFonts w:ascii="Times New Roman" w:hAnsi="Times New Roman"/>
                <w:b/>
                <w:bCs/>
                <w:sz w:val="18"/>
                <w:szCs w:val="18"/>
                <w:lang w:eastAsia="sk-SK"/>
              </w:rPr>
              <w:t>Druh rezerv</w:t>
            </w:r>
          </w:p>
        </w:tc>
        <w:tc>
          <w:tcPr>
            <w:tcW w:w="718" w:type="pct"/>
            <w:tcBorders>
              <w:top w:val="nil"/>
              <w:left w:val="nil"/>
              <w:bottom w:val="single" w:sz="4" w:space="0" w:color="auto"/>
              <w:right w:val="nil"/>
            </w:tcBorders>
            <w:shd w:val="clear" w:color="auto" w:fill="BDD7EE"/>
            <w:noWrap/>
            <w:vAlign w:val="bottom"/>
          </w:tcPr>
          <w:p w14:paraId="5DE56950" w14:textId="297C8968" w:rsidR="001517FE" w:rsidRPr="00D37CB6" w:rsidRDefault="001517FE" w:rsidP="001517F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06" w:type="pct"/>
            <w:tcBorders>
              <w:top w:val="nil"/>
              <w:left w:val="nil"/>
              <w:bottom w:val="single" w:sz="4" w:space="0" w:color="auto"/>
              <w:right w:val="nil"/>
            </w:tcBorders>
            <w:shd w:val="clear" w:color="auto" w:fill="BDD7EE"/>
            <w:noWrap/>
            <w:vAlign w:val="bottom"/>
          </w:tcPr>
          <w:p w14:paraId="4505FB27" w14:textId="29B02BC8" w:rsidR="001517FE" w:rsidRPr="00D37CB6" w:rsidRDefault="001517FE" w:rsidP="001517F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6" w:type="pct"/>
            <w:tcBorders>
              <w:top w:val="nil"/>
              <w:left w:val="nil"/>
              <w:bottom w:val="single" w:sz="4" w:space="0" w:color="auto"/>
              <w:right w:val="nil"/>
            </w:tcBorders>
            <w:shd w:val="clear" w:color="auto" w:fill="BDD7EE"/>
            <w:vAlign w:val="bottom"/>
          </w:tcPr>
          <w:p w14:paraId="1180DFE3" w14:textId="668C58B1" w:rsidR="001517FE" w:rsidRPr="00D37CB6" w:rsidRDefault="001517FE" w:rsidP="001517F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1517FE" w:rsidRPr="00D37CB6" w14:paraId="600D5F1F" w14:textId="77777777" w:rsidTr="00241F33">
        <w:trPr>
          <w:trHeight w:hRule="exact" w:val="330"/>
          <w:jc w:val="center"/>
        </w:trPr>
        <w:tc>
          <w:tcPr>
            <w:tcW w:w="2870" w:type="pct"/>
            <w:tcBorders>
              <w:top w:val="nil"/>
              <w:left w:val="nil"/>
              <w:right w:val="nil"/>
            </w:tcBorders>
            <w:vAlign w:val="center"/>
          </w:tcPr>
          <w:p w14:paraId="2E817D16" w14:textId="3133719E" w:rsidR="001517FE" w:rsidRPr="00D37CB6" w:rsidRDefault="001517FE" w:rsidP="001517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Zamestnanecké požitky v ústrednej správe</w:t>
            </w:r>
          </w:p>
        </w:tc>
        <w:tc>
          <w:tcPr>
            <w:tcW w:w="718" w:type="pct"/>
            <w:tcBorders>
              <w:top w:val="nil"/>
              <w:left w:val="nil"/>
              <w:right w:val="nil"/>
            </w:tcBorders>
            <w:vAlign w:val="center"/>
          </w:tcPr>
          <w:p w14:paraId="38A87D99" w14:textId="1D9A82C8" w:rsidR="001517FE" w:rsidRPr="00D37CB6" w:rsidRDefault="001517FE" w:rsidP="001517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26 367 644</w:t>
            </w:r>
          </w:p>
        </w:tc>
        <w:tc>
          <w:tcPr>
            <w:tcW w:w="706" w:type="pct"/>
            <w:tcBorders>
              <w:top w:val="nil"/>
              <w:left w:val="nil"/>
              <w:right w:val="nil"/>
            </w:tcBorders>
            <w:vAlign w:val="center"/>
          </w:tcPr>
          <w:p w14:paraId="32E730CC" w14:textId="4B97F7F7" w:rsidR="001517FE" w:rsidRPr="00D37CB6" w:rsidRDefault="001517FE" w:rsidP="001517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39 791 252</w:t>
            </w:r>
          </w:p>
        </w:tc>
        <w:tc>
          <w:tcPr>
            <w:tcW w:w="706" w:type="pct"/>
            <w:tcBorders>
              <w:top w:val="nil"/>
              <w:left w:val="nil"/>
              <w:right w:val="nil"/>
            </w:tcBorders>
            <w:vAlign w:val="center"/>
          </w:tcPr>
          <w:p w14:paraId="6A47D042" w14:textId="2010993F" w:rsidR="001517FE" w:rsidRPr="00D37CB6" w:rsidRDefault="001517FE" w:rsidP="001517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-13 423 608</w:t>
            </w:r>
          </w:p>
        </w:tc>
      </w:tr>
      <w:tr w:rsidR="001517FE" w:rsidRPr="00D37CB6" w14:paraId="5826DAE1" w14:textId="77777777" w:rsidTr="00241F33">
        <w:trPr>
          <w:trHeight w:hRule="exact" w:val="292"/>
          <w:jc w:val="center"/>
        </w:trPr>
        <w:tc>
          <w:tcPr>
            <w:tcW w:w="2870" w:type="pct"/>
            <w:tcBorders>
              <w:top w:val="nil"/>
              <w:left w:val="nil"/>
              <w:bottom w:val="nil"/>
              <w:right w:val="nil"/>
            </w:tcBorders>
            <w:vAlign w:val="center"/>
          </w:tcPr>
          <w:p w14:paraId="7C071EB8" w14:textId="37D3C98C" w:rsidR="001517FE" w:rsidRPr="00D37CB6" w:rsidRDefault="001517FE" w:rsidP="001517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Vyraďovanie jadrových zariadení a rád. paliva </w:t>
            </w:r>
          </w:p>
        </w:tc>
        <w:tc>
          <w:tcPr>
            <w:tcW w:w="718" w:type="pct"/>
            <w:tcBorders>
              <w:top w:val="nil"/>
              <w:left w:val="nil"/>
              <w:bottom w:val="nil"/>
              <w:right w:val="nil"/>
            </w:tcBorders>
            <w:vAlign w:val="center"/>
          </w:tcPr>
          <w:p w14:paraId="38327FB7" w14:textId="52E7DA86" w:rsidR="001517FE" w:rsidRPr="00D37CB6" w:rsidRDefault="001517FE" w:rsidP="001517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1 419 665</w:t>
            </w:r>
          </w:p>
        </w:tc>
        <w:tc>
          <w:tcPr>
            <w:tcW w:w="706" w:type="pct"/>
            <w:tcBorders>
              <w:top w:val="nil"/>
              <w:left w:val="nil"/>
              <w:bottom w:val="nil"/>
              <w:right w:val="nil"/>
            </w:tcBorders>
            <w:vAlign w:val="center"/>
          </w:tcPr>
          <w:p w14:paraId="045A6786" w14:textId="23B71847" w:rsidR="001517FE" w:rsidRPr="00D37CB6" w:rsidRDefault="001517FE" w:rsidP="001517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701 729</w:t>
            </w:r>
          </w:p>
        </w:tc>
        <w:tc>
          <w:tcPr>
            <w:tcW w:w="706" w:type="pct"/>
            <w:tcBorders>
              <w:top w:val="nil"/>
              <w:left w:val="nil"/>
              <w:bottom w:val="nil"/>
              <w:right w:val="nil"/>
            </w:tcBorders>
            <w:vAlign w:val="center"/>
          </w:tcPr>
          <w:p w14:paraId="1B424391" w14:textId="0D98C654" w:rsidR="001517FE" w:rsidRPr="00D37CB6" w:rsidRDefault="001517FE" w:rsidP="001517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717 963</w:t>
            </w:r>
          </w:p>
        </w:tc>
      </w:tr>
      <w:tr w:rsidR="001517FE" w:rsidRPr="00D37CB6" w14:paraId="5D68A8B8" w14:textId="77777777" w:rsidTr="00241F33">
        <w:trPr>
          <w:trHeight w:hRule="exact" w:val="254"/>
          <w:jc w:val="center"/>
        </w:trPr>
        <w:tc>
          <w:tcPr>
            <w:tcW w:w="2870" w:type="pct"/>
            <w:tcBorders>
              <w:top w:val="nil"/>
              <w:left w:val="nil"/>
              <w:bottom w:val="nil"/>
              <w:right w:val="nil"/>
            </w:tcBorders>
            <w:vAlign w:val="center"/>
          </w:tcPr>
          <w:p w14:paraId="65A7D555" w14:textId="38FD4FE5" w:rsidR="001517FE" w:rsidRPr="00D37CB6" w:rsidRDefault="001517FE" w:rsidP="001517FE">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Súdne spory</w:t>
            </w:r>
          </w:p>
        </w:tc>
        <w:tc>
          <w:tcPr>
            <w:tcW w:w="718" w:type="pct"/>
            <w:tcBorders>
              <w:top w:val="nil"/>
              <w:left w:val="nil"/>
              <w:bottom w:val="nil"/>
              <w:right w:val="nil"/>
            </w:tcBorders>
            <w:vAlign w:val="center"/>
          </w:tcPr>
          <w:p w14:paraId="72B017C9" w14:textId="2D3BFC6D" w:rsidR="001517FE" w:rsidRPr="00D37CB6" w:rsidRDefault="001517FE" w:rsidP="001517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423 058</w:t>
            </w:r>
          </w:p>
        </w:tc>
        <w:tc>
          <w:tcPr>
            <w:tcW w:w="706" w:type="pct"/>
            <w:tcBorders>
              <w:top w:val="nil"/>
              <w:left w:val="nil"/>
              <w:bottom w:val="nil"/>
              <w:right w:val="nil"/>
            </w:tcBorders>
            <w:vAlign w:val="center"/>
          </w:tcPr>
          <w:p w14:paraId="688D6829" w14:textId="714FB43E" w:rsidR="001517FE" w:rsidRPr="00D37CB6" w:rsidRDefault="001517FE" w:rsidP="001517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424 335</w:t>
            </w:r>
          </w:p>
        </w:tc>
        <w:tc>
          <w:tcPr>
            <w:tcW w:w="706" w:type="pct"/>
            <w:tcBorders>
              <w:top w:val="nil"/>
              <w:left w:val="nil"/>
              <w:bottom w:val="nil"/>
              <w:right w:val="nil"/>
            </w:tcBorders>
            <w:vAlign w:val="center"/>
          </w:tcPr>
          <w:p w14:paraId="13E1EDB3" w14:textId="19C295C7" w:rsidR="001517FE" w:rsidRPr="00D37CB6" w:rsidRDefault="001517FE" w:rsidP="001517F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-1 277</w:t>
            </w:r>
          </w:p>
        </w:tc>
      </w:tr>
      <w:tr w:rsidR="001517FE" w:rsidRPr="00D37CB6" w14:paraId="202D60DF" w14:textId="77777777" w:rsidTr="00241F33">
        <w:trPr>
          <w:trHeight w:hRule="exact" w:val="330"/>
          <w:jc w:val="center"/>
        </w:trPr>
        <w:tc>
          <w:tcPr>
            <w:tcW w:w="2870" w:type="pct"/>
            <w:tcBorders>
              <w:top w:val="nil"/>
              <w:left w:val="nil"/>
              <w:right w:val="nil"/>
            </w:tcBorders>
            <w:shd w:val="clear" w:color="000000" w:fill="auto"/>
            <w:vAlign w:val="center"/>
          </w:tcPr>
          <w:p w14:paraId="131D79A2" w14:textId="57E31110" w:rsidR="001517FE" w:rsidRPr="00D37CB6" w:rsidRDefault="001517FE" w:rsidP="001517F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Náklady súvisiace s odstránením znečistenia životného prostredia</w:t>
            </w:r>
          </w:p>
        </w:tc>
        <w:tc>
          <w:tcPr>
            <w:tcW w:w="718" w:type="pct"/>
            <w:tcBorders>
              <w:top w:val="nil"/>
              <w:left w:val="nil"/>
              <w:right w:val="nil"/>
            </w:tcBorders>
            <w:shd w:val="clear" w:color="000000" w:fill="auto"/>
            <w:vAlign w:val="center"/>
          </w:tcPr>
          <w:p w14:paraId="6CCFE6B5" w14:textId="3D12757E"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80 904</w:t>
            </w:r>
          </w:p>
        </w:tc>
        <w:tc>
          <w:tcPr>
            <w:tcW w:w="706" w:type="pct"/>
            <w:tcBorders>
              <w:top w:val="nil"/>
              <w:left w:val="nil"/>
              <w:right w:val="nil"/>
            </w:tcBorders>
            <w:shd w:val="clear" w:color="000000" w:fill="auto"/>
            <w:vAlign w:val="center"/>
          </w:tcPr>
          <w:p w14:paraId="7ED2AA0E" w14:textId="08324515"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29 269</w:t>
            </w:r>
          </w:p>
        </w:tc>
        <w:tc>
          <w:tcPr>
            <w:tcW w:w="706" w:type="pct"/>
            <w:tcBorders>
              <w:top w:val="nil"/>
              <w:left w:val="nil"/>
              <w:right w:val="nil"/>
            </w:tcBorders>
            <w:shd w:val="clear" w:color="000000" w:fill="auto"/>
            <w:vAlign w:val="center"/>
          </w:tcPr>
          <w:p w14:paraId="72D2E879" w14:textId="0B90F619"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51 635</w:t>
            </w:r>
          </w:p>
        </w:tc>
      </w:tr>
      <w:tr w:rsidR="001517FE" w:rsidRPr="00D37CB6" w14:paraId="0753C7F0" w14:textId="77777777" w:rsidTr="00241F33">
        <w:trPr>
          <w:trHeight w:hRule="exact" w:val="377"/>
          <w:jc w:val="center"/>
        </w:trPr>
        <w:tc>
          <w:tcPr>
            <w:tcW w:w="2870" w:type="pct"/>
            <w:tcBorders>
              <w:top w:val="nil"/>
              <w:left w:val="nil"/>
              <w:right w:val="nil"/>
            </w:tcBorders>
            <w:shd w:val="clear" w:color="000000" w:fill="auto"/>
            <w:vAlign w:val="center"/>
          </w:tcPr>
          <w:p w14:paraId="07EA08AE" w14:textId="533DCACA" w:rsidR="001517FE" w:rsidRPr="00D37CB6" w:rsidRDefault="001517FE" w:rsidP="001517F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Zamestnanecké požitky obchodných spoločností štátu</w:t>
            </w:r>
          </w:p>
        </w:tc>
        <w:tc>
          <w:tcPr>
            <w:tcW w:w="718" w:type="pct"/>
            <w:tcBorders>
              <w:top w:val="nil"/>
              <w:left w:val="nil"/>
              <w:right w:val="nil"/>
            </w:tcBorders>
            <w:shd w:val="clear" w:color="000000" w:fill="auto"/>
            <w:vAlign w:val="center"/>
          </w:tcPr>
          <w:p w14:paraId="385BC17F" w14:textId="04997995"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47 977</w:t>
            </w:r>
          </w:p>
        </w:tc>
        <w:tc>
          <w:tcPr>
            <w:tcW w:w="706" w:type="pct"/>
            <w:tcBorders>
              <w:top w:val="nil"/>
              <w:left w:val="nil"/>
              <w:right w:val="nil"/>
            </w:tcBorders>
            <w:shd w:val="clear" w:color="000000" w:fill="auto"/>
            <w:vAlign w:val="center"/>
          </w:tcPr>
          <w:p w14:paraId="331AE726" w14:textId="0EDA0693"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56 917</w:t>
            </w:r>
          </w:p>
        </w:tc>
        <w:tc>
          <w:tcPr>
            <w:tcW w:w="706" w:type="pct"/>
            <w:tcBorders>
              <w:top w:val="nil"/>
              <w:left w:val="nil"/>
              <w:right w:val="nil"/>
            </w:tcBorders>
            <w:shd w:val="clear" w:color="000000" w:fill="auto"/>
            <w:vAlign w:val="center"/>
          </w:tcPr>
          <w:p w14:paraId="2A22779F" w14:textId="5D3AE6C7"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-8 940</w:t>
            </w:r>
          </w:p>
        </w:tc>
      </w:tr>
      <w:tr w:rsidR="001517FE" w:rsidRPr="00D37CB6" w14:paraId="295D705E" w14:textId="77777777" w:rsidTr="00241F33">
        <w:trPr>
          <w:trHeight w:hRule="exact" w:val="281"/>
          <w:jc w:val="center"/>
        </w:trPr>
        <w:tc>
          <w:tcPr>
            <w:tcW w:w="2870" w:type="pct"/>
            <w:tcBorders>
              <w:top w:val="nil"/>
              <w:left w:val="nil"/>
              <w:right w:val="nil"/>
            </w:tcBorders>
            <w:shd w:val="clear" w:color="000000" w:fill="auto"/>
            <w:vAlign w:val="center"/>
          </w:tcPr>
          <w:p w14:paraId="3429E601" w14:textId="37B45508" w:rsidR="001517FE" w:rsidRPr="00D37CB6" w:rsidRDefault="001517FE" w:rsidP="001517F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Technické rezervy Eximbanky na poistenie</w:t>
            </w:r>
          </w:p>
        </w:tc>
        <w:tc>
          <w:tcPr>
            <w:tcW w:w="718" w:type="pct"/>
            <w:tcBorders>
              <w:top w:val="nil"/>
              <w:left w:val="nil"/>
              <w:right w:val="nil"/>
            </w:tcBorders>
            <w:shd w:val="clear" w:color="000000" w:fill="auto"/>
            <w:vAlign w:val="center"/>
          </w:tcPr>
          <w:p w14:paraId="46698775" w14:textId="1C2EED99"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36 126</w:t>
            </w:r>
          </w:p>
        </w:tc>
        <w:tc>
          <w:tcPr>
            <w:tcW w:w="706" w:type="pct"/>
            <w:tcBorders>
              <w:top w:val="nil"/>
              <w:left w:val="nil"/>
              <w:right w:val="nil"/>
            </w:tcBorders>
            <w:shd w:val="clear" w:color="000000" w:fill="auto"/>
            <w:vAlign w:val="center"/>
          </w:tcPr>
          <w:p w14:paraId="597E7E33" w14:textId="4F5DCA51"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30 982</w:t>
            </w:r>
          </w:p>
        </w:tc>
        <w:tc>
          <w:tcPr>
            <w:tcW w:w="706" w:type="pct"/>
            <w:tcBorders>
              <w:top w:val="nil"/>
              <w:left w:val="nil"/>
              <w:right w:val="nil"/>
            </w:tcBorders>
            <w:shd w:val="clear" w:color="000000" w:fill="auto"/>
            <w:vAlign w:val="center"/>
          </w:tcPr>
          <w:p w14:paraId="64BC5D8A" w14:textId="5C27670E"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5 144</w:t>
            </w:r>
          </w:p>
        </w:tc>
      </w:tr>
      <w:tr w:rsidR="001517FE" w:rsidRPr="00D37CB6" w14:paraId="22AEF016" w14:textId="77777777" w:rsidTr="00241F33">
        <w:trPr>
          <w:trHeight w:hRule="exact" w:val="330"/>
          <w:jc w:val="center"/>
        </w:trPr>
        <w:tc>
          <w:tcPr>
            <w:tcW w:w="2870" w:type="pct"/>
            <w:tcBorders>
              <w:left w:val="nil"/>
              <w:bottom w:val="single" w:sz="4" w:space="0" w:color="auto"/>
              <w:right w:val="nil"/>
            </w:tcBorders>
            <w:shd w:val="clear" w:color="000000" w:fill="auto"/>
            <w:vAlign w:val="center"/>
          </w:tcPr>
          <w:p w14:paraId="60B3A46A" w14:textId="5CD035AA" w:rsidR="001517FE" w:rsidRPr="00D37CB6" w:rsidRDefault="001517FE" w:rsidP="001517F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Rezerva na pestovnú činnosť</w:t>
            </w:r>
          </w:p>
        </w:tc>
        <w:tc>
          <w:tcPr>
            <w:tcW w:w="718" w:type="pct"/>
            <w:tcBorders>
              <w:left w:val="nil"/>
              <w:bottom w:val="single" w:sz="4" w:space="0" w:color="auto"/>
              <w:right w:val="nil"/>
            </w:tcBorders>
            <w:shd w:val="clear" w:color="000000" w:fill="auto"/>
            <w:vAlign w:val="center"/>
          </w:tcPr>
          <w:p w14:paraId="66B75451" w14:textId="3AA7A621"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10 684</w:t>
            </w:r>
          </w:p>
        </w:tc>
        <w:tc>
          <w:tcPr>
            <w:tcW w:w="706" w:type="pct"/>
            <w:tcBorders>
              <w:left w:val="nil"/>
              <w:bottom w:val="single" w:sz="4" w:space="0" w:color="auto"/>
              <w:right w:val="nil"/>
            </w:tcBorders>
            <w:shd w:val="clear" w:color="000000" w:fill="auto"/>
            <w:vAlign w:val="center"/>
          </w:tcPr>
          <w:p w14:paraId="222A9127" w14:textId="4C9D24FE"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9 624</w:t>
            </w:r>
          </w:p>
        </w:tc>
        <w:tc>
          <w:tcPr>
            <w:tcW w:w="706" w:type="pct"/>
            <w:tcBorders>
              <w:left w:val="nil"/>
              <w:bottom w:val="single" w:sz="4" w:space="0" w:color="auto"/>
              <w:right w:val="nil"/>
            </w:tcBorders>
            <w:shd w:val="clear" w:color="000000" w:fill="auto"/>
            <w:vAlign w:val="center"/>
          </w:tcPr>
          <w:p w14:paraId="560F43F5" w14:textId="43A0F86B"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1 060</w:t>
            </w:r>
          </w:p>
        </w:tc>
      </w:tr>
      <w:tr w:rsidR="001517FE" w:rsidRPr="00D37CB6" w14:paraId="7391D546" w14:textId="77777777" w:rsidTr="00241F33">
        <w:trPr>
          <w:trHeight w:hRule="exact" w:val="330"/>
          <w:jc w:val="center"/>
        </w:trPr>
        <w:tc>
          <w:tcPr>
            <w:tcW w:w="2870" w:type="pct"/>
            <w:tcBorders>
              <w:left w:val="nil"/>
              <w:bottom w:val="single" w:sz="4" w:space="0" w:color="auto"/>
              <w:right w:val="nil"/>
            </w:tcBorders>
            <w:shd w:val="clear" w:color="000000" w:fill="auto"/>
            <w:vAlign w:val="center"/>
          </w:tcPr>
          <w:p w14:paraId="00AC9BF2" w14:textId="6EA977EC" w:rsidR="001517FE" w:rsidRPr="00D37CB6" w:rsidRDefault="001517FE" w:rsidP="001517F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w:t>
            </w:r>
          </w:p>
        </w:tc>
        <w:tc>
          <w:tcPr>
            <w:tcW w:w="718" w:type="pct"/>
            <w:tcBorders>
              <w:left w:val="nil"/>
              <w:bottom w:val="single" w:sz="4" w:space="0" w:color="auto"/>
              <w:right w:val="nil"/>
            </w:tcBorders>
            <w:shd w:val="clear" w:color="000000" w:fill="auto"/>
            <w:vAlign w:val="center"/>
          </w:tcPr>
          <w:p w14:paraId="78E74590" w14:textId="766A91E4"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422 457</w:t>
            </w:r>
          </w:p>
        </w:tc>
        <w:tc>
          <w:tcPr>
            <w:tcW w:w="706" w:type="pct"/>
            <w:tcBorders>
              <w:left w:val="nil"/>
              <w:bottom w:val="single" w:sz="4" w:space="0" w:color="auto"/>
              <w:right w:val="nil"/>
            </w:tcBorders>
            <w:shd w:val="clear" w:color="000000" w:fill="auto"/>
            <w:vAlign w:val="center"/>
          </w:tcPr>
          <w:p w14:paraId="5B649D6C" w14:textId="716BCD17"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336 997</w:t>
            </w:r>
          </w:p>
        </w:tc>
        <w:tc>
          <w:tcPr>
            <w:tcW w:w="706" w:type="pct"/>
            <w:tcBorders>
              <w:left w:val="nil"/>
              <w:bottom w:val="single" w:sz="4" w:space="0" w:color="auto"/>
              <w:right w:val="nil"/>
            </w:tcBorders>
            <w:shd w:val="clear" w:color="000000" w:fill="auto"/>
            <w:vAlign w:val="center"/>
          </w:tcPr>
          <w:p w14:paraId="3DF82435" w14:textId="4FA7CF89" w:rsidR="001517FE" w:rsidRPr="00D37CB6" w:rsidRDefault="001517FE" w:rsidP="001517FE">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75 836</w:t>
            </w:r>
          </w:p>
        </w:tc>
      </w:tr>
      <w:tr w:rsidR="001517FE" w:rsidRPr="00D37CB6" w14:paraId="2C8531AF" w14:textId="77777777" w:rsidTr="00241F33">
        <w:trPr>
          <w:trHeight w:hRule="exact" w:val="330"/>
          <w:jc w:val="center"/>
        </w:trPr>
        <w:tc>
          <w:tcPr>
            <w:tcW w:w="2870" w:type="pct"/>
            <w:tcBorders>
              <w:top w:val="single" w:sz="4" w:space="0" w:color="auto"/>
              <w:left w:val="nil"/>
              <w:bottom w:val="single" w:sz="4" w:space="0" w:color="000000"/>
              <w:right w:val="nil"/>
            </w:tcBorders>
            <w:shd w:val="clear" w:color="000000" w:fill="auto"/>
            <w:vAlign w:val="center"/>
          </w:tcPr>
          <w:p w14:paraId="3CAFDE55" w14:textId="73D18F10" w:rsidR="001517FE" w:rsidRPr="00D37CB6" w:rsidRDefault="001517FE" w:rsidP="001517FE">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718" w:type="pct"/>
            <w:tcBorders>
              <w:top w:val="single" w:sz="4" w:space="0" w:color="auto"/>
              <w:left w:val="nil"/>
              <w:bottom w:val="single" w:sz="4" w:space="0" w:color="000000"/>
              <w:right w:val="nil"/>
            </w:tcBorders>
            <w:shd w:val="clear" w:color="000000" w:fill="auto"/>
            <w:vAlign w:val="center"/>
          </w:tcPr>
          <w:p w14:paraId="41F13F1E" w14:textId="496A3FEA" w:rsidR="001517FE" w:rsidRPr="00D37CB6" w:rsidRDefault="001517FE" w:rsidP="001517F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28 797 831</w:t>
            </w:r>
          </w:p>
        </w:tc>
        <w:tc>
          <w:tcPr>
            <w:tcW w:w="706" w:type="pct"/>
            <w:tcBorders>
              <w:top w:val="single" w:sz="4" w:space="0" w:color="auto"/>
              <w:left w:val="nil"/>
              <w:bottom w:val="single" w:sz="4" w:space="0" w:color="000000"/>
              <w:right w:val="nil"/>
            </w:tcBorders>
            <w:shd w:val="clear" w:color="000000" w:fill="auto"/>
            <w:vAlign w:val="center"/>
          </w:tcPr>
          <w:p w14:paraId="5F0F2C60" w14:textId="2DE3D3A5" w:rsidR="001517FE" w:rsidRPr="00D37CB6" w:rsidRDefault="001517FE" w:rsidP="001517F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41 381 105</w:t>
            </w:r>
          </w:p>
        </w:tc>
        <w:tc>
          <w:tcPr>
            <w:tcW w:w="706" w:type="pct"/>
            <w:tcBorders>
              <w:top w:val="single" w:sz="4" w:space="0" w:color="auto"/>
              <w:left w:val="nil"/>
              <w:bottom w:val="single" w:sz="4" w:space="0" w:color="000000"/>
              <w:right w:val="nil"/>
            </w:tcBorders>
            <w:shd w:val="clear" w:color="000000" w:fill="auto"/>
            <w:vAlign w:val="center"/>
          </w:tcPr>
          <w:p w14:paraId="64264DD8" w14:textId="183B24C1" w:rsidR="001517FE" w:rsidRPr="00D37CB6" w:rsidRDefault="001517FE" w:rsidP="001517F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-12 583 274</w:t>
            </w:r>
          </w:p>
        </w:tc>
      </w:tr>
    </w:tbl>
    <w:p w14:paraId="0CCFD4BA" w14:textId="77777777" w:rsidR="001517FE" w:rsidRDefault="001517FE" w:rsidP="001517FE">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2DA3612D" w14:textId="42231DF3" w:rsidR="00E74918" w:rsidRPr="00C66720" w:rsidRDefault="00E74918" w:rsidP="00174C47">
      <w:pPr>
        <w:pStyle w:val="Pismenka"/>
        <w:numPr>
          <w:ilvl w:val="0"/>
          <w:numId w:val="44"/>
        </w:numPr>
        <w:spacing w:before="240" w:after="120"/>
        <w:ind w:left="284" w:hanging="284"/>
        <w:rPr>
          <w:i/>
          <w:sz w:val="22"/>
          <w:szCs w:val="22"/>
          <w:u w:val="single"/>
        </w:rPr>
      </w:pPr>
      <w:bookmarkStart w:id="37" w:name="_Ref86092152"/>
      <w:r w:rsidRPr="00C66720">
        <w:rPr>
          <w:i/>
          <w:sz w:val="22"/>
          <w:szCs w:val="22"/>
          <w:u w:val="single"/>
        </w:rPr>
        <w:lastRenderedPageBreak/>
        <w:t>Rezerv</w:t>
      </w:r>
      <w:r w:rsidR="00FF12C3" w:rsidRPr="00C66720">
        <w:rPr>
          <w:i/>
          <w:sz w:val="22"/>
          <w:szCs w:val="22"/>
          <w:u w:val="single"/>
        </w:rPr>
        <w:t>a</w:t>
      </w:r>
      <w:r w:rsidRPr="00C66720">
        <w:rPr>
          <w:i/>
          <w:sz w:val="22"/>
          <w:szCs w:val="22"/>
          <w:u w:val="single"/>
        </w:rPr>
        <w:t xml:space="preserve"> MF SR na zamestnanecké požitky štátnych rozpočtových a príspevkových organizácií</w:t>
      </w:r>
      <w:bookmarkEnd w:id="37"/>
    </w:p>
    <w:p w14:paraId="35DB32B2" w14:textId="5405F471" w:rsidR="00962C02" w:rsidRPr="00C66720" w:rsidRDefault="00962C02" w:rsidP="00174C47">
      <w:pPr>
        <w:pStyle w:val="Pismenka"/>
        <w:tabs>
          <w:tab w:val="clear" w:pos="426"/>
        </w:tabs>
        <w:spacing w:before="120" w:after="120"/>
        <w:ind w:left="0" w:firstLine="0"/>
        <w:rPr>
          <w:b w:val="0"/>
          <w:bCs w:val="0"/>
          <w:sz w:val="22"/>
          <w:szCs w:val="22"/>
        </w:rPr>
      </w:pPr>
      <w:r w:rsidRPr="00C66720">
        <w:rPr>
          <w:b w:val="0"/>
          <w:bCs w:val="0"/>
          <w:sz w:val="22"/>
          <w:szCs w:val="22"/>
        </w:rPr>
        <w:t>Ministerstvo financií SR</w:t>
      </w:r>
      <w:r w:rsidR="0020021B" w:rsidRPr="00C66720">
        <w:rPr>
          <w:b w:val="0"/>
          <w:bCs w:val="0"/>
          <w:sz w:val="22"/>
          <w:szCs w:val="22"/>
        </w:rPr>
        <w:t xml:space="preserve"> tvorí rezervu na zamestnanecké požitky za všetky rozpočtové a príspevkové organizácie ústrednej správy. Na výpočet rezervy používa expertný model založený na princípoch poistnej matematiky. Na výšku rezervy majú vplyv ustanovenia kolektívnych zmlúv jednotlivých organizácií, ustanovenie príslušnej legislatívy a jej zmeny, ako aj počet zamestnancov, počet odpracovaných rokov v organizácii a podobne. Ďalšími premennými, ktoré vstupujú do modelu výpočtu rezervy sú demografické premenné (miera úmrtnosti) a ekonomické premenné. Ide napríklad o mieru inflácie meranú indexom CPI, rast miezd a diskontná sadzba určená NBS z odhadovanej výnosovej krivky bezrizikových štátnych dlhopisov s dobou splatnosti 15 rokov. Diskontnou sadzbou sa určí súčasná hodnota budúcich nákladov na zamestnanecké požitky.</w:t>
      </w:r>
    </w:p>
    <w:p w14:paraId="48315F62" w14:textId="1B510222" w:rsidR="00556D64" w:rsidRPr="00C66720" w:rsidRDefault="00556D64" w:rsidP="00174C47">
      <w:pPr>
        <w:pStyle w:val="Pismenka"/>
        <w:tabs>
          <w:tab w:val="clear" w:pos="426"/>
        </w:tabs>
        <w:spacing w:before="120" w:after="120"/>
        <w:ind w:left="0" w:firstLine="0"/>
        <w:rPr>
          <w:b w:val="0"/>
          <w:bCs w:val="0"/>
          <w:sz w:val="22"/>
          <w:szCs w:val="22"/>
        </w:rPr>
      </w:pPr>
      <w:r w:rsidRPr="00C66720">
        <w:rPr>
          <w:b w:val="0"/>
          <w:bCs w:val="0"/>
          <w:sz w:val="22"/>
          <w:szCs w:val="22"/>
        </w:rPr>
        <w:t>Pri výpočte za rok 2022</w:t>
      </w:r>
      <w:r w:rsidR="00A76EEC" w:rsidRPr="00C66720">
        <w:rPr>
          <w:b w:val="0"/>
          <w:bCs w:val="0"/>
          <w:sz w:val="22"/>
          <w:szCs w:val="22"/>
        </w:rPr>
        <w:t xml:space="preserve"> boli </w:t>
      </w:r>
      <w:r w:rsidRPr="00C66720">
        <w:rPr>
          <w:b w:val="0"/>
          <w:bCs w:val="0"/>
          <w:sz w:val="22"/>
          <w:szCs w:val="22"/>
        </w:rPr>
        <w:t>z dôvodu významne meniacich sa podmienok v ekonomike, aktualizované parametre (diskontná sadzba, rast miezd, inflácia) a taktiež vstupné dáta (počet zamestnancov, priemerná mzda, priemerný počet odpracovaných rokov, výška benefitu, typ benefitu a fluktuácia).</w:t>
      </w:r>
    </w:p>
    <w:p w14:paraId="1A36C6B5" w14:textId="1EAC35A7" w:rsidR="00A76EEC" w:rsidRPr="00C66720" w:rsidRDefault="00580D3B" w:rsidP="00174C47">
      <w:pPr>
        <w:pStyle w:val="Pismenka"/>
        <w:tabs>
          <w:tab w:val="clear" w:pos="426"/>
        </w:tabs>
        <w:spacing w:before="120" w:after="120"/>
        <w:ind w:left="0" w:firstLine="0"/>
        <w:rPr>
          <w:b w:val="0"/>
          <w:bCs w:val="0"/>
          <w:sz w:val="22"/>
          <w:szCs w:val="22"/>
        </w:rPr>
      </w:pPr>
      <w:r w:rsidRPr="00C66720">
        <w:rPr>
          <w:b w:val="0"/>
          <w:bCs w:val="0"/>
          <w:sz w:val="22"/>
          <w:szCs w:val="22"/>
        </w:rPr>
        <w:t>Na celkovej výške rezervy (</w:t>
      </w:r>
      <w:r w:rsidR="00FA70D3" w:rsidRPr="00C66720">
        <w:rPr>
          <w:b w:val="0"/>
          <w:bCs w:val="0"/>
          <w:sz w:val="22"/>
          <w:szCs w:val="22"/>
        </w:rPr>
        <w:t>26 367 644</w:t>
      </w:r>
      <w:r w:rsidRPr="00C66720">
        <w:rPr>
          <w:b w:val="0"/>
          <w:bCs w:val="0"/>
          <w:sz w:val="22"/>
          <w:szCs w:val="22"/>
        </w:rPr>
        <w:t xml:space="preserve"> tis. eur) na zamestnanecké požitky sa v rozhodujúcej miere podieľajú rezervy vytvorené za príslušníkov (potenciálnych budúcich poberateľov výsluhových dávok) silových rezortov ako sú Ministerstvo vnútra SR, Ministerstvo obrany SR, Ministerstvo financií SR, Ministerstvo spravodlivosti SR a Národný bezpečnostný úrad, a to konkrétne na výsluhové dôchodky súčasných zamestnancov, ale aj na výsluhové dôchodky pre dôchodcov, siroty a vdovy v celkovej sume </w:t>
      </w:r>
      <w:r w:rsidR="00C22F5F" w:rsidRPr="00C66720">
        <w:rPr>
          <w:b w:val="0"/>
          <w:bCs w:val="0"/>
          <w:sz w:val="22"/>
          <w:szCs w:val="22"/>
        </w:rPr>
        <w:t>25 533 338 tis. eur (96,8</w:t>
      </w:r>
      <w:r w:rsidRPr="00C66720">
        <w:rPr>
          <w:b w:val="0"/>
          <w:bCs w:val="0"/>
          <w:sz w:val="22"/>
          <w:szCs w:val="22"/>
        </w:rPr>
        <w:t xml:space="preserve"> % celkových rezerv).</w:t>
      </w:r>
    </w:p>
    <w:p w14:paraId="3A11132F" w14:textId="73535D08" w:rsidR="00580D3B" w:rsidRPr="00C66720" w:rsidRDefault="002A6DBE" w:rsidP="00174C47">
      <w:pPr>
        <w:pStyle w:val="Pismenka"/>
        <w:tabs>
          <w:tab w:val="clear" w:pos="426"/>
        </w:tabs>
        <w:spacing w:before="120" w:after="120"/>
        <w:ind w:left="0" w:firstLine="0"/>
        <w:rPr>
          <w:b w:val="0"/>
          <w:bCs w:val="0"/>
          <w:sz w:val="22"/>
          <w:szCs w:val="22"/>
        </w:rPr>
      </w:pPr>
      <w:r w:rsidRPr="00C66720">
        <w:rPr>
          <w:b w:val="0"/>
          <w:bCs w:val="0"/>
          <w:sz w:val="22"/>
          <w:szCs w:val="22"/>
        </w:rPr>
        <w:t xml:space="preserve">Z toho rezerva pre potenciálnych budúcich poberateľov výsluhových dávok tvorí </w:t>
      </w:r>
      <w:r w:rsidR="0024243B" w:rsidRPr="00C66720">
        <w:rPr>
          <w:b w:val="0"/>
          <w:bCs w:val="0"/>
          <w:sz w:val="22"/>
          <w:szCs w:val="22"/>
        </w:rPr>
        <w:t>12 140 530</w:t>
      </w:r>
      <w:r w:rsidRPr="00C66720">
        <w:rPr>
          <w:b w:val="0"/>
          <w:bCs w:val="0"/>
          <w:sz w:val="22"/>
          <w:szCs w:val="22"/>
        </w:rPr>
        <w:t xml:space="preserve"> tis. eur a pre dôchodcov, vdovy, vdovcov, siroty tvorí </w:t>
      </w:r>
      <w:r w:rsidR="007D77C7" w:rsidRPr="00C66720">
        <w:rPr>
          <w:b w:val="0"/>
          <w:bCs w:val="0"/>
          <w:sz w:val="22"/>
          <w:szCs w:val="22"/>
        </w:rPr>
        <w:t>13 392 808</w:t>
      </w:r>
      <w:r w:rsidRPr="00C66720">
        <w:rPr>
          <w:b w:val="0"/>
          <w:bCs w:val="0"/>
          <w:sz w:val="22"/>
          <w:szCs w:val="22"/>
        </w:rPr>
        <w:t xml:space="preserve"> tis. eur z toho samotní dôchodcovia </w:t>
      </w:r>
      <w:r w:rsidR="007D77C7" w:rsidRPr="00C66720">
        <w:rPr>
          <w:b w:val="0"/>
          <w:bCs w:val="0"/>
          <w:sz w:val="22"/>
          <w:szCs w:val="22"/>
        </w:rPr>
        <w:br/>
        <w:t>12 809 584</w:t>
      </w:r>
      <w:r w:rsidRPr="00C66720">
        <w:rPr>
          <w:b w:val="0"/>
          <w:bCs w:val="0"/>
          <w:sz w:val="22"/>
          <w:szCs w:val="22"/>
        </w:rPr>
        <w:t xml:space="preserve"> tis. eur.</w:t>
      </w:r>
    </w:p>
    <w:p w14:paraId="6FD2BB2F" w14:textId="6E267BA1" w:rsidR="002A6DBE" w:rsidRPr="00C66720" w:rsidRDefault="007E4576" w:rsidP="00174C47">
      <w:pPr>
        <w:pStyle w:val="Pismenka"/>
        <w:tabs>
          <w:tab w:val="clear" w:pos="426"/>
        </w:tabs>
        <w:spacing w:before="120" w:after="120"/>
        <w:ind w:left="0" w:firstLine="0"/>
        <w:rPr>
          <w:b w:val="0"/>
          <w:bCs w:val="0"/>
          <w:sz w:val="22"/>
          <w:szCs w:val="22"/>
        </w:rPr>
      </w:pPr>
      <w:r w:rsidRPr="00C66720">
        <w:rPr>
          <w:b w:val="0"/>
          <w:bCs w:val="0"/>
          <w:sz w:val="22"/>
          <w:szCs w:val="22"/>
        </w:rPr>
        <w:t xml:space="preserve">Medziročne sa rezerva na zamestnanecké požitky na základe prepočtu expertného odhadu </w:t>
      </w:r>
      <w:r w:rsidR="00514E70" w:rsidRPr="00C66720">
        <w:rPr>
          <w:b w:val="0"/>
          <w:bCs w:val="0"/>
          <w:sz w:val="22"/>
          <w:szCs w:val="22"/>
        </w:rPr>
        <w:t>znížila</w:t>
      </w:r>
      <w:r w:rsidRPr="00C66720">
        <w:rPr>
          <w:b w:val="0"/>
          <w:bCs w:val="0"/>
          <w:sz w:val="22"/>
          <w:szCs w:val="22"/>
        </w:rPr>
        <w:t xml:space="preserve"> o</w:t>
      </w:r>
      <w:r w:rsidR="00A77E56" w:rsidRPr="00C66720">
        <w:rPr>
          <w:b w:val="0"/>
          <w:bCs w:val="0"/>
          <w:sz w:val="22"/>
          <w:szCs w:val="22"/>
        </w:rPr>
        <w:t> 13 423 608</w:t>
      </w:r>
      <w:r w:rsidRPr="00C66720">
        <w:rPr>
          <w:b w:val="0"/>
          <w:bCs w:val="0"/>
          <w:sz w:val="22"/>
          <w:szCs w:val="22"/>
        </w:rPr>
        <w:t xml:space="preserve"> tis. eur. Najvýznamnejší vplyv na </w:t>
      </w:r>
      <w:r w:rsidR="00A809AB">
        <w:rPr>
          <w:b w:val="0"/>
          <w:bCs w:val="0"/>
          <w:sz w:val="22"/>
          <w:szCs w:val="22"/>
        </w:rPr>
        <w:t>zníženie</w:t>
      </w:r>
      <w:r w:rsidR="00A809AB" w:rsidRPr="00C66720">
        <w:rPr>
          <w:b w:val="0"/>
          <w:bCs w:val="0"/>
          <w:sz w:val="22"/>
          <w:szCs w:val="22"/>
        </w:rPr>
        <w:t xml:space="preserve"> </w:t>
      </w:r>
      <w:r w:rsidRPr="00C66720">
        <w:rPr>
          <w:b w:val="0"/>
          <w:bCs w:val="0"/>
          <w:sz w:val="22"/>
          <w:szCs w:val="22"/>
        </w:rPr>
        <w:t>rezervy mala zmena diskontnej sadzby</w:t>
      </w:r>
      <w:r w:rsidR="007C2CA3" w:rsidRPr="00C66720">
        <w:rPr>
          <w:b w:val="0"/>
          <w:bCs w:val="0"/>
          <w:sz w:val="22"/>
          <w:szCs w:val="22"/>
        </w:rPr>
        <w:t xml:space="preserve"> zverejnená NBS ku koncu roka 2022, ktor</w:t>
      </w:r>
      <w:r w:rsidR="00A809AB">
        <w:rPr>
          <w:b w:val="0"/>
          <w:bCs w:val="0"/>
          <w:sz w:val="22"/>
          <w:szCs w:val="22"/>
        </w:rPr>
        <w:t>á</w:t>
      </w:r>
      <w:r w:rsidR="007C2CA3" w:rsidRPr="00C66720">
        <w:rPr>
          <w:b w:val="0"/>
          <w:bCs w:val="0"/>
          <w:sz w:val="22"/>
          <w:szCs w:val="22"/>
        </w:rPr>
        <w:t xml:space="preserve"> sa zvýšila na hodnotu 3,83</w:t>
      </w:r>
      <w:r w:rsidRPr="00C66720">
        <w:rPr>
          <w:b w:val="0"/>
          <w:bCs w:val="0"/>
          <w:sz w:val="22"/>
          <w:szCs w:val="22"/>
        </w:rPr>
        <w:t xml:space="preserve"> z hodnoty 0,</w:t>
      </w:r>
      <w:r w:rsidR="00563F12" w:rsidRPr="00C66720">
        <w:rPr>
          <w:b w:val="0"/>
          <w:bCs w:val="0"/>
          <w:sz w:val="22"/>
          <w:szCs w:val="22"/>
        </w:rPr>
        <w:t>54, pričom v prípade odhadu rezervy platí, že čím je nižšia diskontná sadza tým je súčasná hodnota rezervy vyššia, naopak pri zvýšení diskontnej sadzby súčasná hodnota poklesne.</w:t>
      </w:r>
      <w:r w:rsidRPr="00C66720">
        <w:rPr>
          <w:b w:val="0"/>
          <w:bCs w:val="0"/>
          <w:sz w:val="22"/>
          <w:szCs w:val="22"/>
        </w:rPr>
        <w:t xml:space="preserve"> </w:t>
      </w:r>
    </w:p>
    <w:p w14:paraId="7526062E" w14:textId="628E6922" w:rsidR="007E4576" w:rsidRPr="00C66720" w:rsidRDefault="00B82B46" w:rsidP="00174C47">
      <w:pPr>
        <w:pStyle w:val="Pismenka"/>
        <w:tabs>
          <w:tab w:val="clear" w:pos="426"/>
        </w:tabs>
        <w:spacing w:before="120" w:after="120"/>
        <w:ind w:left="0" w:firstLine="0"/>
        <w:rPr>
          <w:b w:val="0"/>
          <w:bCs w:val="0"/>
          <w:sz w:val="22"/>
          <w:szCs w:val="22"/>
        </w:rPr>
      </w:pPr>
      <w:r w:rsidRPr="00C66720">
        <w:rPr>
          <w:b w:val="0"/>
          <w:bCs w:val="0"/>
          <w:sz w:val="22"/>
          <w:szCs w:val="22"/>
        </w:rPr>
        <w:t xml:space="preserve">Pri výpočte rezervy na výsluhové dávky poberateľov výsluhového dôchodku </w:t>
      </w:r>
      <w:r w:rsidR="00A809AB" w:rsidRPr="00C66720">
        <w:rPr>
          <w:b w:val="0"/>
          <w:bCs w:val="0"/>
          <w:sz w:val="22"/>
          <w:szCs w:val="22"/>
        </w:rPr>
        <w:t>došlo</w:t>
      </w:r>
      <w:r w:rsidRPr="00C66720">
        <w:rPr>
          <w:b w:val="0"/>
          <w:bCs w:val="0"/>
          <w:sz w:val="22"/>
          <w:szCs w:val="22"/>
        </w:rPr>
        <w:t xml:space="preserve"> k zmene spôsobu výpočtu v súlade so zákonom č. 461/2003 Z. z. o sociálnom poistení, kde sa od 1. 1. 2022 dôchodky (vrátane výsluhových) valorizujú iba podľa % inflácie.</w:t>
      </w:r>
    </w:p>
    <w:p w14:paraId="215FC7A1" w14:textId="6B55D8AD" w:rsidR="00A85364" w:rsidRPr="00C66720" w:rsidRDefault="00A85364" w:rsidP="004306B9">
      <w:pPr>
        <w:pStyle w:val="Pismenka"/>
        <w:numPr>
          <w:ilvl w:val="0"/>
          <w:numId w:val="44"/>
        </w:numPr>
        <w:spacing w:before="240" w:after="120"/>
        <w:ind w:left="284" w:hanging="284"/>
        <w:rPr>
          <w:i/>
          <w:sz w:val="22"/>
          <w:szCs w:val="22"/>
          <w:u w:val="single"/>
        </w:rPr>
      </w:pPr>
      <w:bookmarkStart w:id="38" w:name="_Ref86092165"/>
      <w:r w:rsidRPr="00C66720">
        <w:rPr>
          <w:i/>
          <w:sz w:val="22"/>
          <w:szCs w:val="22"/>
          <w:u w:val="single"/>
        </w:rPr>
        <w:t>Ostatné dlhodobé rezervy</w:t>
      </w:r>
      <w:bookmarkEnd w:id="38"/>
    </w:p>
    <w:p w14:paraId="1957DA52" w14:textId="77777777" w:rsidR="0016635A" w:rsidRPr="00C66720" w:rsidRDefault="0016635A" w:rsidP="00174C47">
      <w:pPr>
        <w:pStyle w:val="Pismenka"/>
        <w:tabs>
          <w:tab w:val="clear" w:pos="426"/>
        </w:tabs>
        <w:spacing w:before="120" w:after="120"/>
        <w:ind w:left="0" w:firstLine="0"/>
        <w:rPr>
          <w:b w:val="0"/>
          <w:bCs w:val="0"/>
          <w:i/>
          <w:sz w:val="22"/>
          <w:szCs w:val="22"/>
          <w:u w:val="single"/>
        </w:rPr>
      </w:pPr>
      <w:r w:rsidRPr="00C66720">
        <w:rPr>
          <w:b w:val="0"/>
          <w:bCs w:val="0"/>
          <w:i/>
          <w:sz w:val="22"/>
          <w:szCs w:val="22"/>
          <w:u w:val="single"/>
        </w:rPr>
        <w:t xml:space="preserve">Rezervy na vyraďovanie jadrových elektrární, na likvidáciu a vyraďovanie neenergetických zariadení, skladovanie a trvalé uloženie vyhoretého jadrového paliva </w:t>
      </w:r>
    </w:p>
    <w:p w14:paraId="5A5F2FF0" w14:textId="0A0FC258" w:rsidR="0016635A" w:rsidRPr="00C66720" w:rsidRDefault="0016635A" w:rsidP="00174C47">
      <w:pPr>
        <w:pStyle w:val="Pismenka"/>
        <w:tabs>
          <w:tab w:val="clear" w:pos="426"/>
        </w:tabs>
        <w:spacing w:before="120" w:after="120"/>
        <w:ind w:left="0" w:firstLine="0"/>
        <w:rPr>
          <w:b w:val="0"/>
          <w:bCs w:val="0"/>
          <w:sz w:val="22"/>
          <w:szCs w:val="22"/>
        </w:rPr>
      </w:pPr>
      <w:r w:rsidRPr="00C66720">
        <w:rPr>
          <w:b w:val="0"/>
          <w:bCs w:val="0"/>
          <w:sz w:val="22"/>
          <w:szCs w:val="22"/>
        </w:rPr>
        <w:t xml:space="preserve">Hodnota </w:t>
      </w:r>
      <w:r w:rsidR="00AA0277" w:rsidRPr="00C66720">
        <w:rPr>
          <w:b w:val="0"/>
          <w:bCs w:val="0"/>
          <w:sz w:val="22"/>
          <w:szCs w:val="22"/>
        </w:rPr>
        <w:t>týchto dlhodobých</w:t>
      </w:r>
      <w:r w:rsidRPr="00C66720">
        <w:rPr>
          <w:b w:val="0"/>
          <w:bCs w:val="0"/>
          <w:sz w:val="22"/>
          <w:szCs w:val="22"/>
        </w:rPr>
        <w:t xml:space="preserve"> rezerv Jadrovej a vyraďovace</w:t>
      </w:r>
      <w:r w:rsidR="0099683D" w:rsidRPr="00C66720">
        <w:rPr>
          <w:b w:val="0"/>
          <w:bCs w:val="0"/>
          <w:sz w:val="22"/>
          <w:szCs w:val="22"/>
        </w:rPr>
        <w:t>j spoločnosti, a.s. k </w:t>
      </w:r>
      <w:r w:rsidR="00835FC7" w:rsidRPr="00C66720">
        <w:rPr>
          <w:b w:val="0"/>
          <w:bCs w:val="0"/>
          <w:sz w:val="22"/>
          <w:szCs w:val="22"/>
        </w:rPr>
        <w:t>31.12.2022</w:t>
      </w:r>
      <w:r w:rsidRPr="00C66720">
        <w:rPr>
          <w:b w:val="0"/>
          <w:bCs w:val="0"/>
          <w:sz w:val="22"/>
          <w:szCs w:val="22"/>
        </w:rPr>
        <w:t xml:space="preserve"> dosiahla </w:t>
      </w:r>
      <w:r w:rsidR="00380980" w:rsidRPr="00C66720">
        <w:rPr>
          <w:b w:val="0"/>
          <w:bCs w:val="0"/>
          <w:sz w:val="22"/>
          <w:szCs w:val="22"/>
        </w:rPr>
        <w:br/>
      </w:r>
      <w:r w:rsidR="00F95637" w:rsidRPr="00C66720">
        <w:rPr>
          <w:b w:val="0"/>
          <w:bCs w:val="0"/>
          <w:sz w:val="22"/>
          <w:szCs w:val="22"/>
        </w:rPr>
        <w:t>1</w:t>
      </w:r>
      <w:r w:rsidR="00BF6181" w:rsidRPr="00C66720">
        <w:rPr>
          <w:b w:val="0"/>
          <w:bCs w:val="0"/>
          <w:sz w:val="22"/>
          <w:szCs w:val="22"/>
        </w:rPr>
        <w:t> 419 665</w:t>
      </w:r>
      <w:r w:rsidR="008F61CA" w:rsidRPr="00C66720">
        <w:rPr>
          <w:b w:val="0"/>
          <w:bCs w:val="0"/>
          <w:sz w:val="22"/>
          <w:szCs w:val="22"/>
        </w:rPr>
        <w:t xml:space="preserve"> </w:t>
      </w:r>
      <w:r w:rsidRPr="00C66720">
        <w:rPr>
          <w:b w:val="0"/>
          <w:bCs w:val="0"/>
          <w:sz w:val="22"/>
          <w:szCs w:val="22"/>
        </w:rPr>
        <w:t>tis. eur. Ide najmä o rezervu vytvorenú na vyraďovanie a likvidáciu jadrových elektrární A1 a V1 v</w:t>
      </w:r>
      <w:r w:rsidR="00AA0277" w:rsidRPr="00C66720">
        <w:rPr>
          <w:b w:val="0"/>
          <w:bCs w:val="0"/>
          <w:sz w:val="22"/>
          <w:szCs w:val="22"/>
        </w:rPr>
        <w:t> </w:t>
      </w:r>
      <w:r w:rsidRPr="00C66720">
        <w:rPr>
          <w:b w:val="0"/>
          <w:bCs w:val="0"/>
          <w:sz w:val="22"/>
          <w:szCs w:val="22"/>
        </w:rPr>
        <w:t>sume</w:t>
      </w:r>
      <w:r w:rsidR="00AA0277" w:rsidRPr="00C66720">
        <w:rPr>
          <w:b w:val="0"/>
          <w:bCs w:val="0"/>
          <w:sz w:val="22"/>
          <w:szCs w:val="22"/>
        </w:rPr>
        <w:t xml:space="preserve"> </w:t>
      </w:r>
      <w:r w:rsidR="00C41293" w:rsidRPr="00C66720">
        <w:rPr>
          <w:b w:val="0"/>
          <w:bCs w:val="0"/>
          <w:sz w:val="22"/>
          <w:szCs w:val="22"/>
        </w:rPr>
        <w:t>1 082 164</w:t>
      </w:r>
      <w:r w:rsidRPr="00C66720">
        <w:rPr>
          <w:b w:val="0"/>
          <w:bCs w:val="0"/>
          <w:sz w:val="22"/>
          <w:szCs w:val="22"/>
        </w:rPr>
        <w:t xml:space="preserve"> tis. eur</w:t>
      </w:r>
      <w:r w:rsidR="008F61CA" w:rsidRPr="00C66720">
        <w:rPr>
          <w:b w:val="0"/>
          <w:bCs w:val="0"/>
          <w:sz w:val="22"/>
          <w:szCs w:val="22"/>
        </w:rPr>
        <w:t>, rezervu na skladovanie a uloženie vyhoretého jadrového paliva a rádioaktívneho odpadu (</w:t>
      </w:r>
      <w:r w:rsidR="00380980" w:rsidRPr="00C66720">
        <w:rPr>
          <w:b w:val="0"/>
          <w:bCs w:val="0"/>
          <w:sz w:val="22"/>
          <w:szCs w:val="22"/>
        </w:rPr>
        <w:t>82 130</w:t>
      </w:r>
      <w:r w:rsidR="008F61CA" w:rsidRPr="00C66720">
        <w:rPr>
          <w:b w:val="0"/>
          <w:bCs w:val="0"/>
          <w:sz w:val="22"/>
          <w:szCs w:val="22"/>
        </w:rPr>
        <w:t xml:space="preserve"> tis. eur)</w:t>
      </w:r>
      <w:r w:rsidRPr="00C66720">
        <w:rPr>
          <w:b w:val="0"/>
          <w:bCs w:val="0"/>
          <w:sz w:val="22"/>
          <w:szCs w:val="22"/>
        </w:rPr>
        <w:t xml:space="preserve"> a rezervu na likvidáciu a vyraďovanie neenergetických zariadení</w:t>
      </w:r>
      <w:r w:rsidR="008F61CA" w:rsidRPr="00C66720">
        <w:rPr>
          <w:b w:val="0"/>
          <w:bCs w:val="0"/>
          <w:sz w:val="22"/>
          <w:szCs w:val="22"/>
        </w:rPr>
        <w:t xml:space="preserve"> (</w:t>
      </w:r>
      <w:r w:rsidR="00BF6181" w:rsidRPr="00C66720">
        <w:rPr>
          <w:b w:val="0"/>
          <w:bCs w:val="0"/>
          <w:sz w:val="22"/>
          <w:szCs w:val="22"/>
        </w:rPr>
        <w:t>224 983</w:t>
      </w:r>
      <w:r w:rsidR="008F61CA" w:rsidRPr="00C66720">
        <w:rPr>
          <w:b w:val="0"/>
          <w:bCs w:val="0"/>
          <w:sz w:val="22"/>
          <w:szCs w:val="22"/>
        </w:rPr>
        <w:t xml:space="preserve"> tis. eur)</w:t>
      </w:r>
      <w:r w:rsidRPr="00C66720">
        <w:rPr>
          <w:b w:val="0"/>
          <w:bCs w:val="0"/>
          <w:sz w:val="22"/>
          <w:szCs w:val="22"/>
        </w:rPr>
        <w:t>. Rezervy sa účtujú</w:t>
      </w:r>
      <w:r w:rsidR="00AA0277" w:rsidRPr="00C66720">
        <w:rPr>
          <w:b w:val="0"/>
          <w:bCs w:val="0"/>
          <w:sz w:val="22"/>
          <w:szCs w:val="22"/>
        </w:rPr>
        <w:t xml:space="preserve"> </w:t>
      </w:r>
      <w:r w:rsidRPr="00C66720">
        <w:rPr>
          <w:b w:val="0"/>
          <w:bCs w:val="0"/>
          <w:sz w:val="22"/>
          <w:szCs w:val="22"/>
        </w:rPr>
        <w:t>v očakávanej výške budúcich peňažných tokov na uhradenie záväzku. Vykázané sú v plnej výške diskontovaných očakávaných budúcich peňažných tokov spojených s aktivitami na vyraďovanie jadrových elektrární a zariadení na spracovanie, likvidáciu a ukladanie rádioaktívneho odpadu. Diskontný faktor sa každoro</w:t>
      </w:r>
      <w:r w:rsidR="00835FC7" w:rsidRPr="00C66720">
        <w:rPr>
          <w:b w:val="0"/>
          <w:bCs w:val="0"/>
          <w:sz w:val="22"/>
          <w:szCs w:val="22"/>
        </w:rPr>
        <w:t>čne prehodnocuje, a k 31.12.2022</w:t>
      </w:r>
      <w:r w:rsidRPr="00C66720">
        <w:rPr>
          <w:b w:val="0"/>
          <w:bCs w:val="0"/>
          <w:sz w:val="22"/>
          <w:szCs w:val="22"/>
        </w:rPr>
        <w:t xml:space="preserve"> pre</w:t>
      </w:r>
      <w:r w:rsidR="00380980" w:rsidRPr="00C66720">
        <w:rPr>
          <w:b w:val="0"/>
          <w:bCs w:val="0"/>
          <w:sz w:val="22"/>
          <w:szCs w:val="22"/>
        </w:rPr>
        <w:t xml:space="preserve">dstavuje </w:t>
      </w:r>
      <w:r w:rsidR="00835FC7" w:rsidRPr="00C66720">
        <w:rPr>
          <w:b w:val="0"/>
          <w:bCs w:val="0"/>
          <w:sz w:val="22"/>
          <w:szCs w:val="22"/>
        </w:rPr>
        <w:t>rovnako ako v roku 2021</w:t>
      </w:r>
      <w:r w:rsidRPr="00C66720">
        <w:rPr>
          <w:b w:val="0"/>
          <w:bCs w:val="0"/>
          <w:sz w:val="22"/>
          <w:szCs w:val="22"/>
        </w:rPr>
        <w:t xml:space="preserve"> 3,47 %. </w:t>
      </w:r>
      <w:r w:rsidR="009468FB" w:rsidRPr="00C66720">
        <w:rPr>
          <w:b w:val="0"/>
          <w:bCs w:val="0"/>
          <w:sz w:val="22"/>
          <w:szCs w:val="22"/>
        </w:rPr>
        <w:t xml:space="preserve">Rezervy </w:t>
      </w:r>
      <w:r w:rsidR="00C37AE0" w:rsidRPr="00C66720">
        <w:rPr>
          <w:b w:val="0"/>
          <w:bCs w:val="0"/>
          <w:sz w:val="22"/>
          <w:szCs w:val="22"/>
        </w:rPr>
        <w:t xml:space="preserve">na prechodné skladovanie vyhoretého jadrového paliva a trvalé uloženie v hlbinnom úložisku sú vytvorené na vyhoreté jadrové palivo, ktoré vzniklo počas prevádzky jadrovej elektrárne V1 vo vlastníctve spoločnosti. </w:t>
      </w:r>
      <w:r w:rsidR="00835FC7" w:rsidRPr="00C66720">
        <w:rPr>
          <w:b w:val="0"/>
          <w:bCs w:val="0"/>
          <w:sz w:val="22"/>
          <w:szCs w:val="22"/>
        </w:rPr>
        <w:t>Zmena výšky rezerv v roku 2022</w:t>
      </w:r>
      <w:r w:rsidRPr="00C66720">
        <w:rPr>
          <w:b w:val="0"/>
          <w:bCs w:val="0"/>
          <w:sz w:val="22"/>
          <w:szCs w:val="22"/>
        </w:rPr>
        <w:t xml:space="preserve"> je spôsobená aktualizáciou </w:t>
      </w:r>
      <w:r w:rsidR="00835FC7" w:rsidRPr="00C66720">
        <w:rPr>
          <w:b w:val="0"/>
          <w:bCs w:val="0"/>
          <w:sz w:val="22"/>
          <w:szCs w:val="22"/>
        </w:rPr>
        <w:t>modelu výpočtu rezerv na vyraďovanie reaktorových, nereaktorových jadrových zariadení, skladovanie a trvalé uloženie vyhoretého jadrového paliva, ktorá reflektuje na odborné štúdie schválené v roku 2022. Aktualizácia spôsobila významné zmeny v celkov</w:t>
      </w:r>
      <w:r w:rsidR="00B7128B" w:rsidRPr="00C66720">
        <w:rPr>
          <w:b w:val="0"/>
          <w:bCs w:val="0"/>
          <w:sz w:val="22"/>
          <w:szCs w:val="22"/>
        </w:rPr>
        <w:t xml:space="preserve">ej výške rezervy k 31. 12. 2022 v podobe jej zvýšenia o 717 936 tis. eur. </w:t>
      </w:r>
      <w:r w:rsidR="0060316C" w:rsidRPr="00C66720">
        <w:rPr>
          <w:b w:val="0"/>
          <w:bCs w:val="0"/>
          <w:sz w:val="22"/>
          <w:szCs w:val="22"/>
        </w:rPr>
        <w:t xml:space="preserve">Spoločnosť vykázala rezervy na jadrové vyraďovanie reaktorových a nereaktorových zariadení v plnej výške predpokladaných budúcich peňažných tokov diskontovaných reálnou diskontnou sadzbou vo výške 1,47 % (pri nominálnej </w:t>
      </w:r>
      <w:r w:rsidR="0060316C" w:rsidRPr="00C66720">
        <w:rPr>
          <w:b w:val="0"/>
          <w:bCs w:val="0"/>
          <w:sz w:val="22"/>
          <w:szCs w:val="22"/>
        </w:rPr>
        <w:lastRenderedPageBreak/>
        <w:t xml:space="preserve">diskontnej sadzbe vo výške 3,47 % a inflačnej sadzbe 2 %). </w:t>
      </w:r>
      <w:r w:rsidR="00707837" w:rsidRPr="00C66720">
        <w:rPr>
          <w:b w:val="0"/>
          <w:bCs w:val="0"/>
          <w:sz w:val="22"/>
          <w:szCs w:val="22"/>
        </w:rPr>
        <w:t>Zmena výšky rezervy v roku 2022</w:t>
      </w:r>
      <w:r w:rsidR="00B470C2" w:rsidRPr="00C66720">
        <w:rPr>
          <w:b w:val="0"/>
          <w:bCs w:val="0"/>
          <w:sz w:val="22"/>
          <w:szCs w:val="22"/>
        </w:rPr>
        <w:t xml:space="preserve"> je v súlade s aktualizáciou odhadov očakávaných nákladov na vyradenie na základe odborných štúdií vypracovaných v roku 2022, zvýšená o vplyv na uvoľňovania úroku a znížená o použitie rezervy na vyraďovanie jadrovej elektrárne A1 a V1 vo výške skutočných nákladov vynaložených počas roku 2022. </w:t>
      </w:r>
      <w:r w:rsidR="00BB6666" w:rsidRPr="00C66720">
        <w:rPr>
          <w:b w:val="0"/>
          <w:bCs w:val="0"/>
          <w:sz w:val="22"/>
          <w:szCs w:val="22"/>
        </w:rPr>
        <w:t>Čerpanie</w:t>
      </w:r>
      <w:r w:rsidR="00E94282">
        <w:rPr>
          <w:b w:val="0"/>
          <w:bCs w:val="0"/>
          <w:sz w:val="22"/>
          <w:szCs w:val="22"/>
        </w:rPr>
        <w:t xml:space="preserve">. </w:t>
      </w:r>
      <w:r w:rsidR="0049120D">
        <w:rPr>
          <w:b w:val="0"/>
          <w:bCs w:val="0"/>
          <w:sz w:val="22"/>
          <w:szCs w:val="22"/>
        </w:rPr>
        <w:t>Použitie</w:t>
      </w:r>
      <w:r w:rsidR="00BB6666" w:rsidRPr="00C66720">
        <w:rPr>
          <w:b w:val="0"/>
          <w:bCs w:val="0"/>
          <w:sz w:val="22"/>
          <w:szCs w:val="22"/>
        </w:rPr>
        <w:t xml:space="preserve"> rezerv na vyraďovanie jadrových elektrární A1, V1, neenergetických zariadení, skladovanie a trvalé uloženie vyhoretého jadrového</w:t>
      </w:r>
      <w:r w:rsidR="00B470C2" w:rsidRPr="00C66720">
        <w:rPr>
          <w:b w:val="0"/>
          <w:bCs w:val="0"/>
          <w:sz w:val="22"/>
          <w:szCs w:val="22"/>
        </w:rPr>
        <w:t xml:space="preserve"> paliva sa očakáva v rokoch 2022</w:t>
      </w:r>
      <w:r w:rsidR="00BB6666" w:rsidRPr="00C66720">
        <w:rPr>
          <w:b w:val="0"/>
          <w:bCs w:val="0"/>
          <w:sz w:val="22"/>
          <w:szCs w:val="22"/>
        </w:rPr>
        <w:t xml:space="preserve"> – </w:t>
      </w:r>
      <w:r w:rsidR="00B470C2" w:rsidRPr="00C66720">
        <w:rPr>
          <w:b w:val="0"/>
          <w:bCs w:val="0"/>
          <w:sz w:val="22"/>
          <w:szCs w:val="22"/>
        </w:rPr>
        <w:t>2137.</w:t>
      </w:r>
    </w:p>
    <w:p w14:paraId="6CC28572" w14:textId="3A3E7B03" w:rsidR="00FC7CF7" w:rsidRPr="00C66720" w:rsidRDefault="00740E62" w:rsidP="00174C47">
      <w:pPr>
        <w:pStyle w:val="Pismenka"/>
        <w:tabs>
          <w:tab w:val="clear" w:pos="426"/>
        </w:tabs>
        <w:spacing w:before="120" w:after="120"/>
        <w:ind w:left="0" w:firstLine="0"/>
        <w:rPr>
          <w:b w:val="0"/>
          <w:bCs w:val="0"/>
          <w:sz w:val="22"/>
          <w:szCs w:val="22"/>
        </w:rPr>
      </w:pPr>
      <w:r w:rsidRPr="00C66720">
        <w:rPr>
          <w:b w:val="0"/>
          <w:bCs w:val="0"/>
          <w:i/>
          <w:sz w:val="22"/>
          <w:szCs w:val="22"/>
          <w:u w:val="single"/>
        </w:rPr>
        <w:t>Rezervy na súdne spory</w:t>
      </w:r>
      <w:r w:rsidRPr="00C66720">
        <w:rPr>
          <w:b w:val="0"/>
          <w:bCs w:val="0"/>
          <w:i/>
          <w:sz w:val="22"/>
          <w:szCs w:val="22"/>
        </w:rPr>
        <w:t xml:space="preserve"> </w:t>
      </w:r>
      <w:r w:rsidRPr="00C66720">
        <w:rPr>
          <w:b w:val="0"/>
          <w:bCs w:val="0"/>
          <w:sz w:val="22"/>
          <w:szCs w:val="22"/>
        </w:rPr>
        <w:t>boli identifikované prostredníctvom informácií z individuálnych účtovných závierok subjektov územnej samosprávy (obcí, VUC a ich rozpočtových a príspevkových organizácií) a štátnej správy. Do sumáru neboli započítané niektoré jednotky, ktoré nepredkladajú detailné informácie o rezervách (napríklad obchodné spoločnosti obcí). Najvýznamnejšiu hodnotu vykazuje M</w:t>
      </w:r>
      <w:r w:rsidR="00A94C46" w:rsidRPr="00C66720">
        <w:rPr>
          <w:b w:val="0"/>
          <w:bCs w:val="0"/>
          <w:sz w:val="22"/>
          <w:szCs w:val="22"/>
        </w:rPr>
        <w:t>inisterstvo financií SR (</w:t>
      </w:r>
      <w:r w:rsidR="002E71FF" w:rsidRPr="00C66720">
        <w:rPr>
          <w:b w:val="0"/>
          <w:bCs w:val="0"/>
          <w:sz w:val="22"/>
          <w:szCs w:val="22"/>
        </w:rPr>
        <w:t>139 239</w:t>
      </w:r>
      <w:r w:rsidRPr="00C66720">
        <w:rPr>
          <w:b w:val="0"/>
          <w:bCs w:val="0"/>
          <w:sz w:val="22"/>
          <w:szCs w:val="22"/>
        </w:rPr>
        <w:t xml:space="preserve"> tis. eur), </w:t>
      </w:r>
      <w:r w:rsidR="00A94C46" w:rsidRPr="00C66720">
        <w:rPr>
          <w:b w:val="0"/>
          <w:bCs w:val="0"/>
          <w:sz w:val="22"/>
          <w:szCs w:val="22"/>
        </w:rPr>
        <w:t xml:space="preserve">najmä na možné budúce plnenie voči </w:t>
      </w:r>
      <w:r w:rsidR="00FF12C3" w:rsidRPr="00C66720">
        <w:rPr>
          <w:b w:val="0"/>
          <w:bCs w:val="0"/>
          <w:sz w:val="22"/>
          <w:szCs w:val="22"/>
        </w:rPr>
        <w:t>daňovému subjektu</w:t>
      </w:r>
      <w:r w:rsidR="00A94C46" w:rsidRPr="00C66720">
        <w:rPr>
          <w:b w:val="0"/>
          <w:bCs w:val="0"/>
          <w:sz w:val="22"/>
          <w:szCs w:val="22"/>
        </w:rPr>
        <w:t xml:space="preserve">, a.s. (74 785 tis. eur), z dôvodu podania žiadosti o vrátenie preplatku, ktorá bola doručená na Úrad pre vybrané hospodárske subjekty. </w:t>
      </w:r>
      <w:r w:rsidR="00FC7CF7" w:rsidRPr="00C66720">
        <w:rPr>
          <w:b w:val="0"/>
          <w:bCs w:val="0"/>
          <w:sz w:val="22"/>
          <w:szCs w:val="22"/>
        </w:rPr>
        <w:t>V roku 2022</w:t>
      </w:r>
      <w:r w:rsidR="00625944" w:rsidRPr="00C66720">
        <w:rPr>
          <w:b w:val="0"/>
          <w:bCs w:val="0"/>
          <w:sz w:val="22"/>
          <w:szCs w:val="22"/>
        </w:rPr>
        <w:t xml:space="preserve"> bola najvýznamnejšia</w:t>
      </w:r>
      <w:r w:rsidR="00066BB4" w:rsidRPr="00C66720">
        <w:rPr>
          <w:b w:val="0"/>
          <w:bCs w:val="0"/>
          <w:sz w:val="22"/>
          <w:szCs w:val="22"/>
        </w:rPr>
        <w:t xml:space="preserve"> tvorba rezervy z dôvodu súdnych sporov vyplývajúcich</w:t>
      </w:r>
      <w:r w:rsidR="00625944" w:rsidRPr="00C66720">
        <w:rPr>
          <w:b w:val="0"/>
          <w:bCs w:val="0"/>
          <w:sz w:val="22"/>
          <w:szCs w:val="22"/>
        </w:rPr>
        <w:t xml:space="preserve"> z vydaných rozhodnutí na základe ukončen</w:t>
      </w:r>
      <w:r w:rsidR="00866B4A" w:rsidRPr="00C66720">
        <w:rPr>
          <w:b w:val="0"/>
          <w:bCs w:val="0"/>
          <w:sz w:val="22"/>
          <w:szCs w:val="22"/>
        </w:rPr>
        <w:t>ých kontrol</w:t>
      </w:r>
      <w:r w:rsidR="00625944" w:rsidRPr="00C66720">
        <w:rPr>
          <w:b w:val="0"/>
          <w:bCs w:val="0"/>
          <w:sz w:val="22"/>
          <w:szCs w:val="22"/>
        </w:rPr>
        <w:t xml:space="preserve"> </w:t>
      </w:r>
      <w:r w:rsidR="00066BB4" w:rsidRPr="00C66720">
        <w:rPr>
          <w:b w:val="0"/>
          <w:bCs w:val="0"/>
          <w:sz w:val="22"/>
          <w:szCs w:val="22"/>
        </w:rPr>
        <w:t>na dani z pridanej hodnoty v sume 2 421 tis. eur.</w:t>
      </w:r>
    </w:p>
    <w:p w14:paraId="17EE9C80" w14:textId="0F532F4C" w:rsidR="007A6CE7" w:rsidRPr="00C66720" w:rsidRDefault="007A6CE7" w:rsidP="00174C47">
      <w:pPr>
        <w:pStyle w:val="Pismenka"/>
        <w:tabs>
          <w:tab w:val="clear" w:pos="426"/>
        </w:tabs>
        <w:spacing w:before="120" w:after="120"/>
        <w:ind w:left="0" w:firstLine="0"/>
        <w:rPr>
          <w:b w:val="0"/>
          <w:bCs w:val="0"/>
          <w:sz w:val="22"/>
          <w:szCs w:val="22"/>
        </w:rPr>
      </w:pPr>
      <w:r w:rsidRPr="00C66720">
        <w:rPr>
          <w:b w:val="0"/>
          <w:bCs w:val="0"/>
          <w:sz w:val="22"/>
          <w:szCs w:val="22"/>
        </w:rPr>
        <w:t xml:space="preserve">Ďalej vykazujú významné dlhodobé rezervy na súdne spory obchodné spoločnosti a štátne podniky v sume </w:t>
      </w:r>
      <w:r w:rsidR="004321F9" w:rsidRPr="00C66720">
        <w:rPr>
          <w:b w:val="0"/>
          <w:bCs w:val="0"/>
          <w:sz w:val="22"/>
          <w:szCs w:val="22"/>
        </w:rPr>
        <w:t>46 081</w:t>
      </w:r>
      <w:r w:rsidRPr="00C66720">
        <w:rPr>
          <w:b w:val="0"/>
          <w:bCs w:val="0"/>
          <w:sz w:val="22"/>
          <w:szCs w:val="22"/>
        </w:rPr>
        <w:t xml:space="preserve"> tis. eur, ostatné subjekty verejnej správy </w:t>
      </w:r>
      <w:r w:rsidR="004321F9" w:rsidRPr="00C66720">
        <w:rPr>
          <w:b w:val="0"/>
          <w:bCs w:val="0"/>
          <w:sz w:val="22"/>
          <w:szCs w:val="22"/>
        </w:rPr>
        <w:t>701 985</w:t>
      </w:r>
      <w:r w:rsidRPr="00C66720">
        <w:rPr>
          <w:b w:val="0"/>
          <w:bCs w:val="0"/>
          <w:sz w:val="22"/>
          <w:szCs w:val="22"/>
        </w:rPr>
        <w:t xml:space="preserve"> tis eur (v tom Slovenský pozemkový fond </w:t>
      </w:r>
      <w:r w:rsidR="003D68BA" w:rsidRPr="00C66720">
        <w:rPr>
          <w:b w:val="0"/>
          <w:bCs w:val="0"/>
          <w:sz w:val="22"/>
          <w:szCs w:val="22"/>
        </w:rPr>
        <w:t>61 116</w:t>
      </w:r>
      <w:r w:rsidRPr="00C66720">
        <w:rPr>
          <w:b w:val="0"/>
          <w:bCs w:val="0"/>
          <w:sz w:val="22"/>
          <w:szCs w:val="22"/>
        </w:rPr>
        <w:t xml:space="preserve"> tis. eur</w:t>
      </w:r>
      <w:r w:rsidR="007C21AC" w:rsidRPr="00C66720">
        <w:rPr>
          <w:b w:val="0"/>
          <w:bCs w:val="0"/>
          <w:sz w:val="22"/>
          <w:szCs w:val="22"/>
        </w:rPr>
        <w:t>)</w:t>
      </w:r>
      <w:r w:rsidR="00E54B12" w:rsidRPr="00C66720">
        <w:rPr>
          <w:b w:val="0"/>
          <w:bCs w:val="0"/>
          <w:sz w:val="22"/>
          <w:szCs w:val="22"/>
        </w:rPr>
        <w:t xml:space="preserve">, </w:t>
      </w:r>
      <w:r w:rsidRPr="00C66720">
        <w:rPr>
          <w:b w:val="0"/>
          <w:bCs w:val="0"/>
          <w:sz w:val="22"/>
          <w:szCs w:val="22"/>
        </w:rPr>
        <w:t xml:space="preserve">Ministerstvo vnútra SR </w:t>
      </w:r>
      <w:r w:rsidR="00E54B12" w:rsidRPr="00C66720">
        <w:rPr>
          <w:b w:val="0"/>
          <w:bCs w:val="0"/>
          <w:sz w:val="22"/>
          <w:szCs w:val="22"/>
        </w:rPr>
        <w:t>43 519</w:t>
      </w:r>
      <w:r w:rsidRPr="00C66720">
        <w:rPr>
          <w:b w:val="0"/>
          <w:bCs w:val="0"/>
          <w:sz w:val="22"/>
          <w:szCs w:val="22"/>
        </w:rPr>
        <w:t xml:space="preserve"> </w:t>
      </w:r>
      <w:r w:rsidR="00837031" w:rsidRPr="00C66720">
        <w:rPr>
          <w:b w:val="0"/>
          <w:bCs w:val="0"/>
          <w:sz w:val="22"/>
          <w:szCs w:val="22"/>
        </w:rPr>
        <w:t>tis. eur</w:t>
      </w:r>
      <w:r w:rsidR="00E54B12" w:rsidRPr="00C66720">
        <w:rPr>
          <w:b w:val="0"/>
          <w:bCs w:val="0"/>
          <w:sz w:val="22"/>
          <w:szCs w:val="22"/>
        </w:rPr>
        <w:t xml:space="preserve"> a Ministerstvo zdravotníctva SR 35 401 tis. eur</w:t>
      </w:r>
      <w:r w:rsidR="00837031" w:rsidRPr="00C66720">
        <w:rPr>
          <w:b w:val="0"/>
          <w:bCs w:val="0"/>
          <w:sz w:val="22"/>
          <w:szCs w:val="22"/>
        </w:rPr>
        <w:t>.</w:t>
      </w:r>
    </w:p>
    <w:p w14:paraId="054A39C0" w14:textId="01130BE5" w:rsidR="00AB55BC" w:rsidRPr="00C66720" w:rsidRDefault="00AB55BC" w:rsidP="00174C47">
      <w:pPr>
        <w:pStyle w:val="Pismenka"/>
        <w:tabs>
          <w:tab w:val="clear" w:pos="426"/>
        </w:tabs>
        <w:spacing w:before="120" w:after="120"/>
        <w:ind w:left="0" w:firstLine="0"/>
        <w:rPr>
          <w:b w:val="0"/>
          <w:bCs w:val="0"/>
          <w:sz w:val="22"/>
          <w:szCs w:val="22"/>
        </w:rPr>
      </w:pPr>
      <w:r w:rsidRPr="00C66720">
        <w:rPr>
          <w:b w:val="0"/>
          <w:bCs w:val="0"/>
          <w:i/>
          <w:sz w:val="22"/>
          <w:szCs w:val="22"/>
          <w:u w:val="single"/>
        </w:rPr>
        <w:t xml:space="preserve">Rezerva na pestovnú činnosť </w:t>
      </w:r>
      <w:r w:rsidR="000C60D0" w:rsidRPr="00C66720">
        <w:rPr>
          <w:b w:val="0"/>
          <w:bCs w:val="0"/>
          <w:sz w:val="22"/>
          <w:szCs w:val="22"/>
        </w:rPr>
        <w:t xml:space="preserve">je vykazovaná štátnymi podnikmi Lesy SR, š.p. a Vojenské lesy a majetky SR, š.p. </w:t>
      </w:r>
      <w:r w:rsidR="0073008A" w:rsidRPr="00C66720">
        <w:rPr>
          <w:b w:val="0"/>
          <w:bCs w:val="0"/>
          <w:sz w:val="22"/>
          <w:szCs w:val="22"/>
        </w:rPr>
        <w:t xml:space="preserve">v celkovej sume 10 684 tis. eur a je tvorená na základe ročného projektu lesnej pestovnej činnosti potvrdenom odborným lesným hospodárom podľa zákona č. 326/2005 Z. z. o hospodárení v lesoch a štátnej správe lesného hospodárstva. </w:t>
      </w:r>
      <w:r w:rsidR="009748BD" w:rsidRPr="00C66720">
        <w:rPr>
          <w:b w:val="0"/>
          <w:bCs w:val="0"/>
          <w:sz w:val="22"/>
          <w:szCs w:val="22"/>
        </w:rPr>
        <w:t xml:space="preserve">Pri tvorbe rezervy je rozhodujúca výška ťažby drevnej hmoty v porovnaní s ročnou bilanciou, ktorá vychádza z programu obnovy lesa. Tvorí sa v prípade prekročenia ročnej bilancie ťažby drevnej hmoty maximálne na dobu do vykonania prečistky mladých lesných porastov. </w:t>
      </w:r>
      <w:r w:rsidR="00217CB9" w:rsidRPr="00C66720">
        <w:rPr>
          <w:b w:val="0"/>
          <w:bCs w:val="0"/>
          <w:sz w:val="22"/>
          <w:szCs w:val="22"/>
        </w:rPr>
        <w:t xml:space="preserve">Celkový zostatok vytvorenej a ešte nevyčerpanej dlhodobej rezervy </w:t>
      </w:r>
      <w:r w:rsidR="00657A29" w:rsidRPr="00C66720">
        <w:rPr>
          <w:b w:val="0"/>
          <w:bCs w:val="0"/>
          <w:sz w:val="22"/>
          <w:szCs w:val="22"/>
        </w:rPr>
        <w:t xml:space="preserve">na pestovnú činnosť a ochranu lesa </w:t>
      </w:r>
      <w:r w:rsidR="00217CB9" w:rsidRPr="00C66720">
        <w:rPr>
          <w:b w:val="0"/>
          <w:bCs w:val="0"/>
          <w:sz w:val="22"/>
          <w:szCs w:val="22"/>
        </w:rPr>
        <w:t>medziročne vzrástla o 1 060 tis. eur.</w:t>
      </w:r>
    </w:p>
    <w:p w14:paraId="4768FF34" w14:textId="77777777" w:rsidR="00CE246F" w:rsidRPr="00C66720" w:rsidRDefault="00CE246F" w:rsidP="00404CCC">
      <w:pPr>
        <w:pStyle w:val="Pismenka"/>
        <w:tabs>
          <w:tab w:val="clear" w:pos="426"/>
        </w:tabs>
        <w:spacing w:before="240" w:after="200"/>
        <w:ind w:left="0" w:firstLine="0"/>
        <w:rPr>
          <w:bCs w:val="0"/>
          <w:sz w:val="24"/>
          <w:szCs w:val="24"/>
        </w:rPr>
      </w:pPr>
      <w:r w:rsidRPr="00C66720">
        <w:rPr>
          <w:bCs w:val="0"/>
          <w:sz w:val="24"/>
          <w:szCs w:val="24"/>
        </w:rPr>
        <w:t>B.III. Krátkodobé záväzky</w:t>
      </w:r>
    </w:p>
    <w:p w14:paraId="189160D8" w14:textId="6184FD50" w:rsidR="00236A5F" w:rsidRPr="00C66720" w:rsidRDefault="00CE246F" w:rsidP="00236A5F">
      <w:pPr>
        <w:pStyle w:val="Pismenka"/>
        <w:tabs>
          <w:tab w:val="clear" w:pos="426"/>
        </w:tabs>
        <w:spacing w:after="120"/>
        <w:ind w:left="0" w:firstLine="0"/>
        <w:rPr>
          <w:b w:val="0"/>
          <w:bCs w:val="0"/>
          <w:color w:val="FF0000"/>
          <w:sz w:val="22"/>
          <w:szCs w:val="22"/>
          <w:highlight w:val="yellow"/>
        </w:rPr>
      </w:pPr>
      <w:r w:rsidRPr="00C66720">
        <w:rPr>
          <w:b w:val="0"/>
          <w:bCs w:val="0"/>
          <w:sz w:val="22"/>
          <w:szCs w:val="22"/>
        </w:rPr>
        <w:t xml:space="preserve">Krátkodobé záväzky súhrnného celku dosiahli hodnotu </w:t>
      </w:r>
      <w:r w:rsidR="009A6465" w:rsidRPr="00C66720">
        <w:rPr>
          <w:b w:val="0"/>
          <w:bCs w:val="0"/>
          <w:sz w:val="22"/>
          <w:szCs w:val="22"/>
        </w:rPr>
        <w:t>18 640 229</w:t>
      </w:r>
      <w:r w:rsidRPr="00C66720">
        <w:rPr>
          <w:b w:val="0"/>
          <w:bCs w:val="0"/>
          <w:sz w:val="22"/>
          <w:szCs w:val="22"/>
        </w:rPr>
        <w:t xml:space="preserve"> tis. eur a medziročne sa zvýšili </w:t>
      </w:r>
      <w:r w:rsidR="00080C0B" w:rsidRPr="00C66720">
        <w:rPr>
          <w:b w:val="0"/>
          <w:bCs w:val="0"/>
          <w:sz w:val="22"/>
          <w:szCs w:val="22"/>
        </w:rPr>
        <w:br/>
      </w:r>
      <w:r w:rsidRPr="00C66720">
        <w:rPr>
          <w:b w:val="0"/>
          <w:bCs w:val="0"/>
          <w:sz w:val="22"/>
          <w:szCs w:val="22"/>
        </w:rPr>
        <w:t xml:space="preserve">o  </w:t>
      </w:r>
      <w:r w:rsidR="00862422" w:rsidRPr="00C66720">
        <w:rPr>
          <w:b w:val="0"/>
          <w:bCs w:val="0"/>
          <w:sz w:val="22"/>
          <w:szCs w:val="22"/>
        </w:rPr>
        <w:t>4 928 111</w:t>
      </w:r>
      <w:r w:rsidR="00691011" w:rsidRPr="00C66720">
        <w:rPr>
          <w:b w:val="0"/>
          <w:bCs w:val="0"/>
          <w:sz w:val="22"/>
          <w:szCs w:val="22"/>
        </w:rPr>
        <w:t xml:space="preserve"> </w:t>
      </w:r>
      <w:r w:rsidRPr="00C66720">
        <w:rPr>
          <w:b w:val="0"/>
          <w:bCs w:val="0"/>
          <w:sz w:val="22"/>
          <w:szCs w:val="22"/>
        </w:rPr>
        <w:t>tis. eur. Najväčšiu položku celkových krátkodobých záväzkov</w:t>
      </w:r>
      <w:r w:rsidR="00C657B2" w:rsidRPr="00C66720">
        <w:rPr>
          <w:b w:val="0"/>
          <w:bCs w:val="0"/>
          <w:sz w:val="22"/>
          <w:szCs w:val="22"/>
        </w:rPr>
        <w:t xml:space="preserve"> tvoria </w:t>
      </w:r>
      <w:r w:rsidR="00862422" w:rsidRPr="00C66720">
        <w:rPr>
          <w:b w:val="0"/>
          <w:bCs w:val="0"/>
          <w:i/>
          <w:sz w:val="22"/>
          <w:szCs w:val="22"/>
          <w:u w:val="single"/>
        </w:rPr>
        <w:t>štátom emitované krátkodobé  dlhopisy</w:t>
      </w:r>
      <w:r w:rsidR="00862422" w:rsidRPr="00C66720">
        <w:rPr>
          <w:b w:val="0"/>
          <w:bCs w:val="0"/>
          <w:sz w:val="22"/>
          <w:szCs w:val="22"/>
        </w:rPr>
        <w:t xml:space="preserve">, ktoré dosiahli konsolidovanú hodnotu </w:t>
      </w:r>
      <w:r w:rsidR="002D7FD6" w:rsidRPr="00C66720">
        <w:rPr>
          <w:b w:val="0"/>
          <w:bCs w:val="0"/>
          <w:sz w:val="22"/>
          <w:szCs w:val="22"/>
        </w:rPr>
        <w:t>5 165 587</w:t>
      </w:r>
      <w:r w:rsidR="00862422" w:rsidRPr="00C66720">
        <w:rPr>
          <w:b w:val="0"/>
          <w:bCs w:val="0"/>
          <w:sz w:val="22"/>
          <w:szCs w:val="22"/>
        </w:rPr>
        <w:t xml:space="preserve"> tis. eur, čo je o</w:t>
      </w:r>
      <w:r w:rsidR="002D7FD6" w:rsidRPr="00C66720">
        <w:rPr>
          <w:b w:val="0"/>
          <w:bCs w:val="0"/>
          <w:sz w:val="22"/>
          <w:szCs w:val="22"/>
        </w:rPr>
        <w:t> 3 096 210</w:t>
      </w:r>
      <w:r w:rsidR="00862422" w:rsidRPr="00C66720">
        <w:rPr>
          <w:b w:val="0"/>
          <w:bCs w:val="0"/>
          <w:sz w:val="22"/>
          <w:szCs w:val="22"/>
        </w:rPr>
        <w:t xml:space="preserve"> tis. eur </w:t>
      </w:r>
      <w:r w:rsidR="002D7FD6" w:rsidRPr="00C66720">
        <w:rPr>
          <w:b w:val="0"/>
          <w:bCs w:val="0"/>
          <w:sz w:val="22"/>
          <w:szCs w:val="22"/>
        </w:rPr>
        <w:t>viac ako k ultimu roka 2021 a</w:t>
      </w:r>
      <w:r w:rsidR="00236A5F" w:rsidRPr="00C66720">
        <w:rPr>
          <w:b w:val="0"/>
          <w:bCs w:val="0"/>
          <w:sz w:val="22"/>
          <w:szCs w:val="22"/>
        </w:rPr>
        <w:t xml:space="preserve"> </w:t>
      </w:r>
      <w:r w:rsidR="00236A5F" w:rsidRPr="00C66720">
        <w:rPr>
          <w:b w:val="0"/>
          <w:bCs w:val="0"/>
          <w:i/>
          <w:sz w:val="22"/>
          <w:szCs w:val="22"/>
          <w:u w:val="single"/>
        </w:rPr>
        <w:t>záväzky vyplývajúce zo zúčtovania s EÚ</w:t>
      </w:r>
      <w:r w:rsidR="00236A5F" w:rsidRPr="00C66720">
        <w:rPr>
          <w:b w:val="0"/>
          <w:bCs w:val="0"/>
          <w:sz w:val="22"/>
          <w:szCs w:val="22"/>
        </w:rPr>
        <w:t xml:space="preserve"> v sume 4 130 293 tis. eur s medziročným nárastom o 1 590 929 tis. eur. </w:t>
      </w:r>
    </w:p>
    <w:p w14:paraId="69429859" w14:textId="0E6EBB0C" w:rsidR="00404CCC" w:rsidRDefault="00F45598" w:rsidP="0078255B">
      <w:pPr>
        <w:pStyle w:val="Pismenka"/>
        <w:tabs>
          <w:tab w:val="clear" w:pos="426"/>
        </w:tabs>
        <w:spacing w:after="120"/>
        <w:ind w:left="0" w:firstLine="0"/>
        <w:rPr>
          <w:b w:val="0"/>
          <w:bCs w:val="0"/>
          <w:color w:val="FF0000"/>
          <w:sz w:val="22"/>
          <w:szCs w:val="22"/>
          <w:highlight w:val="yellow"/>
        </w:rPr>
      </w:pPr>
      <w:r w:rsidRPr="00C66720">
        <w:rPr>
          <w:b w:val="0"/>
          <w:bCs w:val="0"/>
          <w:sz w:val="22"/>
          <w:szCs w:val="22"/>
        </w:rPr>
        <w:t>S</w:t>
      </w:r>
      <w:r w:rsidR="00607CDC" w:rsidRPr="00C66720">
        <w:rPr>
          <w:b w:val="0"/>
          <w:bCs w:val="0"/>
          <w:sz w:val="22"/>
          <w:szCs w:val="22"/>
        </w:rPr>
        <w:t>účasťou krátkodobých záväzkov sú aj</w:t>
      </w:r>
      <w:r w:rsidR="00476C39" w:rsidRPr="00C66720">
        <w:rPr>
          <w:b w:val="0"/>
          <w:bCs w:val="0"/>
          <w:sz w:val="22"/>
          <w:szCs w:val="22"/>
        </w:rPr>
        <w:t xml:space="preserve"> bankové úvery so splatnosťou do jedného roka v sume </w:t>
      </w:r>
      <w:r w:rsidR="00476C39" w:rsidRPr="00C66720">
        <w:rPr>
          <w:b w:val="0"/>
          <w:bCs w:val="0"/>
          <w:color w:val="FF0000"/>
          <w:sz w:val="22"/>
          <w:szCs w:val="22"/>
          <w:highlight w:val="yellow"/>
        </w:rPr>
        <w:br/>
      </w:r>
      <w:r w:rsidR="00476C39" w:rsidRPr="00C66720">
        <w:rPr>
          <w:b w:val="0"/>
          <w:bCs w:val="0"/>
          <w:sz w:val="22"/>
          <w:szCs w:val="22"/>
        </w:rPr>
        <w:t xml:space="preserve">946 194 tis. eur (2021: 648 235 tis. eur) a </w:t>
      </w:r>
      <w:r w:rsidR="00607CDC" w:rsidRPr="00C66720">
        <w:rPr>
          <w:b w:val="0"/>
          <w:bCs w:val="0"/>
          <w:sz w:val="22"/>
          <w:szCs w:val="22"/>
        </w:rPr>
        <w:t xml:space="preserve">záväzky zo zúčtovania medzi subjektami verejnej správy </w:t>
      </w:r>
      <w:r w:rsidR="002753F6" w:rsidRPr="00C66720">
        <w:rPr>
          <w:b w:val="0"/>
          <w:bCs w:val="0"/>
          <w:sz w:val="22"/>
          <w:szCs w:val="22"/>
        </w:rPr>
        <w:t xml:space="preserve">v sume </w:t>
      </w:r>
      <w:r w:rsidR="00476C39" w:rsidRPr="00C66720">
        <w:rPr>
          <w:b w:val="0"/>
          <w:bCs w:val="0"/>
          <w:sz w:val="22"/>
          <w:szCs w:val="22"/>
        </w:rPr>
        <w:t>817 293</w:t>
      </w:r>
      <w:r w:rsidR="002753F6" w:rsidRPr="00C66720">
        <w:rPr>
          <w:b w:val="0"/>
          <w:bCs w:val="0"/>
          <w:sz w:val="22"/>
          <w:szCs w:val="22"/>
        </w:rPr>
        <w:t xml:space="preserve"> tis. eur (20</w:t>
      </w:r>
      <w:r w:rsidR="00476C39" w:rsidRPr="00C66720">
        <w:rPr>
          <w:b w:val="0"/>
          <w:bCs w:val="0"/>
          <w:sz w:val="22"/>
          <w:szCs w:val="22"/>
        </w:rPr>
        <w:t>21</w:t>
      </w:r>
      <w:r w:rsidR="002753F6" w:rsidRPr="00C66720">
        <w:rPr>
          <w:b w:val="0"/>
          <w:bCs w:val="0"/>
          <w:sz w:val="22"/>
          <w:szCs w:val="22"/>
        </w:rPr>
        <w:t xml:space="preserve">: </w:t>
      </w:r>
      <w:r w:rsidR="00476C39" w:rsidRPr="00C66720">
        <w:rPr>
          <w:b w:val="0"/>
          <w:bCs w:val="0"/>
          <w:sz w:val="22"/>
          <w:szCs w:val="22"/>
        </w:rPr>
        <w:t xml:space="preserve">823 870 </w:t>
      </w:r>
      <w:r w:rsidR="002753F6" w:rsidRPr="00C66720">
        <w:rPr>
          <w:b w:val="0"/>
          <w:bCs w:val="0"/>
          <w:sz w:val="22"/>
          <w:szCs w:val="22"/>
        </w:rPr>
        <w:t>t</w:t>
      </w:r>
      <w:r w:rsidR="00476C39" w:rsidRPr="00C66720">
        <w:rPr>
          <w:b w:val="0"/>
          <w:bCs w:val="0"/>
          <w:sz w:val="22"/>
          <w:szCs w:val="22"/>
        </w:rPr>
        <w:t>is. eur).</w:t>
      </w:r>
      <w:r w:rsidR="00607CDC" w:rsidRPr="00C66720">
        <w:rPr>
          <w:b w:val="0"/>
          <w:bCs w:val="0"/>
          <w:color w:val="FF0000"/>
          <w:sz w:val="22"/>
          <w:szCs w:val="22"/>
          <w:highlight w:val="yellow"/>
        </w:rPr>
        <w:t xml:space="preserve"> </w:t>
      </w:r>
    </w:p>
    <w:p w14:paraId="490A72E2" w14:textId="77777777" w:rsidR="00404CCC" w:rsidRDefault="00404CCC">
      <w:pPr>
        <w:spacing w:after="0" w:line="240" w:lineRule="auto"/>
        <w:rPr>
          <w:rFonts w:ascii="Times New Roman" w:hAnsi="Times New Roman"/>
          <w:color w:val="FF0000"/>
          <w:szCs w:val="22"/>
          <w:highlight w:val="yellow"/>
          <w:lang w:eastAsia="sk-SK"/>
        </w:rPr>
      </w:pPr>
      <w:r>
        <w:rPr>
          <w:b/>
          <w:bCs/>
          <w:color w:val="FF0000"/>
          <w:szCs w:val="22"/>
          <w:highlight w:val="yellow"/>
        </w:rPr>
        <w:br w:type="page"/>
      </w:r>
    </w:p>
    <w:p w14:paraId="5986391C" w14:textId="77777777" w:rsidR="00F345C0" w:rsidRPr="00346B9E" w:rsidRDefault="00F345C0" w:rsidP="00F345C0">
      <w:pPr>
        <w:pStyle w:val="Pismenka"/>
        <w:tabs>
          <w:tab w:val="clear" w:pos="426"/>
        </w:tabs>
        <w:ind w:left="0" w:firstLine="0"/>
        <w:rPr>
          <w:bCs w:val="0"/>
        </w:rPr>
      </w:pPr>
      <w:r w:rsidRPr="00346B9E">
        <w:rPr>
          <w:bCs w:val="0"/>
        </w:rPr>
        <w:lastRenderedPageBreak/>
        <w:t>Tabu</w:t>
      </w:r>
      <w:r>
        <w:rPr>
          <w:bCs w:val="0"/>
        </w:rPr>
        <w:t>ľka 17</w:t>
      </w:r>
    </w:p>
    <w:tbl>
      <w:tblPr>
        <w:tblW w:w="5000" w:type="pct"/>
        <w:jc w:val="center"/>
        <w:tblLayout w:type="fixed"/>
        <w:tblCellMar>
          <w:left w:w="70" w:type="dxa"/>
          <w:right w:w="70" w:type="dxa"/>
        </w:tblCellMar>
        <w:tblLook w:val="00A0" w:firstRow="1" w:lastRow="0" w:firstColumn="1" w:lastColumn="0" w:noHBand="0" w:noVBand="0"/>
      </w:tblPr>
      <w:tblGrid>
        <w:gridCol w:w="5261"/>
        <w:gridCol w:w="1284"/>
        <w:gridCol w:w="1263"/>
        <w:gridCol w:w="1263"/>
      </w:tblGrid>
      <w:tr w:rsidR="00F345C0" w:rsidRPr="005773D1" w14:paraId="65E24F31" w14:textId="77777777" w:rsidTr="00241F33">
        <w:trPr>
          <w:trHeight w:val="330"/>
          <w:jc w:val="center"/>
        </w:trPr>
        <w:tc>
          <w:tcPr>
            <w:tcW w:w="5000" w:type="pct"/>
            <w:gridSpan w:val="4"/>
            <w:tcBorders>
              <w:top w:val="single" w:sz="4" w:space="0" w:color="auto"/>
              <w:left w:val="nil"/>
              <w:bottom w:val="single" w:sz="4" w:space="0" w:color="000000"/>
              <w:right w:val="nil"/>
            </w:tcBorders>
            <w:shd w:val="clear" w:color="auto" w:fill="F4B084"/>
            <w:noWrap/>
            <w:vAlign w:val="center"/>
          </w:tcPr>
          <w:p w14:paraId="0D49DE50" w14:textId="77777777" w:rsidR="00F345C0" w:rsidRPr="005773D1" w:rsidRDefault="00F345C0" w:rsidP="00241F33">
            <w:pPr>
              <w:spacing w:after="0" w:line="240" w:lineRule="auto"/>
              <w:rPr>
                <w:b/>
                <w:bCs/>
                <w:sz w:val="18"/>
                <w:szCs w:val="18"/>
              </w:rPr>
            </w:pPr>
            <w:r w:rsidRPr="005773D1">
              <w:rPr>
                <w:sz w:val="18"/>
                <w:szCs w:val="18"/>
              </w:rPr>
              <w:t xml:space="preserve"> </w:t>
            </w:r>
            <w:r w:rsidRPr="005773D1">
              <w:rPr>
                <w:rFonts w:ascii="Times New Roman" w:hAnsi="Times New Roman"/>
                <w:b/>
                <w:bCs/>
                <w:sz w:val="18"/>
                <w:szCs w:val="18"/>
                <w:lang w:eastAsia="sk-SK"/>
              </w:rPr>
              <w:t xml:space="preserve">Záväzky súhrnného celku                                                                                                                 </w:t>
            </w:r>
            <w:r>
              <w:rPr>
                <w:rFonts w:ascii="Times New Roman" w:hAnsi="Times New Roman"/>
                <w:b/>
                <w:bCs/>
                <w:sz w:val="18"/>
                <w:szCs w:val="18"/>
                <w:lang w:eastAsia="sk-SK"/>
              </w:rPr>
              <w:t xml:space="preserve">                  </w:t>
            </w:r>
            <w:r w:rsidRPr="005773D1">
              <w:rPr>
                <w:rFonts w:ascii="Times New Roman" w:hAnsi="Times New Roman"/>
                <w:b/>
                <w:bCs/>
                <w:sz w:val="18"/>
                <w:szCs w:val="18"/>
                <w:lang w:eastAsia="sk-SK"/>
              </w:rPr>
              <w:t xml:space="preserve"> (v tis. eur) </w:t>
            </w:r>
          </w:p>
        </w:tc>
      </w:tr>
      <w:tr w:rsidR="00F345C0" w:rsidRPr="00975467" w14:paraId="0C1F8DAD" w14:textId="77777777" w:rsidTr="00241F33">
        <w:trPr>
          <w:trHeight w:hRule="exact" w:val="330"/>
          <w:jc w:val="center"/>
        </w:trPr>
        <w:tc>
          <w:tcPr>
            <w:tcW w:w="2900" w:type="pct"/>
            <w:tcBorders>
              <w:top w:val="single" w:sz="4" w:space="0" w:color="000000"/>
              <w:left w:val="nil"/>
              <w:bottom w:val="single" w:sz="4" w:space="0" w:color="auto"/>
              <w:right w:val="nil"/>
            </w:tcBorders>
            <w:shd w:val="clear" w:color="auto" w:fill="BDD7EE"/>
            <w:vAlign w:val="center"/>
          </w:tcPr>
          <w:p w14:paraId="36050A7B" w14:textId="77777777" w:rsidR="00F345C0" w:rsidRPr="00301FF2" w:rsidRDefault="00F345C0" w:rsidP="00F345C0">
            <w:pPr>
              <w:spacing w:after="0" w:line="240" w:lineRule="auto"/>
              <w:rPr>
                <w:rFonts w:ascii="Times New Roman" w:hAnsi="Times New Roman"/>
                <w:b/>
                <w:bCs/>
                <w:sz w:val="18"/>
                <w:szCs w:val="18"/>
                <w:lang w:eastAsia="sk-SK"/>
              </w:rPr>
            </w:pPr>
            <w:r w:rsidRPr="00301FF2">
              <w:rPr>
                <w:sz w:val="18"/>
                <w:szCs w:val="18"/>
              </w:rPr>
              <w:br w:type="page"/>
            </w:r>
            <w:r w:rsidRPr="00301FF2">
              <w:rPr>
                <w:sz w:val="18"/>
                <w:szCs w:val="18"/>
              </w:rPr>
              <w:br w:type="page"/>
            </w:r>
            <w:r w:rsidRPr="00301FF2">
              <w:rPr>
                <w:sz w:val="18"/>
                <w:szCs w:val="18"/>
              </w:rPr>
              <w:br w:type="page"/>
            </w:r>
            <w:r w:rsidRPr="00301FF2">
              <w:rPr>
                <w:sz w:val="18"/>
                <w:szCs w:val="18"/>
              </w:rPr>
              <w:br w:type="page"/>
            </w:r>
            <w:r w:rsidRPr="00301FF2">
              <w:rPr>
                <w:sz w:val="18"/>
                <w:szCs w:val="18"/>
              </w:rPr>
              <w:br w:type="page"/>
            </w:r>
            <w:r w:rsidRPr="00301FF2">
              <w:rPr>
                <w:rFonts w:ascii="Times New Roman" w:hAnsi="Times New Roman"/>
                <w:b/>
                <w:bCs/>
                <w:sz w:val="18"/>
                <w:szCs w:val="18"/>
                <w:lang w:eastAsia="sk-SK"/>
              </w:rPr>
              <w:t>Krátkodobé záväzky</w:t>
            </w:r>
          </w:p>
        </w:tc>
        <w:tc>
          <w:tcPr>
            <w:tcW w:w="708" w:type="pct"/>
            <w:tcBorders>
              <w:top w:val="single" w:sz="4" w:space="0" w:color="000000"/>
              <w:left w:val="nil"/>
              <w:bottom w:val="single" w:sz="4" w:space="0" w:color="auto"/>
              <w:right w:val="nil"/>
            </w:tcBorders>
            <w:shd w:val="clear" w:color="auto" w:fill="BDD7EE"/>
            <w:vAlign w:val="center"/>
          </w:tcPr>
          <w:p w14:paraId="7A6FD7F0" w14:textId="5492103D" w:rsidR="00F345C0" w:rsidRPr="00301FF2" w:rsidRDefault="00F345C0" w:rsidP="00F345C0">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696" w:type="pct"/>
            <w:tcBorders>
              <w:top w:val="single" w:sz="4" w:space="0" w:color="000000"/>
              <w:left w:val="nil"/>
              <w:bottom w:val="single" w:sz="4" w:space="0" w:color="auto"/>
              <w:right w:val="nil"/>
            </w:tcBorders>
            <w:shd w:val="clear" w:color="auto" w:fill="BDD7EE"/>
            <w:vAlign w:val="center"/>
          </w:tcPr>
          <w:p w14:paraId="2FBC086D" w14:textId="0285D6FF" w:rsidR="00F345C0" w:rsidRPr="00301FF2" w:rsidRDefault="00F345C0" w:rsidP="00F345C0">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696" w:type="pct"/>
            <w:tcBorders>
              <w:top w:val="single" w:sz="4" w:space="0" w:color="000000"/>
              <w:left w:val="nil"/>
              <w:bottom w:val="single" w:sz="4" w:space="0" w:color="auto"/>
              <w:right w:val="nil"/>
            </w:tcBorders>
            <w:shd w:val="clear" w:color="auto" w:fill="BDD7EE"/>
            <w:vAlign w:val="center"/>
          </w:tcPr>
          <w:p w14:paraId="5B9C0959" w14:textId="63959827" w:rsidR="00F345C0" w:rsidRPr="00301FF2" w:rsidRDefault="00F345C0" w:rsidP="00F345C0">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F345C0" w:rsidRPr="00975467" w14:paraId="7B0F3525" w14:textId="77777777" w:rsidTr="00241F33">
        <w:trPr>
          <w:trHeight w:hRule="exact" w:val="330"/>
          <w:jc w:val="center"/>
        </w:trPr>
        <w:tc>
          <w:tcPr>
            <w:tcW w:w="2900" w:type="pct"/>
            <w:tcBorders>
              <w:top w:val="single" w:sz="4" w:space="0" w:color="auto"/>
              <w:left w:val="nil"/>
              <w:right w:val="nil"/>
            </w:tcBorders>
            <w:shd w:val="clear" w:color="000000" w:fill="auto"/>
            <w:vAlign w:val="center"/>
          </w:tcPr>
          <w:p w14:paraId="318AE05E" w14:textId="417FF0EF"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 xml:space="preserve">Štátne dlhopisy </w:t>
            </w:r>
          </w:p>
        </w:tc>
        <w:tc>
          <w:tcPr>
            <w:tcW w:w="708" w:type="pct"/>
            <w:tcBorders>
              <w:top w:val="single" w:sz="4" w:space="0" w:color="auto"/>
              <w:left w:val="nil"/>
              <w:right w:val="nil"/>
            </w:tcBorders>
            <w:shd w:val="clear" w:color="000000" w:fill="auto"/>
            <w:vAlign w:val="center"/>
          </w:tcPr>
          <w:p w14:paraId="37CE4AAB" w14:textId="644AE959"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5 165 587</w:t>
            </w:r>
          </w:p>
        </w:tc>
        <w:tc>
          <w:tcPr>
            <w:tcW w:w="696" w:type="pct"/>
            <w:tcBorders>
              <w:top w:val="single" w:sz="4" w:space="0" w:color="auto"/>
              <w:left w:val="nil"/>
              <w:right w:val="nil"/>
            </w:tcBorders>
            <w:shd w:val="clear" w:color="000000" w:fill="auto"/>
            <w:vAlign w:val="center"/>
          </w:tcPr>
          <w:p w14:paraId="001357C5" w14:textId="28E6E415"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2 069 123</w:t>
            </w:r>
          </w:p>
        </w:tc>
        <w:tc>
          <w:tcPr>
            <w:tcW w:w="696" w:type="pct"/>
            <w:tcBorders>
              <w:top w:val="single" w:sz="4" w:space="0" w:color="auto"/>
              <w:left w:val="nil"/>
              <w:right w:val="nil"/>
            </w:tcBorders>
            <w:shd w:val="clear" w:color="000000" w:fill="auto"/>
            <w:vAlign w:val="center"/>
          </w:tcPr>
          <w:p w14:paraId="011AC549" w14:textId="3CC8D0EC"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3 096 210</w:t>
            </w:r>
          </w:p>
        </w:tc>
      </w:tr>
      <w:tr w:rsidR="00F345C0" w:rsidRPr="00975467" w14:paraId="290C1ED2" w14:textId="77777777" w:rsidTr="00241F33">
        <w:trPr>
          <w:trHeight w:hRule="exact" w:val="330"/>
          <w:jc w:val="center"/>
        </w:trPr>
        <w:tc>
          <w:tcPr>
            <w:tcW w:w="2900" w:type="pct"/>
            <w:tcBorders>
              <w:left w:val="nil"/>
              <w:right w:val="nil"/>
            </w:tcBorders>
            <w:shd w:val="clear" w:color="000000" w:fill="auto"/>
            <w:vAlign w:val="center"/>
          </w:tcPr>
          <w:p w14:paraId="1176B9B5" w14:textId="7F03B8A9"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Zúčtovanie prijatých prostriedkov z EÚ</w:t>
            </w:r>
          </w:p>
        </w:tc>
        <w:tc>
          <w:tcPr>
            <w:tcW w:w="708" w:type="pct"/>
            <w:tcBorders>
              <w:left w:val="nil"/>
              <w:right w:val="nil"/>
            </w:tcBorders>
            <w:shd w:val="clear" w:color="000000" w:fill="auto"/>
            <w:vAlign w:val="center"/>
          </w:tcPr>
          <w:p w14:paraId="12BF14D2" w14:textId="4CD01DCF"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4 130 293</w:t>
            </w:r>
          </w:p>
        </w:tc>
        <w:tc>
          <w:tcPr>
            <w:tcW w:w="696" w:type="pct"/>
            <w:tcBorders>
              <w:left w:val="nil"/>
              <w:right w:val="nil"/>
            </w:tcBorders>
            <w:shd w:val="clear" w:color="000000" w:fill="auto"/>
            <w:vAlign w:val="center"/>
          </w:tcPr>
          <w:p w14:paraId="478E7B61" w14:textId="6714761F"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2 539 364</w:t>
            </w:r>
          </w:p>
        </w:tc>
        <w:tc>
          <w:tcPr>
            <w:tcW w:w="696" w:type="pct"/>
            <w:tcBorders>
              <w:left w:val="nil"/>
              <w:right w:val="nil"/>
            </w:tcBorders>
            <w:shd w:val="clear" w:color="000000" w:fill="auto"/>
            <w:vAlign w:val="center"/>
          </w:tcPr>
          <w:p w14:paraId="40200FD4" w14:textId="170480FF"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1 590 929</w:t>
            </w:r>
          </w:p>
        </w:tc>
      </w:tr>
      <w:tr w:rsidR="00F345C0" w:rsidRPr="00975467" w14:paraId="659A8790" w14:textId="77777777" w:rsidTr="00241F33">
        <w:trPr>
          <w:trHeight w:hRule="exact" w:val="330"/>
          <w:jc w:val="center"/>
        </w:trPr>
        <w:tc>
          <w:tcPr>
            <w:tcW w:w="2900" w:type="pct"/>
            <w:tcBorders>
              <w:left w:val="nil"/>
              <w:right w:val="nil"/>
            </w:tcBorders>
            <w:shd w:val="clear" w:color="000000" w:fill="auto"/>
            <w:vAlign w:val="center"/>
          </w:tcPr>
          <w:p w14:paraId="510719DB" w14:textId="22D5622C"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Špecifické záväzky MF SR</w:t>
            </w:r>
          </w:p>
        </w:tc>
        <w:tc>
          <w:tcPr>
            <w:tcW w:w="708" w:type="pct"/>
            <w:tcBorders>
              <w:left w:val="nil"/>
              <w:right w:val="nil"/>
            </w:tcBorders>
            <w:shd w:val="clear" w:color="000000" w:fill="auto"/>
            <w:vAlign w:val="center"/>
          </w:tcPr>
          <w:p w14:paraId="1877CFE9" w14:textId="6F23F9EA"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1 771 583</w:t>
            </w:r>
          </w:p>
        </w:tc>
        <w:tc>
          <w:tcPr>
            <w:tcW w:w="696" w:type="pct"/>
            <w:tcBorders>
              <w:left w:val="nil"/>
              <w:right w:val="nil"/>
            </w:tcBorders>
            <w:shd w:val="clear" w:color="000000" w:fill="auto"/>
            <w:vAlign w:val="center"/>
          </w:tcPr>
          <w:p w14:paraId="476FDFF5" w14:textId="52376E3B"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1 791 950</w:t>
            </w:r>
          </w:p>
        </w:tc>
        <w:tc>
          <w:tcPr>
            <w:tcW w:w="696" w:type="pct"/>
            <w:tcBorders>
              <w:left w:val="nil"/>
              <w:right w:val="nil"/>
            </w:tcBorders>
            <w:shd w:val="clear" w:color="000000" w:fill="auto"/>
            <w:vAlign w:val="center"/>
          </w:tcPr>
          <w:p w14:paraId="29EF8A54" w14:textId="338CC0C0"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-20 367</w:t>
            </w:r>
          </w:p>
        </w:tc>
      </w:tr>
      <w:tr w:rsidR="00F345C0" w:rsidRPr="00975467" w14:paraId="3A8B0E9D" w14:textId="77777777" w:rsidTr="00241F33">
        <w:trPr>
          <w:trHeight w:hRule="exact" w:val="330"/>
          <w:jc w:val="center"/>
        </w:trPr>
        <w:tc>
          <w:tcPr>
            <w:tcW w:w="2900" w:type="pct"/>
            <w:tcBorders>
              <w:left w:val="nil"/>
              <w:right w:val="nil"/>
            </w:tcBorders>
            <w:shd w:val="clear" w:color="000000" w:fill="auto"/>
            <w:vAlign w:val="center"/>
          </w:tcPr>
          <w:p w14:paraId="744F915A" w14:textId="39CB4E22"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Dodávatelia</w:t>
            </w:r>
          </w:p>
        </w:tc>
        <w:tc>
          <w:tcPr>
            <w:tcW w:w="708" w:type="pct"/>
            <w:tcBorders>
              <w:left w:val="nil"/>
              <w:right w:val="nil"/>
            </w:tcBorders>
            <w:shd w:val="clear" w:color="000000" w:fill="auto"/>
            <w:vAlign w:val="center"/>
          </w:tcPr>
          <w:p w14:paraId="2B881512" w14:textId="478133A9"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1 974 791</w:t>
            </w:r>
          </w:p>
        </w:tc>
        <w:tc>
          <w:tcPr>
            <w:tcW w:w="696" w:type="pct"/>
            <w:tcBorders>
              <w:left w:val="nil"/>
              <w:right w:val="nil"/>
            </w:tcBorders>
            <w:shd w:val="clear" w:color="000000" w:fill="auto"/>
            <w:vAlign w:val="center"/>
          </w:tcPr>
          <w:p w14:paraId="1E9D1242" w14:textId="42A7B4E8"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1 693 862</w:t>
            </w:r>
          </w:p>
        </w:tc>
        <w:tc>
          <w:tcPr>
            <w:tcW w:w="696" w:type="pct"/>
            <w:tcBorders>
              <w:left w:val="nil"/>
              <w:right w:val="nil"/>
            </w:tcBorders>
            <w:shd w:val="clear" w:color="000000" w:fill="auto"/>
            <w:vAlign w:val="center"/>
          </w:tcPr>
          <w:p w14:paraId="0AD222BB" w14:textId="36D4124E"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280 929</w:t>
            </w:r>
          </w:p>
        </w:tc>
      </w:tr>
      <w:tr w:rsidR="00F345C0" w:rsidRPr="00975467" w14:paraId="732B4F32" w14:textId="77777777" w:rsidTr="00241F33">
        <w:trPr>
          <w:trHeight w:hRule="exact" w:val="330"/>
          <w:jc w:val="center"/>
        </w:trPr>
        <w:tc>
          <w:tcPr>
            <w:tcW w:w="2900" w:type="pct"/>
            <w:tcBorders>
              <w:left w:val="nil"/>
              <w:right w:val="nil"/>
            </w:tcBorders>
            <w:shd w:val="clear" w:color="000000" w:fill="auto"/>
            <w:vAlign w:val="center"/>
          </w:tcPr>
          <w:p w14:paraId="03BC7D19" w14:textId="23657299"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Špecifické záväzky SPP, a.s.</w:t>
            </w:r>
          </w:p>
        </w:tc>
        <w:tc>
          <w:tcPr>
            <w:tcW w:w="708" w:type="pct"/>
            <w:tcBorders>
              <w:left w:val="nil"/>
              <w:right w:val="nil"/>
            </w:tcBorders>
            <w:shd w:val="clear" w:color="000000" w:fill="auto"/>
            <w:vAlign w:val="center"/>
          </w:tcPr>
          <w:p w14:paraId="7117D64F" w14:textId="05EA2A02"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602 629</w:t>
            </w:r>
          </w:p>
        </w:tc>
        <w:tc>
          <w:tcPr>
            <w:tcW w:w="696" w:type="pct"/>
            <w:tcBorders>
              <w:left w:val="nil"/>
              <w:right w:val="nil"/>
            </w:tcBorders>
            <w:shd w:val="clear" w:color="000000" w:fill="auto"/>
            <w:vAlign w:val="center"/>
          </w:tcPr>
          <w:p w14:paraId="3A8597AD" w14:textId="035A4637"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1 149 583</w:t>
            </w:r>
          </w:p>
        </w:tc>
        <w:tc>
          <w:tcPr>
            <w:tcW w:w="696" w:type="pct"/>
            <w:tcBorders>
              <w:left w:val="nil"/>
              <w:right w:val="nil"/>
            </w:tcBorders>
            <w:shd w:val="clear" w:color="000000" w:fill="auto"/>
            <w:vAlign w:val="center"/>
          </w:tcPr>
          <w:p w14:paraId="32188ECE" w14:textId="39445FA5"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-546 954</w:t>
            </w:r>
          </w:p>
        </w:tc>
      </w:tr>
      <w:tr w:rsidR="00F345C0" w:rsidRPr="00975467" w14:paraId="2EE8FBCA" w14:textId="77777777" w:rsidTr="00241F33">
        <w:trPr>
          <w:trHeight w:hRule="exact" w:val="330"/>
          <w:jc w:val="center"/>
        </w:trPr>
        <w:tc>
          <w:tcPr>
            <w:tcW w:w="2900" w:type="pct"/>
            <w:tcBorders>
              <w:left w:val="nil"/>
              <w:right w:val="nil"/>
            </w:tcBorders>
            <w:shd w:val="clear" w:color="000000" w:fill="auto"/>
            <w:vAlign w:val="center"/>
          </w:tcPr>
          <w:p w14:paraId="5F8A339D" w14:textId="0F160CDB"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Zúčtovanie medzi subjektami verejnej správy</w:t>
            </w:r>
          </w:p>
        </w:tc>
        <w:tc>
          <w:tcPr>
            <w:tcW w:w="708" w:type="pct"/>
            <w:tcBorders>
              <w:left w:val="nil"/>
              <w:right w:val="nil"/>
            </w:tcBorders>
            <w:shd w:val="clear" w:color="000000" w:fill="auto"/>
            <w:vAlign w:val="center"/>
          </w:tcPr>
          <w:p w14:paraId="53EAF104" w14:textId="5BF7E980"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817 293</w:t>
            </w:r>
          </w:p>
        </w:tc>
        <w:tc>
          <w:tcPr>
            <w:tcW w:w="696" w:type="pct"/>
            <w:tcBorders>
              <w:left w:val="nil"/>
              <w:right w:val="nil"/>
            </w:tcBorders>
            <w:shd w:val="clear" w:color="000000" w:fill="auto"/>
            <w:vAlign w:val="center"/>
          </w:tcPr>
          <w:p w14:paraId="772CFE44" w14:textId="50C5B954"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823 870</w:t>
            </w:r>
          </w:p>
        </w:tc>
        <w:tc>
          <w:tcPr>
            <w:tcW w:w="696" w:type="pct"/>
            <w:tcBorders>
              <w:left w:val="nil"/>
              <w:right w:val="nil"/>
            </w:tcBorders>
            <w:shd w:val="clear" w:color="000000" w:fill="auto"/>
            <w:vAlign w:val="center"/>
          </w:tcPr>
          <w:p w14:paraId="1423726A" w14:textId="4C639F96"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-6 577</w:t>
            </w:r>
          </w:p>
        </w:tc>
      </w:tr>
      <w:tr w:rsidR="00F345C0" w:rsidRPr="00975467" w14:paraId="09F75E8B" w14:textId="77777777" w:rsidTr="00241F33">
        <w:trPr>
          <w:trHeight w:hRule="exact" w:val="330"/>
          <w:jc w:val="center"/>
        </w:trPr>
        <w:tc>
          <w:tcPr>
            <w:tcW w:w="2900" w:type="pct"/>
            <w:tcBorders>
              <w:top w:val="nil"/>
              <w:left w:val="nil"/>
              <w:right w:val="nil"/>
            </w:tcBorders>
            <w:shd w:val="clear" w:color="000000" w:fill="auto"/>
            <w:vAlign w:val="center"/>
          </w:tcPr>
          <w:p w14:paraId="3B103F76" w14:textId="24EE0FB1"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Zúčtovanie s orgánmi sociálneho a zdravotného poistenia</w:t>
            </w:r>
          </w:p>
        </w:tc>
        <w:tc>
          <w:tcPr>
            <w:tcW w:w="708" w:type="pct"/>
            <w:tcBorders>
              <w:top w:val="nil"/>
              <w:left w:val="nil"/>
              <w:right w:val="nil"/>
            </w:tcBorders>
            <w:shd w:val="clear" w:color="000000" w:fill="auto"/>
            <w:vAlign w:val="center"/>
          </w:tcPr>
          <w:p w14:paraId="795F6BDA" w14:textId="5BDCB6BE"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535 499</w:t>
            </w:r>
          </w:p>
        </w:tc>
        <w:tc>
          <w:tcPr>
            <w:tcW w:w="696" w:type="pct"/>
            <w:tcBorders>
              <w:top w:val="nil"/>
              <w:left w:val="nil"/>
              <w:right w:val="nil"/>
            </w:tcBorders>
            <w:shd w:val="clear" w:color="000000" w:fill="auto"/>
            <w:vAlign w:val="center"/>
          </w:tcPr>
          <w:p w14:paraId="5CB9902A" w14:textId="3D5B6EC4"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651 654</w:t>
            </w:r>
          </w:p>
        </w:tc>
        <w:tc>
          <w:tcPr>
            <w:tcW w:w="696" w:type="pct"/>
            <w:tcBorders>
              <w:top w:val="nil"/>
              <w:left w:val="nil"/>
              <w:right w:val="nil"/>
            </w:tcBorders>
            <w:shd w:val="clear" w:color="000000" w:fill="auto"/>
            <w:vAlign w:val="center"/>
          </w:tcPr>
          <w:p w14:paraId="55DC92C4" w14:textId="77B52393"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-116 155</w:t>
            </w:r>
          </w:p>
        </w:tc>
      </w:tr>
      <w:tr w:rsidR="00F345C0" w:rsidRPr="00975467" w14:paraId="539504DA" w14:textId="77777777" w:rsidTr="00241F33">
        <w:trPr>
          <w:trHeight w:hRule="exact" w:val="330"/>
          <w:jc w:val="center"/>
        </w:trPr>
        <w:tc>
          <w:tcPr>
            <w:tcW w:w="2900" w:type="pct"/>
            <w:tcBorders>
              <w:top w:val="nil"/>
              <w:left w:val="nil"/>
              <w:right w:val="nil"/>
            </w:tcBorders>
            <w:shd w:val="clear" w:color="000000" w:fill="auto"/>
            <w:vAlign w:val="center"/>
          </w:tcPr>
          <w:p w14:paraId="71F2BF34" w14:textId="7B22BE74"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Bankové úvery krátkodobé</w:t>
            </w:r>
          </w:p>
        </w:tc>
        <w:tc>
          <w:tcPr>
            <w:tcW w:w="708" w:type="pct"/>
            <w:tcBorders>
              <w:top w:val="nil"/>
              <w:left w:val="nil"/>
              <w:right w:val="nil"/>
            </w:tcBorders>
            <w:shd w:val="clear" w:color="000000" w:fill="auto"/>
            <w:vAlign w:val="center"/>
          </w:tcPr>
          <w:p w14:paraId="089E1D63" w14:textId="7EF1524F"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946 194</w:t>
            </w:r>
          </w:p>
        </w:tc>
        <w:tc>
          <w:tcPr>
            <w:tcW w:w="696" w:type="pct"/>
            <w:tcBorders>
              <w:top w:val="nil"/>
              <w:left w:val="nil"/>
              <w:right w:val="nil"/>
            </w:tcBorders>
            <w:shd w:val="clear" w:color="000000" w:fill="auto"/>
            <w:vAlign w:val="center"/>
          </w:tcPr>
          <w:p w14:paraId="34DA1D3B" w14:textId="0AEFAFBE"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648 235</w:t>
            </w:r>
          </w:p>
        </w:tc>
        <w:tc>
          <w:tcPr>
            <w:tcW w:w="696" w:type="pct"/>
            <w:tcBorders>
              <w:top w:val="nil"/>
              <w:left w:val="nil"/>
              <w:right w:val="nil"/>
            </w:tcBorders>
            <w:shd w:val="clear" w:color="000000" w:fill="auto"/>
            <w:vAlign w:val="center"/>
          </w:tcPr>
          <w:p w14:paraId="2EA0381A" w14:textId="2835B60F"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297 959</w:t>
            </w:r>
          </w:p>
        </w:tc>
      </w:tr>
      <w:tr w:rsidR="00F345C0" w:rsidRPr="00975467" w14:paraId="05D5D49B" w14:textId="77777777" w:rsidTr="00241F33">
        <w:trPr>
          <w:trHeight w:hRule="exact" w:val="330"/>
          <w:jc w:val="center"/>
        </w:trPr>
        <w:tc>
          <w:tcPr>
            <w:tcW w:w="2900" w:type="pct"/>
            <w:tcBorders>
              <w:top w:val="nil"/>
              <w:left w:val="nil"/>
              <w:right w:val="nil"/>
            </w:tcBorders>
            <w:shd w:val="clear" w:color="000000" w:fill="auto"/>
            <w:vAlign w:val="center"/>
          </w:tcPr>
          <w:p w14:paraId="16E7FD02" w14:textId="2F963378"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Zamestnanci</w:t>
            </w:r>
          </w:p>
        </w:tc>
        <w:tc>
          <w:tcPr>
            <w:tcW w:w="708" w:type="pct"/>
            <w:tcBorders>
              <w:top w:val="nil"/>
              <w:left w:val="nil"/>
              <w:right w:val="nil"/>
            </w:tcBorders>
            <w:shd w:val="clear" w:color="000000" w:fill="auto"/>
            <w:vAlign w:val="center"/>
          </w:tcPr>
          <w:p w14:paraId="5CE1F916" w14:textId="30414A27"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591 806</w:t>
            </w:r>
          </w:p>
        </w:tc>
        <w:tc>
          <w:tcPr>
            <w:tcW w:w="696" w:type="pct"/>
            <w:tcBorders>
              <w:top w:val="nil"/>
              <w:left w:val="nil"/>
              <w:right w:val="nil"/>
            </w:tcBorders>
            <w:shd w:val="clear" w:color="000000" w:fill="auto"/>
            <w:vAlign w:val="center"/>
          </w:tcPr>
          <w:p w14:paraId="641DA625" w14:textId="53C67F8D"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599 929</w:t>
            </w:r>
          </w:p>
        </w:tc>
        <w:tc>
          <w:tcPr>
            <w:tcW w:w="696" w:type="pct"/>
            <w:tcBorders>
              <w:top w:val="nil"/>
              <w:left w:val="nil"/>
              <w:right w:val="nil"/>
            </w:tcBorders>
            <w:shd w:val="clear" w:color="000000" w:fill="auto"/>
            <w:vAlign w:val="center"/>
          </w:tcPr>
          <w:p w14:paraId="607BBB85" w14:textId="011825B5"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-8 123</w:t>
            </w:r>
          </w:p>
        </w:tc>
      </w:tr>
      <w:tr w:rsidR="00F345C0" w:rsidRPr="00975467" w14:paraId="5D744EEB" w14:textId="77777777" w:rsidTr="00241F33">
        <w:trPr>
          <w:trHeight w:hRule="exact" w:val="330"/>
          <w:jc w:val="center"/>
        </w:trPr>
        <w:tc>
          <w:tcPr>
            <w:tcW w:w="2900" w:type="pct"/>
            <w:tcBorders>
              <w:top w:val="nil"/>
              <w:left w:val="nil"/>
              <w:right w:val="nil"/>
            </w:tcBorders>
            <w:shd w:val="clear" w:color="000000" w:fill="auto"/>
            <w:vAlign w:val="center"/>
          </w:tcPr>
          <w:p w14:paraId="7749F860" w14:textId="2DF42849"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Vzťahy k účtom klientov ŠP</w:t>
            </w:r>
          </w:p>
        </w:tc>
        <w:tc>
          <w:tcPr>
            <w:tcW w:w="708" w:type="pct"/>
            <w:tcBorders>
              <w:top w:val="nil"/>
              <w:left w:val="nil"/>
              <w:right w:val="nil"/>
            </w:tcBorders>
            <w:shd w:val="clear" w:color="000000" w:fill="auto"/>
            <w:vAlign w:val="center"/>
          </w:tcPr>
          <w:p w14:paraId="6BCA724F" w14:textId="0ABA521A"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266 758</w:t>
            </w:r>
          </w:p>
        </w:tc>
        <w:tc>
          <w:tcPr>
            <w:tcW w:w="696" w:type="pct"/>
            <w:tcBorders>
              <w:top w:val="nil"/>
              <w:left w:val="nil"/>
              <w:right w:val="nil"/>
            </w:tcBorders>
            <w:shd w:val="clear" w:color="000000" w:fill="auto"/>
            <w:vAlign w:val="center"/>
          </w:tcPr>
          <w:p w14:paraId="50902F38" w14:textId="28EC558C"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294 642</w:t>
            </w:r>
          </w:p>
        </w:tc>
        <w:tc>
          <w:tcPr>
            <w:tcW w:w="696" w:type="pct"/>
            <w:tcBorders>
              <w:top w:val="nil"/>
              <w:left w:val="nil"/>
              <w:right w:val="nil"/>
            </w:tcBorders>
            <w:shd w:val="clear" w:color="000000" w:fill="auto"/>
            <w:vAlign w:val="center"/>
          </w:tcPr>
          <w:p w14:paraId="46704E30" w14:textId="0D9AB07F"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-27 884</w:t>
            </w:r>
          </w:p>
        </w:tc>
      </w:tr>
      <w:tr w:rsidR="00F345C0" w:rsidRPr="00975467" w14:paraId="34EE1FCF" w14:textId="77777777" w:rsidTr="00241F33">
        <w:trPr>
          <w:trHeight w:hRule="exact" w:val="330"/>
          <w:jc w:val="center"/>
        </w:trPr>
        <w:tc>
          <w:tcPr>
            <w:tcW w:w="2900" w:type="pct"/>
            <w:tcBorders>
              <w:top w:val="nil"/>
              <w:left w:val="nil"/>
              <w:right w:val="nil"/>
            </w:tcBorders>
            <w:shd w:val="clear" w:color="000000" w:fill="auto"/>
            <w:vAlign w:val="center"/>
          </w:tcPr>
          <w:p w14:paraId="52047226" w14:textId="02719EB1"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Prijaté preddavky</w:t>
            </w:r>
          </w:p>
        </w:tc>
        <w:tc>
          <w:tcPr>
            <w:tcW w:w="708" w:type="pct"/>
            <w:tcBorders>
              <w:top w:val="nil"/>
              <w:left w:val="nil"/>
              <w:right w:val="nil"/>
            </w:tcBorders>
            <w:shd w:val="clear" w:color="000000" w:fill="auto"/>
            <w:vAlign w:val="center"/>
          </w:tcPr>
          <w:p w14:paraId="0F9C0169" w14:textId="5BE19E04"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146 241</w:t>
            </w:r>
          </w:p>
        </w:tc>
        <w:tc>
          <w:tcPr>
            <w:tcW w:w="696" w:type="pct"/>
            <w:tcBorders>
              <w:top w:val="nil"/>
              <w:left w:val="nil"/>
              <w:right w:val="nil"/>
            </w:tcBorders>
            <w:shd w:val="clear" w:color="000000" w:fill="auto"/>
            <w:vAlign w:val="center"/>
          </w:tcPr>
          <w:p w14:paraId="6EEED84E" w14:textId="7977DA01"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184 444</w:t>
            </w:r>
          </w:p>
        </w:tc>
        <w:tc>
          <w:tcPr>
            <w:tcW w:w="696" w:type="pct"/>
            <w:tcBorders>
              <w:top w:val="nil"/>
              <w:left w:val="nil"/>
              <w:right w:val="nil"/>
            </w:tcBorders>
            <w:shd w:val="clear" w:color="000000" w:fill="auto"/>
            <w:vAlign w:val="center"/>
          </w:tcPr>
          <w:p w14:paraId="5BED2D42" w14:textId="05F349A9"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-38 203</w:t>
            </w:r>
          </w:p>
        </w:tc>
      </w:tr>
      <w:tr w:rsidR="00F345C0" w:rsidRPr="00975467" w14:paraId="3985ED44" w14:textId="77777777" w:rsidTr="00241F33">
        <w:trPr>
          <w:trHeight w:hRule="exact" w:val="330"/>
          <w:jc w:val="center"/>
        </w:trPr>
        <w:tc>
          <w:tcPr>
            <w:tcW w:w="2900" w:type="pct"/>
            <w:tcBorders>
              <w:top w:val="nil"/>
              <w:left w:val="nil"/>
              <w:right w:val="nil"/>
            </w:tcBorders>
            <w:shd w:val="clear" w:color="000000" w:fill="auto"/>
            <w:vAlign w:val="center"/>
          </w:tcPr>
          <w:p w14:paraId="2E471214" w14:textId="615D7E15"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Záväzky SZRB, a.s.</w:t>
            </w:r>
          </w:p>
        </w:tc>
        <w:tc>
          <w:tcPr>
            <w:tcW w:w="708" w:type="pct"/>
            <w:tcBorders>
              <w:top w:val="nil"/>
              <w:left w:val="nil"/>
              <w:right w:val="nil"/>
            </w:tcBorders>
            <w:shd w:val="clear" w:color="000000" w:fill="auto"/>
            <w:vAlign w:val="center"/>
          </w:tcPr>
          <w:p w14:paraId="778D66D9" w14:textId="5ABAD37A"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153 867</w:t>
            </w:r>
          </w:p>
        </w:tc>
        <w:tc>
          <w:tcPr>
            <w:tcW w:w="696" w:type="pct"/>
            <w:tcBorders>
              <w:top w:val="nil"/>
              <w:left w:val="nil"/>
              <w:right w:val="nil"/>
            </w:tcBorders>
            <w:shd w:val="clear" w:color="000000" w:fill="auto"/>
            <w:vAlign w:val="center"/>
          </w:tcPr>
          <w:p w14:paraId="06AF8E05" w14:textId="4C4FE615"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105 253</w:t>
            </w:r>
          </w:p>
        </w:tc>
        <w:tc>
          <w:tcPr>
            <w:tcW w:w="696" w:type="pct"/>
            <w:tcBorders>
              <w:top w:val="nil"/>
              <w:left w:val="nil"/>
              <w:right w:val="nil"/>
            </w:tcBorders>
            <w:shd w:val="clear" w:color="000000" w:fill="auto"/>
            <w:vAlign w:val="center"/>
          </w:tcPr>
          <w:p w14:paraId="17E7FA9C" w14:textId="303A89A6"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48 614</w:t>
            </w:r>
          </w:p>
        </w:tc>
      </w:tr>
      <w:tr w:rsidR="00F345C0" w:rsidRPr="00975467" w14:paraId="651CC24B" w14:textId="77777777" w:rsidTr="00241F33">
        <w:trPr>
          <w:trHeight w:hRule="exact" w:val="330"/>
          <w:jc w:val="center"/>
        </w:trPr>
        <w:tc>
          <w:tcPr>
            <w:tcW w:w="2900" w:type="pct"/>
            <w:tcBorders>
              <w:top w:val="nil"/>
              <w:left w:val="nil"/>
              <w:right w:val="nil"/>
            </w:tcBorders>
            <w:shd w:val="clear" w:color="000000" w:fill="auto"/>
            <w:vAlign w:val="center"/>
          </w:tcPr>
          <w:p w14:paraId="61EC2530" w14:textId="50BF6CDC"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Zúčtovanie transferov mimo verejnej správy</w:t>
            </w:r>
          </w:p>
        </w:tc>
        <w:tc>
          <w:tcPr>
            <w:tcW w:w="708" w:type="pct"/>
            <w:tcBorders>
              <w:top w:val="nil"/>
              <w:left w:val="nil"/>
              <w:right w:val="nil"/>
            </w:tcBorders>
            <w:shd w:val="clear" w:color="000000" w:fill="auto"/>
            <w:vAlign w:val="center"/>
          </w:tcPr>
          <w:p w14:paraId="3B5B9A53" w14:textId="5AC01FAB"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213 827</w:t>
            </w:r>
          </w:p>
        </w:tc>
        <w:tc>
          <w:tcPr>
            <w:tcW w:w="696" w:type="pct"/>
            <w:tcBorders>
              <w:top w:val="nil"/>
              <w:left w:val="nil"/>
              <w:right w:val="nil"/>
            </w:tcBorders>
            <w:shd w:val="clear" w:color="000000" w:fill="auto"/>
            <w:vAlign w:val="center"/>
          </w:tcPr>
          <w:p w14:paraId="443C2D9B" w14:textId="178BC49B"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101 412</w:t>
            </w:r>
          </w:p>
        </w:tc>
        <w:tc>
          <w:tcPr>
            <w:tcW w:w="696" w:type="pct"/>
            <w:tcBorders>
              <w:top w:val="nil"/>
              <w:left w:val="nil"/>
              <w:right w:val="nil"/>
            </w:tcBorders>
            <w:shd w:val="clear" w:color="000000" w:fill="auto"/>
            <w:vAlign w:val="center"/>
          </w:tcPr>
          <w:p w14:paraId="53AE69C6" w14:textId="68022DD8"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112 415</w:t>
            </w:r>
          </w:p>
        </w:tc>
      </w:tr>
      <w:tr w:rsidR="00F345C0" w:rsidRPr="00975467" w14:paraId="6AA2CA01" w14:textId="77777777" w:rsidTr="00241F33">
        <w:trPr>
          <w:trHeight w:hRule="exact" w:val="330"/>
          <w:jc w:val="center"/>
        </w:trPr>
        <w:tc>
          <w:tcPr>
            <w:tcW w:w="2900" w:type="pct"/>
            <w:tcBorders>
              <w:top w:val="nil"/>
              <w:left w:val="nil"/>
              <w:right w:val="nil"/>
            </w:tcBorders>
            <w:shd w:val="clear" w:color="000000" w:fill="auto"/>
            <w:vAlign w:val="center"/>
          </w:tcPr>
          <w:p w14:paraId="1B56B0A2" w14:textId="36A5B8DF"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Nevyfakturované dodávky</w:t>
            </w:r>
          </w:p>
        </w:tc>
        <w:tc>
          <w:tcPr>
            <w:tcW w:w="708" w:type="pct"/>
            <w:tcBorders>
              <w:top w:val="nil"/>
              <w:left w:val="nil"/>
              <w:right w:val="nil"/>
            </w:tcBorders>
            <w:shd w:val="clear" w:color="000000" w:fill="auto"/>
            <w:vAlign w:val="center"/>
          </w:tcPr>
          <w:p w14:paraId="67C2F437" w14:textId="0EB21117"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71 716</w:t>
            </w:r>
          </w:p>
        </w:tc>
        <w:tc>
          <w:tcPr>
            <w:tcW w:w="696" w:type="pct"/>
            <w:tcBorders>
              <w:top w:val="nil"/>
              <w:left w:val="nil"/>
              <w:right w:val="nil"/>
            </w:tcBorders>
            <w:shd w:val="clear" w:color="000000" w:fill="auto"/>
            <w:vAlign w:val="center"/>
          </w:tcPr>
          <w:p w14:paraId="3D1FD91E" w14:textId="60465D2B"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63 293</w:t>
            </w:r>
          </w:p>
        </w:tc>
        <w:tc>
          <w:tcPr>
            <w:tcW w:w="696" w:type="pct"/>
            <w:tcBorders>
              <w:top w:val="nil"/>
              <w:left w:val="nil"/>
              <w:right w:val="nil"/>
            </w:tcBorders>
            <w:shd w:val="clear" w:color="000000" w:fill="auto"/>
            <w:vAlign w:val="center"/>
          </w:tcPr>
          <w:p w14:paraId="09D92666" w14:textId="06713535"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8 423</w:t>
            </w:r>
          </w:p>
        </w:tc>
      </w:tr>
      <w:tr w:rsidR="00F345C0" w:rsidRPr="00975467" w14:paraId="5BE3F8DD" w14:textId="77777777" w:rsidTr="00241F33">
        <w:trPr>
          <w:trHeight w:hRule="exact" w:val="330"/>
          <w:jc w:val="center"/>
        </w:trPr>
        <w:tc>
          <w:tcPr>
            <w:tcW w:w="2900" w:type="pct"/>
            <w:tcBorders>
              <w:top w:val="nil"/>
              <w:left w:val="nil"/>
              <w:right w:val="nil"/>
            </w:tcBorders>
            <w:shd w:val="clear" w:color="000000" w:fill="auto"/>
            <w:vAlign w:val="center"/>
          </w:tcPr>
          <w:p w14:paraId="022C75FD" w14:textId="30F57DBE"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Záväzky z daní a poplatkov</w:t>
            </w:r>
          </w:p>
        </w:tc>
        <w:tc>
          <w:tcPr>
            <w:tcW w:w="708" w:type="pct"/>
            <w:tcBorders>
              <w:top w:val="nil"/>
              <w:left w:val="nil"/>
              <w:right w:val="nil"/>
            </w:tcBorders>
            <w:shd w:val="clear" w:color="000000" w:fill="auto"/>
            <w:vAlign w:val="center"/>
          </w:tcPr>
          <w:p w14:paraId="7EB7146B" w14:textId="54E5BA83"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62 190</w:t>
            </w:r>
          </w:p>
        </w:tc>
        <w:tc>
          <w:tcPr>
            <w:tcW w:w="696" w:type="pct"/>
            <w:tcBorders>
              <w:top w:val="nil"/>
              <w:left w:val="nil"/>
              <w:right w:val="nil"/>
            </w:tcBorders>
            <w:shd w:val="clear" w:color="000000" w:fill="auto"/>
            <w:vAlign w:val="center"/>
          </w:tcPr>
          <w:p w14:paraId="50973ED7" w14:textId="0C31214A"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60 324</w:t>
            </w:r>
          </w:p>
        </w:tc>
        <w:tc>
          <w:tcPr>
            <w:tcW w:w="696" w:type="pct"/>
            <w:tcBorders>
              <w:top w:val="nil"/>
              <w:left w:val="nil"/>
              <w:right w:val="nil"/>
            </w:tcBorders>
            <w:shd w:val="clear" w:color="000000" w:fill="auto"/>
            <w:vAlign w:val="center"/>
          </w:tcPr>
          <w:p w14:paraId="55529326" w14:textId="53D6C45C"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1 866</w:t>
            </w:r>
          </w:p>
        </w:tc>
      </w:tr>
      <w:tr w:rsidR="00F345C0" w:rsidRPr="00975467" w14:paraId="1FE274FF" w14:textId="77777777" w:rsidTr="00241F33">
        <w:trPr>
          <w:trHeight w:hRule="exact" w:val="330"/>
          <w:jc w:val="center"/>
        </w:trPr>
        <w:tc>
          <w:tcPr>
            <w:tcW w:w="2900" w:type="pct"/>
            <w:tcBorders>
              <w:top w:val="nil"/>
              <w:left w:val="nil"/>
              <w:bottom w:val="single" w:sz="4" w:space="0" w:color="auto"/>
              <w:right w:val="nil"/>
            </w:tcBorders>
            <w:shd w:val="clear" w:color="000000" w:fill="auto"/>
            <w:vAlign w:val="center"/>
          </w:tcPr>
          <w:p w14:paraId="53CF0AE1" w14:textId="7137EB44" w:rsidR="00F345C0" w:rsidRPr="00301FF2" w:rsidRDefault="00F345C0" w:rsidP="00F345C0">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 záväzky</w:t>
            </w:r>
          </w:p>
        </w:tc>
        <w:tc>
          <w:tcPr>
            <w:tcW w:w="708" w:type="pct"/>
            <w:tcBorders>
              <w:top w:val="nil"/>
              <w:left w:val="nil"/>
              <w:bottom w:val="single" w:sz="4" w:space="0" w:color="auto"/>
              <w:right w:val="nil"/>
            </w:tcBorders>
            <w:shd w:val="clear" w:color="000000" w:fill="auto"/>
            <w:vAlign w:val="center"/>
          </w:tcPr>
          <w:p w14:paraId="48E13659" w14:textId="0949747C"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1 189 955</w:t>
            </w:r>
          </w:p>
        </w:tc>
        <w:tc>
          <w:tcPr>
            <w:tcW w:w="696" w:type="pct"/>
            <w:tcBorders>
              <w:top w:val="nil"/>
              <w:left w:val="nil"/>
              <w:bottom w:val="single" w:sz="4" w:space="0" w:color="auto"/>
              <w:right w:val="nil"/>
            </w:tcBorders>
            <w:shd w:val="clear" w:color="000000" w:fill="auto"/>
            <w:vAlign w:val="center"/>
          </w:tcPr>
          <w:p w14:paraId="02EEE1A8" w14:textId="6206785C"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935 180</w:t>
            </w:r>
          </w:p>
        </w:tc>
        <w:tc>
          <w:tcPr>
            <w:tcW w:w="696" w:type="pct"/>
            <w:tcBorders>
              <w:top w:val="nil"/>
              <w:left w:val="nil"/>
              <w:bottom w:val="single" w:sz="4" w:space="0" w:color="auto"/>
              <w:right w:val="nil"/>
            </w:tcBorders>
            <w:shd w:val="clear" w:color="000000" w:fill="auto"/>
            <w:vAlign w:val="center"/>
          </w:tcPr>
          <w:p w14:paraId="21539E09" w14:textId="2D444DEB" w:rsidR="00F345C0" w:rsidRPr="00301FF2" w:rsidRDefault="00F345C0" w:rsidP="00F345C0">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255 029</w:t>
            </w:r>
          </w:p>
        </w:tc>
      </w:tr>
      <w:tr w:rsidR="00F345C0" w:rsidRPr="00975467" w14:paraId="19F4914E" w14:textId="77777777" w:rsidTr="00241F33">
        <w:trPr>
          <w:trHeight w:hRule="exact" w:val="330"/>
          <w:jc w:val="center"/>
        </w:trPr>
        <w:tc>
          <w:tcPr>
            <w:tcW w:w="2900" w:type="pct"/>
            <w:tcBorders>
              <w:top w:val="single" w:sz="4" w:space="0" w:color="auto"/>
              <w:left w:val="nil"/>
              <w:bottom w:val="single" w:sz="4" w:space="0" w:color="auto"/>
              <w:right w:val="nil"/>
            </w:tcBorders>
            <w:shd w:val="clear" w:color="000000" w:fill="auto"/>
            <w:vAlign w:val="center"/>
          </w:tcPr>
          <w:p w14:paraId="4DAF2E2E" w14:textId="306E0AD0" w:rsidR="00F345C0" w:rsidRPr="00301FF2" w:rsidRDefault="00F345C0" w:rsidP="00F345C0">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708" w:type="pct"/>
            <w:tcBorders>
              <w:top w:val="single" w:sz="4" w:space="0" w:color="auto"/>
              <w:left w:val="nil"/>
              <w:bottom w:val="single" w:sz="4" w:space="0" w:color="auto"/>
              <w:right w:val="nil"/>
            </w:tcBorders>
            <w:shd w:val="clear" w:color="000000" w:fill="auto"/>
            <w:vAlign w:val="center"/>
          </w:tcPr>
          <w:p w14:paraId="548B88DB" w14:textId="08A18A42" w:rsidR="00F345C0" w:rsidRPr="00301FF2" w:rsidRDefault="00F345C0" w:rsidP="00F345C0">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18 640 229</w:t>
            </w:r>
          </w:p>
        </w:tc>
        <w:tc>
          <w:tcPr>
            <w:tcW w:w="696" w:type="pct"/>
            <w:tcBorders>
              <w:top w:val="single" w:sz="4" w:space="0" w:color="auto"/>
              <w:left w:val="nil"/>
              <w:bottom w:val="single" w:sz="4" w:space="0" w:color="auto"/>
              <w:right w:val="nil"/>
            </w:tcBorders>
            <w:shd w:val="clear" w:color="000000" w:fill="auto"/>
            <w:vAlign w:val="center"/>
          </w:tcPr>
          <w:p w14:paraId="080E13DA" w14:textId="3841BE66" w:rsidR="00F345C0" w:rsidRPr="00301FF2" w:rsidRDefault="00F345C0" w:rsidP="00F345C0">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13 712 118</w:t>
            </w:r>
          </w:p>
        </w:tc>
        <w:tc>
          <w:tcPr>
            <w:tcW w:w="696" w:type="pct"/>
            <w:tcBorders>
              <w:top w:val="single" w:sz="4" w:space="0" w:color="auto"/>
              <w:left w:val="nil"/>
              <w:bottom w:val="single" w:sz="4" w:space="0" w:color="auto"/>
              <w:right w:val="nil"/>
            </w:tcBorders>
            <w:shd w:val="clear" w:color="000000" w:fill="auto"/>
            <w:vAlign w:val="center"/>
          </w:tcPr>
          <w:p w14:paraId="1F1C40F4" w14:textId="4D322047" w:rsidR="00F345C0" w:rsidRPr="00301FF2" w:rsidRDefault="00F345C0" w:rsidP="00F345C0">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4 928 111</w:t>
            </w:r>
          </w:p>
        </w:tc>
      </w:tr>
      <w:tr w:rsidR="00F345C0" w:rsidRPr="00975467" w14:paraId="705C63DF" w14:textId="77777777" w:rsidTr="00241F33">
        <w:trPr>
          <w:trHeight w:hRule="exact" w:val="330"/>
          <w:jc w:val="center"/>
        </w:trPr>
        <w:tc>
          <w:tcPr>
            <w:tcW w:w="5000" w:type="pct"/>
            <w:gridSpan w:val="4"/>
            <w:tcBorders>
              <w:top w:val="single" w:sz="4" w:space="0" w:color="auto"/>
              <w:left w:val="nil"/>
              <w:bottom w:val="nil"/>
              <w:right w:val="nil"/>
            </w:tcBorders>
            <w:shd w:val="clear" w:color="000000" w:fill="auto"/>
            <w:vAlign w:val="center"/>
          </w:tcPr>
          <w:p w14:paraId="56772DCF" w14:textId="77777777" w:rsidR="00F345C0" w:rsidRDefault="00F345C0" w:rsidP="00241F33">
            <w:pPr>
              <w:spacing w:after="0" w:line="240" w:lineRule="auto"/>
              <w:jc w:val="right"/>
              <w:rPr>
                <w:rFonts w:ascii="Times New Roman" w:hAnsi="Times New Roman"/>
                <w:sz w:val="18"/>
                <w:szCs w:val="18"/>
              </w:rPr>
            </w:pPr>
            <w:r>
              <w:rPr>
                <w:rFonts w:ascii="Times New Roman" w:hAnsi="Times New Roman"/>
                <w:sz w:val="18"/>
                <w:szCs w:val="18"/>
              </w:rPr>
              <w:t>Zdroj: MF SR, Centrálny konsolidačný systém</w:t>
            </w:r>
          </w:p>
          <w:p w14:paraId="35253B30" w14:textId="77777777" w:rsidR="00F345C0" w:rsidRPr="00301FF2" w:rsidRDefault="00F345C0" w:rsidP="00241F33">
            <w:pPr>
              <w:spacing w:after="0" w:line="240" w:lineRule="auto"/>
              <w:jc w:val="right"/>
              <w:rPr>
                <w:rFonts w:ascii="Times New Roman" w:hAnsi="Times New Roman"/>
                <w:b/>
                <w:bCs/>
                <w:sz w:val="18"/>
                <w:szCs w:val="18"/>
                <w:lang w:eastAsia="sk-SK"/>
              </w:rPr>
            </w:pPr>
          </w:p>
        </w:tc>
      </w:tr>
    </w:tbl>
    <w:p w14:paraId="54354431" w14:textId="200D873F" w:rsidR="00DD2C5F" w:rsidRPr="00C66720" w:rsidRDefault="00DD2C5F" w:rsidP="001F0A67">
      <w:pPr>
        <w:pStyle w:val="Pismenka"/>
        <w:numPr>
          <w:ilvl w:val="0"/>
          <w:numId w:val="44"/>
        </w:numPr>
        <w:spacing w:before="120" w:after="120"/>
        <w:ind w:left="284" w:hanging="284"/>
        <w:rPr>
          <w:i/>
          <w:sz w:val="22"/>
          <w:szCs w:val="22"/>
          <w:u w:val="single"/>
        </w:rPr>
      </w:pPr>
      <w:bookmarkStart w:id="39" w:name="_Ref86092184"/>
      <w:r w:rsidRPr="00C66720">
        <w:rPr>
          <w:i/>
          <w:sz w:val="22"/>
          <w:szCs w:val="22"/>
          <w:u w:val="single"/>
        </w:rPr>
        <w:t xml:space="preserve">Štátne dlhopisy </w:t>
      </w:r>
      <w:bookmarkEnd w:id="39"/>
    </w:p>
    <w:p w14:paraId="69E53372" w14:textId="770E05B4" w:rsidR="005456A5" w:rsidRPr="00C66720" w:rsidRDefault="002D7C43" w:rsidP="00174C47">
      <w:pPr>
        <w:spacing w:before="120" w:after="240" w:line="240" w:lineRule="auto"/>
        <w:jc w:val="both"/>
        <w:rPr>
          <w:rFonts w:ascii="Times New Roman" w:hAnsi="Times New Roman"/>
          <w:color w:val="FF0000"/>
          <w:szCs w:val="22"/>
          <w:highlight w:val="yellow"/>
        </w:rPr>
      </w:pPr>
      <w:r w:rsidRPr="00C66720">
        <w:rPr>
          <w:rFonts w:ascii="Times New Roman" w:hAnsi="Times New Roman"/>
          <w:szCs w:val="22"/>
        </w:rPr>
        <w:t>Hodnota krátkodobýc</w:t>
      </w:r>
      <w:r w:rsidR="00601F0A" w:rsidRPr="00C66720">
        <w:rPr>
          <w:rFonts w:ascii="Times New Roman" w:hAnsi="Times New Roman"/>
          <w:szCs w:val="22"/>
        </w:rPr>
        <w:t xml:space="preserve">h štátnych dlhopisov </w:t>
      </w:r>
      <w:r w:rsidR="00DC72A9" w:rsidRPr="00C66720">
        <w:rPr>
          <w:rFonts w:ascii="Times New Roman" w:hAnsi="Times New Roman"/>
          <w:szCs w:val="22"/>
        </w:rPr>
        <w:t>a štátnych pokladničných poukážok</w:t>
      </w:r>
      <w:r w:rsidR="00607258" w:rsidRPr="00C66720">
        <w:rPr>
          <w:rFonts w:ascii="Times New Roman" w:hAnsi="Times New Roman"/>
          <w:szCs w:val="22"/>
        </w:rPr>
        <w:t xml:space="preserve"> </w:t>
      </w:r>
      <w:r w:rsidR="003E187D" w:rsidRPr="00C66720">
        <w:rPr>
          <w:rFonts w:ascii="Times New Roman" w:hAnsi="Times New Roman"/>
          <w:szCs w:val="22"/>
        </w:rPr>
        <w:t>k 31.12.2022</w:t>
      </w:r>
      <w:r w:rsidRPr="00C66720">
        <w:rPr>
          <w:rFonts w:ascii="Times New Roman" w:hAnsi="Times New Roman"/>
          <w:szCs w:val="22"/>
        </w:rPr>
        <w:t xml:space="preserve"> bola </w:t>
      </w:r>
      <w:r w:rsidR="00607258" w:rsidRPr="00C66720">
        <w:rPr>
          <w:rFonts w:ascii="Times New Roman" w:hAnsi="Times New Roman"/>
          <w:szCs w:val="22"/>
        </w:rPr>
        <w:br/>
      </w:r>
      <w:r w:rsidR="003E187D" w:rsidRPr="00C66720">
        <w:rPr>
          <w:rFonts w:ascii="Times New Roman" w:hAnsi="Times New Roman"/>
          <w:szCs w:val="22"/>
        </w:rPr>
        <w:t>5 165 587</w:t>
      </w:r>
      <w:r w:rsidRPr="00C66720">
        <w:rPr>
          <w:rFonts w:ascii="Times New Roman" w:hAnsi="Times New Roman"/>
          <w:szCs w:val="22"/>
        </w:rPr>
        <w:t xml:space="preserve"> tis. eur</w:t>
      </w:r>
      <w:r w:rsidR="005456A5" w:rsidRPr="00C66720">
        <w:rPr>
          <w:rFonts w:ascii="Times New Roman" w:hAnsi="Times New Roman"/>
          <w:szCs w:val="22"/>
        </w:rPr>
        <w:t xml:space="preserve">, z toho istina </w:t>
      </w:r>
      <w:r w:rsidR="003E187D" w:rsidRPr="00C66720">
        <w:rPr>
          <w:rFonts w:ascii="Times New Roman" w:hAnsi="Times New Roman"/>
          <w:szCs w:val="22"/>
        </w:rPr>
        <w:t>4 578 764</w:t>
      </w:r>
      <w:r w:rsidR="005456A5" w:rsidRPr="00C66720">
        <w:rPr>
          <w:rFonts w:ascii="Times New Roman" w:hAnsi="Times New Roman"/>
          <w:szCs w:val="22"/>
        </w:rPr>
        <w:t xml:space="preserve"> tis. eur a úroky </w:t>
      </w:r>
      <w:r w:rsidR="003E187D" w:rsidRPr="00C66720">
        <w:rPr>
          <w:rFonts w:ascii="Times New Roman" w:hAnsi="Times New Roman"/>
          <w:szCs w:val="22"/>
        </w:rPr>
        <w:t>586 663</w:t>
      </w:r>
      <w:r w:rsidR="005456A5" w:rsidRPr="00C66720">
        <w:rPr>
          <w:rFonts w:ascii="Times New Roman" w:hAnsi="Times New Roman"/>
          <w:szCs w:val="22"/>
        </w:rPr>
        <w:t xml:space="preserve"> tis. eur</w:t>
      </w:r>
      <w:r w:rsidRPr="00C66720">
        <w:rPr>
          <w:rFonts w:ascii="Times New Roman" w:hAnsi="Times New Roman"/>
          <w:szCs w:val="22"/>
        </w:rPr>
        <w:t xml:space="preserve">. Medziročne sa hodnota štátnych dlhových nástrojov </w:t>
      </w:r>
      <w:r w:rsidR="00185FB4" w:rsidRPr="00C66720">
        <w:rPr>
          <w:rFonts w:ascii="Times New Roman" w:hAnsi="Times New Roman"/>
          <w:szCs w:val="22"/>
        </w:rPr>
        <w:t>zvýšila</w:t>
      </w:r>
      <w:r w:rsidRPr="00C66720">
        <w:rPr>
          <w:rFonts w:ascii="Times New Roman" w:hAnsi="Times New Roman"/>
          <w:szCs w:val="22"/>
        </w:rPr>
        <w:t xml:space="preserve"> o</w:t>
      </w:r>
      <w:r w:rsidR="00185FB4" w:rsidRPr="00C66720">
        <w:rPr>
          <w:rFonts w:ascii="Times New Roman" w:hAnsi="Times New Roman"/>
          <w:szCs w:val="22"/>
        </w:rPr>
        <w:t> 3 096 210</w:t>
      </w:r>
      <w:r w:rsidR="00C37197" w:rsidRPr="00C66720">
        <w:rPr>
          <w:rFonts w:ascii="Times New Roman" w:hAnsi="Times New Roman"/>
          <w:szCs w:val="22"/>
        </w:rPr>
        <w:t xml:space="preserve"> tis. eur.</w:t>
      </w:r>
      <w:r w:rsidR="005456A5" w:rsidRPr="00C66720">
        <w:rPr>
          <w:rFonts w:ascii="Times New Roman" w:hAnsi="Times New Roman"/>
          <w:szCs w:val="22"/>
        </w:rPr>
        <w:t xml:space="preserve"> </w:t>
      </w:r>
      <w:r w:rsidR="00D92EA8" w:rsidRPr="00C66720">
        <w:rPr>
          <w:rFonts w:ascii="Times New Roman" w:hAnsi="Times New Roman"/>
          <w:szCs w:val="22"/>
        </w:rPr>
        <w:t>V roku 2022</w:t>
      </w:r>
      <w:r w:rsidR="005456A5" w:rsidRPr="00C66720">
        <w:rPr>
          <w:rFonts w:ascii="Times New Roman" w:hAnsi="Times New Roman"/>
          <w:szCs w:val="22"/>
        </w:rPr>
        <w:t xml:space="preserve"> neboli emitované štátne pokladničné poukážky</w:t>
      </w:r>
      <w:r w:rsidR="00F95637" w:rsidRPr="00C66720">
        <w:rPr>
          <w:rFonts w:ascii="Times New Roman" w:hAnsi="Times New Roman"/>
          <w:szCs w:val="22"/>
        </w:rPr>
        <w:t>.</w:t>
      </w:r>
    </w:p>
    <w:p w14:paraId="0350C034" w14:textId="38981DD2" w:rsidR="00DD2C5F" w:rsidRPr="00C66720" w:rsidRDefault="00DD2C5F" w:rsidP="008F097E">
      <w:pPr>
        <w:pStyle w:val="Pismenka"/>
        <w:numPr>
          <w:ilvl w:val="0"/>
          <w:numId w:val="44"/>
        </w:numPr>
        <w:spacing w:after="120"/>
        <w:ind w:left="284" w:hanging="284"/>
        <w:rPr>
          <w:i/>
          <w:sz w:val="22"/>
          <w:szCs w:val="22"/>
          <w:u w:val="single"/>
        </w:rPr>
      </w:pPr>
      <w:bookmarkStart w:id="40" w:name="_Ref86092194"/>
      <w:r w:rsidRPr="00C66720">
        <w:rPr>
          <w:i/>
          <w:sz w:val="22"/>
          <w:szCs w:val="22"/>
          <w:u w:val="single"/>
        </w:rPr>
        <w:t>Dodávatelia</w:t>
      </w:r>
      <w:bookmarkEnd w:id="40"/>
    </w:p>
    <w:p w14:paraId="3A6D49BB" w14:textId="39516C84" w:rsidR="00DD2C5F" w:rsidRPr="00C66720" w:rsidRDefault="00DD2C5F" w:rsidP="00174C47">
      <w:pPr>
        <w:spacing w:after="120" w:line="240" w:lineRule="auto"/>
        <w:jc w:val="both"/>
        <w:rPr>
          <w:rFonts w:ascii="Times New Roman" w:hAnsi="Times New Roman"/>
          <w:szCs w:val="22"/>
        </w:rPr>
      </w:pPr>
      <w:r w:rsidRPr="00C66720">
        <w:rPr>
          <w:rFonts w:ascii="Times New Roman" w:hAnsi="Times New Roman"/>
          <w:szCs w:val="22"/>
        </w:rPr>
        <w:t xml:space="preserve">Záväzky voči dodávateľom dosiahli </w:t>
      </w:r>
      <w:r w:rsidR="00B366AD" w:rsidRPr="00C66720">
        <w:rPr>
          <w:rFonts w:ascii="Times New Roman" w:hAnsi="Times New Roman"/>
          <w:szCs w:val="22"/>
        </w:rPr>
        <w:t>1 974 791</w:t>
      </w:r>
      <w:r w:rsidRPr="00C66720">
        <w:rPr>
          <w:rFonts w:ascii="Times New Roman" w:hAnsi="Times New Roman"/>
          <w:szCs w:val="22"/>
        </w:rPr>
        <w:t xml:space="preserve"> tis. eur a medziročne sú vyššie o</w:t>
      </w:r>
      <w:r w:rsidR="00B366AD" w:rsidRPr="00C66720">
        <w:rPr>
          <w:rFonts w:ascii="Times New Roman" w:hAnsi="Times New Roman"/>
          <w:szCs w:val="22"/>
        </w:rPr>
        <w:t> 280 929</w:t>
      </w:r>
      <w:r w:rsidRPr="00C66720">
        <w:rPr>
          <w:rFonts w:ascii="Times New Roman" w:hAnsi="Times New Roman"/>
          <w:szCs w:val="22"/>
        </w:rPr>
        <w:t xml:space="preserve"> tis. eur. Subjekty ústrednej správy vykázali </w:t>
      </w:r>
      <w:r w:rsidR="00B366AD" w:rsidRPr="00C66720">
        <w:rPr>
          <w:rFonts w:ascii="Times New Roman" w:hAnsi="Times New Roman"/>
          <w:szCs w:val="22"/>
        </w:rPr>
        <w:t>1 612 282</w:t>
      </w:r>
      <w:r w:rsidRPr="00C66720">
        <w:rPr>
          <w:rFonts w:ascii="Times New Roman" w:hAnsi="Times New Roman"/>
          <w:szCs w:val="22"/>
        </w:rPr>
        <w:t xml:space="preserve"> tis. eur, subjekty územnej samosprávy </w:t>
      </w:r>
      <w:r w:rsidR="00B366AD" w:rsidRPr="00C66720">
        <w:rPr>
          <w:rFonts w:ascii="Times New Roman" w:hAnsi="Times New Roman"/>
          <w:szCs w:val="22"/>
        </w:rPr>
        <w:t>304 621</w:t>
      </w:r>
      <w:r w:rsidRPr="00C66720">
        <w:rPr>
          <w:rFonts w:ascii="Times New Roman" w:hAnsi="Times New Roman"/>
          <w:szCs w:val="22"/>
        </w:rPr>
        <w:t xml:space="preserve"> tis. eur a ostatné subjekty </w:t>
      </w:r>
      <w:r w:rsidR="00B366AD" w:rsidRPr="00C66720">
        <w:rPr>
          <w:rFonts w:ascii="Times New Roman" w:hAnsi="Times New Roman"/>
          <w:szCs w:val="22"/>
        </w:rPr>
        <w:t>57 889</w:t>
      </w:r>
      <w:r w:rsidRPr="00C66720">
        <w:rPr>
          <w:rFonts w:ascii="Times New Roman" w:hAnsi="Times New Roman"/>
          <w:szCs w:val="22"/>
        </w:rPr>
        <w:t xml:space="preserve"> tis. eur. </w:t>
      </w:r>
    </w:p>
    <w:p w14:paraId="0AC54C47" w14:textId="1FFFF707" w:rsidR="000A2B4A" w:rsidRPr="00C66720" w:rsidRDefault="00DD2C5F" w:rsidP="00174C47">
      <w:pPr>
        <w:spacing w:after="120" w:line="240" w:lineRule="auto"/>
        <w:jc w:val="both"/>
        <w:rPr>
          <w:rFonts w:ascii="Times New Roman" w:hAnsi="Times New Roman"/>
          <w:color w:val="FF0000"/>
          <w:szCs w:val="22"/>
          <w:highlight w:val="yellow"/>
        </w:rPr>
      </w:pPr>
      <w:r w:rsidRPr="00C66720">
        <w:rPr>
          <w:rFonts w:ascii="Times New Roman" w:hAnsi="Times New Roman"/>
          <w:szCs w:val="22"/>
        </w:rPr>
        <w:t xml:space="preserve">V rámci ústrednej správy vykazujú najvyššiu hodnotu krátkodobých záväzkov voči dodávateľom </w:t>
      </w:r>
      <w:r w:rsidR="00900E42" w:rsidRPr="00C66720">
        <w:rPr>
          <w:rFonts w:ascii="Times New Roman" w:hAnsi="Times New Roman"/>
          <w:szCs w:val="22"/>
        </w:rPr>
        <w:br/>
      </w:r>
      <w:r w:rsidR="000A2B4A" w:rsidRPr="00C66720">
        <w:rPr>
          <w:rFonts w:ascii="Times New Roman" w:hAnsi="Times New Roman"/>
          <w:szCs w:val="22"/>
        </w:rPr>
        <w:t xml:space="preserve">SPP, a.s. </w:t>
      </w:r>
      <w:r w:rsidR="006B4246" w:rsidRPr="00C66720">
        <w:rPr>
          <w:rFonts w:ascii="Times New Roman" w:hAnsi="Times New Roman"/>
          <w:szCs w:val="22"/>
        </w:rPr>
        <w:t>526 504</w:t>
      </w:r>
      <w:r w:rsidR="000A2B4A" w:rsidRPr="00C66720">
        <w:rPr>
          <w:rFonts w:ascii="Times New Roman" w:hAnsi="Times New Roman"/>
          <w:szCs w:val="22"/>
        </w:rPr>
        <w:t xml:space="preserve"> tis. eur, Slovenská elektrizačná prenosová sústava, a.s. </w:t>
      </w:r>
      <w:r w:rsidR="008C761D" w:rsidRPr="00C66720">
        <w:rPr>
          <w:rFonts w:ascii="Times New Roman" w:hAnsi="Times New Roman"/>
          <w:szCs w:val="22"/>
        </w:rPr>
        <w:t>261 413</w:t>
      </w:r>
      <w:r w:rsidR="000A2B4A" w:rsidRPr="00C66720">
        <w:rPr>
          <w:rFonts w:ascii="Times New Roman" w:hAnsi="Times New Roman"/>
          <w:szCs w:val="22"/>
        </w:rPr>
        <w:t xml:space="preserve"> tis. eur, Národná diaľničná spoločnosť, a.s. </w:t>
      </w:r>
      <w:r w:rsidR="008C761D" w:rsidRPr="00C66720">
        <w:rPr>
          <w:rFonts w:ascii="Times New Roman" w:hAnsi="Times New Roman"/>
          <w:szCs w:val="22"/>
        </w:rPr>
        <w:t>130 068</w:t>
      </w:r>
      <w:r w:rsidR="000A2B4A" w:rsidRPr="00C66720">
        <w:rPr>
          <w:rFonts w:ascii="Times New Roman" w:hAnsi="Times New Roman"/>
          <w:szCs w:val="22"/>
        </w:rPr>
        <w:t xml:space="preserve"> tis. eur, Ministerstvo dopravy SR </w:t>
      </w:r>
      <w:r w:rsidR="008C761D" w:rsidRPr="00C66720">
        <w:rPr>
          <w:rFonts w:ascii="Times New Roman" w:hAnsi="Times New Roman"/>
          <w:szCs w:val="22"/>
        </w:rPr>
        <w:t>62 364</w:t>
      </w:r>
      <w:r w:rsidR="000A2B4A" w:rsidRPr="00C66720">
        <w:rPr>
          <w:rFonts w:ascii="Times New Roman" w:hAnsi="Times New Roman"/>
          <w:szCs w:val="22"/>
        </w:rPr>
        <w:t xml:space="preserve"> tis. eur, Univerzitná nemocnica Bratislava </w:t>
      </w:r>
      <w:r w:rsidR="000C061F" w:rsidRPr="00C66720">
        <w:rPr>
          <w:rFonts w:ascii="Times New Roman" w:hAnsi="Times New Roman"/>
          <w:szCs w:val="22"/>
        </w:rPr>
        <w:t>54 462</w:t>
      </w:r>
      <w:r w:rsidR="000A2B4A" w:rsidRPr="00C66720">
        <w:rPr>
          <w:rFonts w:ascii="Times New Roman" w:hAnsi="Times New Roman"/>
          <w:szCs w:val="22"/>
        </w:rPr>
        <w:t xml:space="preserve"> tis. eur</w:t>
      </w:r>
      <w:r w:rsidR="000C061F" w:rsidRPr="00C66720">
        <w:rPr>
          <w:rFonts w:ascii="Times New Roman" w:hAnsi="Times New Roman"/>
          <w:szCs w:val="22"/>
        </w:rPr>
        <w:t xml:space="preserve"> a Železnice Slovenskej republiky 51 593 tis. eur.</w:t>
      </w:r>
    </w:p>
    <w:p w14:paraId="0FDC5116" w14:textId="0907B7FD" w:rsidR="00DD2C5F" w:rsidRPr="00C66720" w:rsidRDefault="00DD2C5F" w:rsidP="00174C47">
      <w:pPr>
        <w:spacing w:after="120" w:line="240" w:lineRule="auto"/>
        <w:jc w:val="both"/>
        <w:rPr>
          <w:rFonts w:ascii="Times New Roman" w:hAnsi="Times New Roman"/>
          <w:szCs w:val="22"/>
        </w:rPr>
      </w:pPr>
      <w:r w:rsidRPr="00C66720">
        <w:rPr>
          <w:rFonts w:ascii="Times New Roman" w:hAnsi="Times New Roman"/>
          <w:szCs w:val="22"/>
        </w:rPr>
        <w:t>Na medziročnom zvýšení hodnoty záväzkov voči dodávateľom o</w:t>
      </w:r>
      <w:r w:rsidR="003D077F" w:rsidRPr="00C66720">
        <w:rPr>
          <w:rFonts w:ascii="Times New Roman" w:hAnsi="Times New Roman"/>
          <w:szCs w:val="22"/>
        </w:rPr>
        <w:t> 280 929</w:t>
      </w:r>
      <w:r w:rsidR="00E76166" w:rsidRPr="00C66720">
        <w:rPr>
          <w:rFonts w:ascii="Times New Roman" w:hAnsi="Times New Roman"/>
          <w:szCs w:val="22"/>
        </w:rPr>
        <w:t xml:space="preserve"> </w:t>
      </w:r>
      <w:r w:rsidRPr="00C66720">
        <w:rPr>
          <w:rFonts w:ascii="Times New Roman" w:hAnsi="Times New Roman"/>
          <w:szCs w:val="22"/>
        </w:rPr>
        <w:t xml:space="preserve">tis. eur sa ústredná správa podieľala sumou </w:t>
      </w:r>
      <w:r w:rsidR="003D077F" w:rsidRPr="00C66720">
        <w:rPr>
          <w:rFonts w:ascii="Times New Roman" w:hAnsi="Times New Roman"/>
          <w:szCs w:val="22"/>
        </w:rPr>
        <w:t>196 075</w:t>
      </w:r>
      <w:r w:rsidRPr="00C66720">
        <w:rPr>
          <w:rFonts w:ascii="Times New Roman" w:hAnsi="Times New Roman"/>
          <w:szCs w:val="22"/>
        </w:rPr>
        <w:t xml:space="preserve"> tis. eur a územná samospráva spolu </w:t>
      </w:r>
      <w:r w:rsidR="003D077F" w:rsidRPr="00C66720">
        <w:rPr>
          <w:rFonts w:ascii="Times New Roman" w:hAnsi="Times New Roman"/>
          <w:szCs w:val="22"/>
        </w:rPr>
        <w:t>75 207</w:t>
      </w:r>
      <w:r w:rsidR="00E76166" w:rsidRPr="00C66720">
        <w:rPr>
          <w:rFonts w:ascii="Times New Roman" w:hAnsi="Times New Roman"/>
          <w:szCs w:val="22"/>
        </w:rPr>
        <w:t xml:space="preserve"> tis. eur. U</w:t>
      </w:r>
      <w:r w:rsidRPr="00C66720">
        <w:rPr>
          <w:rFonts w:ascii="Times New Roman" w:hAnsi="Times New Roman"/>
          <w:szCs w:val="22"/>
        </w:rPr>
        <w:t xml:space="preserve"> ostatných subjektoch tieto záväzky </w:t>
      </w:r>
      <w:r w:rsidR="00E76166" w:rsidRPr="00C66720">
        <w:rPr>
          <w:rFonts w:ascii="Times New Roman" w:hAnsi="Times New Roman"/>
          <w:szCs w:val="22"/>
        </w:rPr>
        <w:t>vzrástli</w:t>
      </w:r>
      <w:r w:rsidRPr="00C66720">
        <w:rPr>
          <w:rFonts w:ascii="Times New Roman" w:hAnsi="Times New Roman"/>
          <w:szCs w:val="22"/>
        </w:rPr>
        <w:t xml:space="preserve"> o</w:t>
      </w:r>
      <w:r w:rsidR="003D077F" w:rsidRPr="00C66720">
        <w:rPr>
          <w:rFonts w:ascii="Times New Roman" w:hAnsi="Times New Roman"/>
          <w:szCs w:val="22"/>
        </w:rPr>
        <w:t> 9 647</w:t>
      </w:r>
      <w:r w:rsidRPr="00C66720">
        <w:rPr>
          <w:rFonts w:ascii="Times New Roman" w:hAnsi="Times New Roman"/>
          <w:szCs w:val="22"/>
        </w:rPr>
        <w:t xml:space="preserve"> tis. eur.</w:t>
      </w:r>
    </w:p>
    <w:p w14:paraId="32AF65E4" w14:textId="6F69E134" w:rsidR="009E5803" w:rsidRPr="00C66720" w:rsidRDefault="00DD2C5F" w:rsidP="00174C47">
      <w:pPr>
        <w:spacing w:after="120" w:line="240" w:lineRule="auto"/>
        <w:jc w:val="both"/>
        <w:rPr>
          <w:rFonts w:ascii="Times New Roman" w:hAnsi="Times New Roman"/>
          <w:szCs w:val="22"/>
        </w:rPr>
      </w:pPr>
      <w:r w:rsidRPr="00C66720">
        <w:rPr>
          <w:rFonts w:ascii="Times New Roman" w:hAnsi="Times New Roman"/>
          <w:szCs w:val="22"/>
        </w:rPr>
        <w:t xml:space="preserve">Nárast v rámci ústrednej správy bol spôsobený najmä vyššími záväzkami </w:t>
      </w:r>
      <w:r w:rsidR="00E76166" w:rsidRPr="00C66720">
        <w:rPr>
          <w:rFonts w:ascii="Times New Roman" w:hAnsi="Times New Roman"/>
          <w:szCs w:val="22"/>
        </w:rPr>
        <w:t>SPP, a.s. o</w:t>
      </w:r>
      <w:r w:rsidR="00494EB7" w:rsidRPr="00C66720">
        <w:rPr>
          <w:rFonts w:ascii="Times New Roman" w:hAnsi="Times New Roman"/>
          <w:szCs w:val="22"/>
        </w:rPr>
        <w:t> 221 772</w:t>
      </w:r>
      <w:r w:rsidR="00E76166" w:rsidRPr="00C66720">
        <w:rPr>
          <w:rFonts w:ascii="Times New Roman" w:hAnsi="Times New Roman"/>
          <w:szCs w:val="22"/>
        </w:rPr>
        <w:t xml:space="preserve"> tis. eur </w:t>
      </w:r>
      <w:r w:rsidR="00CB0BDC" w:rsidRPr="00C66720">
        <w:rPr>
          <w:rFonts w:ascii="Times New Roman" w:hAnsi="Times New Roman"/>
          <w:szCs w:val="22"/>
        </w:rPr>
        <w:t xml:space="preserve">z dôvodu zvýšenia hodnoty záväzkov z nákupu zemného plynu </w:t>
      </w:r>
      <w:r w:rsidR="00870F91" w:rsidRPr="00C66720">
        <w:rPr>
          <w:rFonts w:ascii="Times New Roman" w:hAnsi="Times New Roman"/>
          <w:szCs w:val="22"/>
        </w:rPr>
        <w:t>z dôvodu predzásobenia sa touto komoditou pri jej rastúcej trhovej cene.</w:t>
      </w:r>
      <w:r w:rsidR="00CB0BDC" w:rsidRPr="00C66720">
        <w:rPr>
          <w:rFonts w:ascii="Times New Roman" w:hAnsi="Times New Roman"/>
          <w:szCs w:val="22"/>
        </w:rPr>
        <w:t xml:space="preserve"> </w:t>
      </w:r>
      <w:r w:rsidR="008F4B90" w:rsidRPr="00C66720">
        <w:rPr>
          <w:rFonts w:ascii="Times New Roman" w:hAnsi="Times New Roman"/>
          <w:szCs w:val="22"/>
        </w:rPr>
        <w:t>Ďalej nasleduje nárast záväzkov voči dodávateľom v prípade Slovenskej elektrizačnej prenosovej sústavy, a.s. o</w:t>
      </w:r>
      <w:r w:rsidR="008A31CE" w:rsidRPr="00C66720">
        <w:rPr>
          <w:rFonts w:ascii="Times New Roman" w:hAnsi="Times New Roman"/>
          <w:szCs w:val="22"/>
        </w:rPr>
        <w:t> 104 215</w:t>
      </w:r>
      <w:r w:rsidR="008F4B90" w:rsidRPr="00C66720">
        <w:rPr>
          <w:rFonts w:ascii="Times New Roman" w:hAnsi="Times New Roman"/>
          <w:szCs w:val="22"/>
        </w:rPr>
        <w:t xml:space="preserve"> tis. eur</w:t>
      </w:r>
      <w:r w:rsidR="008A31CE" w:rsidRPr="00C66720">
        <w:rPr>
          <w:rFonts w:ascii="Times New Roman" w:hAnsi="Times New Roman"/>
          <w:szCs w:val="22"/>
        </w:rPr>
        <w:t xml:space="preserve">. </w:t>
      </w:r>
      <w:r w:rsidRPr="00C66720">
        <w:rPr>
          <w:rFonts w:ascii="Times New Roman" w:hAnsi="Times New Roman"/>
          <w:szCs w:val="22"/>
        </w:rPr>
        <w:t xml:space="preserve">Naopak medziročne poklesli záväzky </w:t>
      </w:r>
      <w:r w:rsidR="009E5803" w:rsidRPr="00C66720">
        <w:rPr>
          <w:rFonts w:ascii="Times New Roman" w:hAnsi="Times New Roman"/>
          <w:szCs w:val="22"/>
        </w:rPr>
        <w:t>Ministerstva zdravotníctva SR (o 42 948 tis. eur) a nemocníc (o 69 562 tis. eur) z dôvodu realizácie Koncepcie oddlžovania zdravotníckych zariadení z roku 2017.</w:t>
      </w:r>
    </w:p>
    <w:p w14:paraId="5DC72447" w14:textId="4438C8A3" w:rsidR="00DD2C5F" w:rsidRPr="00C66720" w:rsidRDefault="00DD2C5F" w:rsidP="00174C47">
      <w:pPr>
        <w:spacing w:after="120" w:line="240" w:lineRule="auto"/>
        <w:jc w:val="both"/>
        <w:rPr>
          <w:rFonts w:ascii="Times New Roman" w:hAnsi="Times New Roman"/>
          <w:szCs w:val="22"/>
        </w:rPr>
      </w:pPr>
      <w:r w:rsidRPr="00C66720">
        <w:rPr>
          <w:rFonts w:ascii="Times New Roman" w:hAnsi="Times New Roman"/>
          <w:szCs w:val="22"/>
        </w:rPr>
        <w:t>Celkové záväzky voči dodávateľom obchodných spoločností v ústrednej správe boli medziročne vyššie o</w:t>
      </w:r>
      <w:r w:rsidR="00AE3A50" w:rsidRPr="00C66720">
        <w:rPr>
          <w:rFonts w:ascii="Times New Roman" w:hAnsi="Times New Roman"/>
          <w:szCs w:val="22"/>
        </w:rPr>
        <w:t> 324 487</w:t>
      </w:r>
      <w:r w:rsidRPr="00C66720">
        <w:rPr>
          <w:rFonts w:ascii="Times New Roman" w:hAnsi="Times New Roman"/>
          <w:szCs w:val="22"/>
        </w:rPr>
        <w:t xml:space="preserve"> tis. eur a dosiahli </w:t>
      </w:r>
      <w:r w:rsidR="00AE3A50" w:rsidRPr="00C66720">
        <w:rPr>
          <w:rFonts w:ascii="Times New Roman" w:hAnsi="Times New Roman"/>
          <w:szCs w:val="22"/>
        </w:rPr>
        <w:t>1 062 629</w:t>
      </w:r>
      <w:r w:rsidRPr="00C66720">
        <w:rPr>
          <w:rFonts w:ascii="Times New Roman" w:hAnsi="Times New Roman"/>
          <w:szCs w:val="22"/>
        </w:rPr>
        <w:t xml:space="preserve"> tis. eur. </w:t>
      </w:r>
    </w:p>
    <w:p w14:paraId="3ABFF91C" w14:textId="7A655DCF" w:rsidR="00AF343B" w:rsidRPr="00C66720" w:rsidRDefault="00AF343B" w:rsidP="00436D9D">
      <w:pPr>
        <w:pStyle w:val="Pismenka"/>
        <w:numPr>
          <w:ilvl w:val="0"/>
          <w:numId w:val="44"/>
        </w:numPr>
        <w:spacing w:before="240" w:after="120"/>
        <w:ind w:left="284" w:hanging="284"/>
        <w:rPr>
          <w:i/>
          <w:sz w:val="22"/>
          <w:szCs w:val="22"/>
          <w:u w:val="single"/>
        </w:rPr>
      </w:pPr>
      <w:bookmarkStart w:id="41" w:name="_Ref86092206"/>
      <w:r w:rsidRPr="00C66720">
        <w:rPr>
          <w:i/>
          <w:sz w:val="22"/>
          <w:szCs w:val="22"/>
          <w:u w:val="single"/>
        </w:rPr>
        <w:lastRenderedPageBreak/>
        <w:t>Záväzky zo zúčtovania s EÚ</w:t>
      </w:r>
      <w:bookmarkEnd w:id="41"/>
    </w:p>
    <w:p w14:paraId="4474D4AD" w14:textId="50285888" w:rsidR="00AE003C" w:rsidRPr="00C66720" w:rsidRDefault="002200FD" w:rsidP="00174C47">
      <w:pPr>
        <w:spacing w:after="120" w:line="240" w:lineRule="auto"/>
        <w:jc w:val="both"/>
        <w:rPr>
          <w:rFonts w:ascii="Times New Roman" w:hAnsi="Times New Roman"/>
          <w:szCs w:val="22"/>
        </w:rPr>
      </w:pPr>
      <w:r w:rsidRPr="00C66720">
        <w:rPr>
          <w:rFonts w:ascii="Times New Roman" w:hAnsi="Times New Roman"/>
          <w:szCs w:val="22"/>
        </w:rPr>
        <w:t xml:space="preserve">Záväzky zo zúčtovania s EÚ dosiahli úhrnom </w:t>
      </w:r>
      <w:r w:rsidR="00B94144" w:rsidRPr="00C66720">
        <w:rPr>
          <w:rFonts w:ascii="Times New Roman" w:hAnsi="Times New Roman"/>
          <w:szCs w:val="22"/>
        </w:rPr>
        <w:t>4 130 293</w:t>
      </w:r>
      <w:r w:rsidRPr="00C66720">
        <w:rPr>
          <w:rFonts w:ascii="Times New Roman" w:hAnsi="Times New Roman"/>
          <w:bCs/>
          <w:sz w:val="20"/>
          <w:szCs w:val="20"/>
          <w:lang w:eastAsia="sk-SK"/>
        </w:rPr>
        <w:t xml:space="preserve"> </w:t>
      </w:r>
      <w:r w:rsidRPr="00C66720">
        <w:rPr>
          <w:rFonts w:ascii="Times New Roman" w:hAnsi="Times New Roman"/>
          <w:szCs w:val="22"/>
        </w:rPr>
        <w:t>tis. eur, z toho ústredná správa vykazuje</w:t>
      </w:r>
      <w:r w:rsidRPr="00C66720">
        <w:rPr>
          <w:rFonts w:ascii="Times New Roman" w:hAnsi="Times New Roman"/>
          <w:szCs w:val="22"/>
        </w:rPr>
        <w:br/>
      </w:r>
      <w:r w:rsidR="00BB1B58" w:rsidRPr="00C66720">
        <w:rPr>
          <w:rFonts w:ascii="Times New Roman" w:hAnsi="Times New Roman"/>
          <w:szCs w:val="22"/>
        </w:rPr>
        <w:t>4 124 254</w:t>
      </w:r>
      <w:r w:rsidRPr="00C66720">
        <w:rPr>
          <w:rFonts w:ascii="Times New Roman" w:hAnsi="Times New Roman"/>
          <w:szCs w:val="22"/>
        </w:rPr>
        <w:t xml:space="preserve"> tis. eur</w:t>
      </w:r>
      <w:r w:rsidR="002E4869" w:rsidRPr="00C66720">
        <w:rPr>
          <w:rFonts w:ascii="Times New Roman" w:hAnsi="Times New Roman"/>
          <w:szCs w:val="22"/>
        </w:rPr>
        <w:t xml:space="preserve"> a subjekty územnej samosprávy </w:t>
      </w:r>
      <w:r w:rsidR="00BB1B58" w:rsidRPr="00C66720">
        <w:rPr>
          <w:rFonts w:ascii="Times New Roman" w:hAnsi="Times New Roman"/>
          <w:szCs w:val="22"/>
        </w:rPr>
        <w:t>6 036</w:t>
      </w:r>
      <w:r w:rsidR="002E4869" w:rsidRPr="00C66720">
        <w:rPr>
          <w:rFonts w:ascii="Times New Roman" w:hAnsi="Times New Roman"/>
          <w:szCs w:val="22"/>
        </w:rPr>
        <w:t xml:space="preserve"> tis. eur</w:t>
      </w:r>
      <w:r w:rsidRPr="00C66720">
        <w:rPr>
          <w:rFonts w:ascii="Times New Roman" w:hAnsi="Times New Roman"/>
          <w:szCs w:val="22"/>
        </w:rPr>
        <w:t>. Ide o zúčtovanie prijatých prostriedkov z rozpočtu EÚ a iných finančných nástrojov. Najväčšiu časť záväzku vykazuje</w:t>
      </w:r>
      <w:r w:rsidR="00905E16" w:rsidRPr="00C66720">
        <w:rPr>
          <w:rFonts w:ascii="Times New Roman" w:hAnsi="Times New Roman"/>
          <w:szCs w:val="22"/>
        </w:rPr>
        <w:t xml:space="preserve"> kapitola</w:t>
      </w:r>
      <w:r w:rsidRPr="00C66720">
        <w:rPr>
          <w:rFonts w:ascii="Times New Roman" w:hAnsi="Times New Roman"/>
          <w:szCs w:val="22"/>
        </w:rPr>
        <w:t xml:space="preserve"> Ministerstv</w:t>
      </w:r>
      <w:r w:rsidR="00905E16" w:rsidRPr="00C66720">
        <w:rPr>
          <w:rFonts w:ascii="Times New Roman" w:hAnsi="Times New Roman"/>
          <w:szCs w:val="22"/>
        </w:rPr>
        <w:t>a</w:t>
      </w:r>
      <w:r w:rsidRPr="00C66720">
        <w:rPr>
          <w:rFonts w:ascii="Times New Roman" w:hAnsi="Times New Roman"/>
          <w:szCs w:val="22"/>
        </w:rPr>
        <w:t xml:space="preserve"> financií (1</w:t>
      </w:r>
      <w:r w:rsidR="00464A41" w:rsidRPr="00C66720">
        <w:rPr>
          <w:rFonts w:ascii="Times New Roman" w:hAnsi="Times New Roman"/>
          <w:szCs w:val="22"/>
        </w:rPr>
        <w:t> 635 011</w:t>
      </w:r>
      <w:r w:rsidRPr="00C66720">
        <w:rPr>
          <w:rFonts w:ascii="Times New Roman" w:hAnsi="Times New Roman"/>
          <w:szCs w:val="22"/>
        </w:rPr>
        <w:t xml:space="preserve"> tis. eur) </w:t>
      </w:r>
      <w:r w:rsidR="00905E16" w:rsidRPr="00C66720">
        <w:rPr>
          <w:rFonts w:ascii="Times New Roman" w:hAnsi="Times New Roman"/>
          <w:szCs w:val="22"/>
        </w:rPr>
        <w:t>a kapitola Úrad vlády SR (</w:t>
      </w:r>
      <w:r w:rsidR="00464A41" w:rsidRPr="00C66720">
        <w:rPr>
          <w:rFonts w:ascii="Times New Roman" w:hAnsi="Times New Roman"/>
          <w:szCs w:val="22"/>
        </w:rPr>
        <w:t>1 177 368</w:t>
      </w:r>
      <w:r w:rsidR="00905E16" w:rsidRPr="00C66720">
        <w:rPr>
          <w:rFonts w:ascii="Times New Roman" w:hAnsi="Times New Roman"/>
          <w:szCs w:val="22"/>
        </w:rPr>
        <w:t xml:space="preserve"> tis. eur)</w:t>
      </w:r>
      <w:r w:rsidR="00312B6E" w:rsidRPr="00C66720">
        <w:rPr>
          <w:rFonts w:ascii="Times New Roman" w:hAnsi="Times New Roman"/>
          <w:szCs w:val="22"/>
        </w:rPr>
        <w:t xml:space="preserve">. Ministerstvo financií </w:t>
      </w:r>
      <w:r w:rsidRPr="00C66720">
        <w:rPr>
          <w:rFonts w:ascii="Times New Roman" w:hAnsi="Times New Roman"/>
          <w:szCs w:val="22"/>
        </w:rPr>
        <w:t xml:space="preserve">ako certifikačný orgán, ktorý prijíma a následne poskytuje prostriedky na financovanie projektov </w:t>
      </w:r>
      <w:r w:rsidR="00021899">
        <w:rPr>
          <w:rFonts w:ascii="Times New Roman" w:hAnsi="Times New Roman"/>
          <w:szCs w:val="22"/>
        </w:rPr>
        <w:br/>
      </w:r>
      <w:r w:rsidRPr="00C66720">
        <w:rPr>
          <w:rFonts w:ascii="Times New Roman" w:hAnsi="Times New Roman"/>
          <w:szCs w:val="22"/>
        </w:rPr>
        <w:t>zo štrukturálnych fondov, Kohézneho fondu a iných finančných nástrojov. Zúčtovanie s EÚ v správe Ministerstva financií SR zahŕňa okrem zúčtovacích vzťahov voči orgánom EÚ, vrátane záväzkov z titulu vlastných zdrojov EÚ</w:t>
      </w:r>
      <w:r w:rsidR="002E6110" w:rsidRPr="00C66720">
        <w:rPr>
          <w:rFonts w:ascii="Times New Roman" w:hAnsi="Times New Roman"/>
          <w:szCs w:val="22"/>
        </w:rPr>
        <w:t xml:space="preserve"> Celková hodnota tohto záväzku bola 1</w:t>
      </w:r>
      <w:r w:rsidR="00361356" w:rsidRPr="00C66720">
        <w:rPr>
          <w:rFonts w:ascii="Times New Roman" w:hAnsi="Times New Roman"/>
          <w:szCs w:val="22"/>
        </w:rPr>
        <w:t> 634 645</w:t>
      </w:r>
      <w:r w:rsidR="002E6110" w:rsidRPr="00C66720">
        <w:rPr>
          <w:rFonts w:ascii="Times New Roman" w:hAnsi="Times New Roman"/>
          <w:szCs w:val="22"/>
        </w:rPr>
        <w:t xml:space="preserve"> tis. eur, čo predstavovalo </w:t>
      </w:r>
      <w:r w:rsidR="004866DB" w:rsidRPr="00C66720">
        <w:rPr>
          <w:rFonts w:ascii="Times New Roman" w:hAnsi="Times New Roman"/>
          <w:szCs w:val="22"/>
        </w:rPr>
        <w:t>nárast</w:t>
      </w:r>
      <w:r w:rsidR="002E6110" w:rsidRPr="00C66720">
        <w:rPr>
          <w:rFonts w:ascii="Times New Roman" w:hAnsi="Times New Roman"/>
          <w:szCs w:val="22"/>
        </w:rPr>
        <w:t xml:space="preserve"> oproti minulému roku o</w:t>
      </w:r>
      <w:r w:rsidR="00361356" w:rsidRPr="00C66720">
        <w:rPr>
          <w:rFonts w:ascii="Times New Roman" w:hAnsi="Times New Roman"/>
          <w:szCs w:val="22"/>
        </w:rPr>
        <w:t> 368 848</w:t>
      </w:r>
      <w:r w:rsidR="002E6110" w:rsidRPr="00C66720">
        <w:rPr>
          <w:rFonts w:ascii="Times New Roman" w:hAnsi="Times New Roman"/>
          <w:szCs w:val="22"/>
        </w:rPr>
        <w:t xml:space="preserve"> tis. eur.</w:t>
      </w:r>
      <w:r w:rsidRPr="00C66720">
        <w:rPr>
          <w:rFonts w:ascii="Times New Roman" w:hAnsi="Times New Roman"/>
          <w:szCs w:val="22"/>
        </w:rPr>
        <w:t xml:space="preserve"> </w:t>
      </w:r>
      <w:r w:rsidR="00AE003C" w:rsidRPr="00C66720">
        <w:rPr>
          <w:rFonts w:ascii="Times New Roman" w:hAnsi="Times New Roman"/>
          <w:szCs w:val="22"/>
        </w:rPr>
        <w:t xml:space="preserve">Medziročne boli vyššie záväzky zo zúčtovania prostriedkov štrukturálnych fondov, kohézneho fondu a európskeho námorného a rybárskeho fondu pre programové obdobie 2014 – 2020 (o </w:t>
      </w:r>
      <w:r w:rsidR="00CE3EE6" w:rsidRPr="00C66720">
        <w:rPr>
          <w:rFonts w:ascii="Times New Roman" w:hAnsi="Times New Roman"/>
          <w:szCs w:val="22"/>
        </w:rPr>
        <w:t>197 919</w:t>
      </w:r>
      <w:r w:rsidR="00AE003C" w:rsidRPr="00C66720">
        <w:rPr>
          <w:rFonts w:ascii="Times New Roman" w:hAnsi="Times New Roman"/>
          <w:szCs w:val="22"/>
        </w:rPr>
        <w:t xml:space="preserve"> tis. eur)</w:t>
      </w:r>
      <w:r w:rsidR="00CE3EE6" w:rsidRPr="00C66720">
        <w:rPr>
          <w:rFonts w:ascii="Times New Roman" w:hAnsi="Times New Roman"/>
          <w:szCs w:val="22"/>
        </w:rPr>
        <w:t>, európskeho fondu regionálneho rozvoja, európskeho sociálneho fondu +, kohézneho fondu, fondu pre spravodlivú transformáciu a európskeho námorného, rybolovného a akvakultúrneho fondu pre programové obdobie 2021 – 2027 z titulu prijatých zálohových platieb (o 189 427 tis. eur), štrukturálnych fondov, kohézneho fondu a európskeho fondu pre rybné hospodárstvo pre programové obdobie 2004 – 2006 a 2007 – 2013 (4 862 tis. eur)</w:t>
      </w:r>
      <w:r w:rsidR="00725139" w:rsidRPr="00C66720">
        <w:rPr>
          <w:rFonts w:ascii="Times New Roman" w:hAnsi="Times New Roman"/>
          <w:szCs w:val="22"/>
        </w:rPr>
        <w:t xml:space="preserve"> a z dôvodu zvýšenia prostriedkov na osobitnom účte Ministerstva financií vedenom v mene Európskeho rozvojového fondu (o 3 404 tis. eur)</w:t>
      </w:r>
      <w:r w:rsidR="00CE3EE6" w:rsidRPr="00C66720">
        <w:rPr>
          <w:rFonts w:ascii="Times New Roman" w:hAnsi="Times New Roman"/>
          <w:szCs w:val="22"/>
        </w:rPr>
        <w:t>. Naopak, v porovnaní s rokom 2021 pokles</w:t>
      </w:r>
      <w:r w:rsidR="002B5855">
        <w:rPr>
          <w:rFonts w:ascii="Times New Roman" w:hAnsi="Times New Roman"/>
          <w:szCs w:val="22"/>
        </w:rPr>
        <w:t>li</w:t>
      </w:r>
      <w:r w:rsidR="00CE3EE6" w:rsidRPr="00C66720">
        <w:rPr>
          <w:rFonts w:ascii="Times New Roman" w:hAnsi="Times New Roman"/>
          <w:szCs w:val="22"/>
        </w:rPr>
        <w:t xml:space="preserve"> záväzky</w:t>
      </w:r>
      <w:r w:rsidR="00725139" w:rsidRPr="00C66720">
        <w:rPr>
          <w:rFonts w:ascii="Times New Roman" w:hAnsi="Times New Roman"/>
          <w:szCs w:val="22"/>
        </w:rPr>
        <w:t xml:space="preserve"> z titulu vlastných zdrojov EÚ, z dôvodu zníženia prostriedkov na osobitnom účte Ministerstva financií SR vedenom v mene EK </w:t>
      </w:r>
      <w:r w:rsidR="00021899">
        <w:rPr>
          <w:rFonts w:ascii="Times New Roman" w:hAnsi="Times New Roman"/>
          <w:szCs w:val="22"/>
        </w:rPr>
        <w:br/>
      </w:r>
      <w:r w:rsidR="00725139" w:rsidRPr="00C66720">
        <w:rPr>
          <w:rFonts w:ascii="Times New Roman" w:hAnsi="Times New Roman"/>
          <w:szCs w:val="22"/>
        </w:rPr>
        <w:t xml:space="preserve">(o 16 632 tis. eur) a prostriedkov v rámci fondu solidarity z dôvodu použitia prostriedkov </w:t>
      </w:r>
      <w:r w:rsidR="00021899">
        <w:rPr>
          <w:rFonts w:ascii="Times New Roman" w:hAnsi="Times New Roman"/>
          <w:szCs w:val="22"/>
        </w:rPr>
        <w:br/>
      </w:r>
      <w:r w:rsidR="00725139" w:rsidRPr="00C66720">
        <w:rPr>
          <w:rFonts w:ascii="Times New Roman" w:hAnsi="Times New Roman"/>
          <w:szCs w:val="22"/>
        </w:rPr>
        <w:t>(o 11 388 tis. eur).</w:t>
      </w:r>
    </w:p>
    <w:p w14:paraId="257F401A" w14:textId="30A5367A" w:rsidR="00CC3641" w:rsidRPr="00CC3641" w:rsidRDefault="002E4869" w:rsidP="00AF3D8D">
      <w:pPr>
        <w:spacing w:after="120" w:line="240" w:lineRule="auto"/>
        <w:jc w:val="both"/>
        <w:rPr>
          <w:rFonts w:ascii="Times New Roman" w:hAnsi="Times New Roman"/>
        </w:rPr>
      </w:pPr>
      <w:r w:rsidRPr="00C66720">
        <w:rPr>
          <w:rFonts w:ascii="Times New Roman" w:hAnsi="Times New Roman"/>
          <w:szCs w:val="22"/>
        </w:rPr>
        <w:t xml:space="preserve">Úrad vlády SR v sume </w:t>
      </w:r>
      <w:r w:rsidR="00361356" w:rsidRPr="00C66720">
        <w:rPr>
          <w:rFonts w:ascii="Times New Roman" w:hAnsi="Times New Roman"/>
          <w:szCs w:val="22"/>
        </w:rPr>
        <w:t>1 177 368</w:t>
      </w:r>
      <w:r w:rsidRPr="00C66720">
        <w:rPr>
          <w:rFonts w:ascii="Times New Roman" w:hAnsi="Times New Roman"/>
          <w:szCs w:val="22"/>
        </w:rPr>
        <w:t xml:space="preserve"> tis. eur vykazuje najme zostatok prijatých a nepoužitých prostriedkov Národnej </w:t>
      </w:r>
      <w:r w:rsidR="00384ECA" w:rsidRPr="00C66720">
        <w:rPr>
          <w:rFonts w:ascii="Times New Roman" w:hAnsi="Times New Roman"/>
          <w:szCs w:val="22"/>
        </w:rPr>
        <w:t xml:space="preserve">implementačnej a koordinačnej autority v rámci realizácie Mechanizmu </w:t>
      </w:r>
      <w:r w:rsidR="00DE36B6" w:rsidRPr="00C66720">
        <w:rPr>
          <w:rFonts w:ascii="Times New Roman" w:hAnsi="Times New Roman"/>
          <w:szCs w:val="22"/>
        </w:rPr>
        <w:t>p</w:t>
      </w:r>
      <w:r w:rsidR="00384ECA" w:rsidRPr="00C66720">
        <w:rPr>
          <w:rFonts w:ascii="Times New Roman" w:hAnsi="Times New Roman"/>
          <w:szCs w:val="22"/>
        </w:rPr>
        <w:t>lánu obnovy a odolnosti Slovenskej republiky</w:t>
      </w:r>
      <w:r w:rsidR="002B5855">
        <w:rPr>
          <w:rFonts w:ascii="Times New Roman" w:hAnsi="Times New Roman"/>
          <w:szCs w:val="22"/>
        </w:rPr>
        <w:t xml:space="preserve"> (nazývanej ako Plán obnovy a</w:t>
      </w:r>
      <w:r w:rsidR="00661F41">
        <w:rPr>
          <w:rFonts w:ascii="Times New Roman" w:hAnsi="Times New Roman"/>
          <w:szCs w:val="22"/>
        </w:rPr>
        <w:t> </w:t>
      </w:r>
      <w:r w:rsidR="002B5855" w:rsidRPr="00CC3641">
        <w:rPr>
          <w:rFonts w:ascii="Times New Roman" w:hAnsi="Times New Roman"/>
          <w:szCs w:val="22"/>
        </w:rPr>
        <w:t>odolnosti</w:t>
      </w:r>
      <w:r w:rsidR="00661F41" w:rsidRPr="00CC3641">
        <w:rPr>
          <w:rFonts w:ascii="Times New Roman" w:hAnsi="Times New Roman"/>
          <w:szCs w:val="22"/>
        </w:rPr>
        <w:t>)</w:t>
      </w:r>
      <w:r w:rsidR="00384ECA" w:rsidRPr="00CC3641">
        <w:rPr>
          <w:rFonts w:ascii="Times New Roman" w:hAnsi="Times New Roman"/>
          <w:szCs w:val="22"/>
        </w:rPr>
        <w:t>.</w:t>
      </w:r>
      <w:r w:rsidR="00CC3641" w:rsidRPr="00CC3641">
        <w:rPr>
          <w:rFonts w:ascii="Times New Roman" w:hAnsi="Times New Roman"/>
          <w:szCs w:val="22"/>
        </w:rPr>
        <w:t xml:space="preserve"> </w:t>
      </w:r>
      <w:r w:rsidR="00CC3641" w:rsidRPr="00CC3641">
        <w:rPr>
          <w:rFonts w:ascii="Times New Roman" w:hAnsi="Times New Roman"/>
        </w:rPr>
        <w:t>Zostatok na účte pozostáva z viacerých kreditných a debetných operácií. Medzi kreditné operácie patria: platba predbežného financovania vo výške 822 716 </w:t>
      </w:r>
      <w:r w:rsidR="00CC3641">
        <w:rPr>
          <w:rFonts w:ascii="Times New Roman" w:hAnsi="Times New Roman"/>
        </w:rPr>
        <w:t>tis.</w:t>
      </w:r>
      <w:r w:rsidR="00CC3641" w:rsidRPr="00CC3641">
        <w:rPr>
          <w:rFonts w:ascii="Times New Roman" w:hAnsi="Times New Roman"/>
        </w:rPr>
        <w:t> eur, priebežné</w:t>
      </w:r>
      <w:r w:rsidR="00CC3641">
        <w:rPr>
          <w:rFonts w:ascii="Times New Roman" w:hAnsi="Times New Roman"/>
        </w:rPr>
        <w:t xml:space="preserve"> platby v celkovej výške 398 701 tis.</w:t>
      </w:r>
      <w:r w:rsidR="00CC3641" w:rsidRPr="00CC3641">
        <w:rPr>
          <w:rFonts w:ascii="Times New Roman" w:hAnsi="Times New Roman"/>
        </w:rPr>
        <w:t xml:space="preserve"> eur prijatých na základe zaslanej žiadosti o platbu vo výške 458 277 </w:t>
      </w:r>
      <w:r w:rsidR="00CC3641">
        <w:rPr>
          <w:rFonts w:ascii="Times New Roman" w:hAnsi="Times New Roman"/>
        </w:rPr>
        <w:t xml:space="preserve">tis. </w:t>
      </w:r>
      <w:r w:rsidR="00CC3641" w:rsidRPr="00CC3641">
        <w:rPr>
          <w:rFonts w:ascii="Times New Roman" w:hAnsi="Times New Roman"/>
        </w:rPr>
        <w:t>eur zo dňa 29.4.2022 a započítaním platby 59 576 </w:t>
      </w:r>
      <w:r w:rsidR="00CC3641">
        <w:rPr>
          <w:rFonts w:ascii="Times New Roman" w:hAnsi="Times New Roman"/>
        </w:rPr>
        <w:t>tis.</w:t>
      </w:r>
      <w:r w:rsidR="00CC3641" w:rsidRPr="00CC3641">
        <w:rPr>
          <w:rFonts w:ascii="Times New Roman" w:hAnsi="Times New Roman"/>
        </w:rPr>
        <w:t> eur voči platbe predfinancovania</w:t>
      </w:r>
      <w:r w:rsidR="00CC3641">
        <w:rPr>
          <w:rFonts w:ascii="Times New Roman" w:hAnsi="Times New Roman"/>
        </w:rPr>
        <w:t>.</w:t>
      </w:r>
      <w:r w:rsidR="00CC3641" w:rsidRPr="00FF0220">
        <w:rPr>
          <w:rFonts w:ascii="Times New Roman" w:hAnsi="Times New Roman"/>
        </w:rPr>
        <w:t xml:space="preserve"> Do štátneho rozpočtu boli </w:t>
      </w:r>
      <w:r w:rsidR="00CC3641">
        <w:rPr>
          <w:rFonts w:ascii="Times New Roman" w:hAnsi="Times New Roman"/>
        </w:rPr>
        <w:t xml:space="preserve">z účtu </w:t>
      </w:r>
      <w:r w:rsidR="00CC3641" w:rsidRPr="00FF0220">
        <w:rPr>
          <w:rFonts w:ascii="Times New Roman" w:hAnsi="Times New Roman"/>
        </w:rPr>
        <w:t>prevedené prostriedky v salde 44 118 </w:t>
      </w:r>
      <w:r w:rsidR="00CC3641">
        <w:rPr>
          <w:rFonts w:ascii="Times New Roman" w:hAnsi="Times New Roman"/>
        </w:rPr>
        <w:t>tis.</w:t>
      </w:r>
      <w:r w:rsidR="00CC3641" w:rsidRPr="00FF0220">
        <w:rPr>
          <w:rFonts w:ascii="Times New Roman" w:hAnsi="Times New Roman"/>
        </w:rPr>
        <w:t xml:space="preserve"> eur.</w:t>
      </w:r>
    </w:p>
    <w:p w14:paraId="0866B211" w14:textId="77777777" w:rsidR="00FF0220" w:rsidRDefault="009539A7" w:rsidP="00AF3D8D">
      <w:pPr>
        <w:spacing w:after="120" w:line="240" w:lineRule="auto"/>
        <w:jc w:val="both"/>
        <w:rPr>
          <w:rFonts w:ascii="Times New Roman" w:hAnsi="Times New Roman"/>
          <w:szCs w:val="22"/>
        </w:rPr>
      </w:pPr>
      <w:r w:rsidRPr="00C66720">
        <w:rPr>
          <w:rFonts w:ascii="Times New Roman" w:hAnsi="Times New Roman"/>
          <w:szCs w:val="22"/>
        </w:rPr>
        <w:t xml:space="preserve">Ministerstvo životného prostredia SR prijalo prostriedky od Európskej investičnej banky, ktoré sú určené na prioritnú investíciu a štátnu pomoc zacielenú na podporu opatrení na dekarbonizáciu a energetickú efektívnosť pri výrobných procesoch v priemyselných zariadeniach, na zlepšenie energetickej činnosti priemyselných podnikov, ktoré sú súčasťou európskeho systému obchodovania s emisnými kvótami. Zostatok týchto záväzkov k ultimu roka 2022 predstavuje </w:t>
      </w:r>
      <w:r w:rsidRPr="00C66720">
        <w:rPr>
          <w:rFonts w:ascii="Times New Roman" w:hAnsi="Times New Roman"/>
          <w:szCs w:val="22"/>
        </w:rPr>
        <w:br/>
        <w:t>529 852 tis. eur.</w:t>
      </w:r>
    </w:p>
    <w:p w14:paraId="56969FC3" w14:textId="2276183D" w:rsidR="002200FD" w:rsidRPr="00C66720" w:rsidRDefault="002200FD" w:rsidP="00AF3D8D">
      <w:pPr>
        <w:spacing w:after="120" w:line="240" w:lineRule="auto"/>
        <w:jc w:val="both"/>
        <w:rPr>
          <w:rFonts w:ascii="Times New Roman" w:hAnsi="Times New Roman"/>
          <w:szCs w:val="22"/>
        </w:rPr>
      </w:pPr>
      <w:r w:rsidRPr="00C66720">
        <w:rPr>
          <w:rFonts w:ascii="Times New Roman" w:hAnsi="Times New Roman"/>
          <w:szCs w:val="22"/>
        </w:rPr>
        <w:t>Ministerstvo pôdohospodárstva a rozvoja vidieka SR vykazuje prostriedky</w:t>
      </w:r>
      <w:r w:rsidR="009539A7" w:rsidRPr="00C66720">
        <w:rPr>
          <w:rFonts w:ascii="Times New Roman" w:hAnsi="Times New Roman"/>
          <w:szCs w:val="22"/>
        </w:rPr>
        <w:t xml:space="preserve"> EÚ v sume</w:t>
      </w:r>
      <w:r w:rsidRPr="00C66720">
        <w:rPr>
          <w:rFonts w:ascii="Times New Roman" w:hAnsi="Times New Roman"/>
          <w:szCs w:val="22"/>
        </w:rPr>
        <w:t xml:space="preserve"> </w:t>
      </w:r>
      <w:r w:rsidR="001123F1" w:rsidRPr="00C66720">
        <w:rPr>
          <w:rFonts w:ascii="Times New Roman" w:hAnsi="Times New Roman"/>
          <w:szCs w:val="22"/>
        </w:rPr>
        <w:t>360 091</w:t>
      </w:r>
      <w:r w:rsidRPr="00C66720">
        <w:rPr>
          <w:rFonts w:ascii="Times New Roman" w:hAnsi="Times New Roman"/>
          <w:szCs w:val="22"/>
        </w:rPr>
        <w:t> tis. eur, ktorými financuje programy v oblasti poľnohospodárstva a prideľuje priame platby poľnohospodárom.</w:t>
      </w:r>
      <w:r w:rsidR="00AF3D8D" w:rsidRPr="00C66720">
        <w:rPr>
          <w:rFonts w:ascii="Times New Roman" w:hAnsi="Times New Roman"/>
          <w:szCs w:val="22"/>
        </w:rPr>
        <w:t xml:space="preserve"> </w:t>
      </w:r>
      <w:r w:rsidR="001B3683" w:rsidRPr="00C66720">
        <w:rPr>
          <w:rFonts w:ascii="Times New Roman" w:hAnsi="Times New Roman"/>
          <w:szCs w:val="22"/>
        </w:rPr>
        <w:t xml:space="preserve">Ide o prijaté prostriedky z Európskeho poľnohospodárskeho záručného fondu (EAGF), Európskeho poľnohospodárskeho fondu pre rozvoj vidieka (EAFRD) a iné zahraničné dary a granty (napr. prostriedky FOREST EUROPE a projekty lesného hospodárstva). </w:t>
      </w:r>
      <w:r w:rsidR="001123F1" w:rsidRPr="00C66720">
        <w:rPr>
          <w:rFonts w:ascii="Times New Roman" w:hAnsi="Times New Roman"/>
          <w:szCs w:val="22"/>
        </w:rPr>
        <w:t xml:space="preserve">Medziročne boli tieto prostriedky vyššie o 178 937 tis. eur aj v dôsledku ukončenia prerušenia platieb poskytovaných Pôdohospodárskou platobnou agentúrou z prostriedkov Európskeho poľnohospodárskeho fondu pre rozvoj vidieka ako aj pripísaných sankčných úrokov z nezrovnalostí od prijímateľov. </w:t>
      </w:r>
      <w:r w:rsidR="00AF3D8D" w:rsidRPr="00C66720">
        <w:rPr>
          <w:rFonts w:ascii="Times New Roman" w:hAnsi="Times New Roman"/>
          <w:szCs w:val="22"/>
        </w:rPr>
        <w:t>Ďalšiu významnú</w:t>
      </w:r>
      <w:r w:rsidRPr="00C66720">
        <w:rPr>
          <w:rFonts w:ascii="Times New Roman" w:hAnsi="Times New Roman"/>
          <w:szCs w:val="22"/>
        </w:rPr>
        <w:t xml:space="preserve"> hodnotu vykazuje Slovenská inovačná a energetická agentúra (SIEA, štátna príspevková organizácia) </w:t>
      </w:r>
      <w:r w:rsidR="0045020B" w:rsidRPr="00C66720">
        <w:rPr>
          <w:rFonts w:ascii="Times New Roman" w:hAnsi="Times New Roman"/>
          <w:szCs w:val="22"/>
        </w:rPr>
        <w:t xml:space="preserve">145 786 </w:t>
      </w:r>
      <w:r w:rsidRPr="00C66720">
        <w:rPr>
          <w:rFonts w:ascii="Times New Roman" w:hAnsi="Times New Roman"/>
          <w:szCs w:val="22"/>
        </w:rPr>
        <w:t xml:space="preserve">tis. eur, ktorá spravuje prostriedky EÚ v zmysle Dohody o delegovaní programu Bohunice na postupné vyradenie blokov 1 a 2 JE Bohunice V1. </w:t>
      </w:r>
    </w:p>
    <w:p w14:paraId="6AE74FC3" w14:textId="2DF4EFFE" w:rsidR="003F0E47" w:rsidRPr="00C66720" w:rsidRDefault="00D1656E" w:rsidP="00121B80">
      <w:pPr>
        <w:pStyle w:val="Pismenka"/>
        <w:numPr>
          <w:ilvl w:val="0"/>
          <w:numId w:val="44"/>
        </w:numPr>
        <w:spacing w:before="240" w:after="120"/>
        <w:ind w:left="284" w:hanging="284"/>
        <w:rPr>
          <w:szCs w:val="22"/>
        </w:rPr>
      </w:pPr>
      <w:bookmarkStart w:id="42" w:name="_Ref86092219"/>
      <w:r w:rsidRPr="00C66720">
        <w:rPr>
          <w:i/>
          <w:sz w:val="22"/>
          <w:szCs w:val="22"/>
          <w:u w:val="single"/>
        </w:rPr>
        <w:t xml:space="preserve">Zúčtovanie </w:t>
      </w:r>
      <w:r w:rsidR="008E64ED" w:rsidRPr="00C66720">
        <w:rPr>
          <w:i/>
          <w:sz w:val="22"/>
          <w:szCs w:val="22"/>
          <w:u w:val="single"/>
        </w:rPr>
        <w:t>medzi subjektami verejnej správy</w:t>
      </w:r>
      <w:bookmarkEnd w:id="42"/>
    </w:p>
    <w:p w14:paraId="32A067B9" w14:textId="77777777" w:rsidR="002200FD" w:rsidRPr="00C66720" w:rsidRDefault="002200FD" w:rsidP="00174C47">
      <w:pPr>
        <w:pStyle w:val="Pismenka"/>
        <w:tabs>
          <w:tab w:val="clear" w:pos="426"/>
        </w:tabs>
        <w:ind w:left="0" w:firstLine="0"/>
        <w:rPr>
          <w:b w:val="0"/>
          <w:bCs w:val="0"/>
          <w:sz w:val="22"/>
          <w:szCs w:val="22"/>
        </w:rPr>
      </w:pPr>
      <w:r w:rsidRPr="00C66720">
        <w:rPr>
          <w:b w:val="0"/>
          <w:bCs w:val="0"/>
          <w:sz w:val="22"/>
          <w:szCs w:val="22"/>
        </w:rPr>
        <w:t>Zúčtovacie vzťahy sa používajú na zaznamenávanie prijatých bežných a kapitálových transferov medzi subjektmi verejnej správy. Z pohľadu účtovníctva ide o časovo rozlíšené prostriedky štátneho rozpočtu, rozpočtu obce alebo vyššieho územného celku, ktoré sú poskytované ostatným organizáciám. V rámci tejto skupiny záväzkov sa vykazujú aj transfery v územnej samospráve, ktoré neboli predmetom eliminácie a vzťah štátneho rozpočtu voči územnej samospráve z podielových daní.</w:t>
      </w:r>
    </w:p>
    <w:p w14:paraId="4EB7EF0F" w14:textId="27A62D84" w:rsidR="002200FD" w:rsidRPr="00C66720" w:rsidRDefault="00775413" w:rsidP="00174C47">
      <w:pPr>
        <w:pStyle w:val="Pismenka"/>
        <w:tabs>
          <w:tab w:val="clear" w:pos="426"/>
        </w:tabs>
        <w:spacing w:before="120"/>
        <w:ind w:left="0" w:firstLine="0"/>
        <w:rPr>
          <w:b w:val="0"/>
          <w:bCs w:val="0"/>
          <w:sz w:val="22"/>
          <w:szCs w:val="22"/>
        </w:rPr>
      </w:pPr>
      <w:r w:rsidRPr="00C66720">
        <w:rPr>
          <w:b w:val="0"/>
          <w:bCs w:val="0"/>
          <w:sz w:val="22"/>
          <w:szCs w:val="22"/>
        </w:rPr>
        <w:lastRenderedPageBreak/>
        <w:t>Hodnota trans</w:t>
      </w:r>
      <w:r w:rsidR="008D6967" w:rsidRPr="00C66720">
        <w:rPr>
          <w:b w:val="0"/>
          <w:bCs w:val="0"/>
          <w:sz w:val="22"/>
          <w:szCs w:val="22"/>
        </w:rPr>
        <w:t>ferov k 31.12.2022</w:t>
      </w:r>
      <w:r w:rsidR="002200FD" w:rsidRPr="00C66720">
        <w:rPr>
          <w:b w:val="0"/>
          <w:bCs w:val="0"/>
          <w:sz w:val="22"/>
          <w:szCs w:val="22"/>
        </w:rPr>
        <w:t xml:space="preserve"> bola </w:t>
      </w:r>
      <w:r w:rsidR="008D6967" w:rsidRPr="00C66720">
        <w:rPr>
          <w:b w:val="0"/>
          <w:bCs w:val="0"/>
          <w:sz w:val="22"/>
          <w:szCs w:val="22"/>
        </w:rPr>
        <w:t>817 293</w:t>
      </w:r>
      <w:r w:rsidR="002200FD" w:rsidRPr="00C66720">
        <w:rPr>
          <w:b w:val="0"/>
          <w:bCs w:val="0"/>
          <w:sz w:val="22"/>
          <w:szCs w:val="22"/>
        </w:rPr>
        <w:t xml:space="preserve"> tis. eur a medziročne boli </w:t>
      </w:r>
      <w:r w:rsidR="008D6967" w:rsidRPr="00C66720">
        <w:rPr>
          <w:b w:val="0"/>
          <w:bCs w:val="0"/>
          <w:sz w:val="22"/>
          <w:szCs w:val="22"/>
        </w:rPr>
        <w:t>nižšie</w:t>
      </w:r>
      <w:r w:rsidR="002200FD" w:rsidRPr="00C66720">
        <w:rPr>
          <w:b w:val="0"/>
          <w:bCs w:val="0"/>
          <w:sz w:val="22"/>
          <w:szCs w:val="22"/>
        </w:rPr>
        <w:t xml:space="preserve"> o</w:t>
      </w:r>
      <w:r w:rsidR="008D6967" w:rsidRPr="00C66720">
        <w:rPr>
          <w:b w:val="0"/>
          <w:bCs w:val="0"/>
          <w:sz w:val="22"/>
          <w:szCs w:val="22"/>
        </w:rPr>
        <w:t> 6 577</w:t>
      </w:r>
      <w:r w:rsidR="002200FD" w:rsidRPr="00C66720">
        <w:rPr>
          <w:b w:val="0"/>
          <w:bCs w:val="0"/>
          <w:sz w:val="22"/>
          <w:szCs w:val="22"/>
        </w:rPr>
        <w:t xml:space="preserve"> tis. eur. Ústredná štátna správa vykázala </w:t>
      </w:r>
      <w:r w:rsidR="00B212BF" w:rsidRPr="00C66720">
        <w:rPr>
          <w:b w:val="0"/>
          <w:bCs w:val="0"/>
          <w:sz w:val="22"/>
          <w:szCs w:val="22"/>
        </w:rPr>
        <w:t>450 765</w:t>
      </w:r>
      <w:r w:rsidRPr="00C66720">
        <w:rPr>
          <w:b w:val="0"/>
          <w:bCs w:val="0"/>
          <w:sz w:val="22"/>
          <w:szCs w:val="22"/>
        </w:rPr>
        <w:t xml:space="preserve"> t</w:t>
      </w:r>
      <w:r w:rsidR="002200FD" w:rsidRPr="00C66720">
        <w:rPr>
          <w:b w:val="0"/>
          <w:bCs w:val="0"/>
          <w:sz w:val="22"/>
          <w:szCs w:val="22"/>
        </w:rPr>
        <w:t xml:space="preserve">is. eur a v rámci nej Ministerstvo financií SR </w:t>
      </w:r>
      <w:r w:rsidR="00A82653" w:rsidRPr="00C66720">
        <w:rPr>
          <w:b w:val="0"/>
          <w:bCs w:val="0"/>
          <w:sz w:val="22"/>
          <w:szCs w:val="22"/>
        </w:rPr>
        <w:t>446 404</w:t>
      </w:r>
      <w:r w:rsidR="002200FD" w:rsidRPr="00C66720">
        <w:rPr>
          <w:b w:val="0"/>
          <w:bCs w:val="0"/>
          <w:sz w:val="22"/>
          <w:szCs w:val="22"/>
        </w:rPr>
        <w:t xml:space="preserve"> tis. eur. Ostatné subjekty vykázali </w:t>
      </w:r>
      <w:r w:rsidR="009A22F7" w:rsidRPr="00C66720">
        <w:rPr>
          <w:b w:val="0"/>
          <w:bCs w:val="0"/>
          <w:sz w:val="22"/>
          <w:szCs w:val="22"/>
        </w:rPr>
        <w:t>366 528</w:t>
      </w:r>
      <w:r w:rsidR="002200FD" w:rsidRPr="00C66720">
        <w:rPr>
          <w:b w:val="0"/>
          <w:bCs w:val="0"/>
          <w:sz w:val="22"/>
          <w:szCs w:val="22"/>
        </w:rPr>
        <w:t xml:space="preserve"> tis. eur, </w:t>
      </w:r>
      <w:r w:rsidR="00465EF3" w:rsidRPr="00C66720">
        <w:rPr>
          <w:b w:val="0"/>
          <w:bCs w:val="0"/>
          <w:sz w:val="22"/>
          <w:szCs w:val="22"/>
        </w:rPr>
        <w:t xml:space="preserve">pričom k vylúčeniu vzájomných vzťahov medzi subjektami súhrnného celku došlo v hodnote </w:t>
      </w:r>
      <w:r w:rsidR="009A22F7" w:rsidRPr="00C66720">
        <w:rPr>
          <w:b w:val="0"/>
          <w:bCs w:val="0"/>
          <w:sz w:val="22"/>
          <w:szCs w:val="22"/>
        </w:rPr>
        <w:t>13 292</w:t>
      </w:r>
      <w:r w:rsidR="00465EF3" w:rsidRPr="00C66720">
        <w:rPr>
          <w:b w:val="0"/>
          <w:bCs w:val="0"/>
          <w:sz w:val="22"/>
          <w:szCs w:val="22"/>
        </w:rPr>
        <w:t xml:space="preserve"> tis. eur.</w:t>
      </w:r>
    </w:p>
    <w:p w14:paraId="015AFDE7" w14:textId="4D7661E1" w:rsidR="002200FD" w:rsidRPr="00C66720" w:rsidRDefault="002200FD" w:rsidP="00174C47">
      <w:pPr>
        <w:pStyle w:val="Pismenka"/>
        <w:tabs>
          <w:tab w:val="clear" w:pos="426"/>
        </w:tabs>
        <w:spacing w:before="120" w:after="240"/>
        <w:ind w:left="0" w:firstLine="0"/>
        <w:rPr>
          <w:b w:val="0"/>
          <w:bCs w:val="0"/>
          <w:sz w:val="22"/>
          <w:szCs w:val="22"/>
        </w:rPr>
      </w:pPr>
      <w:r w:rsidRPr="00C66720">
        <w:rPr>
          <w:b w:val="0"/>
          <w:bCs w:val="0"/>
          <w:sz w:val="22"/>
          <w:szCs w:val="22"/>
        </w:rPr>
        <w:t xml:space="preserve">V prípade Ministerstva financií SR ide o prechodné vykázanie záväzku z úhrady podielovej dane z príjmu fyzických osôb územnej samospráve, ktoré sú zasielané na účty samosprávy nasledovné účtovné obdobie. </w:t>
      </w:r>
      <w:r w:rsidR="002B116C">
        <w:rPr>
          <w:b w:val="0"/>
          <w:bCs w:val="0"/>
          <w:sz w:val="22"/>
          <w:szCs w:val="22"/>
        </w:rPr>
        <w:t xml:space="preserve">Oproti roku 2021 sú záväzky vyššie o 48 781 tis. eur aj vplyvom novely zákona </w:t>
      </w:r>
      <w:r w:rsidR="007A650C">
        <w:rPr>
          <w:b w:val="0"/>
          <w:bCs w:val="0"/>
          <w:sz w:val="22"/>
          <w:szCs w:val="22"/>
        </w:rPr>
        <w:br/>
      </w:r>
      <w:r w:rsidR="002B116C">
        <w:rPr>
          <w:b w:val="0"/>
          <w:bCs w:val="0"/>
          <w:sz w:val="22"/>
          <w:szCs w:val="22"/>
        </w:rPr>
        <w:t>č. 564/2004 Z. z. o rozpočtovom určení výnosu danej z príjmov územnej samospráve. V zmysle citovaného zákona sa v roku 2023 podiel výnosu dane poukazovaný samospráve zvyšuje o sumu 325 798 tis. eur zo zdrojov z príjmov z dane z príjmov p</w:t>
      </w:r>
      <w:r w:rsidR="007A650C">
        <w:rPr>
          <w:b w:val="0"/>
          <w:bCs w:val="0"/>
          <w:sz w:val="22"/>
          <w:szCs w:val="22"/>
        </w:rPr>
        <w:t>r</w:t>
      </w:r>
      <w:r w:rsidR="002B116C">
        <w:rPr>
          <w:b w:val="0"/>
          <w:bCs w:val="0"/>
          <w:sz w:val="22"/>
          <w:szCs w:val="22"/>
        </w:rPr>
        <w:t>ávnických osôb. V decembri 2022 boli záväzky voči územnej samospráve zvýšené o 27 150 tis. eur, čo predstavuje 1/12 sumy zo zdrojov dane z príjmov právnických osôb.</w:t>
      </w:r>
      <w:r w:rsidR="002B0F02">
        <w:rPr>
          <w:b w:val="0"/>
          <w:bCs w:val="0"/>
          <w:sz w:val="22"/>
          <w:szCs w:val="22"/>
        </w:rPr>
        <w:t xml:space="preserve"> </w:t>
      </w:r>
      <w:r w:rsidR="007A650C">
        <w:rPr>
          <w:b w:val="0"/>
          <w:bCs w:val="0"/>
          <w:sz w:val="22"/>
          <w:szCs w:val="22"/>
        </w:rPr>
        <w:t xml:space="preserve">Záväzky boli vyrovnané v januári 2023, kedy bol poukázaný podiel dane z príjmov fyzických osôb obciam a vyšším územným celkom. </w:t>
      </w:r>
      <w:r w:rsidRPr="00C66720">
        <w:rPr>
          <w:b w:val="0"/>
          <w:bCs w:val="0"/>
          <w:sz w:val="22"/>
          <w:szCs w:val="22"/>
        </w:rPr>
        <w:t>Verejné vysoké školy vykazujú bežné a kapitálové transfery od subjektov verejnej správy, ktoré neboli predmetom eliminácie</w:t>
      </w:r>
      <w:r w:rsidR="00465EF3" w:rsidRPr="00C66720">
        <w:rPr>
          <w:b w:val="0"/>
          <w:bCs w:val="0"/>
          <w:sz w:val="22"/>
          <w:szCs w:val="22"/>
        </w:rPr>
        <w:t xml:space="preserve"> v hodnote </w:t>
      </w:r>
      <w:r w:rsidR="00F41E1F" w:rsidRPr="00C66720">
        <w:rPr>
          <w:b w:val="0"/>
          <w:bCs w:val="0"/>
          <w:sz w:val="22"/>
          <w:szCs w:val="22"/>
        </w:rPr>
        <w:t>98 009</w:t>
      </w:r>
      <w:r w:rsidR="00465EF3" w:rsidRPr="00C66720">
        <w:rPr>
          <w:b w:val="0"/>
          <w:bCs w:val="0"/>
          <w:sz w:val="22"/>
          <w:szCs w:val="22"/>
        </w:rPr>
        <w:t xml:space="preserve"> tis. eur</w:t>
      </w:r>
      <w:r w:rsidRPr="00C66720">
        <w:rPr>
          <w:b w:val="0"/>
          <w:bCs w:val="0"/>
          <w:sz w:val="22"/>
          <w:szCs w:val="22"/>
        </w:rPr>
        <w:t xml:space="preserve">. </w:t>
      </w:r>
    </w:p>
    <w:p w14:paraId="50F1B103" w14:textId="13C7A18C" w:rsidR="008E64ED" w:rsidRPr="00C66720" w:rsidRDefault="008E64ED" w:rsidP="008F097E">
      <w:pPr>
        <w:pStyle w:val="Pismenka"/>
        <w:numPr>
          <w:ilvl w:val="0"/>
          <w:numId w:val="44"/>
        </w:numPr>
        <w:spacing w:before="120" w:after="120"/>
        <w:ind w:left="284" w:hanging="284"/>
        <w:rPr>
          <w:i/>
          <w:sz w:val="22"/>
          <w:szCs w:val="22"/>
          <w:u w:val="single"/>
        </w:rPr>
      </w:pPr>
      <w:bookmarkStart w:id="43" w:name="_Ref86092228"/>
      <w:r w:rsidRPr="00C66720">
        <w:rPr>
          <w:i/>
          <w:sz w:val="22"/>
          <w:szCs w:val="22"/>
          <w:u w:val="single"/>
        </w:rPr>
        <w:t>Bankové úvery</w:t>
      </w:r>
      <w:bookmarkEnd w:id="43"/>
    </w:p>
    <w:p w14:paraId="2E363D57" w14:textId="54C1A705" w:rsidR="006F3E95" w:rsidRPr="00C66720" w:rsidRDefault="006F3E95" w:rsidP="00121B80">
      <w:pPr>
        <w:pStyle w:val="Pismenka"/>
        <w:tabs>
          <w:tab w:val="clear" w:pos="426"/>
        </w:tabs>
        <w:spacing w:before="120" w:after="120"/>
        <w:ind w:left="0" w:firstLine="0"/>
        <w:rPr>
          <w:b w:val="0"/>
          <w:bCs w:val="0"/>
          <w:sz w:val="22"/>
          <w:szCs w:val="22"/>
        </w:rPr>
      </w:pPr>
      <w:r w:rsidRPr="00C66720">
        <w:rPr>
          <w:b w:val="0"/>
          <w:bCs w:val="0"/>
          <w:sz w:val="22"/>
          <w:szCs w:val="22"/>
        </w:rPr>
        <w:t>Bežné bankové úvery</w:t>
      </w:r>
      <w:r w:rsidRPr="00C66720">
        <w:rPr>
          <w:b w:val="0"/>
          <w:bCs w:val="0"/>
          <w:i/>
          <w:sz w:val="22"/>
          <w:szCs w:val="22"/>
        </w:rPr>
        <w:t xml:space="preserve"> </w:t>
      </w:r>
      <w:r w:rsidRPr="00C66720">
        <w:rPr>
          <w:b w:val="0"/>
          <w:bCs w:val="0"/>
          <w:sz w:val="22"/>
          <w:szCs w:val="22"/>
        </w:rPr>
        <w:t>sú vykazované najmä ústredn</w:t>
      </w:r>
      <w:r w:rsidR="00DC0263" w:rsidRPr="00C66720">
        <w:rPr>
          <w:b w:val="0"/>
          <w:bCs w:val="0"/>
          <w:sz w:val="22"/>
          <w:szCs w:val="22"/>
        </w:rPr>
        <w:t>ou</w:t>
      </w:r>
      <w:r w:rsidRPr="00C66720">
        <w:rPr>
          <w:b w:val="0"/>
          <w:bCs w:val="0"/>
          <w:sz w:val="22"/>
          <w:szCs w:val="22"/>
        </w:rPr>
        <w:t xml:space="preserve"> správ</w:t>
      </w:r>
      <w:r w:rsidR="00DC0263" w:rsidRPr="00C66720">
        <w:rPr>
          <w:b w:val="0"/>
          <w:bCs w:val="0"/>
          <w:sz w:val="22"/>
          <w:szCs w:val="22"/>
        </w:rPr>
        <w:t>ou</w:t>
      </w:r>
      <w:r w:rsidRPr="00C66720">
        <w:rPr>
          <w:b w:val="0"/>
          <w:bCs w:val="0"/>
          <w:sz w:val="22"/>
          <w:szCs w:val="22"/>
        </w:rPr>
        <w:t xml:space="preserve"> (</w:t>
      </w:r>
      <w:r w:rsidR="000529F6" w:rsidRPr="00C66720">
        <w:rPr>
          <w:b w:val="0"/>
          <w:bCs w:val="0"/>
          <w:sz w:val="22"/>
          <w:szCs w:val="22"/>
        </w:rPr>
        <w:t xml:space="preserve">728 112 </w:t>
      </w:r>
      <w:r w:rsidRPr="00C66720">
        <w:rPr>
          <w:b w:val="0"/>
          <w:bCs w:val="0"/>
          <w:sz w:val="22"/>
          <w:szCs w:val="22"/>
        </w:rPr>
        <w:t>tis. eur) a územn</w:t>
      </w:r>
      <w:r w:rsidR="00DC0263" w:rsidRPr="00C66720">
        <w:rPr>
          <w:b w:val="0"/>
          <w:bCs w:val="0"/>
          <w:sz w:val="22"/>
          <w:szCs w:val="22"/>
        </w:rPr>
        <w:t>ou</w:t>
      </w:r>
      <w:r w:rsidRPr="00C66720">
        <w:rPr>
          <w:b w:val="0"/>
          <w:bCs w:val="0"/>
          <w:sz w:val="22"/>
          <w:szCs w:val="22"/>
        </w:rPr>
        <w:t xml:space="preserve"> samospráv</w:t>
      </w:r>
      <w:r w:rsidR="00DC0263" w:rsidRPr="00C66720">
        <w:rPr>
          <w:b w:val="0"/>
          <w:bCs w:val="0"/>
          <w:sz w:val="22"/>
          <w:szCs w:val="22"/>
        </w:rPr>
        <w:t>ou</w:t>
      </w:r>
      <w:r w:rsidRPr="00C66720">
        <w:rPr>
          <w:b w:val="0"/>
          <w:bCs w:val="0"/>
          <w:sz w:val="22"/>
          <w:szCs w:val="22"/>
        </w:rPr>
        <w:t xml:space="preserve"> (</w:t>
      </w:r>
      <w:r w:rsidR="000529F6" w:rsidRPr="00C66720">
        <w:rPr>
          <w:b w:val="0"/>
          <w:bCs w:val="0"/>
          <w:sz w:val="22"/>
          <w:szCs w:val="22"/>
        </w:rPr>
        <w:t>216 125</w:t>
      </w:r>
      <w:r w:rsidRPr="00C66720">
        <w:rPr>
          <w:b w:val="0"/>
          <w:bCs w:val="0"/>
          <w:sz w:val="22"/>
          <w:szCs w:val="22"/>
        </w:rPr>
        <w:t xml:space="preserve"> tis. eur). </w:t>
      </w:r>
      <w:r w:rsidR="001B3901" w:rsidRPr="00C66720">
        <w:rPr>
          <w:b w:val="0"/>
          <w:bCs w:val="0"/>
          <w:sz w:val="22"/>
          <w:szCs w:val="22"/>
        </w:rPr>
        <w:t>V rámci ústrednej štátnej správy predstavujú časť bankových úverov, ktorých splatnosť je do jedného roka, najmä u obchodných spoločností štátu (</w:t>
      </w:r>
      <w:r w:rsidR="008B6F75" w:rsidRPr="00C66720">
        <w:rPr>
          <w:b w:val="0"/>
          <w:bCs w:val="0"/>
          <w:sz w:val="22"/>
          <w:szCs w:val="22"/>
        </w:rPr>
        <w:t>629 065</w:t>
      </w:r>
      <w:r w:rsidR="001B3901" w:rsidRPr="00C66720">
        <w:rPr>
          <w:b w:val="0"/>
          <w:bCs w:val="0"/>
          <w:sz w:val="22"/>
          <w:szCs w:val="22"/>
        </w:rPr>
        <w:t xml:space="preserve"> tis. eur), v podobe krátkodobej časti investičných úverov resp. úverov na financovanie prevádzkových potrieb obchodných</w:t>
      </w:r>
      <w:r w:rsidR="00183275" w:rsidRPr="00C66720">
        <w:rPr>
          <w:b w:val="0"/>
          <w:bCs w:val="0"/>
          <w:sz w:val="22"/>
          <w:szCs w:val="22"/>
        </w:rPr>
        <w:t xml:space="preserve"> </w:t>
      </w:r>
      <w:r w:rsidR="001B3901" w:rsidRPr="00C66720">
        <w:rPr>
          <w:b w:val="0"/>
          <w:bCs w:val="0"/>
          <w:sz w:val="22"/>
          <w:szCs w:val="22"/>
        </w:rPr>
        <w:t>spoločno</w:t>
      </w:r>
      <w:r w:rsidR="00E075A7" w:rsidRPr="00C66720">
        <w:rPr>
          <w:b w:val="0"/>
          <w:bCs w:val="0"/>
          <w:sz w:val="22"/>
          <w:szCs w:val="22"/>
        </w:rPr>
        <w:t>s</w:t>
      </w:r>
      <w:r w:rsidR="001B3901" w:rsidRPr="00C66720">
        <w:rPr>
          <w:b w:val="0"/>
          <w:bCs w:val="0"/>
          <w:sz w:val="22"/>
          <w:szCs w:val="22"/>
        </w:rPr>
        <w:t>tí.</w:t>
      </w:r>
    </w:p>
    <w:p w14:paraId="143AD5FA" w14:textId="19B4FD03" w:rsidR="00E726EE" w:rsidRDefault="00E726EE" w:rsidP="00174C47">
      <w:pPr>
        <w:pStyle w:val="Pismenka"/>
        <w:tabs>
          <w:tab w:val="clear" w:pos="426"/>
        </w:tabs>
        <w:spacing w:before="120" w:after="240"/>
        <w:ind w:left="0" w:firstLine="0"/>
        <w:rPr>
          <w:b w:val="0"/>
          <w:bCs w:val="0"/>
          <w:sz w:val="22"/>
          <w:szCs w:val="22"/>
        </w:rPr>
      </w:pPr>
      <w:r w:rsidRPr="00C66720">
        <w:rPr>
          <w:b w:val="0"/>
          <w:bCs w:val="0"/>
          <w:sz w:val="22"/>
          <w:szCs w:val="22"/>
        </w:rPr>
        <w:t xml:space="preserve">Medzi krátkodobými bankovými úvermi vykazuje Ministerstvo financií SR krátkodobú časť úverov prijatých </w:t>
      </w:r>
      <w:r w:rsidR="00D5186B" w:rsidRPr="00C66720">
        <w:rPr>
          <w:b w:val="0"/>
          <w:bCs w:val="0"/>
          <w:sz w:val="22"/>
          <w:szCs w:val="22"/>
        </w:rPr>
        <w:t xml:space="preserve">od medzinárodných inštitúcií </w:t>
      </w:r>
      <w:r w:rsidRPr="00C66720">
        <w:rPr>
          <w:b w:val="0"/>
          <w:bCs w:val="0"/>
          <w:sz w:val="22"/>
          <w:szCs w:val="22"/>
        </w:rPr>
        <w:t xml:space="preserve">na podporu infraštruktúry a na podporu významných rozvojových projektov v oblasti dopravy, životného prostredia, informatizácie spoločnosti a podobne v celkovej hodnote </w:t>
      </w:r>
      <w:r w:rsidR="001D1871" w:rsidRPr="00C66720">
        <w:rPr>
          <w:b w:val="0"/>
          <w:bCs w:val="0"/>
          <w:sz w:val="22"/>
          <w:szCs w:val="22"/>
        </w:rPr>
        <w:t>41 230</w:t>
      </w:r>
      <w:r w:rsidR="00D5186B" w:rsidRPr="00C66720">
        <w:rPr>
          <w:b w:val="0"/>
          <w:bCs w:val="0"/>
          <w:sz w:val="22"/>
          <w:szCs w:val="22"/>
        </w:rPr>
        <w:t xml:space="preserve"> tis. eur. Medziročne došlo k </w:t>
      </w:r>
      <w:r w:rsidR="007F7B26" w:rsidRPr="00C66720">
        <w:rPr>
          <w:b w:val="0"/>
          <w:bCs w:val="0"/>
          <w:sz w:val="22"/>
          <w:szCs w:val="22"/>
        </w:rPr>
        <w:t>zníženiu</w:t>
      </w:r>
      <w:r w:rsidR="00D5186B" w:rsidRPr="00C66720">
        <w:rPr>
          <w:b w:val="0"/>
          <w:bCs w:val="0"/>
          <w:sz w:val="22"/>
          <w:szCs w:val="22"/>
        </w:rPr>
        <w:t xml:space="preserve"> týchto úverov o</w:t>
      </w:r>
      <w:r w:rsidR="00C5355F" w:rsidRPr="00C66720">
        <w:rPr>
          <w:b w:val="0"/>
          <w:bCs w:val="0"/>
          <w:sz w:val="22"/>
          <w:szCs w:val="22"/>
        </w:rPr>
        <w:t> </w:t>
      </w:r>
      <w:r w:rsidR="001D1871" w:rsidRPr="00C66720">
        <w:rPr>
          <w:b w:val="0"/>
          <w:bCs w:val="0"/>
          <w:sz w:val="22"/>
          <w:szCs w:val="22"/>
        </w:rPr>
        <w:t>438</w:t>
      </w:r>
      <w:r w:rsidR="00D5186B" w:rsidRPr="00C66720">
        <w:rPr>
          <w:b w:val="0"/>
          <w:bCs w:val="0"/>
          <w:sz w:val="22"/>
          <w:szCs w:val="22"/>
        </w:rPr>
        <w:t xml:space="preserve"> tis. eur</w:t>
      </w:r>
      <w:r w:rsidR="00C5355F" w:rsidRPr="00C66720">
        <w:rPr>
          <w:b w:val="0"/>
          <w:bCs w:val="0"/>
          <w:sz w:val="22"/>
          <w:szCs w:val="22"/>
        </w:rPr>
        <w:t xml:space="preserve"> z dôvodu ich postupného splácania v zmysle splátkových kalendárov</w:t>
      </w:r>
      <w:r w:rsidR="00D5186B" w:rsidRPr="00C66720">
        <w:rPr>
          <w:b w:val="0"/>
          <w:bCs w:val="0"/>
          <w:sz w:val="22"/>
          <w:szCs w:val="22"/>
        </w:rPr>
        <w:t xml:space="preserve">. </w:t>
      </w:r>
    </w:p>
    <w:p w14:paraId="209FE395" w14:textId="77777777" w:rsidR="00FC2016" w:rsidRDefault="00FC2016" w:rsidP="00FC2016">
      <w:pPr>
        <w:pStyle w:val="Pismenka"/>
        <w:tabs>
          <w:tab w:val="clear" w:pos="426"/>
        </w:tabs>
        <w:spacing w:after="120"/>
        <w:ind w:left="0" w:firstLine="0"/>
        <w:rPr>
          <w:b w:val="0"/>
          <w:bCs w:val="0"/>
          <w:sz w:val="22"/>
          <w:szCs w:val="22"/>
        </w:rPr>
      </w:pPr>
      <w:r w:rsidRPr="00346B9E">
        <w:rPr>
          <w:bCs w:val="0"/>
        </w:rPr>
        <w:t>Tabu</w:t>
      </w:r>
      <w:r>
        <w:rPr>
          <w:bCs w:val="0"/>
        </w:rPr>
        <w:t>ľka 18</w:t>
      </w:r>
    </w:p>
    <w:tbl>
      <w:tblPr>
        <w:tblpPr w:leftFromText="141" w:rightFromText="141" w:vertAnchor="text" w:horzAnchor="margin" w:tblpXSpec="center" w:tblpY="-6"/>
        <w:tblW w:w="5000" w:type="pct"/>
        <w:tblLayout w:type="fixed"/>
        <w:tblCellMar>
          <w:left w:w="70" w:type="dxa"/>
          <w:right w:w="70" w:type="dxa"/>
        </w:tblCellMar>
        <w:tblLook w:val="00A0" w:firstRow="1" w:lastRow="0" w:firstColumn="1" w:lastColumn="0" w:noHBand="0" w:noVBand="0"/>
      </w:tblPr>
      <w:tblGrid>
        <w:gridCol w:w="5176"/>
        <w:gridCol w:w="1201"/>
        <w:gridCol w:w="1419"/>
        <w:gridCol w:w="1275"/>
      </w:tblGrid>
      <w:tr w:rsidR="00FC2016" w:rsidRPr="005773D1" w14:paraId="2FE24827" w14:textId="77777777" w:rsidTr="00241F33">
        <w:trPr>
          <w:trHeight w:val="330"/>
        </w:trPr>
        <w:tc>
          <w:tcPr>
            <w:tcW w:w="5000" w:type="pct"/>
            <w:gridSpan w:val="4"/>
            <w:tcBorders>
              <w:top w:val="single" w:sz="4" w:space="0" w:color="auto"/>
              <w:left w:val="nil"/>
              <w:bottom w:val="single" w:sz="4" w:space="0" w:color="auto"/>
              <w:right w:val="nil"/>
            </w:tcBorders>
            <w:shd w:val="clear" w:color="auto" w:fill="F4B084"/>
            <w:noWrap/>
            <w:vAlign w:val="center"/>
          </w:tcPr>
          <w:p w14:paraId="30EA844D" w14:textId="77777777" w:rsidR="00FC2016" w:rsidRPr="005773D1" w:rsidRDefault="00FC2016" w:rsidP="00241F33">
            <w:pPr>
              <w:spacing w:after="0" w:line="240" w:lineRule="auto"/>
              <w:rPr>
                <w:rFonts w:ascii="Times New Roman" w:hAnsi="Times New Roman"/>
                <w:b/>
                <w:bCs/>
                <w:sz w:val="18"/>
                <w:szCs w:val="18"/>
                <w:lang w:eastAsia="sk-SK"/>
              </w:rPr>
            </w:pPr>
            <w:r w:rsidRPr="005773D1">
              <w:rPr>
                <w:rFonts w:ascii="Times New Roman" w:hAnsi="Times New Roman"/>
                <w:b/>
                <w:bCs/>
                <w:sz w:val="18"/>
                <w:szCs w:val="18"/>
                <w:lang w:eastAsia="sk-SK"/>
              </w:rPr>
              <w:t xml:space="preserve">Krátkodobé úvery SR voči zahraničným inštitúciám v správe Ministerstva financií SR             </w:t>
            </w:r>
            <w:r>
              <w:rPr>
                <w:rFonts w:ascii="Times New Roman" w:hAnsi="Times New Roman"/>
                <w:b/>
                <w:bCs/>
                <w:sz w:val="18"/>
                <w:szCs w:val="18"/>
                <w:lang w:eastAsia="sk-SK"/>
              </w:rPr>
              <w:t xml:space="preserve">                    </w:t>
            </w:r>
            <w:r w:rsidRPr="005773D1">
              <w:rPr>
                <w:rFonts w:ascii="Times New Roman" w:hAnsi="Times New Roman"/>
                <w:b/>
                <w:bCs/>
                <w:sz w:val="18"/>
                <w:szCs w:val="18"/>
                <w:lang w:eastAsia="sk-SK"/>
              </w:rPr>
              <w:t>(v tis. eur) </w:t>
            </w:r>
          </w:p>
        </w:tc>
      </w:tr>
      <w:tr w:rsidR="00FC2016" w:rsidRPr="000A2ED5" w14:paraId="4E47611F" w14:textId="77777777" w:rsidTr="00241F33">
        <w:trPr>
          <w:trHeight w:val="330"/>
        </w:trPr>
        <w:tc>
          <w:tcPr>
            <w:tcW w:w="2853" w:type="pct"/>
            <w:tcBorders>
              <w:top w:val="nil"/>
              <w:left w:val="nil"/>
              <w:bottom w:val="single" w:sz="4" w:space="0" w:color="auto"/>
              <w:right w:val="nil"/>
            </w:tcBorders>
            <w:shd w:val="clear" w:color="auto" w:fill="BDD7EE"/>
            <w:noWrap/>
            <w:vAlign w:val="center"/>
          </w:tcPr>
          <w:p w14:paraId="16F6D344" w14:textId="77777777" w:rsidR="00FC2016" w:rsidRPr="000A2ED5" w:rsidRDefault="00FC2016" w:rsidP="00FC2016">
            <w:pPr>
              <w:spacing w:after="0" w:line="240" w:lineRule="auto"/>
              <w:rPr>
                <w:rFonts w:ascii="Times New Roman" w:hAnsi="Times New Roman"/>
                <w:b/>
                <w:bCs/>
                <w:sz w:val="18"/>
                <w:szCs w:val="18"/>
                <w:lang w:eastAsia="sk-SK"/>
              </w:rPr>
            </w:pPr>
            <w:r w:rsidRPr="000A2ED5">
              <w:rPr>
                <w:rFonts w:ascii="Times New Roman" w:hAnsi="Times New Roman"/>
                <w:b/>
                <w:bCs/>
                <w:sz w:val="18"/>
                <w:szCs w:val="18"/>
                <w:lang w:eastAsia="sk-SK"/>
              </w:rPr>
              <w:t>Finančná inštitúcia</w:t>
            </w:r>
          </w:p>
        </w:tc>
        <w:tc>
          <w:tcPr>
            <w:tcW w:w="662" w:type="pct"/>
            <w:tcBorders>
              <w:top w:val="nil"/>
              <w:left w:val="nil"/>
              <w:bottom w:val="single" w:sz="4" w:space="0" w:color="auto"/>
              <w:right w:val="nil"/>
            </w:tcBorders>
            <w:shd w:val="clear" w:color="auto" w:fill="BDD7EE"/>
            <w:noWrap/>
            <w:vAlign w:val="center"/>
          </w:tcPr>
          <w:p w14:paraId="16139C0A" w14:textId="0CD2845C" w:rsidR="00FC2016" w:rsidRPr="000A2ED5" w:rsidRDefault="00FC2016" w:rsidP="00FC201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82" w:type="pct"/>
            <w:tcBorders>
              <w:top w:val="nil"/>
              <w:left w:val="nil"/>
              <w:bottom w:val="single" w:sz="4" w:space="0" w:color="auto"/>
              <w:right w:val="nil"/>
            </w:tcBorders>
            <w:shd w:val="clear" w:color="auto" w:fill="BDD7EE"/>
            <w:noWrap/>
            <w:vAlign w:val="center"/>
          </w:tcPr>
          <w:p w14:paraId="0955F84A" w14:textId="032C86DB" w:rsidR="00FC2016" w:rsidRPr="000A2ED5" w:rsidRDefault="00FC2016" w:rsidP="00FC201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3" w:type="pct"/>
            <w:tcBorders>
              <w:top w:val="nil"/>
              <w:left w:val="nil"/>
              <w:bottom w:val="single" w:sz="4" w:space="0" w:color="auto"/>
              <w:right w:val="nil"/>
            </w:tcBorders>
            <w:shd w:val="clear" w:color="auto" w:fill="BDD7EE"/>
            <w:vAlign w:val="center"/>
          </w:tcPr>
          <w:p w14:paraId="4222DB64" w14:textId="5E3E3355" w:rsidR="00FC2016" w:rsidRPr="000A2ED5" w:rsidRDefault="00FC2016" w:rsidP="00FC201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FC2016" w:rsidRPr="000A2ED5" w14:paraId="2C6814DE" w14:textId="77777777" w:rsidTr="00241F33">
        <w:trPr>
          <w:trHeight w:val="166"/>
        </w:trPr>
        <w:tc>
          <w:tcPr>
            <w:tcW w:w="2853" w:type="pct"/>
            <w:tcBorders>
              <w:top w:val="nil"/>
              <w:left w:val="nil"/>
              <w:bottom w:val="nil"/>
              <w:right w:val="nil"/>
            </w:tcBorders>
            <w:shd w:val="clear" w:color="000000" w:fill="FFFFFF"/>
            <w:vAlign w:val="center"/>
          </w:tcPr>
          <w:p w14:paraId="2365BB47" w14:textId="1344316E" w:rsidR="00FC2016" w:rsidRPr="000A2ED5" w:rsidRDefault="00FC2016" w:rsidP="00FC2016">
            <w:pPr>
              <w:spacing w:after="0" w:line="240" w:lineRule="auto"/>
              <w:rPr>
                <w:rFonts w:ascii="Times New Roman" w:hAnsi="Times New Roman"/>
                <w:sz w:val="18"/>
                <w:szCs w:val="18"/>
                <w:lang w:eastAsia="sk-SK"/>
              </w:rPr>
            </w:pPr>
            <w:r w:rsidRPr="00C66720">
              <w:rPr>
                <w:rFonts w:ascii="Times New Roman" w:hAnsi="Times New Roman"/>
                <w:bCs/>
                <w:color w:val="000000" w:themeColor="text1"/>
                <w:sz w:val="18"/>
                <w:szCs w:val="18"/>
                <w:lang w:eastAsia="sk-SK"/>
              </w:rPr>
              <w:t>Európska investičná banka (EIB)</w:t>
            </w:r>
          </w:p>
        </w:tc>
        <w:tc>
          <w:tcPr>
            <w:tcW w:w="662" w:type="pct"/>
            <w:tcBorders>
              <w:top w:val="nil"/>
              <w:left w:val="nil"/>
              <w:bottom w:val="nil"/>
              <w:right w:val="nil"/>
            </w:tcBorders>
            <w:shd w:val="clear" w:color="000000" w:fill="FFFFFF"/>
            <w:vAlign w:val="center"/>
          </w:tcPr>
          <w:p w14:paraId="10CE648B" w14:textId="3A290282"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33 916</w:t>
            </w:r>
          </w:p>
        </w:tc>
        <w:tc>
          <w:tcPr>
            <w:tcW w:w="782" w:type="pct"/>
            <w:tcBorders>
              <w:top w:val="nil"/>
              <w:left w:val="nil"/>
              <w:bottom w:val="nil"/>
              <w:right w:val="nil"/>
            </w:tcBorders>
            <w:shd w:val="clear" w:color="000000" w:fill="FFFFFF"/>
            <w:vAlign w:val="center"/>
          </w:tcPr>
          <w:p w14:paraId="58F3E27D" w14:textId="5251FBE2"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33 838</w:t>
            </w:r>
          </w:p>
        </w:tc>
        <w:tc>
          <w:tcPr>
            <w:tcW w:w="703" w:type="pct"/>
            <w:tcBorders>
              <w:top w:val="nil"/>
              <w:left w:val="nil"/>
              <w:bottom w:val="nil"/>
              <w:right w:val="nil"/>
            </w:tcBorders>
            <w:shd w:val="clear" w:color="000000" w:fill="FFFFFF"/>
            <w:vAlign w:val="center"/>
          </w:tcPr>
          <w:p w14:paraId="1F44C5E1" w14:textId="2E38F1F5"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78</w:t>
            </w:r>
          </w:p>
        </w:tc>
      </w:tr>
      <w:tr w:rsidR="00FC2016" w:rsidRPr="000A2ED5" w14:paraId="46A9B403" w14:textId="77777777" w:rsidTr="00241F33">
        <w:trPr>
          <w:trHeight w:val="266"/>
        </w:trPr>
        <w:tc>
          <w:tcPr>
            <w:tcW w:w="2853" w:type="pct"/>
            <w:tcBorders>
              <w:top w:val="nil"/>
              <w:left w:val="nil"/>
              <w:bottom w:val="nil"/>
              <w:right w:val="nil"/>
            </w:tcBorders>
            <w:shd w:val="clear" w:color="000000" w:fill="FFFFFF"/>
            <w:vAlign w:val="center"/>
          </w:tcPr>
          <w:p w14:paraId="2FF5511B" w14:textId="783F9B05" w:rsidR="00FC2016" w:rsidRPr="000A2ED5" w:rsidRDefault="00FC2016" w:rsidP="00FC2016">
            <w:pPr>
              <w:spacing w:after="0" w:line="240" w:lineRule="auto"/>
              <w:rPr>
                <w:rFonts w:ascii="Times New Roman" w:hAnsi="Times New Roman"/>
                <w:bCs/>
                <w:sz w:val="18"/>
                <w:szCs w:val="18"/>
                <w:lang w:eastAsia="sk-SK"/>
              </w:rPr>
            </w:pPr>
            <w:r w:rsidRPr="00C66720">
              <w:rPr>
                <w:rFonts w:ascii="Times New Roman" w:hAnsi="Times New Roman"/>
                <w:bCs/>
                <w:color w:val="000000" w:themeColor="text1"/>
                <w:sz w:val="18"/>
                <w:szCs w:val="18"/>
                <w:lang w:eastAsia="sk-SK"/>
              </w:rPr>
              <w:t>Rozvojová banka Rady Európy (CEB)</w:t>
            </w:r>
          </w:p>
        </w:tc>
        <w:tc>
          <w:tcPr>
            <w:tcW w:w="662" w:type="pct"/>
            <w:tcBorders>
              <w:top w:val="nil"/>
              <w:left w:val="nil"/>
              <w:bottom w:val="nil"/>
              <w:right w:val="nil"/>
            </w:tcBorders>
            <w:shd w:val="clear" w:color="000000" w:fill="FFFFFF"/>
            <w:vAlign w:val="center"/>
          </w:tcPr>
          <w:p w14:paraId="71354515" w14:textId="3B2B141D"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2 670</w:t>
            </w:r>
          </w:p>
        </w:tc>
        <w:tc>
          <w:tcPr>
            <w:tcW w:w="782" w:type="pct"/>
            <w:tcBorders>
              <w:top w:val="nil"/>
              <w:left w:val="nil"/>
              <w:bottom w:val="nil"/>
              <w:right w:val="nil"/>
            </w:tcBorders>
            <w:shd w:val="clear" w:color="000000" w:fill="FFFFFF"/>
            <w:vAlign w:val="center"/>
          </w:tcPr>
          <w:p w14:paraId="23A83363" w14:textId="7EAF7BC4"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2 670</w:t>
            </w:r>
          </w:p>
        </w:tc>
        <w:tc>
          <w:tcPr>
            <w:tcW w:w="703" w:type="pct"/>
            <w:tcBorders>
              <w:top w:val="nil"/>
              <w:left w:val="nil"/>
              <w:bottom w:val="nil"/>
              <w:right w:val="nil"/>
            </w:tcBorders>
            <w:shd w:val="clear" w:color="000000" w:fill="FFFFFF"/>
            <w:vAlign w:val="center"/>
          </w:tcPr>
          <w:p w14:paraId="06C82114" w14:textId="2D2C093D"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0</w:t>
            </w:r>
          </w:p>
        </w:tc>
      </w:tr>
      <w:tr w:rsidR="00FC2016" w:rsidRPr="000A2ED5" w14:paraId="11FBC93A" w14:textId="77777777" w:rsidTr="00241F33">
        <w:trPr>
          <w:trHeight w:val="214"/>
        </w:trPr>
        <w:tc>
          <w:tcPr>
            <w:tcW w:w="2853" w:type="pct"/>
            <w:tcBorders>
              <w:top w:val="nil"/>
              <w:left w:val="nil"/>
              <w:bottom w:val="nil"/>
              <w:right w:val="nil"/>
            </w:tcBorders>
            <w:shd w:val="clear" w:color="000000" w:fill="FFFFFF"/>
            <w:vAlign w:val="center"/>
          </w:tcPr>
          <w:p w14:paraId="776BB652" w14:textId="0D6B2688" w:rsidR="00FC2016" w:rsidRPr="000A2ED5" w:rsidRDefault="00FC2016" w:rsidP="00FC2016">
            <w:pPr>
              <w:spacing w:after="0" w:line="240" w:lineRule="auto"/>
              <w:rPr>
                <w:rFonts w:ascii="Times New Roman" w:hAnsi="Times New Roman"/>
                <w:sz w:val="18"/>
                <w:szCs w:val="18"/>
                <w:lang w:eastAsia="sk-SK"/>
              </w:rPr>
            </w:pPr>
            <w:r w:rsidRPr="00C66720">
              <w:rPr>
                <w:rFonts w:ascii="Times New Roman" w:hAnsi="Times New Roman"/>
                <w:bCs/>
                <w:color w:val="000000" w:themeColor="text1"/>
                <w:sz w:val="18"/>
                <w:szCs w:val="18"/>
                <w:lang w:eastAsia="sk-SK"/>
              </w:rPr>
              <w:t>Japonská banka pre medzinárodnú spoluprácu</w:t>
            </w:r>
          </w:p>
        </w:tc>
        <w:tc>
          <w:tcPr>
            <w:tcW w:w="662" w:type="pct"/>
            <w:tcBorders>
              <w:top w:val="nil"/>
              <w:left w:val="nil"/>
              <w:bottom w:val="nil"/>
              <w:right w:val="nil"/>
            </w:tcBorders>
            <w:shd w:val="clear" w:color="000000" w:fill="FFFFFF"/>
            <w:vAlign w:val="center"/>
          </w:tcPr>
          <w:p w14:paraId="7A3E62D1" w14:textId="62B1D9D0"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4 262</w:t>
            </w:r>
          </w:p>
        </w:tc>
        <w:tc>
          <w:tcPr>
            <w:tcW w:w="782" w:type="pct"/>
            <w:tcBorders>
              <w:top w:val="nil"/>
              <w:left w:val="nil"/>
              <w:bottom w:val="nil"/>
              <w:right w:val="nil"/>
            </w:tcBorders>
            <w:shd w:val="clear" w:color="000000" w:fill="FFFFFF"/>
            <w:vAlign w:val="center"/>
          </w:tcPr>
          <w:p w14:paraId="4661F605" w14:textId="5BFDF96C"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4 634</w:t>
            </w:r>
          </w:p>
        </w:tc>
        <w:tc>
          <w:tcPr>
            <w:tcW w:w="703" w:type="pct"/>
            <w:tcBorders>
              <w:top w:val="nil"/>
              <w:left w:val="nil"/>
              <w:bottom w:val="nil"/>
              <w:right w:val="nil"/>
            </w:tcBorders>
            <w:shd w:val="clear" w:color="000000" w:fill="FFFFFF"/>
            <w:vAlign w:val="center"/>
          </w:tcPr>
          <w:p w14:paraId="3727EEAA" w14:textId="39567D8D"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-372</w:t>
            </w:r>
          </w:p>
        </w:tc>
      </w:tr>
      <w:tr w:rsidR="00FC2016" w:rsidRPr="000A2ED5" w14:paraId="6080A51E" w14:textId="77777777" w:rsidTr="00241F33">
        <w:trPr>
          <w:trHeight w:val="162"/>
        </w:trPr>
        <w:tc>
          <w:tcPr>
            <w:tcW w:w="2853" w:type="pct"/>
            <w:tcBorders>
              <w:top w:val="nil"/>
              <w:left w:val="nil"/>
              <w:bottom w:val="single" w:sz="4" w:space="0" w:color="auto"/>
              <w:right w:val="nil"/>
            </w:tcBorders>
            <w:shd w:val="clear" w:color="000000" w:fill="FFFFFF"/>
            <w:vAlign w:val="center"/>
          </w:tcPr>
          <w:p w14:paraId="036364E8" w14:textId="461B517B" w:rsidR="00FC2016" w:rsidRPr="000A2ED5" w:rsidRDefault="00FC2016" w:rsidP="00FC2016">
            <w:pPr>
              <w:spacing w:after="0" w:line="240" w:lineRule="auto"/>
              <w:rPr>
                <w:rFonts w:ascii="Times New Roman" w:hAnsi="Times New Roman"/>
                <w:bCs/>
                <w:sz w:val="18"/>
                <w:szCs w:val="18"/>
                <w:lang w:eastAsia="sk-SK"/>
              </w:rPr>
            </w:pPr>
            <w:r w:rsidRPr="00C66720">
              <w:rPr>
                <w:rFonts w:ascii="Times New Roman" w:hAnsi="Times New Roman"/>
                <w:bCs/>
                <w:color w:val="000000" w:themeColor="text1"/>
                <w:sz w:val="18"/>
                <w:szCs w:val="18"/>
                <w:lang w:eastAsia="sk-SK"/>
              </w:rPr>
              <w:t>Európska únia</w:t>
            </w:r>
          </w:p>
        </w:tc>
        <w:tc>
          <w:tcPr>
            <w:tcW w:w="662" w:type="pct"/>
            <w:tcBorders>
              <w:top w:val="nil"/>
              <w:left w:val="nil"/>
              <w:bottom w:val="single" w:sz="4" w:space="0" w:color="auto"/>
              <w:right w:val="nil"/>
            </w:tcBorders>
            <w:shd w:val="clear" w:color="000000" w:fill="FFFFFF"/>
            <w:vAlign w:val="center"/>
          </w:tcPr>
          <w:p w14:paraId="1722B98D" w14:textId="2111AB8F"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382</w:t>
            </w:r>
          </w:p>
        </w:tc>
        <w:tc>
          <w:tcPr>
            <w:tcW w:w="782" w:type="pct"/>
            <w:tcBorders>
              <w:top w:val="nil"/>
              <w:left w:val="nil"/>
              <w:bottom w:val="single" w:sz="4" w:space="0" w:color="auto"/>
              <w:right w:val="nil"/>
            </w:tcBorders>
            <w:shd w:val="clear" w:color="000000" w:fill="FFFFFF"/>
            <w:vAlign w:val="center"/>
          </w:tcPr>
          <w:p w14:paraId="2A352294" w14:textId="3DEF588D"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526</w:t>
            </w:r>
          </w:p>
        </w:tc>
        <w:tc>
          <w:tcPr>
            <w:tcW w:w="703" w:type="pct"/>
            <w:tcBorders>
              <w:top w:val="nil"/>
              <w:left w:val="nil"/>
              <w:bottom w:val="single" w:sz="4" w:space="0" w:color="auto"/>
              <w:right w:val="nil"/>
            </w:tcBorders>
            <w:shd w:val="clear" w:color="000000" w:fill="FFFFFF"/>
            <w:vAlign w:val="center"/>
          </w:tcPr>
          <w:p w14:paraId="537C3EC3" w14:textId="2224FDA1" w:rsidR="00FC2016" w:rsidRPr="000A2ED5" w:rsidRDefault="00FC2016" w:rsidP="00FC2016">
            <w:pPr>
              <w:spacing w:after="0" w:line="240" w:lineRule="auto"/>
              <w:jc w:val="right"/>
              <w:rPr>
                <w:rFonts w:ascii="Times New Roman" w:hAnsi="Times New Roman"/>
                <w:sz w:val="18"/>
                <w:szCs w:val="18"/>
                <w:lang w:eastAsia="sk-SK"/>
              </w:rPr>
            </w:pPr>
            <w:r w:rsidRPr="00C66720">
              <w:rPr>
                <w:rFonts w:ascii="Times New Roman" w:hAnsi="Times New Roman"/>
                <w:color w:val="000000" w:themeColor="text1"/>
                <w:sz w:val="18"/>
                <w:szCs w:val="18"/>
                <w:lang w:eastAsia="sk-SK"/>
              </w:rPr>
              <w:t>-144</w:t>
            </w:r>
          </w:p>
        </w:tc>
      </w:tr>
      <w:tr w:rsidR="00FC2016" w:rsidRPr="00975467" w14:paraId="0B1C7890" w14:textId="77777777" w:rsidTr="00241F33">
        <w:trPr>
          <w:trHeight w:val="330"/>
        </w:trPr>
        <w:tc>
          <w:tcPr>
            <w:tcW w:w="2853" w:type="pct"/>
            <w:tcBorders>
              <w:top w:val="single" w:sz="4" w:space="0" w:color="auto"/>
              <w:left w:val="nil"/>
              <w:bottom w:val="single" w:sz="4" w:space="0" w:color="000000"/>
              <w:right w:val="nil"/>
            </w:tcBorders>
            <w:shd w:val="clear" w:color="000000" w:fill="FFFFFF"/>
            <w:vAlign w:val="center"/>
          </w:tcPr>
          <w:p w14:paraId="424B476A" w14:textId="0022CC41" w:rsidR="00FC2016" w:rsidRPr="000A2ED5" w:rsidRDefault="00FC2016" w:rsidP="00FC2016">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662" w:type="pct"/>
            <w:tcBorders>
              <w:top w:val="single" w:sz="4" w:space="0" w:color="auto"/>
              <w:left w:val="nil"/>
              <w:bottom w:val="single" w:sz="4" w:space="0" w:color="000000"/>
              <w:right w:val="nil"/>
            </w:tcBorders>
            <w:shd w:val="clear" w:color="000000" w:fill="FFFFFF"/>
            <w:vAlign w:val="center"/>
          </w:tcPr>
          <w:p w14:paraId="5CFF8D57" w14:textId="52028705" w:rsidR="00FC2016" w:rsidRPr="000A2ED5" w:rsidRDefault="00FC2016" w:rsidP="00FC201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41 230</w:t>
            </w:r>
          </w:p>
        </w:tc>
        <w:tc>
          <w:tcPr>
            <w:tcW w:w="782" w:type="pct"/>
            <w:tcBorders>
              <w:top w:val="single" w:sz="4" w:space="0" w:color="auto"/>
              <w:left w:val="nil"/>
              <w:bottom w:val="single" w:sz="4" w:space="0" w:color="000000"/>
              <w:right w:val="nil"/>
            </w:tcBorders>
            <w:shd w:val="clear" w:color="000000" w:fill="FFFFFF"/>
            <w:vAlign w:val="center"/>
          </w:tcPr>
          <w:p w14:paraId="52DE28A8" w14:textId="4602A781" w:rsidR="00FC2016" w:rsidRPr="000A2ED5" w:rsidRDefault="00FC2016" w:rsidP="00FC201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41 668</w:t>
            </w:r>
          </w:p>
        </w:tc>
        <w:tc>
          <w:tcPr>
            <w:tcW w:w="703" w:type="pct"/>
            <w:tcBorders>
              <w:top w:val="single" w:sz="4" w:space="0" w:color="auto"/>
              <w:left w:val="nil"/>
              <w:bottom w:val="single" w:sz="4" w:space="0" w:color="000000"/>
              <w:right w:val="nil"/>
            </w:tcBorders>
            <w:shd w:val="clear" w:color="000000" w:fill="FFFFFF"/>
            <w:vAlign w:val="center"/>
          </w:tcPr>
          <w:p w14:paraId="2FCA9E02" w14:textId="6EE0DC2C" w:rsidR="00FC2016" w:rsidRPr="000A2ED5" w:rsidRDefault="00FC2016" w:rsidP="00FC201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-438</w:t>
            </w:r>
          </w:p>
        </w:tc>
      </w:tr>
    </w:tbl>
    <w:p w14:paraId="5E49EAE0" w14:textId="77777777" w:rsidR="00FC2016" w:rsidRPr="00D01DB2" w:rsidRDefault="00FC2016" w:rsidP="00FC2016">
      <w:pPr>
        <w:pStyle w:val="Pismenka"/>
        <w:tabs>
          <w:tab w:val="clear" w:pos="426"/>
        </w:tabs>
        <w:spacing w:after="120"/>
        <w:ind w:left="5240" w:firstLine="424"/>
        <w:jc w:val="left"/>
        <w:rPr>
          <w:b w:val="0"/>
          <w:i/>
          <w:sz w:val="22"/>
          <w:szCs w:val="22"/>
          <w:u w:val="single"/>
        </w:rPr>
      </w:pPr>
      <w:r w:rsidRPr="00D01DB2">
        <w:rPr>
          <w:b w:val="0"/>
        </w:rPr>
        <w:t>Zdroj: MF SR, Centrálny konsolidačný systém</w:t>
      </w:r>
    </w:p>
    <w:p w14:paraId="4FB39B32" w14:textId="765E0343" w:rsidR="00BD71D8" w:rsidRPr="00C66720" w:rsidRDefault="00BD71D8" w:rsidP="00FC20B7">
      <w:pPr>
        <w:pStyle w:val="Pismenka"/>
        <w:numPr>
          <w:ilvl w:val="0"/>
          <w:numId w:val="44"/>
        </w:numPr>
        <w:spacing w:before="240" w:after="120"/>
        <w:ind w:left="284" w:hanging="284"/>
        <w:rPr>
          <w:i/>
          <w:sz w:val="22"/>
          <w:szCs w:val="22"/>
          <w:u w:val="single"/>
        </w:rPr>
      </w:pPr>
      <w:bookmarkStart w:id="44" w:name="_Ref86092240"/>
      <w:r w:rsidRPr="00C66720">
        <w:rPr>
          <w:i/>
          <w:sz w:val="22"/>
          <w:szCs w:val="22"/>
          <w:u w:val="single"/>
        </w:rPr>
        <w:t>Zamestnanci</w:t>
      </w:r>
      <w:bookmarkEnd w:id="44"/>
    </w:p>
    <w:p w14:paraId="6C6206D3" w14:textId="44F3BAEC" w:rsidR="001D5C27" w:rsidRPr="00C66720" w:rsidRDefault="002200FD" w:rsidP="006E564F">
      <w:pPr>
        <w:spacing w:before="120" w:after="240" w:line="240" w:lineRule="auto"/>
        <w:jc w:val="both"/>
        <w:rPr>
          <w:rFonts w:ascii="Times New Roman" w:hAnsi="Times New Roman"/>
          <w:szCs w:val="22"/>
        </w:rPr>
      </w:pPr>
      <w:r w:rsidRPr="00C66720">
        <w:rPr>
          <w:rFonts w:ascii="Times New Roman" w:hAnsi="Times New Roman"/>
          <w:szCs w:val="22"/>
        </w:rPr>
        <w:t xml:space="preserve">Záväzky voči zamestnancom boli vykázané celkovo za </w:t>
      </w:r>
      <w:r w:rsidR="00193F3C" w:rsidRPr="00C66720">
        <w:rPr>
          <w:rFonts w:ascii="Times New Roman" w:hAnsi="Times New Roman"/>
          <w:szCs w:val="22"/>
        </w:rPr>
        <w:t>591 806</w:t>
      </w:r>
      <w:r w:rsidRPr="00C66720">
        <w:rPr>
          <w:rFonts w:ascii="Times New Roman" w:hAnsi="Times New Roman"/>
          <w:szCs w:val="22"/>
        </w:rPr>
        <w:t xml:space="preserve"> tis. eur, z toho ústredná správa vykázala </w:t>
      </w:r>
      <w:r w:rsidR="005D18EE" w:rsidRPr="00C66720">
        <w:rPr>
          <w:rFonts w:ascii="Times New Roman" w:hAnsi="Times New Roman"/>
          <w:szCs w:val="22"/>
        </w:rPr>
        <w:t>337 065</w:t>
      </w:r>
      <w:r w:rsidRPr="00C66720">
        <w:rPr>
          <w:rFonts w:ascii="Times New Roman" w:hAnsi="Times New Roman"/>
          <w:szCs w:val="22"/>
        </w:rPr>
        <w:t xml:space="preserve"> tis. eur, územná samospráva </w:t>
      </w:r>
      <w:r w:rsidR="005D18EE" w:rsidRPr="00C66720">
        <w:rPr>
          <w:rFonts w:ascii="Times New Roman" w:hAnsi="Times New Roman"/>
          <w:szCs w:val="22"/>
        </w:rPr>
        <w:t>209 944</w:t>
      </w:r>
      <w:r w:rsidRPr="00C66720">
        <w:rPr>
          <w:rFonts w:ascii="Times New Roman" w:hAnsi="Times New Roman"/>
          <w:szCs w:val="22"/>
        </w:rPr>
        <w:t xml:space="preserve"> tis. eur a ostatné subjekty </w:t>
      </w:r>
      <w:r w:rsidR="005D18EE" w:rsidRPr="00C66720">
        <w:rPr>
          <w:rFonts w:ascii="Times New Roman" w:hAnsi="Times New Roman"/>
          <w:szCs w:val="22"/>
        </w:rPr>
        <w:t>44 797</w:t>
      </w:r>
      <w:r w:rsidRPr="00C66720">
        <w:rPr>
          <w:rFonts w:ascii="Times New Roman" w:hAnsi="Times New Roman"/>
          <w:szCs w:val="22"/>
        </w:rPr>
        <w:t xml:space="preserve"> tis. eur, pričom ide najmä o predpis miezd za mesiac december vyplácaných nasledujúce účtovné obdobie.</w:t>
      </w:r>
      <w:r w:rsidR="00033921">
        <w:rPr>
          <w:rFonts w:ascii="Times New Roman" w:hAnsi="Times New Roman"/>
          <w:szCs w:val="22"/>
        </w:rPr>
        <w:t xml:space="preserve"> Medziročný pokles záväzkov voči zamestnancom bol ovplyvnený vyplatením stabilizačného príspevku v zdravotníckych zariadeniach v roku 2022 a vyšším predpisom záväzkov voči zamestnancov Ministerstva vnútra SR v roku 2021, ktorí vykonávali činnosť na úseku školstva a od 1. 1. 2022 boli delimitovaní do rezortu školstva na samostatné právne subjekty ako aj z dôvodu skončenia pracovného pomeru s nárokom na odstupné a odchodné.</w:t>
      </w:r>
    </w:p>
    <w:p w14:paraId="71B8890B" w14:textId="4AF8B19F" w:rsidR="00765F1C" w:rsidRPr="00C66720" w:rsidRDefault="00765F1C" w:rsidP="008F097E">
      <w:pPr>
        <w:pStyle w:val="Pismenka"/>
        <w:numPr>
          <w:ilvl w:val="0"/>
          <w:numId w:val="44"/>
        </w:numPr>
        <w:spacing w:before="120" w:after="120"/>
        <w:ind w:left="284" w:hanging="284"/>
        <w:rPr>
          <w:i/>
          <w:sz w:val="22"/>
          <w:szCs w:val="22"/>
          <w:u w:val="single"/>
        </w:rPr>
      </w:pPr>
      <w:bookmarkStart w:id="45" w:name="_Ref86092253"/>
      <w:r w:rsidRPr="00C66720">
        <w:rPr>
          <w:i/>
          <w:sz w:val="22"/>
          <w:szCs w:val="22"/>
          <w:u w:val="single"/>
        </w:rPr>
        <w:t>Prijaté preddavky</w:t>
      </w:r>
      <w:bookmarkEnd w:id="45"/>
    </w:p>
    <w:p w14:paraId="00440232" w14:textId="75B3C27F" w:rsidR="00765F1C" w:rsidRPr="00C66720" w:rsidRDefault="00765F1C" w:rsidP="006E564F">
      <w:pPr>
        <w:spacing w:before="120" w:after="240" w:line="240" w:lineRule="auto"/>
        <w:jc w:val="both"/>
        <w:rPr>
          <w:rFonts w:ascii="Times New Roman" w:hAnsi="Times New Roman"/>
          <w:color w:val="FF0000"/>
          <w:szCs w:val="22"/>
          <w:highlight w:val="yellow"/>
        </w:rPr>
      </w:pPr>
      <w:r w:rsidRPr="00C66720">
        <w:rPr>
          <w:rFonts w:ascii="Times New Roman" w:hAnsi="Times New Roman"/>
          <w:szCs w:val="22"/>
        </w:rPr>
        <w:t xml:space="preserve">Z prijatých preddavkov v celkovej hodnote </w:t>
      </w:r>
      <w:r w:rsidR="008566E1" w:rsidRPr="00C66720">
        <w:rPr>
          <w:rFonts w:ascii="Times New Roman" w:hAnsi="Times New Roman"/>
          <w:szCs w:val="22"/>
        </w:rPr>
        <w:t>146 241</w:t>
      </w:r>
      <w:r w:rsidRPr="00C66720">
        <w:rPr>
          <w:rFonts w:ascii="Times New Roman" w:hAnsi="Times New Roman"/>
          <w:szCs w:val="22"/>
        </w:rPr>
        <w:t xml:space="preserve"> tis. eur vykazuje ústredná správa </w:t>
      </w:r>
      <w:r w:rsidR="00D45D3D" w:rsidRPr="00C66720">
        <w:rPr>
          <w:rFonts w:ascii="Times New Roman" w:hAnsi="Times New Roman"/>
          <w:szCs w:val="22"/>
        </w:rPr>
        <w:t>80 120</w:t>
      </w:r>
      <w:r w:rsidRPr="00C66720">
        <w:rPr>
          <w:rFonts w:ascii="Times New Roman" w:hAnsi="Times New Roman"/>
          <w:szCs w:val="22"/>
        </w:rPr>
        <w:t xml:space="preserve"> tis. eur a v rámci nej </w:t>
      </w:r>
      <w:r w:rsidR="006001A3" w:rsidRPr="00C66720">
        <w:rPr>
          <w:rFonts w:ascii="Times New Roman" w:hAnsi="Times New Roman"/>
          <w:szCs w:val="22"/>
        </w:rPr>
        <w:t>Ministerstvo financií SR (34 534 tis. eur</w:t>
      </w:r>
      <w:r w:rsidR="00790BFA" w:rsidRPr="00C66720">
        <w:rPr>
          <w:rFonts w:ascii="Times New Roman" w:hAnsi="Times New Roman"/>
          <w:szCs w:val="22"/>
        </w:rPr>
        <w:t>, medziročne viac o 9 050 tis. eur</w:t>
      </w:r>
      <w:r w:rsidR="006001A3" w:rsidRPr="00C66720">
        <w:rPr>
          <w:rFonts w:ascii="Times New Roman" w:hAnsi="Times New Roman"/>
          <w:szCs w:val="22"/>
        </w:rPr>
        <w:t xml:space="preserve">) zo zábezpek z colného a daňového konania a </w:t>
      </w:r>
      <w:r w:rsidRPr="00C66720">
        <w:rPr>
          <w:rFonts w:ascii="Times New Roman" w:hAnsi="Times New Roman"/>
          <w:szCs w:val="22"/>
        </w:rPr>
        <w:t>Slovenská pošta, a.s. (</w:t>
      </w:r>
      <w:r w:rsidR="006001A3" w:rsidRPr="00C66720">
        <w:rPr>
          <w:rFonts w:ascii="Times New Roman" w:hAnsi="Times New Roman"/>
          <w:szCs w:val="22"/>
        </w:rPr>
        <w:t>14 800</w:t>
      </w:r>
      <w:r w:rsidRPr="00C66720">
        <w:rPr>
          <w:rFonts w:ascii="Times New Roman" w:hAnsi="Times New Roman"/>
          <w:szCs w:val="22"/>
        </w:rPr>
        <w:t xml:space="preserve"> tis. eur) najmä z prijatých preddavkov v medzinárodnej poštovej prevádzke</w:t>
      </w:r>
      <w:r w:rsidR="006001A3" w:rsidRPr="00C66720">
        <w:rPr>
          <w:rFonts w:ascii="Times New Roman" w:hAnsi="Times New Roman"/>
          <w:szCs w:val="22"/>
        </w:rPr>
        <w:t>.</w:t>
      </w:r>
      <w:r w:rsidR="00B76C77" w:rsidRPr="00C66720">
        <w:rPr>
          <w:rFonts w:ascii="Times New Roman" w:hAnsi="Times New Roman"/>
          <w:szCs w:val="22"/>
        </w:rPr>
        <w:t xml:space="preserve"> </w:t>
      </w:r>
      <w:r w:rsidRPr="00C66720">
        <w:rPr>
          <w:rFonts w:ascii="Times New Roman" w:hAnsi="Times New Roman"/>
          <w:szCs w:val="22"/>
        </w:rPr>
        <w:t xml:space="preserve">Druhú najvyššiu hodnotu vykazujú obce </w:t>
      </w:r>
      <w:r w:rsidR="00B76C77" w:rsidRPr="00C66720">
        <w:rPr>
          <w:rFonts w:ascii="Times New Roman" w:hAnsi="Times New Roman"/>
          <w:szCs w:val="22"/>
        </w:rPr>
        <w:t>62 205</w:t>
      </w:r>
      <w:r w:rsidRPr="00C66720">
        <w:rPr>
          <w:rFonts w:ascii="Times New Roman" w:hAnsi="Times New Roman"/>
          <w:szCs w:val="22"/>
        </w:rPr>
        <w:t xml:space="preserve"> tis. eur.</w:t>
      </w:r>
      <w:r w:rsidR="00133EC0" w:rsidRPr="00C66720">
        <w:rPr>
          <w:rFonts w:ascii="Times New Roman" w:hAnsi="Times New Roman"/>
          <w:szCs w:val="22"/>
        </w:rPr>
        <w:t xml:space="preserve"> </w:t>
      </w:r>
      <w:r w:rsidR="00133EC0" w:rsidRPr="00C66720">
        <w:rPr>
          <w:rFonts w:ascii="Times New Roman" w:hAnsi="Times New Roman"/>
          <w:szCs w:val="22"/>
        </w:rPr>
        <w:lastRenderedPageBreak/>
        <w:t xml:space="preserve">Významný medziročný úbytok prijatých preddavkov (o 38 202 tis. eur, v ústrednej správe </w:t>
      </w:r>
      <w:r w:rsidR="00021899">
        <w:rPr>
          <w:rFonts w:ascii="Times New Roman" w:hAnsi="Times New Roman"/>
          <w:szCs w:val="22"/>
        </w:rPr>
        <w:br/>
      </w:r>
      <w:r w:rsidR="00133EC0" w:rsidRPr="00C66720">
        <w:rPr>
          <w:rFonts w:ascii="Times New Roman" w:hAnsi="Times New Roman"/>
          <w:szCs w:val="22"/>
        </w:rPr>
        <w:t xml:space="preserve">o 46 652 tis. eur) bol spôsobený najmä </w:t>
      </w:r>
      <w:r w:rsidR="00B0351C" w:rsidRPr="00C66720">
        <w:rPr>
          <w:rFonts w:ascii="Times New Roman" w:hAnsi="Times New Roman"/>
          <w:szCs w:val="22"/>
        </w:rPr>
        <w:t xml:space="preserve">poklesom </w:t>
      </w:r>
      <w:r w:rsidR="00384912" w:rsidRPr="00C66720">
        <w:rPr>
          <w:rFonts w:ascii="Times New Roman" w:hAnsi="Times New Roman"/>
          <w:szCs w:val="22"/>
        </w:rPr>
        <w:t xml:space="preserve">prijatých zábezpek od energetických firiem na podporné služby, odchýlok a denných trhov </w:t>
      </w:r>
      <w:r w:rsidR="00B0351C" w:rsidRPr="00C66720">
        <w:rPr>
          <w:rFonts w:ascii="Times New Roman" w:hAnsi="Times New Roman"/>
          <w:szCs w:val="22"/>
        </w:rPr>
        <w:t xml:space="preserve">u Slovenskej elektrizačnej prenosovej sústavy, a.s. </w:t>
      </w:r>
      <w:r w:rsidR="00021899">
        <w:rPr>
          <w:rFonts w:ascii="Times New Roman" w:hAnsi="Times New Roman"/>
          <w:szCs w:val="22"/>
        </w:rPr>
        <w:br/>
      </w:r>
      <w:r w:rsidR="00B0351C" w:rsidRPr="00C66720">
        <w:rPr>
          <w:rFonts w:ascii="Times New Roman" w:hAnsi="Times New Roman"/>
          <w:szCs w:val="22"/>
        </w:rPr>
        <w:t>(o 38 692 tis. eur)</w:t>
      </w:r>
      <w:r w:rsidR="00384912" w:rsidRPr="00C66720">
        <w:rPr>
          <w:rFonts w:ascii="Times New Roman" w:hAnsi="Times New Roman"/>
          <w:szCs w:val="22"/>
        </w:rPr>
        <w:t xml:space="preserve"> a</w:t>
      </w:r>
      <w:r w:rsidR="00790BFA" w:rsidRPr="00C66720">
        <w:rPr>
          <w:rFonts w:ascii="Times New Roman" w:hAnsi="Times New Roman"/>
          <w:szCs w:val="22"/>
        </w:rPr>
        <w:t> poklesom prijatých preddavkov za služby v medzinárodnej poštovej prevádzke u Slovenskej pošty, a.s. (o 31 951 tis. eur). Subjekty územnej samosprávy naopak vykazujú zvýšenie záväzkov z prijatých preddavkov o 8 371 tis. eur.</w:t>
      </w:r>
    </w:p>
    <w:p w14:paraId="58F180B2" w14:textId="66FFDB4F" w:rsidR="00765F1C" w:rsidRPr="00C66720" w:rsidRDefault="00765F1C" w:rsidP="008F097E">
      <w:pPr>
        <w:pStyle w:val="Pismenka"/>
        <w:numPr>
          <w:ilvl w:val="0"/>
          <w:numId w:val="44"/>
        </w:numPr>
        <w:spacing w:before="120" w:after="120"/>
        <w:ind w:left="284" w:hanging="284"/>
        <w:rPr>
          <w:i/>
          <w:sz w:val="22"/>
          <w:szCs w:val="22"/>
          <w:u w:val="single"/>
        </w:rPr>
      </w:pPr>
      <w:bookmarkStart w:id="46" w:name="_Ref86092263"/>
      <w:r w:rsidRPr="00C66720">
        <w:rPr>
          <w:i/>
          <w:sz w:val="22"/>
          <w:szCs w:val="22"/>
          <w:u w:val="single"/>
        </w:rPr>
        <w:t>Ostatné záväzky</w:t>
      </w:r>
      <w:bookmarkEnd w:id="46"/>
    </w:p>
    <w:p w14:paraId="52E91DB9" w14:textId="673F840E" w:rsidR="00056463" w:rsidRPr="00C66720" w:rsidRDefault="00056463" w:rsidP="00174C47">
      <w:pPr>
        <w:spacing w:after="120" w:line="240" w:lineRule="auto"/>
        <w:jc w:val="both"/>
        <w:rPr>
          <w:rFonts w:ascii="Times New Roman" w:hAnsi="Times New Roman"/>
          <w:szCs w:val="22"/>
        </w:rPr>
      </w:pPr>
      <w:r w:rsidRPr="00C66720">
        <w:rPr>
          <w:rFonts w:ascii="Times New Roman" w:hAnsi="Times New Roman"/>
          <w:i/>
          <w:szCs w:val="22"/>
          <w:u w:val="single"/>
        </w:rPr>
        <w:t>Špecifické záväzky Ministerstva financií SR</w:t>
      </w:r>
      <w:r w:rsidR="007A6666" w:rsidRPr="00C66720">
        <w:rPr>
          <w:rFonts w:ascii="Times New Roman" w:hAnsi="Times New Roman"/>
          <w:szCs w:val="22"/>
        </w:rPr>
        <w:t xml:space="preserve"> </w:t>
      </w:r>
      <w:r w:rsidR="00A75121">
        <w:rPr>
          <w:rFonts w:ascii="Times New Roman" w:hAnsi="Times New Roman"/>
          <w:szCs w:val="22"/>
        </w:rPr>
        <w:t xml:space="preserve">v sume 1 771 583 tis. eur </w:t>
      </w:r>
      <w:r w:rsidR="007A6666" w:rsidRPr="00C66720">
        <w:rPr>
          <w:rFonts w:ascii="Times New Roman" w:hAnsi="Times New Roman"/>
          <w:szCs w:val="22"/>
        </w:rPr>
        <w:t>predstavujú záväzky v rámci účtovania daňových príjmov (resp. správy daní) voči platiteľom daní, napr. z dôvodu nároku na vrátenie nadmerného odpočtu alebo úhrady na základe predbežných opatrení.</w:t>
      </w:r>
      <w:r w:rsidR="00604351" w:rsidRPr="00C66720">
        <w:rPr>
          <w:rFonts w:ascii="Times New Roman" w:hAnsi="Times New Roman"/>
          <w:szCs w:val="22"/>
        </w:rPr>
        <w:t xml:space="preserve"> Ďalšími špecifickými záväzkami Ministerstva financií SR sú záväzky z</w:t>
      </w:r>
      <w:r w:rsidR="0063402C" w:rsidRPr="00C66720">
        <w:rPr>
          <w:rFonts w:ascii="Times New Roman" w:hAnsi="Times New Roman"/>
          <w:szCs w:val="22"/>
        </w:rPr>
        <w:t> </w:t>
      </w:r>
      <w:r w:rsidR="00604351" w:rsidRPr="00C66720">
        <w:rPr>
          <w:rFonts w:ascii="Times New Roman" w:hAnsi="Times New Roman"/>
          <w:szCs w:val="22"/>
        </w:rPr>
        <w:t>p</w:t>
      </w:r>
      <w:r w:rsidR="0063402C" w:rsidRPr="00C66720">
        <w:rPr>
          <w:rFonts w:ascii="Times New Roman" w:hAnsi="Times New Roman"/>
          <w:szCs w:val="22"/>
        </w:rPr>
        <w:t xml:space="preserve">rijatých finančných zábezpek </w:t>
      </w:r>
      <w:r w:rsidR="00084C3F" w:rsidRPr="00C66720">
        <w:rPr>
          <w:rFonts w:ascii="Times New Roman" w:hAnsi="Times New Roman"/>
          <w:szCs w:val="22"/>
        </w:rPr>
        <w:t xml:space="preserve">podľa § 67 zákona č. 30/2019 </w:t>
      </w:r>
      <w:r w:rsidR="00FA331A">
        <w:rPr>
          <w:rFonts w:ascii="Times New Roman" w:hAnsi="Times New Roman"/>
          <w:szCs w:val="22"/>
        </w:rPr>
        <w:br/>
      </w:r>
      <w:r w:rsidR="00084C3F" w:rsidRPr="00C66720">
        <w:rPr>
          <w:rFonts w:ascii="Times New Roman" w:hAnsi="Times New Roman"/>
          <w:szCs w:val="22"/>
        </w:rPr>
        <w:t>Z. z. o hazardných hrách, záväzok z pasívneho kolaterálu a záväzky z DEPO obchodov.</w:t>
      </w:r>
      <w:r w:rsidR="00BA0488" w:rsidRPr="00C66720">
        <w:rPr>
          <w:rFonts w:ascii="Times New Roman" w:hAnsi="Times New Roman"/>
          <w:szCs w:val="22"/>
        </w:rPr>
        <w:t xml:space="preserve"> Celková hodnota týchto špecifických krátkodobých záväzkov </w:t>
      </w:r>
      <w:r w:rsidR="00460055" w:rsidRPr="00C66720">
        <w:rPr>
          <w:rFonts w:ascii="Times New Roman" w:hAnsi="Times New Roman"/>
          <w:szCs w:val="22"/>
        </w:rPr>
        <w:t>poklesla</w:t>
      </w:r>
      <w:r w:rsidR="00BA0488" w:rsidRPr="00C66720">
        <w:rPr>
          <w:rFonts w:ascii="Times New Roman" w:hAnsi="Times New Roman"/>
          <w:szCs w:val="22"/>
        </w:rPr>
        <w:t xml:space="preserve"> o 20 367 tis. eur.</w:t>
      </w:r>
    </w:p>
    <w:p w14:paraId="250A0FA1" w14:textId="57C13553" w:rsidR="001460BB" w:rsidRPr="00C66720" w:rsidRDefault="001460BB" w:rsidP="00174C47">
      <w:pPr>
        <w:spacing w:after="120" w:line="240" w:lineRule="auto"/>
        <w:jc w:val="both"/>
        <w:rPr>
          <w:rFonts w:ascii="Times New Roman" w:hAnsi="Times New Roman"/>
          <w:szCs w:val="22"/>
        </w:rPr>
      </w:pPr>
      <w:r w:rsidRPr="00C66720">
        <w:rPr>
          <w:rFonts w:ascii="Times New Roman" w:hAnsi="Times New Roman"/>
          <w:i/>
          <w:szCs w:val="22"/>
          <w:u w:val="single"/>
        </w:rPr>
        <w:t xml:space="preserve">Špecifické záväzky SPP, a.s. </w:t>
      </w:r>
      <w:r w:rsidR="00FF064E" w:rsidRPr="00C66720">
        <w:rPr>
          <w:rFonts w:ascii="Times New Roman" w:hAnsi="Times New Roman"/>
          <w:szCs w:val="22"/>
        </w:rPr>
        <w:t xml:space="preserve">predstavujú najme ostatné záväzky z obchodného styku a iné záväzky z prijatých zábezpek vo výške </w:t>
      </w:r>
      <w:r w:rsidR="009F30DC" w:rsidRPr="00C66720">
        <w:rPr>
          <w:rFonts w:ascii="Times New Roman" w:hAnsi="Times New Roman"/>
          <w:szCs w:val="22"/>
        </w:rPr>
        <w:t>602 629</w:t>
      </w:r>
      <w:r w:rsidR="00FF064E" w:rsidRPr="00C66720">
        <w:rPr>
          <w:rFonts w:ascii="Times New Roman" w:hAnsi="Times New Roman"/>
          <w:szCs w:val="22"/>
        </w:rPr>
        <w:t xml:space="preserve"> tis. eur prijaté od protistrán, s ktorými má spoločnosť uzatvorené zabezpečovacie derivátové kontrakty. Medziročne boli tieto ostatné záväzky </w:t>
      </w:r>
      <w:r w:rsidR="00B15D07" w:rsidRPr="00C66720">
        <w:rPr>
          <w:rFonts w:ascii="Times New Roman" w:hAnsi="Times New Roman"/>
          <w:szCs w:val="22"/>
        </w:rPr>
        <w:t>nižšie</w:t>
      </w:r>
      <w:r w:rsidR="00FF064E" w:rsidRPr="00C66720">
        <w:rPr>
          <w:rFonts w:ascii="Times New Roman" w:hAnsi="Times New Roman"/>
          <w:szCs w:val="22"/>
        </w:rPr>
        <w:t xml:space="preserve"> o</w:t>
      </w:r>
      <w:r w:rsidR="00B15D07" w:rsidRPr="00C66720">
        <w:rPr>
          <w:rFonts w:ascii="Times New Roman" w:hAnsi="Times New Roman"/>
          <w:szCs w:val="22"/>
        </w:rPr>
        <w:t> 546 954</w:t>
      </w:r>
      <w:r w:rsidR="00FF064E" w:rsidRPr="00C66720">
        <w:rPr>
          <w:rFonts w:ascii="Times New Roman" w:hAnsi="Times New Roman"/>
          <w:szCs w:val="22"/>
        </w:rPr>
        <w:t xml:space="preserve"> tis. eur najmä vplyvom </w:t>
      </w:r>
      <w:r w:rsidR="00B15D07" w:rsidRPr="00C66720">
        <w:rPr>
          <w:rFonts w:ascii="Times New Roman" w:hAnsi="Times New Roman"/>
          <w:szCs w:val="22"/>
        </w:rPr>
        <w:t>medziročného poklesu forwardových cien použitých pri precenení otvorených pozícií voči protistranám.</w:t>
      </w:r>
    </w:p>
    <w:p w14:paraId="186CCD28" w14:textId="1C021294" w:rsidR="00CE246F" w:rsidRPr="00C66720" w:rsidRDefault="00CE246F" w:rsidP="00174C47">
      <w:pPr>
        <w:spacing w:after="120" w:line="240" w:lineRule="auto"/>
        <w:jc w:val="both"/>
        <w:rPr>
          <w:rFonts w:ascii="Times New Roman" w:hAnsi="Times New Roman"/>
          <w:szCs w:val="22"/>
        </w:rPr>
      </w:pPr>
      <w:r w:rsidRPr="00C66720">
        <w:rPr>
          <w:rFonts w:ascii="Times New Roman" w:hAnsi="Times New Roman"/>
          <w:i/>
          <w:szCs w:val="22"/>
          <w:u w:val="single"/>
        </w:rPr>
        <w:t>Záväzky zo sociálneho a zdravotného poistenia</w:t>
      </w:r>
      <w:r w:rsidRPr="00C66720">
        <w:rPr>
          <w:rFonts w:ascii="Times New Roman" w:hAnsi="Times New Roman"/>
          <w:szCs w:val="22"/>
        </w:rPr>
        <w:t xml:space="preserve"> po čiastočnej konsolidácii v súhrnnom celku dosiahli </w:t>
      </w:r>
      <w:r w:rsidR="00C223D9" w:rsidRPr="00C66720">
        <w:rPr>
          <w:rFonts w:ascii="Times New Roman" w:hAnsi="Times New Roman"/>
          <w:szCs w:val="22"/>
        </w:rPr>
        <w:t>535 499</w:t>
      </w:r>
      <w:r w:rsidR="00E75640" w:rsidRPr="00C66720">
        <w:rPr>
          <w:rFonts w:ascii="Times New Roman" w:hAnsi="Times New Roman"/>
          <w:szCs w:val="22"/>
        </w:rPr>
        <w:t xml:space="preserve"> </w:t>
      </w:r>
      <w:r w:rsidRPr="00C66720">
        <w:rPr>
          <w:rFonts w:ascii="Times New Roman" w:hAnsi="Times New Roman"/>
          <w:szCs w:val="22"/>
        </w:rPr>
        <w:t xml:space="preserve">tis. eur, z toho ústredná štátna správa vykázala </w:t>
      </w:r>
      <w:r w:rsidR="00AD7D01" w:rsidRPr="00C66720">
        <w:rPr>
          <w:rFonts w:ascii="Times New Roman" w:hAnsi="Times New Roman"/>
          <w:szCs w:val="22"/>
        </w:rPr>
        <w:t>376 255</w:t>
      </w:r>
      <w:r w:rsidRPr="00C66720">
        <w:rPr>
          <w:rFonts w:ascii="Times New Roman" w:hAnsi="Times New Roman"/>
          <w:szCs w:val="22"/>
        </w:rPr>
        <w:t xml:space="preserve"> tis. eur, územná samospráva </w:t>
      </w:r>
      <w:r w:rsidR="00AD7D01" w:rsidRPr="00C66720">
        <w:rPr>
          <w:rFonts w:ascii="Times New Roman" w:hAnsi="Times New Roman"/>
          <w:szCs w:val="22"/>
        </w:rPr>
        <w:br/>
        <w:t>156 198</w:t>
      </w:r>
      <w:r w:rsidRPr="00C66720">
        <w:rPr>
          <w:rFonts w:ascii="Times New Roman" w:hAnsi="Times New Roman"/>
          <w:szCs w:val="22"/>
        </w:rPr>
        <w:t xml:space="preserve"> tis. eur a </w:t>
      </w:r>
      <w:r w:rsidR="00D50138" w:rsidRPr="00C66720">
        <w:rPr>
          <w:rFonts w:ascii="Times New Roman" w:hAnsi="Times New Roman"/>
          <w:szCs w:val="22"/>
        </w:rPr>
        <w:t xml:space="preserve">ostatné subjekty </w:t>
      </w:r>
      <w:r w:rsidR="00AD7D01" w:rsidRPr="00C66720">
        <w:rPr>
          <w:rFonts w:ascii="Times New Roman" w:hAnsi="Times New Roman"/>
          <w:szCs w:val="22"/>
        </w:rPr>
        <w:t>29 423</w:t>
      </w:r>
      <w:r w:rsidRPr="00C66720">
        <w:rPr>
          <w:rFonts w:ascii="Times New Roman" w:hAnsi="Times New Roman"/>
          <w:szCs w:val="22"/>
        </w:rPr>
        <w:t xml:space="preserve"> tis. eur</w:t>
      </w:r>
      <w:r w:rsidR="00E75640" w:rsidRPr="00C66720">
        <w:rPr>
          <w:rFonts w:ascii="Times New Roman" w:hAnsi="Times New Roman"/>
          <w:szCs w:val="22"/>
        </w:rPr>
        <w:t xml:space="preserve">, za súčasnej eliminácie záväzkov voči Všeobecnej zdravotnej poisťovni, a.s. v hodnote </w:t>
      </w:r>
      <w:r w:rsidR="00AD7D01" w:rsidRPr="00C66720">
        <w:rPr>
          <w:rFonts w:ascii="Times New Roman" w:hAnsi="Times New Roman"/>
          <w:szCs w:val="22"/>
        </w:rPr>
        <w:t>23 826</w:t>
      </w:r>
      <w:r w:rsidR="00E75640" w:rsidRPr="00C66720">
        <w:rPr>
          <w:rFonts w:ascii="Times New Roman" w:hAnsi="Times New Roman"/>
          <w:szCs w:val="22"/>
        </w:rPr>
        <w:t xml:space="preserve"> tis. eur</w:t>
      </w:r>
      <w:r w:rsidR="00AD7D01" w:rsidRPr="00C66720">
        <w:rPr>
          <w:rFonts w:ascii="Times New Roman" w:hAnsi="Times New Roman"/>
          <w:szCs w:val="22"/>
        </w:rPr>
        <w:t xml:space="preserve"> a záväzkov zo sociálnych odvodov v rámci Sociálnej poisťovne v hodnote 2 551 tis. eur.</w:t>
      </w:r>
      <w:r w:rsidRPr="00C66720">
        <w:rPr>
          <w:rFonts w:ascii="Times New Roman" w:hAnsi="Times New Roman"/>
          <w:szCs w:val="22"/>
        </w:rPr>
        <w:t xml:space="preserve"> Na medziročnom </w:t>
      </w:r>
      <w:r w:rsidR="00F21646" w:rsidRPr="00C66720">
        <w:rPr>
          <w:rFonts w:ascii="Times New Roman" w:hAnsi="Times New Roman"/>
          <w:szCs w:val="22"/>
        </w:rPr>
        <w:t>poklese</w:t>
      </w:r>
      <w:r w:rsidR="00D50138" w:rsidRPr="00C66720">
        <w:rPr>
          <w:rFonts w:ascii="Times New Roman" w:hAnsi="Times New Roman"/>
          <w:szCs w:val="22"/>
        </w:rPr>
        <w:t xml:space="preserve"> týchto záväzkov o</w:t>
      </w:r>
      <w:r w:rsidR="00F21646" w:rsidRPr="00C66720">
        <w:rPr>
          <w:rFonts w:ascii="Times New Roman" w:hAnsi="Times New Roman"/>
          <w:szCs w:val="22"/>
        </w:rPr>
        <w:t> 116 156</w:t>
      </w:r>
      <w:r w:rsidRPr="00C66720">
        <w:rPr>
          <w:rFonts w:ascii="Times New Roman" w:hAnsi="Times New Roman"/>
          <w:szCs w:val="22"/>
        </w:rPr>
        <w:t xml:space="preserve"> tis. eur sa podieľala najmä </w:t>
      </w:r>
      <w:r w:rsidR="00D50138" w:rsidRPr="00C66720">
        <w:rPr>
          <w:rFonts w:ascii="Times New Roman" w:hAnsi="Times New Roman"/>
          <w:szCs w:val="22"/>
        </w:rPr>
        <w:t xml:space="preserve">ústredná </w:t>
      </w:r>
      <w:r w:rsidR="008421F8" w:rsidRPr="00C66720">
        <w:rPr>
          <w:rFonts w:ascii="Times New Roman" w:hAnsi="Times New Roman"/>
          <w:szCs w:val="22"/>
        </w:rPr>
        <w:t xml:space="preserve">štátna </w:t>
      </w:r>
      <w:r w:rsidR="00D50138" w:rsidRPr="00C66720">
        <w:rPr>
          <w:rFonts w:ascii="Times New Roman" w:hAnsi="Times New Roman"/>
          <w:szCs w:val="22"/>
        </w:rPr>
        <w:t>správa (</w:t>
      </w:r>
      <w:r w:rsidR="008421F8" w:rsidRPr="00C66720">
        <w:rPr>
          <w:rFonts w:ascii="Times New Roman" w:hAnsi="Times New Roman"/>
          <w:szCs w:val="22"/>
        </w:rPr>
        <w:t xml:space="preserve">o </w:t>
      </w:r>
      <w:r w:rsidR="00F21646" w:rsidRPr="00C66720">
        <w:rPr>
          <w:rFonts w:ascii="Times New Roman" w:hAnsi="Times New Roman"/>
          <w:szCs w:val="22"/>
        </w:rPr>
        <w:t>100 368</w:t>
      </w:r>
      <w:r w:rsidRPr="00C66720">
        <w:rPr>
          <w:rFonts w:ascii="Times New Roman" w:hAnsi="Times New Roman"/>
          <w:szCs w:val="22"/>
        </w:rPr>
        <w:t xml:space="preserve"> tis. eur</w:t>
      </w:r>
      <w:r w:rsidR="00FC73B5" w:rsidRPr="00C66720">
        <w:rPr>
          <w:rFonts w:ascii="Times New Roman" w:hAnsi="Times New Roman"/>
          <w:szCs w:val="22"/>
        </w:rPr>
        <w:t>).</w:t>
      </w:r>
      <w:r w:rsidRPr="00C66720">
        <w:rPr>
          <w:rFonts w:ascii="Times New Roman" w:hAnsi="Times New Roman"/>
          <w:szCs w:val="22"/>
        </w:rPr>
        <w:t xml:space="preserve"> </w:t>
      </w:r>
    </w:p>
    <w:p w14:paraId="2BDB93F6" w14:textId="10690A88" w:rsidR="00CE246F" w:rsidRPr="00C66720" w:rsidRDefault="00CE246F" w:rsidP="00174C47">
      <w:pPr>
        <w:spacing w:before="120" w:after="120" w:line="240" w:lineRule="auto"/>
        <w:jc w:val="both"/>
        <w:rPr>
          <w:rFonts w:ascii="Times New Roman" w:hAnsi="Times New Roman"/>
          <w:i/>
          <w:szCs w:val="22"/>
          <w:u w:val="single"/>
        </w:rPr>
      </w:pPr>
      <w:r w:rsidRPr="00C66720">
        <w:rPr>
          <w:rFonts w:ascii="Times New Roman" w:hAnsi="Times New Roman"/>
          <w:i/>
          <w:szCs w:val="22"/>
          <w:u w:val="single"/>
        </w:rPr>
        <w:t>Vzťahy k účtom Štátnej pokladnice</w:t>
      </w:r>
      <w:r w:rsidRPr="00C66720">
        <w:rPr>
          <w:rFonts w:ascii="Times New Roman" w:hAnsi="Times New Roman"/>
          <w:szCs w:val="22"/>
        </w:rPr>
        <w:t xml:space="preserve"> predstavujú záväzky z uložených prostriedkov dobrovoľných klientov</w:t>
      </w:r>
      <w:r w:rsidR="00E36BB9" w:rsidRPr="00C66720">
        <w:rPr>
          <w:rFonts w:ascii="Times New Roman" w:hAnsi="Times New Roman"/>
          <w:szCs w:val="22"/>
        </w:rPr>
        <w:t xml:space="preserve">, ktoré boli medziročne </w:t>
      </w:r>
      <w:r w:rsidR="00B42F36" w:rsidRPr="00C66720">
        <w:rPr>
          <w:rFonts w:ascii="Times New Roman" w:hAnsi="Times New Roman"/>
          <w:szCs w:val="22"/>
        </w:rPr>
        <w:t>nižšie</w:t>
      </w:r>
      <w:r w:rsidR="00E36BB9" w:rsidRPr="00C66720">
        <w:rPr>
          <w:rFonts w:ascii="Times New Roman" w:hAnsi="Times New Roman"/>
          <w:szCs w:val="22"/>
        </w:rPr>
        <w:t xml:space="preserve"> o</w:t>
      </w:r>
      <w:r w:rsidR="00B42F36" w:rsidRPr="00C66720">
        <w:rPr>
          <w:rFonts w:ascii="Times New Roman" w:hAnsi="Times New Roman"/>
          <w:szCs w:val="22"/>
        </w:rPr>
        <w:t> 27 884</w:t>
      </w:r>
      <w:r w:rsidR="00E36BB9" w:rsidRPr="00C66720">
        <w:rPr>
          <w:rFonts w:ascii="Times New Roman" w:hAnsi="Times New Roman"/>
          <w:szCs w:val="22"/>
        </w:rPr>
        <w:t xml:space="preserve"> tis. eur</w:t>
      </w:r>
      <w:r w:rsidRPr="00C66720">
        <w:rPr>
          <w:rFonts w:ascii="Times New Roman" w:hAnsi="Times New Roman"/>
          <w:szCs w:val="22"/>
        </w:rPr>
        <w:t>.</w:t>
      </w:r>
      <w:r w:rsidRPr="00C66720">
        <w:rPr>
          <w:rFonts w:ascii="Times New Roman" w:hAnsi="Times New Roman"/>
          <w:i/>
          <w:szCs w:val="22"/>
          <w:u w:val="single"/>
        </w:rPr>
        <w:t xml:space="preserve"> </w:t>
      </w:r>
    </w:p>
    <w:p w14:paraId="21C7FD77" w14:textId="77777777" w:rsidR="00CE246F" w:rsidRPr="00C66720" w:rsidRDefault="00CE246F" w:rsidP="00174C47">
      <w:pPr>
        <w:spacing w:before="120" w:after="120" w:line="240" w:lineRule="auto"/>
        <w:jc w:val="both"/>
        <w:rPr>
          <w:rFonts w:ascii="Times New Roman" w:hAnsi="Times New Roman"/>
          <w:szCs w:val="22"/>
        </w:rPr>
      </w:pPr>
      <w:r w:rsidRPr="00C66720">
        <w:rPr>
          <w:rFonts w:ascii="Times New Roman" w:hAnsi="Times New Roman"/>
          <w:i/>
          <w:szCs w:val="22"/>
          <w:u w:val="single"/>
        </w:rPr>
        <w:t>Záväzky SZRB, a.s.</w:t>
      </w:r>
      <w:r w:rsidRPr="00C66720">
        <w:rPr>
          <w:rFonts w:ascii="Times New Roman" w:hAnsi="Times New Roman"/>
          <w:szCs w:val="22"/>
        </w:rPr>
        <w:t xml:space="preserve"> predstavujú záväzky voči bankám a voči klientom, ktorí majú uložené peňažné prostriedky v SZRB, a.s. vo forme bežných a termínovaných účtov.</w:t>
      </w:r>
    </w:p>
    <w:p w14:paraId="6E99A344" w14:textId="5F1AFE87" w:rsidR="00CE246F" w:rsidRPr="00C66720" w:rsidRDefault="00CE246F" w:rsidP="00B833CB">
      <w:pPr>
        <w:spacing w:before="120" w:after="120" w:line="240" w:lineRule="auto"/>
        <w:jc w:val="both"/>
        <w:rPr>
          <w:rFonts w:ascii="Times New Roman" w:hAnsi="Times New Roman"/>
          <w:color w:val="FF0000"/>
          <w:szCs w:val="22"/>
          <w:highlight w:val="yellow"/>
        </w:rPr>
      </w:pPr>
      <w:r w:rsidRPr="00C66720">
        <w:rPr>
          <w:rFonts w:ascii="Times New Roman" w:hAnsi="Times New Roman"/>
          <w:i/>
          <w:szCs w:val="22"/>
          <w:u w:val="single"/>
        </w:rPr>
        <w:t>Záväzky z transferov prijatých od subjektov mimo verejnej správy</w:t>
      </w:r>
      <w:r w:rsidRPr="00C66720">
        <w:rPr>
          <w:rFonts w:ascii="Times New Roman" w:hAnsi="Times New Roman"/>
          <w:szCs w:val="22"/>
        </w:rPr>
        <w:t xml:space="preserve"> (a zároveň potenciálne od subjektov mimo súhrnného celku) dosiahli </w:t>
      </w:r>
      <w:r w:rsidR="00FF57F0" w:rsidRPr="00C66720">
        <w:rPr>
          <w:rFonts w:ascii="Times New Roman" w:hAnsi="Times New Roman"/>
          <w:szCs w:val="22"/>
        </w:rPr>
        <w:t>213 827</w:t>
      </w:r>
      <w:r w:rsidRPr="00C66720">
        <w:rPr>
          <w:rFonts w:ascii="Times New Roman" w:hAnsi="Times New Roman"/>
          <w:szCs w:val="22"/>
        </w:rPr>
        <w:t xml:space="preserve"> tis. eur </w:t>
      </w:r>
      <w:r w:rsidR="00184115" w:rsidRPr="00C66720">
        <w:rPr>
          <w:rFonts w:ascii="Times New Roman" w:hAnsi="Times New Roman"/>
          <w:szCs w:val="22"/>
        </w:rPr>
        <w:t xml:space="preserve">a medziročne sa </w:t>
      </w:r>
      <w:r w:rsidR="008321D8" w:rsidRPr="00C66720">
        <w:rPr>
          <w:rFonts w:ascii="Times New Roman" w:hAnsi="Times New Roman"/>
          <w:szCs w:val="22"/>
        </w:rPr>
        <w:t>zvýšili</w:t>
      </w:r>
      <w:r w:rsidR="00184115" w:rsidRPr="00C66720">
        <w:rPr>
          <w:rFonts w:ascii="Times New Roman" w:hAnsi="Times New Roman"/>
          <w:szCs w:val="22"/>
        </w:rPr>
        <w:t xml:space="preserve"> o</w:t>
      </w:r>
      <w:r w:rsidR="00FF57F0" w:rsidRPr="00C66720">
        <w:rPr>
          <w:rFonts w:ascii="Times New Roman" w:hAnsi="Times New Roman"/>
          <w:szCs w:val="22"/>
        </w:rPr>
        <w:t> 112 414</w:t>
      </w:r>
      <w:r w:rsidRPr="00C66720">
        <w:rPr>
          <w:rFonts w:ascii="Times New Roman" w:hAnsi="Times New Roman"/>
          <w:szCs w:val="22"/>
        </w:rPr>
        <w:t xml:space="preserve"> tis. eur. Významnú časť tvo</w:t>
      </w:r>
      <w:r w:rsidR="000B790E" w:rsidRPr="00C66720">
        <w:rPr>
          <w:rFonts w:ascii="Times New Roman" w:hAnsi="Times New Roman"/>
          <w:szCs w:val="22"/>
        </w:rPr>
        <w:t>ria opäť ústredná správa (</w:t>
      </w:r>
      <w:r w:rsidR="00261860" w:rsidRPr="00C66720">
        <w:rPr>
          <w:rFonts w:ascii="Times New Roman" w:hAnsi="Times New Roman"/>
          <w:szCs w:val="22"/>
        </w:rPr>
        <w:t>173 569</w:t>
      </w:r>
      <w:r w:rsidR="000B790E" w:rsidRPr="00C66720">
        <w:rPr>
          <w:rFonts w:ascii="Times New Roman" w:hAnsi="Times New Roman"/>
          <w:szCs w:val="22"/>
        </w:rPr>
        <w:t xml:space="preserve"> tis. eur)</w:t>
      </w:r>
      <w:r w:rsidR="00261860" w:rsidRPr="00C66720">
        <w:rPr>
          <w:rFonts w:ascii="Times New Roman" w:hAnsi="Times New Roman"/>
          <w:szCs w:val="22"/>
        </w:rPr>
        <w:t xml:space="preserve">, ostatné subjekty verejnej správy </w:t>
      </w:r>
      <w:r w:rsidR="00261860" w:rsidRPr="00C66720">
        <w:rPr>
          <w:rFonts w:ascii="Times New Roman" w:hAnsi="Times New Roman"/>
          <w:szCs w:val="22"/>
        </w:rPr>
        <w:br/>
        <w:t>(20 288 tis. eur)</w:t>
      </w:r>
      <w:r w:rsidR="000B790E" w:rsidRPr="00C66720">
        <w:rPr>
          <w:rFonts w:ascii="Times New Roman" w:hAnsi="Times New Roman"/>
          <w:szCs w:val="22"/>
        </w:rPr>
        <w:t xml:space="preserve"> a obce (</w:t>
      </w:r>
      <w:r w:rsidR="008321D8" w:rsidRPr="00C66720">
        <w:rPr>
          <w:rFonts w:ascii="Times New Roman" w:hAnsi="Times New Roman"/>
          <w:szCs w:val="22"/>
        </w:rPr>
        <w:t xml:space="preserve">15 </w:t>
      </w:r>
      <w:r w:rsidR="00261860" w:rsidRPr="00C66720">
        <w:rPr>
          <w:rFonts w:ascii="Times New Roman" w:hAnsi="Times New Roman"/>
          <w:szCs w:val="22"/>
        </w:rPr>
        <w:t>752</w:t>
      </w:r>
      <w:r w:rsidRPr="00C66720">
        <w:rPr>
          <w:rFonts w:ascii="Times New Roman" w:hAnsi="Times New Roman"/>
          <w:szCs w:val="22"/>
        </w:rPr>
        <w:t xml:space="preserve"> tis. eur). V ústrednej správe ide hlavne o</w:t>
      </w:r>
      <w:r w:rsidR="00A3740C" w:rsidRPr="00C66720">
        <w:rPr>
          <w:rFonts w:ascii="Times New Roman" w:hAnsi="Times New Roman"/>
          <w:szCs w:val="22"/>
        </w:rPr>
        <w:t xml:space="preserve"> Ministerstvo obrany SR </w:t>
      </w:r>
      <w:r w:rsidR="00B655D3" w:rsidRPr="00C66720">
        <w:rPr>
          <w:rFonts w:ascii="Times New Roman" w:hAnsi="Times New Roman"/>
          <w:szCs w:val="22"/>
        </w:rPr>
        <w:br/>
      </w:r>
      <w:r w:rsidR="00A3740C" w:rsidRPr="00C66720">
        <w:rPr>
          <w:rFonts w:ascii="Times New Roman" w:hAnsi="Times New Roman"/>
          <w:szCs w:val="22"/>
        </w:rPr>
        <w:t>(95 091 tis. eur)</w:t>
      </w:r>
      <w:r w:rsidR="00B655D3" w:rsidRPr="00C66720">
        <w:rPr>
          <w:rFonts w:ascii="Times New Roman" w:hAnsi="Times New Roman"/>
          <w:szCs w:val="22"/>
        </w:rPr>
        <w:t xml:space="preserve">  a Ministerstvo vnútra SR (57 989 tis. eur)</w:t>
      </w:r>
      <w:r w:rsidR="003B2335">
        <w:rPr>
          <w:rFonts w:ascii="Times New Roman" w:hAnsi="Times New Roman"/>
          <w:szCs w:val="22"/>
        </w:rPr>
        <w:t>.</w:t>
      </w:r>
      <w:r w:rsidR="00B655D3" w:rsidRPr="00C66720">
        <w:rPr>
          <w:rFonts w:ascii="Times New Roman" w:hAnsi="Times New Roman"/>
          <w:szCs w:val="22"/>
        </w:rPr>
        <w:t xml:space="preserve"> </w:t>
      </w:r>
      <w:r w:rsidR="00B42F7C" w:rsidRPr="00C66720">
        <w:rPr>
          <w:rFonts w:ascii="Times New Roman" w:hAnsi="Times New Roman"/>
          <w:szCs w:val="22"/>
        </w:rPr>
        <w:t>Ministerstvo obrany SR vykazuje zostatok prijatých transferov od NATO z Programu bezpečnostných investícií NATO-NSIP v sume 3 091 tis. eur a prijatý transfer od Dánskeho kráľovstva, Nórskeho kráľovstva a Spolkovej republiky Nemecko v sume 92 000 tis. eur, ktoré sú určené na financovanie výroby 16 ks samohybných húfnic Zuzana 2.</w:t>
      </w:r>
      <w:r w:rsidR="003B2335">
        <w:rPr>
          <w:rFonts w:ascii="Times New Roman" w:hAnsi="Times New Roman"/>
          <w:szCs w:val="22"/>
        </w:rPr>
        <w:t xml:space="preserve"> pre Ukrajinu.</w:t>
      </w:r>
      <w:r w:rsidR="00B42F7C" w:rsidRPr="00C66720">
        <w:rPr>
          <w:rFonts w:ascii="Times New Roman" w:hAnsi="Times New Roman"/>
          <w:szCs w:val="22"/>
        </w:rPr>
        <w:t xml:space="preserve"> Ministerstvo vnútra SR</w:t>
      </w:r>
      <w:r w:rsidR="00C07939" w:rsidRPr="00C66720">
        <w:rPr>
          <w:rFonts w:ascii="Times New Roman" w:hAnsi="Times New Roman"/>
          <w:szCs w:val="22"/>
        </w:rPr>
        <w:t xml:space="preserve"> vykazuje záväzky z prijatých prostriedkov od zahraničných subjektov iných ako medzinárodná organizácia, prijaté a nezúčtované prostriedky od medzinárodných organizácií a 8 %-ný odvod z povinného zmluvného poistenia vyinkasovaný podľa § 68 zákona </w:t>
      </w:r>
      <w:r w:rsidR="0009786A">
        <w:rPr>
          <w:rFonts w:ascii="Times New Roman" w:hAnsi="Times New Roman"/>
          <w:szCs w:val="22"/>
        </w:rPr>
        <w:br/>
      </w:r>
      <w:r w:rsidR="00C07939" w:rsidRPr="00C66720">
        <w:rPr>
          <w:rFonts w:ascii="Times New Roman" w:hAnsi="Times New Roman"/>
          <w:szCs w:val="22"/>
        </w:rPr>
        <w:t xml:space="preserve">č. 39/2015 Z. z. o poisťovníctve a o zmene a doplnení niektorých zákonov. </w:t>
      </w:r>
      <w:r w:rsidR="00B42F7C" w:rsidRPr="00C66720">
        <w:rPr>
          <w:rFonts w:ascii="Times New Roman" w:hAnsi="Times New Roman"/>
          <w:szCs w:val="22"/>
        </w:rPr>
        <w:t xml:space="preserve"> </w:t>
      </w:r>
    </w:p>
    <w:p w14:paraId="2D2BE3B7" w14:textId="3EF72913" w:rsidR="00FD1313" w:rsidRDefault="00CE246F" w:rsidP="000F26F7">
      <w:pPr>
        <w:spacing w:before="120" w:after="120" w:line="240" w:lineRule="auto"/>
        <w:jc w:val="both"/>
        <w:rPr>
          <w:rFonts w:ascii="Times New Roman" w:hAnsi="Times New Roman"/>
          <w:szCs w:val="22"/>
        </w:rPr>
      </w:pPr>
      <w:r w:rsidRPr="00C66720">
        <w:rPr>
          <w:rFonts w:ascii="Times New Roman" w:hAnsi="Times New Roman"/>
          <w:i/>
          <w:szCs w:val="22"/>
          <w:u w:val="single"/>
        </w:rPr>
        <w:t>Z hodnoty nevyfakturovaných záväzkov</w:t>
      </w:r>
      <w:r w:rsidRPr="00C66720">
        <w:rPr>
          <w:rFonts w:ascii="Times New Roman" w:hAnsi="Times New Roman"/>
          <w:szCs w:val="22"/>
        </w:rPr>
        <w:t xml:space="preserve"> tvorí ústredná správa </w:t>
      </w:r>
      <w:r w:rsidR="007E30D3" w:rsidRPr="00C66720">
        <w:rPr>
          <w:rFonts w:ascii="Times New Roman" w:hAnsi="Times New Roman"/>
          <w:szCs w:val="22"/>
        </w:rPr>
        <w:t>61 013</w:t>
      </w:r>
      <w:r w:rsidRPr="00C66720">
        <w:rPr>
          <w:rFonts w:ascii="Times New Roman" w:hAnsi="Times New Roman"/>
          <w:szCs w:val="22"/>
        </w:rPr>
        <w:t xml:space="preserve"> tis. eur, a v rámci nej najmä Národná d</w:t>
      </w:r>
      <w:r w:rsidR="00D5494C" w:rsidRPr="00C66720">
        <w:rPr>
          <w:rFonts w:ascii="Times New Roman" w:hAnsi="Times New Roman"/>
          <w:szCs w:val="22"/>
        </w:rPr>
        <w:t xml:space="preserve">iaľničná spoločnosť, a.s. </w:t>
      </w:r>
      <w:r w:rsidR="007E30D3" w:rsidRPr="00C66720">
        <w:rPr>
          <w:rFonts w:ascii="Times New Roman" w:hAnsi="Times New Roman"/>
          <w:szCs w:val="22"/>
        </w:rPr>
        <w:t>33 271</w:t>
      </w:r>
      <w:r w:rsidRPr="00C66720">
        <w:rPr>
          <w:rFonts w:ascii="Times New Roman" w:hAnsi="Times New Roman"/>
          <w:szCs w:val="22"/>
        </w:rPr>
        <w:t xml:space="preserve"> tis. eur </w:t>
      </w:r>
      <w:r w:rsidR="004B3841" w:rsidRPr="00C66720">
        <w:rPr>
          <w:rFonts w:ascii="Times New Roman" w:hAnsi="Times New Roman"/>
          <w:szCs w:val="22"/>
        </w:rPr>
        <w:t xml:space="preserve">ako záväzky z nevyfakturovaných dodávok v rámci realizovaných investičných </w:t>
      </w:r>
      <w:r w:rsidRPr="00C66720">
        <w:rPr>
          <w:rFonts w:ascii="Times New Roman" w:hAnsi="Times New Roman"/>
          <w:szCs w:val="22"/>
        </w:rPr>
        <w:t>a</w:t>
      </w:r>
      <w:r w:rsidR="004B3841" w:rsidRPr="00C66720">
        <w:rPr>
          <w:rFonts w:ascii="Times New Roman" w:hAnsi="Times New Roman"/>
          <w:szCs w:val="22"/>
        </w:rPr>
        <w:t>kcií spojených so stavebnými prácami</w:t>
      </w:r>
      <w:r w:rsidR="00D16531" w:rsidRPr="00C66720">
        <w:rPr>
          <w:rFonts w:ascii="Times New Roman" w:hAnsi="Times New Roman"/>
          <w:szCs w:val="22"/>
        </w:rPr>
        <w:t xml:space="preserve"> na diaľničných úsekoch a úsekoch rýchlostných ciest</w:t>
      </w:r>
      <w:r w:rsidR="004B3841" w:rsidRPr="00C66720">
        <w:rPr>
          <w:rFonts w:ascii="Times New Roman" w:hAnsi="Times New Roman"/>
          <w:szCs w:val="22"/>
        </w:rPr>
        <w:t>, nevyfakturovaných služieb súvisiacich s prevádzkou elektronického mýta a</w:t>
      </w:r>
      <w:r w:rsidR="00C2043C" w:rsidRPr="00C66720">
        <w:rPr>
          <w:rFonts w:ascii="Times New Roman" w:hAnsi="Times New Roman"/>
          <w:szCs w:val="22"/>
        </w:rPr>
        <w:t> </w:t>
      </w:r>
      <w:r w:rsidR="004B3841" w:rsidRPr="00C66720">
        <w:rPr>
          <w:rFonts w:ascii="Times New Roman" w:hAnsi="Times New Roman"/>
          <w:szCs w:val="22"/>
        </w:rPr>
        <w:t>iné</w:t>
      </w:r>
      <w:r w:rsidR="00C2043C" w:rsidRPr="00C66720">
        <w:rPr>
          <w:rFonts w:ascii="Times New Roman" w:hAnsi="Times New Roman"/>
          <w:szCs w:val="22"/>
        </w:rPr>
        <w:t>.</w:t>
      </w:r>
      <w:r w:rsidR="004B3841" w:rsidRPr="00C66720">
        <w:rPr>
          <w:rFonts w:ascii="Times New Roman" w:hAnsi="Times New Roman"/>
          <w:szCs w:val="22"/>
        </w:rPr>
        <w:t xml:space="preserve"> </w:t>
      </w:r>
    </w:p>
    <w:p w14:paraId="2AEF9D83" w14:textId="77777777" w:rsidR="00FD1313" w:rsidRDefault="00FD1313">
      <w:pPr>
        <w:spacing w:after="0" w:line="240" w:lineRule="auto"/>
        <w:rPr>
          <w:rFonts w:ascii="Times New Roman" w:hAnsi="Times New Roman"/>
          <w:szCs w:val="22"/>
        </w:rPr>
      </w:pPr>
      <w:r>
        <w:rPr>
          <w:rFonts w:ascii="Times New Roman" w:hAnsi="Times New Roman"/>
          <w:szCs w:val="22"/>
        </w:rPr>
        <w:br w:type="page"/>
      </w:r>
    </w:p>
    <w:p w14:paraId="5082E63D" w14:textId="1E523CB3" w:rsidR="00C6738F" w:rsidRPr="00C66720" w:rsidRDefault="00C6738F" w:rsidP="004E2F5D">
      <w:pPr>
        <w:pStyle w:val="Pismenka"/>
        <w:tabs>
          <w:tab w:val="clear" w:pos="426"/>
        </w:tabs>
        <w:spacing w:before="240" w:after="200"/>
        <w:ind w:left="0" w:firstLine="0"/>
        <w:rPr>
          <w:bCs w:val="0"/>
          <w:sz w:val="24"/>
          <w:szCs w:val="24"/>
        </w:rPr>
      </w:pPr>
      <w:r w:rsidRPr="00C66720">
        <w:rPr>
          <w:bCs w:val="0"/>
          <w:sz w:val="24"/>
          <w:szCs w:val="24"/>
        </w:rPr>
        <w:lastRenderedPageBreak/>
        <w:t>B.IV. Krátkodobé rezervy</w:t>
      </w:r>
    </w:p>
    <w:p w14:paraId="2059533E" w14:textId="1ADA5726" w:rsidR="0097123E" w:rsidRPr="00C66720" w:rsidRDefault="0097123E" w:rsidP="00174C47">
      <w:pPr>
        <w:pStyle w:val="Pismenka"/>
        <w:tabs>
          <w:tab w:val="clear" w:pos="426"/>
        </w:tabs>
        <w:spacing w:after="120"/>
        <w:ind w:left="0" w:firstLine="0"/>
        <w:rPr>
          <w:b w:val="0"/>
          <w:bCs w:val="0"/>
          <w:sz w:val="22"/>
          <w:szCs w:val="22"/>
        </w:rPr>
      </w:pPr>
      <w:r w:rsidRPr="00C66720">
        <w:rPr>
          <w:b w:val="0"/>
          <w:bCs w:val="0"/>
          <w:sz w:val="22"/>
          <w:szCs w:val="22"/>
        </w:rPr>
        <w:t>Krátkodobé rezervy sa tvoria na také neisté riziká a straty, kde je predpoklad možného budúceho plnenia v časovom horizonte najviac jeden rok.</w:t>
      </w:r>
    </w:p>
    <w:p w14:paraId="1DDB388F" w14:textId="3B4784A4" w:rsidR="0097123E" w:rsidRPr="00C66720" w:rsidRDefault="0021188F" w:rsidP="00174C47">
      <w:pPr>
        <w:pStyle w:val="Pismenka"/>
        <w:tabs>
          <w:tab w:val="clear" w:pos="426"/>
        </w:tabs>
        <w:spacing w:after="120"/>
        <w:ind w:left="0" w:firstLine="0"/>
        <w:rPr>
          <w:b w:val="0"/>
          <w:bCs w:val="0"/>
          <w:color w:val="000000" w:themeColor="text1"/>
          <w:sz w:val="22"/>
          <w:szCs w:val="22"/>
        </w:rPr>
      </w:pPr>
      <w:r w:rsidRPr="00C66720">
        <w:rPr>
          <w:b w:val="0"/>
          <w:bCs w:val="0"/>
          <w:sz w:val="22"/>
          <w:szCs w:val="22"/>
        </w:rPr>
        <w:t>Krátkodobé</w:t>
      </w:r>
      <w:r w:rsidR="0097123E" w:rsidRPr="00C66720">
        <w:rPr>
          <w:b w:val="0"/>
          <w:bCs w:val="0"/>
          <w:sz w:val="22"/>
          <w:szCs w:val="22"/>
        </w:rPr>
        <w:t xml:space="preserve"> rezervy sa v súhrnnom celku vyt</w:t>
      </w:r>
      <w:r w:rsidR="0097123E" w:rsidRPr="00C66720">
        <w:rPr>
          <w:b w:val="0"/>
          <w:bCs w:val="0"/>
          <w:color w:val="000000" w:themeColor="text1"/>
          <w:sz w:val="22"/>
          <w:szCs w:val="22"/>
        </w:rPr>
        <w:t>várajú najmä na:</w:t>
      </w:r>
    </w:p>
    <w:p w14:paraId="19FF8F57" w14:textId="77777777" w:rsidR="0097123E" w:rsidRPr="00C66720" w:rsidRDefault="0097123E" w:rsidP="00174C47">
      <w:pPr>
        <w:pStyle w:val="Pismenka"/>
        <w:numPr>
          <w:ilvl w:val="0"/>
          <w:numId w:val="18"/>
        </w:numPr>
        <w:ind w:left="714" w:hanging="357"/>
        <w:rPr>
          <w:b w:val="0"/>
          <w:bCs w:val="0"/>
          <w:color w:val="000000" w:themeColor="text1"/>
          <w:sz w:val="22"/>
          <w:szCs w:val="22"/>
        </w:rPr>
      </w:pPr>
      <w:r w:rsidRPr="00C66720">
        <w:rPr>
          <w:b w:val="0"/>
          <w:bCs w:val="0"/>
          <w:color w:val="000000" w:themeColor="text1"/>
          <w:sz w:val="22"/>
          <w:szCs w:val="22"/>
        </w:rPr>
        <w:t>prebiehajúce a hroziace súdne spory,</w:t>
      </w:r>
    </w:p>
    <w:p w14:paraId="6296CF9F" w14:textId="1ABA0516" w:rsidR="0097123E" w:rsidRPr="00C66720" w:rsidRDefault="0097123E" w:rsidP="00174C47">
      <w:pPr>
        <w:pStyle w:val="Pismenka"/>
        <w:numPr>
          <w:ilvl w:val="0"/>
          <w:numId w:val="18"/>
        </w:numPr>
        <w:ind w:left="714" w:hanging="357"/>
        <w:rPr>
          <w:b w:val="0"/>
          <w:bCs w:val="0"/>
          <w:color w:val="000000" w:themeColor="text1"/>
          <w:sz w:val="22"/>
          <w:szCs w:val="22"/>
        </w:rPr>
      </w:pPr>
      <w:r w:rsidRPr="00C66720">
        <w:rPr>
          <w:b w:val="0"/>
          <w:bCs w:val="0"/>
          <w:color w:val="000000" w:themeColor="text1"/>
          <w:sz w:val="22"/>
          <w:szCs w:val="22"/>
        </w:rPr>
        <w:t>nevyfakturované dodávky tovarov a služieb,</w:t>
      </w:r>
    </w:p>
    <w:p w14:paraId="6D61D663" w14:textId="5D6A730C" w:rsidR="0097123E" w:rsidRPr="00C66720" w:rsidRDefault="0097123E" w:rsidP="00174C47">
      <w:pPr>
        <w:pStyle w:val="Pismenka"/>
        <w:numPr>
          <w:ilvl w:val="0"/>
          <w:numId w:val="18"/>
        </w:numPr>
        <w:ind w:left="714" w:hanging="357"/>
        <w:rPr>
          <w:b w:val="0"/>
          <w:bCs w:val="0"/>
          <w:color w:val="000000" w:themeColor="text1"/>
          <w:sz w:val="22"/>
          <w:szCs w:val="22"/>
        </w:rPr>
      </w:pPr>
      <w:r w:rsidRPr="00C66720">
        <w:rPr>
          <w:b w:val="0"/>
          <w:bCs w:val="0"/>
          <w:color w:val="000000" w:themeColor="text1"/>
          <w:sz w:val="22"/>
          <w:szCs w:val="22"/>
        </w:rPr>
        <w:t>zamestnanecké požitky obchodných spoločností,</w:t>
      </w:r>
    </w:p>
    <w:p w14:paraId="57CC8087" w14:textId="44220789" w:rsidR="0097123E" w:rsidRPr="00C66720" w:rsidRDefault="0097123E" w:rsidP="00174C47">
      <w:pPr>
        <w:pStyle w:val="Pismenka"/>
        <w:numPr>
          <w:ilvl w:val="0"/>
          <w:numId w:val="18"/>
        </w:numPr>
        <w:ind w:left="714" w:hanging="357"/>
        <w:rPr>
          <w:b w:val="0"/>
          <w:bCs w:val="0"/>
          <w:sz w:val="22"/>
          <w:szCs w:val="22"/>
        </w:rPr>
      </w:pPr>
      <w:r w:rsidRPr="00C66720">
        <w:rPr>
          <w:b w:val="0"/>
          <w:bCs w:val="0"/>
          <w:color w:val="000000" w:themeColor="text1"/>
          <w:sz w:val="22"/>
          <w:szCs w:val="22"/>
        </w:rPr>
        <w:t xml:space="preserve">náklady na zostavenie, overenie, zverejnenie </w:t>
      </w:r>
      <w:r w:rsidRPr="00C66720">
        <w:rPr>
          <w:b w:val="0"/>
          <w:bCs w:val="0"/>
          <w:sz w:val="22"/>
          <w:szCs w:val="22"/>
        </w:rPr>
        <w:t>účtovnej závierky a výročnej správy</w:t>
      </w:r>
    </w:p>
    <w:p w14:paraId="7C2AB9AB" w14:textId="77777777" w:rsidR="0097123E" w:rsidRPr="00C66720" w:rsidRDefault="0097123E" w:rsidP="00174C47">
      <w:pPr>
        <w:pStyle w:val="Pismenka"/>
        <w:numPr>
          <w:ilvl w:val="0"/>
          <w:numId w:val="18"/>
        </w:numPr>
        <w:ind w:left="714" w:hanging="357"/>
        <w:rPr>
          <w:b w:val="0"/>
          <w:bCs w:val="0"/>
          <w:sz w:val="22"/>
          <w:szCs w:val="22"/>
        </w:rPr>
      </w:pPr>
      <w:r w:rsidRPr="00C66720">
        <w:rPr>
          <w:b w:val="0"/>
          <w:bCs w:val="0"/>
          <w:sz w:val="22"/>
          <w:szCs w:val="22"/>
        </w:rPr>
        <w:t>náklady súvisiace s odstránením znečistenia životného prostredia a odstránenie odpadov,</w:t>
      </w:r>
    </w:p>
    <w:p w14:paraId="0E21D6C0" w14:textId="77777777" w:rsidR="0097123E" w:rsidRPr="00C66720" w:rsidRDefault="0097123E" w:rsidP="00174C47">
      <w:pPr>
        <w:pStyle w:val="Pismenka"/>
        <w:numPr>
          <w:ilvl w:val="0"/>
          <w:numId w:val="18"/>
        </w:numPr>
        <w:ind w:left="714" w:hanging="357"/>
        <w:rPr>
          <w:b w:val="0"/>
          <w:bCs w:val="0"/>
          <w:sz w:val="22"/>
          <w:szCs w:val="22"/>
        </w:rPr>
      </w:pPr>
      <w:r w:rsidRPr="00C66720">
        <w:rPr>
          <w:b w:val="0"/>
          <w:bCs w:val="0"/>
          <w:sz w:val="22"/>
          <w:szCs w:val="22"/>
        </w:rPr>
        <w:t>rekultiváciu pozemku, uzavretie, rekultiváciu a monitorovanie skládky odpadov po jej uzavretí,</w:t>
      </w:r>
    </w:p>
    <w:p w14:paraId="6887EF27" w14:textId="43B23C83" w:rsidR="0097123E" w:rsidRPr="00C66720" w:rsidRDefault="0097123E" w:rsidP="00174C47">
      <w:pPr>
        <w:pStyle w:val="Pismenka"/>
        <w:numPr>
          <w:ilvl w:val="0"/>
          <w:numId w:val="18"/>
        </w:numPr>
        <w:ind w:left="714" w:hanging="357"/>
        <w:rPr>
          <w:b w:val="0"/>
          <w:bCs w:val="0"/>
          <w:sz w:val="22"/>
          <w:szCs w:val="22"/>
        </w:rPr>
      </w:pPr>
      <w:r w:rsidRPr="00C66720">
        <w:rPr>
          <w:b w:val="0"/>
          <w:bCs w:val="0"/>
          <w:sz w:val="22"/>
          <w:szCs w:val="22"/>
        </w:rPr>
        <w:t>špecifické riziká a budúce plnenia niektorých subjektov verejnej správy,</w:t>
      </w:r>
    </w:p>
    <w:p w14:paraId="43384084" w14:textId="411132F8" w:rsidR="0097123E" w:rsidRDefault="0097123E" w:rsidP="00285269">
      <w:pPr>
        <w:pStyle w:val="Pismenka"/>
        <w:numPr>
          <w:ilvl w:val="0"/>
          <w:numId w:val="18"/>
        </w:numPr>
        <w:spacing w:after="120"/>
        <w:ind w:left="714" w:hanging="357"/>
        <w:rPr>
          <w:b w:val="0"/>
          <w:bCs w:val="0"/>
          <w:sz w:val="22"/>
          <w:szCs w:val="22"/>
        </w:rPr>
      </w:pPr>
      <w:r w:rsidRPr="00C66720">
        <w:rPr>
          <w:b w:val="0"/>
          <w:bCs w:val="0"/>
          <w:sz w:val="22"/>
          <w:szCs w:val="22"/>
        </w:rPr>
        <w:t>iné budúce povinnosti.</w:t>
      </w:r>
    </w:p>
    <w:p w14:paraId="001AAFCF" w14:textId="77777777" w:rsidR="00EB33C7" w:rsidRPr="004905D3" w:rsidRDefault="00EB33C7" w:rsidP="00EB33C7">
      <w:pPr>
        <w:pStyle w:val="Pismenka"/>
        <w:tabs>
          <w:tab w:val="clear" w:pos="426"/>
        </w:tabs>
        <w:rPr>
          <w:bCs w:val="0"/>
        </w:rPr>
      </w:pPr>
      <w:r w:rsidRPr="004905D3">
        <w:rPr>
          <w:bCs w:val="0"/>
        </w:rPr>
        <w:t>Tabuľka 19</w:t>
      </w:r>
    </w:p>
    <w:tbl>
      <w:tblPr>
        <w:tblW w:w="5000" w:type="pct"/>
        <w:jc w:val="center"/>
        <w:tblLayout w:type="fixed"/>
        <w:tblCellMar>
          <w:left w:w="70" w:type="dxa"/>
          <w:right w:w="70" w:type="dxa"/>
        </w:tblCellMar>
        <w:tblLook w:val="00A0" w:firstRow="1" w:lastRow="0" w:firstColumn="1" w:lastColumn="0" w:noHBand="0" w:noVBand="0"/>
      </w:tblPr>
      <w:tblGrid>
        <w:gridCol w:w="5206"/>
        <w:gridCol w:w="1303"/>
        <w:gridCol w:w="1281"/>
        <w:gridCol w:w="1281"/>
      </w:tblGrid>
      <w:tr w:rsidR="00EB33C7" w:rsidRPr="005773D1" w14:paraId="511D1668"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1AD74FCC" w14:textId="77777777" w:rsidR="00EB33C7" w:rsidRPr="005773D1" w:rsidRDefault="00EB33C7" w:rsidP="00241F33">
            <w:pPr>
              <w:spacing w:after="0" w:line="240" w:lineRule="auto"/>
              <w:rPr>
                <w:b/>
                <w:bCs/>
                <w:sz w:val="18"/>
                <w:szCs w:val="18"/>
              </w:rPr>
            </w:pPr>
            <w:r w:rsidRPr="005773D1">
              <w:rPr>
                <w:b/>
                <w:bCs/>
                <w:sz w:val="18"/>
                <w:szCs w:val="18"/>
              </w:rPr>
              <w:br w:type="page"/>
            </w:r>
            <w:r w:rsidRPr="005773D1">
              <w:rPr>
                <w:b/>
                <w:bCs/>
                <w:sz w:val="18"/>
                <w:szCs w:val="18"/>
              </w:rPr>
              <w:br w:type="page"/>
            </w:r>
            <w:r w:rsidRPr="005773D1">
              <w:rPr>
                <w:rFonts w:ascii="Times New Roman" w:hAnsi="Times New Roman"/>
                <w:b/>
                <w:bCs/>
                <w:sz w:val="18"/>
                <w:szCs w:val="18"/>
                <w:lang w:eastAsia="sk-SK"/>
              </w:rPr>
              <w:t>Krátkodobé rezervy súhrnného celku podľa druhu                                                                                             (v tis. eur) </w:t>
            </w:r>
          </w:p>
        </w:tc>
      </w:tr>
      <w:tr w:rsidR="00EB33C7" w:rsidRPr="009A38A3" w14:paraId="4F4DCB7B" w14:textId="77777777" w:rsidTr="00241F33">
        <w:trPr>
          <w:trHeight w:val="330"/>
          <w:jc w:val="center"/>
        </w:trPr>
        <w:tc>
          <w:tcPr>
            <w:tcW w:w="2870" w:type="pct"/>
            <w:tcBorders>
              <w:top w:val="nil"/>
              <w:left w:val="nil"/>
              <w:bottom w:val="single" w:sz="4" w:space="0" w:color="auto"/>
              <w:right w:val="nil"/>
            </w:tcBorders>
            <w:shd w:val="clear" w:color="auto" w:fill="BDD7EE"/>
            <w:noWrap/>
            <w:vAlign w:val="center"/>
          </w:tcPr>
          <w:p w14:paraId="63F17F14" w14:textId="77777777" w:rsidR="00EB33C7" w:rsidRPr="009A38A3" w:rsidRDefault="00EB33C7" w:rsidP="00EB33C7">
            <w:pPr>
              <w:spacing w:after="0" w:line="240" w:lineRule="auto"/>
              <w:rPr>
                <w:rFonts w:ascii="Times New Roman" w:hAnsi="Times New Roman"/>
                <w:b/>
                <w:bCs/>
                <w:sz w:val="18"/>
                <w:szCs w:val="18"/>
                <w:lang w:eastAsia="sk-SK"/>
              </w:rPr>
            </w:pPr>
            <w:r w:rsidRPr="009A38A3">
              <w:rPr>
                <w:rFonts w:ascii="Times New Roman" w:hAnsi="Times New Roman"/>
                <w:b/>
                <w:bCs/>
                <w:sz w:val="18"/>
                <w:szCs w:val="18"/>
                <w:lang w:eastAsia="sk-SK"/>
              </w:rPr>
              <w:t>Druh rezerv</w:t>
            </w:r>
          </w:p>
        </w:tc>
        <w:tc>
          <w:tcPr>
            <w:tcW w:w="718" w:type="pct"/>
            <w:tcBorders>
              <w:top w:val="nil"/>
              <w:left w:val="nil"/>
              <w:bottom w:val="single" w:sz="4" w:space="0" w:color="auto"/>
              <w:right w:val="nil"/>
            </w:tcBorders>
            <w:shd w:val="clear" w:color="auto" w:fill="BDD7EE"/>
            <w:noWrap/>
            <w:vAlign w:val="center"/>
          </w:tcPr>
          <w:p w14:paraId="42A5004D" w14:textId="1F5460C5" w:rsidR="00EB33C7" w:rsidRPr="009A38A3" w:rsidRDefault="00EB33C7" w:rsidP="00EB33C7">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06" w:type="pct"/>
            <w:tcBorders>
              <w:top w:val="nil"/>
              <w:left w:val="nil"/>
              <w:bottom w:val="single" w:sz="4" w:space="0" w:color="auto"/>
              <w:right w:val="nil"/>
            </w:tcBorders>
            <w:shd w:val="clear" w:color="auto" w:fill="BDD7EE"/>
            <w:noWrap/>
            <w:vAlign w:val="center"/>
          </w:tcPr>
          <w:p w14:paraId="4F09623D" w14:textId="03112F99" w:rsidR="00EB33C7" w:rsidRPr="009A38A3" w:rsidRDefault="00EB33C7" w:rsidP="00EB33C7">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6" w:type="pct"/>
            <w:tcBorders>
              <w:top w:val="nil"/>
              <w:left w:val="nil"/>
              <w:bottom w:val="single" w:sz="4" w:space="0" w:color="auto"/>
              <w:right w:val="nil"/>
            </w:tcBorders>
            <w:shd w:val="clear" w:color="auto" w:fill="BDD7EE"/>
            <w:vAlign w:val="center"/>
          </w:tcPr>
          <w:p w14:paraId="360A96F3" w14:textId="455BC5BE" w:rsidR="00EB33C7" w:rsidRPr="009A38A3" w:rsidRDefault="00EB33C7" w:rsidP="00EB33C7">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EB33C7" w:rsidRPr="009A38A3" w14:paraId="27C631DE" w14:textId="77777777" w:rsidTr="00241F33">
        <w:trPr>
          <w:trHeight w:hRule="exact" w:val="330"/>
          <w:jc w:val="center"/>
        </w:trPr>
        <w:tc>
          <w:tcPr>
            <w:tcW w:w="2870" w:type="pct"/>
            <w:tcBorders>
              <w:top w:val="nil"/>
              <w:left w:val="nil"/>
              <w:right w:val="nil"/>
            </w:tcBorders>
            <w:vAlign w:val="center"/>
          </w:tcPr>
          <w:p w14:paraId="76841A67" w14:textId="77777777" w:rsidR="00EB33C7" w:rsidRPr="009A38A3" w:rsidRDefault="00EB33C7" w:rsidP="00EB33C7">
            <w:pPr>
              <w:spacing w:after="0" w:line="240" w:lineRule="auto"/>
              <w:rPr>
                <w:rFonts w:ascii="Times New Roman" w:hAnsi="Times New Roman"/>
                <w:sz w:val="18"/>
                <w:szCs w:val="18"/>
                <w:lang w:eastAsia="sk-SK"/>
              </w:rPr>
            </w:pPr>
            <w:r w:rsidRPr="009A38A3">
              <w:rPr>
                <w:rFonts w:ascii="Times New Roman" w:hAnsi="Times New Roman"/>
                <w:sz w:val="18"/>
                <w:szCs w:val="18"/>
                <w:lang w:eastAsia="sk-SK"/>
              </w:rPr>
              <w:t>Krátkodobé ostatné</w:t>
            </w:r>
          </w:p>
        </w:tc>
        <w:tc>
          <w:tcPr>
            <w:tcW w:w="718" w:type="pct"/>
            <w:tcBorders>
              <w:top w:val="nil"/>
              <w:left w:val="nil"/>
              <w:right w:val="nil"/>
            </w:tcBorders>
            <w:vAlign w:val="center"/>
          </w:tcPr>
          <w:p w14:paraId="44F5D0C3" w14:textId="6CBDD69A" w:rsidR="00EB33C7" w:rsidRPr="009A38A3" w:rsidRDefault="00EB33C7" w:rsidP="00EB33C7">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761 808</w:t>
            </w:r>
          </w:p>
        </w:tc>
        <w:tc>
          <w:tcPr>
            <w:tcW w:w="706" w:type="pct"/>
            <w:tcBorders>
              <w:top w:val="nil"/>
              <w:left w:val="nil"/>
              <w:right w:val="nil"/>
            </w:tcBorders>
            <w:vAlign w:val="center"/>
          </w:tcPr>
          <w:p w14:paraId="25569FAF" w14:textId="7FCCE00A" w:rsidR="00EB33C7" w:rsidRPr="009A38A3" w:rsidRDefault="00EB33C7" w:rsidP="00EB33C7">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1 002 828</w:t>
            </w:r>
          </w:p>
        </w:tc>
        <w:tc>
          <w:tcPr>
            <w:tcW w:w="706" w:type="pct"/>
            <w:tcBorders>
              <w:top w:val="nil"/>
              <w:left w:val="nil"/>
              <w:right w:val="nil"/>
            </w:tcBorders>
            <w:vAlign w:val="center"/>
          </w:tcPr>
          <w:p w14:paraId="0738C40F" w14:textId="71BBDF75" w:rsidR="00EB33C7" w:rsidRPr="009A38A3" w:rsidRDefault="00EB33C7" w:rsidP="00EB33C7">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-241 020</w:t>
            </w:r>
          </w:p>
        </w:tc>
      </w:tr>
      <w:tr w:rsidR="00EB33C7" w:rsidRPr="009A38A3" w14:paraId="0F157C98" w14:textId="77777777" w:rsidTr="00241F33">
        <w:trPr>
          <w:trHeight w:hRule="exact" w:val="330"/>
          <w:jc w:val="center"/>
        </w:trPr>
        <w:tc>
          <w:tcPr>
            <w:tcW w:w="2870" w:type="pct"/>
            <w:tcBorders>
              <w:top w:val="nil"/>
              <w:left w:val="nil"/>
              <w:bottom w:val="single" w:sz="4" w:space="0" w:color="auto"/>
              <w:right w:val="nil"/>
            </w:tcBorders>
            <w:vAlign w:val="center"/>
          </w:tcPr>
          <w:p w14:paraId="7973D0E2" w14:textId="77777777" w:rsidR="00EB33C7" w:rsidRPr="009A38A3" w:rsidRDefault="00EB33C7" w:rsidP="00EB33C7">
            <w:pPr>
              <w:spacing w:after="0" w:line="240" w:lineRule="auto"/>
              <w:rPr>
                <w:rFonts w:ascii="Times New Roman" w:hAnsi="Times New Roman"/>
                <w:sz w:val="18"/>
                <w:szCs w:val="18"/>
                <w:lang w:eastAsia="sk-SK"/>
              </w:rPr>
            </w:pPr>
            <w:r w:rsidRPr="009A38A3">
              <w:rPr>
                <w:rFonts w:ascii="Times New Roman" w:hAnsi="Times New Roman"/>
                <w:sz w:val="18"/>
                <w:szCs w:val="18"/>
                <w:lang w:eastAsia="sk-SK"/>
              </w:rPr>
              <w:t>Krátkodobé zákonné</w:t>
            </w:r>
          </w:p>
        </w:tc>
        <w:tc>
          <w:tcPr>
            <w:tcW w:w="718" w:type="pct"/>
            <w:tcBorders>
              <w:top w:val="nil"/>
              <w:left w:val="nil"/>
              <w:bottom w:val="single" w:sz="4" w:space="0" w:color="auto"/>
              <w:right w:val="nil"/>
            </w:tcBorders>
            <w:vAlign w:val="center"/>
          </w:tcPr>
          <w:p w14:paraId="6B2179FE" w14:textId="4F788736" w:rsidR="00EB33C7" w:rsidRPr="009A38A3" w:rsidRDefault="00EB33C7" w:rsidP="00EB33C7">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320 246</w:t>
            </w:r>
          </w:p>
        </w:tc>
        <w:tc>
          <w:tcPr>
            <w:tcW w:w="706" w:type="pct"/>
            <w:tcBorders>
              <w:top w:val="nil"/>
              <w:left w:val="nil"/>
              <w:bottom w:val="single" w:sz="4" w:space="0" w:color="auto"/>
              <w:right w:val="nil"/>
            </w:tcBorders>
            <w:vAlign w:val="center"/>
          </w:tcPr>
          <w:p w14:paraId="7E51E3E8" w14:textId="5DE7F842" w:rsidR="00EB33C7" w:rsidRPr="009A38A3" w:rsidRDefault="00EB33C7" w:rsidP="00EB33C7">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310 572</w:t>
            </w:r>
          </w:p>
        </w:tc>
        <w:tc>
          <w:tcPr>
            <w:tcW w:w="706" w:type="pct"/>
            <w:tcBorders>
              <w:top w:val="nil"/>
              <w:left w:val="nil"/>
              <w:bottom w:val="single" w:sz="4" w:space="0" w:color="auto"/>
              <w:right w:val="nil"/>
            </w:tcBorders>
            <w:vAlign w:val="center"/>
          </w:tcPr>
          <w:p w14:paraId="26A12502" w14:textId="40AE0688" w:rsidR="00EB33C7" w:rsidRPr="009A38A3" w:rsidRDefault="00EB33C7" w:rsidP="00EB33C7">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9 674</w:t>
            </w:r>
          </w:p>
        </w:tc>
      </w:tr>
      <w:tr w:rsidR="00EB33C7" w:rsidRPr="00975467" w14:paraId="3567ABED" w14:textId="77777777" w:rsidTr="00241F33">
        <w:trPr>
          <w:trHeight w:hRule="exact" w:val="330"/>
          <w:jc w:val="center"/>
        </w:trPr>
        <w:tc>
          <w:tcPr>
            <w:tcW w:w="2870" w:type="pct"/>
            <w:tcBorders>
              <w:top w:val="single" w:sz="4" w:space="0" w:color="auto"/>
              <w:left w:val="nil"/>
              <w:bottom w:val="single" w:sz="4" w:space="0" w:color="000000"/>
              <w:right w:val="nil"/>
            </w:tcBorders>
            <w:shd w:val="clear" w:color="000000" w:fill="auto"/>
            <w:vAlign w:val="center"/>
          </w:tcPr>
          <w:p w14:paraId="465995E8" w14:textId="77777777" w:rsidR="00EB33C7" w:rsidRPr="009A38A3" w:rsidRDefault="00EB33C7" w:rsidP="00EB33C7">
            <w:pPr>
              <w:spacing w:after="0" w:line="240" w:lineRule="auto"/>
              <w:rPr>
                <w:rFonts w:ascii="Times New Roman" w:hAnsi="Times New Roman"/>
                <w:b/>
                <w:bCs/>
                <w:sz w:val="18"/>
                <w:szCs w:val="18"/>
                <w:lang w:eastAsia="sk-SK"/>
              </w:rPr>
            </w:pPr>
            <w:r w:rsidRPr="009A38A3">
              <w:rPr>
                <w:rFonts w:ascii="Times New Roman" w:hAnsi="Times New Roman"/>
                <w:b/>
                <w:bCs/>
                <w:sz w:val="18"/>
                <w:szCs w:val="18"/>
                <w:lang w:eastAsia="sk-SK"/>
              </w:rPr>
              <w:t>Spolu</w:t>
            </w:r>
          </w:p>
        </w:tc>
        <w:tc>
          <w:tcPr>
            <w:tcW w:w="718" w:type="pct"/>
            <w:tcBorders>
              <w:top w:val="single" w:sz="4" w:space="0" w:color="auto"/>
              <w:left w:val="nil"/>
              <w:bottom w:val="single" w:sz="4" w:space="0" w:color="000000"/>
              <w:right w:val="nil"/>
            </w:tcBorders>
            <w:shd w:val="clear" w:color="000000" w:fill="auto"/>
            <w:vAlign w:val="center"/>
          </w:tcPr>
          <w:p w14:paraId="75D8B214" w14:textId="6F3D608D" w:rsidR="00EB33C7" w:rsidRPr="009A38A3" w:rsidRDefault="00EB33C7" w:rsidP="00EB33C7">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1 082 054</w:t>
            </w:r>
          </w:p>
        </w:tc>
        <w:tc>
          <w:tcPr>
            <w:tcW w:w="706" w:type="pct"/>
            <w:tcBorders>
              <w:top w:val="single" w:sz="4" w:space="0" w:color="auto"/>
              <w:left w:val="nil"/>
              <w:bottom w:val="single" w:sz="4" w:space="0" w:color="000000"/>
              <w:right w:val="nil"/>
            </w:tcBorders>
            <w:shd w:val="clear" w:color="000000" w:fill="auto"/>
            <w:vAlign w:val="center"/>
          </w:tcPr>
          <w:p w14:paraId="1534B070" w14:textId="20ADF690" w:rsidR="00EB33C7" w:rsidRPr="00EB33C7" w:rsidRDefault="00EB33C7" w:rsidP="00EB33C7">
            <w:pPr>
              <w:pStyle w:val="Odsekzoznamu"/>
              <w:numPr>
                <w:ilvl w:val="0"/>
                <w:numId w:val="51"/>
              </w:numPr>
              <w:spacing w:after="0" w:line="240" w:lineRule="auto"/>
              <w:jc w:val="right"/>
              <w:rPr>
                <w:rFonts w:ascii="Times New Roman" w:hAnsi="Times New Roman"/>
                <w:b/>
                <w:bCs/>
                <w:sz w:val="18"/>
                <w:szCs w:val="18"/>
                <w:lang w:eastAsia="sk-SK"/>
              </w:rPr>
            </w:pPr>
            <w:r w:rsidRPr="00EB33C7">
              <w:rPr>
                <w:rFonts w:ascii="Times New Roman" w:hAnsi="Times New Roman"/>
                <w:b/>
                <w:bCs/>
                <w:sz w:val="18"/>
                <w:szCs w:val="18"/>
                <w:lang w:eastAsia="sk-SK"/>
              </w:rPr>
              <w:t>313 400</w:t>
            </w:r>
          </w:p>
        </w:tc>
        <w:tc>
          <w:tcPr>
            <w:tcW w:w="706" w:type="pct"/>
            <w:tcBorders>
              <w:top w:val="single" w:sz="4" w:space="0" w:color="auto"/>
              <w:left w:val="nil"/>
              <w:bottom w:val="single" w:sz="4" w:space="0" w:color="000000"/>
              <w:right w:val="nil"/>
            </w:tcBorders>
            <w:shd w:val="clear" w:color="000000" w:fill="auto"/>
            <w:vAlign w:val="center"/>
          </w:tcPr>
          <w:p w14:paraId="2161863E" w14:textId="4CD8B72C" w:rsidR="00EB33C7" w:rsidRPr="00EB33C7" w:rsidRDefault="00EB33C7" w:rsidP="00EB33C7">
            <w:pPr>
              <w:spacing w:after="0" w:line="240" w:lineRule="auto"/>
              <w:ind w:left="360"/>
              <w:jc w:val="right"/>
              <w:rPr>
                <w:rFonts w:ascii="Times New Roman" w:hAnsi="Times New Roman"/>
                <w:b/>
                <w:bCs/>
                <w:sz w:val="18"/>
                <w:szCs w:val="18"/>
                <w:lang w:eastAsia="sk-SK"/>
              </w:rPr>
            </w:pPr>
            <w:r>
              <w:rPr>
                <w:rFonts w:ascii="Times New Roman" w:hAnsi="Times New Roman"/>
                <w:b/>
                <w:bCs/>
                <w:sz w:val="18"/>
                <w:szCs w:val="18"/>
                <w:lang w:eastAsia="sk-SK"/>
              </w:rPr>
              <w:t>-</w:t>
            </w:r>
            <w:r w:rsidRPr="00EB33C7">
              <w:rPr>
                <w:rFonts w:ascii="Times New Roman" w:hAnsi="Times New Roman"/>
                <w:b/>
                <w:bCs/>
                <w:sz w:val="18"/>
                <w:szCs w:val="18"/>
                <w:lang w:eastAsia="sk-SK"/>
              </w:rPr>
              <w:t>231 346</w:t>
            </w:r>
          </w:p>
        </w:tc>
      </w:tr>
    </w:tbl>
    <w:p w14:paraId="653B6DCD" w14:textId="77777777" w:rsidR="00EB33C7" w:rsidRPr="00D01DB2" w:rsidRDefault="00EB33C7" w:rsidP="00EB33C7">
      <w:pPr>
        <w:pStyle w:val="Pismenka"/>
        <w:tabs>
          <w:tab w:val="clear" w:pos="426"/>
        </w:tabs>
        <w:spacing w:after="120"/>
        <w:ind w:left="4968" w:firstLine="696"/>
        <w:jc w:val="left"/>
        <w:rPr>
          <w:b w:val="0"/>
          <w:i/>
          <w:sz w:val="22"/>
          <w:szCs w:val="22"/>
          <w:u w:val="single"/>
        </w:rPr>
      </w:pPr>
      <w:r w:rsidRPr="00D01DB2">
        <w:rPr>
          <w:b w:val="0"/>
        </w:rPr>
        <w:t>Zdroj: MF SR, Centrálny konsolidačný systém</w:t>
      </w:r>
    </w:p>
    <w:p w14:paraId="7EF911A6" w14:textId="77777777" w:rsidR="00F11F7B" w:rsidRPr="004905D3" w:rsidRDefault="00F11F7B" w:rsidP="00F11F7B">
      <w:pPr>
        <w:pStyle w:val="Pismenka"/>
        <w:tabs>
          <w:tab w:val="clear" w:pos="426"/>
        </w:tabs>
        <w:rPr>
          <w:bCs w:val="0"/>
        </w:rPr>
      </w:pPr>
      <w:r w:rsidRPr="004905D3">
        <w:rPr>
          <w:bCs w:val="0"/>
        </w:rPr>
        <w:t>Tabuľka 20</w:t>
      </w:r>
    </w:p>
    <w:tbl>
      <w:tblPr>
        <w:tblW w:w="5000" w:type="pct"/>
        <w:jc w:val="center"/>
        <w:tblLayout w:type="fixed"/>
        <w:tblCellMar>
          <w:left w:w="70" w:type="dxa"/>
          <w:right w:w="70" w:type="dxa"/>
        </w:tblCellMar>
        <w:tblLook w:val="00A0" w:firstRow="1" w:lastRow="0" w:firstColumn="1" w:lastColumn="0" w:noHBand="0" w:noVBand="0"/>
      </w:tblPr>
      <w:tblGrid>
        <w:gridCol w:w="5206"/>
        <w:gridCol w:w="1303"/>
        <w:gridCol w:w="1281"/>
        <w:gridCol w:w="1281"/>
      </w:tblGrid>
      <w:tr w:rsidR="00F11F7B" w:rsidRPr="005773D1" w14:paraId="599FC193"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3427100E" w14:textId="77777777" w:rsidR="00F11F7B" w:rsidRPr="005773D1" w:rsidRDefault="00F11F7B" w:rsidP="00241F33">
            <w:pPr>
              <w:spacing w:after="0" w:line="240" w:lineRule="auto"/>
              <w:rPr>
                <w:b/>
                <w:bCs/>
                <w:sz w:val="18"/>
                <w:szCs w:val="18"/>
              </w:rPr>
            </w:pPr>
            <w:r w:rsidRPr="005773D1">
              <w:rPr>
                <w:b/>
                <w:bCs/>
                <w:sz w:val="18"/>
                <w:szCs w:val="18"/>
              </w:rPr>
              <w:br w:type="page"/>
            </w:r>
            <w:r w:rsidRPr="005773D1">
              <w:rPr>
                <w:b/>
                <w:bCs/>
                <w:sz w:val="18"/>
                <w:szCs w:val="18"/>
              </w:rPr>
              <w:br w:type="page"/>
            </w:r>
            <w:r w:rsidRPr="005773D1">
              <w:rPr>
                <w:rFonts w:ascii="Times New Roman" w:hAnsi="Times New Roman"/>
                <w:b/>
                <w:bCs/>
                <w:sz w:val="18"/>
                <w:szCs w:val="18"/>
                <w:lang w:eastAsia="sk-SK"/>
              </w:rPr>
              <w:t>Krátkodobé rezervy podľa účelu                                                                                                                            (v tis. eur) </w:t>
            </w:r>
          </w:p>
        </w:tc>
      </w:tr>
      <w:tr w:rsidR="00F11F7B" w:rsidRPr="005E66FD" w14:paraId="3C5481EA" w14:textId="77777777" w:rsidTr="00241F33">
        <w:trPr>
          <w:trHeight w:val="330"/>
          <w:jc w:val="center"/>
        </w:trPr>
        <w:tc>
          <w:tcPr>
            <w:tcW w:w="2870" w:type="pct"/>
            <w:tcBorders>
              <w:top w:val="nil"/>
              <w:left w:val="nil"/>
              <w:bottom w:val="single" w:sz="4" w:space="0" w:color="auto"/>
              <w:right w:val="nil"/>
            </w:tcBorders>
            <w:shd w:val="clear" w:color="auto" w:fill="BDD7EE"/>
            <w:noWrap/>
            <w:vAlign w:val="center"/>
          </w:tcPr>
          <w:p w14:paraId="60D21218" w14:textId="77777777" w:rsidR="00F11F7B" w:rsidRPr="005E66FD" w:rsidRDefault="00F11F7B" w:rsidP="00F11F7B">
            <w:pPr>
              <w:spacing w:after="0" w:line="240" w:lineRule="auto"/>
              <w:rPr>
                <w:rFonts w:ascii="Times New Roman" w:hAnsi="Times New Roman"/>
                <w:b/>
                <w:bCs/>
                <w:sz w:val="18"/>
                <w:szCs w:val="18"/>
                <w:lang w:eastAsia="sk-SK"/>
              </w:rPr>
            </w:pPr>
            <w:r w:rsidRPr="005E66FD">
              <w:rPr>
                <w:rFonts w:ascii="Times New Roman" w:hAnsi="Times New Roman"/>
                <w:b/>
                <w:bCs/>
                <w:sz w:val="18"/>
                <w:szCs w:val="18"/>
                <w:lang w:eastAsia="sk-SK"/>
              </w:rPr>
              <w:t>Druh rezerv</w:t>
            </w:r>
          </w:p>
        </w:tc>
        <w:tc>
          <w:tcPr>
            <w:tcW w:w="718" w:type="pct"/>
            <w:tcBorders>
              <w:top w:val="nil"/>
              <w:left w:val="nil"/>
              <w:bottom w:val="single" w:sz="4" w:space="0" w:color="auto"/>
              <w:right w:val="nil"/>
            </w:tcBorders>
            <w:shd w:val="clear" w:color="auto" w:fill="BDD7EE"/>
            <w:noWrap/>
            <w:vAlign w:val="center"/>
          </w:tcPr>
          <w:p w14:paraId="760D1FEC" w14:textId="2FADA48F" w:rsidR="00F11F7B" w:rsidRPr="005E66FD" w:rsidRDefault="00F11F7B" w:rsidP="00F11F7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06" w:type="pct"/>
            <w:tcBorders>
              <w:top w:val="nil"/>
              <w:left w:val="nil"/>
              <w:bottom w:val="single" w:sz="4" w:space="0" w:color="auto"/>
              <w:right w:val="nil"/>
            </w:tcBorders>
            <w:shd w:val="clear" w:color="auto" w:fill="BDD7EE"/>
            <w:noWrap/>
            <w:vAlign w:val="center"/>
          </w:tcPr>
          <w:p w14:paraId="708E8E94" w14:textId="338EC69F" w:rsidR="00F11F7B" w:rsidRPr="005E66FD" w:rsidRDefault="00F11F7B" w:rsidP="00F11F7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6" w:type="pct"/>
            <w:tcBorders>
              <w:top w:val="nil"/>
              <w:left w:val="nil"/>
              <w:bottom w:val="single" w:sz="4" w:space="0" w:color="auto"/>
              <w:right w:val="nil"/>
            </w:tcBorders>
            <w:shd w:val="clear" w:color="auto" w:fill="BDD7EE"/>
            <w:vAlign w:val="center"/>
          </w:tcPr>
          <w:p w14:paraId="2800A8B2" w14:textId="07669A98" w:rsidR="00F11F7B" w:rsidRPr="005E66FD" w:rsidRDefault="00F11F7B" w:rsidP="00F11F7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79237D" w:rsidRPr="005E66FD" w14:paraId="69DCB625" w14:textId="77777777" w:rsidTr="00241F33">
        <w:trPr>
          <w:trHeight w:hRule="exact" w:val="292"/>
          <w:jc w:val="center"/>
        </w:trPr>
        <w:tc>
          <w:tcPr>
            <w:tcW w:w="2870" w:type="pct"/>
            <w:tcBorders>
              <w:top w:val="nil"/>
              <w:left w:val="nil"/>
              <w:bottom w:val="nil"/>
              <w:right w:val="nil"/>
            </w:tcBorders>
            <w:vAlign w:val="center"/>
          </w:tcPr>
          <w:p w14:paraId="1108D244" w14:textId="0645665E" w:rsidR="0079237D" w:rsidRPr="005E66FD" w:rsidRDefault="0079237D" w:rsidP="0079237D">
            <w:pPr>
              <w:spacing w:after="0" w:line="240" w:lineRule="auto"/>
              <w:rPr>
                <w:rFonts w:ascii="Times New Roman" w:hAnsi="Times New Roman"/>
                <w:sz w:val="18"/>
                <w:szCs w:val="18"/>
                <w:lang w:eastAsia="sk-SK"/>
              </w:rPr>
            </w:pPr>
            <w:r w:rsidRPr="00C66720">
              <w:rPr>
                <w:rFonts w:ascii="Times New Roman" w:hAnsi="Times New Roman"/>
                <w:bCs/>
                <w:sz w:val="18"/>
                <w:szCs w:val="18"/>
                <w:lang w:eastAsia="sk-SK"/>
              </w:rPr>
              <w:t>Rezerva Všeobecnej zdravotnej poisťovne, a.s.</w:t>
            </w:r>
          </w:p>
        </w:tc>
        <w:tc>
          <w:tcPr>
            <w:tcW w:w="718" w:type="pct"/>
            <w:tcBorders>
              <w:top w:val="nil"/>
              <w:left w:val="nil"/>
              <w:bottom w:val="nil"/>
              <w:right w:val="nil"/>
            </w:tcBorders>
            <w:vAlign w:val="center"/>
          </w:tcPr>
          <w:p w14:paraId="1A772F88" w14:textId="30265ADF"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236 876</w:t>
            </w:r>
          </w:p>
        </w:tc>
        <w:tc>
          <w:tcPr>
            <w:tcW w:w="706" w:type="pct"/>
            <w:tcBorders>
              <w:top w:val="nil"/>
              <w:left w:val="nil"/>
              <w:bottom w:val="nil"/>
              <w:right w:val="nil"/>
            </w:tcBorders>
            <w:vAlign w:val="center"/>
          </w:tcPr>
          <w:p w14:paraId="69672A0D" w14:textId="4A78F1F1"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235 497</w:t>
            </w:r>
          </w:p>
        </w:tc>
        <w:tc>
          <w:tcPr>
            <w:tcW w:w="706" w:type="pct"/>
            <w:tcBorders>
              <w:top w:val="nil"/>
              <w:left w:val="nil"/>
              <w:bottom w:val="nil"/>
              <w:right w:val="nil"/>
            </w:tcBorders>
            <w:vAlign w:val="center"/>
          </w:tcPr>
          <w:p w14:paraId="35C53706" w14:textId="54AF383C"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bCs/>
                <w:sz w:val="18"/>
                <w:szCs w:val="18"/>
                <w:lang w:eastAsia="sk-SK"/>
              </w:rPr>
              <w:t>1 379</w:t>
            </w:r>
          </w:p>
        </w:tc>
      </w:tr>
      <w:tr w:rsidR="0079237D" w:rsidRPr="005E66FD" w14:paraId="787BC7B6" w14:textId="77777777" w:rsidTr="00241F33">
        <w:trPr>
          <w:trHeight w:hRule="exact" w:val="292"/>
          <w:jc w:val="center"/>
        </w:trPr>
        <w:tc>
          <w:tcPr>
            <w:tcW w:w="2870" w:type="pct"/>
            <w:tcBorders>
              <w:top w:val="nil"/>
              <w:left w:val="nil"/>
              <w:bottom w:val="nil"/>
              <w:right w:val="nil"/>
            </w:tcBorders>
            <w:vAlign w:val="center"/>
          </w:tcPr>
          <w:p w14:paraId="5344A8E5" w14:textId="610D4883" w:rsidR="0079237D" w:rsidRPr="005E66FD" w:rsidRDefault="0079237D" w:rsidP="0079237D">
            <w:pPr>
              <w:spacing w:after="0" w:line="240" w:lineRule="auto"/>
              <w:rPr>
                <w:rFonts w:ascii="Times New Roman" w:hAnsi="Times New Roman"/>
                <w:sz w:val="18"/>
                <w:szCs w:val="18"/>
                <w:lang w:eastAsia="sk-SK"/>
              </w:rPr>
            </w:pPr>
            <w:r w:rsidRPr="00C66720">
              <w:rPr>
                <w:rFonts w:ascii="Times New Roman" w:hAnsi="Times New Roman"/>
                <w:bCs/>
                <w:sz w:val="18"/>
                <w:szCs w:val="18"/>
                <w:lang w:eastAsia="sk-SK"/>
              </w:rPr>
              <w:t>Súdne spory</w:t>
            </w:r>
          </w:p>
        </w:tc>
        <w:tc>
          <w:tcPr>
            <w:tcW w:w="718" w:type="pct"/>
            <w:tcBorders>
              <w:top w:val="nil"/>
              <w:left w:val="nil"/>
              <w:bottom w:val="nil"/>
              <w:right w:val="nil"/>
            </w:tcBorders>
            <w:vAlign w:val="center"/>
          </w:tcPr>
          <w:p w14:paraId="0C1031E9" w14:textId="55A3A6F3"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181 661</w:t>
            </w:r>
          </w:p>
        </w:tc>
        <w:tc>
          <w:tcPr>
            <w:tcW w:w="706" w:type="pct"/>
            <w:tcBorders>
              <w:top w:val="nil"/>
              <w:left w:val="nil"/>
              <w:bottom w:val="nil"/>
              <w:right w:val="nil"/>
            </w:tcBorders>
            <w:vAlign w:val="center"/>
          </w:tcPr>
          <w:p w14:paraId="64576D84" w14:textId="02489E8F"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263 584</w:t>
            </w:r>
          </w:p>
        </w:tc>
        <w:tc>
          <w:tcPr>
            <w:tcW w:w="706" w:type="pct"/>
            <w:tcBorders>
              <w:top w:val="nil"/>
              <w:left w:val="nil"/>
              <w:bottom w:val="nil"/>
              <w:right w:val="nil"/>
            </w:tcBorders>
            <w:vAlign w:val="center"/>
          </w:tcPr>
          <w:p w14:paraId="091151CC" w14:textId="36F7851A"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-81 923</w:t>
            </w:r>
          </w:p>
        </w:tc>
      </w:tr>
      <w:tr w:rsidR="0079237D" w:rsidRPr="005E66FD" w14:paraId="77A0257C" w14:textId="77777777" w:rsidTr="00241F33">
        <w:trPr>
          <w:trHeight w:hRule="exact" w:val="292"/>
          <w:jc w:val="center"/>
        </w:trPr>
        <w:tc>
          <w:tcPr>
            <w:tcW w:w="2870" w:type="pct"/>
            <w:tcBorders>
              <w:top w:val="nil"/>
              <w:left w:val="nil"/>
              <w:bottom w:val="nil"/>
              <w:right w:val="nil"/>
            </w:tcBorders>
            <w:vAlign w:val="center"/>
          </w:tcPr>
          <w:p w14:paraId="3FA991B2" w14:textId="50BA1648" w:rsidR="0079237D" w:rsidRPr="005E66FD" w:rsidRDefault="0079237D" w:rsidP="0079237D">
            <w:pPr>
              <w:spacing w:after="0" w:line="240" w:lineRule="auto"/>
              <w:rPr>
                <w:rFonts w:ascii="Times New Roman" w:hAnsi="Times New Roman"/>
                <w:sz w:val="18"/>
                <w:szCs w:val="18"/>
                <w:lang w:eastAsia="sk-SK"/>
              </w:rPr>
            </w:pPr>
            <w:r w:rsidRPr="00C66720">
              <w:rPr>
                <w:rFonts w:ascii="Times New Roman" w:hAnsi="Times New Roman"/>
                <w:sz w:val="18"/>
                <w:szCs w:val="18"/>
                <w:lang w:eastAsia="sk-SK"/>
              </w:rPr>
              <w:t xml:space="preserve">Vyraďovanie jadrových zariadení a rád. paliva </w:t>
            </w:r>
          </w:p>
        </w:tc>
        <w:tc>
          <w:tcPr>
            <w:tcW w:w="718" w:type="pct"/>
            <w:tcBorders>
              <w:top w:val="nil"/>
              <w:left w:val="nil"/>
              <w:bottom w:val="nil"/>
              <w:right w:val="nil"/>
            </w:tcBorders>
            <w:vAlign w:val="center"/>
          </w:tcPr>
          <w:p w14:paraId="674727D0" w14:textId="0DF59EDA"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134 388</w:t>
            </w:r>
          </w:p>
        </w:tc>
        <w:tc>
          <w:tcPr>
            <w:tcW w:w="706" w:type="pct"/>
            <w:tcBorders>
              <w:top w:val="nil"/>
              <w:left w:val="nil"/>
              <w:bottom w:val="nil"/>
              <w:right w:val="nil"/>
            </w:tcBorders>
            <w:vAlign w:val="center"/>
          </w:tcPr>
          <w:p w14:paraId="2FCF41B6" w14:textId="22DBCABE"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114 577</w:t>
            </w:r>
          </w:p>
        </w:tc>
        <w:tc>
          <w:tcPr>
            <w:tcW w:w="706" w:type="pct"/>
            <w:tcBorders>
              <w:top w:val="nil"/>
              <w:left w:val="nil"/>
              <w:bottom w:val="nil"/>
              <w:right w:val="nil"/>
            </w:tcBorders>
            <w:vAlign w:val="center"/>
          </w:tcPr>
          <w:p w14:paraId="3D18B337" w14:textId="64FDA1AE"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19 811</w:t>
            </w:r>
          </w:p>
        </w:tc>
      </w:tr>
      <w:tr w:rsidR="0079237D" w:rsidRPr="005E66FD" w14:paraId="26D0484C" w14:textId="77777777" w:rsidTr="00241F33">
        <w:trPr>
          <w:trHeight w:hRule="exact" w:val="292"/>
          <w:jc w:val="center"/>
        </w:trPr>
        <w:tc>
          <w:tcPr>
            <w:tcW w:w="2870" w:type="pct"/>
            <w:tcBorders>
              <w:top w:val="nil"/>
              <w:left w:val="nil"/>
              <w:bottom w:val="nil"/>
              <w:right w:val="nil"/>
            </w:tcBorders>
            <w:vAlign w:val="center"/>
          </w:tcPr>
          <w:p w14:paraId="55CB0473" w14:textId="71307510" w:rsidR="0079237D" w:rsidRPr="005E66FD" w:rsidRDefault="0079237D" w:rsidP="0079237D">
            <w:pPr>
              <w:spacing w:after="0" w:line="240" w:lineRule="auto"/>
              <w:rPr>
                <w:rFonts w:ascii="Times New Roman" w:hAnsi="Times New Roman"/>
                <w:sz w:val="18"/>
                <w:szCs w:val="18"/>
                <w:lang w:eastAsia="sk-SK"/>
              </w:rPr>
            </w:pPr>
            <w:r w:rsidRPr="00C66720">
              <w:rPr>
                <w:rFonts w:ascii="Times New Roman" w:hAnsi="Times New Roman"/>
                <w:bCs/>
                <w:color w:val="000000" w:themeColor="text1"/>
                <w:sz w:val="18"/>
                <w:szCs w:val="18"/>
                <w:lang w:eastAsia="sk-SK"/>
              </w:rPr>
              <w:t xml:space="preserve">Nevyfakturované dodávky </w:t>
            </w:r>
          </w:p>
        </w:tc>
        <w:tc>
          <w:tcPr>
            <w:tcW w:w="718" w:type="pct"/>
            <w:tcBorders>
              <w:top w:val="nil"/>
              <w:left w:val="nil"/>
              <w:bottom w:val="nil"/>
              <w:right w:val="nil"/>
            </w:tcBorders>
            <w:vAlign w:val="center"/>
          </w:tcPr>
          <w:p w14:paraId="68769A19" w14:textId="6B07D362"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bCs/>
                <w:color w:val="000000" w:themeColor="text1"/>
                <w:sz w:val="18"/>
                <w:szCs w:val="18"/>
                <w:lang w:eastAsia="sk-SK"/>
              </w:rPr>
              <w:t>67 957</w:t>
            </w:r>
          </w:p>
        </w:tc>
        <w:tc>
          <w:tcPr>
            <w:tcW w:w="706" w:type="pct"/>
            <w:tcBorders>
              <w:top w:val="nil"/>
              <w:left w:val="nil"/>
              <w:bottom w:val="nil"/>
              <w:right w:val="nil"/>
            </w:tcBorders>
            <w:vAlign w:val="center"/>
          </w:tcPr>
          <w:p w14:paraId="2902A79F" w14:textId="26453816"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bCs/>
                <w:color w:val="000000" w:themeColor="text1"/>
                <w:sz w:val="18"/>
                <w:szCs w:val="18"/>
                <w:lang w:eastAsia="sk-SK"/>
              </w:rPr>
              <w:t>27 289</w:t>
            </w:r>
          </w:p>
        </w:tc>
        <w:tc>
          <w:tcPr>
            <w:tcW w:w="706" w:type="pct"/>
            <w:tcBorders>
              <w:top w:val="nil"/>
              <w:left w:val="nil"/>
              <w:bottom w:val="nil"/>
              <w:right w:val="nil"/>
            </w:tcBorders>
            <w:vAlign w:val="center"/>
          </w:tcPr>
          <w:p w14:paraId="65E53FDF" w14:textId="4885639B" w:rsidR="0079237D" w:rsidRPr="005E66FD" w:rsidRDefault="0079237D" w:rsidP="0079237D">
            <w:pPr>
              <w:spacing w:after="0" w:line="240" w:lineRule="auto"/>
              <w:jc w:val="right"/>
              <w:rPr>
                <w:rFonts w:ascii="Times New Roman" w:hAnsi="Times New Roman"/>
                <w:sz w:val="18"/>
                <w:szCs w:val="18"/>
                <w:lang w:eastAsia="sk-SK"/>
              </w:rPr>
            </w:pPr>
            <w:r w:rsidRPr="00C66720">
              <w:rPr>
                <w:rFonts w:ascii="Times New Roman" w:hAnsi="Times New Roman"/>
                <w:bCs/>
                <w:color w:val="000000" w:themeColor="text1"/>
                <w:sz w:val="18"/>
                <w:szCs w:val="18"/>
                <w:lang w:eastAsia="sk-SK"/>
              </w:rPr>
              <w:t>40 668</w:t>
            </w:r>
          </w:p>
        </w:tc>
      </w:tr>
      <w:tr w:rsidR="0079237D" w:rsidRPr="005E66FD" w14:paraId="0E7AFC30" w14:textId="77777777" w:rsidTr="00241F33">
        <w:trPr>
          <w:trHeight w:hRule="exact" w:val="330"/>
          <w:jc w:val="center"/>
        </w:trPr>
        <w:tc>
          <w:tcPr>
            <w:tcW w:w="2870" w:type="pct"/>
            <w:tcBorders>
              <w:top w:val="nil"/>
              <w:left w:val="nil"/>
              <w:right w:val="nil"/>
            </w:tcBorders>
            <w:shd w:val="clear" w:color="000000" w:fill="auto"/>
            <w:vAlign w:val="center"/>
          </w:tcPr>
          <w:p w14:paraId="1F724FDF" w14:textId="404B1351" w:rsidR="0079237D" w:rsidRPr="005E66FD" w:rsidRDefault="0079237D" w:rsidP="0079237D">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Rezerva na nezrovnalosti</w:t>
            </w:r>
          </w:p>
        </w:tc>
        <w:tc>
          <w:tcPr>
            <w:tcW w:w="718" w:type="pct"/>
            <w:tcBorders>
              <w:top w:val="nil"/>
              <w:left w:val="nil"/>
              <w:right w:val="nil"/>
            </w:tcBorders>
            <w:shd w:val="clear" w:color="000000" w:fill="auto"/>
            <w:vAlign w:val="center"/>
          </w:tcPr>
          <w:p w14:paraId="7F6EE3B1" w14:textId="1B30D462"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21 905</w:t>
            </w:r>
          </w:p>
        </w:tc>
        <w:tc>
          <w:tcPr>
            <w:tcW w:w="706" w:type="pct"/>
            <w:tcBorders>
              <w:top w:val="nil"/>
              <w:left w:val="nil"/>
              <w:right w:val="nil"/>
            </w:tcBorders>
            <w:shd w:val="clear" w:color="000000" w:fill="auto"/>
            <w:vAlign w:val="center"/>
          </w:tcPr>
          <w:p w14:paraId="5C21FAA8" w14:textId="3B5071CB"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151 401</w:t>
            </w:r>
          </w:p>
        </w:tc>
        <w:tc>
          <w:tcPr>
            <w:tcW w:w="706" w:type="pct"/>
            <w:tcBorders>
              <w:top w:val="nil"/>
              <w:left w:val="nil"/>
              <w:right w:val="nil"/>
            </w:tcBorders>
            <w:shd w:val="clear" w:color="000000" w:fill="auto"/>
            <w:vAlign w:val="center"/>
          </w:tcPr>
          <w:p w14:paraId="1E99D487" w14:textId="182A4972"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-129 496</w:t>
            </w:r>
          </w:p>
        </w:tc>
      </w:tr>
      <w:tr w:rsidR="0079237D" w:rsidRPr="005E66FD" w14:paraId="2635DD11" w14:textId="77777777" w:rsidTr="00241F33">
        <w:trPr>
          <w:trHeight w:hRule="exact" w:val="330"/>
          <w:jc w:val="center"/>
        </w:trPr>
        <w:tc>
          <w:tcPr>
            <w:tcW w:w="2870" w:type="pct"/>
            <w:tcBorders>
              <w:top w:val="nil"/>
              <w:left w:val="nil"/>
              <w:right w:val="nil"/>
            </w:tcBorders>
            <w:shd w:val="clear" w:color="000000" w:fill="auto"/>
            <w:vAlign w:val="center"/>
          </w:tcPr>
          <w:p w14:paraId="1F29794F" w14:textId="295065F2" w:rsidR="0079237D" w:rsidRPr="005E66FD" w:rsidRDefault="0079237D" w:rsidP="0079237D">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Rezerva na pestovnú činnosť a ochranu lesa</w:t>
            </w:r>
          </w:p>
        </w:tc>
        <w:tc>
          <w:tcPr>
            <w:tcW w:w="718" w:type="pct"/>
            <w:tcBorders>
              <w:top w:val="nil"/>
              <w:left w:val="nil"/>
              <w:right w:val="nil"/>
            </w:tcBorders>
            <w:shd w:val="clear" w:color="000000" w:fill="auto"/>
            <w:vAlign w:val="center"/>
          </w:tcPr>
          <w:p w14:paraId="151F8433" w14:textId="0C63ABFD"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17 546</w:t>
            </w:r>
          </w:p>
        </w:tc>
        <w:tc>
          <w:tcPr>
            <w:tcW w:w="706" w:type="pct"/>
            <w:tcBorders>
              <w:top w:val="nil"/>
              <w:left w:val="nil"/>
              <w:right w:val="nil"/>
            </w:tcBorders>
            <w:shd w:val="clear" w:color="000000" w:fill="auto"/>
            <w:vAlign w:val="center"/>
          </w:tcPr>
          <w:p w14:paraId="751F4A5A" w14:textId="66C9CFCA"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13 351</w:t>
            </w:r>
          </w:p>
        </w:tc>
        <w:tc>
          <w:tcPr>
            <w:tcW w:w="706" w:type="pct"/>
            <w:tcBorders>
              <w:top w:val="nil"/>
              <w:left w:val="nil"/>
              <w:right w:val="nil"/>
            </w:tcBorders>
            <w:shd w:val="clear" w:color="000000" w:fill="auto"/>
            <w:vAlign w:val="center"/>
          </w:tcPr>
          <w:p w14:paraId="4C7456E1" w14:textId="67357224"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4 195</w:t>
            </w:r>
          </w:p>
        </w:tc>
      </w:tr>
      <w:tr w:rsidR="0079237D" w:rsidRPr="005E66FD" w14:paraId="42634612" w14:textId="77777777" w:rsidTr="00241F33">
        <w:trPr>
          <w:trHeight w:hRule="exact" w:val="330"/>
          <w:jc w:val="center"/>
        </w:trPr>
        <w:tc>
          <w:tcPr>
            <w:tcW w:w="2870" w:type="pct"/>
            <w:tcBorders>
              <w:top w:val="nil"/>
              <w:left w:val="nil"/>
              <w:right w:val="nil"/>
            </w:tcBorders>
            <w:shd w:val="clear" w:color="000000" w:fill="auto"/>
            <w:vAlign w:val="center"/>
          </w:tcPr>
          <w:p w14:paraId="7B6E9B28" w14:textId="0868AF4A" w:rsidR="0079237D" w:rsidRPr="005E66FD" w:rsidRDefault="0079237D" w:rsidP="0079237D">
            <w:pPr>
              <w:spacing w:after="0" w:line="240" w:lineRule="auto"/>
              <w:rPr>
                <w:rFonts w:ascii="Times New Roman" w:hAnsi="Times New Roman"/>
                <w:bCs/>
                <w:sz w:val="18"/>
                <w:szCs w:val="18"/>
                <w:lang w:eastAsia="sk-SK"/>
              </w:rPr>
            </w:pPr>
            <w:r w:rsidRPr="00C66720">
              <w:rPr>
                <w:rFonts w:ascii="Times New Roman" w:hAnsi="Times New Roman"/>
                <w:bCs/>
                <w:color w:val="000000" w:themeColor="text1"/>
                <w:sz w:val="18"/>
                <w:szCs w:val="18"/>
                <w:lang w:eastAsia="sk-SK"/>
              </w:rPr>
              <w:t>Zamestnanecké požitky obchodných spoločností štátu</w:t>
            </w:r>
          </w:p>
        </w:tc>
        <w:tc>
          <w:tcPr>
            <w:tcW w:w="718" w:type="pct"/>
            <w:tcBorders>
              <w:top w:val="nil"/>
              <w:left w:val="nil"/>
              <w:right w:val="nil"/>
            </w:tcBorders>
            <w:shd w:val="clear" w:color="000000" w:fill="auto"/>
            <w:vAlign w:val="center"/>
          </w:tcPr>
          <w:p w14:paraId="5D434065" w14:textId="3319660D"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color w:val="000000" w:themeColor="text1"/>
                <w:sz w:val="18"/>
                <w:szCs w:val="18"/>
                <w:lang w:eastAsia="sk-SK"/>
              </w:rPr>
              <w:t>5 631</w:t>
            </w:r>
          </w:p>
        </w:tc>
        <w:tc>
          <w:tcPr>
            <w:tcW w:w="706" w:type="pct"/>
            <w:tcBorders>
              <w:top w:val="nil"/>
              <w:left w:val="nil"/>
              <w:right w:val="nil"/>
            </w:tcBorders>
            <w:shd w:val="clear" w:color="000000" w:fill="auto"/>
            <w:vAlign w:val="center"/>
          </w:tcPr>
          <w:p w14:paraId="780A4E10" w14:textId="706CD517"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6 539</w:t>
            </w:r>
          </w:p>
        </w:tc>
        <w:tc>
          <w:tcPr>
            <w:tcW w:w="706" w:type="pct"/>
            <w:tcBorders>
              <w:top w:val="nil"/>
              <w:left w:val="nil"/>
              <w:right w:val="nil"/>
            </w:tcBorders>
            <w:shd w:val="clear" w:color="000000" w:fill="auto"/>
            <w:vAlign w:val="center"/>
          </w:tcPr>
          <w:p w14:paraId="3E61A0D1" w14:textId="1A37C16E"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color w:val="000000" w:themeColor="text1"/>
                <w:sz w:val="18"/>
                <w:szCs w:val="18"/>
                <w:lang w:eastAsia="sk-SK"/>
              </w:rPr>
              <w:t>-908</w:t>
            </w:r>
          </w:p>
        </w:tc>
      </w:tr>
      <w:tr w:rsidR="0079237D" w:rsidRPr="005E66FD" w14:paraId="720F9675" w14:textId="77777777" w:rsidTr="00241F33">
        <w:trPr>
          <w:trHeight w:hRule="exact" w:val="564"/>
          <w:jc w:val="center"/>
        </w:trPr>
        <w:tc>
          <w:tcPr>
            <w:tcW w:w="2870" w:type="pct"/>
            <w:tcBorders>
              <w:top w:val="nil"/>
              <w:left w:val="nil"/>
              <w:right w:val="nil"/>
            </w:tcBorders>
            <w:shd w:val="clear" w:color="000000" w:fill="auto"/>
            <w:vAlign w:val="center"/>
          </w:tcPr>
          <w:p w14:paraId="7583F9B3" w14:textId="680445FE" w:rsidR="0079237D" w:rsidRPr="005E66FD" w:rsidRDefault="0079237D" w:rsidP="0079237D">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Náklady na zostavenie, overenie, zverejnenie účtovnej závierky a výročnej správy</w:t>
            </w:r>
          </w:p>
        </w:tc>
        <w:tc>
          <w:tcPr>
            <w:tcW w:w="718" w:type="pct"/>
            <w:tcBorders>
              <w:top w:val="nil"/>
              <w:left w:val="nil"/>
              <w:right w:val="nil"/>
            </w:tcBorders>
            <w:shd w:val="clear" w:color="000000" w:fill="auto"/>
            <w:vAlign w:val="center"/>
          </w:tcPr>
          <w:p w14:paraId="630F4E12" w14:textId="06FE017C"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2 737</w:t>
            </w:r>
          </w:p>
        </w:tc>
        <w:tc>
          <w:tcPr>
            <w:tcW w:w="706" w:type="pct"/>
            <w:tcBorders>
              <w:top w:val="nil"/>
              <w:left w:val="nil"/>
              <w:right w:val="nil"/>
            </w:tcBorders>
            <w:shd w:val="clear" w:color="000000" w:fill="auto"/>
            <w:vAlign w:val="center"/>
          </w:tcPr>
          <w:p w14:paraId="5D330717" w14:textId="598BAE37"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4 634</w:t>
            </w:r>
          </w:p>
        </w:tc>
        <w:tc>
          <w:tcPr>
            <w:tcW w:w="706" w:type="pct"/>
            <w:tcBorders>
              <w:top w:val="nil"/>
              <w:left w:val="nil"/>
              <w:right w:val="nil"/>
            </w:tcBorders>
            <w:shd w:val="clear" w:color="000000" w:fill="auto"/>
            <w:vAlign w:val="center"/>
          </w:tcPr>
          <w:p w14:paraId="09A3F58B" w14:textId="5EA74859"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-1 897</w:t>
            </w:r>
          </w:p>
        </w:tc>
      </w:tr>
      <w:tr w:rsidR="0079237D" w:rsidRPr="005E66FD" w14:paraId="1F180AD5" w14:textId="77777777" w:rsidTr="00241F33">
        <w:trPr>
          <w:trHeight w:hRule="exact" w:val="291"/>
          <w:jc w:val="center"/>
        </w:trPr>
        <w:tc>
          <w:tcPr>
            <w:tcW w:w="2870" w:type="pct"/>
            <w:tcBorders>
              <w:top w:val="nil"/>
              <w:left w:val="nil"/>
              <w:right w:val="nil"/>
            </w:tcBorders>
            <w:shd w:val="clear" w:color="000000" w:fill="auto"/>
            <w:vAlign w:val="center"/>
          </w:tcPr>
          <w:p w14:paraId="5B0BF2D9" w14:textId="633E7EBD" w:rsidR="0079237D" w:rsidRPr="005E66FD" w:rsidRDefault="0079237D" w:rsidP="0079237D">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Náklady súvisiace s odstránením znečistenia životného prostredia</w:t>
            </w:r>
          </w:p>
        </w:tc>
        <w:tc>
          <w:tcPr>
            <w:tcW w:w="718" w:type="pct"/>
            <w:tcBorders>
              <w:top w:val="nil"/>
              <w:left w:val="nil"/>
              <w:right w:val="nil"/>
            </w:tcBorders>
            <w:shd w:val="clear" w:color="000000" w:fill="auto"/>
            <w:vAlign w:val="center"/>
          </w:tcPr>
          <w:p w14:paraId="747061D8" w14:textId="6F90F1E6"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391</w:t>
            </w:r>
          </w:p>
        </w:tc>
        <w:tc>
          <w:tcPr>
            <w:tcW w:w="706" w:type="pct"/>
            <w:tcBorders>
              <w:top w:val="nil"/>
              <w:left w:val="nil"/>
              <w:right w:val="nil"/>
            </w:tcBorders>
            <w:shd w:val="clear" w:color="000000" w:fill="auto"/>
            <w:vAlign w:val="center"/>
          </w:tcPr>
          <w:p w14:paraId="166694B5" w14:textId="269CEB35"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929</w:t>
            </w:r>
          </w:p>
        </w:tc>
        <w:tc>
          <w:tcPr>
            <w:tcW w:w="706" w:type="pct"/>
            <w:tcBorders>
              <w:top w:val="nil"/>
              <w:left w:val="nil"/>
              <w:right w:val="nil"/>
            </w:tcBorders>
            <w:shd w:val="clear" w:color="000000" w:fill="auto"/>
            <w:vAlign w:val="center"/>
          </w:tcPr>
          <w:p w14:paraId="78639355" w14:textId="6CF82465"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-538</w:t>
            </w:r>
          </w:p>
        </w:tc>
      </w:tr>
      <w:tr w:rsidR="0079237D" w:rsidRPr="005E66FD" w14:paraId="57AB377E" w14:textId="77777777" w:rsidTr="00241F33">
        <w:trPr>
          <w:trHeight w:hRule="exact" w:val="330"/>
          <w:jc w:val="center"/>
        </w:trPr>
        <w:tc>
          <w:tcPr>
            <w:tcW w:w="2870" w:type="pct"/>
            <w:tcBorders>
              <w:left w:val="nil"/>
              <w:bottom w:val="single" w:sz="4" w:space="0" w:color="auto"/>
              <w:right w:val="nil"/>
            </w:tcBorders>
            <w:shd w:val="clear" w:color="000000" w:fill="auto"/>
            <w:vAlign w:val="center"/>
          </w:tcPr>
          <w:p w14:paraId="78645708" w14:textId="06993639" w:rsidR="0079237D" w:rsidRPr="005E66FD" w:rsidRDefault="0079237D" w:rsidP="0079237D">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w:t>
            </w:r>
          </w:p>
        </w:tc>
        <w:tc>
          <w:tcPr>
            <w:tcW w:w="718" w:type="pct"/>
            <w:tcBorders>
              <w:left w:val="nil"/>
              <w:bottom w:val="single" w:sz="4" w:space="0" w:color="auto"/>
              <w:right w:val="nil"/>
            </w:tcBorders>
            <w:shd w:val="clear" w:color="000000" w:fill="auto"/>
            <w:vAlign w:val="center"/>
          </w:tcPr>
          <w:p w14:paraId="3C6BBCF3" w14:textId="3EC1E22D"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412 962</w:t>
            </w:r>
          </w:p>
        </w:tc>
        <w:tc>
          <w:tcPr>
            <w:tcW w:w="706" w:type="pct"/>
            <w:tcBorders>
              <w:left w:val="nil"/>
              <w:bottom w:val="single" w:sz="4" w:space="0" w:color="auto"/>
              <w:right w:val="nil"/>
            </w:tcBorders>
            <w:shd w:val="clear" w:color="000000" w:fill="auto"/>
            <w:vAlign w:val="center"/>
          </w:tcPr>
          <w:p w14:paraId="0C3C979D" w14:textId="2F0EBE67"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495 599</w:t>
            </w:r>
          </w:p>
        </w:tc>
        <w:tc>
          <w:tcPr>
            <w:tcW w:w="706" w:type="pct"/>
            <w:tcBorders>
              <w:left w:val="nil"/>
              <w:bottom w:val="single" w:sz="4" w:space="0" w:color="auto"/>
              <w:right w:val="nil"/>
            </w:tcBorders>
            <w:shd w:val="clear" w:color="000000" w:fill="auto"/>
            <w:vAlign w:val="center"/>
          </w:tcPr>
          <w:p w14:paraId="0B9113A4" w14:textId="63AB3807" w:rsidR="0079237D" w:rsidRPr="005E66FD" w:rsidRDefault="0079237D" w:rsidP="0079237D">
            <w:pPr>
              <w:spacing w:after="0" w:line="240" w:lineRule="auto"/>
              <w:jc w:val="right"/>
              <w:rPr>
                <w:rFonts w:ascii="Times New Roman" w:hAnsi="Times New Roman"/>
                <w:bCs/>
                <w:sz w:val="18"/>
                <w:szCs w:val="18"/>
                <w:lang w:eastAsia="sk-SK"/>
              </w:rPr>
            </w:pPr>
            <w:r w:rsidRPr="00C66720">
              <w:rPr>
                <w:rFonts w:ascii="Times New Roman" w:hAnsi="Times New Roman"/>
                <w:bCs/>
                <w:sz w:val="18"/>
                <w:szCs w:val="18"/>
                <w:lang w:eastAsia="sk-SK"/>
              </w:rPr>
              <w:t>-82 637</w:t>
            </w:r>
          </w:p>
        </w:tc>
      </w:tr>
      <w:tr w:rsidR="0079237D" w:rsidRPr="005E66FD" w14:paraId="3A868DEB" w14:textId="77777777" w:rsidTr="00241F33">
        <w:trPr>
          <w:trHeight w:hRule="exact" w:val="330"/>
          <w:jc w:val="center"/>
        </w:trPr>
        <w:tc>
          <w:tcPr>
            <w:tcW w:w="2870" w:type="pct"/>
            <w:tcBorders>
              <w:top w:val="single" w:sz="4" w:space="0" w:color="auto"/>
              <w:left w:val="nil"/>
              <w:bottom w:val="single" w:sz="4" w:space="0" w:color="000000"/>
              <w:right w:val="nil"/>
            </w:tcBorders>
            <w:shd w:val="clear" w:color="000000" w:fill="auto"/>
            <w:vAlign w:val="center"/>
          </w:tcPr>
          <w:p w14:paraId="5E7CD076" w14:textId="3A9150BD" w:rsidR="0079237D" w:rsidRPr="005E66FD" w:rsidRDefault="0079237D" w:rsidP="0079237D">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718" w:type="pct"/>
            <w:tcBorders>
              <w:top w:val="single" w:sz="4" w:space="0" w:color="auto"/>
              <w:left w:val="nil"/>
              <w:bottom w:val="single" w:sz="4" w:space="0" w:color="000000"/>
              <w:right w:val="nil"/>
            </w:tcBorders>
            <w:shd w:val="clear" w:color="000000" w:fill="auto"/>
            <w:vAlign w:val="center"/>
          </w:tcPr>
          <w:p w14:paraId="75562A16" w14:textId="73D34796" w:rsidR="0079237D" w:rsidRPr="005E66FD" w:rsidRDefault="0079237D" w:rsidP="0079237D">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1 082 054</w:t>
            </w:r>
          </w:p>
        </w:tc>
        <w:tc>
          <w:tcPr>
            <w:tcW w:w="706" w:type="pct"/>
            <w:tcBorders>
              <w:top w:val="single" w:sz="4" w:space="0" w:color="auto"/>
              <w:left w:val="nil"/>
              <w:bottom w:val="single" w:sz="4" w:space="0" w:color="000000"/>
              <w:right w:val="nil"/>
            </w:tcBorders>
            <w:shd w:val="clear" w:color="000000" w:fill="auto"/>
            <w:vAlign w:val="center"/>
          </w:tcPr>
          <w:p w14:paraId="05998B6D" w14:textId="0B6E3909" w:rsidR="0079237D" w:rsidRPr="005E66FD" w:rsidRDefault="0079237D" w:rsidP="0079237D">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1 313 400</w:t>
            </w:r>
          </w:p>
        </w:tc>
        <w:tc>
          <w:tcPr>
            <w:tcW w:w="706" w:type="pct"/>
            <w:tcBorders>
              <w:top w:val="single" w:sz="4" w:space="0" w:color="auto"/>
              <w:left w:val="nil"/>
              <w:bottom w:val="single" w:sz="4" w:space="0" w:color="000000"/>
              <w:right w:val="nil"/>
            </w:tcBorders>
            <w:shd w:val="clear" w:color="000000" w:fill="auto"/>
            <w:vAlign w:val="center"/>
          </w:tcPr>
          <w:p w14:paraId="6E868AC5" w14:textId="1E8EC558" w:rsidR="0079237D" w:rsidRPr="005E66FD" w:rsidRDefault="0079237D" w:rsidP="0079237D">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-231 346</w:t>
            </w:r>
          </w:p>
        </w:tc>
      </w:tr>
    </w:tbl>
    <w:p w14:paraId="56FF4F01" w14:textId="77777777" w:rsidR="00F11F7B" w:rsidRPr="00D01DB2" w:rsidRDefault="00F11F7B" w:rsidP="00F11F7B">
      <w:pPr>
        <w:pStyle w:val="Pismenka"/>
        <w:tabs>
          <w:tab w:val="clear" w:pos="426"/>
        </w:tabs>
        <w:spacing w:after="120"/>
        <w:ind w:left="5240" w:firstLine="424"/>
        <w:jc w:val="left"/>
        <w:rPr>
          <w:b w:val="0"/>
          <w:i/>
          <w:sz w:val="22"/>
          <w:szCs w:val="22"/>
          <w:u w:val="single"/>
        </w:rPr>
      </w:pPr>
      <w:r w:rsidRPr="00D01DB2">
        <w:rPr>
          <w:b w:val="0"/>
        </w:rPr>
        <w:t>Zdroj: MF SR, Centrálny konsolidačný systém</w:t>
      </w:r>
    </w:p>
    <w:p w14:paraId="48BA8969" w14:textId="1513A9BF" w:rsidR="000E153F" w:rsidRPr="00C66720" w:rsidRDefault="007B40F7" w:rsidP="00641086">
      <w:pPr>
        <w:pStyle w:val="Pismenka"/>
        <w:tabs>
          <w:tab w:val="clear" w:pos="426"/>
        </w:tabs>
        <w:spacing w:before="120" w:after="120"/>
        <w:ind w:left="0" w:firstLine="0"/>
        <w:rPr>
          <w:b w:val="0"/>
          <w:bCs w:val="0"/>
          <w:sz w:val="22"/>
          <w:szCs w:val="22"/>
        </w:rPr>
      </w:pPr>
      <w:r w:rsidRPr="00C66720">
        <w:rPr>
          <w:b w:val="0"/>
          <w:bCs w:val="0"/>
          <w:i/>
          <w:sz w:val="22"/>
          <w:szCs w:val="22"/>
          <w:u w:val="single"/>
        </w:rPr>
        <w:t>Rezerva Všeobecnej</w:t>
      </w:r>
      <w:r w:rsidR="000E153F" w:rsidRPr="00C66720">
        <w:rPr>
          <w:b w:val="0"/>
          <w:bCs w:val="0"/>
          <w:i/>
          <w:sz w:val="22"/>
          <w:szCs w:val="22"/>
          <w:u w:val="single"/>
        </w:rPr>
        <w:t xml:space="preserve"> zdravotn</w:t>
      </w:r>
      <w:r w:rsidRPr="00C66720">
        <w:rPr>
          <w:b w:val="0"/>
          <w:bCs w:val="0"/>
          <w:i/>
          <w:sz w:val="22"/>
          <w:szCs w:val="22"/>
          <w:u w:val="single"/>
        </w:rPr>
        <w:t>ej</w:t>
      </w:r>
      <w:r w:rsidR="000E153F" w:rsidRPr="00C66720">
        <w:rPr>
          <w:b w:val="0"/>
          <w:bCs w:val="0"/>
          <w:i/>
          <w:sz w:val="22"/>
          <w:szCs w:val="22"/>
          <w:u w:val="single"/>
        </w:rPr>
        <w:t xml:space="preserve"> poisťov</w:t>
      </w:r>
      <w:r w:rsidRPr="00C66720">
        <w:rPr>
          <w:b w:val="0"/>
          <w:bCs w:val="0"/>
          <w:i/>
          <w:sz w:val="22"/>
          <w:szCs w:val="22"/>
          <w:u w:val="single"/>
        </w:rPr>
        <w:t>ne</w:t>
      </w:r>
      <w:r w:rsidR="000E153F" w:rsidRPr="00C66720">
        <w:rPr>
          <w:b w:val="0"/>
          <w:bCs w:val="0"/>
          <w:i/>
          <w:sz w:val="22"/>
          <w:szCs w:val="22"/>
          <w:u w:val="single"/>
        </w:rPr>
        <w:t>, a.s.</w:t>
      </w:r>
      <w:r w:rsidR="000E153F" w:rsidRPr="00C66720">
        <w:rPr>
          <w:b w:val="0"/>
          <w:bCs w:val="0"/>
          <w:sz w:val="22"/>
          <w:szCs w:val="22"/>
        </w:rPr>
        <w:t xml:space="preserve"> </w:t>
      </w:r>
      <w:r w:rsidRPr="00C66720">
        <w:rPr>
          <w:b w:val="0"/>
          <w:bCs w:val="0"/>
          <w:sz w:val="22"/>
          <w:szCs w:val="22"/>
        </w:rPr>
        <w:t xml:space="preserve">je </w:t>
      </w:r>
      <w:r w:rsidR="00ED1EE9" w:rsidRPr="00C66720">
        <w:rPr>
          <w:b w:val="0"/>
          <w:bCs w:val="0"/>
          <w:sz w:val="22"/>
          <w:szCs w:val="22"/>
        </w:rPr>
        <w:t xml:space="preserve">tvorená najmä </w:t>
      </w:r>
      <w:r w:rsidRPr="00C66720">
        <w:rPr>
          <w:b w:val="0"/>
          <w:bCs w:val="0"/>
          <w:sz w:val="22"/>
          <w:szCs w:val="22"/>
        </w:rPr>
        <w:t xml:space="preserve">technickou rezervou </w:t>
      </w:r>
      <w:r w:rsidR="00020317" w:rsidRPr="00C66720">
        <w:rPr>
          <w:b w:val="0"/>
          <w:bCs w:val="0"/>
          <w:sz w:val="22"/>
          <w:szCs w:val="22"/>
        </w:rPr>
        <w:t>na poistné plnenie</w:t>
      </w:r>
      <w:r w:rsidR="00ED1EE9" w:rsidRPr="00C66720">
        <w:rPr>
          <w:b w:val="0"/>
          <w:bCs w:val="0"/>
          <w:sz w:val="22"/>
          <w:szCs w:val="22"/>
        </w:rPr>
        <w:t xml:space="preserve"> (na liečbu na území Slovenskej republiky a v cudzine a na výkony pre poistencov čakajúcich na poskytnutie zdravotnej starostlivosti)</w:t>
      </w:r>
      <w:r w:rsidR="00020317" w:rsidRPr="00C66720">
        <w:rPr>
          <w:b w:val="0"/>
          <w:bCs w:val="0"/>
          <w:sz w:val="22"/>
          <w:szCs w:val="22"/>
        </w:rPr>
        <w:t xml:space="preserve"> </w:t>
      </w:r>
      <w:r w:rsidR="00351166" w:rsidRPr="00C66720">
        <w:rPr>
          <w:b w:val="0"/>
          <w:bCs w:val="0"/>
          <w:sz w:val="22"/>
          <w:szCs w:val="22"/>
        </w:rPr>
        <w:t>a in</w:t>
      </w:r>
      <w:r w:rsidR="00ED1EE9" w:rsidRPr="00C66720">
        <w:rPr>
          <w:b w:val="0"/>
          <w:bCs w:val="0"/>
          <w:sz w:val="22"/>
          <w:szCs w:val="22"/>
        </w:rPr>
        <w:t>ou technickou</w:t>
      </w:r>
      <w:r w:rsidR="00351166" w:rsidRPr="00C66720">
        <w:rPr>
          <w:b w:val="0"/>
          <w:bCs w:val="0"/>
          <w:sz w:val="22"/>
          <w:szCs w:val="22"/>
        </w:rPr>
        <w:t xml:space="preserve"> rezerv</w:t>
      </w:r>
      <w:r w:rsidR="00ED1EE9" w:rsidRPr="00C66720">
        <w:rPr>
          <w:b w:val="0"/>
          <w:bCs w:val="0"/>
          <w:sz w:val="22"/>
          <w:szCs w:val="22"/>
        </w:rPr>
        <w:t>ou. Medziročne je</w:t>
      </w:r>
      <w:r w:rsidR="00A62CDB" w:rsidRPr="00C66720">
        <w:rPr>
          <w:b w:val="0"/>
          <w:bCs w:val="0"/>
          <w:sz w:val="22"/>
          <w:szCs w:val="22"/>
        </w:rPr>
        <w:t xml:space="preserve"> vyššia</w:t>
      </w:r>
      <w:r w:rsidR="00ED1EE9" w:rsidRPr="00C66720">
        <w:rPr>
          <w:b w:val="0"/>
          <w:bCs w:val="0"/>
          <w:sz w:val="22"/>
          <w:szCs w:val="22"/>
        </w:rPr>
        <w:t xml:space="preserve"> o</w:t>
      </w:r>
      <w:r w:rsidR="00A62CDB" w:rsidRPr="00C66720">
        <w:rPr>
          <w:b w:val="0"/>
          <w:bCs w:val="0"/>
          <w:sz w:val="22"/>
          <w:szCs w:val="22"/>
        </w:rPr>
        <w:t> 1 379</w:t>
      </w:r>
      <w:r w:rsidR="00500881" w:rsidRPr="00C66720">
        <w:rPr>
          <w:b w:val="0"/>
          <w:bCs w:val="0"/>
          <w:sz w:val="22"/>
          <w:szCs w:val="22"/>
        </w:rPr>
        <w:t xml:space="preserve"> tis. eur.</w:t>
      </w:r>
      <w:r w:rsidRPr="00C66720">
        <w:rPr>
          <w:b w:val="0"/>
          <w:bCs w:val="0"/>
          <w:sz w:val="22"/>
          <w:szCs w:val="22"/>
        </w:rPr>
        <w:t xml:space="preserve"> </w:t>
      </w:r>
      <w:r w:rsidR="00500881" w:rsidRPr="00C66720">
        <w:rPr>
          <w:b w:val="0"/>
          <w:bCs w:val="0"/>
          <w:sz w:val="22"/>
          <w:szCs w:val="22"/>
        </w:rPr>
        <w:t>Všeobecná zdravotná poisťovňa, a.s. tvorí technické rezervy na neuhradenú a plánovanú zdravotnú starostlivosť voči poskytovateľom zdravotnej starostlivosti a iné technické rezervy najmä na vratky poistencom za doplatky za lieky a na príspevok na činnosť operačných stredísk tiesňového volania zdravotnej záchrannej služby.</w:t>
      </w:r>
      <w:r w:rsidR="00641086" w:rsidRPr="00C66720">
        <w:rPr>
          <w:b w:val="0"/>
          <w:bCs w:val="0"/>
          <w:sz w:val="22"/>
          <w:szCs w:val="22"/>
        </w:rPr>
        <w:t xml:space="preserve"> </w:t>
      </w:r>
      <w:r w:rsidR="002F36F7" w:rsidRPr="00C66720">
        <w:rPr>
          <w:b w:val="0"/>
          <w:bCs w:val="0"/>
          <w:sz w:val="22"/>
          <w:szCs w:val="22"/>
        </w:rPr>
        <w:t>O</w:t>
      </w:r>
      <w:r w:rsidR="00643B12" w:rsidRPr="00C66720">
        <w:rPr>
          <w:b w:val="0"/>
          <w:bCs w:val="0"/>
          <w:sz w:val="22"/>
          <w:szCs w:val="22"/>
        </w:rPr>
        <w:t xml:space="preserve">d 1.1.2019 boli  technické rezervy </w:t>
      </w:r>
      <w:r w:rsidR="00B90577" w:rsidRPr="00C66720">
        <w:rPr>
          <w:b w:val="0"/>
          <w:bCs w:val="0"/>
          <w:sz w:val="22"/>
          <w:szCs w:val="22"/>
        </w:rPr>
        <w:t xml:space="preserve">poisťovne </w:t>
      </w:r>
      <w:r w:rsidR="00643B12" w:rsidRPr="00C66720">
        <w:rPr>
          <w:b w:val="0"/>
          <w:bCs w:val="0"/>
          <w:sz w:val="22"/>
          <w:szCs w:val="22"/>
        </w:rPr>
        <w:t>účtované ako zmena ich stavu, t.</w:t>
      </w:r>
      <w:r w:rsidR="00B90577" w:rsidRPr="00C66720">
        <w:rPr>
          <w:b w:val="0"/>
          <w:bCs w:val="0"/>
          <w:sz w:val="22"/>
          <w:szCs w:val="22"/>
        </w:rPr>
        <w:t xml:space="preserve"> </w:t>
      </w:r>
      <w:r w:rsidR="00643B12" w:rsidRPr="00C66720">
        <w:rPr>
          <w:b w:val="0"/>
          <w:bCs w:val="0"/>
          <w:sz w:val="22"/>
          <w:szCs w:val="22"/>
        </w:rPr>
        <w:t>j. na ťarchu (tvorba), resp. v prospech (odúčtovanie/zníženie) nákladov. Použitie, resp. zrušenie technických rezerv bolo účtované v prospech výnosov len v prípade, ak išlo o použitie, resp. zrušenie rezerv vytvorených v predchádzajúcich účtovných obdobiach, v ktorých sa tvorba technických rezerv v plnej výške účtovala na ťarchu nákladov a ich použitie, resp. zrušenie v plnej výške v prospech výnosov.</w:t>
      </w:r>
      <w:r w:rsidR="00B90577" w:rsidRPr="00C66720">
        <w:rPr>
          <w:b w:val="0"/>
          <w:bCs w:val="0"/>
          <w:sz w:val="22"/>
          <w:szCs w:val="22"/>
        </w:rPr>
        <w:t xml:space="preserve"> </w:t>
      </w:r>
      <w:r w:rsidR="004A21E5" w:rsidRPr="00C66720">
        <w:rPr>
          <w:b w:val="0"/>
          <w:bCs w:val="0"/>
          <w:sz w:val="22"/>
          <w:szCs w:val="22"/>
        </w:rPr>
        <w:t xml:space="preserve">Zmena stavu technických rezerv na zdravotnú starostlivosť sa účtuje mesačne, okrem </w:t>
      </w:r>
      <w:r w:rsidR="004A21E5" w:rsidRPr="00C66720">
        <w:rPr>
          <w:b w:val="0"/>
          <w:bCs w:val="0"/>
          <w:sz w:val="22"/>
          <w:szCs w:val="22"/>
        </w:rPr>
        <w:lastRenderedPageBreak/>
        <w:t>technických rezerv na zdravotnú starostlivosť poskytnutú poistencom EÚ v Slovenskej republike, ktoré sa účtujú len ku dňu riadnej individuálnej účtovnej závierky. Ostatné technické rezervy sa účtujú mesačne, resp. v rámci priebežnej či riadnej individuálnej účtovnej závierky.</w:t>
      </w:r>
    </w:p>
    <w:p w14:paraId="6A576F46" w14:textId="6BA23EC8" w:rsidR="00C21F88" w:rsidRPr="00C66720" w:rsidRDefault="00E441AC" w:rsidP="00821585">
      <w:pPr>
        <w:pStyle w:val="Pismenka"/>
        <w:tabs>
          <w:tab w:val="clear" w:pos="426"/>
        </w:tabs>
        <w:spacing w:before="120" w:after="120"/>
        <w:ind w:left="0" w:firstLine="0"/>
        <w:rPr>
          <w:b w:val="0"/>
          <w:bCs w:val="0"/>
          <w:sz w:val="22"/>
          <w:szCs w:val="22"/>
        </w:rPr>
      </w:pPr>
      <w:r w:rsidRPr="00C66720">
        <w:rPr>
          <w:b w:val="0"/>
          <w:bCs w:val="0"/>
          <w:i/>
          <w:sz w:val="22"/>
          <w:szCs w:val="22"/>
          <w:u w:val="single"/>
        </w:rPr>
        <w:t>Z krátkodobých rezerv</w:t>
      </w:r>
      <w:r w:rsidR="00C21F88" w:rsidRPr="00C66720">
        <w:rPr>
          <w:b w:val="0"/>
          <w:bCs w:val="0"/>
          <w:i/>
          <w:sz w:val="22"/>
          <w:szCs w:val="22"/>
          <w:u w:val="single"/>
        </w:rPr>
        <w:t xml:space="preserve"> na súdne spory</w:t>
      </w:r>
      <w:r w:rsidR="00C21F88" w:rsidRPr="00C66720">
        <w:rPr>
          <w:b w:val="0"/>
          <w:bCs w:val="0"/>
          <w:i/>
          <w:sz w:val="22"/>
          <w:szCs w:val="22"/>
        </w:rPr>
        <w:t xml:space="preserve"> </w:t>
      </w:r>
      <w:r w:rsidRPr="00C66720">
        <w:rPr>
          <w:b w:val="0"/>
          <w:bCs w:val="0"/>
          <w:sz w:val="22"/>
          <w:szCs w:val="22"/>
        </w:rPr>
        <w:t xml:space="preserve">vykazuje najvýznamnejšiu hodnotu </w:t>
      </w:r>
      <w:r w:rsidR="00286434" w:rsidRPr="00C66720">
        <w:rPr>
          <w:b w:val="0"/>
          <w:bCs w:val="0"/>
          <w:sz w:val="22"/>
          <w:szCs w:val="22"/>
        </w:rPr>
        <w:t>Ministerstvo spravodlivosti SR (70 279 tis. eur), Ministerstvo pôdohospodárstva a rozvoja vidieka SR (37 290 tis. eur) a Ministerstvo dopravy SR (22 983 tis. eur).</w:t>
      </w:r>
      <w:r w:rsidR="00B044CE" w:rsidRPr="00C66720">
        <w:rPr>
          <w:b w:val="0"/>
          <w:bCs w:val="0"/>
          <w:sz w:val="22"/>
          <w:szCs w:val="22"/>
        </w:rPr>
        <w:t xml:space="preserve"> </w:t>
      </w:r>
      <w:r w:rsidR="00E62B6A" w:rsidRPr="00C66720">
        <w:rPr>
          <w:b w:val="0"/>
          <w:bCs w:val="0"/>
          <w:sz w:val="22"/>
          <w:szCs w:val="22"/>
        </w:rPr>
        <w:t xml:space="preserve">Ďalej vykazujú významné krátkodobé rezervy na súdne spory obchodné spoločnosti a štátne podniky v sume </w:t>
      </w:r>
      <w:r w:rsidR="001F1110" w:rsidRPr="00C66720">
        <w:rPr>
          <w:b w:val="0"/>
          <w:bCs w:val="0"/>
          <w:sz w:val="22"/>
          <w:szCs w:val="22"/>
        </w:rPr>
        <w:t>30 280</w:t>
      </w:r>
      <w:r w:rsidR="00E62B6A" w:rsidRPr="00C66720">
        <w:rPr>
          <w:b w:val="0"/>
          <w:bCs w:val="0"/>
          <w:sz w:val="22"/>
          <w:szCs w:val="22"/>
        </w:rPr>
        <w:t xml:space="preserve"> tis. eur (v tom Národná diaľničná spoločnosť, a.s. </w:t>
      </w:r>
      <w:r w:rsidR="001F1110" w:rsidRPr="00C66720">
        <w:rPr>
          <w:b w:val="0"/>
          <w:bCs w:val="0"/>
          <w:sz w:val="22"/>
          <w:szCs w:val="22"/>
        </w:rPr>
        <w:t>20 277</w:t>
      </w:r>
      <w:r w:rsidR="00E62B6A" w:rsidRPr="00C66720">
        <w:rPr>
          <w:b w:val="0"/>
          <w:bCs w:val="0"/>
          <w:sz w:val="22"/>
          <w:szCs w:val="22"/>
        </w:rPr>
        <w:t xml:space="preserve"> </w:t>
      </w:r>
      <w:r w:rsidR="00712115" w:rsidRPr="00C66720">
        <w:rPr>
          <w:b w:val="0"/>
          <w:bCs w:val="0"/>
          <w:sz w:val="22"/>
          <w:szCs w:val="22"/>
        </w:rPr>
        <w:t>tis. eur).</w:t>
      </w:r>
    </w:p>
    <w:p w14:paraId="0AD86DA4" w14:textId="77777777" w:rsidR="00B4631D" w:rsidRPr="00C66720" w:rsidRDefault="00B4631D" w:rsidP="00821585">
      <w:pPr>
        <w:pStyle w:val="Pismenka"/>
        <w:tabs>
          <w:tab w:val="clear" w:pos="426"/>
        </w:tabs>
        <w:spacing w:before="120" w:after="120"/>
        <w:ind w:left="0" w:firstLine="0"/>
        <w:rPr>
          <w:b w:val="0"/>
          <w:bCs w:val="0"/>
          <w:i/>
          <w:sz w:val="22"/>
          <w:szCs w:val="22"/>
          <w:u w:val="single"/>
        </w:rPr>
      </w:pPr>
      <w:r w:rsidRPr="00C66720">
        <w:rPr>
          <w:b w:val="0"/>
          <w:bCs w:val="0"/>
          <w:i/>
          <w:sz w:val="22"/>
          <w:szCs w:val="22"/>
          <w:u w:val="single"/>
        </w:rPr>
        <w:t xml:space="preserve">Rezervy na vyraďovanie jadrových elektrární, na likvidáciu a vyraďovanie neenergetických zariadení, skladovanie a trvalé uloženie vyhoretého jadrového paliva </w:t>
      </w:r>
    </w:p>
    <w:p w14:paraId="39DE375F" w14:textId="3892B447" w:rsidR="00A35003" w:rsidRPr="00C66720" w:rsidRDefault="00B4631D" w:rsidP="00821585">
      <w:pPr>
        <w:pStyle w:val="Pismenka"/>
        <w:tabs>
          <w:tab w:val="clear" w:pos="426"/>
        </w:tabs>
        <w:spacing w:before="120" w:after="120"/>
        <w:ind w:left="0" w:firstLine="0"/>
        <w:rPr>
          <w:b w:val="0"/>
          <w:bCs w:val="0"/>
          <w:sz w:val="22"/>
          <w:szCs w:val="22"/>
        </w:rPr>
      </w:pPr>
      <w:r w:rsidRPr="00C66720">
        <w:rPr>
          <w:b w:val="0"/>
          <w:bCs w:val="0"/>
          <w:sz w:val="22"/>
          <w:szCs w:val="22"/>
        </w:rPr>
        <w:t xml:space="preserve">Hodnota </w:t>
      </w:r>
      <w:r w:rsidR="007F15DC" w:rsidRPr="00C66720">
        <w:rPr>
          <w:b w:val="0"/>
          <w:bCs w:val="0"/>
          <w:sz w:val="22"/>
          <w:szCs w:val="22"/>
        </w:rPr>
        <w:t>krátkodobej časti</w:t>
      </w:r>
      <w:r w:rsidRPr="00C66720">
        <w:rPr>
          <w:b w:val="0"/>
          <w:bCs w:val="0"/>
          <w:sz w:val="22"/>
          <w:szCs w:val="22"/>
        </w:rPr>
        <w:t xml:space="preserve"> rezerv Jadrovej a vyraďovacej spoločnosti</w:t>
      </w:r>
      <w:r w:rsidR="007F15DC" w:rsidRPr="00C66720">
        <w:rPr>
          <w:b w:val="0"/>
          <w:bCs w:val="0"/>
          <w:sz w:val="22"/>
          <w:szCs w:val="22"/>
        </w:rPr>
        <w:t xml:space="preserve">, a.s. </w:t>
      </w:r>
      <w:r w:rsidRPr="00C66720">
        <w:rPr>
          <w:b w:val="0"/>
          <w:bCs w:val="0"/>
          <w:sz w:val="22"/>
          <w:szCs w:val="22"/>
        </w:rPr>
        <w:t>k 31.12.202</w:t>
      </w:r>
      <w:r w:rsidR="002A4945" w:rsidRPr="00C66720">
        <w:rPr>
          <w:b w:val="0"/>
          <w:bCs w:val="0"/>
          <w:sz w:val="22"/>
          <w:szCs w:val="22"/>
        </w:rPr>
        <w:t>2</w:t>
      </w:r>
      <w:r w:rsidRPr="00C66720">
        <w:rPr>
          <w:b w:val="0"/>
          <w:bCs w:val="0"/>
          <w:sz w:val="22"/>
          <w:szCs w:val="22"/>
        </w:rPr>
        <w:t xml:space="preserve"> dosiahla </w:t>
      </w:r>
      <w:r w:rsidR="007F7C49" w:rsidRPr="00C66720">
        <w:rPr>
          <w:b w:val="0"/>
          <w:bCs w:val="0"/>
          <w:sz w:val="22"/>
          <w:szCs w:val="22"/>
        </w:rPr>
        <w:br/>
      </w:r>
      <w:r w:rsidR="002A4945" w:rsidRPr="00C66720">
        <w:rPr>
          <w:b w:val="0"/>
          <w:bCs w:val="0"/>
          <w:sz w:val="22"/>
          <w:szCs w:val="22"/>
        </w:rPr>
        <w:t>134 388</w:t>
      </w:r>
      <w:r w:rsidR="00A35003" w:rsidRPr="00C66720">
        <w:rPr>
          <w:b w:val="0"/>
          <w:bCs w:val="0"/>
          <w:sz w:val="22"/>
          <w:szCs w:val="22"/>
        </w:rPr>
        <w:t xml:space="preserve"> </w:t>
      </w:r>
      <w:r w:rsidRPr="00C66720">
        <w:rPr>
          <w:b w:val="0"/>
          <w:bCs w:val="0"/>
          <w:sz w:val="22"/>
          <w:szCs w:val="22"/>
        </w:rPr>
        <w:t>tis. eur</w:t>
      </w:r>
      <w:r w:rsidR="002A4945" w:rsidRPr="00C66720">
        <w:rPr>
          <w:b w:val="0"/>
          <w:bCs w:val="0"/>
          <w:sz w:val="22"/>
          <w:szCs w:val="22"/>
        </w:rPr>
        <w:t xml:space="preserve"> a bola medziročne vyššia o 19 811 tis. eur</w:t>
      </w:r>
      <w:r w:rsidRPr="00C66720">
        <w:rPr>
          <w:b w:val="0"/>
          <w:bCs w:val="0"/>
          <w:sz w:val="22"/>
          <w:szCs w:val="22"/>
        </w:rPr>
        <w:t xml:space="preserve">. </w:t>
      </w:r>
      <w:r w:rsidR="00A35003" w:rsidRPr="00C66720">
        <w:rPr>
          <w:b w:val="0"/>
          <w:bCs w:val="0"/>
          <w:sz w:val="22"/>
          <w:szCs w:val="22"/>
        </w:rPr>
        <w:t>V prípade týchto rezerv je predpokladaná doba vyrovnania záväzku do jedného roka. Ide</w:t>
      </w:r>
      <w:r w:rsidRPr="00C66720">
        <w:rPr>
          <w:b w:val="0"/>
          <w:bCs w:val="0"/>
          <w:sz w:val="22"/>
          <w:szCs w:val="22"/>
        </w:rPr>
        <w:t xml:space="preserve"> o rezervu vytvorenú na vyraďovanie a likvidáciu jadrových elektrární A1 a V1</w:t>
      </w:r>
      <w:r w:rsidR="007F7C49" w:rsidRPr="00C66720">
        <w:rPr>
          <w:b w:val="0"/>
          <w:bCs w:val="0"/>
          <w:sz w:val="22"/>
          <w:szCs w:val="22"/>
        </w:rPr>
        <w:t>.</w:t>
      </w:r>
    </w:p>
    <w:p w14:paraId="164D80C0" w14:textId="77777777" w:rsidR="00FF0B2F" w:rsidRPr="00C66720" w:rsidRDefault="00FF0B2F" w:rsidP="00821585">
      <w:pPr>
        <w:pStyle w:val="Pismenka"/>
        <w:tabs>
          <w:tab w:val="clear" w:pos="426"/>
        </w:tabs>
        <w:spacing w:before="120" w:after="120"/>
        <w:ind w:left="0" w:firstLine="0"/>
        <w:rPr>
          <w:b w:val="0"/>
          <w:bCs w:val="0"/>
          <w:i/>
          <w:sz w:val="22"/>
          <w:szCs w:val="22"/>
          <w:u w:val="single"/>
        </w:rPr>
      </w:pPr>
      <w:r w:rsidRPr="00C66720">
        <w:rPr>
          <w:b w:val="0"/>
          <w:bCs w:val="0"/>
          <w:i/>
          <w:sz w:val="22"/>
          <w:szCs w:val="22"/>
          <w:u w:val="single"/>
        </w:rPr>
        <w:t>Rezerva na nevyfakturované dodávky</w:t>
      </w:r>
    </w:p>
    <w:p w14:paraId="45BD021C" w14:textId="08AE6AA8" w:rsidR="00B21EDD" w:rsidRPr="00C66720" w:rsidRDefault="00B21EDD" w:rsidP="00821585">
      <w:pPr>
        <w:pStyle w:val="Pismenka"/>
        <w:tabs>
          <w:tab w:val="clear" w:pos="426"/>
        </w:tabs>
        <w:spacing w:before="120" w:after="120"/>
        <w:ind w:left="0" w:firstLine="0"/>
        <w:rPr>
          <w:b w:val="0"/>
          <w:bCs w:val="0"/>
          <w:sz w:val="22"/>
          <w:szCs w:val="22"/>
        </w:rPr>
      </w:pPr>
      <w:r w:rsidRPr="00C66720">
        <w:rPr>
          <w:b w:val="0"/>
          <w:bCs w:val="0"/>
          <w:sz w:val="22"/>
          <w:szCs w:val="22"/>
        </w:rPr>
        <w:t>Celková hodnota budúcich záväzkov za dodaný majetok, tovar alebo prijaté služby, ku ktorým do dňa zostavenia účtovnej závierky nebol doručený účtovný doklad preukazujúci ich presnú výšku, predstavuje 67 957 tis. eur a v porovnaní s rokom 2021 boli vyššie o 40 668 tis. eur</w:t>
      </w:r>
      <w:r w:rsidR="005F55D5" w:rsidRPr="00C66720">
        <w:rPr>
          <w:b w:val="0"/>
          <w:bCs w:val="0"/>
          <w:sz w:val="22"/>
          <w:szCs w:val="22"/>
        </w:rPr>
        <w:t>. Takmer 89 % tejto krátkodobej rezervy s predpokladanou dobou vyrovnania do jedného roka je tvorená subjektami ústrednej správy v objeme 60 460 tis. eur (v tom obchodné spoločnosti a štátne podniky 59 077 tis. eur).</w:t>
      </w:r>
      <w:r w:rsidR="00D85581" w:rsidRPr="00C66720">
        <w:rPr>
          <w:b w:val="0"/>
          <w:bCs w:val="0"/>
          <w:sz w:val="22"/>
          <w:szCs w:val="22"/>
        </w:rPr>
        <w:t xml:space="preserve"> Najvyššiu hodnotu (39 657 tis. eur) aj najvyššiu medziročnú zmenu (zvýšenie o 30 808 tis. eur) vykazuje Národná diaľničná spoločnosť, a.s.</w:t>
      </w:r>
    </w:p>
    <w:p w14:paraId="2F54CA27" w14:textId="0BDB3EBF" w:rsidR="00343ACA" w:rsidRPr="00C66720" w:rsidRDefault="00343ACA" w:rsidP="00821585">
      <w:pPr>
        <w:pStyle w:val="Pismenka"/>
        <w:tabs>
          <w:tab w:val="clear" w:pos="426"/>
        </w:tabs>
        <w:spacing w:before="120" w:after="120"/>
        <w:ind w:left="0" w:firstLine="0"/>
        <w:rPr>
          <w:b w:val="0"/>
          <w:bCs w:val="0"/>
          <w:i/>
          <w:sz w:val="22"/>
          <w:szCs w:val="22"/>
          <w:u w:val="single"/>
        </w:rPr>
      </w:pPr>
      <w:r w:rsidRPr="00C66720">
        <w:rPr>
          <w:b w:val="0"/>
          <w:bCs w:val="0"/>
          <w:i/>
          <w:sz w:val="22"/>
          <w:szCs w:val="22"/>
          <w:u w:val="single"/>
        </w:rPr>
        <w:t xml:space="preserve">Rezerva na záväzky z nezrovnalostí a vrátení </w:t>
      </w:r>
    </w:p>
    <w:p w14:paraId="3A772885" w14:textId="0D16358F" w:rsidR="00F85838" w:rsidRPr="00C66720" w:rsidRDefault="00343ACA" w:rsidP="00821585">
      <w:pPr>
        <w:pStyle w:val="Pismenka"/>
        <w:tabs>
          <w:tab w:val="clear" w:pos="426"/>
        </w:tabs>
        <w:spacing w:before="120" w:after="120"/>
        <w:ind w:left="0" w:firstLine="0"/>
        <w:rPr>
          <w:b w:val="0"/>
          <w:bCs w:val="0"/>
          <w:sz w:val="22"/>
          <w:szCs w:val="22"/>
        </w:rPr>
      </w:pPr>
      <w:r w:rsidRPr="00C66720">
        <w:rPr>
          <w:b w:val="0"/>
          <w:bCs w:val="0"/>
          <w:sz w:val="22"/>
          <w:szCs w:val="22"/>
        </w:rPr>
        <w:t xml:space="preserve">Certifikačný orgán Ministerstva financií SR tvorí od roku 2017 rezervu na záväzky z odpočítaných nezrovnalostí a odpočítaných vrátení v účtoch za </w:t>
      </w:r>
      <w:r w:rsidR="00607B9F" w:rsidRPr="00C66720">
        <w:rPr>
          <w:b w:val="0"/>
          <w:bCs w:val="0"/>
          <w:sz w:val="22"/>
          <w:szCs w:val="22"/>
        </w:rPr>
        <w:t>8</w:t>
      </w:r>
      <w:r w:rsidRPr="00C66720">
        <w:rPr>
          <w:b w:val="0"/>
          <w:bCs w:val="0"/>
          <w:sz w:val="22"/>
          <w:szCs w:val="22"/>
        </w:rPr>
        <w:t>. účtovný rok programového obdobia 2014-2020, za v</w:t>
      </w:r>
      <w:r w:rsidR="00607B9F" w:rsidRPr="00C66720">
        <w:rPr>
          <w:b w:val="0"/>
          <w:bCs w:val="0"/>
          <w:sz w:val="22"/>
          <w:szCs w:val="22"/>
        </w:rPr>
        <w:t>ýdavky deklarované od 1. 5. 2021 do 30. 4. 2022</w:t>
      </w:r>
      <w:r w:rsidRPr="00C66720">
        <w:rPr>
          <w:b w:val="0"/>
          <w:bCs w:val="0"/>
          <w:sz w:val="22"/>
          <w:szCs w:val="22"/>
        </w:rPr>
        <w:t xml:space="preserve">. Výška rezervy zodpovedá sume nezrovnalostí a vrátených prostriedkov, ktoré neboli odpočítané v žiadostiach o platbu na </w:t>
      </w:r>
      <w:r w:rsidR="000A29C9" w:rsidRPr="00C66720">
        <w:rPr>
          <w:b w:val="0"/>
          <w:bCs w:val="0"/>
          <w:sz w:val="22"/>
          <w:szCs w:val="22"/>
        </w:rPr>
        <w:t>Európsku komisiu (</w:t>
      </w:r>
      <w:r w:rsidRPr="00C66720">
        <w:rPr>
          <w:b w:val="0"/>
          <w:bCs w:val="0"/>
          <w:sz w:val="22"/>
          <w:szCs w:val="22"/>
        </w:rPr>
        <w:t>EK</w:t>
      </w:r>
      <w:r w:rsidR="000A29C9" w:rsidRPr="00C66720">
        <w:rPr>
          <w:b w:val="0"/>
          <w:bCs w:val="0"/>
          <w:sz w:val="22"/>
          <w:szCs w:val="22"/>
        </w:rPr>
        <w:t>)</w:t>
      </w:r>
      <w:r w:rsidR="00CB6475" w:rsidRPr="00C66720">
        <w:rPr>
          <w:b w:val="0"/>
          <w:bCs w:val="0"/>
          <w:sz w:val="22"/>
          <w:szCs w:val="22"/>
        </w:rPr>
        <w:t xml:space="preserve"> v priebehu </w:t>
      </w:r>
      <w:r w:rsidR="00607B9F" w:rsidRPr="00C66720">
        <w:rPr>
          <w:b w:val="0"/>
          <w:bCs w:val="0"/>
          <w:sz w:val="22"/>
          <w:szCs w:val="22"/>
        </w:rPr>
        <w:t>8</w:t>
      </w:r>
      <w:r w:rsidRPr="00C66720">
        <w:rPr>
          <w:b w:val="0"/>
          <w:bCs w:val="0"/>
          <w:sz w:val="22"/>
          <w:szCs w:val="22"/>
        </w:rPr>
        <w:t xml:space="preserve">. účtovného roka a priebežne schvaľovaných EK. Jej celková hodnota je </w:t>
      </w:r>
      <w:r w:rsidR="00607B9F" w:rsidRPr="00C66720">
        <w:rPr>
          <w:b w:val="0"/>
          <w:bCs w:val="0"/>
          <w:sz w:val="22"/>
          <w:szCs w:val="22"/>
        </w:rPr>
        <w:t>21 905</w:t>
      </w:r>
      <w:r w:rsidRPr="00C66720">
        <w:rPr>
          <w:b w:val="0"/>
          <w:bCs w:val="0"/>
          <w:sz w:val="22"/>
          <w:szCs w:val="22"/>
        </w:rPr>
        <w:t> </w:t>
      </w:r>
      <w:r w:rsidR="003446E6" w:rsidRPr="00C66720">
        <w:rPr>
          <w:b w:val="0"/>
          <w:bCs w:val="0"/>
          <w:sz w:val="22"/>
          <w:szCs w:val="22"/>
        </w:rPr>
        <w:t>tis.</w:t>
      </w:r>
      <w:r w:rsidRPr="00C66720">
        <w:rPr>
          <w:b w:val="0"/>
          <w:bCs w:val="0"/>
          <w:sz w:val="22"/>
          <w:szCs w:val="22"/>
        </w:rPr>
        <w:t xml:space="preserve"> eur. Rezerva sa </w:t>
      </w:r>
      <w:r w:rsidR="00A007BA" w:rsidRPr="00C66720">
        <w:rPr>
          <w:b w:val="0"/>
          <w:bCs w:val="0"/>
          <w:sz w:val="22"/>
          <w:szCs w:val="22"/>
        </w:rPr>
        <w:t>zúčtuje</w:t>
      </w:r>
      <w:r w:rsidRPr="00C66720">
        <w:rPr>
          <w:b w:val="0"/>
          <w:bCs w:val="0"/>
          <w:sz w:val="22"/>
          <w:szCs w:val="22"/>
        </w:rPr>
        <w:t xml:space="preserve"> </w:t>
      </w:r>
      <w:r w:rsidR="00607B9F" w:rsidRPr="00C66720">
        <w:rPr>
          <w:b w:val="0"/>
          <w:bCs w:val="0"/>
          <w:sz w:val="22"/>
          <w:szCs w:val="22"/>
        </w:rPr>
        <w:t>na základe schválenia účtov za 8</w:t>
      </w:r>
      <w:r w:rsidRPr="00C66720">
        <w:rPr>
          <w:b w:val="0"/>
          <w:bCs w:val="0"/>
          <w:sz w:val="22"/>
          <w:szCs w:val="22"/>
        </w:rPr>
        <w:t xml:space="preserve">. účtovný rok v systéme na elektronickú výmenu informácií o riadení Fondov EU 2014+ a súčasne schválenia celkovej výšky záväzku voči EK </w:t>
      </w:r>
      <w:r w:rsidR="00A5429E" w:rsidRPr="00C66720">
        <w:rPr>
          <w:b w:val="0"/>
          <w:bCs w:val="0"/>
          <w:sz w:val="22"/>
          <w:szCs w:val="22"/>
        </w:rPr>
        <w:t>z nezr</w:t>
      </w:r>
      <w:r w:rsidR="000A29C9" w:rsidRPr="00C66720">
        <w:rPr>
          <w:b w:val="0"/>
          <w:bCs w:val="0"/>
          <w:sz w:val="22"/>
          <w:szCs w:val="22"/>
        </w:rPr>
        <w:t xml:space="preserve">ovnalostí a vrátení </w:t>
      </w:r>
      <w:r w:rsidR="00893724" w:rsidRPr="00C66720">
        <w:rPr>
          <w:b w:val="0"/>
          <w:bCs w:val="0"/>
          <w:sz w:val="22"/>
          <w:szCs w:val="22"/>
        </w:rPr>
        <w:t>z</w:t>
      </w:r>
      <w:r w:rsidR="00A5429E" w:rsidRPr="00C66720">
        <w:rPr>
          <w:b w:val="0"/>
          <w:bCs w:val="0"/>
          <w:sz w:val="22"/>
          <w:szCs w:val="22"/>
        </w:rPr>
        <w:t>a</w:t>
      </w:r>
      <w:r w:rsidR="008055B7" w:rsidRPr="00C66720">
        <w:rPr>
          <w:b w:val="0"/>
          <w:bCs w:val="0"/>
          <w:sz w:val="22"/>
          <w:szCs w:val="22"/>
        </w:rPr>
        <w:t xml:space="preserve"> </w:t>
      </w:r>
      <w:r w:rsidR="00607B9F" w:rsidRPr="00C66720">
        <w:rPr>
          <w:b w:val="0"/>
          <w:bCs w:val="0"/>
          <w:sz w:val="22"/>
          <w:szCs w:val="22"/>
        </w:rPr>
        <w:t>8. účtovný rok v roku 2023</w:t>
      </w:r>
      <w:r w:rsidRPr="00C66720">
        <w:rPr>
          <w:b w:val="0"/>
          <w:bCs w:val="0"/>
          <w:sz w:val="22"/>
          <w:szCs w:val="22"/>
        </w:rPr>
        <w:t xml:space="preserve">. </w:t>
      </w:r>
    </w:p>
    <w:p w14:paraId="28116174" w14:textId="5C3EC3B3" w:rsidR="007F5C5D" w:rsidRPr="00C66720" w:rsidRDefault="0028064B" w:rsidP="00821585">
      <w:pPr>
        <w:pStyle w:val="Pismenka"/>
        <w:tabs>
          <w:tab w:val="clear" w:pos="426"/>
        </w:tabs>
        <w:spacing w:before="120" w:after="120"/>
        <w:ind w:left="0" w:firstLine="0"/>
        <w:rPr>
          <w:b w:val="0"/>
          <w:bCs w:val="0"/>
          <w:i/>
          <w:sz w:val="22"/>
          <w:szCs w:val="22"/>
          <w:u w:val="single"/>
        </w:rPr>
      </w:pPr>
      <w:r w:rsidRPr="00C66720">
        <w:rPr>
          <w:b w:val="0"/>
          <w:bCs w:val="0"/>
          <w:i/>
          <w:sz w:val="22"/>
          <w:szCs w:val="22"/>
          <w:u w:val="single"/>
        </w:rPr>
        <w:t>Rezerva na pestovnú činnosť</w:t>
      </w:r>
    </w:p>
    <w:p w14:paraId="6EE6988B" w14:textId="7FA7123D" w:rsidR="0028064B" w:rsidRPr="00C66720" w:rsidRDefault="002E23A6" w:rsidP="00821585">
      <w:pPr>
        <w:pStyle w:val="Pismenka"/>
        <w:tabs>
          <w:tab w:val="clear" w:pos="426"/>
        </w:tabs>
        <w:spacing w:before="120" w:after="120"/>
        <w:ind w:left="0" w:firstLine="0"/>
        <w:rPr>
          <w:b w:val="0"/>
          <w:bCs w:val="0"/>
          <w:sz w:val="22"/>
          <w:szCs w:val="22"/>
        </w:rPr>
      </w:pPr>
      <w:r w:rsidRPr="00C66720">
        <w:rPr>
          <w:b w:val="0"/>
          <w:bCs w:val="0"/>
          <w:sz w:val="22"/>
          <w:szCs w:val="22"/>
        </w:rPr>
        <w:t xml:space="preserve">Krátkodobá rezerva na pestovnú činnosť a ochranu lesa vykazovaná štátnymi podnikmi Lesy SR, š.p. a Vojenské lesy a majetky SR, š.p. bola medziročne vyššia o 4 195 tis. eur, čím dosiahla hodnotu </w:t>
      </w:r>
      <w:r w:rsidRPr="00C66720">
        <w:rPr>
          <w:b w:val="0"/>
          <w:bCs w:val="0"/>
          <w:sz w:val="22"/>
          <w:szCs w:val="22"/>
        </w:rPr>
        <w:br/>
        <w:t>17 546 tis. eur.</w:t>
      </w:r>
    </w:p>
    <w:p w14:paraId="55CC3007" w14:textId="7D99D531" w:rsidR="009270BF" w:rsidRPr="00C66720" w:rsidRDefault="009270BF" w:rsidP="002E23A6">
      <w:pPr>
        <w:pStyle w:val="Pismenka"/>
        <w:numPr>
          <w:ilvl w:val="0"/>
          <w:numId w:val="21"/>
        </w:numPr>
        <w:spacing w:before="240" w:after="200"/>
        <w:ind w:left="284" w:hanging="284"/>
        <w:rPr>
          <w:bCs w:val="0"/>
          <w:sz w:val="24"/>
          <w:szCs w:val="24"/>
        </w:rPr>
      </w:pPr>
      <w:r w:rsidRPr="00C66720">
        <w:rPr>
          <w:bCs w:val="0"/>
          <w:sz w:val="24"/>
          <w:szCs w:val="24"/>
        </w:rPr>
        <w:t>Časové rozlíšenie pasív</w:t>
      </w:r>
    </w:p>
    <w:p w14:paraId="155B6871" w14:textId="08BB5E38" w:rsidR="004927D6" w:rsidRPr="00C66720" w:rsidRDefault="009270BF" w:rsidP="00821585">
      <w:pPr>
        <w:pStyle w:val="Pismenka"/>
        <w:tabs>
          <w:tab w:val="clear" w:pos="426"/>
        </w:tabs>
        <w:spacing w:after="120"/>
        <w:ind w:left="0" w:firstLine="0"/>
        <w:rPr>
          <w:b w:val="0"/>
          <w:bCs w:val="0"/>
          <w:sz w:val="22"/>
          <w:szCs w:val="22"/>
        </w:rPr>
      </w:pPr>
      <w:r w:rsidRPr="00C66720">
        <w:rPr>
          <w:b w:val="0"/>
          <w:bCs w:val="0"/>
          <w:sz w:val="22"/>
          <w:szCs w:val="22"/>
        </w:rPr>
        <w:t xml:space="preserve">V rámci časového rozlíšenia na strane pasív sa vykazujú výnosy budúcich období a výdavky budúcich období. Položky časového rozlíšenia slúžia na zachytenie časového nesúladu medzi výdavkami a nákladmi a príjmami a výnosmi. Uplatňujú sa v účtovníctve z dôvodu akruálneho princípu účtovania, </w:t>
      </w:r>
      <w:r w:rsidR="004927D6" w:rsidRPr="00C66720">
        <w:rPr>
          <w:b w:val="0"/>
          <w:bCs w:val="0"/>
          <w:sz w:val="22"/>
          <w:szCs w:val="22"/>
        </w:rPr>
        <w:t>podľa ktorého sa náklady a výnosy účtujú do obdobia, s ktorým časovo a vecne súvisia</w:t>
      </w:r>
      <w:r w:rsidR="00A733C1" w:rsidRPr="00C66720">
        <w:rPr>
          <w:b w:val="0"/>
          <w:bCs w:val="0"/>
          <w:sz w:val="22"/>
          <w:szCs w:val="22"/>
        </w:rPr>
        <w:t xml:space="preserve"> (bez</w:t>
      </w:r>
      <w:r w:rsidR="00E8513B" w:rsidRPr="00C66720">
        <w:rPr>
          <w:b w:val="0"/>
          <w:bCs w:val="0"/>
          <w:sz w:val="22"/>
          <w:szCs w:val="22"/>
        </w:rPr>
        <w:t> </w:t>
      </w:r>
      <w:r w:rsidR="00A733C1" w:rsidRPr="00C66720">
        <w:rPr>
          <w:b w:val="0"/>
          <w:bCs w:val="0"/>
          <w:sz w:val="22"/>
          <w:szCs w:val="22"/>
        </w:rPr>
        <w:t>ohľadu na hotovostné plnenie príjmov a výdavkov)</w:t>
      </w:r>
      <w:r w:rsidR="004927D6" w:rsidRPr="00C66720">
        <w:rPr>
          <w:b w:val="0"/>
          <w:bCs w:val="0"/>
          <w:sz w:val="22"/>
          <w:szCs w:val="22"/>
        </w:rPr>
        <w:t>.</w:t>
      </w:r>
    </w:p>
    <w:p w14:paraId="4B97E21E" w14:textId="18F5C4CA" w:rsidR="00491CF7" w:rsidRPr="00C66720" w:rsidRDefault="009270BF" w:rsidP="00821585">
      <w:pPr>
        <w:pStyle w:val="Pismenka"/>
        <w:tabs>
          <w:tab w:val="clear" w:pos="426"/>
        </w:tabs>
        <w:spacing w:after="120"/>
        <w:ind w:left="0" w:firstLine="0"/>
        <w:rPr>
          <w:b w:val="0"/>
          <w:bCs w:val="0"/>
          <w:sz w:val="22"/>
          <w:szCs w:val="22"/>
        </w:rPr>
      </w:pPr>
      <w:r w:rsidRPr="00C66720">
        <w:rPr>
          <w:b w:val="0"/>
          <w:bCs w:val="0"/>
          <w:sz w:val="22"/>
          <w:szCs w:val="22"/>
        </w:rPr>
        <w:t xml:space="preserve">Časové rozlíšenie pasív </w:t>
      </w:r>
      <w:r w:rsidR="0062078D" w:rsidRPr="00C66720">
        <w:rPr>
          <w:b w:val="0"/>
          <w:bCs w:val="0"/>
          <w:sz w:val="22"/>
          <w:szCs w:val="22"/>
        </w:rPr>
        <w:t>dosiahlo</w:t>
      </w:r>
      <w:r w:rsidR="00276D3A" w:rsidRPr="00C66720">
        <w:rPr>
          <w:b w:val="0"/>
          <w:bCs w:val="0"/>
          <w:sz w:val="22"/>
          <w:szCs w:val="22"/>
        </w:rPr>
        <w:t xml:space="preserve"> k 31.12.2022</w:t>
      </w:r>
      <w:r w:rsidRPr="00C66720">
        <w:rPr>
          <w:b w:val="0"/>
          <w:bCs w:val="0"/>
          <w:sz w:val="22"/>
          <w:szCs w:val="22"/>
        </w:rPr>
        <w:t xml:space="preserve"> hodnot</w:t>
      </w:r>
      <w:r w:rsidR="0062078D" w:rsidRPr="00C66720">
        <w:rPr>
          <w:b w:val="0"/>
          <w:bCs w:val="0"/>
          <w:sz w:val="22"/>
          <w:szCs w:val="22"/>
        </w:rPr>
        <w:t>u</w:t>
      </w:r>
      <w:r w:rsidRPr="00C66720">
        <w:rPr>
          <w:b w:val="0"/>
          <w:bCs w:val="0"/>
          <w:sz w:val="22"/>
          <w:szCs w:val="22"/>
        </w:rPr>
        <w:t xml:space="preserve"> </w:t>
      </w:r>
      <w:r w:rsidR="00276D3A" w:rsidRPr="00C66720">
        <w:rPr>
          <w:b w:val="0"/>
          <w:bCs w:val="0"/>
          <w:sz w:val="22"/>
          <w:szCs w:val="22"/>
        </w:rPr>
        <w:t>11 537 209</w:t>
      </w:r>
      <w:r w:rsidR="0015328A" w:rsidRPr="00C66720">
        <w:rPr>
          <w:b w:val="0"/>
          <w:bCs w:val="0"/>
          <w:sz w:val="22"/>
          <w:szCs w:val="22"/>
        </w:rPr>
        <w:t xml:space="preserve"> tis. eur</w:t>
      </w:r>
      <w:r w:rsidR="00EA06E4" w:rsidRPr="00C66720">
        <w:rPr>
          <w:b w:val="0"/>
          <w:bCs w:val="0"/>
          <w:sz w:val="22"/>
          <w:szCs w:val="22"/>
        </w:rPr>
        <w:t>,</w:t>
      </w:r>
      <w:r w:rsidRPr="00C66720">
        <w:rPr>
          <w:b w:val="0"/>
          <w:bCs w:val="0"/>
          <w:sz w:val="22"/>
          <w:szCs w:val="22"/>
        </w:rPr>
        <w:t xml:space="preserve"> </w:t>
      </w:r>
      <w:r w:rsidR="006E0D4B" w:rsidRPr="00C66720">
        <w:rPr>
          <w:b w:val="0"/>
          <w:bCs w:val="0"/>
          <w:sz w:val="22"/>
          <w:szCs w:val="22"/>
        </w:rPr>
        <w:t>z</w:t>
      </w:r>
      <w:r w:rsidRPr="00C66720">
        <w:rPr>
          <w:b w:val="0"/>
          <w:bCs w:val="0"/>
          <w:sz w:val="22"/>
          <w:szCs w:val="22"/>
        </w:rPr>
        <w:t xml:space="preserve"> toho výnosy budúcich období </w:t>
      </w:r>
      <w:r w:rsidR="00235FB0" w:rsidRPr="00C66720">
        <w:rPr>
          <w:b w:val="0"/>
          <w:bCs w:val="0"/>
          <w:sz w:val="22"/>
          <w:szCs w:val="22"/>
        </w:rPr>
        <w:t>11</w:t>
      </w:r>
      <w:r w:rsidR="00A17B2D" w:rsidRPr="00C66720">
        <w:rPr>
          <w:b w:val="0"/>
          <w:bCs w:val="0"/>
          <w:sz w:val="22"/>
          <w:szCs w:val="22"/>
        </w:rPr>
        <w:t> 507 079</w:t>
      </w:r>
      <w:r w:rsidR="0015328A" w:rsidRPr="00C66720">
        <w:rPr>
          <w:b w:val="0"/>
          <w:bCs w:val="0"/>
          <w:sz w:val="22"/>
          <w:szCs w:val="22"/>
        </w:rPr>
        <w:t xml:space="preserve"> tis. eur </w:t>
      </w:r>
      <w:r w:rsidRPr="00C66720">
        <w:rPr>
          <w:b w:val="0"/>
          <w:bCs w:val="0"/>
          <w:sz w:val="22"/>
          <w:szCs w:val="22"/>
        </w:rPr>
        <w:t xml:space="preserve">a výdavky budúcich období </w:t>
      </w:r>
      <w:r w:rsidR="00A17B2D" w:rsidRPr="00C66720">
        <w:rPr>
          <w:b w:val="0"/>
          <w:bCs w:val="0"/>
          <w:sz w:val="22"/>
          <w:szCs w:val="22"/>
        </w:rPr>
        <w:t>30 130</w:t>
      </w:r>
      <w:r w:rsidR="001949FA" w:rsidRPr="00C66720">
        <w:rPr>
          <w:b w:val="0"/>
          <w:bCs w:val="0"/>
          <w:sz w:val="22"/>
          <w:szCs w:val="22"/>
        </w:rPr>
        <w:t xml:space="preserve"> </w:t>
      </w:r>
      <w:r w:rsidR="00973D6E" w:rsidRPr="00C66720">
        <w:rPr>
          <w:b w:val="0"/>
          <w:bCs w:val="0"/>
          <w:sz w:val="22"/>
          <w:szCs w:val="22"/>
        </w:rPr>
        <w:t>tis.</w:t>
      </w:r>
      <w:r w:rsidRPr="00C66720">
        <w:rPr>
          <w:b w:val="0"/>
          <w:bCs w:val="0"/>
          <w:sz w:val="22"/>
          <w:szCs w:val="22"/>
        </w:rPr>
        <w:t xml:space="preserve"> eur.</w:t>
      </w:r>
      <w:r w:rsidR="00D670BF" w:rsidRPr="00C66720">
        <w:rPr>
          <w:b w:val="0"/>
          <w:bCs w:val="0"/>
          <w:sz w:val="22"/>
          <w:szCs w:val="22"/>
        </w:rPr>
        <w:t xml:space="preserve"> Medziročne sa </w:t>
      </w:r>
      <w:r w:rsidR="005F0011" w:rsidRPr="00C66720">
        <w:rPr>
          <w:b w:val="0"/>
          <w:bCs w:val="0"/>
          <w:sz w:val="22"/>
          <w:szCs w:val="22"/>
        </w:rPr>
        <w:t xml:space="preserve">celková </w:t>
      </w:r>
      <w:r w:rsidR="00D670BF" w:rsidRPr="00C66720">
        <w:rPr>
          <w:b w:val="0"/>
          <w:bCs w:val="0"/>
          <w:sz w:val="22"/>
          <w:szCs w:val="22"/>
        </w:rPr>
        <w:t xml:space="preserve">hodnota časového rozlíšenia pasív </w:t>
      </w:r>
      <w:r w:rsidR="00272BF7" w:rsidRPr="00C66720">
        <w:rPr>
          <w:b w:val="0"/>
          <w:bCs w:val="0"/>
          <w:sz w:val="22"/>
          <w:szCs w:val="22"/>
        </w:rPr>
        <w:t>zvýšila</w:t>
      </w:r>
      <w:r w:rsidR="00D670BF" w:rsidRPr="00C66720">
        <w:rPr>
          <w:b w:val="0"/>
          <w:bCs w:val="0"/>
          <w:sz w:val="22"/>
          <w:szCs w:val="22"/>
        </w:rPr>
        <w:t xml:space="preserve"> o</w:t>
      </w:r>
      <w:r w:rsidR="00E01472" w:rsidRPr="00C66720">
        <w:rPr>
          <w:b w:val="0"/>
          <w:bCs w:val="0"/>
          <w:sz w:val="22"/>
          <w:szCs w:val="22"/>
        </w:rPr>
        <w:t> 318 677</w:t>
      </w:r>
      <w:r w:rsidR="00D670BF" w:rsidRPr="00C66720">
        <w:rPr>
          <w:b w:val="0"/>
          <w:bCs w:val="0"/>
          <w:sz w:val="22"/>
          <w:szCs w:val="22"/>
        </w:rPr>
        <w:t xml:space="preserve"> tis. eur</w:t>
      </w:r>
      <w:r w:rsidR="0085685F" w:rsidRPr="00C66720">
        <w:rPr>
          <w:b w:val="0"/>
          <w:bCs w:val="0"/>
          <w:sz w:val="22"/>
          <w:szCs w:val="22"/>
        </w:rPr>
        <w:t>, a to hlavne výnosy budú</w:t>
      </w:r>
      <w:r w:rsidR="00E01472" w:rsidRPr="00C66720">
        <w:rPr>
          <w:b w:val="0"/>
          <w:bCs w:val="0"/>
          <w:sz w:val="22"/>
          <w:szCs w:val="22"/>
        </w:rPr>
        <w:t>cich období</w:t>
      </w:r>
      <w:r w:rsidR="001844DF" w:rsidRPr="00C66720">
        <w:rPr>
          <w:b w:val="0"/>
          <w:bCs w:val="0"/>
          <w:sz w:val="22"/>
          <w:szCs w:val="22"/>
        </w:rPr>
        <w:t xml:space="preserve"> </w:t>
      </w:r>
      <w:r w:rsidR="00E34324" w:rsidRPr="00C66720">
        <w:rPr>
          <w:b w:val="0"/>
          <w:bCs w:val="0"/>
          <w:sz w:val="22"/>
          <w:szCs w:val="22"/>
        </w:rPr>
        <w:br/>
      </w:r>
      <w:r w:rsidR="001844DF" w:rsidRPr="00C66720">
        <w:rPr>
          <w:b w:val="0"/>
          <w:bCs w:val="0"/>
          <w:sz w:val="22"/>
          <w:szCs w:val="22"/>
        </w:rPr>
        <w:t>o</w:t>
      </w:r>
      <w:r w:rsidR="00E34324" w:rsidRPr="00C66720">
        <w:rPr>
          <w:b w:val="0"/>
          <w:bCs w:val="0"/>
          <w:sz w:val="22"/>
          <w:szCs w:val="22"/>
        </w:rPr>
        <w:t> </w:t>
      </w:r>
      <w:r w:rsidR="00E01472" w:rsidRPr="00C66720">
        <w:rPr>
          <w:b w:val="0"/>
          <w:bCs w:val="0"/>
          <w:sz w:val="22"/>
          <w:szCs w:val="22"/>
        </w:rPr>
        <w:t>313 297</w:t>
      </w:r>
      <w:r w:rsidR="00491CF7" w:rsidRPr="00C66720">
        <w:rPr>
          <w:b w:val="0"/>
          <w:bCs w:val="0"/>
          <w:sz w:val="22"/>
          <w:szCs w:val="22"/>
        </w:rPr>
        <w:t xml:space="preserve"> tis. eur. </w:t>
      </w:r>
    </w:p>
    <w:p w14:paraId="36B96978" w14:textId="75AAD492" w:rsidR="00A3779B" w:rsidRPr="00C66720" w:rsidRDefault="00195D88" w:rsidP="00821585">
      <w:pPr>
        <w:pStyle w:val="Pismenka"/>
        <w:tabs>
          <w:tab w:val="clear" w:pos="426"/>
        </w:tabs>
        <w:spacing w:after="120"/>
        <w:ind w:left="0" w:firstLine="0"/>
        <w:rPr>
          <w:b w:val="0"/>
          <w:bCs w:val="0"/>
          <w:sz w:val="22"/>
          <w:szCs w:val="22"/>
        </w:rPr>
      </w:pPr>
      <w:r w:rsidRPr="00C66720">
        <w:rPr>
          <w:b w:val="0"/>
          <w:bCs w:val="0"/>
          <w:sz w:val="22"/>
          <w:szCs w:val="22"/>
        </w:rPr>
        <w:t>Viac ako</w:t>
      </w:r>
      <w:r w:rsidR="001B0F0F" w:rsidRPr="00C66720">
        <w:rPr>
          <w:b w:val="0"/>
          <w:bCs w:val="0"/>
          <w:sz w:val="22"/>
          <w:szCs w:val="22"/>
        </w:rPr>
        <w:t xml:space="preserve"> 50</w:t>
      </w:r>
      <w:r w:rsidR="00234B31" w:rsidRPr="00C66720">
        <w:rPr>
          <w:b w:val="0"/>
          <w:bCs w:val="0"/>
          <w:sz w:val="22"/>
          <w:szCs w:val="22"/>
        </w:rPr>
        <w:t xml:space="preserve"> %</w:t>
      </w:r>
      <w:r w:rsidR="00A3779B" w:rsidRPr="00C66720">
        <w:rPr>
          <w:b w:val="0"/>
          <w:bCs w:val="0"/>
          <w:sz w:val="22"/>
          <w:szCs w:val="22"/>
        </w:rPr>
        <w:t xml:space="preserve"> </w:t>
      </w:r>
      <w:r w:rsidR="00A3779B" w:rsidRPr="00C66720">
        <w:rPr>
          <w:b w:val="0"/>
          <w:bCs w:val="0"/>
          <w:sz w:val="22"/>
          <w:szCs w:val="22"/>
          <w:u w:val="single"/>
        </w:rPr>
        <w:t>časovo rozlíšených výnosov</w:t>
      </w:r>
      <w:r w:rsidR="00A3779B" w:rsidRPr="00C66720">
        <w:rPr>
          <w:b w:val="0"/>
          <w:bCs w:val="0"/>
          <w:sz w:val="22"/>
          <w:szCs w:val="22"/>
        </w:rPr>
        <w:t xml:space="preserve"> vykazu</w:t>
      </w:r>
      <w:r w:rsidR="00C53807" w:rsidRPr="00C66720">
        <w:rPr>
          <w:b w:val="0"/>
          <w:bCs w:val="0"/>
          <w:sz w:val="22"/>
          <w:szCs w:val="22"/>
        </w:rPr>
        <w:t>jú subjekty územnej samosprávy</w:t>
      </w:r>
      <w:r w:rsidR="00354652" w:rsidRPr="00C66720">
        <w:rPr>
          <w:b w:val="0"/>
          <w:bCs w:val="0"/>
          <w:sz w:val="22"/>
          <w:szCs w:val="22"/>
        </w:rPr>
        <w:t xml:space="preserve"> v celkovej sume</w:t>
      </w:r>
      <w:r w:rsidR="00C53807" w:rsidRPr="00C66720">
        <w:rPr>
          <w:b w:val="0"/>
          <w:bCs w:val="0"/>
          <w:sz w:val="22"/>
          <w:szCs w:val="22"/>
        </w:rPr>
        <w:br/>
      </w:r>
      <w:r w:rsidR="005B1416" w:rsidRPr="00C66720">
        <w:rPr>
          <w:b w:val="0"/>
          <w:bCs w:val="0"/>
          <w:sz w:val="22"/>
          <w:szCs w:val="22"/>
        </w:rPr>
        <w:t>5</w:t>
      </w:r>
      <w:r w:rsidRPr="00C66720">
        <w:rPr>
          <w:b w:val="0"/>
          <w:bCs w:val="0"/>
          <w:sz w:val="22"/>
          <w:szCs w:val="22"/>
        </w:rPr>
        <w:t> 774 219</w:t>
      </w:r>
      <w:r w:rsidR="00A3779B" w:rsidRPr="00C66720">
        <w:rPr>
          <w:b w:val="0"/>
          <w:bCs w:val="0"/>
          <w:sz w:val="22"/>
          <w:szCs w:val="22"/>
        </w:rPr>
        <w:t xml:space="preserve"> tis. eur, najmä ako prijaté časovo rozlíšené bežné a kapitálové transfery zo štátneho rozpočtu a od iných subjektov, ktoré v súvislosti s</w:t>
      </w:r>
      <w:r w:rsidR="001D7C16" w:rsidRPr="00C66720">
        <w:rPr>
          <w:b w:val="0"/>
          <w:bCs w:val="0"/>
          <w:sz w:val="22"/>
          <w:szCs w:val="22"/>
        </w:rPr>
        <w:t> </w:t>
      </w:r>
      <w:r w:rsidR="00A3779B" w:rsidRPr="00C66720">
        <w:rPr>
          <w:b w:val="0"/>
          <w:bCs w:val="0"/>
          <w:sz w:val="22"/>
          <w:szCs w:val="22"/>
        </w:rPr>
        <w:t>nákladmi</w:t>
      </w:r>
      <w:r w:rsidR="005D6261" w:rsidRPr="00C66720">
        <w:rPr>
          <w:b w:val="0"/>
          <w:bCs w:val="0"/>
          <w:sz w:val="22"/>
          <w:szCs w:val="22"/>
        </w:rPr>
        <w:t xml:space="preserve"> (odpismi k majetku, spotrebou zásob, </w:t>
      </w:r>
      <w:r w:rsidR="005D6261" w:rsidRPr="00C66720">
        <w:rPr>
          <w:b w:val="0"/>
          <w:bCs w:val="0"/>
          <w:sz w:val="22"/>
          <w:szCs w:val="22"/>
        </w:rPr>
        <w:lastRenderedPageBreak/>
        <w:t>prevádzkovými</w:t>
      </w:r>
      <w:r w:rsidR="001D7C16" w:rsidRPr="00C66720">
        <w:rPr>
          <w:b w:val="0"/>
          <w:bCs w:val="0"/>
          <w:sz w:val="22"/>
          <w:szCs w:val="22"/>
        </w:rPr>
        <w:t xml:space="preserve"> náklad</w:t>
      </w:r>
      <w:r w:rsidR="005D6261" w:rsidRPr="00C66720">
        <w:rPr>
          <w:b w:val="0"/>
          <w:bCs w:val="0"/>
          <w:sz w:val="22"/>
          <w:szCs w:val="22"/>
        </w:rPr>
        <w:t>mi</w:t>
      </w:r>
      <w:r w:rsidR="001D7C16" w:rsidRPr="00C66720">
        <w:rPr>
          <w:b w:val="0"/>
          <w:bCs w:val="0"/>
          <w:sz w:val="22"/>
          <w:szCs w:val="22"/>
        </w:rPr>
        <w:t>)</w:t>
      </w:r>
      <w:r w:rsidR="00A3779B" w:rsidRPr="00C66720">
        <w:rPr>
          <w:b w:val="0"/>
          <w:bCs w:val="0"/>
          <w:sz w:val="22"/>
          <w:szCs w:val="22"/>
        </w:rPr>
        <w:t xml:space="preserve"> postupne zúčtovávajú do výnosov daného obdobia</w:t>
      </w:r>
      <w:r w:rsidR="007A5695" w:rsidRPr="00C66720">
        <w:rPr>
          <w:b w:val="0"/>
          <w:bCs w:val="0"/>
          <w:sz w:val="22"/>
          <w:szCs w:val="22"/>
        </w:rPr>
        <w:t>.</w:t>
      </w:r>
      <w:r w:rsidR="00C53807" w:rsidRPr="00C66720">
        <w:rPr>
          <w:b w:val="0"/>
          <w:bCs w:val="0"/>
          <w:sz w:val="22"/>
          <w:szCs w:val="22"/>
        </w:rPr>
        <w:t xml:space="preserve"> </w:t>
      </w:r>
      <w:r w:rsidR="003A7366" w:rsidRPr="00C66720">
        <w:rPr>
          <w:b w:val="0"/>
          <w:bCs w:val="0"/>
          <w:sz w:val="22"/>
          <w:szCs w:val="22"/>
        </w:rPr>
        <w:t>Medzir</w:t>
      </w:r>
      <w:r w:rsidR="005D6261" w:rsidRPr="00C66720">
        <w:rPr>
          <w:b w:val="0"/>
          <w:bCs w:val="0"/>
          <w:sz w:val="22"/>
          <w:szCs w:val="22"/>
        </w:rPr>
        <w:t>očne územ</w:t>
      </w:r>
      <w:r w:rsidR="005B1416" w:rsidRPr="00C66720">
        <w:rPr>
          <w:b w:val="0"/>
          <w:bCs w:val="0"/>
          <w:sz w:val="22"/>
          <w:szCs w:val="22"/>
        </w:rPr>
        <w:t>ná samospráva zaznamenal</w:t>
      </w:r>
      <w:r w:rsidR="001039B8" w:rsidRPr="00C66720">
        <w:rPr>
          <w:b w:val="0"/>
          <w:bCs w:val="0"/>
          <w:sz w:val="22"/>
          <w:szCs w:val="22"/>
        </w:rPr>
        <w:t>a</w:t>
      </w:r>
      <w:r w:rsidR="005B1416" w:rsidRPr="00C66720">
        <w:rPr>
          <w:b w:val="0"/>
          <w:bCs w:val="0"/>
          <w:sz w:val="22"/>
          <w:szCs w:val="22"/>
        </w:rPr>
        <w:t xml:space="preserve"> prírastok</w:t>
      </w:r>
      <w:r w:rsidR="005D6261" w:rsidRPr="00C66720">
        <w:rPr>
          <w:b w:val="0"/>
          <w:bCs w:val="0"/>
          <w:sz w:val="22"/>
          <w:szCs w:val="22"/>
        </w:rPr>
        <w:t xml:space="preserve"> </w:t>
      </w:r>
      <w:r w:rsidR="003A7366" w:rsidRPr="00C66720">
        <w:rPr>
          <w:b w:val="0"/>
          <w:bCs w:val="0"/>
          <w:sz w:val="22"/>
          <w:szCs w:val="22"/>
        </w:rPr>
        <w:t xml:space="preserve">v hodnote </w:t>
      </w:r>
      <w:r w:rsidR="007414B2" w:rsidRPr="00C66720">
        <w:rPr>
          <w:b w:val="0"/>
          <w:bCs w:val="0"/>
          <w:sz w:val="22"/>
          <w:szCs w:val="22"/>
        </w:rPr>
        <w:t>216 938</w:t>
      </w:r>
      <w:r w:rsidR="0022551C" w:rsidRPr="00C66720">
        <w:rPr>
          <w:b w:val="0"/>
          <w:bCs w:val="0"/>
          <w:sz w:val="22"/>
          <w:szCs w:val="22"/>
        </w:rPr>
        <w:t xml:space="preserve"> tis. eur</w:t>
      </w:r>
      <w:r w:rsidR="009005CD" w:rsidRPr="00C66720">
        <w:rPr>
          <w:b w:val="0"/>
          <w:bCs w:val="0"/>
          <w:sz w:val="22"/>
          <w:szCs w:val="22"/>
        </w:rPr>
        <w:t xml:space="preserve">. </w:t>
      </w:r>
      <w:r w:rsidR="00DF5DEC" w:rsidRPr="00C66720">
        <w:rPr>
          <w:b w:val="0"/>
          <w:bCs w:val="0"/>
          <w:sz w:val="22"/>
          <w:szCs w:val="22"/>
        </w:rPr>
        <w:t xml:space="preserve">Uvedené transakcie nie sú </w:t>
      </w:r>
      <w:r w:rsidR="008763DB" w:rsidRPr="00C66720">
        <w:rPr>
          <w:b w:val="0"/>
          <w:bCs w:val="0"/>
          <w:sz w:val="22"/>
          <w:szCs w:val="22"/>
        </w:rPr>
        <w:t xml:space="preserve">zatiaľ </w:t>
      </w:r>
      <w:r w:rsidR="00DF5DEC" w:rsidRPr="00C66720">
        <w:rPr>
          <w:b w:val="0"/>
          <w:bCs w:val="0"/>
          <w:sz w:val="22"/>
          <w:szCs w:val="22"/>
        </w:rPr>
        <w:t xml:space="preserve">predmetom eliminácií </w:t>
      </w:r>
      <w:r w:rsidR="008315CC" w:rsidRPr="00C66720">
        <w:rPr>
          <w:b w:val="0"/>
          <w:bCs w:val="0"/>
          <w:sz w:val="22"/>
          <w:szCs w:val="22"/>
        </w:rPr>
        <w:t xml:space="preserve">v plnej výške </w:t>
      </w:r>
      <w:r w:rsidR="00DF5DEC" w:rsidRPr="00C66720">
        <w:rPr>
          <w:b w:val="0"/>
          <w:bCs w:val="0"/>
          <w:sz w:val="22"/>
          <w:szCs w:val="22"/>
        </w:rPr>
        <w:t>z dôvodu obtiažnosti</w:t>
      </w:r>
      <w:r w:rsidR="008315CC" w:rsidRPr="00C66720">
        <w:rPr>
          <w:b w:val="0"/>
          <w:bCs w:val="0"/>
          <w:sz w:val="22"/>
          <w:szCs w:val="22"/>
        </w:rPr>
        <w:t xml:space="preserve"> procesu konsolidácie.</w:t>
      </w:r>
    </w:p>
    <w:p w14:paraId="020FFC89" w14:textId="6F2891B4" w:rsidR="0085471D" w:rsidRPr="00C66720" w:rsidRDefault="00A3779B" w:rsidP="00821585">
      <w:pPr>
        <w:pStyle w:val="Pismenka"/>
        <w:tabs>
          <w:tab w:val="clear" w:pos="426"/>
        </w:tabs>
        <w:spacing w:after="120"/>
        <w:ind w:left="0" w:firstLine="0"/>
        <w:rPr>
          <w:b w:val="0"/>
          <w:bCs w:val="0"/>
          <w:color w:val="FF0000"/>
          <w:sz w:val="22"/>
          <w:szCs w:val="22"/>
          <w:highlight w:val="yellow"/>
        </w:rPr>
      </w:pPr>
      <w:r w:rsidRPr="00C66720">
        <w:rPr>
          <w:b w:val="0"/>
          <w:bCs w:val="0"/>
          <w:sz w:val="22"/>
          <w:szCs w:val="22"/>
          <w:u w:val="single"/>
        </w:rPr>
        <w:t>Ústredná správa vykazuje časovo rozlíšené výnosy</w:t>
      </w:r>
      <w:r w:rsidRPr="00C66720">
        <w:rPr>
          <w:b w:val="0"/>
          <w:bCs w:val="0"/>
          <w:sz w:val="22"/>
          <w:szCs w:val="22"/>
        </w:rPr>
        <w:t xml:space="preserve"> v hodnote </w:t>
      </w:r>
      <w:r w:rsidR="00850341" w:rsidRPr="00C66720">
        <w:rPr>
          <w:b w:val="0"/>
          <w:bCs w:val="0"/>
          <w:sz w:val="22"/>
          <w:szCs w:val="22"/>
        </w:rPr>
        <w:t>4 847 524</w:t>
      </w:r>
      <w:r w:rsidR="00F77CAD" w:rsidRPr="00C66720">
        <w:rPr>
          <w:b w:val="0"/>
          <w:bCs w:val="0"/>
          <w:sz w:val="22"/>
          <w:szCs w:val="22"/>
        </w:rPr>
        <w:t xml:space="preserve"> </w:t>
      </w:r>
      <w:r w:rsidRPr="00C66720">
        <w:rPr>
          <w:b w:val="0"/>
          <w:bCs w:val="0"/>
          <w:sz w:val="22"/>
          <w:szCs w:val="22"/>
        </w:rPr>
        <w:t>tis. eur</w:t>
      </w:r>
      <w:r w:rsidR="00FE0DF1" w:rsidRPr="00C66720">
        <w:rPr>
          <w:b w:val="0"/>
          <w:bCs w:val="0"/>
          <w:sz w:val="22"/>
          <w:szCs w:val="22"/>
        </w:rPr>
        <w:t xml:space="preserve">, a medziročne sú </w:t>
      </w:r>
      <w:r w:rsidR="009005CD" w:rsidRPr="00C66720">
        <w:rPr>
          <w:b w:val="0"/>
          <w:bCs w:val="0"/>
          <w:sz w:val="22"/>
          <w:szCs w:val="22"/>
        </w:rPr>
        <w:t>vyššie</w:t>
      </w:r>
      <w:r w:rsidR="00FE0DF1" w:rsidRPr="00C66720">
        <w:rPr>
          <w:b w:val="0"/>
          <w:bCs w:val="0"/>
          <w:sz w:val="22"/>
          <w:szCs w:val="22"/>
        </w:rPr>
        <w:t xml:space="preserve"> o</w:t>
      </w:r>
      <w:r w:rsidR="00850341" w:rsidRPr="00C66720">
        <w:rPr>
          <w:b w:val="0"/>
          <w:bCs w:val="0"/>
          <w:sz w:val="22"/>
          <w:szCs w:val="22"/>
        </w:rPr>
        <w:t> 69 799</w:t>
      </w:r>
      <w:r w:rsidR="00235DBE" w:rsidRPr="00C66720">
        <w:rPr>
          <w:b w:val="0"/>
          <w:bCs w:val="0"/>
          <w:sz w:val="22"/>
          <w:szCs w:val="22"/>
        </w:rPr>
        <w:t xml:space="preserve"> tis. eur</w:t>
      </w:r>
      <w:r w:rsidR="00FE0DF1" w:rsidRPr="00C66720">
        <w:rPr>
          <w:b w:val="0"/>
          <w:bCs w:val="0"/>
          <w:sz w:val="22"/>
          <w:szCs w:val="22"/>
        </w:rPr>
        <w:t>.</w:t>
      </w:r>
      <w:r w:rsidR="00571352" w:rsidRPr="00C66720">
        <w:rPr>
          <w:b w:val="0"/>
          <w:bCs w:val="0"/>
          <w:sz w:val="22"/>
          <w:szCs w:val="22"/>
        </w:rPr>
        <w:t xml:space="preserve"> V</w:t>
      </w:r>
      <w:r w:rsidRPr="00C66720">
        <w:rPr>
          <w:b w:val="0"/>
          <w:bCs w:val="0"/>
          <w:sz w:val="22"/>
          <w:szCs w:val="22"/>
        </w:rPr>
        <w:t> rámci transferov vykazuje najvyššiu hodnotu Ministerstvo dopravy</w:t>
      </w:r>
      <w:r w:rsidR="0008696A" w:rsidRPr="00C66720">
        <w:rPr>
          <w:b w:val="0"/>
          <w:bCs w:val="0"/>
          <w:sz w:val="22"/>
          <w:szCs w:val="22"/>
        </w:rPr>
        <w:t xml:space="preserve"> </w:t>
      </w:r>
      <w:r w:rsidRPr="00C66720">
        <w:rPr>
          <w:b w:val="0"/>
          <w:bCs w:val="0"/>
          <w:sz w:val="22"/>
          <w:szCs w:val="22"/>
        </w:rPr>
        <w:t>SR za PPP projekt</w:t>
      </w:r>
      <w:r w:rsidR="00A346B9" w:rsidRPr="00C66720">
        <w:rPr>
          <w:b w:val="0"/>
          <w:bCs w:val="0"/>
          <w:sz w:val="22"/>
          <w:szCs w:val="22"/>
        </w:rPr>
        <w:t>y rýchlostných ciest</w:t>
      </w:r>
      <w:r w:rsidR="00886A01" w:rsidRPr="00C66720">
        <w:rPr>
          <w:b w:val="0"/>
          <w:bCs w:val="0"/>
          <w:sz w:val="22"/>
          <w:szCs w:val="22"/>
        </w:rPr>
        <w:t xml:space="preserve"> R1</w:t>
      </w:r>
      <w:r w:rsidR="00A346B9" w:rsidRPr="00C66720">
        <w:rPr>
          <w:b w:val="0"/>
          <w:bCs w:val="0"/>
          <w:sz w:val="22"/>
          <w:szCs w:val="22"/>
        </w:rPr>
        <w:t xml:space="preserve"> a R7 a diaľnice D4</w:t>
      </w:r>
      <w:r w:rsidRPr="00C66720">
        <w:rPr>
          <w:b w:val="0"/>
          <w:bCs w:val="0"/>
          <w:sz w:val="22"/>
          <w:szCs w:val="22"/>
        </w:rPr>
        <w:t>, ktor</w:t>
      </w:r>
      <w:r w:rsidR="00A346B9" w:rsidRPr="00C66720">
        <w:rPr>
          <w:b w:val="0"/>
          <w:bCs w:val="0"/>
          <w:sz w:val="22"/>
          <w:szCs w:val="22"/>
        </w:rPr>
        <w:t>é</w:t>
      </w:r>
      <w:r w:rsidRPr="00C66720">
        <w:rPr>
          <w:b w:val="0"/>
          <w:bCs w:val="0"/>
          <w:sz w:val="22"/>
          <w:szCs w:val="22"/>
        </w:rPr>
        <w:t xml:space="preserve"> </w:t>
      </w:r>
      <w:r w:rsidR="00A346B9" w:rsidRPr="00C66720">
        <w:rPr>
          <w:b w:val="0"/>
          <w:bCs w:val="0"/>
          <w:sz w:val="22"/>
          <w:szCs w:val="22"/>
        </w:rPr>
        <w:t>sú</w:t>
      </w:r>
      <w:r w:rsidRPr="00C66720">
        <w:rPr>
          <w:b w:val="0"/>
          <w:bCs w:val="0"/>
          <w:sz w:val="22"/>
          <w:szCs w:val="22"/>
        </w:rPr>
        <w:t xml:space="preserve"> na strane pasív časovo rozlíšen</w:t>
      </w:r>
      <w:r w:rsidR="00A346B9" w:rsidRPr="00C66720">
        <w:rPr>
          <w:b w:val="0"/>
          <w:bCs w:val="0"/>
          <w:sz w:val="22"/>
          <w:szCs w:val="22"/>
        </w:rPr>
        <w:t>é</w:t>
      </w:r>
      <w:r w:rsidR="00EF2867" w:rsidRPr="00C66720">
        <w:rPr>
          <w:b w:val="0"/>
          <w:bCs w:val="0"/>
          <w:sz w:val="22"/>
          <w:szCs w:val="22"/>
        </w:rPr>
        <w:t xml:space="preserve"> v</w:t>
      </w:r>
      <w:r w:rsidR="00E8513B" w:rsidRPr="00C66720">
        <w:rPr>
          <w:b w:val="0"/>
          <w:bCs w:val="0"/>
          <w:sz w:val="22"/>
          <w:szCs w:val="22"/>
        </w:rPr>
        <w:t> </w:t>
      </w:r>
      <w:r w:rsidR="00EF2867" w:rsidRPr="00C66720">
        <w:rPr>
          <w:b w:val="0"/>
          <w:bCs w:val="0"/>
          <w:sz w:val="22"/>
          <w:szCs w:val="22"/>
        </w:rPr>
        <w:t>konsolidovanej</w:t>
      </w:r>
      <w:r w:rsidRPr="00C66720">
        <w:rPr>
          <w:b w:val="0"/>
          <w:bCs w:val="0"/>
          <w:sz w:val="22"/>
          <w:szCs w:val="22"/>
        </w:rPr>
        <w:t xml:space="preserve"> výške </w:t>
      </w:r>
      <w:r w:rsidR="00B616F7" w:rsidRPr="00C66720">
        <w:rPr>
          <w:b w:val="0"/>
          <w:bCs w:val="0"/>
          <w:sz w:val="22"/>
          <w:szCs w:val="22"/>
        </w:rPr>
        <w:t>1 722 237</w:t>
      </w:r>
      <w:r w:rsidR="00F61664" w:rsidRPr="00C66720">
        <w:rPr>
          <w:b w:val="0"/>
          <w:bCs w:val="0"/>
          <w:sz w:val="22"/>
          <w:szCs w:val="22"/>
        </w:rPr>
        <w:t xml:space="preserve"> </w:t>
      </w:r>
      <w:r w:rsidR="00A346B9" w:rsidRPr="00C66720">
        <w:rPr>
          <w:b w:val="0"/>
          <w:bCs w:val="0"/>
          <w:sz w:val="22"/>
          <w:szCs w:val="22"/>
        </w:rPr>
        <w:t>tis. eur a postupne zúčtovávané</w:t>
      </w:r>
      <w:r w:rsidR="000408BA" w:rsidRPr="00C66720">
        <w:rPr>
          <w:b w:val="0"/>
          <w:bCs w:val="0"/>
          <w:sz w:val="22"/>
          <w:szCs w:val="22"/>
        </w:rPr>
        <w:t xml:space="preserve"> vo výške oprávok </w:t>
      </w:r>
      <w:r w:rsidR="00EF2867" w:rsidRPr="00C66720">
        <w:rPr>
          <w:b w:val="0"/>
          <w:bCs w:val="0"/>
          <w:sz w:val="22"/>
          <w:szCs w:val="22"/>
        </w:rPr>
        <w:t>do výnosov bežného obdobia</w:t>
      </w:r>
      <w:r w:rsidR="0008696A" w:rsidRPr="00C66720">
        <w:rPr>
          <w:b w:val="0"/>
          <w:bCs w:val="0"/>
          <w:sz w:val="22"/>
          <w:szCs w:val="22"/>
        </w:rPr>
        <w:t>.</w:t>
      </w:r>
      <w:r w:rsidR="00D1145E" w:rsidRPr="00C66720">
        <w:rPr>
          <w:b w:val="0"/>
          <w:bCs w:val="0"/>
          <w:sz w:val="22"/>
          <w:szCs w:val="22"/>
        </w:rPr>
        <w:t xml:space="preserve"> </w:t>
      </w:r>
      <w:r w:rsidR="00B616F7" w:rsidRPr="00C66720">
        <w:rPr>
          <w:b w:val="0"/>
          <w:bCs w:val="0"/>
          <w:sz w:val="22"/>
          <w:szCs w:val="22"/>
        </w:rPr>
        <w:t>Úbytok</w:t>
      </w:r>
      <w:r w:rsidR="00D1145E" w:rsidRPr="00C66720">
        <w:rPr>
          <w:b w:val="0"/>
          <w:bCs w:val="0"/>
          <w:sz w:val="22"/>
          <w:szCs w:val="22"/>
        </w:rPr>
        <w:t xml:space="preserve"> časového rozlíšenia u Ministerstva dopravy SR bol </w:t>
      </w:r>
      <w:r w:rsidR="00B616F7" w:rsidRPr="00C66720">
        <w:rPr>
          <w:b w:val="0"/>
          <w:bCs w:val="0"/>
          <w:sz w:val="22"/>
          <w:szCs w:val="22"/>
        </w:rPr>
        <w:t>83 427</w:t>
      </w:r>
      <w:r w:rsidR="00D1145E" w:rsidRPr="00C66720">
        <w:rPr>
          <w:b w:val="0"/>
          <w:bCs w:val="0"/>
          <w:sz w:val="22"/>
          <w:szCs w:val="22"/>
        </w:rPr>
        <w:t xml:space="preserve"> tis. eur</w:t>
      </w:r>
      <w:r w:rsidR="003957F9" w:rsidRPr="00C66720">
        <w:rPr>
          <w:b w:val="0"/>
          <w:bCs w:val="0"/>
          <w:sz w:val="22"/>
          <w:szCs w:val="22"/>
        </w:rPr>
        <w:t xml:space="preserve"> a predstavuje </w:t>
      </w:r>
      <w:r w:rsidR="004F67A2" w:rsidRPr="00C66720">
        <w:rPr>
          <w:b w:val="0"/>
          <w:bCs w:val="0"/>
          <w:sz w:val="22"/>
          <w:szCs w:val="22"/>
        </w:rPr>
        <w:t>pokles zostatkovej ceny</w:t>
      </w:r>
      <w:r w:rsidR="003957F9" w:rsidRPr="00C66720">
        <w:rPr>
          <w:b w:val="0"/>
          <w:bCs w:val="0"/>
          <w:sz w:val="22"/>
          <w:szCs w:val="22"/>
        </w:rPr>
        <w:t xml:space="preserve"> majetku obstarávaného formou koncesie</w:t>
      </w:r>
      <w:r w:rsidR="004F67A2" w:rsidRPr="00C66720">
        <w:rPr>
          <w:b w:val="0"/>
          <w:bCs w:val="0"/>
          <w:sz w:val="22"/>
          <w:szCs w:val="22"/>
        </w:rPr>
        <w:t xml:space="preserve"> v súvislosti s odpismi. </w:t>
      </w:r>
    </w:p>
    <w:p w14:paraId="30802E86" w14:textId="27F62434" w:rsidR="001C23AD" w:rsidRPr="00C66720" w:rsidRDefault="00A3779B" w:rsidP="00821585">
      <w:pPr>
        <w:pStyle w:val="Pismenka"/>
        <w:tabs>
          <w:tab w:val="clear" w:pos="426"/>
        </w:tabs>
        <w:spacing w:after="120"/>
        <w:ind w:left="0" w:firstLine="0"/>
        <w:rPr>
          <w:b w:val="0"/>
          <w:bCs w:val="0"/>
          <w:sz w:val="22"/>
          <w:szCs w:val="22"/>
        </w:rPr>
      </w:pPr>
      <w:r w:rsidRPr="00C66720">
        <w:rPr>
          <w:b w:val="0"/>
          <w:bCs w:val="0"/>
          <w:sz w:val="22"/>
          <w:szCs w:val="22"/>
        </w:rPr>
        <w:t xml:space="preserve">Ministerstvo financií SR vykazuje v rámci výnosov budúcich období </w:t>
      </w:r>
      <w:r w:rsidR="001C23AD" w:rsidRPr="00C66720">
        <w:rPr>
          <w:b w:val="0"/>
          <w:bCs w:val="0"/>
          <w:sz w:val="22"/>
          <w:szCs w:val="22"/>
        </w:rPr>
        <w:t xml:space="preserve">prémiu z predaných cenných papierov (štátnych dlhopisov) vo výške </w:t>
      </w:r>
      <w:r w:rsidR="005E49B5" w:rsidRPr="00C66720">
        <w:rPr>
          <w:b w:val="0"/>
          <w:bCs w:val="0"/>
          <w:sz w:val="22"/>
          <w:szCs w:val="22"/>
        </w:rPr>
        <w:t>1 270 390 tis. eur (2021</w:t>
      </w:r>
      <w:r w:rsidR="001C23AD" w:rsidRPr="00C66720">
        <w:rPr>
          <w:b w:val="0"/>
          <w:bCs w:val="0"/>
          <w:sz w:val="22"/>
          <w:szCs w:val="22"/>
        </w:rPr>
        <w:t xml:space="preserve">: </w:t>
      </w:r>
      <w:r w:rsidR="005E49B5" w:rsidRPr="00C66720">
        <w:rPr>
          <w:b w:val="0"/>
          <w:bCs w:val="0"/>
          <w:sz w:val="22"/>
          <w:szCs w:val="22"/>
        </w:rPr>
        <w:t xml:space="preserve">1 404 001 </w:t>
      </w:r>
      <w:r w:rsidR="001C23AD" w:rsidRPr="00C66720">
        <w:rPr>
          <w:b w:val="0"/>
          <w:bCs w:val="0"/>
          <w:sz w:val="22"/>
          <w:szCs w:val="22"/>
        </w:rPr>
        <w:t>tis. eur) a prémiu z</w:t>
      </w:r>
      <w:r w:rsidR="005E49B5" w:rsidRPr="00C66720">
        <w:rPr>
          <w:b w:val="0"/>
          <w:bCs w:val="0"/>
          <w:sz w:val="22"/>
          <w:szCs w:val="22"/>
        </w:rPr>
        <w:t> </w:t>
      </w:r>
      <w:r w:rsidR="001C23AD" w:rsidRPr="00C66720">
        <w:rPr>
          <w:b w:val="0"/>
          <w:bCs w:val="0"/>
          <w:sz w:val="22"/>
          <w:szCs w:val="22"/>
        </w:rPr>
        <w:t>úveru</w:t>
      </w:r>
      <w:r w:rsidR="005E49B5" w:rsidRPr="00C66720">
        <w:rPr>
          <w:b w:val="0"/>
          <w:bCs w:val="0"/>
          <w:sz w:val="22"/>
          <w:szCs w:val="22"/>
        </w:rPr>
        <w:t xml:space="preserve"> SURE</w:t>
      </w:r>
      <w:r w:rsidR="001C23AD" w:rsidRPr="00C66720">
        <w:rPr>
          <w:b w:val="0"/>
          <w:bCs w:val="0"/>
          <w:sz w:val="22"/>
          <w:szCs w:val="22"/>
        </w:rPr>
        <w:t xml:space="preserve"> v sume </w:t>
      </w:r>
      <w:r w:rsidR="005E49B5" w:rsidRPr="00C66720">
        <w:rPr>
          <w:b w:val="0"/>
          <w:bCs w:val="0"/>
          <w:sz w:val="22"/>
          <w:szCs w:val="22"/>
        </w:rPr>
        <w:t>3 857</w:t>
      </w:r>
      <w:r w:rsidR="001C23AD" w:rsidRPr="00C66720">
        <w:rPr>
          <w:b w:val="0"/>
          <w:bCs w:val="0"/>
          <w:sz w:val="22"/>
          <w:szCs w:val="22"/>
        </w:rPr>
        <w:t xml:space="preserve"> tis. eur. </w:t>
      </w:r>
      <w:r w:rsidR="005E49B5" w:rsidRPr="00C66720">
        <w:rPr>
          <w:b w:val="0"/>
          <w:bCs w:val="0"/>
          <w:sz w:val="22"/>
          <w:szCs w:val="22"/>
        </w:rPr>
        <w:t>Pokles</w:t>
      </w:r>
      <w:r w:rsidR="001C23AD" w:rsidRPr="00C66720">
        <w:rPr>
          <w:b w:val="0"/>
          <w:bCs w:val="0"/>
          <w:sz w:val="22"/>
          <w:szCs w:val="22"/>
        </w:rPr>
        <w:t xml:space="preserve"> časovo rozlíšených výnosov bol spôsobený predajom takmer všetkých štátnych dlhopisov s prémiou.</w:t>
      </w:r>
    </w:p>
    <w:p w14:paraId="7A264449" w14:textId="7ECD3481" w:rsidR="003511FE" w:rsidRPr="00C66720" w:rsidRDefault="00B421B5" w:rsidP="00B421B5">
      <w:pPr>
        <w:pStyle w:val="Pismenka"/>
        <w:tabs>
          <w:tab w:val="clear" w:pos="426"/>
        </w:tabs>
        <w:spacing w:after="120"/>
        <w:ind w:left="0" w:firstLine="0"/>
        <w:rPr>
          <w:b w:val="0"/>
          <w:bCs w:val="0"/>
          <w:sz w:val="22"/>
          <w:szCs w:val="22"/>
        </w:rPr>
      </w:pPr>
      <w:r w:rsidRPr="00C66720">
        <w:rPr>
          <w:b w:val="0"/>
          <w:bCs w:val="0"/>
          <w:sz w:val="22"/>
          <w:szCs w:val="22"/>
        </w:rPr>
        <w:t xml:space="preserve">Slovenská elektrizačná a prenosová sústava, a.s. vykazuje časovo rozlíšené výnosy v celkovej sume </w:t>
      </w:r>
      <w:r w:rsidRPr="00C66720">
        <w:rPr>
          <w:b w:val="0"/>
          <w:bCs w:val="0"/>
          <w:sz w:val="22"/>
          <w:szCs w:val="22"/>
        </w:rPr>
        <w:br/>
        <w:t>389 142 tis. eur z dôvodu prijatých grantov napr. od banky EBOR (</w:t>
      </w:r>
      <w:r w:rsidR="003511FE" w:rsidRPr="00C66720">
        <w:rPr>
          <w:b w:val="0"/>
          <w:bCs w:val="0"/>
          <w:sz w:val="22"/>
          <w:szCs w:val="22"/>
        </w:rPr>
        <w:t>88 075</w:t>
      </w:r>
      <w:r w:rsidRPr="00C66720">
        <w:rPr>
          <w:b w:val="0"/>
          <w:bCs w:val="0"/>
          <w:sz w:val="22"/>
          <w:szCs w:val="22"/>
        </w:rPr>
        <w:t xml:space="preserve"> tis. eur) na rekonštrukciu </w:t>
      </w:r>
      <w:r w:rsidR="003511FE" w:rsidRPr="00C66720">
        <w:rPr>
          <w:b w:val="0"/>
          <w:bCs w:val="0"/>
          <w:sz w:val="22"/>
          <w:szCs w:val="22"/>
        </w:rPr>
        <w:t xml:space="preserve">a modernizáciu </w:t>
      </w:r>
      <w:r w:rsidRPr="00C66720">
        <w:rPr>
          <w:b w:val="0"/>
          <w:bCs w:val="0"/>
          <w:sz w:val="22"/>
          <w:szCs w:val="22"/>
        </w:rPr>
        <w:t xml:space="preserve">elektrickej siete </w:t>
      </w:r>
      <w:r w:rsidR="003511FE" w:rsidRPr="00C66720">
        <w:rPr>
          <w:b w:val="0"/>
          <w:bCs w:val="0"/>
          <w:sz w:val="22"/>
          <w:szCs w:val="22"/>
        </w:rPr>
        <w:t>a časovo rozlíšené výnosy z regulovaných činností, ktoré spoločnosti nepatrili v roku 2022. Najvyššiu hodnotu predstavuje grant Bystričany (51 495 tis. eur), grant Lemešany (28 671 tis. eur) a grant Križovany (7 909 tis. eur). Spoločnosť sa rozhodla aj pre nákupy na burze s elektrinou, pričom cieľom týchto obchodov je minimalizovať alebo odstraňovať riziko nepriaznivého pohybu ceny komodity (elektriny). Suma 27 365 tis. eur predstavovala k 31. 12. 2022 hodnotu precenenia zabezpečovaného rizika v súvislosti s komoditným futures.</w:t>
      </w:r>
    </w:p>
    <w:p w14:paraId="3E91F096" w14:textId="7D05067B" w:rsidR="003D3BEB" w:rsidRPr="00C66720" w:rsidRDefault="003D3BEB" w:rsidP="003D3BEB">
      <w:pPr>
        <w:pStyle w:val="Pismenka"/>
        <w:tabs>
          <w:tab w:val="clear" w:pos="426"/>
        </w:tabs>
        <w:spacing w:after="120"/>
        <w:ind w:left="0" w:firstLine="0"/>
        <w:rPr>
          <w:b w:val="0"/>
          <w:bCs w:val="0"/>
          <w:sz w:val="22"/>
          <w:szCs w:val="22"/>
        </w:rPr>
      </w:pPr>
      <w:r w:rsidRPr="00C66720">
        <w:rPr>
          <w:b w:val="0"/>
          <w:bCs w:val="0"/>
          <w:sz w:val="22"/>
          <w:szCs w:val="22"/>
        </w:rPr>
        <w:t>Slovenský vodohospodársky podnik, š. p. vykázal 284 954 tis. eur ako časovo rozlíšené dotácie</w:t>
      </w:r>
      <w:r w:rsidRPr="00C66720">
        <w:rPr>
          <w:b w:val="0"/>
          <w:bCs w:val="0"/>
          <w:sz w:val="22"/>
          <w:szCs w:val="22"/>
        </w:rPr>
        <w:br/>
        <w:t xml:space="preserve">od subjektov mimo verejnej správy a majetok bezodplatne prevedený do vlastníctva podniku (napr. stavby, úpravy potokov, meracie a vytyčovacie plavidlá). Medziročný prírastok bol v hodnote </w:t>
      </w:r>
      <w:r w:rsidRPr="00C66720">
        <w:rPr>
          <w:b w:val="0"/>
          <w:bCs w:val="0"/>
          <w:sz w:val="22"/>
          <w:szCs w:val="22"/>
        </w:rPr>
        <w:br/>
      </w:r>
      <w:r w:rsidR="008023DA" w:rsidRPr="00C66720">
        <w:rPr>
          <w:b w:val="0"/>
          <w:bCs w:val="0"/>
          <w:sz w:val="22"/>
          <w:szCs w:val="22"/>
        </w:rPr>
        <w:t xml:space="preserve">15 180 </w:t>
      </w:r>
      <w:r w:rsidRPr="00C66720">
        <w:rPr>
          <w:b w:val="0"/>
          <w:bCs w:val="0"/>
          <w:sz w:val="22"/>
          <w:szCs w:val="22"/>
        </w:rPr>
        <w:t>tis. eur.</w:t>
      </w:r>
    </w:p>
    <w:p w14:paraId="43CDD733" w14:textId="42224275" w:rsidR="006F2111" w:rsidRPr="00C66720" w:rsidRDefault="006F2111" w:rsidP="006F2111">
      <w:pPr>
        <w:pStyle w:val="Pismenka"/>
        <w:tabs>
          <w:tab w:val="clear" w:pos="426"/>
        </w:tabs>
        <w:spacing w:after="120"/>
        <w:ind w:left="0" w:firstLine="0"/>
        <w:rPr>
          <w:b w:val="0"/>
          <w:bCs w:val="0"/>
          <w:sz w:val="22"/>
          <w:szCs w:val="22"/>
        </w:rPr>
      </w:pPr>
      <w:r w:rsidRPr="00C66720">
        <w:rPr>
          <w:b w:val="0"/>
          <w:bCs w:val="0"/>
          <w:sz w:val="22"/>
          <w:szCs w:val="22"/>
        </w:rPr>
        <w:t>Ministerstvo vnútra SR vykazuje výnosy budúcich období v hodnote 281 595 tis. eur najmä z titulu zostatkovej hodnoty majetku nadobudnutého z iných zdrojov ako rozpočtových prostriedkov v sume 264 692 tis. eur (napríklad z prijatých grantov a majetok v správe ministerstva, získaného prepadnutím alebo zabavením majetku od subjektov mimo súhrnného celku).</w:t>
      </w:r>
    </w:p>
    <w:p w14:paraId="11F3F4C3" w14:textId="42AD478E" w:rsidR="001C1293" w:rsidRPr="00C66720" w:rsidRDefault="00F83F1A" w:rsidP="001C1293">
      <w:pPr>
        <w:pStyle w:val="Pismenka"/>
        <w:tabs>
          <w:tab w:val="clear" w:pos="426"/>
        </w:tabs>
        <w:spacing w:after="120"/>
        <w:ind w:left="0" w:firstLine="0"/>
        <w:rPr>
          <w:b w:val="0"/>
          <w:bCs w:val="0"/>
          <w:sz w:val="22"/>
          <w:szCs w:val="22"/>
        </w:rPr>
      </w:pPr>
      <w:r w:rsidRPr="00C66720">
        <w:rPr>
          <w:b w:val="0"/>
          <w:bCs w:val="0"/>
          <w:sz w:val="22"/>
          <w:szCs w:val="22"/>
        </w:rPr>
        <w:t xml:space="preserve">Ďalej nasleduje Úrad pre reguláciu elektronických komunikácií a poštových služieb SR (bývalý Telekomunikačný úrad), ktorý vykazuje časovo rozlíšené výnosy z predaja frekvencií (185 710 tis. eur), Vodohospodárska výstavba, š.p. (128 214 tis. eur) ako zostatkovú hodnotu dotácií na obstaranie majetku z prostriedkov EÚ (napr. inovácia a modernizácia plavebných komôr vodných diel, mostov, atď.), </w:t>
      </w:r>
      <w:r w:rsidR="001C1293" w:rsidRPr="00C66720">
        <w:rPr>
          <w:b w:val="0"/>
          <w:bCs w:val="0"/>
          <w:sz w:val="22"/>
          <w:szCs w:val="22"/>
        </w:rPr>
        <w:t>Jadrová a vyraďovacia spoločnosť, a.s. (124 994 tis. eur) z prijatých prostriedkov od Národného jadrového fondu z odvodov od elektrárenských spoločností a z prostriedkov BIDSF (Medzinárodný fond na podporu odstavenia jadrovej elektrárne v Jaslovských Bohuniciach).</w:t>
      </w:r>
    </w:p>
    <w:p w14:paraId="4CE990C6" w14:textId="1ED03592" w:rsidR="00322149" w:rsidRDefault="00360828" w:rsidP="006F3257">
      <w:pPr>
        <w:pStyle w:val="Pismenka"/>
        <w:tabs>
          <w:tab w:val="clear" w:pos="426"/>
        </w:tabs>
        <w:ind w:left="0" w:firstLine="0"/>
        <w:rPr>
          <w:b w:val="0"/>
          <w:bCs w:val="0"/>
          <w:sz w:val="22"/>
          <w:szCs w:val="22"/>
        </w:rPr>
      </w:pPr>
      <w:r w:rsidRPr="00C66720">
        <w:rPr>
          <w:b w:val="0"/>
          <w:bCs w:val="0"/>
          <w:sz w:val="22"/>
          <w:szCs w:val="22"/>
          <w:u w:val="single"/>
        </w:rPr>
        <w:t xml:space="preserve">Z ostatných subjektov </w:t>
      </w:r>
      <w:r w:rsidRPr="00C66720">
        <w:rPr>
          <w:b w:val="0"/>
          <w:bCs w:val="0"/>
          <w:sz w:val="22"/>
          <w:szCs w:val="22"/>
        </w:rPr>
        <w:t xml:space="preserve">vykazujú verejné vysoké školy </w:t>
      </w:r>
      <w:r w:rsidR="006D602E" w:rsidRPr="00C66720">
        <w:rPr>
          <w:b w:val="0"/>
          <w:bCs w:val="0"/>
          <w:sz w:val="22"/>
          <w:szCs w:val="22"/>
        </w:rPr>
        <w:t xml:space="preserve">výnosy budúcich období </w:t>
      </w:r>
      <w:r w:rsidRPr="00C66720">
        <w:rPr>
          <w:b w:val="0"/>
          <w:bCs w:val="0"/>
          <w:sz w:val="22"/>
          <w:szCs w:val="22"/>
        </w:rPr>
        <w:t xml:space="preserve">úhrnom </w:t>
      </w:r>
      <w:r w:rsidR="001C1293" w:rsidRPr="00C66720">
        <w:rPr>
          <w:b w:val="0"/>
          <w:bCs w:val="0"/>
          <w:sz w:val="22"/>
          <w:szCs w:val="22"/>
        </w:rPr>
        <w:t>704 367</w:t>
      </w:r>
      <w:r w:rsidRPr="00C66720">
        <w:rPr>
          <w:b w:val="0"/>
          <w:bCs w:val="0"/>
          <w:sz w:val="22"/>
          <w:szCs w:val="22"/>
        </w:rPr>
        <w:t xml:space="preserve"> tis.</w:t>
      </w:r>
      <w:r w:rsidR="00E8513B" w:rsidRPr="00C66720">
        <w:rPr>
          <w:b w:val="0"/>
          <w:bCs w:val="0"/>
          <w:sz w:val="22"/>
          <w:szCs w:val="22"/>
        </w:rPr>
        <w:t> </w:t>
      </w:r>
      <w:r w:rsidRPr="00C66720">
        <w:rPr>
          <w:b w:val="0"/>
          <w:bCs w:val="0"/>
          <w:sz w:val="22"/>
          <w:szCs w:val="22"/>
        </w:rPr>
        <w:t>eur</w:t>
      </w:r>
      <w:r w:rsidR="006D602E" w:rsidRPr="00C66720">
        <w:rPr>
          <w:b w:val="0"/>
          <w:bCs w:val="0"/>
          <w:sz w:val="22"/>
          <w:szCs w:val="22"/>
        </w:rPr>
        <w:t xml:space="preserve">, najviac </w:t>
      </w:r>
      <w:r w:rsidR="00673E49" w:rsidRPr="00C66720">
        <w:rPr>
          <w:b w:val="0"/>
          <w:bCs w:val="0"/>
          <w:sz w:val="22"/>
          <w:szCs w:val="22"/>
        </w:rPr>
        <w:t>Slovenská technická univerzita v Bratislave (</w:t>
      </w:r>
      <w:r w:rsidR="007D53A1" w:rsidRPr="00C66720">
        <w:rPr>
          <w:b w:val="0"/>
          <w:bCs w:val="0"/>
          <w:sz w:val="22"/>
          <w:szCs w:val="22"/>
        </w:rPr>
        <w:t>163 226</w:t>
      </w:r>
      <w:r w:rsidR="00673E49" w:rsidRPr="00C66720">
        <w:rPr>
          <w:b w:val="0"/>
          <w:bCs w:val="0"/>
          <w:sz w:val="22"/>
          <w:szCs w:val="22"/>
        </w:rPr>
        <w:t xml:space="preserve"> tis. eur), </w:t>
      </w:r>
      <w:r w:rsidR="001003EA" w:rsidRPr="00C66720">
        <w:rPr>
          <w:b w:val="0"/>
          <w:bCs w:val="0"/>
          <w:sz w:val="22"/>
          <w:szCs w:val="22"/>
        </w:rPr>
        <w:t>Univerzita Komenského v Bratislave (</w:t>
      </w:r>
      <w:r w:rsidR="007D53A1" w:rsidRPr="00C66720">
        <w:rPr>
          <w:b w:val="0"/>
          <w:bCs w:val="0"/>
          <w:sz w:val="22"/>
          <w:szCs w:val="22"/>
        </w:rPr>
        <w:t>158 973</w:t>
      </w:r>
      <w:r w:rsidR="00500B2D" w:rsidRPr="00C66720">
        <w:rPr>
          <w:b w:val="0"/>
          <w:bCs w:val="0"/>
          <w:sz w:val="22"/>
          <w:szCs w:val="22"/>
        </w:rPr>
        <w:t xml:space="preserve"> tis. eur)</w:t>
      </w:r>
      <w:r w:rsidR="00B111B4" w:rsidRPr="00C66720">
        <w:rPr>
          <w:b w:val="0"/>
          <w:bCs w:val="0"/>
          <w:sz w:val="22"/>
          <w:szCs w:val="22"/>
        </w:rPr>
        <w:t xml:space="preserve"> a Žilinská univerzita v Žiline (</w:t>
      </w:r>
      <w:r w:rsidR="00E246B8" w:rsidRPr="00C66720">
        <w:rPr>
          <w:b w:val="0"/>
          <w:bCs w:val="0"/>
          <w:sz w:val="22"/>
          <w:szCs w:val="22"/>
        </w:rPr>
        <w:t>86 247</w:t>
      </w:r>
      <w:r w:rsidR="00B111B4" w:rsidRPr="00C66720">
        <w:rPr>
          <w:b w:val="0"/>
          <w:bCs w:val="0"/>
          <w:sz w:val="22"/>
          <w:szCs w:val="22"/>
        </w:rPr>
        <w:t xml:space="preserve"> tis. eur). </w:t>
      </w:r>
      <w:r w:rsidR="000A4871" w:rsidRPr="00C66720">
        <w:rPr>
          <w:b w:val="0"/>
          <w:bCs w:val="0"/>
          <w:sz w:val="22"/>
          <w:szCs w:val="22"/>
        </w:rPr>
        <w:t>Ide najmä o výnosy z dotácií a transferov (zahraničných</w:t>
      </w:r>
      <w:r w:rsidR="004D29A4" w:rsidRPr="00C66720">
        <w:rPr>
          <w:b w:val="0"/>
          <w:bCs w:val="0"/>
          <w:sz w:val="22"/>
          <w:szCs w:val="22"/>
        </w:rPr>
        <w:t xml:space="preserve"> a EÚ</w:t>
      </w:r>
      <w:r w:rsidR="000A4871" w:rsidRPr="00C66720">
        <w:rPr>
          <w:b w:val="0"/>
          <w:bCs w:val="0"/>
          <w:sz w:val="22"/>
          <w:szCs w:val="22"/>
        </w:rPr>
        <w:t>, 2 % z</w:t>
      </w:r>
      <w:r w:rsidR="004D29A4" w:rsidRPr="00C66720">
        <w:rPr>
          <w:b w:val="0"/>
          <w:bCs w:val="0"/>
          <w:sz w:val="22"/>
          <w:szCs w:val="22"/>
        </w:rPr>
        <w:t> </w:t>
      </w:r>
      <w:r w:rsidR="000A4871" w:rsidRPr="00C66720">
        <w:rPr>
          <w:b w:val="0"/>
          <w:bCs w:val="0"/>
          <w:sz w:val="22"/>
          <w:szCs w:val="22"/>
        </w:rPr>
        <w:t>dane</w:t>
      </w:r>
      <w:r w:rsidR="004D29A4" w:rsidRPr="00C66720">
        <w:rPr>
          <w:b w:val="0"/>
          <w:bCs w:val="0"/>
          <w:sz w:val="22"/>
          <w:szCs w:val="22"/>
        </w:rPr>
        <w:t xml:space="preserve"> z príjmov fyzických osôb</w:t>
      </w:r>
      <w:r w:rsidR="000A4871" w:rsidRPr="00C66720">
        <w:rPr>
          <w:b w:val="0"/>
          <w:bCs w:val="0"/>
          <w:sz w:val="22"/>
          <w:szCs w:val="22"/>
        </w:rPr>
        <w:t xml:space="preserve">, dary a granty), ktoré sa časovo rozlišujú a do výnosov bežného obdobia sa zúčtovávajú spolu s dosahovanými nákladmi, napr. pri používaní </w:t>
      </w:r>
      <w:r w:rsidR="00300803" w:rsidRPr="00C66720">
        <w:rPr>
          <w:b w:val="0"/>
          <w:bCs w:val="0"/>
          <w:sz w:val="22"/>
          <w:szCs w:val="22"/>
        </w:rPr>
        <w:t xml:space="preserve">dlhodobého </w:t>
      </w:r>
      <w:r w:rsidR="000A4871" w:rsidRPr="00C66720">
        <w:rPr>
          <w:b w:val="0"/>
          <w:bCs w:val="0"/>
          <w:sz w:val="22"/>
          <w:szCs w:val="22"/>
        </w:rPr>
        <w:t>majetku (</w:t>
      </w:r>
      <w:r w:rsidR="00681E53" w:rsidRPr="00C66720">
        <w:rPr>
          <w:b w:val="0"/>
          <w:bCs w:val="0"/>
          <w:sz w:val="22"/>
          <w:szCs w:val="22"/>
        </w:rPr>
        <w:t xml:space="preserve">v podobe </w:t>
      </w:r>
      <w:r w:rsidR="00EE42A7" w:rsidRPr="00C66720">
        <w:rPr>
          <w:b w:val="0"/>
          <w:bCs w:val="0"/>
          <w:sz w:val="22"/>
          <w:szCs w:val="22"/>
        </w:rPr>
        <w:t>odpisov</w:t>
      </w:r>
      <w:r w:rsidR="000A4871" w:rsidRPr="00C66720">
        <w:rPr>
          <w:b w:val="0"/>
          <w:bCs w:val="0"/>
          <w:sz w:val="22"/>
          <w:szCs w:val="22"/>
        </w:rPr>
        <w:t>).</w:t>
      </w:r>
    </w:p>
    <w:p w14:paraId="34A3D212" w14:textId="77777777" w:rsidR="00322149" w:rsidRDefault="00322149">
      <w:pPr>
        <w:spacing w:after="0" w:line="240" w:lineRule="auto"/>
        <w:rPr>
          <w:rFonts w:ascii="Times New Roman" w:hAnsi="Times New Roman"/>
          <w:szCs w:val="22"/>
          <w:lang w:eastAsia="sk-SK"/>
        </w:rPr>
      </w:pPr>
      <w:r>
        <w:rPr>
          <w:b/>
          <w:bCs/>
          <w:szCs w:val="22"/>
        </w:rPr>
        <w:br w:type="page"/>
      </w:r>
    </w:p>
    <w:p w14:paraId="678C72F2" w14:textId="4B70FC4A" w:rsidR="009270BF" w:rsidRPr="00C66720" w:rsidRDefault="009270BF" w:rsidP="00245667">
      <w:pPr>
        <w:spacing w:after="0" w:line="240" w:lineRule="auto"/>
        <w:jc w:val="center"/>
        <w:rPr>
          <w:rFonts w:ascii="Times New Roman" w:hAnsi="Times New Roman"/>
          <w:b/>
          <w:bCs/>
          <w:color w:val="FF0000"/>
          <w:sz w:val="24"/>
          <w:szCs w:val="24"/>
          <w:highlight w:val="yellow"/>
        </w:rPr>
      </w:pPr>
      <w:r w:rsidRPr="00C66720">
        <w:rPr>
          <w:rFonts w:ascii="Times New Roman" w:hAnsi="Times New Roman"/>
          <w:b/>
          <w:bCs/>
          <w:sz w:val="24"/>
          <w:szCs w:val="24"/>
        </w:rPr>
        <w:lastRenderedPageBreak/>
        <w:t xml:space="preserve">IV. </w:t>
      </w:r>
      <w:r w:rsidRPr="00C66720">
        <w:rPr>
          <w:rFonts w:ascii="Times New Roman" w:hAnsi="Times New Roman"/>
          <w:b/>
          <w:bCs/>
          <w:caps/>
          <w:sz w:val="24"/>
          <w:szCs w:val="24"/>
        </w:rPr>
        <w:t>Informácie o Nákladoch a výnosoch</w:t>
      </w:r>
    </w:p>
    <w:p w14:paraId="794975C4" w14:textId="385B2A31" w:rsidR="00156B30" w:rsidRPr="00C66720" w:rsidRDefault="00EB4514" w:rsidP="006F3257">
      <w:pPr>
        <w:pStyle w:val="Pismenka"/>
        <w:tabs>
          <w:tab w:val="clear" w:pos="426"/>
        </w:tabs>
        <w:spacing w:before="200" w:after="120"/>
        <w:ind w:left="425" w:hanging="425"/>
        <w:rPr>
          <w:bCs w:val="0"/>
          <w:sz w:val="24"/>
          <w:szCs w:val="24"/>
        </w:rPr>
      </w:pPr>
      <w:r w:rsidRPr="00C66720">
        <w:rPr>
          <w:bCs w:val="0"/>
          <w:sz w:val="24"/>
          <w:szCs w:val="24"/>
        </w:rPr>
        <w:t>VÝNOSY</w:t>
      </w:r>
    </w:p>
    <w:p w14:paraId="6C94C8CA" w14:textId="3A2F788E" w:rsidR="00D815A0" w:rsidRPr="00C66720" w:rsidRDefault="00EB4514" w:rsidP="006F3257">
      <w:pPr>
        <w:pStyle w:val="Pismenka"/>
        <w:tabs>
          <w:tab w:val="clear" w:pos="426"/>
        </w:tabs>
        <w:spacing w:after="120"/>
        <w:ind w:left="0" w:firstLine="0"/>
        <w:rPr>
          <w:b w:val="0"/>
          <w:bCs w:val="0"/>
          <w:sz w:val="22"/>
          <w:szCs w:val="22"/>
        </w:rPr>
      </w:pPr>
      <w:r w:rsidRPr="00C66720">
        <w:rPr>
          <w:b w:val="0"/>
          <w:bCs w:val="0"/>
          <w:sz w:val="22"/>
          <w:szCs w:val="22"/>
        </w:rPr>
        <w:t>Výnosy súhr</w:t>
      </w:r>
      <w:r w:rsidR="000D61C0" w:rsidRPr="00C66720">
        <w:rPr>
          <w:b w:val="0"/>
          <w:bCs w:val="0"/>
          <w:sz w:val="22"/>
          <w:szCs w:val="22"/>
        </w:rPr>
        <w:t>nného celku dosiahli k 31.12.202</w:t>
      </w:r>
      <w:r w:rsidR="00D815A0" w:rsidRPr="00C66720">
        <w:rPr>
          <w:b w:val="0"/>
          <w:bCs w:val="0"/>
          <w:sz w:val="22"/>
          <w:szCs w:val="22"/>
        </w:rPr>
        <w:t>2</w:t>
      </w:r>
      <w:r w:rsidRPr="00C66720">
        <w:rPr>
          <w:b w:val="0"/>
          <w:bCs w:val="0"/>
          <w:sz w:val="22"/>
          <w:szCs w:val="22"/>
        </w:rPr>
        <w:t xml:space="preserve"> hodnotu </w:t>
      </w:r>
      <w:r w:rsidR="00FE0D6E" w:rsidRPr="00C66720">
        <w:rPr>
          <w:b w:val="0"/>
          <w:bCs w:val="0"/>
          <w:sz w:val="22"/>
          <w:szCs w:val="22"/>
        </w:rPr>
        <w:t>78 455 596</w:t>
      </w:r>
      <w:r w:rsidR="00F77144" w:rsidRPr="00C66720">
        <w:rPr>
          <w:b w:val="0"/>
          <w:bCs w:val="0"/>
          <w:sz w:val="22"/>
          <w:szCs w:val="22"/>
        </w:rPr>
        <w:t xml:space="preserve"> tis. eur </w:t>
      </w:r>
      <w:r w:rsidR="000A434B" w:rsidRPr="00C66720">
        <w:rPr>
          <w:b w:val="0"/>
          <w:bCs w:val="0"/>
          <w:sz w:val="22"/>
          <w:szCs w:val="22"/>
        </w:rPr>
        <w:t>a</w:t>
      </w:r>
      <w:r w:rsidR="0095154C" w:rsidRPr="00C66720">
        <w:rPr>
          <w:b w:val="0"/>
          <w:bCs w:val="0"/>
          <w:sz w:val="22"/>
          <w:szCs w:val="22"/>
        </w:rPr>
        <w:t xml:space="preserve"> oproti minulému obdobiu boli </w:t>
      </w:r>
      <w:r w:rsidR="0064278D" w:rsidRPr="00C66720">
        <w:rPr>
          <w:b w:val="0"/>
          <w:bCs w:val="0"/>
          <w:sz w:val="22"/>
          <w:szCs w:val="22"/>
        </w:rPr>
        <w:t>vyššie</w:t>
      </w:r>
      <w:r w:rsidR="0095154C" w:rsidRPr="00C66720">
        <w:rPr>
          <w:b w:val="0"/>
          <w:bCs w:val="0"/>
          <w:sz w:val="22"/>
          <w:szCs w:val="22"/>
        </w:rPr>
        <w:t xml:space="preserve"> o</w:t>
      </w:r>
      <w:r w:rsidR="00D815A0" w:rsidRPr="00C66720">
        <w:rPr>
          <w:b w:val="0"/>
          <w:bCs w:val="0"/>
          <w:sz w:val="22"/>
          <w:szCs w:val="22"/>
        </w:rPr>
        <w:t xml:space="preserve"> 12 198 </w:t>
      </w:r>
      <w:r w:rsidR="00FE0D6E" w:rsidRPr="00C66720">
        <w:rPr>
          <w:b w:val="0"/>
          <w:bCs w:val="0"/>
          <w:sz w:val="22"/>
          <w:szCs w:val="22"/>
        </w:rPr>
        <w:t>594</w:t>
      </w:r>
      <w:r w:rsidR="002759A4" w:rsidRPr="00C66720">
        <w:rPr>
          <w:b w:val="0"/>
          <w:bCs w:val="0"/>
          <w:sz w:val="22"/>
          <w:szCs w:val="22"/>
        </w:rPr>
        <w:t xml:space="preserve"> </w:t>
      </w:r>
      <w:r w:rsidR="0095154C" w:rsidRPr="00C66720">
        <w:rPr>
          <w:b w:val="0"/>
          <w:bCs w:val="0"/>
          <w:sz w:val="22"/>
          <w:szCs w:val="22"/>
        </w:rPr>
        <w:t xml:space="preserve">tis. eur. Na tomto medziročnom </w:t>
      </w:r>
      <w:r w:rsidR="008F2AF6" w:rsidRPr="00C66720">
        <w:rPr>
          <w:b w:val="0"/>
          <w:bCs w:val="0"/>
          <w:sz w:val="22"/>
          <w:szCs w:val="22"/>
        </w:rPr>
        <w:t>zvýšení</w:t>
      </w:r>
      <w:r w:rsidR="0095154C" w:rsidRPr="00C66720">
        <w:rPr>
          <w:b w:val="0"/>
          <w:bCs w:val="0"/>
          <w:sz w:val="22"/>
          <w:szCs w:val="22"/>
        </w:rPr>
        <w:t xml:space="preserve"> sa podieľali najmä</w:t>
      </w:r>
      <w:r w:rsidR="00DC1BD4" w:rsidRPr="00C66720">
        <w:rPr>
          <w:b w:val="0"/>
          <w:bCs w:val="0"/>
          <w:sz w:val="22"/>
          <w:szCs w:val="22"/>
        </w:rPr>
        <w:t xml:space="preserve"> </w:t>
      </w:r>
      <w:r w:rsidR="00D815A0" w:rsidRPr="00C66720">
        <w:rPr>
          <w:b w:val="0"/>
          <w:bCs w:val="0"/>
          <w:sz w:val="22"/>
          <w:szCs w:val="22"/>
        </w:rPr>
        <w:t>vyššie výnosy zo zúčtovania rezerv</w:t>
      </w:r>
      <w:r w:rsidR="00F34C97">
        <w:rPr>
          <w:b w:val="0"/>
          <w:bCs w:val="0"/>
          <w:sz w:val="22"/>
          <w:szCs w:val="22"/>
        </w:rPr>
        <w:t>y</w:t>
      </w:r>
      <w:r w:rsidR="00D815A0" w:rsidRPr="00C66720">
        <w:rPr>
          <w:b w:val="0"/>
          <w:bCs w:val="0"/>
          <w:sz w:val="22"/>
          <w:szCs w:val="22"/>
        </w:rPr>
        <w:t xml:space="preserve"> na zamestnanecké požitky zamestnancov štátnych rozpočtových a štátnych príspevkových organizácií o 13 436 694 tis. eur, </w:t>
      </w:r>
      <w:r w:rsidR="00112833">
        <w:rPr>
          <w:b w:val="0"/>
          <w:bCs w:val="0"/>
          <w:sz w:val="22"/>
          <w:szCs w:val="22"/>
        </w:rPr>
        <w:t xml:space="preserve">vyššie výnosy z predaja výrobkov a tovaru </w:t>
      </w:r>
      <w:r w:rsidR="00576737">
        <w:rPr>
          <w:b w:val="0"/>
          <w:bCs w:val="0"/>
          <w:sz w:val="22"/>
          <w:szCs w:val="22"/>
        </w:rPr>
        <w:br/>
      </w:r>
      <w:r w:rsidR="00112833">
        <w:rPr>
          <w:b w:val="0"/>
          <w:bCs w:val="0"/>
          <w:sz w:val="22"/>
          <w:szCs w:val="22"/>
        </w:rPr>
        <w:t xml:space="preserve">o 5 754 854 tis. eur najmä z dôvodu vyšších cien komodít ako sú elektrická energia a plyn a </w:t>
      </w:r>
      <w:r w:rsidR="00D815A0" w:rsidRPr="00C66720">
        <w:rPr>
          <w:b w:val="0"/>
          <w:bCs w:val="0"/>
          <w:sz w:val="22"/>
          <w:szCs w:val="22"/>
        </w:rPr>
        <w:t>vyššie daňové výnosy štátu</w:t>
      </w:r>
      <w:r w:rsidR="00FE0D6E" w:rsidRPr="00C66720">
        <w:rPr>
          <w:b w:val="0"/>
          <w:bCs w:val="0"/>
          <w:sz w:val="22"/>
          <w:szCs w:val="22"/>
        </w:rPr>
        <w:t xml:space="preserve"> o 1 925 553</w:t>
      </w:r>
      <w:r w:rsidR="00D815A0" w:rsidRPr="00C66720">
        <w:rPr>
          <w:b w:val="0"/>
          <w:bCs w:val="0"/>
          <w:sz w:val="22"/>
          <w:szCs w:val="22"/>
        </w:rPr>
        <w:t xml:space="preserve"> tis. eur</w:t>
      </w:r>
      <w:r w:rsidR="00112833">
        <w:rPr>
          <w:b w:val="0"/>
          <w:bCs w:val="0"/>
          <w:sz w:val="22"/>
          <w:szCs w:val="22"/>
        </w:rPr>
        <w:t>.</w:t>
      </w:r>
      <w:r w:rsidR="00F34C97">
        <w:rPr>
          <w:b w:val="0"/>
          <w:bCs w:val="0"/>
          <w:sz w:val="22"/>
          <w:szCs w:val="22"/>
        </w:rPr>
        <w:t xml:space="preserve"> Medziročne nižšie boli výnosy Sociálnej poisťovne </w:t>
      </w:r>
      <w:r w:rsidR="009B0AFD">
        <w:rPr>
          <w:b w:val="0"/>
          <w:bCs w:val="0"/>
          <w:sz w:val="22"/>
          <w:szCs w:val="22"/>
        </w:rPr>
        <w:br/>
      </w:r>
      <w:r w:rsidR="00F34C97">
        <w:rPr>
          <w:b w:val="0"/>
          <w:bCs w:val="0"/>
          <w:sz w:val="22"/>
          <w:szCs w:val="22"/>
        </w:rPr>
        <w:t>o</w:t>
      </w:r>
      <w:r w:rsidR="00DD2FAE">
        <w:rPr>
          <w:b w:val="0"/>
          <w:bCs w:val="0"/>
          <w:sz w:val="22"/>
          <w:szCs w:val="22"/>
        </w:rPr>
        <w:t xml:space="preserve"> 13 752 643 </w:t>
      </w:r>
      <w:r w:rsidR="00F34C97">
        <w:rPr>
          <w:b w:val="0"/>
          <w:bCs w:val="0"/>
          <w:sz w:val="22"/>
          <w:szCs w:val="22"/>
        </w:rPr>
        <w:t xml:space="preserve">z dôvodu </w:t>
      </w:r>
      <w:r w:rsidR="00DD2FAE">
        <w:rPr>
          <w:b w:val="0"/>
          <w:bCs w:val="0"/>
          <w:sz w:val="22"/>
          <w:szCs w:val="22"/>
        </w:rPr>
        <w:t xml:space="preserve">zmeny vykazovania tvorby fondov z predpísaného a uhradeného poistného a </w:t>
      </w:r>
      <w:r w:rsidR="00F34C97">
        <w:rPr>
          <w:b w:val="0"/>
          <w:bCs w:val="0"/>
          <w:sz w:val="22"/>
          <w:szCs w:val="22"/>
        </w:rPr>
        <w:t>vnútornej eliminácie prevodov medzi fondami poisťovne.</w:t>
      </w:r>
    </w:p>
    <w:p w14:paraId="112C1F71" w14:textId="77777777" w:rsidR="00DF13EC" w:rsidRPr="00C66720" w:rsidRDefault="00DF13EC" w:rsidP="006F3257">
      <w:pPr>
        <w:numPr>
          <w:ilvl w:val="0"/>
          <w:numId w:val="25"/>
        </w:numPr>
        <w:spacing w:before="200" w:line="240" w:lineRule="auto"/>
        <w:ind w:left="426" w:hanging="426"/>
        <w:jc w:val="both"/>
        <w:rPr>
          <w:rFonts w:ascii="Times New Roman" w:hAnsi="Times New Roman"/>
          <w:b/>
          <w:bCs/>
          <w:sz w:val="24"/>
          <w:szCs w:val="24"/>
        </w:rPr>
      </w:pPr>
      <w:bookmarkStart w:id="47" w:name="_Ref86186924"/>
      <w:r w:rsidRPr="00C66720">
        <w:rPr>
          <w:rFonts w:ascii="Times New Roman" w:hAnsi="Times New Roman"/>
          <w:b/>
          <w:bCs/>
          <w:sz w:val="24"/>
          <w:szCs w:val="24"/>
        </w:rPr>
        <w:t>Daňové a colné výnosy a výnosy z poplatkov</w:t>
      </w:r>
      <w:bookmarkEnd w:id="47"/>
    </w:p>
    <w:p w14:paraId="64BEFE7A" w14:textId="77777777" w:rsidR="00DF13EC" w:rsidRPr="00C66720" w:rsidRDefault="00DF13EC" w:rsidP="006F3257">
      <w:pPr>
        <w:pStyle w:val="Odsekzoznamu"/>
        <w:spacing w:after="120" w:line="240" w:lineRule="auto"/>
        <w:ind w:left="0"/>
        <w:contextualSpacing w:val="0"/>
        <w:jc w:val="both"/>
        <w:rPr>
          <w:rFonts w:ascii="Times New Roman" w:hAnsi="Times New Roman"/>
          <w:bCs/>
          <w:szCs w:val="22"/>
        </w:rPr>
      </w:pPr>
      <w:r w:rsidRPr="00C66720">
        <w:rPr>
          <w:rFonts w:ascii="Times New Roman" w:hAnsi="Times New Roman"/>
          <w:bCs/>
          <w:szCs w:val="22"/>
        </w:rPr>
        <w:t>Ako daňové a colné výnosy sa vykazujú výnosy z daní a cla, ktoré plynú do štátneho rozpočtu: daň z príjmov právnických osôb, daň z pridanej hodnoty, spotrebné dane, dovozné clo a ďalšie. Do rozpočtov obcí a vyšších územných celkov patria miestne dane, podielová daň z príjmov fyzických osôb, daň z nehnuteľnosti a podobne. Výnosy z poplatkov zahŕňajú súdne a správne poplatky</w:t>
      </w:r>
      <w:r w:rsidRPr="00C66720">
        <w:rPr>
          <w:rFonts w:ascii="Times New Roman" w:hAnsi="Times New Roman"/>
          <w:bCs/>
          <w:szCs w:val="22"/>
        </w:rPr>
        <w:br/>
        <w:t xml:space="preserve">(hlavne e-kolky), poplatky za znečisťovanie ovzdušia a ostatné. </w:t>
      </w:r>
    </w:p>
    <w:p w14:paraId="615FF9AF" w14:textId="6C02B774" w:rsidR="00E82187" w:rsidRPr="00C66720" w:rsidRDefault="00DF13EC" w:rsidP="00F85838">
      <w:pPr>
        <w:pStyle w:val="Odsekzoznamu"/>
        <w:spacing w:after="120" w:line="240" w:lineRule="auto"/>
        <w:ind w:left="0"/>
        <w:contextualSpacing w:val="0"/>
        <w:jc w:val="both"/>
        <w:rPr>
          <w:rFonts w:ascii="Times New Roman" w:hAnsi="Times New Roman"/>
          <w:bCs/>
          <w:szCs w:val="22"/>
        </w:rPr>
      </w:pPr>
      <w:r w:rsidRPr="00C66720">
        <w:rPr>
          <w:rFonts w:ascii="Times New Roman" w:hAnsi="Times New Roman"/>
          <w:bCs/>
          <w:szCs w:val="22"/>
        </w:rPr>
        <w:t>O výnosoch z daní v súhrnnom celku môže účtovať subjekt, ktorý je prijímateľom daňových príjmov. V ústrednej správe je to Ministerstvo financií SR, pričom evidenciu daňových príjmov štátu a pohľadávok z nich zabezpečuje Finančné riaditeľstvo SR. Ide o dane z príjmu právnických osôb a fyzických osôb, spotrebné dane, daň z pridanej hodnoty, daň vyberaná zrážkou, daň z motorových vozidiel a ostatné dane. Ďalšie dane</w:t>
      </w:r>
      <w:r w:rsidR="00F34C97">
        <w:rPr>
          <w:rFonts w:ascii="Times New Roman" w:hAnsi="Times New Roman"/>
          <w:bCs/>
          <w:szCs w:val="22"/>
        </w:rPr>
        <w:t xml:space="preserve">, ako </w:t>
      </w:r>
      <w:r w:rsidR="00F34C97" w:rsidRPr="00C66720">
        <w:rPr>
          <w:rFonts w:ascii="Times New Roman" w:hAnsi="Times New Roman"/>
          <w:bCs/>
          <w:szCs w:val="22"/>
        </w:rPr>
        <w:t>podiel na dani z príjmu fyzických osôb, daň z nehnuteľností (pozemkov, stavieb, z bytov a nebytových priestorov), miestne dane (za psa, za predajné automaty, za ubytovanie atď.)</w:t>
      </w:r>
      <w:r w:rsidRPr="00C66720">
        <w:rPr>
          <w:rFonts w:ascii="Times New Roman" w:hAnsi="Times New Roman"/>
          <w:bCs/>
          <w:szCs w:val="22"/>
        </w:rPr>
        <w:t xml:space="preserve"> sú príjmom rozpočtov obcí a vyšších územných celkov.</w:t>
      </w:r>
      <w:r w:rsidR="00F85838" w:rsidRPr="00C66720">
        <w:rPr>
          <w:rFonts w:ascii="Times New Roman" w:hAnsi="Times New Roman"/>
          <w:bCs/>
          <w:szCs w:val="22"/>
        </w:rPr>
        <w:t xml:space="preserve"> </w:t>
      </w:r>
    </w:p>
    <w:p w14:paraId="71EE4080" w14:textId="10DD1C81" w:rsidR="0090365E" w:rsidRPr="00C66720" w:rsidRDefault="0090365E" w:rsidP="009B0AFD">
      <w:pPr>
        <w:pStyle w:val="Pismenka"/>
        <w:numPr>
          <w:ilvl w:val="0"/>
          <w:numId w:val="44"/>
        </w:numPr>
        <w:spacing w:before="240" w:after="120"/>
        <w:ind w:left="284" w:hanging="284"/>
        <w:rPr>
          <w:i/>
          <w:sz w:val="22"/>
          <w:szCs w:val="22"/>
          <w:u w:val="single"/>
        </w:rPr>
      </w:pPr>
      <w:bookmarkStart w:id="48" w:name="_Ref86186309"/>
      <w:r w:rsidRPr="00C66720">
        <w:rPr>
          <w:i/>
          <w:sz w:val="22"/>
          <w:szCs w:val="22"/>
          <w:u w:val="single"/>
        </w:rPr>
        <w:t>Daňové výnosy štátu</w:t>
      </w:r>
      <w:bookmarkEnd w:id="48"/>
    </w:p>
    <w:p w14:paraId="62E9CB13" w14:textId="2ACC067C" w:rsidR="00B7742F" w:rsidRPr="00C66720" w:rsidRDefault="00DF13EC" w:rsidP="006F3257">
      <w:pPr>
        <w:pStyle w:val="Odsekzoznamu"/>
        <w:spacing w:after="120" w:line="240" w:lineRule="auto"/>
        <w:ind w:left="0"/>
        <w:contextualSpacing w:val="0"/>
        <w:jc w:val="both"/>
        <w:rPr>
          <w:rFonts w:ascii="Times New Roman" w:hAnsi="Times New Roman"/>
          <w:bCs/>
          <w:szCs w:val="22"/>
        </w:rPr>
      </w:pPr>
      <w:r w:rsidRPr="00C66720">
        <w:rPr>
          <w:rFonts w:ascii="Times New Roman" w:hAnsi="Times New Roman"/>
          <w:bCs/>
          <w:szCs w:val="22"/>
        </w:rPr>
        <w:t>Daňové výnosy štátu</w:t>
      </w:r>
      <w:r w:rsidR="00B67864" w:rsidRPr="00C66720">
        <w:rPr>
          <w:rFonts w:ascii="Times New Roman" w:hAnsi="Times New Roman"/>
          <w:bCs/>
          <w:szCs w:val="22"/>
        </w:rPr>
        <w:t xml:space="preserve"> dosiahli k</w:t>
      </w:r>
      <w:r w:rsidR="00467EC3" w:rsidRPr="00C66720">
        <w:rPr>
          <w:rFonts w:ascii="Times New Roman" w:hAnsi="Times New Roman"/>
          <w:bCs/>
          <w:szCs w:val="22"/>
        </w:rPr>
        <w:t> 31.12.2022</w:t>
      </w:r>
      <w:r w:rsidRPr="00C66720">
        <w:rPr>
          <w:rFonts w:ascii="Times New Roman" w:hAnsi="Times New Roman"/>
          <w:bCs/>
          <w:szCs w:val="22"/>
        </w:rPr>
        <w:t xml:space="preserve"> konsolidovanú hodnotu </w:t>
      </w:r>
      <w:r w:rsidR="009F25CE" w:rsidRPr="00C66720">
        <w:rPr>
          <w:rFonts w:ascii="Times New Roman" w:hAnsi="Times New Roman"/>
          <w:bCs/>
          <w:szCs w:val="22"/>
        </w:rPr>
        <w:t>16 135 527</w:t>
      </w:r>
      <w:r w:rsidRPr="00C66720">
        <w:rPr>
          <w:rFonts w:ascii="Times New Roman" w:hAnsi="Times New Roman"/>
          <w:bCs/>
          <w:szCs w:val="22"/>
        </w:rPr>
        <w:t xml:space="preserve"> tis. eur, čo je medziročne </w:t>
      </w:r>
      <w:r w:rsidR="00113C51" w:rsidRPr="00C66720">
        <w:rPr>
          <w:rFonts w:ascii="Times New Roman" w:hAnsi="Times New Roman"/>
          <w:bCs/>
          <w:szCs w:val="22"/>
        </w:rPr>
        <w:t>viac</w:t>
      </w:r>
      <w:r w:rsidRPr="00C66720">
        <w:rPr>
          <w:rFonts w:ascii="Times New Roman" w:hAnsi="Times New Roman"/>
          <w:bCs/>
          <w:szCs w:val="22"/>
        </w:rPr>
        <w:t xml:space="preserve"> o</w:t>
      </w:r>
      <w:r w:rsidR="003E330A" w:rsidRPr="00C66720">
        <w:rPr>
          <w:rFonts w:ascii="Times New Roman" w:hAnsi="Times New Roman"/>
          <w:bCs/>
          <w:szCs w:val="22"/>
        </w:rPr>
        <w:t> 1 925 553</w:t>
      </w:r>
      <w:r w:rsidRPr="00C66720">
        <w:rPr>
          <w:rFonts w:ascii="Times New Roman" w:hAnsi="Times New Roman"/>
          <w:bCs/>
          <w:szCs w:val="22"/>
        </w:rPr>
        <w:t xml:space="preserve"> tis. eur. Najvyššiu hodnotu dosiahla </w:t>
      </w:r>
      <w:r w:rsidRPr="00C66720">
        <w:rPr>
          <w:rFonts w:ascii="Times New Roman" w:hAnsi="Times New Roman"/>
          <w:bCs/>
          <w:szCs w:val="22"/>
          <w:u w:val="single"/>
        </w:rPr>
        <w:t>daň z pridanej hodnoty</w:t>
      </w:r>
      <w:r w:rsidRPr="00C66720">
        <w:rPr>
          <w:rFonts w:ascii="Times New Roman" w:hAnsi="Times New Roman"/>
          <w:bCs/>
          <w:szCs w:val="22"/>
        </w:rPr>
        <w:t xml:space="preserve"> (</w:t>
      </w:r>
      <w:r w:rsidR="00B7742F" w:rsidRPr="00C66720">
        <w:rPr>
          <w:rFonts w:ascii="Times New Roman" w:hAnsi="Times New Roman"/>
          <w:bCs/>
          <w:szCs w:val="22"/>
        </w:rPr>
        <w:t>8 861 819</w:t>
      </w:r>
      <w:r w:rsidRPr="00C66720">
        <w:rPr>
          <w:rFonts w:ascii="Times New Roman" w:hAnsi="Times New Roman"/>
          <w:bCs/>
          <w:szCs w:val="22"/>
        </w:rPr>
        <w:t xml:space="preserve"> tis. eur), ďalej </w:t>
      </w:r>
      <w:r w:rsidRPr="00C66720">
        <w:rPr>
          <w:rFonts w:ascii="Times New Roman" w:hAnsi="Times New Roman"/>
          <w:bCs/>
          <w:szCs w:val="22"/>
          <w:u w:val="single"/>
        </w:rPr>
        <w:t>daň z príjmov právnických osôb</w:t>
      </w:r>
      <w:r w:rsidRPr="00C66720">
        <w:rPr>
          <w:rFonts w:ascii="Times New Roman" w:hAnsi="Times New Roman"/>
          <w:bCs/>
          <w:szCs w:val="22"/>
        </w:rPr>
        <w:t xml:space="preserve"> (</w:t>
      </w:r>
      <w:r w:rsidR="00B7742F" w:rsidRPr="00C66720">
        <w:rPr>
          <w:rFonts w:ascii="Times New Roman" w:hAnsi="Times New Roman"/>
          <w:bCs/>
          <w:szCs w:val="22"/>
        </w:rPr>
        <w:t>3 919 403</w:t>
      </w:r>
      <w:r w:rsidRPr="00C66720">
        <w:rPr>
          <w:rFonts w:ascii="Times New Roman" w:hAnsi="Times New Roman"/>
          <w:bCs/>
          <w:szCs w:val="22"/>
        </w:rPr>
        <w:t xml:space="preserve"> tis. eur), </w:t>
      </w:r>
      <w:r w:rsidRPr="00C66720">
        <w:rPr>
          <w:rFonts w:ascii="Times New Roman" w:hAnsi="Times New Roman"/>
          <w:bCs/>
          <w:szCs w:val="22"/>
          <w:u w:val="single"/>
        </w:rPr>
        <w:t>spotrebné dane</w:t>
      </w:r>
      <w:r w:rsidRPr="00C66720">
        <w:rPr>
          <w:rFonts w:ascii="Times New Roman" w:hAnsi="Times New Roman"/>
          <w:bCs/>
          <w:szCs w:val="22"/>
        </w:rPr>
        <w:t xml:space="preserve"> (</w:t>
      </w:r>
      <w:r w:rsidR="00B7742F" w:rsidRPr="00C66720">
        <w:rPr>
          <w:rFonts w:ascii="Times New Roman" w:hAnsi="Times New Roman"/>
          <w:bCs/>
          <w:szCs w:val="22"/>
        </w:rPr>
        <w:t>2 528 685</w:t>
      </w:r>
      <w:r w:rsidRPr="00C66720">
        <w:rPr>
          <w:rFonts w:ascii="Times New Roman" w:hAnsi="Times New Roman"/>
          <w:bCs/>
          <w:szCs w:val="22"/>
        </w:rPr>
        <w:t xml:space="preserve"> tis. eur)</w:t>
      </w:r>
      <w:r w:rsidR="00B7742F" w:rsidRPr="00C66720">
        <w:rPr>
          <w:rFonts w:ascii="Times New Roman" w:hAnsi="Times New Roman"/>
          <w:bCs/>
          <w:szCs w:val="22"/>
        </w:rPr>
        <w:t>, daň z príjmov vyberaná zrážkou (314 249 tis. eur)</w:t>
      </w:r>
      <w:r w:rsidRPr="00C66720">
        <w:rPr>
          <w:rFonts w:ascii="Times New Roman" w:hAnsi="Times New Roman"/>
          <w:bCs/>
          <w:szCs w:val="22"/>
        </w:rPr>
        <w:t xml:space="preserve"> a </w:t>
      </w:r>
      <w:r w:rsidRPr="00C66720">
        <w:rPr>
          <w:rFonts w:ascii="Times New Roman" w:hAnsi="Times New Roman"/>
          <w:bCs/>
          <w:szCs w:val="22"/>
          <w:u w:val="single"/>
        </w:rPr>
        <w:t>daň z motorových vozidiel</w:t>
      </w:r>
      <w:r w:rsidRPr="00C66720">
        <w:rPr>
          <w:rFonts w:ascii="Times New Roman" w:hAnsi="Times New Roman"/>
          <w:bCs/>
          <w:szCs w:val="22"/>
        </w:rPr>
        <w:t xml:space="preserve"> (</w:t>
      </w:r>
      <w:r w:rsidR="00B7742F" w:rsidRPr="00C66720">
        <w:rPr>
          <w:rFonts w:ascii="Times New Roman" w:hAnsi="Times New Roman"/>
          <w:bCs/>
          <w:szCs w:val="22"/>
        </w:rPr>
        <w:t>131 134</w:t>
      </w:r>
      <w:r w:rsidRPr="00C66720">
        <w:rPr>
          <w:rFonts w:ascii="Times New Roman" w:hAnsi="Times New Roman"/>
          <w:bCs/>
          <w:szCs w:val="22"/>
        </w:rPr>
        <w:t xml:space="preserve"> tis. eur). Na medziročnom </w:t>
      </w:r>
      <w:r w:rsidR="00E65BC0" w:rsidRPr="00C66720">
        <w:rPr>
          <w:rFonts w:ascii="Times New Roman" w:hAnsi="Times New Roman"/>
          <w:bCs/>
          <w:szCs w:val="22"/>
        </w:rPr>
        <w:t xml:space="preserve">náraste </w:t>
      </w:r>
      <w:r w:rsidRPr="00C66720">
        <w:rPr>
          <w:rFonts w:ascii="Times New Roman" w:hAnsi="Times New Roman"/>
          <w:bCs/>
          <w:szCs w:val="22"/>
        </w:rPr>
        <w:t>výnosov z daní sa najviac podieľala</w:t>
      </w:r>
      <w:r w:rsidR="006D1787" w:rsidRPr="00C66720">
        <w:rPr>
          <w:rFonts w:ascii="Times New Roman" w:hAnsi="Times New Roman"/>
          <w:bCs/>
          <w:szCs w:val="22"/>
        </w:rPr>
        <w:t xml:space="preserve"> daň z pridanej hodnoty o</w:t>
      </w:r>
      <w:r w:rsidR="00B7742F" w:rsidRPr="00C66720">
        <w:rPr>
          <w:rFonts w:ascii="Times New Roman" w:hAnsi="Times New Roman"/>
          <w:bCs/>
          <w:szCs w:val="22"/>
        </w:rPr>
        <w:t> 936 120</w:t>
      </w:r>
      <w:r w:rsidR="006D1787" w:rsidRPr="00C66720">
        <w:rPr>
          <w:rFonts w:ascii="Times New Roman" w:hAnsi="Times New Roman"/>
          <w:bCs/>
          <w:szCs w:val="22"/>
        </w:rPr>
        <w:t xml:space="preserve"> tis. eur, daň z príjmov právnických osôb o</w:t>
      </w:r>
      <w:r w:rsidR="00B7742F" w:rsidRPr="00C66720">
        <w:rPr>
          <w:rFonts w:ascii="Times New Roman" w:hAnsi="Times New Roman"/>
          <w:bCs/>
          <w:szCs w:val="22"/>
        </w:rPr>
        <w:t> 860 454</w:t>
      </w:r>
      <w:r w:rsidR="006D1787" w:rsidRPr="00C66720">
        <w:rPr>
          <w:rFonts w:ascii="Times New Roman" w:hAnsi="Times New Roman"/>
          <w:bCs/>
          <w:szCs w:val="22"/>
        </w:rPr>
        <w:t xml:space="preserve"> </w:t>
      </w:r>
      <w:r w:rsidR="00A710F1" w:rsidRPr="00C66720">
        <w:rPr>
          <w:rFonts w:ascii="Times New Roman" w:hAnsi="Times New Roman"/>
          <w:bCs/>
          <w:szCs w:val="22"/>
        </w:rPr>
        <w:t xml:space="preserve">tis. eur a </w:t>
      </w:r>
      <w:r w:rsidR="001226EF" w:rsidRPr="00C66720">
        <w:rPr>
          <w:rFonts w:ascii="Times New Roman" w:hAnsi="Times New Roman"/>
          <w:bCs/>
          <w:szCs w:val="22"/>
        </w:rPr>
        <w:t>spotrebné dane o</w:t>
      </w:r>
      <w:r w:rsidR="00B7742F" w:rsidRPr="00C66720">
        <w:rPr>
          <w:rFonts w:ascii="Times New Roman" w:hAnsi="Times New Roman"/>
          <w:bCs/>
          <w:szCs w:val="22"/>
        </w:rPr>
        <w:t> 147 824</w:t>
      </w:r>
      <w:r w:rsidR="001226EF" w:rsidRPr="00C66720">
        <w:rPr>
          <w:rFonts w:ascii="Times New Roman" w:hAnsi="Times New Roman"/>
          <w:bCs/>
          <w:szCs w:val="22"/>
        </w:rPr>
        <w:t xml:space="preserve"> tis. eur. </w:t>
      </w:r>
      <w:r w:rsidR="00A710F1" w:rsidRPr="00C66720">
        <w:rPr>
          <w:rFonts w:ascii="Times New Roman" w:hAnsi="Times New Roman"/>
          <w:bCs/>
          <w:szCs w:val="22"/>
        </w:rPr>
        <w:t>Výnos z dane z</w:t>
      </w:r>
      <w:r w:rsidR="00B7742F" w:rsidRPr="00C66720">
        <w:rPr>
          <w:rFonts w:ascii="Times New Roman" w:hAnsi="Times New Roman"/>
          <w:bCs/>
          <w:szCs w:val="22"/>
        </w:rPr>
        <w:t> príjmov vyberaných zrážkou bol medziročnej nižší o 3 532 tis. eur.</w:t>
      </w:r>
    </w:p>
    <w:p w14:paraId="3DC282C2" w14:textId="7F83EC17" w:rsidR="00DF13EC" w:rsidRPr="00C66720" w:rsidRDefault="00DF13EC" w:rsidP="006F3257">
      <w:pPr>
        <w:pStyle w:val="Odsekzoznamu"/>
        <w:spacing w:after="120" w:line="240" w:lineRule="auto"/>
        <w:ind w:left="0"/>
        <w:contextualSpacing w:val="0"/>
        <w:jc w:val="both"/>
        <w:rPr>
          <w:rFonts w:ascii="Times New Roman" w:hAnsi="Times New Roman"/>
          <w:bCs/>
          <w:szCs w:val="22"/>
        </w:rPr>
      </w:pPr>
      <w:r w:rsidRPr="00C66720">
        <w:rPr>
          <w:rFonts w:ascii="Times New Roman" w:hAnsi="Times New Roman"/>
          <w:bCs/>
          <w:szCs w:val="22"/>
        </w:rPr>
        <w:t xml:space="preserve">Daň z príjmov fyzických osôb je podľa zákona č. 564/2004 Z. z. o rozpočtovom určení výnosu dane z príjmov územnej samospráve v znení neskorších predpisov podielovo rozdeľovaná medzi obce a vyššie územné celky. Výnosy z tejto dane sa od roku 2016 rozdeľujú pomerom 70 % v prospech obcí a 30 % v prospech vyšších územných celkov. </w:t>
      </w:r>
      <w:r w:rsidR="001679A2" w:rsidRPr="00C66720">
        <w:rPr>
          <w:rFonts w:ascii="Times New Roman" w:hAnsi="Times New Roman"/>
          <w:bCs/>
          <w:szCs w:val="22"/>
        </w:rPr>
        <w:t>Za rok 202</w:t>
      </w:r>
      <w:r w:rsidR="00951542" w:rsidRPr="00C66720">
        <w:rPr>
          <w:rFonts w:ascii="Times New Roman" w:hAnsi="Times New Roman"/>
          <w:bCs/>
          <w:szCs w:val="22"/>
        </w:rPr>
        <w:t>2</w:t>
      </w:r>
      <w:r w:rsidRPr="00C66720">
        <w:rPr>
          <w:rFonts w:ascii="Times New Roman" w:hAnsi="Times New Roman"/>
          <w:bCs/>
          <w:szCs w:val="22"/>
        </w:rPr>
        <w:t xml:space="preserve"> sa previedlo do rozpočtu obcí a VUC spolu </w:t>
      </w:r>
      <w:r w:rsidR="00951542" w:rsidRPr="00C66720">
        <w:rPr>
          <w:rFonts w:ascii="Times New Roman" w:hAnsi="Times New Roman"/>
          <w:bCs/>
          <w:szCs w:val="22"/>
        </w:rPr>
        <w:t>3 607 814</w:t>
      </w:r>
      <w:r w:rsidR="001679A2" w:rsidRPr="00C66720">
        <w:rPr>
          <w:rFonts w:ascii="Times New Roman" w:hAnsi="Times New Roman"/>
          <w:bCs/>
          <w:szCs w:val="22"/>
        </w:rPr>
        <w:t xml:space="preserve"> tis. eur </w:t>
      </w:r>
      <w:r w:rsidRPr="00C66720">
        <w:rPr>
          <w:rFonts w:ascii="Times New Roman" w:hAnsi="Times New Roman"/>
          <w:bCs/>
          <w:szCs w:val="22"/>
        </w:rPr>
        <w:t>z dane z príjmov fyzických osôb.</w:t>
      </w:r>
    </w:p>
    <w:p w14:paraId="583BB508" w14:textId="027A418A" w:rsidR="00F85838" w:rsidRDefault="00DF13EC" w:rsidP="001F6B76">
      <w:pPr>
        <w:pStyle w:val="Odsekzoznamu"/>
        <w:spacing w:after="120" w:line="240" w:lineRule="auto"/>
        <w:ind w:left="0"/>
        <w:contextualSpacing w:val="0"/>
        <w:jc w:val="both"/>
        <w:rPr>
          <w:rFonts w:ascii="Times New Roman" w:hAnsi="Times New Roman"/>
          <w:bCs/>
          <w:szCs w:val="22"/>
        </w:rPr>
      </w:pPr>
      <w:r w:rsidRPr="00C66720">
        <w:rPr>
          <w:rFonts w:ascii="Times New Roman" w:hAnsi="Times New Roman"/>
          <w:bCs/>
          <w:szCs w:val="22"/>
        </w:rPr>
        <w:t>Výnosy zo spotrebných daní</w:t>
      </w:r>
      <w:r w:rsidR="001226EF" w:rsidRPr="00C66720">
        <w:rPr>
          <w:rFonts w:ascii="Times New Roman" w:hAnsi="Times New Roman"/>
          <w:bCs/>
          <w:szCs w:val="22"/>
        </w:rPr>
        <w:t xml:space="preserve"> sa medziročne </w:t>
      </w:r>
      <w:r w:rsidR="0091312E" w:rsidRPr="00C66720">
        <w:rPr>
          <w:rFonts w:ascii="Times New Roman" w:hAnsi="Times New Roman"/>
          <w:bCs/>
          <w:szCs w:val="22"/>
        </w:rPr>
        <w:t xml:space="preserve">zvýšili </w:t>
      </w:r>
      <w:r w:rsidRPr="00C66720">
        <w:rPr>
          <w:rFonts w:ascii="Times New Roman" w:hAnsi="Times New Roman"/>
          <w:bCs/>
          <w:szCs w:val="22"/>
        </w:rPr>
        <w:t>o</w:t>
      </w:r>
      <w:r w:rsidR="0046743B" w:rsidRPr="00C66720">
        <w:rPr>
          <w:rFonts w:ascii="Times New Roman" w:hAnsi="Times New Roman"/>
          <w:bCs/>
          <w:szCs w:val="22"/>
        </w:rPr>
        <w:t> 147 824</w:t>
      </w:r>
      <w:r w:rsidRPr="00C66720">
        <w:rPr>
          <w:rFonts w:ascii="Times New Roman" w:hAnsi="Times New Roman"/>
          <w:bCs/>
          <w:szCs w:val="22"/>
        </w:rPr>
        <w:t xml:space="preserve"> tis. eur, pričom najvyšší podiel tvorí spotrebná daň z minerálnych olejov (</w:t>
      </w:r>
      <w:r w:rsidR="00242D4A" w:rsidRPr="00C66720">
        <w:rPr>
          <w:rFonts w:ascii="Times New Roman" w:hAnsi="Times New Roman"/>
          <w:bCs/>
          <w:szCs w:val="22"/>
        </w:rPr>
        <w:t>1 286 274</w:t>
      </w:r>
      <w:r w:rsidRPr="00C66720">
        <w:rPr>
          <w:rFonts w:ascii="Times New Roman" w:hAnsi="Times New Roman"/>
          <w:bCs/>
          <w:szCs w:val="22"/>
        </w:rPr>
        <w:t xml:space="preserve"> tis. eur), spotrebná daň z tabaku a tabakových výrobkov (</w:t>
      </w:r>
      <w:r w:rsidR="00242D4A" w:rsidRPr="00C66720">
        <w:rPr>
          <w:rFonts w:ascii="Times New Roman" w:hAnsi="Times New Roman"/>
          <w:bCs/>
          <w:szCs w:val="22"/>
        </w:rPr>
        <w:t>912 579</w:t>
      </w:r>
      <w:r w:rsidRPr="00C66720">
        <w:rPr>
          <w:rFonts w:ascii="Times New Roman" w:hAnsi="Times New Roman"/>
          <w:bCs/>
          <w:szCs w:val="22"/>
        </w:rPr>
        <w:t xml:space="preserve"> tis. eur) a spotrebná daň z liehu (</w:t>
      </w:r>
      <w:r w:rsidR="00242D4A" w:rsidRPr="00C66720">
        <w:rPr>
          <w:rFonts w:ascii="Times New Roman" w:hAnsi="Times New Roman"/>
          <w:bCs/>
          <w:szCs w:val="22"/>
        </w:rPr>
        <w:t>232 495</w:t>
      </w:r>
      <w:r w:rsidRPr="00C66720">
        <w:rPr>
          <w:rFonts w:ascii="Times New Roman" w:hAnsi="Times New Roman"/>
          <w:bCs/>
          <w:szCs w:val="22"/>
        </w:rPr>
        <w:t xml:space="preserve"> tis. eur). </w:t>
      </w:r>
      <w:r w:rsidR="00242D4A" w:rsidRPr="00C66720">
        <w:rPr>
          <w:rFonts w:ascii="Times New Roman" w:hAnsi="Times New Roman"/>
          <w:bCs/>
          <w:szCs w:val="22"/>
        </w:rPr>
        <w:t>Pokles</w:t>
      </w:r>
      <w:r w:rsidRPr="00C66720">
        <w:rPr>
          <w:rFonts w:ascii="Times New Roman" w:hAnsi="Times New Roman"/>
          <w:bCs/>
          <w:szCs w:val="22"/>
        </w:rPr>
        <w:t xml:space="preserve"> zaznamenala spotrebná d</w:t>
      </w:r>
      <w:r w:rsidR="001226EF" w:rsidRPr="00C66720">
        <w:rPr>
          <w:rFonts w:ascii="Times New Roman" w:hAnsi="Times New Roman"/>
          <w:bCs/>
          <w:szCs w:val="22"/>
        </w:rPr>
        <w:t>aň z </w:t>
      </w:r>
      <w:r w:rsidR="00242D4A" w:rsidRPr="00C66720">
        <w:rPr>
          <w:rFonts w:ascii="Times New Roman" w:hAnsi="Times New Roman"/>
          <w:bCs/>
          <w:szCs w:val="22"/>
        </w:rPr>
        <w:t>vína</w:t>
      </w:r>
      <w:r w:rsidR="001226EF" w:rsidRPr="00C66720">
        <w:rPr>
          <w:rFonts w:ascii="Times New Roman" w:hAnsi="Times New Roman"/>
          <w:bCs/>
          <w:szCs w:val="22"/>
        </w:rPr>
        <w:t xml:space="preserve"> o</w:t>
      </w:r>
      <w:r w:rsidR="00BD2C8A" w:rsidRPr="00C66720">
        <w:rPr>
          <w:rFonts w:ascii="Times New Roman" w:hAnsi="Times New Roman"/>
          <w:bCs/>
          <w:szCs w:val="22"/>
        </w:rPr>
        <w:t> </w:t>
      </w:r>
      <w:r w:rsidR="00242D4A" w:rsidRPr="00C66720">
        <w:rPr>
          <w:rFonts w:ascii="Times New Roman" w:hAnsi="Times New Roman"/>
          <w:bCs/>
          <w:szCs w:val="22"/>
        </w:rPr>
        <w:t>184</w:t>
      </w:r>
      <w:r w:rsidRPr="00C66720">
        <w:rPr>
          <w:rFonts w:ascii="Times New Roman" w:hAnsi="Times New Roman"/>
          <w:bCs/>
          <w:szCs w:val="22"/>
        </w:rPr>
        <w:t xml:space="preserve"> tis. eur a spotrebná daň z</w:t>
      </w:r>
      <w:r w:rsidR="00BD2C8A" w:rsidRPr="00C66720">
        <w:rPr>
          <w:rFonts w:ascii="Times New Roman" w:hAnsi="Times New Roman"/>
          <w:bCs/>
          <w:szCs w:val="22"/>
        </w:rPr>
        <w:t> </w:t>
      </w:r>
      <w:r w:rsidR="00242D4A" w:rsidRPr="00C66720">
        <w:rPr>
          <w:rFonts w:ascii="Times New Roman" w:hAnsi="Times New Roman"/>
          <w:bCs/>
          <w:szCs w:val="22"/>
        </w:rPr>
        <w:t>uhlia</w:t>
      </w:r>
      <w:r w:rsidR="00BD2C8A" w:rsidRPr="00C66720">
        <w:rPr>
          <w:rFonts w:ascii="Times New Roman" w:hAnsi="Times New Roman"/>
          <w:bCs/>
          <w:szCs w:val="22"/>
        </w:rPr>
        <w:t xml:space="preserve"> </w:t>
      </w:r>
      <w:r w:rsidRPr="00C66720">
        <w:rPr>
          <w:rFonts w:ascii="Times New Roman" w:hAnsi="Times New Roman"/>
          <w:bCs/>
          <w:szCs w:val="22"/>
        </w:rPr>
        <w:t>o</w:t>
      </w:r>
      <w:r w:rsidR="00BD2C8A" w:rsidRPr="00C66720">
        <w:rPr>
          <w:rFonts w:ascii="Times New Roman" w:hAnsi="Times New Roman"/>
          <w:bCs/>
          <w:szCs w:val="22"/>
        </w:rPr>
        <w:t> </w:t>
      </w:r>
      <w:r w:rsidR="00242D4A" w:rsidRPr="00C66720">
        <w:rPr>
          <w:rFonts w:ascii="Times New Roman" w:hAnsi="Times New Roman"/>
          <w:bCs/>
          <w:szCs w:val="22"/>
        </w:rPr>
        <w:t>4</w:t>
      </w:r>
      <w:r w:rsidRPr="00C66720">
        <w:rPr>
          <w:rFonts w:ascii="Times New Roman" w:hAnsi="Times New Roman"/>
          <w:bCs/>
          <w:szCs w:val="22"/>
        </w:rPr>
        <w:t xml:space="preserve"> tis. eur.</w:t>
      </w:r>
      <w:r w:rsidR="001226EF" w:rsidRPr="00C66720">
        <w:rPr>
          <w:rFonts w:ascii="Times New Roman" w:hAnsi="Times New Roman"/>
          <w:bCs/>
          <w:szCs w:val="22"/>
        </w:rPr>
        <w:t xml:space="preserve"> Zo spotrebných daní najviac vzrástla spotrebná daň z tabakových výrobkov</w:t>
      </w:r>
      <w:r w:rsidR="00A10C50" w:rsidRPr="00C66720">
        <w:rPr>
          <w:rFonts w:ascii="Times New Roman" w:hAnsi="Times New Roman"/>
          <w:bCs/>
          <w:szCs w:val="22"/>
        </w:rPr>
        <w:t xml:space="preserve"> o</w:t>
      </w:r>
      <w:r w:rsidR="00242D4A" w:rsidRPr="00C66720">
        <w:rPr>
          <w:rFonts w:ascii="Times New Roman" w:hAnsi="Times New Roman"/>
          <w:bCs/>
          <w:szCs w:val="22"/>
        </w:rPr>
        <w:t> 78 413</w:t>
      </w:r>
      <w:r w:rsidR="00A10C50" w:rsidRPr="00C66720">
        <w:rPr>
          <w:rFonts w:ascii="Times New Roman" w:hAnsi="Times New Roman"/>
          <w:bCs/>
          <w:szCs w:val="22"/>
        </w:rPr>
        <w:t xml:space="preserve"> tis. eur.</w:t>
      </w:r>
      <w:r w:rsidR="00121244" w:rsidRPr="00C66720">
        <w:rPr>
          <w:rFonts w:ascii="Times New Roman" w:hAnsi="Times New Roman"/>
          <w:bCs/>
          <w:szCs w:val="22"/>
        </w:rPr>
        <w:t xml:space="preserve"> </w:t>
      </w:r>
    </w:p>
    <w:p w14:paraId="755BBA4F" w14:textId="55EDE587" w:rsidR="00F34C97" w:rsidRPr="00F34C97" w:rsidRDefault="00F34C97" w:rsidP="00F34C97">
      <w:pPr>
        <w:pStyle w:val="Odsekzoznamu"/>
        <w:spacing w:after="240" w:line="240" w:lineRule="auto"/>
        <w:ind w:left="0"/>
        <w:contextualSpacing w:val="0"/>
        <w:jc w:val="both"/>
        <w:rPr>
          <w:rFonts w:ascii="Times New Roman" w:hAnsi="Times New Roman"/>
          <w:bCs/>
          <w:szCs w:val="22"/>
        </w:rPr>
      </w:pPr>
      <w:r>
        <w:rPr>
          <w:rFonts w:ascii="Times New Roman" w:hAnsi="Times New Roman"/>
          <w:bCs/>
          <w:szCs w:val="22"/>
        </w:rPr>
        <w:t>Vplyv na medziročné zvýšenie výnosov z</w:t>
      </w:r>
      <w:r w:rsidR="00624D55">
        <w:rPr>
          <w:rFonts w:ascii="Times New Roman" w:hAnsi="Times New Roman"/>
          <w:bCs/>
          <w:szCs w:val="22"/>
        </w:rPr>
        <w:t> DPH a dane z príjmov právnických osôb</w:t>
      </w:r>
      <w:r>
        <w:rPr>
          <w:rFonts w:ascii="Times New Roman" w:hAnsi="Times New Roman"/>
          <w:bCs/>
          <w:szCs w:val="22"/>
        </w:rPr>
        <w:t xml:space="preserve"> (aj reálnych rozpočtových príjmov) </w:t>
      </w:r>
      <w:r w:rsidR="00624D55">
        <w:rPr>
          <w:rFonts w:ascii="Times New Roman" w:hAnsi="Times New Roman"/>
          <w:bCs/>
          <w:szCs w:val="22"/>
        </w:rPr>
        <w:t>mal</w:t>
      </w:r>
      <w:r w:rsidRPr="00F34C97">
        <w:rPr>
          <w:rFonts w:ascii="Times New Roman" w:hAnsi="Times New Roman"/>
          <w:bCs/>
          <w:szCs w:val="22"/>
        </w:rPr>
        <w:t xml:space="preserve"> pozitívn</w:t>
      </w:r>
      <w:r w:rsidR="00624D55">
        <w:rPr>
          <w:rFonts w:ascii="Times New Roman" w:hAnsi="Times New Roman"/>
          <w:bCs/>
          <w:szCs w:val="22"/>
        </w:rPr>
        <w:t>y</w:t>
      </w:r>
      <w:r w:rsidRPr="00F34C97">
        <w:rPr>
          <w:rFonts w:ascii="Times New Roman" w:hAnsi="Times New Roman"/>
          <w:bCs/>
          <w:szCs w:val="22"/>
        </w:rPr>
        <w:t xml:space="preserve"> vývoj ekonomickej situácie </w:t>
      </w:r>
      <w:r w:rsidR="00624D55">
        <w:rPr>
          <w:rFonts w:ascii="Times New Roman" w:hAnsi="Times New Roman"/>
          <w:bCs/>
          <w:szCs w:val="22"/>
        </w:rPr>
        <w:t>ako aj</w:t>
      </w:r>
      <w:r w:rsidRPr="00F34C97">
        <w:rPr>
          <w:rFonts w:ascii="Times New Roman" w:hAnsi="Times New Roman"/>
          <w:bCs/>
          <w:szCs w:val="22"/>
        </w:rPr>
        <w:t xml:space="preserve"> vysoké ceny ropy na svetových trhoch a masívny rozbeh výroby zaznamenaný v automobilovom priemysle</w:t>
      </w:r>
      <w:r w:rsidR="00624D55">
        <w:rPr>
          <w:rFonts w:ascii="Times New Roman" w:hAnsi="Times New Roman"/>
          <w:bCs/>
          <w:szCs w:val="22"/>
        </w:rPr>
        <w:t xml:space="preserve"> či</w:t>
      </w:r>
      <w:r w:rsidRPr="00F34C97">
        <w:rPr>
          <w:rFonts w:ascii="Times New Roman" w:hAnsi="Times New Roman"/>
          <w:bCs/>
          <w:szCs w:val="22"/>
        </w:rPr>
        <w:t xml:space="preserve"> vyššia spotreba domácností. Výnosy z dane z príjmov právnických osôb zaznamenali zvýšenie oproti minulému roku, dôvodom boli najmä vyššie daňové povinnosti vyčíslené daňovými subjektami v daňových priznaniach za rok 2021 a z toho vyplývajúce vyššie predpisy preddavkov na </w:t>
      </w:r>
      <w:r w:rsidR="00624D55">
        <w:rPr>
          <w:rFonts w:ascii="Times New Roman" w:hAnsi="Times New Roman"/>
          <w:bCs/>
          <w:szCs w:val="22"/>
        </w:rPr>
        <w:t>daň</w:t>
      </w:r>
      <w:r w:rsidRPr="00F34C97">
        <w:rPr>
          <w:rFonts w:ascii="Times New Roman" w:hAnsi="Times New Roman"/>
          <w:bCs/>
          <w:szCs w:val="22"/>
        </w:rPr>
        <w:t xml:space="preserve"> na rok 2022.</w:t>
      </w:r>
    </w:p>
    <w:p w14:paraId="6923F441" w14:textId="7D912B1D" w:rsidR="000A149C" w:rsidRPr="00C66720" w:rsidRDefault="000A149C" w:rsidP="00D043B6">
      <w:pPr>
        <w:pStyle w:val="Pismenka"/>
        <w:numPr>
          <w:ilvl w:val="0"/>
          <w:numId w:val="44"/>
        </w:numPr>
        <w:spacing w:before="120" w:after="120"/>
        <w:ind w:left="284" w:hanging="284"/>
        <w:rPr>
          <w:i/>
          <w:sz w:val="22"/>
          <w:szCs w:val="22"/>
          <w:u w:val="single"/>
        </w:rPr>
      </w:pPr>
      <w:bookmarkStart w:id="49" w:name="_Ref86186319"/>
      <w:r w:rsidRPr="00C66720">
        <w:rPr>
          <w:i/>
          <w:sz w:val="22"/>
          <w:szCs w:val="22"/>
          <w:u w:val="single"/>
        </w:rPr>
        <w:lastRenderedPageBreak/>
        <w:t>Daňové výnosy územnej samosprávy</w:t>
      </w:r>
      <w:bookmarkEnd w:id="49"/>
    </w:p>
    <w:p w14:paraId="486C9ED4" w14:textId="0DF47438" w:rsidR="00DF13EC" w:rsidRPr="00C66720" w:rsidRDefault="00DF13EC" w:rsidP="00B04D98">
      <w:pPr>
        <w:pStyle w:val="Odsekzoznamu"/>
        <w:spacing w:after="240" w:line="240" w:lineRule="auto"/>
        <w:ind w:left="0"/>
        <w:contextualSpacing w:val="0"/>
        <w:jc w:val="both"/>
        <w:rPr>
          <w:rFonts w:ascii="Times New Roman" w:hAnsi="Times New Roman"/>
          <w:bCs/>
          <w:szCs w:val="22"/>
        </w:rPr>
      </w:pPr>
      <w:r w:rsidRPr="00C66720">
        <w:rPr>
          <w:rFonts w:ascii="Times New Roman" w:hAnsi="Times New Roman"/>
          <w:bCs/>
          <w:szCs w:val="22"/>
        </w:rPr>
        <w:t xml:space="preserve">Daňové výnosy územnej samosprávy dosiahli hodnotu </w:t>
      </w:r>
      <w:r w:rsidR="00C3619A" w:rsidRPr="00C66720">
        <w:rPr>
          <w:rFonts w:ascii="Times New Roman" w:hAnsi="Times New Roman"/>
          <w:bCs/>
          <w:szCs w:val="22"/>
        </w:rPr>
        <w:t>4 053 990</w:t>
      </w:r>
      <w:r w:rsidRPr="00C66720">
        <w:rPr>
          <w:rFonts w:ascii="Times New Roman" w:hAnsi="Times New Roman"/>
          <w:bCs/>
          <w:szCs w:val="22"/>
        </w:rPr>
        <w:t xml:space="preserve"> tis. eur a medziročne sú vyššie</w:t>
      </w:r>
      <w:r w:rsidRPr="00C66720">
        <w:rPr>
          <w:rFonts w:ascii="Times New Roman" w:hAnsi="Times New Roman"/>
          <w:bCs/>
          <w:szCs w:val="22"/>
        </w:rPr>
        <w:br/>
        <w:t>o </w:t>
      </w:r>
      <w:r w:rsidR="00C3619A" w:rsidRPr="00C66720">
        <w:rPr>
          <w:rFonts w:ascii="Times New Roman" w:hAnsi="Times New Roman"/>
          <w:bCs/>
          <w:szCs w:val="22"/>
        </w:rPr>
        <w:t>327 902</w:t>
      </w:r>
      <w:r w:rsidR="009C28C3" w:rsidRPr="00C66720">
        <w:rPr>
          <w:rFonts w:ascii="Times New Roman" w:hAnsi="Times New Roman"/>
          <w:bCs/>
          <w:szCs w:val="22"/>
        </w:rPr>
        <w:t xml:space="preserve"> tis. eur, pričom na rast mal vplyv </w:t>
      </w:r>
      <w:r w:rsidR="00624D55">
        <w:rPr>
          <w:rFonts w:ascii="Times New Roman" w:hAnsi="Times New Roman"/>
          <w:bCs/>
          <w:szCs w:val="22"/>
        </w:rPr>
        <w:t>silný pracovný</w:t>
      </w:r>
      <w:r w:rsidR="00624D55" w:rsidRPr="00C66720">
        <w:rPr>
          <w:rFonts w:ascii="Times New Roman" w:hAnsi="Times New Roman"/>
          <w:bCs/>
          <w:szCs w:val="22"/>
        </w:rPr>
        <w:t xml:space="preserve"> </w:t>
      </w:r>
      <w:r w:rsidR="00B04D98" w:rsidRPr="00C66720">
        <w:rPr>
          <w:rFonts w:ascii="Times New Roman" w:hAnsi="Times New Roman"/>
          <w:bCs/>
          <w:szCs w:val="22"/>
        </w:rPr>
        <w:t>trh, ktorý podporil rast nominálnych miezd a rýchlejšie rástla aj zamestnanosť. Mzdová báza, ktorá je najvýznamnejšou základňou pre daň z príjmu fyzických osôb, ktorá sa odvádza do rozpočtov obcí a vyšších územných celkov, rástla výrazne rýchlejšie.</w:t>
      </w:r>
      <w:r w:rsidR="009C28C3" w:rsidRPr="00C66720">
        <w:rPr>
          <w:rFonts w:ascii="Times New Roman" w:hAnsi="Times New Roman"/>
          <w:bCs/>
          <w:szCs w:val="22"/>
        </w:rPr>
        <w:t xml:space="preserve"> </w:t>
      </w:r>
      <w:r w:rsidRPr="00C66720">
        <w:rPr>
          <w:rFonts w:ascii="Times New Roman" w:hAnsi="Times New Roman"/>
          <w:bCs/>
          <w:szCs w:val="22"/>
        </w:rPr>
        <w:t xml:space="preserve">Obce vykázali </w:t>
      </w:r>
      <w:r w:rsidR="00D83C3A">
        <w:rPr>
          <w:rFonts w:ascii="Times New Roman" w:hAnsi="Times New Roman"/>
          <w:bCs/>
          <w:szCs w:val="22"/>
        </w:rPr>
        <w:t xml:space="preserve">celkovú </w:t>
      </w:r>
      <w:r w:rsidRPr="00C66720">
        <w:rPr>
          <w:rFonts w:ascii="Times New Roman" w:hAnsi="Times New Roman"/>
          <w:bCs/>
          <w:szCs w:val="22"/>
        </w:rPr>
        <w:t>hodnotu</w:t>
      </w:r>
      <w:r w:rsidR="00802596" w:rsidRPr="00C66720">
        <w:rPr>
          <w:rFonts w:ascii="Times New Roman" w:hAnsi="Times New Roman"/>
          <w:bCs/>
          <w:szCs w:val="22"/>
        </w:rPr>
        <w:t xml:space="preserve"> </w:t>
      </w:r>
      <w:r w:rsidR="006914CA" w:rsidRPr="00C66720">
        <w:rPr>
          <w:rFonts w:ascii="Times New Roman" w:hAnsi="Times New Roman"/>
          <w:bCs/>
          <w:szCs w:val="22"/>
        </w:rPr>
        <w:t>3 011</w:t>
      </w:r>
      <w:r w:rsidR="00B04D98" w:rsidRPr="00C66720">
        <w:rPr>
          <w:rFonts w:ascii="Times New Roman" w:hAnsi="Times New Roman"/>
          <w:bCs/>
          <w:szCs w:val="22"/>
        </w:rPr>
        <w:t> </w:t>
      </w:r>
      <w:r w:rsidR="006914CA" w:rsidRPr="00C66720">
        <w:rPr>
          <w:rFonts w:ascii="Times New Roman" w:hAnsi="Times New Roman"/>
          <w:bCs/>
          <w:szCs w:val="22"/>
        </w:rPr>
        <w:t>687</w:t>
      </w:r>
      <w:r w:rsidR="00B04D98" w:rsidRPr="00C66720">
        <w:rPr>
          <w:rFonts w:ascii="Times New Roman" w:hAnsi="Times New Roman"/>
          <w:bCs/>
          <w:szCs w:val="22"/>
        </w:rPr>
        <w:t xml:space="preserve"> </w:t>
      </w:r>
      <w:r w:rsidR="006914CA" w:rsidRPr="00C66720">
        <w:rPr>
          <w:rFonts w:ascii="Times New Roman" w:hAnsi="Times New Roman"/>
          <w:bCs/>
          <w:szCs w:val="22"/>
        </w:rPr>
        <w:t>tis. eur (2021</w:t>
      </w:r>
      <w:r w:rsidRPr="00C66720">
        <w:rPr>
          <w:rFonts w:ascii="Times New Roman" w:hAnsi="Times New Roman"/>
          <w:bCs/>
          <w:szCs w:val="22"/>
        </w:rPr>
        <w:t xml:space="preserve">: </w:t>
      </w:r>
      <w:r w:rsidR="006914CA" w:rsidRPr="00C66720">
        <w:rPr>
          <w:rFonts w:ascii="Times New Roman" w:hAnsi="Times New Roman"/>
          <w:bCs/>
          <w:szCs w:val="22"/>
        </w:rPr>
        <w:t xml:space="preserve">2 742 698 </w:t>
      </w:r>
      <w:r w:rsidRPr="00C66720">
        <w:rPr>
          <w:rFonts w:ascii="Times New Roman" w:hAnsi="Times New Roman"/>
          <w:bCs/>
          <w:szCs w:val="22"/>
        </w:rPr>
        <w:t>tis. eur) a vyššie územné celky</w:t>
      </w:r>
      <w:r w:rsidR="00802596" w:rsidRPr="00C66720">
        <w:rPr>
          <w:rFonts w:ascii="Times New Roman" w:hAnsi="Times New Roman"/>
          <w:bCs/>
          <w:szCs w:val="22"/>
        </w:rPr>
        <w:t xml:space="preserve"> </w:t>
      </w:r>
      <w:r w:rsidR="006914CA" w:rsidRPr="00C66720">
        <w:rPr>
          <w:rFonts w:ascii="Times New Roman" w:hAnsi="Times New Roman"/>
          <w:bCs/>
          <w:szCs w:val="22"/>
        </w:rPr>
        <w:t>1 082 344 tis. eur (2021</w:t>
      </w:r>
      <w:r w:rsidRPr="00C66720">
        <w:rPr>
          <w:rFonts w:ascii="Times New Roman" w:hAnsi="Times New Roman"/>
          <w:bCs/>
          <w:szCs w:val="22"/>
        </w:rPr>
        <w:t xml:space="preserve">: </w:t>
      </w:r>
      <w:r w:rsidR="006914CA" w:rsidRPr="00C66720">
        <w:rPr>
          <w:rFonts w:ascii="Times New Roman" w:hAnsi="Times New Roman"/>
          <w:bCs/>
          <w:szCs w:val="22"/>
        </w:rPr>
        <w:t xml:space="preserve">983 390 </w:t>
      </w:r>
      <w:r w:rsidRPr="00C66720">
        <w:rPr>
          <w:rFonts w:ascii="Times New Roman" w:hAnsi="Times New Roman"/>
          <w:bCs/>
          <w:szCs w:val="22"/>
        </w:rPr>
        <w:t>tis. eur).</w:t>
      </w:r>
    </w:p>
    <w:p w14:paraId="1EFC4401" w14:textId="7E967E86" w:rsidR="00F56C38" w:rsidRPr="00C66720" w:rsidRDefault="00F56C38" w:rsidP="00D043B6">
      <w:pPr>
        <w:pStyle w:val="Pismenka"/>
        <w:numPr>
          <w:ilvl w:val="0"/>
          <w:numId w:val="44"/>
        </w:numPr>
        <w:spacing w:before="120" w:after="120"/>
        <w:ind w:left="284" w:hanging="284"/>
        <w:rPr>
          <w:i/>
          <w:sz w:val="22"/>
          <w:szCs w:val="22"/>
          <w:u w:val="single"/>
        </w:rPr>
      </w:pPr>
      <w:bookmarkStart w:id="50" w:name="_Ref86186327"/>
      <w:r w:rsidRPr="00C66720">
        <w:rPr>
          <w:i/>
          <w:sz w:val="22"/>
          <w:szCs w:val="22"/>
          <w:u w:val="single"/>
        </w:rPr>
        <w:t>Poplatky</w:t>
      </w:r>
      <w:bookmarkEnd w:id="50"/>
    </w:p>
    <w:p w14:paraId="0A1615DE" w14:textId="59CD6425" w:rsidR="00DF13EC" w:rsidRPr="00C66720" w:rsidRDefault="00DF13EC" w:rsidP="006F3257">
      <w:pPr>
        <w:pStyle w:val="Odsekzoznamu"/>
        <w:spacing w:before="120" w:after="0" w:line="240" w:lineRule="auto"/>
        <w:ind w:left="0"/>
        <w:contextualSpacing w:val="0"/>
        <w:jc w:val="both"/>
        <w:rPr>
          <w:rFonts w:ascii="Times New Roman" w:hAnsi="Times New Roman"/>
          <w:bCs/>
          <w:szCs w:val="22"/>
        </w:rPr>
      </w:pPr>
      <w:r w:rsidRPr="00C66720">
        <w:rPr>
          <w:rFonts w:ascii="Times New Roman" w:hAnsi="Times New Roman"/>
          <w:bCs/>
          <w:szCs w:val="22"/>
        </w:rPr>
        <w:t xml:space="preserve">Výnosy z poplatkov dosiahli </w:t>
      </w:r>
      <w:r w:rsidR="00C93F7D" w:rsidRPr="00C66720">
        <w:rPr>
          <w:rFonts w:ascii="Times New Roman" w:hAnsi="Times New Roman"/>
          <w:bCs/>
          <w:szCs w:val="22"/>
        </w:rPr>
        <w:t>1 199 778</w:t>
      </w:r>
      <w:r w:rsidRPr="00C66720">
        <w:rPr>
          <w:rFonts w:ascii="Times New Roman" w:hAnsi="Times New Roman"/>
          <w:bCs/>
          <w:szCs w:val="22"/>
        </w:rPr>
        <w:t xml:space="preserve"> tis. eur, pričom v porovnaní s rokom </w:t>
      </w:r>
      <w:r w:rsidR="00343BAC" w:rsidRPr="00C66720">
        <w:rPr>
          <w:rFonts w:ascii="Times New Roman" w:hAnsi="Times New Roman"/>
          <w:bCs/>
          <w:szCs w:val="22"/>
        </w:rPr>
        <w:t>202</w:t>
      </w:r>
      <w:r w:rsidR="00670F92" w:rsidRPr="00C66720">
        <w:rPr>
          <w:rFonts w:ascii="Times New Roman" w:hAnsi="Times New Roman"/>
          <w:bCs/>
          <w:szCs w:val="22"/>
        </w:rPr>
        <w:t>1</w:t>
      </w:r>
      <w:r w:rsidRPr="00C66720">
        <w:rPr>
          <w:rFonts w:ascii="Times New Roman" w:hAnsi="Times New Roman"/>
          <w:bCs/>
          <w:szCs w:val="22"/>
        </w:rPr>
        <w:t xml:space="preserve"> boli </w:t>
      </w:r>
      <w:r w:rsidR="00343BAC" w:rsidRPr="00C66720">
        <w:rPr>
          <w:rFonts w:ascii="Times New Roman" w:hAnsi="Times New Roman"/>
          <w:bCs/>
          <w:szCs w:val="22"/>
        </w:rPr>
        <w:t>vyššie</w:t>
      </w:r>
      <w:r w:rsidRPr="00C66720">
        <w:rPr>
          <w:rFonts w:ascii="Times New Roman" w:hAnsi="Times New Roman"/>
          <w:bCs/>
          <w:szCs w:val="22"/>
        </w:rPr>
        <w:t xml:space="preserve"> </w:t>
      </w:r>
      <w:r w:rsidRPr="00C66720">
        <w:rPr>
          <w:rFonts w:ascii="Times New Roman" w:hAnsi="Times New Roman"/>
          <w:bCs/>
          <w:szCs w:val="22"/>
        </w:rPr>
        <w:br/>
        <w:t>o </w:t>
      </w:r>
      <w:r w:rsidR="00C93F7D" w:rsidRPr="00C66720">
        <w:rPr>
          <w:rFonts w:ascii="Times New Roman" w:hAnsi="Times New Roman"/>
          <w:bCs/>
          <w:szCs w:val="22"/>
        </w:rPr>
        <w:t>107 478</w:t>
      </w:r>
      <w:r w:rsidRPr="00C66720">
        <w:rPr>
          <w:rFonts w:ascii="Times New Roman" w:hAnsi="Times New Roman"/>
          <w:bCs/>
          <w:szCs w:val="22"/>
        </w:rPr>
        <w:t xml:space="preserve"> tis. eur. Najvyššiu hodnotu v súhrnnom celku vykazuje Ministerstvo financií SR</w:t>
      </w:r>
      <w:r w:rsidRPr="00C66720">
        <w:rPr>
          <w:rFonts w:ascii="Times New Roman" w:hAnsi="Times New Roman"/>
          <w:bCs/>
          <w:szCs w:val="22"/>
        </w:rPr>
        <w:br/>
      </w:r>
      <w:r w:rsidR="00C93F7D" w:rsidRPr="00C66720">
        <w:rPr>
          <w:rFonts w:ascii="Times New Roman" w:hAnsi="Times New Roman"/>
          <w:bCs/>
          <w:szCs w:val="22"/>
        </w:rPr>
        <w:t>413 120</w:t>
      </w:r>
      <w:r w:rsidRPr="00C66720">
        <w:rPr>
          <w:rFonts w:ascii="Times New Roman" w:hAnsi="Times New Roman"/>
          <w:bCs/>
          <w:szCs w:val="22"/>
        </w:rPr>
        <w:t xml:space="preserve"> tis. eur z predaja elektronických kolkov, zo súdnych a správnych poplatkov a z poplatkov za hazardné hry. </w:t>
      </w:r>
      <w:r w:rsidR="00EB686B" w:rsidRPr="00C66720">
        <w:rPr>
          <w:rFonts w:ascii="Times New Roman" w:hAnsi="Times New Roman"/>
          <w:bCs/>
          <w:szCs w:val="22"/>
        </w:rPr>
        <w:t xml:space="preserve">Environmentálny fond vykázal 389 465 tis. eur </w:t>
      </w:r>
      <w:r w:rsidR="0080722E" w:rsidRPr="00C66720">
        <w:rPr>
          <w:rFonts w:ascii="Times New Roman" w:hAnsi="Times New Roman"/>
          <w:bCs/>
          <w:szCs w:val="22"/>
        </w:rPr>
        <w:t xml:space="preserve">z predaja emisných kvót, poplatkov za znečisťovanie ovzdušia, poplatkov za skládky a odkaliská a ďalších druhov poplatkov. </w:t>
      </w:r>
      <w:r w:rsidRPr="00C66720">
        <w:rPr>
          <w:rFonts w:ascii="Times New Roman" w:hAnsi="Times New Roman"/>
          <w:bCs/>
          <w:szCs w:val="22"/>
        </w:rPr>
        <w:t xml:space="preserve">Obce dosiahli úhrnom </w:t>
      </w:r>
      <w:r w:rsidR="00E872BC" w:rsidRPr="00C66720">
        <w:rPr>
          <w:rFonts w:ascii="Times New Roman" w:hAnsi="Times New Roman"/>
          <w:bCs/>
          <w:szCs w:val="22"/>
        </w:rPr>
        <w:t>266 190</w:t>
      </w:r>
      <w:r w:rsidRPr="00C66720">
        <w:rPr>
          <w:rFonts w:ascii="Times New Roman" w:hAnsi="Times New Roman"/>
          <w:bCs/>
          <w:szCs w:val="22"/>
        </w:rPr>
        <w:t xml:space="preserve"> tis. eur z úhrad za miestne poplatky</w:t>
      </w:r>
      <w:r w:rsidR="00E872BC" w:rsidRPr="00C66720">
        <w:rPr>
          <w:rFonts w:ascii="Times New Roman" w:hAnsi="Times New Roman"/>
          <w:bCs/>
          <w:szCs w:val="22"/>
        </w:rPr>
        <w:t xml:space="preserve">. </w:t>
      </w:r>
      <w:r w:rsidRPr="00C66720">
        <w:rPr>
          <w:rFonts w:ascii="Times New Roman" w:hAnsi="Times New Roman"/>
          <w:bCs/>
          <w:szCs w:val="22"/>
        </w:rPr>
        <w:t xml:space="preserve">Rozhlas a televízia Slovenska </w:t>
      </w:r>
      <w:r w:rsidR="005354D9" w:rsidRPr="00C66720">
        <w:rPr>
          <w:rFonts w:ascii="Times New Roman" w:hAnsi="Times New Roman"/>
          <w:bCs/>
          <w:szCs w:val="22"/>
        </w:rPr>
        <w:t>72 317</w:t>
      </w:r>
      <w:r w:rsidRPr="00C66720">
        <w:rPr>
          <w:rFonts w:ascii="Times New Roman" w:hAnsi="Times New Roman"/>
          <w:bCs/>
          <w:szCs w:val="22"/>
        </w:rPr>
        <w:t xml:space="preserve"> tis. eur z úhrad za poskytovanie služieb verejnosti, verejné vysoké školy </w:t>
      </w:r>
      <w:r w:rsidR="00E77D81" w:rsidRPr="00C66720">
        <w:rPr>
          <w:rFonts w:ascii="Times New Roman" w:hAnsi="Times New Roman"/>
          <w:bCs/>
          <w:szCs w:val="22"/>
        </w:rPr>
        <w:t>35 938</w:t>
      </w:r>
      <w:r w:rsidRPr="00C66720">
        <w:rPr>
          <w:rFonts w:ascii="Times New Roman" w:hAnsi="Times New Roman"/>
          <w:bCs/>
          <w:szCs w:val="22"/>
        </w:rPr>
        <w:t xml:space="preserve"> tis. eur</w:t>
      </w:r>
      <w:r w:rsidR="00EC799F" w:rsidRPr="00C66720">
        <w:rPr>
          <w:rFonts w:ascii="Times New Roman" w:hAnsi="Times New Roman"/>
          <w:bCs/>
          <w:szCs w:val="22"/>
        </w:rPr>
        <w:t xml:space="preserve"> ako zákonné poplatky za školné a iné poplatky spojené so štúdiom</w:t>
      </w:r>
      <w:r w:rsidRPr="00C66720">
        <w:rPr>
          <w:rFonts w:ascii="Times New Roman" w:hAnsi="Times New Roman"/>
          <w:bCs/>
          <w:szCs w:val="22"/>
        </w:rPr>
        <w:t xml:space="preserve">. </w:t>
      </w:r>
    </w:p>
    <w:p w14:paraId="6065BD2B" w14:textId="278FDA67" w:rsidR="002C5620" w:rsidRPr="00C66720" w:rsidRDefault="00C93ED0" w:rsidP="006F3257">
      <w:pPr>
        <w:pStyle w:val="Odsekzoznamu"/>
        <w:spacing w:before="120" w:after="0" w:line="240" w:lineRule="auto"/>
        <w:ind w:left="0"/>
        <w:contextualSpacing w:val="0"/>
        <w:jc w:val="both"/>
        <w:rPr>
          <w:rFonts w:ascii="Times New Roman" w:hAnsi="Times New Roman"/>
          <w:bCs/>
          <w:szCs w:val="22"/>
        </w:rPr>
      </w:pPr>
      <w:r w:rsidRPr="00C66720">
        <w:rPr>
          <w:rFonts w:ascii="Times New Roman" w:hAnsi="Times New Roman"/>
          <w:bCs/>
          <w:szCs w:val="22"/>
        </w:rPr>
        <w:t>Medziročný nárast</w:t>
      </w:r>
      <w:r w:rsidR="00DF13EC" w:rsidRPr="00C66720">
        <w:rPr>
          <w:rFonts w:ascii="Times New Roman" w:hAnsi="Times New Roman"/>
          <w:bCs/>
          <w:szCs w:val="22"/>
        </w:rPr>
        <w:t xml:space="preserve"> bol spôsobený najmä u</w:t>
      </w:r>
      <w:r w:rsidR="002C5620" w:rsidRPr="00C66720">
        <w:rPr>
          <w:rFonts w:ascii="Times New Roman" w:hAnsi="Times New Roman"/>
          <w:bCs/>
          <w:szCs w:val="22"/>
        </w:rPr>
        <w:t> Environmentálneho fondu o</w:t>
      </w:r>
      <w:r w:rsidR="00E77D81" w:rsidRPr="00C66720">
        <w:rPr>
          <w:rFonts w:ascii="Times New Roman" w:hAnsi="Times New Roman"/>
          <w:bCs/>
          <w:szCs w:val="22"/>
        </w:rPr>
        <w:t> 69 030</w:t>
      </w:r>
      <w:r w:rsidR="002C5620" w:rsidRPr="00C66720">
        <w:rPr>
          <w:rFonts w:ascii="Times New Roman" w:hAnsi="Times New Roman"/>
          <w:bCs/>
          <w:szCs w:val="22"/>
        </w:rPr>
        <w:t xml:space="preserve"> tis. eur</w:t>
      </w:r>
      <w:r w:rsidR="001A5206" w:rsidRPr="00C66720">
        <w:rPr>
          <w:rFonts w:ascii="Times New Roman" w:hAnsi="Times New Roman"/>
          <w:bCs/>
          <w:szCs w:val="22"/>
        </w:rPr>
        <w:t xml:space="preserve"> vyšším príjmom z predaja emisií (o 66 633 tis. eur) a vyšším príjmom za uskladnenie plynov v zásobníkoch </w:t>
      </w:r>
      <w:r w:rsidR="009821CE">
        <w:rPr>
          <w:rFonts w:ascii="Times New Roman" w:hAnsi="Times New Roman"/>
          <w:bCs/>
          <w:szCs w:val="22"/>
        </w:rPr>
        <w:br/>
      </w:r>
      <w:r w:rsidR="001A5206" w:rsidRPr="00C66720">
        <w:rPr>
          <w:rFonts w:ascii="Times New Roman" w:hAnsi="Times New Roman"/>
          <w:bCs/>
          <w:szCs w:val="22"/>
        </w:rPr>
        <w:t>(o</w:t>
      </w:r>
      <w:r w:rsidR="009821CE">
        <w:rPr>
          <w:rFonts w:ascii="Times New Roman" w:hAnsi="Times New Roman"/>
          <w:bCs/>
          <w:szCs w:val="22"/>
        </w:rPr>
        <w:t xml:space="preserve"> </w:t>
      </w:r>
      <w:r w:rsidR="001A5206" w:rsidRPr="00C66720">
        <w:rPr>
          <w:rFonts w:ascii="Times New Roman" w:hAnsi="Times New Roman"/>
          <w:bCs/>
          <w:szCs w:val="22"/>
        </w:rPr>
        <w:t>1 296 tis. eur),</w:t>
      </w:r>
      <w:r w:rsidR="00B91312" w:rsidRPr="00C66720">
        <w:rPr>
          <w:rFonts w:ascii="Times New Roman" w:hAnsi="Times New Roman"/>
          <w:bCs/>
          <w:szCs w:val="22"/>
        </w:rPr>
        <w:t xml:space="preserve"> </w:t>
      </w:r>
      <w:r w:rsidR="002C5620" w:rsidRPr="00C66720">
        <w:rPr>
          <w:rFonts w:ascii="Times New Roman" w:hAnsi="Times New Roman"/>
          <w:bCs/>
          <w:szCs w:val="22"/>
        </w:rPr>
        <w:t>a</w:t>
      </w:r>
      <w:r w:rsidR="00D83C3A">
        <w:rPr>
          <w:rFonts w:ascii="Times New Roman" w:hAnsi="Times New Roman"/>
          <w:bCs/>
          <w:szCs w:val="22"/>
        </w:rPr>
        <w:t xml:space="preserve"> u </w:t>
      </w:r>
      <w:r w:rsidR="002C5620" w:rsidRPr="00C66720">
        <w:rPr>
          <w:rFonts w:ascii="Times New Roman" w:hAnsi="Times New Roman"/>
          <w:bCs/>
          <w:szCs w:val="22"/>
        </w:rPr>
        <w:t>Ministerstva financií SR o</w:t>
      </w:r>
      <w:r w:rsidR="001A5206" w:rsidRPr="00C66720">
        <w:rPr>
          <w:rFonts w:ascii="Times New Roman" w:hAnsi="Times New Roman"/>
          <w:bCs/>
          <w:szCs w:val="22"/>
        </w:rPr>
        <w:t xml:space="preserve"> 30 773 </w:t>
      </w:r>
      <w:r w:rsidR="002C5620" w:rsidRPr="00C66720">
        <w:rPr>
          <w:rFonts w:ascii="Times New Roman" w:hAnsi="Times New Roman"/>
          <w:bCs/>
          <w:szCs w:val="22"/>
        </w:rPr>
        <w:t>tis. eur</w:t>
      </w:r>
      <w:r w:rsidR="00D2284C" w:rsidRPr="00C66720">
        <w:rPr>
          <w:rFonts w:ascii="Times New Roman" w:hAnsi="Times New Roman"/>
          <w:bCs/>
          <w:szCs w:val="22"/>
        </w:rPr>
        <w:t>.</w:t>
      </w:r>
    </w:p>
    <w:p w14:paraId="6B2F23B9" w14:textId="77777777" w:rsidR="00701F33" w:rsidRPr="00C66720" w:rsidRDefault="00701F33" w:rsidP="009821CE">
      <w:pPr>
        <w:numPr>
          <w:ilvl w:val="0"/>
          <w:numId w:val="25"/>
        </w:numPr>
        <w:spacing w:before="240" w:line="240" w:lineRule="auto"/>
        <w:ind w:left="567" w:hanging="567"/>
        <w:jc w:val="both"/>
        <w:rPr>
          <w:rFonts w:ascii="Times New Roman" w:hAnsi="Times New Roman"/>
          <w:b/>
          <w:bCs/>
          <w:sz w:val="24"/>
          <w:szCs w:val="24"/>
        </w:rPr>
      </w:pPr>
      <w:bookmarkStart w:id="51" w:name="_Ref86186932"/>
      <w:r w:rsidRPr="00C66720">
        <w:rPr>
          <w:rFonts w:ascii="Times New Roman" w:hAnsi="Times New Roman"/>
          <w:b/>
          <w:bCs/>
          <w:sz w:val="24"/>
          <w:szCs w:val="24"/>
        </w:rPr>
        <w:t>Výnosy z transferov</w:t>
      </w:r>
      <w:bookmarkEnd w:id="51"/>
    </w:p>
    <w:p w14:paraId="6FEAA606" w14:textId="7DA74318" w:rsidR="005F486C" w:rsidRPr="00C66720" w:rsidRDefault="00701F33" w:rsidP="007B5753">
      <w:pPr>
        <w:pStyle w:val="Pismenka"/>
        <w:tabs>
          <w:tab w:val="clear" w:pos="426"/>
        </w:tabs>
        <w:spacing w:after="120"/>
        <w:ind w:left="0" w:firstLine="0"/>
        <w:rPr>
          <w:b w:val="0"/>
          <w:bCs w:val="0"/>
          <w:sz w:val="22"/>
          <w:szCs w:val="22"/>
        </w:rPr>
      </w:pPr>
      <w:r w:rsidRPr="00C66720">
        <w:rPr>
          <w:b w:val="0"/>
          <w:bCs w:val="0"/>
          <w:sz w:val="22"/>
          <w:szCs w:val="22"/>
        </w:rPr>
        <w:t xml:space="preserve">Výnosy z transferov dosiahli hodnotu </w:t>
      </w:r>
      <w:r w:rsidR="00E4617C" w:rsidRPr="00C66720">
        <w:rPr>
          <w:b w:val="0"/>
          <w:bCs w:val="0"/>
          <w:sz w:val="22"/>
          <w:szCs w:val="22"/>
        </w:rPr>
        <w:t>5 175 245</w:t>
      </w:r>
      <w:r w:rsidRPr="00C66720">
        <w:rPr>
          <w:b w:val="0"/>
          <w:bCs w:val="0"/>
          <w:sz w:val="22"/>
          <w:szCs w:val="22"/>
        </w:rPr>
        <w:t xml:space="preserve"> tis. eur, medziročne sa </w:t>
      </w:r>
      <w:r w:rsidR="00E4617C" w:rsidRPr="00C66720">
        <w:rPr>
          <w:b w:val="0"/>
          <w:bCs w:val="0"/>
          <w:sz w:val="22"/>
          <w:szCs w:val="22"/>
        </w:rPr>
        <w:t>zvýšili</w:t>
      </w:r>
      <w:r w:rsidRPr="00C66720">
        <w:rPr>
          <w:b w:val="0"/>
          <w:bCs w:val="0"/>
          <w:sz w:val="22"/>
          <w:szCs w:val="22"/>
        </w:rPr>
        <w:t xml:space="preserve"> o</w:t>
      </w:r>
      <w:r w:rsidR="00E4617C" w:rsidRPr="00C66720">
        <w:rPr>
          <w:b w:val="0"/>
          <w:bCs w:val="0"/>
          <w:sz w:val="22"/>
          <w:szCs w:val="22"/>
        </w:rPr>
        <w:t> 240 705</w:t>
      </w:r>
      <w:r w:rsidRPr="00C66720">
        <w:rPr>
          <w:b w:val="0"/>
          <w:bCs w:val="0"/>
          <w:sz w:val="22"/>
          <w:szCs w:val="22"/>
        </w:rPr>
        <w:t xml:space="preserve"> tis. eur. Najväčšou mierou sa na týchto výnosoch podieľa ústredná správa v sume </w:t>
      </w:r>
      <w:r w:rsidR="00283F49">
        <w:rPr>
          <w:b w:val="0"/>
          <w:bCs w:val="0"/>
          <w:sz w:val="22"/>
          <w:szCs w:val="22"/>
        </w:rPr>
        <w:t>2 625 877</w:t>
      </w:r>
      <w:r w:rsidRPr="00C66720">
        <w:rPr>
          <w:b w:val="0"/>
          <w:bCs w:val="0"/>
          <w:sz w:val="22"/>
          <w:szCs w:val="22"/>
        </w:rPr>
        <w:t xml:space="preserve"> tis. eur a územná samospráva </w:t>
      </w:r>
      <w:r w:rsidR="0076249B" w:rsidRPr="00C66720">
        <w:rPr>
          <w:b w:val="0"/>
          <w:bCs w:val="0"/>
          <w:sz w:val="22"/>
          <w:szCs w:val="22"/>
        </w:rPr>
        <w:t xml:space="preserve">2 425 </w:t>
      </w:r>
      <w:r w:rsidR="00CF3F72">
        <w:rPr>
          <w:b w:val="0"/>
          <w:bCs w:val="0"/>
          <w:sz w:val="22"/>
          <w:szCs w:val="22"/>
        </w:rPr>
        <w:t>091</w:t>
      </w:r>
      <w:r w:rsidR="00CF3F72" w:rsidRPr="00C66720">
        <w:rPr>
          <w:b w:val="0"/>
          <w:bCs w:val="0"/>
          <w:sz w:val="22"/>
          <w:szCs w:val="22"/>
        </w:rPr>
        <w:t xml:space="preserve"> </w:t>
      </w:r>
      <w:r w:rsidRPr="00C66720">
        <w:rPr>
          <w:b w:val="0"/>
          <w:bCs w:val="0"/>
          <w:sz w:val="22"/>
          <w:szCs w:val="22"/>
        </w:rPr>
        <w:t>tis. eur</w:t>
      </w:r>
      <w:r w:rsidR="0076249B" w:rsidRPr="00C66720">
        <w:rPr>
          <w:b w:val="0"/>
          <w:bCs w:val="0"/>
          <w:sz w:val="22"/>
          <w:szCs w:val="22"/>
        </w:rPr>
        <w:t xml:space="preserve"> (v tom obce 1 780 </w:t>
      </w:r>
      <w:r w:rsidR="00CF3F72">
        <w:rPr>
          <w:b w:val="0"/>
          <w:bCs w:val="0"/>
          <w:sz w:val="22"/>
          <w:szCs w:val="22"/>
        </w:rPr>
        <w:t>277</w:t>
      </w:r>
      <w:r w:rsidR="00CF3F72" w:rsidRPr="00C66720">
        <w:rPr>
          <w:b w:val="0"/>
          <w:bCs w:val="0"/>
          <w:sz w:val="22"/>
          <w:szCs w:val="22"/>
        </w:rPr>
        <w:t xml:space="preserve"> </w:t>
      </w:r>
      <w:r w:rsidR="0076249B" w:rsidRPr="00C66720">
        <w:rPr>
          <w:b w:val="0"/>
          <w:bCs w:val="0"/>
          <w:sz w:val="22"/>
          <w:szCs w:val="22"/>
        </w:rPr>
        <w:t>tis. eur)</w:t>
      </w:r>
      <w:r w:rsidRPr="00C66720">
        <w:rPr>
          <w:b w:val="0"/>
          <w:bCs w:val="0"/>
          <w:sz w:val="22"/>
          <w:szCs w:val="22"/>
        </w:rPr>
        <w:t xml:space="preserve">. Ostatné subjekty vykázali </w:t>
      </w:r>
      <w:r w:rsidR="0076249B" w:rsidRPr="00C66720">
        <w:rPr>
          <w:b w:val="0"/>
          <w:bCs w:val="0"/>
          <w:sz w:val="22"/>
          <w:szCs w:val="22"/>
        </w:rPr>
        <w:br/>
      </w:r>
      <w:r w:rsidR="00CF3F72">
        <w:rPr>
          <w:b w:val="0"/>
          <w:bCs w:val="0"/>
          <w:sz w:val="22"/>
          <w:szCs w:val="22"/>
        </w:rPr>
        <w:t>125 117</w:t>
      </w:r>
      <w:r w:rsidRPr="00C66720">
        <w:rPr>
          <w:b w:val="0"/>
          <w:bCs w:val="0"/>
          <w:sz w:val="22"/>
          <w:szCs w:val="22"/>
        </w:rPr>
        <w:t xml:space="preserve"> tis. eur. Medzi výnosy z transferov patria aj výnosy od subjektov mimo verejnej správy, fyzických osôb, podnikateľských subjektov mimo súhrnného celku ako aj zahraničných právnických osôb.</w:t>
      </w:r>
      <w:r w:rsidR="00BB0EF7" w:rsidRPr="00C66720">
        <w:rPr>
          <w:b w:val="0"/>
          <w:bCs w:val="0"/>
          <w:sz w:val="22"/>
          <w:szCs w:val="22"/>
        </w:rPr>
        <w:t xml:space="preserve"> Rast výnosov</w:t>
      </w:r>
      <w:r w:rsidR="005F486C" w:rsidRPr="00C66720">
        <w:rPr>
          <w:b w:val="0"/>
          <w:bCs w:val="0"/>
          <w:sz w:val="22"/>
          <w:szCs w:val="22"/>
        </w:rPr>
        <w:t xml:space="preserve"> z transferov vykázali všetky typy subjektov súhrnného celku, najmä ostatné subjekty verejnej správy o 82 696 tis. eur, subjekty ústrednej správy o 76 705 tis. eur. Subjekty územnej správy dosiahli medziročný nárast výnosov z transferov o 81 305 tis. eur.</w:t>
      </w:r>
    </w:p>
    <w:p w14:paraId="373826A8" w14:textId="52327537" w:rsidR="009904EB" w:rsidRPr="00C66720" w:rsidRDefault="009904EB" w:rsidP="00D043B6">
      <w:pPr>
        <w:pStyle w:val="Pismenka"/>
        <w:numPr>
          <w:ilvl w:val="0"/>
          <w:numId w:val="44"/>
        </w:numPr>
        <w:spacing w:before="120" w:after="120"/>
        <w:ind w:left="284" w:hanging="284"/>
        <w:rPr>
          <w:i/>
          <w:sz w:val="22"/>
          <w:szCs w:val="22"/>
          <w:u w:val="single"/>
        </w:rPr>
      </w:pPr>
      <w:bookmarkStart w:id="52" w:name="_Ref86186338"/>
      <w:r w:rsidRPr="00C66720">
        <w:rPr>
          <w:i/>
          <w:sz w:val="22"/>
          <w:szCs w:val="22"/>
          <w:u w:val="single"/>
        </w:rPr>
        <w:t>Výnosy z rozpočtu EÚ</w:t>
      </w:r>
      <w:bookmarkEnd w:id="52"/>
    </w:p>
    <w:p w14:paraId="2927423C" w14:textId="3C233FD1" w:rsidR="009904EB" w:rsidRPr="00C66720" w:rsidRDefault="009904EB" w:rsidP="006F3257">
      <w:pPr>
        <w:pStyle w:val="Pismenka"/>
        <w:tabs>
          <w:tab w:val="clear" w:pos="426"/>
        </w:tabs>
        <w:spacing w:after="120"/>
        <w:ind w:left="0" w:firstLine="0"/>
        <w:rPr>
          <w:b w:val="0"/>
          <w:bCs w:val="0"/>
          <w:sz w:val="22"/>
          <w:szCs w:val="22"/>
        </w:rPr>
      </w:pPr>
      <w:r w:rsidRPr="00C66720">
        <w:rPr>
          <w:b w:val="0"/>
          <w:bCs w:val="0"/>
          <w:sz w:val="22"/>
          <w:szCs w:val="22"/>
        </w:rPr>
        <w:t xml:space="preserve">Výnosy zo zúčtovania bežných a kapitálových </w:t>
      </w:r>
      <w:r w:rsidR="002A5137" w:rsidRPr="00C66720">
        <w:rPr>
          <w:b w:val="0"/>
          <w:bCs w:val="0"/>
          <w:sz w:val="22"/>
          <w:szCs w:val="22"/>
        </w:rPr>
        <w:t>transferov čerpaných z prostriedkov rozpočtu EÚ alebo zahraničných grantov uzatvorených na základe medzinárodných zmlúv dosiahli</w:t>
      </w:r>
      <w:r w:rsidR="001952B2" w:rsidRPr="00C66720">
        <w:rPr>
          <w:b w:val="0"/>
          <w:bCs w:val="0"/>
          <w:sz w:val="22"/>
          <w:szCs w:val="22"/>
        </w:rPr>
        <w:t xml:space="preserve"> 2</w:t>
      </w:r>
      <w:r w:rsidR="004241AF" w:rsidRPr="00C66720">
        <w:rPr>
          <w:b w:val="0"/>
          <w:bCs w:val="0"/>
          <w:sz w:val="22"/>
          <w:szCs w:val="22"/>
        </w:rPr>
        <w:t> 437 811</w:t>
      </w:r>
      <w:r w:rsidR="001952B2" w:rsidRPr="00C66720">
        <w:rPr>
          <w:b w:val="0"/>
          <w:bCs w:val="0"/>
          <w:sz w:val="22"/>
          <w:szCs w:val="22"/>
        </w:rPr>
        <w:t xml:space="preserve"> tis. eur </w:t>
      </w:r>
      <w:r w:rsidR="00F65B0D">
        <w:rPr>
          <w:b w:val="0"/>
          <w:bCs w:val="0"/>
          <w:sz w:val="22"/>
          <w:szCs w:val="22"/>
        </w:rPr>
        <w:br/>
      </w:r>
      <w:r w:rsidR="001952B2" w:rsidRPr="00C66720">
        <w:rPr>
          <w:b w:val="0"/>
          <w:bCs w:val="0"/>
          <w:sz w:val="22"/>
          <w:szCs w:val="22"/>
        </w:rPr>
        <w:t>(20</w:t>
      </w:r>
      <w:r w:rsidR="00B52C41" w:rsidRPr="00C66720">
        <w:rPr>
          <w:b w:val="0"/>
          <w:bCs w:val="0"/>
          <w:sz w:val="22"/>
          <w:szCs w:val="22"/>
        </w:rPr>
        <w:t>2</w:t>
      </w:r>
      <w:r w:rsidR="004241AF" w:rsidRPr="00C66720">
        <w:rPr>
          <w:b w:val="0"/>
          <w:bCs w:val="0"/>
          <w:sz w:val="22"/>
          <w:szCs w:val="22"/>
        </w:rPr>
        <w:t>1</w:t>
      </w:r>
      <w:r w:rsidR="001952B2" w:rsidRPr="00C66720">
        <w:rPr>
          <w:b w:val="0"/>
          <w:bCs w:val="0"/>
          <w:sz w:val="22"/>
          <w:szCs w:val="22"/>
        </w:rPr>
        <w:t xml:space="preserve">: </w:t>
      </w:r>
      <w:r w:rsidR="00B52C41" w:rsidRPr="00C66720">
        <w:rPr>
          <w:b w:val="0"/>
          <w:bCs w:val="0"/>
          <w:sz w:val="22"/>
          <w:szCs w:val="22"/>
        </w:rPr>
        <w:t>2</w:t>
      </w:r>
      <w:r w:rsidR="004241AF" w:rsidRPr="00C66720">
        <w:rPr>
          <w:b w:val="0"/>
          <w:bCs w:val="0"/>
          <w:sz w:val="22"/>
          <w:szCs w:val="22"/>
        </w:rPr>
        <w:t> 435 523</w:t>
      </w:r>
      <w:r w:rsidR="00B46EFB" w:rsidRPr="00C66720">
        <w:rPr>
          <w:b w:val="0"/>
          <w:bCs w:val="0"/>
          <w:sz w:val="22"/>
          <w:szCs w:val="22"/>
        </w:rPr>
        <w:t xml:space="preserve"> tis. eur). </w:t>
      </w:r>
      <w:r w:rsidR="00B52C41" w:rsidRPr="00C66720">
        <w:rPr>
          <w:b w:val="0"/>
          <w:bCs w:val="0"/>
          <w:sz w:val="22"/>
          <w:szCs w:val="22"/>
        </w:rPr>
        <w:t>Viac ako</w:t>
      </w:r>
      <w:r w:rsidR="00B46EFB" w:rsidRPr="00C66720">
        <w:rPr>
          <w:b w:val="0"/>
          <w:bCs w:val="0"/>
          <w:sz w:val="22"/>
          <w:szCs w:val="22"/>
        </w:rPr>
        <w:t xml:space="preserve"> 97 % týchto výnosov je vykazovaných subjektami ústrednej správy </w:t>
      </w:r>
      <w:r w:rsidR="00500F9C" w:rsidRPr="00C66720">
        <w:rPr>
          <w:b w:val="0"/>
          <w:bCs w:val="0"/>
          <w:sz w:val="22"/>
          <w:szCs w:val="22"/>
        </w:rPr>
        <w:br/>
      </w:r>
      <w:r w:rsidR="00B46EFB" w:rsidRPr="003B0751">
        <w:rPr>
          <w:b w:val="0"/>
          <w:bCs w:val="0"/>
          <w:sz w:val="22"/>
          <w:szCs w:val="22"/>
        </w:rPr>
        <w:t>(2</w:t>
      </w:r>
      <w:r w:rsidR="008E68BA" w:rsidRPr="003B0751">
        <w:rPr>
          <w:b w:val="0"/>
          <w:bCs w:val="0"/>
          <w:sz w:val="22"/>
          <w:szCs w:val="22"/>
        </w:rPr>
        <w:t> 368 502</w:t>
      </w:r>
      <w:r w:rsidR="00B46EFB" w:rsidRPr="003B0751">
        <w:rPr>
          <w:b w:val="0"/>
          <w:bCs w:val="0"/>
          <w:sz w:val="22"/>
          <w:szCs w:val="22"/>
        </w:rPr>
        <w:t xml:space="preserve"> tis. eur). </w:t>
      </w:r>
      <w:r w:rsidR="00252A5B" w:rsidRPr="003B0751">
        <w:rPr>
          <w:b w:val="0"/>
          <w:bCs w:val="0"/>
          <w:sz w:val="22"/>
          <w:szCs w:val="22"/>
        </w:rPr>
        <w:t xml:space="preserve">Nasledujú výnosy subjektov územnej samosprávy v hodnote </w:t>
      </w:r>
      <w:r w:rsidR="008D7D5B" w:rsidRPr="003B0751">
        <w:rPr>
          <w:b w:val="0"/>
          <w:bCs w:val="0"/>
          <w:sz w:val="22"/>
          <w:szCs w:val="22"/>
        </w:rPr>
        <w:t>52 155</w:t>
      </w:r>
      <w:r w:rsidR="00252A5B" w:rsidRPr="003B0751">
        <w:rPr>
          <w:b w:val="0"/>
          <w:bCs w:val="0"/>
          <w:sz w:val="22"/>
          <w:szCs w:val="22"/>
        </w:rPr>
        <w:t xml:space="preserve"> tis. eur a ostatné subjekty verejnej správy vykazujú</w:t>
      </w:r>
      <w:r w:rsidR="00252A5B" w:rsidRPr="00C66720">
        <w:rPr>
          <w:b w:val="0"/>
          <w:bCs w:val="0"/>
          <w:sz w:val="22"/>
          <w:szCs w:val="22"/>
        </w:rPr>
        <w:t xml:space="preserve"> </w:t>
      </w:r>
      <w:r w:rsidR="008D7D5B" w:rsidRPr="00C66720">
        <w:rPr>
          <w:b w:val="0"/>
          <w:bCs w:val="0"/>
          <w:sz w:val="22"/>
          <w:szCs w:val="22"/>
        </w:rPr>
        <w:t>17 155</w:t>
      </w:r>
      <w:r w:rsidR="00252A5B" w:rsidRPr="00C66720">
        <w:rPr>
          <w:b w:val="0"/>
          <w:bCs w:val="0"/>
          <w:sz w:val="22"/>
          <w:szCs w:val="22"/>
        </w:rPr>
        <w:t xml:space="preserve"> tis. eur.</w:t>
      </w:r>
    </w:p>
    <w:p w14:paraId="149390C7" w14:textId="539D84F3" w:rsidR="00701F33" w:rsidRPr="00C66720" w:rsidRDefault="00701F33" w:rsidP="006F3257">
      <w:pPr>
        <w:pStyle w:val="Pismenka"/>
        <w:tabs>
          <w:tab w:val="clear" w:pos="426"/>
        </w:tabs>
        <w:spacing w:after="120"/>
        <w:ind w:left="0" w:firstLine="0"/>
        <w:rPr>
          <w:b w:val="0"/>
          <w:bCs w:val="0"/>
          <w:sz w:val="22"/>
          <w:szCs w:val="22"/>
        </w:rPr>
      </w:pPr>
      <w:r w:rsidRPr="00C66720">
        <w:rPr>
          <w:b w:val="0"/>
          <w:bCs w:val="0"/>
          <w:sz w:val="22"/>
          <w:szCs w:val="22"/>
        </w:rPr>
        <w:t>V ústrednej správe ide najmä o výnosy z prostriedkov rozpočtu EÚ a zahraničných grantov a transferov na základe medzinárodných zmlúv, ktoré sú zaraďované do štátneho rozpočtu alebo čerpané cez samostatné účty podľa povahy programu a účelu fondu. Najvýznamnejšiu hodnotu na výnosoch z prostriedkov EÚ v rámci ústrednej správy dosiahlo Ministerstvo financií SR (</w:t>
      </w:r>
      <w:r w:rsidR="00E35D87" w:rsidRPr="00C66720">
        <w:rPr>
          <w:b w:val="0"/>
          <w:bCs w:val="0"/>
          <w:sz w:val="22"/>
          <w:szCs w:val="22"/>
        </w:rPr>
        <w:t>1 926 322</w:t>
      </w:r>
      <w:r w:rsidRPr="00C66720">
        <w:rPr>
          <w:b w:val="0"/>
          <w:bCs w:val="0"/>
          <w:sz w:val="22"/>
          <w:szCs w:val="22"/>
        </w:rPr>
        <w:t xml:space="preserve"> tis. eur)</w:t>
      </w:r>
      <w:r w:rsidRPr="00C66720">
        <w:rPr>
          <w:b w:val="0"/>
          <w:bCs w:val="0"/>
          <w:color w:val="FF0000"/>
          <w:sz w:val="22"/>
          <w:szCs w:val="22"/>
          <w:highlight w:val="yellow"/>
        </w:rPr>
        <w:br/>
      </w:r>
      <w:r w:rsidRPr="00C66720">
        <w:rPr>
          <w:b w:val="0"/>
          <w:bCs w:val="0"/>
          <w:sz w:val="22"/>
          <w:szCs w:val="22"/>
        </w:rPr>
        <w:t>a Pôdohospod</w:t>
      </w:r>
      <w:r w:rsidR="00A13DF1" w:rsidRPr="00C66720">
        <w:rPr>
          <w:b w:val="0"/>
          <w:bCs w:val="0"/>
          <w:sz w:val="22"/>
          <w:szCs w:val="22"/>
        </w:rPr>
        <w:t>árska platobná agentúra (</w:t>
      </w:r>
      <w:r w:rsidR="00147055" w:rsidRPr="00C66720">
        <w:rPr>
          <w:b w:val="0"/>
          <w:bCs w:val="0"/>
          <w:sz w:val="22"/>
          <w:szCs w:val="22"/>
        </w:rPr>
        <w:t>371 783</w:t>
      </w:r>
      <w:r w:rsidRPr="00C66720">
        <w:rPr>
          <w:b w:val="0"/>
          <w:bCs w:val="0"/>
          <w:sz w:val="22"/>
          <w:szCs w:val="22"/>
        </w:rPr>
        <w:t xml:space="preserve"> tis. eur). Medziročne</w:t>
      </w:r>
      <w:r w:rsidR="008E41CE" w:rsidRPr="00C66720">
        <w:rPr>
          <w:b w:val="0"/>
          <w:bCs w:val="0"/>
          <w:sz w:val="22"/>
          <w:szCs w:val="22"/>
        </w:rPr>
        <w:t xml:space="preserve"> ústredná správa dosiahla </w:t>
      </w:r>
      <w:r w:rsidR="00C958CF" w:rsidRPr="00C66720">
        <w:rPr>
          <w:b w:val="0"/>
          <w:bCs w:val="0"/>
          <w:sz w:val="22"/>
          <w:szCs w:val="22"/>
        </w:rPr>
        <w:t>pokles</w:t>
      </w:r>
      <w:r w:rsidRPr="00C66720">
        <w:rPr>
          <w:b w:val="0"/>
          <w:bCs w:val="0"/>
          <w:sz w:val="22"/>
          <w:szCs w:val="22"/>
        </w:rPr>
        <w:t xml:space="preserve"> výnos</w:t>
      </w:r>
      <w:r w:rsidR="00653873" w:rsidRPr="00C66720">
        <w:rPr>
          <w:b w:val="0"/>
          <w:bCs w:val="0"/>
          <w:sz w:val="22"/>
          <w:szCs w:val="22"/>
        </w:rPr>
        <w:t>ov z transferov úhrnom o</w:t>
      </w:r>
      <w:r w:rsidR="00C958CF" w:rsidRPr="00C66720">
        <w:rPr>
          <w:b w:val="0"/>
          <w:bCs w:val="0"/>
          <w:sz w:val="22"/>
          <w:szCs w:val="22"/>
        </w:rPr>
        <w:t> 3 773</w:t>
      </w:r>
      <w:r w:rsidRPr="00C66720">
        <w:rPr>
          <w:b w:val="0"/>
          <w:bCs w:val="0"/>
          <w:sz w:val="22"/>
          <w:szCs w:val="22"/>
        </w:rPr>
        <w:t xml:space="preserve"> tis. eur.</w:t>
      </w:r>
    </w:p>
    <w:p w14:paraId="3AD5A8B8" w14:textId="52282D4C" w:rsidR="000A2C0C" w:rsidRPr="00C66720" w:rsidRDefault="000A2C0C" w:rsidP="00D043B6">
      <w:pPr>
        <w:pStyle w:val="Pismenka"/>
        <w:numPr>
          <w:ilvl w:val="0"/>
          <w:numId w:val="44"/>
        </w:numPr>
        <w:spacing w:before="120" w:after="120"/>
        <w:ind w:left="284" w:hanging="284"/>
        <w:rPr>
          <w:i/>
          <w:sz w:val="22"/>
          <w:szCs w:val="22"/>
          <w:u w:val="single"/>
        </w:rPr>
      </w:pPr>
      <w:bookmarkStart w:id="53" w:name="_Ref86186351"/>
      <w:r w:rsidRPr="00C66720">
        <w:rPr>
          <w:i/>
          <w:sz w:val="22"/>
          <w:szCs w:val="22"/>
          <w:u w:val="single"/>
        </w:rPr>
        <w:t>Výnosy z ostatných transferov</w:t>
      </w:r>
      <w:bookmarkEnd w:id="53"/>
    </w:p>
    <w:p w14:paraId="099E8C3F" w14:textId="3594ECCB" w:rsidR="000A2C0C" w:rsidRPr="00C66720" w:rsidRDefault="0032691B" w:rsidP="006F3257">
      <w:pPr>
        <w:pStyle w:val="Pismenka"/>
        <w:tabs>
          <w:tab w:val="clear" w:pos="426"/>
        </w:tabs>
        <w:spacing w:after="120"/>
        <w:ind w:left="0" w:firstLine="0"/>
        <w:rPr>
          <w:b w:val="0"/>
          <w:bCs w:val="0"/>
          <w:sz w:val="22"/>
          <w:szCs w:val="22"/>
        </w:rPr>
      </w:pPr>
      <w:r w:rsidRPr="00C66720">
        <w:rPr>
          <w:b w:val="0"/>
          <w:bCs w:val="0"/>
          <w:sz w:val="22"/>
          <w:szCs w:val="22"/>
        </w:rPr>
        <w:t xml:space="preserve">Výnosy z ostatných transferov dosiahli hodnotu </w:t>
      </w:r>
      <w:r w:rsidR="00E87967" w:rsidRPr="00C66720">
        <w:rPr>
          <w:b w:val="0"/>
          <w:bCs w:val="0"/>
          <w:sz w:val="22"/>
          <w:szCs w:val="22"/>
        </w:rPr>
        <w:t>2 737 434</w:t>
      </w:r>
      <w:r w:rsidRPr="00C66720">
        <w:rPr>
          <w:b w:val="0"/>
          <w:bCs w:val="0"/>
          <w:sz w:val="22"/>
          <w:szCs w:val="22"/>
        </w:rPr>
        <w:t xml:space="preserve"> t</w:t>
      </w:r>
      <w:r w:rsidR="000B5117" w:rsidRPr="00C66720">
        <w:rPr>
          <w:b w:val="0"/>
          <w:bCs w:val="0"/>
          <w:sz w:val="22"/>
          <w:szCs w:val="22"/>
        </w:rPr>
        <w:t xml:space="preserve">is. eur a medziročne boli </w:t>
      </w:r>
      <w:r w:rsidR="00E87967" w:rsidRPr="00C66720">
        <w:rPr>
          <w:b w:val="0"/>
          <w:bCs w:val="0"/>
          <w:sz w:val="22"/>
          <w:szCs w:val="22"/>
        </w:rPr>
        <w:t>vyššie</w:t>
      </w:r>
      <w:r w:rsidRPr="00C66720">
        <w:rPr>
          <w:b w:val="0"/>
          <w:bCs w:val="0"/>
          <w:sz w:val="22"/>
          <w:szCs w:val="22"/>
        </w:rPr>
        <w:t xml:space="preserve"> </w:t>
      </w:r>
      <w:r w:rsidR="007C3034" w:rsidRPr="00C66720">
        <w:rPr>
          <w:b w:val="0"/>
          <w:bCs w:val="0"/>
          <w:sz w:val="22"/>
          <w:szCs w:val="22"/>
        </w:rPr>
        <w:br/>
      </w:r>
      <w:r w:rsidRPr="00C66720">
        <w:rPr>
          <w:b w:val="0"/>
          <w:bCs w:val="0"/>
          <w:sz w:val="22"/>
          <w:szCs w:val="22"/>
        </w:rPr>
        <w:t>o</w:t>
      </w:r>
      <w:r w:rsidR="000B5117" w:rsidRPr="00C66720">
        <w:rPr>
          <w:b w:val="0"/>
          <w:bCs w:val="0"/>
          <w:sz w:val="22"/>
          <w:szCs w:val="22"/>
        </w:rPr>
        <w:t> </w:t>
      </w:r>
      <w:r w:rsidR="00E87967" w:rsidRPr="00C66720">
        <w:rPr>
          <w:b w:val="0"/>
          <w:bCs w:val="0"/>
          <w:sz w:val="22"/>
          <w:szCs w:val="22"/>
        </w:rPr>
        <w:t>238 417</w:t>
      </w:r>
      <w:r w:rsidRPr="00C66720">
        <w:rPr>
          <w:b w:val="0"/>
          <w:bCs w:val="0"/>
          <w:sz w:val="22"/>
          <w:szCs w:val="22"/>
        </w:rPr>
        <w:t xml:space="preserve"> tis. eur. </w:t>
      </w:r>
      <w:r w:rsidR="00DC1192" w:rsidRPr="00C66720">
        <w:rPr>
          <w:b w:val="0"/>
          <w:bCs w:val="0"/>
          <w:sz w:val="22"/>
          <w:szCs w:val="22"/>
        </w:rPr>
        <w:t>Tvorené sú najmä výnosmi samosprávy z prostriedkov získaných zo štátneho rozpočtu a od iných subjektov verejnej správy (</w:t>
      </w:r>
      <w:r w:rsidR="001E6472" w:rsidRPr="00C66720">
        <w:rPr>
          <w:b w:val="0"/>
          <w:bCs w:val="0"/>
          <w:sz w:val="22"/>
          <w:szCs w:val="22"/>
        </w:rPr>
        <w:t>2</w:t>
      </w:r>
      <w:r w:rsidR="00EF5E5C">
        <w:rPr>
          <w:b w:val="0"/>
          <w:bCs w:val="0"/>
          <w:sz w:val="22"/>
          <w:szCs w:val="22"/>
        </w:rPr>
        <w:t> 318 564</w:t>
      </w:r>
      <w:r w:rsidR="001E6472" w:rsidRPr="00C66720">
        <w:rPr>
          <w:b w:val="0"/>
          <w:bCs w:val="0"/>
          <w:sz w:val="22"/>
          <w:szCs w:val="22"/>
        </w:rPr>
        <w:t xml:space="preserve"> </w:t>
      </w:r>
      <w:r w:rsidR="00DC1192" w:rsidRPr="00C66720">
        <w:rPr>
          <w:b w:val="0"/>
          <w:bCs w:val="0"/>
          <w:sz w:val="22"/>
          <w:szCs w:val="22"/>
        </w:rPr>
        <w:t>tis. eur), výnosmi ostatných subjektov verejnej správy z transferov z p</w:t>
      </w:r>
      <w:r w:rsidR="000B5117" w:rsidRPr="00C66720">
        <w:rPr>
          <w:b w:val="0"/>
          <w:bCs w:val="0"/>
          <w:sz w:val="22"/>
          <w:szCs w:val="22"/>
        </w:rPr>
        <w:t>rostriedkov štátneho rozpočtu</w:t>
      </w:r>
      <w:r w:rsidR="00551CC2" w:rsidRPr="00C66720">
        <w:rPr>
          <w:b w:val="0"/>
          <w:bCs w:val="0"/>
          <w:sz w:val="22"/>
          <w:szCs w:val="22"/>
        </w:rPr>
        <w:t xml:space="preserve"> </w:t>
      </w:r>
      <w:r w:rsidR="00DC1192" w:rsidRPr="00C66720">
        <w:rPr>
          <w:b w:val="0"/>
          <w:bCs w:val="0"/>
          <w:sz w:val="22"/>
          <w:szCs w:val="22"/>
        </w:rPr>
        <w:t>a výnosmi zo zúčtovania transferov od ostatných subjektov verejnej správy (</w:t>
      </w:r>
      <w:r w:rsidR="00EF5E5C">
        <w:rPr>
          <w:b w:val="0"/>
          <w:bCs w:val="0"/>
          <w:sz w:val="22"/>
          <w:szCs w:val="22"/>
        </w:rPr>
        <w:t>24 987</w:t>
      </w:r>
      <w:r w:rsidR="00DC1192" w:rsidRPr="00C66720">
        <w:rPr>
          <w:b w:val="0"/>
          <w:bCs w:val="0"/>
          <w:sz w:val="22"/>
          <w:szCs w:val="22"/>
        </w:rPr>
        <w:t xml:space="preserve"> tis. eur). Tieto výnosy vzhľadom na obtiažnosť procesu ich vzájomného odsúhlasenia neboli predmetom eliminácie pri zostavení súhrnnej účtovnej závierky. </w:t>
      </w:r>
      <w:r w:rsidR="00DC1192" w:rsidRPr="00C66720">
        <w:rPr>
          <w:b w:val="0"/>
          <w:bCs w:val="0"/>
          <w:sz w:val="22"/>
          <w:szCs w:val="22"/>
        </w:rPr>
        <w:lastRenderedPageBreak/>
        <w:t xml:space="preserve">Celkové výnosy z transferov získaných od subjektov nezaradených do sektora verejnej správy predstavujú </w:t>
      </w:r>
      <w:r w:rsidR="00551CC2" w:rsidRPr="00C66720">
        <w:rPr>
          <w:b w:val="0"/>
          <w:bCs w:val="0"/>
          <w:sz w:val="22"/>
          <w:szCs w:val="22"/>
        </w:rPr>
        <w:t>172 555</w:t>
      </w:r>
      <w:r w:rsidR="008A7DFF" w:rsidRPr="00C66720">
        <w:rPr>
          <w:b w:val="0"/>
          <w:bCs w:val="0"/>
          <w:sz w:val="22"/>
          <w:szCs w:val="22"/>
        </w:rPr>
        <w:t xml:space="preserve"> </w:t>
      </w:r>
      <w:r w:rsidR="00DC1192" w:rsidRPr="00C66720">
        <w:rPr>
          <w:b w:val="0"/>
          <w:bCs w:val="0"/>
          <w:sz w:val="22"/>
          <w:szCs w:val="22"/>
        </w:rPr>
        <w:t>tis. eur.</w:t>
      </w:r>
    </w:p>
    <w:p w14:paraId="51AF21F0" w14:textId="04E01C7A" w:rsidR="00701F33" w:rsidRPr="00C66720" w:rsidRDefault="00701F33" w:rsidP="006F3257">
      <w:pPr>
        <w:pStyle w:val="Pismenka"/>
        <w:tabs>
          <w:tab w:val="clear" w:pos="426"/>
        </w:tabs>
        <w:ind w:left="0" w:firstLine="0"/>
        <w:rPr>
          <w:b w:val="0"/>
          <w:bCs w:val="0"/>
          <w:sz w:val="22"/>
          <w:szCs w:val="22"/>
        </w:rPr>
      </w:pPr>
      <w:r w:rsidRPr="00C66720">
        <w:rPr>
          <w:b w:val="0"/>
          <w:bCs w:val="0"/>
          <w:sz w:val="22"/>
          <w:szCs w:val="22"/>
        </w:rPr>
        <w:t>Územná samospráva vykazuje hlavne výnosy z</w:t>
      </w:r>
      <w:r w:rsidR="005F4F65" w:rsidRPr="00C66720">
        <w:rPr>
          <w:b w:val="0"/>
          <w:bCs w:val="0"/>
          <w:sz w:val="22"/>
          <w:szCs w:val="22"/>
        </w:rPr>
        <w:t xml:space="preserve"> prostriedkov štátneho rozpočtu</w:t>
      </w:r>
      <w:r w:rsidRPr="00C66720">
        <w:rPr>
          <w:b w:val="0"/>
          <w:bCs w:val="0"/>
          <w:sz w:val="22"/>
          <w:szCs w:val="22"/>
        </w:rPr>
        <w:t>, ktoré predstavujú bežné a kapitálové transfery pre obce, vyššie územné celky a ich rozpočtové a príspevkové organizácie, pričom tieto transfery sú zo zdroja štátneho rozpočtu ako aj európskych prostriedkov zapojených do štátneho rozpočtu (napríklad štrukturálne fondy, kohézny fond). Tieto výnosy neboli predmetom úplnej eliminácie.</w:t>
      </w:r>
    </w:p>
    <w:p w14:paraId="46B5CFD3" w14:textId="1BA4EEF6" w:rsidR="00701F33" w:rsidRPr="00C66720" w:rsidRDefault="00701F33" w:rsidP="006F3257">
      <w:pPr>
        <w:pStyle w:val="Pismenka"/>
        <w:tabs>
          <w:tab w:val="clear" w:pos="426"/>
        </w:tabs>
        <w:spacing w:before="120"/>
        <w:ind w:left="0" w:firstLine="0"/>
        <w:rPr>
          <w:b w:val="0"/>
          <w:bCs w:val="0"/>
          <w:color w:val="FF0000"/>
          <w:sz w:val="22"/>
          <w:szCs w:val="22"/>
          <w:highlight w:val="yellow"/>
        </w:rPr>
      </w:pPr>
      <w:r w:rsidRPr="00C66720">
        <w:rPr>
          <w:b w:val="0"/>
          <w:bCs w:val="0"/>
          <w:sz w:val="22"/>
          <w:szCs w:val="22"/>
        </w:rPr>
        <w:t>Výnosy z transferov u ostatných subjektov verejnej</w:t>
      </w:r>
      <w:r w:rsidR="0088727B" w:rsidRPr="00C66720">
        <w:rPr>
          <w:b w:val="0"/>
          <w:bCs w:val="0"/>
          <w:sz w:val="22"/>
          <w:szCs w:val="22"/>
        </w:rPr>
        <w:t xml:space="preserve"> správy</w:t>
      </w:r>
      <w:r w:rsidR="00DA3265" w:rsidRPr="00C66720">
        <w:rPr>
          <w:b w:val="0"/>
          <w:bCs w:val="0"/>
          <w:sz w:val="22"/>
          <w:szCs w:val="22"/>
        </w:rPr>
        <w:t>,</w:t>
      </w:r>
      <w:r w:rsidR="0088727B" w:rsidRPr="00C66720">
        <w:rPr>
          <w:b w:val="0"/>
          <w:bCs w:val="0"/>
          <w:sz w:val="22"/>
          <w:szCs w:val="22"/>
        </w:rPr>
        <w:t xml:space="preserve"> </w:t>
      </w:r>
      <w:r w:rsidR="001A1B98" w:rsidRPr="00C66720">
        <w:rPr>
          <w:b w:val="0"/>
          <w:bCs w:val="0"/>
          <w:sz w:val="22"/>
          <w:szCs w:val="22"/>
        </w:rPr>
        <w:t>bez výnosov zo účtovania transferov z prostriedkov EÚ</w:t>
      </w:r>
      <w:r w:rsidR="00DA3265" w:rsidRPr="00C66720">
        <w:rPr>
          <w:b w:val="0"/>
          <w:bCs w:val="0"/>
          <w:sz w:val="22"/>
          <w:szCs w:val="22"/>
        </w:rPr>
        <w:t>,</w:t>
      </w:r>
      <w:r w:rsidR="001A1B98" w:rsidRPr="00C66720">
        <w:rPr>
          <w:b w:val="0"/>
          <w:bCs w:val="0"/>
          <w:sz w:val="22"/>
          <w:szCs w:val="22"/>
        </w:rPr>
        <w:t xml:space="preserve"> </w:t>
      </w:r>
      <w:r w:rsidR="0088727B" w:rsidRPr="00C66720">
        <w:rPr>
          <w:b w:val="0"/>
          <w:bCs w:val="0"/>
          <w:sz w:val="22"/>
          <w:szCs w:val="22"/>
        </w:rPr>
        <w:t xml:space="preserve">dosiahli hodnotu </w:t>
      </w:r>
      <w:r w:rsidR="00EF5E5C">
        <w:rPr>
          <w:b w:val="0"/>
          <w:bCs w:val="0"/>
          <w:sz w:val="22"/>
          <w:szCs w:val="22"/>
        </w:rPr>
        <w:t>107 963</w:t>
      </w:r>
      <w:r w:rsidRPr="00C66720">
        <w:rPr>
          <w:b w:val="0"/>
          <w:bCs w:val="0"/>
          <w:sz w:val="22"/>
          <w:szCs w:val="22"/>
        </w:rPr>
        <w:t xml:space="preserve"> tis. eur</w:t>
      </w:r>
      <w:r w:rsidR="00EF5E5C">
        <w:rPr>
          <w:b w:val="0"/>
          <w:bCs w:val="0"/>
          <w:sz w:val="22"/>
          <w:szCs w:val="22"/>
        </w:rPr>
        <w:t>.</w:t>
      </w:r>
      <w:r w:rsidRPr="00C66720">
        <w:rPr>
          <w:b w:val="0"/>
          <w:bCs w:val="0"/>
          <w:sz w:val="22"/>
          <w:szCs w:val="22"/>
        </w:rPr>
        <w:t xml:space="preserve"> </w:t>
      </w:r>
    </w:p>
    <w:p w14:paraId="5724F725" w14:textId="1704A144" w:rsidR="00910B38" w:rsidRPr="00C66720" w:rsidRDefault="00FA68CA" w:rsidP="006F3257">
      <w:pPr>
        <w:numPr>
          <w:ilvl w:val="0"/>
          <w:numId w:val="25"/>
        </w:numPr>
        <w:spacing w:before="240" w:after="120" w:line="240" w:lineRule="auto"/>
        <w:ind w:left="425" w:hanging="425"/>
        <w:jc w:val="both"/>
        <w:rPr>
          <w:rFonts w:ascii="Times New Roman" w:hAnsi="Times New Roman"/>
          <w:b/>
          <w:bCs/>
          <w:sz w:val="24"/>
          <w:szCs w:val="24"/>
        </w:rPr>
      </w:pPr>
      <w:bookmarkStart w:id="54" w:name="_Ref86186942"/>
      <w:r w:rsidRPr="00C66720">
        <w:rPr>
          <w:rFonts w:ascii="Times New Roman" w:hAnsi="Times New Roman"/>
          <w:b/>
          <w:bCs/>
          <w:sz w:val="24"/>
          <w:szCs w:val="24"/>
        </w:rPr>
        <w:t>Tržby za vlastné výkony a</w:t>
      </w:r>
      <w:r w:rsidR="008E1C42" w:rsidRPr="00C66720">
        <w:rPr>
          <w:rFonts w:ascii="Times New Roman" w:hAnsi="Times New Roman"/>
          <w:b/>
          <w:bCs/>
          <w:sz w:val="24"/>
          <w:szCs w:val="24"/>
        </w:rPr>
        <w:t> </w:t>
      </w:r>
      <w:r w:rsidRPr="00C66720">
        <w:rPr>
          <w:rFonts w:ascii="Times New Roman" w:hAnsi="Times New Roman"/>
          <w:b/>
          <w:bCs/>
          <w:sz w:val="24"/>
          <w:szCs w:val="24"/>
        </w:rPr>
        <w:t>tovar</w:t>
      </w:r>
      <w:bookmarkEnd w:id="54"/>
    </w:p>
    <w:p w14:paraId="0C6C1910" w14:textId="10B6D5BD" w:rsidR="00CF08E2" w:rsidRPr="00C66720" w:rsidRDefault="008E1C42" w:rsidP="002779AF">
      <w:pPr>
        <w:pStyle w:val="Pismenka"/>
        <w:tabs>
          <w:tab w:val="clear" w:pos="426"/>
        </w:tabs>
        <w:spacing w:after="240"/>
        <w:ind w:left="0" w:firstLine="0"/>
        <w:rPr>
          <w:b w:val="0"/>
          <w:bCs w:val="0"/>
          <w:sz w:val="22"/>
          <w:szCs w:val="22"/>
        </w:rPr>
      </w:pPr>
      <w:r w:rsidRPr="00C66720">
        <w:rPr>
          <w:b w:val="0"/>
          <w:bCs w:val="0"/>
          <w:sz w:val="22"/>
          <w:szCs w:val="22"/>
        </w:rPr>
        <w:t>V rámci tržieb za vlastné výkon</w:t>
      </w:r>
      <w:r w:rsidR="003635EA" w:rsidRPr="00C66720">
        <w:rPr>
          <w:b w:val="0"/>
          <w:bCs w:val="0"/>
          <w:sz w:val="22"/>
          <w:szCs w:val="22"/>
        </w:rPr>
        <w:t>y</w:t>
      </w:r>
      <w:r w:rsidRPr="00C66720">
        <w:rPr>
          <w:b w:val="0"/>
          <w:bCs w:val="0"/>
          <w:sz w:val="22"/>
          <w:szCs w:val="22"/>
        </w:rPr>
        <w:t xml:space="preserve"> a</w:t>
      </w:r>
      <w:r w:rsidR="00A74AA4" w:rsidRPr="00C66720">
        <w:rPr>
          <w:b w:val="0"/>
          <w:bCs w:val="0"/>
          <w:sz w:val="22"/>
          <w:szCs w:val="22"/>
        </w:rPr>
        <w:t xml:space="preserve"> </w:t>
      </w:r>
      <w:r w:rsidRPr="00C66720">
        <w:rPr>
          <w:b w:val="0"/>
          <w:bCs w:val="0"/>
          <w:sz w:val="22"/>
          <w:szCs w:val="22"/>
        </w:rPr>
        <w:t>tovar</w:t>
      </w:r>
      <w:r w:rsidR="005F7C66" w:rsidRPr="00C66720">
        <w:rPr>
          <w:b w:val="0"/>
          <w:bCs w:val="0"/>
          <w:sz w:val="22"/>
          <w:szCs w:val="22"/>
        </w:rPr>
        <w:t xml:space="preserve"> </w:t>
      </w:r>
      <w:r w:rsidR="002D2C9D" w:rsidRPr="00C66720">
        <w:rPr>
          <w:b w:val="0"/>
          <w:bCs w:val="0"/>
          <w:sz w:val="22"/>
          <w:szCs w:val="22"/>
        </w:rPr>
        <w:t xml:space="preserve">sú rozhodujúcou položkou </w:t>
      </w:r>
      <w:r w:rsidR="002D2C9D" w:rsidRPr="00C66720">
        <w:rPr>
          <w:b w:val="0"/>
          <w:bCs w:val="0"/>
          <w:sz w:val="22"/>
          <w:szCs w:val="22"/>
          <w:u w:val="single"/>
        </w:rPr>
        <w:t>výnosy z </w:t>
      </w:r>
      <w:r w:rsidR="00380717" w:rsidRPr="00C66720">
        <w:rPr>
          <w:b w:val="0"/>
          <w:bCs w:val="0"/>
          <w:sz w:val="22"/>
          <w:szCs w:val="22"/>
          <w:u w:val="single"/>
        </w:rPr>
        <w:t>predaných</w:t>
      </w:r>
      <w:r w:rsidR="002D2C9D" w:rsidRPr="00C66720">
        <w:rPr>
          <w:b w:val="0"/>
          <w:bCs w:val="0"/>
          <w:sz w:val="22"/>
          <w:szCs w:val="22"/>
          <w:u w:val="single"/>
        </w:rPr>
        <w:t xml:space="preserve"> služieb</w:t>
      </w:r>
      <w:r w:rsidR="002D2C9D" w:rsidRPr="00C66720">
        <w:rPr>
          <w:b w:val="0"/>
          <w:bCs w:val="0"/>
          <w:sz w:val="22"/>
          <w:szCs w:val="22"/>
        </w:rPr>
        <w:t xml:space="preserve"> v hodnote </w:t>
      </w:r>
      <w:r w:rsidR="00624C44" w:rsidRPr="00C66720">
        <w:rPr>
          <w:b w:val="0"/>
          <w:bCs w:val="0"/>
          <w:sz w:val="22"/>
          <w:szCs w:val="22"/>
        </w:rPr>
        <w:t>18 853 774</w:t>
      </w:r>
      <w:r w:rsidR="00EA6B74" w:rsidRPr="00C66720">
        <w:rPr>
          <w:b w:val="0"/>
          <w:bCs w:val="0"/>
          <w:sz w:val="22"/>
          <w:szCs w:val="22"/>
        </w:rPr>
        <w:t xml:space="preserve"> </w:t>
      </w:r>
      <w:r w:rsidR="002D2C9D" w:rsidRPr="00C66720">
        <w:rPr>
          <w:b w:val="0"/>
          <w:bCs w:val="0"/>
          <w:sz w:val="22"/>
          <w:szCs w:val="22"/>
        </w:rPr>
        <w:t xml:space="preserve">tis. eur. Tieto výnosy boli </w:t>
      </w:r>
      <w:r w:rsidR="00624C44" w:rsidRPr="00C66720">
        <w:rPr>
          <w:b w:val="0"/>
          <w:bCs w:val="0"/>
          <w:sz w:val="22"/>
          <w:szCs w:val="22"/>
        </w:rPr>
        <w:t>nižšie oproti roku 2021</w:t>
      </w:r>
      <w:r w:rsidR="002D2C9D" w:rsidRPr="00C66720">
        <w:rPr>
          <w:b w:val="0"/>
          <w:bCs w:val="0"/>
          <w:sz w:val="22"/>
          <w:szCs w:val="22"/>
        </w:rPr>
        <w:t xml:space="preserve"> o</w:t>
      </w:r>
      <w:r w:rsidR="00624C44" w:rsidRPr="00C66720">
        <w:rPr>
          <w:b w:val="0"/>
          <w:bCs w:val="0"/>
          <w:sz w:val="22"/>
          <w:szCs w:val="22"/>
        </w:rPr>
        <w:t> 12 193 727</w:t>
      </w:r>
      <w:r w:rsidR="00EF6C57" w:rsidRPr="00C66720">
        <w:rPr>
          <w:b w:val="0"/>
          <w:bCs w:val="0"/>
          <w:sz w:val="22"/>
          <w:szCs w:val="22"/>
        </w:rPr>
        <w:t xml:space="preserve"> </w:t>
      </w:r>
      <w:r w:rsidR="00717660" w:rsidRPr="00C66720">
        <w:rPr>
          <w:b w:val="0"/>
          <w:bCs w:val="0"/>
          <w:sz w:val="22"/>
          <w:szCs w:val="22"/>
        </w:rPr>
        <w:t>tis. eur.</w:t>
      </w:r>
      <w:r w:rsidR="00717660" w:rsidRPr="00C66720">
        <w:rPr>
          <w:b w:val="0"/>
          <w:bCs w:val="0"/>
          <w:sz w:val="22"/>
          <w:szCs w:val="22"/>
        </w:rPr>
        <w:br/>
      </w:r>
      <w:r w:rsidR="00362C19" w:rsidRPr="00C66720">
        <w:rPr>
          <w:b w:val="0"/>
          <w:bCs w:val="0"/>
          <w:sz w:val="22"/>
          <w:szCs w:val="22"/>
        </w:rPr>
        <w:t xml:space="preserve">Výnosy </w:t>
      </w:r>
      <w:r w:rsidR="00CF08E2" w:rsidRPr="00C66720">
        <w:rPr>
          <w:b w:val="0"/>
          <w:bCs w:val="0"/>
          <w:sz w:val="22"/>
          <w:szCs w:val="22"/>
          <w:u w:val="single"/>
        </w:rPr>
        <w:t>za predaný tovar</w:t>
      </w:r>
      <w:r w:rsidR="00CF08E2" w:rsidRPr="00C66720">
        <w:rPr>
          <w:b w:val="0"/>
          <w:bCs w:val="0"/>
          <w:sz w:val="22"/>
          <w:szCs w:val="22"/>
        </w:rPr>
        <w:t xml:space="preserve"> dosiahli </w:t>
      </w:r>
      <w:r w:rsidR="00BD6FFD" w:rsidRPr="00C66720">
        <w:rPr>
          <w:b w:val="0"/>
          <w:bCs w:val="0"/>
          <w:sz w:val="22"/>
          <w:szCs w:val="22"/>
        </w:rPr>
        <w:t>6 416 018</w:t>
      </w:r>
      <w:r w:rsidR="00CF08E2" w:rsidRPr="00C66720">
        <w:rPr>
          <w:b w:val="0"/>
          <w:bCs w:val="0"/>
          <w:sz w:val="22"/>
          <w:szCs w:val="22"/>
        </w:rPr>
        <w:t xml:space="preserve"> tis. eur a </w:t>
      </w:r>
      <w:r w:rsidR="00CF08E2" w:rsidRPr="00C66720">
        <w:rPr>
          <w:b w:val="0"/>
          <w:bCs w:val="0"/>
          <w:sz w:val="22"/>
          <w:szCs w:val="22"/>
          <w:u w:val="single"/>
        </w:rPr>
        <w:t>za predané výrobky</w:t>
      </w:r>
      <w:r w:rsidR="00CF08E2" w:rsidRPr="00C66720">
        <w:rPr>
          <w:b w:val="0"/>
          <w:bCs w:val="0"/>
          <w:sz w:val="22"/>
          <w:szCs w:val="22"/>
        </w:rPr>
        <w:t xml:space="preserve"> </w:t>
      </w:r>
      <w:r w:rsidR="00BD6FFD" w:rsidRPr="00C66720">
        <w:rPr>
          <w:b w:val="0"/>
          <w:bCs w:val="0"/>
          <w:sz w:val="22"/>
          <w:szCs w:val="22"/>
        </w:rPr>
        <w:t>3 745 805</w:t>
      </w:r>
      <w:r w:rsidR="00CF08E2" w:rsidRPr="00C66720">
        <w:rPr>
          <w:b w:val="0"/>
          <w:bCs w:val="0"/>
          <w:sz w:val="22"/>
          <w:szCs w:val="22"/>
        </w:rPr>
        <w:t xml:space="preserve"> tis. eur.</w:t>
      </w:r>
    </w:p>
    <w:p w14:paraId="47893096" w14:textId="1E1ACAE6" w:rsidR="00D76347" w:rsidRPr="00D043B6" w:rsidRDefault="00D76347" w:rsidP="00D043B6">
      <w:pPr>
        <w:pStyle w:val="Pismenka"/>
        <w:numPr>
          <w:ilvl w:val="0"/>
          <w:numId w:val="44"/>
        </w:numPr>
        <w:spacing w:before="120" w:after="120"/>
        <w:ind w:left="284" w:hanging="284"/>
        <w:rPr>
          <w:i/>
          <w:sz w:val="22"/>
          <w:szCs w:val="22"/>
          <w:u w:val="single"/>
        </w:rPr>
      </w:pPr>
      <w:bookmarkStart w:id="55" w:name="_Ref86186367"/>
      <w:r w:rsidRPr="00C66720">
        <w:rPr>
          <w:i/>
          <w:sz w:val="22"/>
          <w:szCs w:val="22"/>
          <w:u w:val="single"/>
        </w:rPr>
        <w:t>Služby</w:t>
      </w:r>
      <w:bookmarkEnd w:id="55"/>
    </w:p>
    <w:p w14:paraId="601F8990" w14:textId="62490DC4" w:rsidR="006C795E" w:rsidRPr="00C66720" w:rsidRDefault="007C132D" w:rsidP="006F3257">
      <w:pPr>
        <w:pStyle w:val="Pismenka"/>
        <w:tabs>
          <w:tab w:val="clear" w:pos="426"/>
        </w:tabs>
        <w:spacing w:after="120"/>
        <w:ind w:left="0" w:firstLine="0"/>
        <w:rPr>
          <w:b w:val="0"/>
          <w:bCs w:val="0"/>
          <w:sz w:val="22"/>
          <w:szCs w:val="22"/>
        </w:rPr>
      </w:pPr>
      <w:r w:rsidRPr="00C66720">
        <w:rPr>
          <w:b w:val="0"/>
          <w:bCs w:val="0"/>
          <w:sz w:val="22"/>
          <w:szCs w:val="22"/>
        </w:rPr>
        <w:t>Výnosy zo služieb sú tvorené</w:t>
      </w:r>
      <w:r w:rsidR="003D2E13" w:rsidRPr="00C66720">
        <w:rPr>
          <w:b w:val="0"/>
          <w:bCs w:val="0"/>
          <w:sz w:val="22"/>
          <w:szCs w:val="22"/>
        </w:rPr>
        <w:t xml:space="preserve"> najmä Sociálnou poisťovňou </w:t>
      </w:r>
      <w:r w:rsidRPr="00C66720">
        <w:rPr>
          <w:b w:val="0"/>
          <w:bCs w:val="0"/>
          <w:sz w:val="22"/>
          <w:szCs w:val="22"/>
        </w:rPr>
        <w:t>(</w:t>
      </w:r>
      <w:r w:rsidR="00B1756E" w:rsidRPr="00C66720">
        <w:rPr>
          <w:b w:val="0"/>
          <w:bCs w:val="0"/>
          <w:sz w:val="22"/>
          <w:szCs w:val="22"/>
        </w:rPr>
        <w:t>10 343 588</w:t>
      </w:r>
      <w:r w:rsidR="009555A5" w:rsidRPr="00C66720">
        <w:rPr>
          <w:b w:val="0"/>
          <w:bCs w:val="0"/>
          <w:sz w:val="22"/>
          <w:szCs w:val="22"/>
        </w:rPr>
        <w:t xml:space="preserve"> </w:t>
      </w:r>
      <w:r w:rsidRPr="00C66720">
        <w:rPr>
          <w:b w:val="0"/>
          <w:bCs w:val="0"/>
          <w:sz w:val="22"/>
          <w:szCs w:val="22"/>
        </w:rPr>
        <w:t>tis. eur), Všeobecnou zdravotnou poisťovňou, a.s. (</w:t>
      </w:r>
      <w:r w:rsidR="006863D8" w:rsidRPr="00C66720">
        <w:rPr>
          <w:b w:val="0"/>
          <w:bCs w:val="0"/>
          <w:sz w:val="22"/>
          <w:szCs w:val="22"/>
        </w:rPr>
        <w:t>2</w:t>
      </w:r>
      <w:r w:rsidR="00B1756E" w:rsidRPr="00C66720">
        <w:rPr>
          <w:b w:val="0"/>
          <w:bCs w:val="0"/>
          <w:sz w:val="22"/>
          <w:szCs w:val="22"/>
        </w:rPr>
        <w:t> 907 680</w:t>
      </w:r>
      <w:r w:rsidR="00900489" w:rsidRPr="00C66720">
        <w:rPr>
          <w:b w:val="0"/>
          <w:bCs w:val="0"/>
          <w:sz w:val="22"/>
          <w:szCs w:val="22"/>
        </w:rPr>
        <w:t xml:space="preserve"> tis. eur)</w:t>
      </w:r>
      <w:r w:rsidR="00094CC1" w:rsidRPr="00C66720">
        <w:rPr>
          <w:b w:val="0"/>
          <w:bCs w:val="0"/>
          <w:sz w:val="22"/>
          <w:szCs w:val="22"/>
        </w:rPr>
        <w:t xml:space="preserve"> a štátnymi obchodnými spoločnosťami ako je</w:t>
      </w:r>
      <w:r w:rsidR="009E4060" w:rsidRPr="00C66720">
        <w:rPr>
          <w:b w:val="0"/>
          <w:bCs w:val="0"/>
          <w:sz w:val="22"/>
          <w:szCs w:val="22"/>
        </w:rPr>
        <w:t xml:space="preserve"> </w:t>
      </w:r>
      <w:r w:rsidR="00B1756E" w:rsidRPr="00C66720">
        <w:rPr>
          <w:b w:val="0"/>
          <w:bCs w:val="0"/>
          <w:sz w:val="22"/>
          <w:szCs w:val="22"/>
        </w:rPr>
        <w:t>spoločnosť Tipos, a.s. (1 266 496 tis. eur),</w:t>
      </w:r>
      <w:r w:rsidR="009D5C47" w:rsidRPr="00C66720">
        <w:rPr>
          <w:b w:val="0"/>
          <w:bCs w:val="0"/>
          <w:sz w:val="22"/>
          <w:szCs w:val="22"/>
        </w:rPr>
        <w:t xml:space="preserve"> </w:t>
      </w:r>
      <w:r w:rsidR="009E4060" w:rsidRPr="00C66720">
        <w:rPr>
          <w:b w:val="0"/>
          <w:bCs w:val="0"/>
          <w:sz w:val="22"/>
          <w:szCs w:val="22"/>
        </w:rPr>
        <w:t>Slovensk</w:t>
      </w:r>
      <w:r w:rsidR="00094CC1" w:rsidRPr="00C66720">
        <w:rPr>
          <w:b w:val="0"/>
          <w:bCs w:val="0"/>
          <w:sz w:val="22"/>
          <w:szCs w:val="22"/>
        </w:rPr>
        <w:t>á</w:t>
      </w:r>
      <w:r w:rsidR="009E4060" w:rsidRPr="00C66720">
        <w:rPr>
          <w:b w:val="0"/>
          <w:bCs w:val="0"/>
          <w:sz w:val="22"/>
          <w:szCs w:val="22"/>
        </w:rPr>
        <w:t xml:space="preserve"> elektrizačn</w:t>
      </w:r>
      <w:r w:rsidR="00094CC1" w:rsidRPr="00C66720">
        <w:rPr>
          <w:b w:val="0"/>
          <w:bCs w:val="0"/>
          <w:sz w:val="22"/>
          <w:szCs w:val="22"/>
        </w:rPr>
        <w:t>á a</w:t>
      </w:r>
      <w:r w:rsidR="009E4060" w:rsidRPr="00C66720">
        <w:rPr>
          <w:b w:val="0"/>
          <w:bCs w:val="0"/>
          <w:sz w:val="22"/>
          <w:szCs w:val="22"/>
        </w:rPr>
        <w:t xml:space="preserve"> prenosov</w:t>
      </w:r>
      <w:r w:rsidR="00094CC1" w:rsidRPr="00C66720">
        <w:rPr>
          <w:b w:val="0"/>
          <w:bCs w:val="0"/>
          <w:sz w:val="22"/>
          <w:szCs w:val="22"/>
        </w:rPr>
        <w:t>á</w:t>
      </w:r>
      <w:r w:rsidR="009E4060" w:rsidRPr="00C66720">
        <w:rPr>
          <w:b w:val="0"/>
          <w:bCs w:val="0"/>
          <w:sz w:val="22"/>
          <w:szCs w:val="22"/>
        </w:rPr>
        <w:t xml:space="preserve"> sústav</w:t>
      </w:r>
      <w:r w:rsidR="00094CC1" w:rsidRPr="00C66720">
        <w:rPr>
          <w:b w:val="0"/>
          <w:bCs w:val="0"/>
          <w:sz w:val="22"/>
          <w:szCs w:val="22"/>
        </w:rPr>
        <w:t>a</w:t>
      </w:r>
      <w:r w:rsidR="009E4060" w:rsidRPr="00C66720">
        <w:rPr>
          <w:b w:val="0"/>
          <w:bCs w:val="0"/>
          <w:sz w:val="22"/>
          <w:szCs w:val="22"/>
        </w:rPr>
        <w:t xml:space="preserve">, a.s. </w:t>
      </w:r>
      <w:r w:rsidR="009D5C47" w:rsidRPr="00C66720">
        <w:rPr>
          <w:b w:val="0"/>
          <w:bCs w:val="0"/>
          <w:sz w:val="22"/>
          <w:szCs w:val="22"/>
        </w:rPr>
        <w:br/>
      </w:r>
      <w:r w:rsidR="009E4060" w:rsidRPr="00C66720">
        <w:rPr>
          <w:b w:val="0"/>
          <w:bCs w:val="0"/>
          <w:sz w:val="22"/>
          <w:szCs w:val="22"/>
        </w:rPr>
        <w:t>(</w:t>
      </w:r>
      <w:r w:rsidR="009D5C47" w:rsidRPr="00C66720">
        <w:rPr>
          <w:b w:val="0"/>
          <w:bCs w:val="0"/>
          <w:sz w:val="22"/>
          <w:szCs w:val="22"/>
        </w:rPr>
        <w:t>928 987</w:t>
      </w:r>
      <w:r w:rsidR="00502E82" w:rsidRPr="00C66720">
        <w:rPr>
          <w:b w:val="0"/>
          <w:bCs w:val="0"/>
          <w:sz w:val="22"/>
          <w:szCs w:val="22"/>
        </w:rPr>
        <w:t xml:space="preserve"> tis. eur),</w:t>
      </w:r>
      <w:r w:rsidR="009E4060" w:rsidRPr="00C66720">
        <w:rPr>
          <w:b w:val="0"/>
          <w:bCs w:val="0"/>
          <w:sz w:val="22"/>
          <w:szCs w:val="22"/>
        </w:rPr>
        <w:t> </w:t>
      </w:r>
      <w:r w:rsidR="00F8000E" w:rsidRPr="00C66720">
        <w:rPr>
          <w:b w:val="0"/>
          <w:bCs w:val="0"/>
          <w:sz w:val="22"/>
          <w:szCs w:val="22"/>
        </w:rPr>
        <w:t xml:space="preserve"> Národn</w:t>
      </w:r>
      <w:r w:rsidR="00094CC1" w:rsidRPr="00C66720">
        <w:rPr>
          <w:b w:val="0"/>
          <w:bCs w:val="0"/>
          <w:sz w:val="22"/>
          <w:szCs w:val="22"/>
        </w:rPr>
        <w:t>á</w:t>
      </w:r>
      <w:r w:rsidR="00F8000E" w:rsidRPr="00C66720">
        <w:rPr>
          <w:b w:val="0"/>
          <w:bCs w:val="0"/>
          <w:sz w:val="22"/>
          <w:szCs w:val="22"/>
        </w:rPr>
        <w:t xml:space="preserve"> diaľničn</w:t>
      </w:r>
      <w:r w:rsidR="00094CC1" w:rsidRPr="00C66720">
        <w:rPr>
          <w:b w:val="0"/>
          <w:bCs w:val="0"/>
          <w:sz w:val="22"/>
          <w:szCs w:val="22"/>
        </w:rPr>
        <w:t>á</w:t>
      </w:r>
      <w:r w:rsidR="00F8000E" w:rsidRPr="00C66720">
        <w:rPr>
          <w:b w:val="0"/>
          <w:bCs w:val="0"/>
          <w:sz w:val="22"/>
          <w:szCs w:val="22"/>
        </w:rPr>
        <w:t xml:space="preserve"> spoločnosť, a.s. (</w:t>
      </w:r>
      <w:r w:rsidR="004E1A78" w:rsidRPr="00C66720">
        <w:rPr>
          <w:b w:val="0"/>
          <w:bCs w:val="0"/>
          <w:sz w:val="22"/>
          <w:szCs w:val="22"/>
        </w:rPr>
        <w:t>317 720</w:t>
      </w:r>
      <w:r w:rsidR="00F8000E" w:rsidRPr="00C66720">
        <w:rPr>
          <w:b w:val="0"/>
          <w:bCs w:val="0"/>
          <w:sz w:val="22"/>
          <w:szCs w:val="22"/>
        </w:rPr>
        <w:t xml:space="preserve"> tis. eur), </w:t>
      </w:r>
      <w:r w:rsidR="006863D8" w:rsidRPr="00C66720">
        <w:rPr>
          <w:b w:val="0"/>
          <w:bCs w:val="0"/>
          <w:sz w:val="22"/>
          <w:szCs w:val="22"/>
        </w:rPr>
        <w:t>Železničná spoločnosť Cargo Slovakia, a.s.</w:t>
      </w:r>
      <w:r w:rsidR="008544BD" w:rsidRPr="00C66720">
        <w:rPr>
          <w:b w:val="0"/>
          <w:bCs w:val="0"/>
          <w:sz w:val="22"/>
          <w:szCs w:val="22"/>
        </w:rPr>
        <w:t xml:space="preserve"> </w:t>
      </w:r>
      <w:r w:rsidR="006863D8" w:rsidRPr="00C66720">
        <w:rPr>
          <w:b w:val="0"/>
          <w:bCs w:val="0"/>
          <w:sz w:val="22"/>
          <w:szCs w:val="22"/>
        </w:rPr>
        <w:t>(</w:t>
      </w:r>
      <w:r w:rsidR="004E1A78" w:rsidRPr="00C66720">
        <w:rPr>
          <w:b w:val="0"/>
          <w:bCs w:val="0"/>
          <w:sz w:val="22"/>
          <w:szCs w:val="22"/>
        </w:rPr>
        <w:t>288 460</w:t>
      </w:r>
      <w:r w:rsidR="006863D8" w:rsidRPr="00C66720">
        <w:rPr>
          <w:b w:val="0"/>
          <w:bCs w:val="0"/>
          <w:sz w:val="22"/>
          <w:szCs w:val="22"/>
        </w:rPr>
        <w:t xml:space="preserve"> tis. eur), </w:t>
      </w:r>
      <w:r w:rsidR="00C462B6" w:rsidRPr="00C66720">
        <w:rPr>
          <w:b w:val="0"/>
          <w:bCs w:val="0"/>
          <w:sz w:val="22"/>
          <w:szCs w:val="22"/>
        </w:rPr>
        <w:t>Slovenská pošta, a.s. (</w:t>
      </w:r>
      <w:r w:rsidR="004E1A78" w:rsidRPr="00C66720">
        <w:rPr>
          <w:b w:val="0"/>
          <w:bCs w:val="0"/>
          <w:sz w:val="22"/>
          <w:szCs w:val="22"/>
        </w:rPr>
        <w:t>248 380</w:t>
      </w:r>
      <w:r w:rsidR="00C462B6" w:rsidRPr="00C66720">
        <w:rPr>
          <w:b w:val="0"/>
          <w:bCs w:val="0"/>
          <w:sz w:val="22"/>
          <w:szCs w:val="22"/>
        </w:rPr>
        <w:t xml:space="preserve"> tis. eur)</w:t>
      </w:r>
      <w:r w:rsidR="00E47574" w:rsidRPr="00C66720">
        <w:rPr>
          <w:b w:val="0"/>
          <w:bCs w:val="0"/>
          <w:sz w:val="22"/>
          <w:szCs w:val="22"/>
        </w:rPr>
        <w:t xml:space="preserve">, </w:t>
      </w:r>
      <w:r w:rsidR="00F8000E" w:rsidRPr="00C66720">
        <w:rPr>
          <w:b w:val="0"/>
          <w:bCs w:val="0"/>
          <w:sz w:val="22"/>
          <w:szCs w:val="22"/>
        </w:rPr>
        <w:t>a</w:t>
      </w:r>
      <w:r w:rsidR="00AA10D1" w:rsidRPr="00C66720">
        <w:rPr>
          <w:b w:val="0"/>
          <w:bCs w:val="0"/>
          <w:sz w:val="22"/>
          <w:szCs w:val="22"/>
        </w:rPr>
        <w:t> Slovenský plynárenský priemysel, a.s.</w:t>
      </w:r>
      <w:r w:rsidR="004E1A78" w:rsidRPr="00C66720">
        <w:rPr>
          <w:b w:val="0"/>
          <w:bCs w:val="0"/>
          <w:sz w:val="22"/>
          <w:szCs w:val="22"/>
        </w:rPr>
        <w:t xml:space="preserve"> </w:t>
      </w:r>
      <w:r w:rsidR="00AA10D1" w:rsidRPr="00C66720">
        <w:rPr>
          <w:b w:val="0"/>
          <w:bCs w:val="0"/>
          <w:sz w:val="22"/>
          <w:szCs w:val="22"/>
        </w:rPr>
        <w:t>(</w:t>
      </w:r>
      <w:r w:rsidR="004E1A78" w:rsidRPr="00C66720">
        <w:rPr>
          <w:b w:val="0"/>
          <w:bCs w:val="0"/>
          <w:sz w:val="22"/>
          <w:szCs w:val="22"/>
        </w:rPr>
        <w:t>123 638</w:t>
      </w:r>
      <w:r w:rsidR="00AA10D1" w:rsidRPr="00C66720">
        <w:rPr>
          <w:b w:val="0"/>
          <w:bCs w:val="0"/>
          <w:sz w:val="22"/>
          <w:szCs w:val="22"/>
        </w:rPr>
        <w:t xml:space="preserve"> tis. eur).</w:t>
      </w:r>
      <w:r w:rsidRPr="00C66720">
        <w:rPr>
          <w:b w:val="0"/>
          <w:bCs w:val="0"/>
          <w:sz w:val="22"/>
          <w:szCs w:val="22"/>
        </w:rPr>
        <w:t xml:space="preserve"> </w:t>
      </w:r>
    </w:p>
    <w:p w14:paraId="0A647EDE" w14:textId="2A4CB04F" w:rsidR="00A237D0" w:rsidRPr="00C66720" w:rsidRDefault="006C795E" w:rsidP="006F3257">
      <w:pPr>
        <w:pStyle w:val="Pismenka"/>
        <w:tabs>
          <w:tab w:val="clear" w:pos="426"/>
        </w:tabs>
        <w:spacing w:after="120"/>
        <w:ind w:left="0" w:firstLine="0"/>
        <w:rPr>
          <w:b w:val="0"/>
          <w:bCs w:val="0"/>
          <w:sz w:val="22"/>
          <w:szCs w:val="22"/>
        </w:rPr>
      </w:pPr>
      <w:r w:rsidRPr="00C66720">
        <w:rPr>
          <w:b w:val="0"/>
          <w:bCs w:val="0"/>
          <w:sz w:val="22"/>
          <w:szCs w:val="22"/>
        </w:rPr>
        <w:t xml:space="preserve">Štátne podniky a štátne obchodné spoločnosti (okrem zdravotnej poisťovne) vykázali výnosy zo služieb v objeme </w:t>
      </w:r>
      <w:r w:rsidR="00530144" w:rsidRPr="00C66720">
        <w:rPr>
          <w:b w:val="0"/>
          <w:bCs w:val="0"/>
          <w:sz w:val="22"/>
          <w:szCs w:val="22"/>
        </w:rPr>
        <w:t>3 697 131</w:t>
      </w:r>
      <w:r w:rsidRPr="00C66720">
        <w:rPr>
          <w:b w:val="0"/>
          <w:bCs w:val="0"/>
          <w:sz w:val="22"/>
          <w:szCs w:val="22"/>
        </w:rPr>
        <w:t xml:space="preserve"> tis. eur a medziročne dosiahli</w:t>
      </w:r>
      <w:r w:rsidR="00E73163" w:rsidRPr="00C66720">
        <w:rPr>
          <w:b w:val="0"/>
          <w:bCs w:val="0"/>
          <w:sz w:val="22"/>
          <w:szCs w:val="22"/>
        </w:rPr>
        <w:t xml:space="preserve"> </w:t>
      </w:r>
      <w:r w:rsidR="00DC4566" w:rsidRPr="00C66720">
        <w:rPr>
          <w:b w:val="0"/>
          <w:bCs w:val="0"/>
          <w:sz w:val="22"/>
          <w:szCs w:val="22"/>
        </w:rPr>
        <w:t>nárast</w:t>
      </w:r>
      <w:r w:rsidRPr="00C66720">
        <w:rPr>
          <w:b w:val="0"/>
          <w:bCs w:val="0"/>
          <w:sz w:val="22"/>
          <w:szCs w:val="22"/>
        </w:rPr>
        <w:t xml:space="preserve"> o</w:t>
      </w:r>
      <w:r w:rsidR="00530144" w:rsidRPr="00C66720">
        <w:rPr>
          <w:b w:val="0"/>
          <w:bCs w:val="0"/>
          <w:sz w:val="22"/>
          <w:szCs w:val="22"/>
        </w:rPr>
        <w:t> 308 894</w:t>
      </w:r>
      <w:r w:rsidRPr="00C66720">
        <w:rPr>
          <w:b w:val="0"/>
          <w:bCs w:val="0"/>
          <w:sz w:val="22"/>
          <w:szCs w:val="22"/>
        </w:rPr>
        <w:t xml:space="preserve"> tis. eur, z toho najmä </w:t>
      </w:r>
      <w:r w:rsidR="00DC4566" w:rsidRPr="00C66720">
        <w:rPr>
          <w:b w:val="0"/>
          <w:bCs w:val="0"/>
          <w:sz w:val="22"/>
          <w:szCs w:val="22"/>
        </w:rPr>
        <w:t>TIPOS, a.s. (</w:t>
      </w:r>
      <w:r w:rsidR="005C2B35" w:rsidRPr="00C66720">
        <w:rPr>
          <w:b w:val="0"/>
          <w:bCs w:val="0"/>
          <w:sz w:val="22"/>
          <w:szCs w:val="22"/>
        </w:rPr>
        <w:t>288 047</w:t>
      </w:r>
      <w:r w:rsidR="00DC4566" w:rsidRPr="00C66720">
        <w:rPr>
          <w:b w:val="0"/>
          <w:bCs w:val="0"/>
          <w:sz w:val="22"/>
          <w:szCs w:val="22"/>
        </w:rPr>
        <w:t xml:space="preserve"> tis. eur)</w:t>
      </w:r>
      <w:r w:rsidR="000062B4" w:rsidRPr="00C66720">
        <w:rPr>
          <w:b w:val="0"/>
          <w:bCs w:val="0"/>
          <w:sz w:val="22"/>
          <w:szCs w:val="22"/>
        </w:rPr>
        <w:t xml:space="preserve"> vplyvom zvýšenia tržieb z hazardných hier prevádzkovaných prostredníctvom internetu</w:t>
      </w:r>
      <w:r w:rsidR="00A237D0" w:rsidRPr="00C66720">
        <w:rPr>
          <w:b w:val="0"/>
          <w:bCs w:val="0"/>
          <w:sz w:val="22"/>
          <w:szCs w:val="22"/>
        </w:rPr>
        <w:t xml:space="preserve">. Naopak, medziročne poklesli tržby Slovenskej elektrizačnej prenosovej sústavy, a.s. </w:t>
      </w:r>
      <w:r w:rsidR="00CA3514">
        <w:rPr>
          <w:b w:val="0"/>
          <w:bCs w:val="0"/>
          <w:sz w:val="22"/>
          <w:szCs w:val="22"/>
        </w:rPr>
        <w:br/>
      </w:r>
      <w:r w:rsidR="00A237D0" w:rsidRPr="00C66720">
        <w:rPr>
          <w:b w:val="0"/>
          <w:bCs w:val="0"/>
          <w:sz w:val="22"/>
          <w:szCs w:val="22"/>
        </w:rPr>
        <w:t>(159 327 tis. eur) z dôvodu nižšie</w:t>
      </w:r>
      <w:r w:rsidR="00D52892">
        <w:rPr>
          <w:b w:val="0"/>
          <w:bCs w:val="0"/>
          <w:sz w:val="22"/>
          <w:szCs w:val="22"/>
        </w:rPr>
        <w:t>ho</w:t>
      </w:r>
      <w:r w:rsidR="00A237D0" w:rsidRPr="00C66720">
        <w:rPr>
          <w:b w:val="0"/>
          <w:bCs w:val="0"/>
          <w:sz w:val="22"/>
          <w:szCs w:val="22"/>
        </w:rPr>
        <w:t xml:space="preserve"> výberu poplatkov za prevádzkovanie systému v roku 2022</w:t>
      </w:r>
      <w:r w:rsidR="00CF6832" w:rsidRPr="00C66720">
        <w:rPr>
          <w:b w:val="0"/>
          <w:bCs w:val="0"/>
          <w:sz w:val="22"/>
          <w:szCs w:val="22"/>
        </w:rPr>
        <w:t>, ktoré sú generované na základe aplikácie tarify za prevádzkovanie systému (tarifa RPS) na koncovú spotrebu elektriny. Tarifa TPS vykázala významný medziročný pokles, ktorý reflektuje predpoklad vyšších cien elektriny na krátkodobom trhu v kombinácii s predpokladom nižších regulovaných výkupných cien elektriny vyrobenej z OZE a VÚKVET v roku 2022 z dôvodu prolongácie výrobných licencií niektorých výrobcov. Významný dopad na zníženie tarify TPS malo aj poskytnutie dotácie do systému podpory výroby elektriny z OZE a VÚKVET v rozsahu 40 000 tis. eur od Ministerstva hospodárstva SR z prostriedkov štátneho rozpočtu.</w:t>
      </w:r>
    </w:p>
    <w:p w14:paraId="28053CAF" w14:textId="632DC1D9" w:rsidR="008D3D70" w:rsidRPr="00C66720" w:rsidRDefault="00443051" w:rsidP="006F3257">
      <w:pPr>
        <w:pStyle w:val="Pismenka"/>
        <w:tabs>
          <w:tab w:val="clear" w:pos="426"/>
        </w:tabs>
        <w:spacing w:after="120"/>
        <w:ind w:left="0" w:firstLine="0"/>
        <w:rPr>
          <w:b w:val="0"/>
          <w:bCs w:val="0"/>
          <w:sz w:val="22"/>
          <w:szCs w:val="22"/>
        </w:rPr>
      </w:pPr>
      <w:r w:rsidRPr="00C66720">
        <w:rPr>
          <w:b w:val="0"/>
          <w:bCs w:val="0"/>
          <w:sz w:val="22"/>
          <w:szCs w:val="22"/>
        </w:rPr>
        <w:t>U</w:t>
      </w:r>
      <w:r w:rsidR="008D3D70" w:rsidRPr="00C66720">
        <w:rPr>
          <w:b w:val="0"/>
          <w:bCs w:val="0"/>
          <w:sz w:val="22"/>
          <w:szCs w:val="22"/>
        </w:rPr>
        <w:t xml:space="preserve"> Sociálnej poisťovne a Všeobecnej zdravotnej poisťovn</w:t>
      </w:r>
      <w:r w:rsidRPr="00C66720">
        <w:rPr>
          <w:b w:val="0"/>
          <w:bCs w:val="0"/>
          <w:sz w:val="22"/>
          <w:szCs w:val="22"/>
        </w:rPr>
        <w:t>e</w:t>
      </w:r>
      <w:r w:rsidR="008D3D70" w:rsidRPr="00C66720">
        <w:rPr>
          <w:b w:val="0"/>
          <w:bCs w:val="0"/>
          <w:sz w:val="22"/>
          <w:szCs w:val="22"/>
        </w:rPr>
        <w:t xml:space="preserve">, a.s. ide o vykázanie príspevkov z odvodov, ktoré plynú do jednotlivých fondov a na technické účty poistenia. </w:t>
      </w:r>
      <w:r w:rsidR="0037374A">
        <w:rPr>
          <w:b w:val="0"/>
          <w:bCs w:val="0"/>
          <w:sz w:val="22"/>
          <w:szCs w:val="22"/>
        </w:rPr>
        <w:t>V prípade Sociálnej poisťovne došlo v roku 2022 k spresneniu podkladových dát a k vnútornej eliminácii prevodov medzi jednotlivými fondmi. Medziročný pokles o</w:t>
      </w:r>
      <w:r w:rsidR="005647E7">
        <w:rPr>
          <w:b w:val="0"/>
          <w:bCs w:val="0"/>
          <w:sz w:val="22"/>
          <w:szCs w:val="22"/>
        </w:rPr>
        <w:t xml:space="preserve"> 13 752 643 tis. eur </w:t>
      </w:r>
      <w:r w:rsidR="0037374A">
        <w:rPr>
          <w:b w:val="0"/>
          <w:bCs w:val="0"/>
          <w:sz w:val="22"/>
          <w:szCs w:val="22"/>
        </w:rPr>
        <w:t>je z dôvodu, že za rok 2021 tieto prevody boli ešte súčasťou bežných výnosov (ako aj nákladov)</w:t>
      </w:r>
      <w:r w:rsidR="004F2EA7" w:rsidRPr="00C66720">
        <w:rPr>
          <w:b w:val="0"/>
          <w:bCs w:val="0"/>
          <w:sz w:val="22"/>
          <w:szCs w:val="22"/>
        </w:rPr>
        <w:t xml:space="preserve">. </w:t>
      </w:r>
      <w:r w:rsidR="00C67965" w:rsidRPr="00C66720">
        <w:rPr>
          <w:b w:val="0"/>
          <w:bCs w:val="0"/>
          <w:sz w:val="22"/>
          <w:szCs w:val="22"/>
        </w:rPr>
        <w:t>Taktiež sa pri zostavení súhrnnej účtovnej závierky za rok 2022 pristúpilo k akrualizácii vykazovania predpisov poistného, keď výnosy z predpísaných odvodov poistného sa vykazujú v účtovnom období, ktorého sa časovo a vecne týkajú.</w:t>
      </w:r>
      <w:r w:rsidR="00C67965">
        <w:rPr>
          <w:b w:val="0"/>
          <w:bCs w:val="0"/>
          <w:sz w:val="22"/>
          <w:szCs w:val="22"/>
        </w:rPr>
        <w:t xml:space="preserve"> Hodnota akrualizácie predstavovala </w:t>
      </w:r>
      <w:r w:rsidR="005647E7">
        <w:rPr>
          <w:b w:val="0"/>
          <w:bCs w:val="0"/>
          <w:sz w:val="22"/>
          <w:szCs w:val="22"/>
        </w:rPr>
        <w:t>311 0</w:t>
      </w:r>
      <w:r w:rsidR="007E169E">
        <w:rPr>
          <w:b w:val="0"/>
          <w:bCs w:val="0"/>
          <w:sz w:val="22"/>
          <w:szCs w:val="22"/>
        </w:rPr>
        <w:t>0</w:t>
      </w:r>
      <w:r w:rsidR="005647E7">
        <w:rPr>
          <w:b w:val="0"/>
          <w:bCs w:val="0"/>
          <w:sz w:val="22"/>
          <w:szCs w:val="22"/>
        </w:rPr>
        <w:t xml:space="preserve">6 </w:t>
      </w:r>
      <w:r w:rsidR="00C67965">
        <w:rPr>
          <w:b w:val="0"/>
          <w:bCs w:val="0"/>
          <w:sz w:val="22"/>
          <w:szCs w:val="22"/>
        </w:rPr>
        <w:t>tis. eur.</w:t>
      </w:r>
    </w:p>
    <w:p w14:paraId="2FA69D7D" w14:textId="31C17AF3" w:rsidR="008361D4" w:rsidRPr="00C66720" w:rsidRDefault="00D91BA0" w:rsidP="006F3257">
      <w:pPr>
        <w:pStyle w:val="Pismenka"/>
        <w:tabs>
          <w:tab w:val="clear" w:pos="426"/>
        </w:tabs>
        <w:spacing w:after="120"/>
        <w:ind w:left="0" w:firstLine="0"/>
        <w:rPr>
          <w:b w:val="0"/>
          <w:bCs w:val="0"/>
          <w:sz w:val="22"/>
          <w:szCs w:val="22"/>
        </w:rPr>
      </w:pPr>
      <w:r w:rsidRPr="00C66720">
        <w:rPr>
          <w:b w:val="0"/>
          <w:bCs w:val="0"/>
          <w:sz w:val="22"/>
          <w:szCs w:val="22"/>
        </w:rPr>
        <w:t>Výnosy Všeobecnej zdravotnej poisťovne, a.s. boli medziročne vyššie o</w:t>
      </w:r>
      <w:r w:rsidR="008361D4" w:rsidRPr="00C66720">
        <w:rPr>
          <w:b w:val="0"/>
          <w:bCs w:val="0"/>
          <w:sz w:val="22"/>
          <w:szCs w:val="22"/>
        </w:rPr>
        <w:t> 136 346</w:t>
      </w:r>
      <w:r w:rsidRPr="00C66720">
        <w:rPr>
          <w:b w:val="0"/>
          <w:bCs w:val="0"/>
          <w:sz w:val="22"/>
          <w:szCs w:val="22"/>
        </w:rPr>
        <w:t xml:space="preserve"> tis. eur, najmä vplyvom vyššieho predpísaného poistného voči platiteľom poistného </w:t>
      </w:r>
      <w:r w:rsidR="00AE0003" w:rsidRPr="00C66720">
        <w:rPr>
          <w:b w:val="0"/>
          <w:bCs w:val="0"/>
          <w:sz w:val="22"/>
          <w:szCs w:val="22"/>
        </w:rPr>
        <w:t xml:space="preserve">vrátane ročného zúčtovania poistného </w:t>
      </w:r>
      <w:r w:rsidR="008361D4" w:rsidRPr="00C66720">
        <w:rPr>
          <w:b w:val="0"/>
          <w:bCs w:val="0"/>
          <w:sz w:val="22"/>
          <w:szCs w:val="22"/>
        </w:rPr>
        <w:t>a odhadov, výnosov z prerozdelenia poistného voči iným zdravotným poisťovniam.</w:t>
      </w:r>
    </w:p>
    <w:p w14:paraId="09EE841D" w14:textId="6A245DDC" w:rsidR="00782F61" w:rsidRPr="00C66720" w:rsidRDefault="00782F61" w:rsidP="006F3257">
      <w:pPr>
        <w:pStyle w:val="Pismenka"/>
        <w:tabs>
          <w:tab w:val="clear" w:pos="426"/>
        </w:tabs>
        <w:spacing w:after="120"/>
        <w:ind w:left="0" w:firstLine="0"/>
        <w:rPr>
          <w:b w:val="0"/>
          <w:bCs w:val="0"/>
          <w:sz w:val="22"/>
          <w:szCs w:val="22"/>
        </w:rPr>
      </w:pPr>
      <w:r w:rsidRPr="00C66720">
        <w:rPr>
          <w:b w:val="0"/>
          <w:bCs w:val="0"/>
          <w:sz w:val="22"/>
          <w:szCs w:val="22"/>
        </w:rPr>
        <w:t>V prípade štátnych obchodných spoločností a štátnych podnikov ide o tržby z ich podnikateľských aktivít, napríklad výnosy Tipos-u sú z predaných žrebov a lotérií, výnosy Národnej diaľničnej spoločnosti, a.s. pochádzajú z predaja diaľničných známok a z</w:t>
      </w:r>
      <w:r w:rsidR="003D4BC2" w:rsidRPr="00C66720">
        <w:rPr>
          <w:b w:val="0"/>
          <w:bCs w:val="0"/>
          <w:sz w:val="22"/>
          <w:szCs w:val="22"/>
        </w:rPr>
        <w:t xml:space="preserve"> výberu</w:t>
      </w:r>
      <w:r w:rsidRPr="00C66720">
        <w:rPr>
          <w:b w:val="0"/>
          <w:bCs w:val="0"/>
          <w:sz w:val="22"/>
          <w:szCs w:val="22"/>
        </w:rPr>
        <w:t> elektronického mýta, výnosy železničných spoločností pochádzajú z prepravných výkonov tovarov a osôb.</w:t>
      </w:r>
    </w:p>
    <w:p w14:paraId="6C198224" w14:textId="1AB5066B" w:rsidR="00F85838" w:rsidRPr="00C66720" w:rsidRDefault="00642AEE" w:rsidP="007B7C96">
      <w:pPr>
        <w:pStyle w:val="Pismenka"/>
        <w:tabs>
          <w:tab w:val="clear" w:pos="426"/>
        </w:tabs>
        <w:spacing w:after="240"/>
        <w:ind w:left="0" w:firstLine="0"/>
        <w:rPr>
          <w:color w:val="FF0000"/>
          <w:szCs w:val="22"/>
          <w:highlight w:val="yellow"/>
        </w:rPr>
      </w:pPr>
      <w:r w:rsidRPr="00C66720">
        <w:rPr>
          <w:b w:val="0"/>
          <w:bCs w:val="0"/>
          <w:sz w:val="22"/>
          <w:szCs w:val="22"/>
        </w:rPr>
        <w:t xml:space="preserve">Výnosy za predané služby v územnej samospráve dosiahli spolu </w:t>
      </w:r>
      <w:r w:rsidR="00EE7D3D" w:rsidRPr="00C66720">
        <w:rPr>
          <w:b w:val="0"/>
          <w:bCs w:val="0"/>
          <w:sz w:val="22"/>
          <w:szCs w:val="22"/>
        </w:rPr>
        <w:t>1 004 405</w:t>
      </w:r>
      <w:r w:rsidRPr="00C66720">
        <w:rPr>
          <w:b w:val="0"/>
          <w:bCs w:val="0"/>
          <w:sz w:val="22"/>
          <w:szCs w:val="22"/>
        </w:rPr>
        <w:t xml:space="preserve"> tis. eur, z toho v konsolidovaných celkoch obcí</w:t>
      </w:r>
      <w:r w:rsidR="001E5D95" w:rsidRPr="00C66720">
        <w:rPr>
          <w:b w:val="0"/>
          <w:bCs w:val="0"/>
          <w:sz w:val="22"/>
          <w:szCs w:val="22"/>
        </w:rPr>
        <w:t xml:space="preserve"> </w:t>
      </w:r>
      <w:r w:rsidR="00EE7D3D" w:rsidRPr="00C66720">
        <w:rPr>
          <w:b w:val="0"/>
          <w:bCs w:val="0"/>
          <w:sz w:val="22"/>
          <w:szCs w:val="22"/>
        </w:rPr>
        <w:t>670 862 tis. eur</w:t>
      </w:r>
      <w:r w:rsidRPr="00C66720">
        <w:rPr>
          <w:b w:val="0"/>
          <w:bCs w:val="0"/>
          <w:sz w:val="22"/>
          <w:szCs w:val="22"/>
        </w:rPr>
        <w:t xml:space="preserve"> a konsolidovaných celkoch VUC </w:t>
      </w:r>
      <w:r w:rsidR="00EE7D3D" w:rsidRPr="00C66720">
        <w:rPr>
          <w:b w:val="0"/>
          <w:bCs w:val="0"/>
          <w:sz w:val="22"/>
          <w:szCs w:val="22"/>
        </w:rPr>
        <w:t>333 543</w:t>
      </w:r>
      <w:r w:rsidRPr="00C66720">
        <w:rPr>
          <w:b w:val="0"/>
          <w:bCs w:val="0"/>
          <w:sz w:val="22"/>
          <w:szCs w:val="22"/>
        </w:rPr>
        <w:t xml:space="preserve"> tis. eur. </w:t>
      </w:r>
    </w:p>
    <w:p w14:paraId="4C846EF8" w14:textId="542F92AD" w:rsidR="00C32C7C" w:rsidRPr="00C66720" w:rsidRDefault="00C32C7C" w:rsidP="00D043B6">
      <w:pPr>
        <w:pStyle w:val="Pismenka"/>
        <w:numPr>
          <w:ilvl w:val="0"/>
          <w:numId w:val="44"/>
        </w:numPr>
        <w:spacing w:before="120" w:after="120"/>
        <w:ind w:left="284" w:hanging="284"/>
        <w:rPr>
          <w:i/>
          <w:sz w:val="22"/>
          <w:szCs w:val="22"/>
          <w:u w:val="single"/>
        </w:rPr>
      </w:pPr>
      <w:bookmarkStart w:id="56" w:name="_Ref86186376"/>
      <w:r w:rsidRPr="00C66720">
        <w:rPr>
          <w:i/>
          <w:sz w:val="22"/>
          <w:szCs w:val="22"/>
          <w:u w:val="single"/>
        </w:rPr>
        <w:lastRenderedPageBreak/>
        <w:t>Výrobky</w:t>
      </w:r>
      <w:bookmarkEnd w:id="56"/>
    </w:p>
    <w:p w14:paraId="2B32A030" w14:textId="209F0A92" w:rsidR="00B911C1" w:rsidRPr="00C66720" w:rsidRDefault="008776B5" w:rsidP="002779AF">
      <w:pPr>
        <w:pStyle w:val="Pismenka"/>
        <w:tabs>
          <w:tab w:val="clear" w:pos="426"/>
        </w:tabs>
        <w:spacing w:after="240"/>
        <w:ind w:left="0" w:firstLine="0"/>
        <w:rPr>
          <w:b w:val="0"/>
          <w:bCs w:val="0"/>
          <w:sz w:val="22"/>
          <w:szCs w:val="22"/>
        </w:rPr>
      </w:pPr>
      <w:r w:rsidRPr="00C66720">
        <w:rPr>
          <w:b w:val="0"/>
          <w:bCs w:val="0"/>
          <w:sz w:val="22"/>
          <w:szCs w:val="22"/>
        </w:rPr>
        <w:t xml:space="preserve">Tržby za vlastné výrobky dosiahli </w:t>
      </w:r>
      <w:r w:rsidR="002477C0" w:rsidRPr="00C66720">
        <w:rPr>
          <w:b w:val="0"/>
          <w:bCs w:val="0"/>
          <w:sz w:val="22"/>
          <w:szCs w:val="22"/>
        </w:rPr>
        <w:t>3 745 805</w:t>
      </w:r>
      <w:r w:rsidR="001C6211" w:rsidRPr="00C66720">
        <w:rPr>
          <w:b w:val="0"/>
          <w:bCs w:val="0"/>
          <w:sz w:val="22"/>
          <w:szCs w:val="22"/>
        </w:rPr>
        <w:t xml:space="preserve"> </w:t>
      </w:r>
      <w:r w:rsidR="00F26ECC" w:rsidRPr="00C66720">
        <w:rPr>
          <w:b w:val="0"/>
          <w:bCs w:val="0"/>
          <w:sz w:val="22"/>
          <w:szCs w:val="22"/>
        </w:rPr>
        <w:t>tis. eur</w:t>
      </w:r>
      <w:r w:rsidR="003A3848" w:rsidRPr="00C66720">
        <w:rPr>
          <w:b w:val="0"/>
          <w:bCs w:val="0"/>
          <w:sz w:val="22"/>
          <w:szCs w:val="22"/>
        </w:rPr>
        <w:t xml:space="preserve"> a</w:t>
      </w:r>
      <w:r w:rsidR="00F26ECC" w:rsidRPr="00C66720">
        <w:rPr>
          <w:b w:val="0"/>
          <w:bCs w:val="0"/>
          <w:sz w:val="22"/>
          <w:szCs w:val="22"/>
        </w:rPr>
        <w:t xml:space="preserve"> medziročne boli </w:t>
      </w:r>
      <w:r w:rsidR="002B1F56" w:rsidRPr="00C66720">
        <w:rPr>
          <w:b w:val="0"/>
          <w:bCs w:val="0"/>
          <w:sz w:val="22"/>
          <w:szCs w:val="22"/>
        </w:rPr>
        <w:t>vyššie</w:t>
      </w:r>
      <w:r w:rsidR="001C6211" w:rsidRPr="00C66720">
        <w:rPr>
          <w:b w:val="0"/>
          <w:bCs w:val="0"/>
          <w:sz w:val="22"/>
          <w:szCs w:val="22"/>
        </w:rPr>
        <w:t xml:space="preserve"> </w:t>
      </w:r>
      <w:r w:rsidR="00F26ECC" w:rsidRPr="00C66720">
        <w:rPr>
          <w:b w:val="0"/>
          <w:bCs w:val="0"/>
          <w:sz w:val="22"/>
          <w:szCs w:val="22"/>
        </w:rPr>
        <w:t>o</w:t>
      </w:r>
      <w:r w:rsidR="002477C0" w:rsidRPr="00C66720">
        <w:rPr>
          <w:b w:val="0"/>
          <w:bCs w:val="0"/>
          <w:sz w:val="22"/>
          <w:szCs w:val="22"/>
        </w:rPr>
        <w:t> 1 844 017</w:t>
      </w:r>
      <w:r w:rsidR="00F26ECC" w:rsidRPr="00C66720">
        <w:rPr>
          <w:b w:val="0"/>
          <w:bCs w:val="0"/>
          <w:sz w:val="22"/>
          <w:szCs w:val="22"/>
        </w:rPr>
        <w:t xml:space="preserve"> tis.</w:t>
      </w:r>
      <w:r w:rsidR="00D36728" w:rsidRPr="00C66720">
        <w:rPr>
          <w:b w:val="0"/>
          <w:bCs w:val="0"/>
          <w:sz w:val="22"/>
          <w:szCs w:val="22"/>
        </w:rPr>
        <w:t xml:space="preserve"> eur.</w:t>
      </w:r>
      <w:r w:rsidR="00F26ECC" w:rsidRPr="00C66720">
        <w:rPr>
          <w:b w:val="0"/>
          <w:bCs w:val="0"/>
          <w:sz w:val="22"/>
          <w:szCs w:val="22"/>
        </w:rPr>
        <w:t xml:space="preserve"> </w:t>
      </w:r>
      <w:r w:rsidR="00E8208F" w:rsidRPr="00C66720">
        <w:rPr>
          <w:b w:val="0"/>
          <w:bCs w:val="0"/>
          <w:sz w:val="22"/>
          <w:szCs w:val="22"/>
        </w:rPr>
        <w:t xml:space="preserve">Významnú hodnotu týchto tržieb ako aj medziročného </w:t>
      </w:r>
      <w:r w:rsidR="000223C4" w:rsidRPr="00C66720">
        <w:rPr>
          <w:b w:val="0"/>
          <w:bCs w:val="0"/>
          <w:sz w:val="22"/>
          <w:szCs w:val="22"/>
        </w:rPr>
        <w:t>prírastku</w:t>
      </w:r>
      <w:r w:rsidR="00E8208F" w:rsidRPr="00C66720">
        <w:rPr>
          <w:b w:val="0"/>
          <w:bCs w:val="0"/>
          <w:sz w:val="22"/>
          <w:szCs w:val="22"/>
        </w:rPr>
        <w:t xml:space="preserve"> tvorí </w:t>
      </w:r>
      <w:r w:rsidR="00FC5E8C" w:rsidRPr="00C66720">
        <w:rPr>
          <w:b w:val="0"/>
          <w:bCs w:val="0"/>
          <w:sz w:val="22"/>
          <w:szCs w:val="22"/>
        </w:rPr>
        <w:t>spoločnosť</w:t>
      </w:r>
      <w:r w:rsidR="00047899" w:rsidRPr="00C66720">
        <w:rPr>
          <w:b w:val="0"/>
          <w:bCs w:val="0"/>
          <w:sz w:val="22"/>
          <w:szCs w:val="22"/>
        </w:rPr>
        <w:t xml:space="preserve"> S</w:t>
      </w:r>
      <w:r w:rsidR="00FC5E8C" w:rsidRPr="00C66720">
        <w:rPr>
          <w:b w:val="0"/>
          <w:bCs w:val="0"/>
          <w:sz w:val="22"/>
          <w:szCs w:val="22"/>
        </w:rPr>
        <w:t>PP, a.s.</w:t>
      </w:r>
      <w:r w:rsidR="00047899" w:rsidRPr="00C66720">
        <w:rPr>
          <w:b w:val="0"/>
          <w:bCs w:val="0"/>
          <w:sz w:val="22"/>
          <w:szCs w:val="22"/>
        </w:rPr>
        <w:t xml:space="preserve"> </w:t>
      </w:r>
      <w:r w:rsidR="000223C4" w:rsidRPr="00C66720">
        <w:rPr>
          <w:b w:val="0"/>
          <w:bCs w:val="0"/>
          <w:sz w:val="22"/>
          <w:szCs w:val="22"/>
        </w:rPr>
        <w:br/>
      </w:r>
      <w:r w:rsidR="001D1D14" w:rsidRPr="00C66720">
        <w:rPr>
          <w:b w:val="0"/>
          <w:bCs w:val="0"/>
          <w:sz w:val="22"/>
          <w:szCs w:val="22"/>
        </w:rPr>
        <w:t>(</w:t>
      </w:r>
      <w:r w:rsidR="00976FEE" w:rsidRPr="00C66720">
        <w:rPr>
          <w:b w:val="0"/>
          <w:bCs w:val="0"/>
          <w:sz w:val="22"/>
          <w:szCs w:val="22"/>
        </w:rPr>
        <w:t>2 916 287</w:t>
      </w:r>
      <w:r w:rsidR="001D1D14" w:rsidRPr="00C66720">
        <w:rPr>
          <w:b w:val="0"/>
          <w:bCs w:val="0"/>
          <w:sz w:val="22"/>
          <w:szCs w:val="22"/>
        </w:rPr>
        <w:t> </w:t>
      </w:r>
      <w:r w:rsidR="00E8208F" w:rsidRPr="00C66720">
        <w:rPr>
          <w:b w:val="0"/>
          <w:bCs w:val="0"/>
          <w:sz w:val="22"/>
          <w:szCs w:val="22"/>
        </w:rPr>
        <w:t>tis.</w:t>
      </w:r>
      <w:r w:rsidR="00E8513B" w:rsidRPr="00C66720">
        <w:rPr>
          <w:b w:val="0"/>
          <w:bCs w:val="0"/>
          <w:sz w:val="22"/>
          <w:szCs w:val="22"/>
        </w:rPr>
        <w:t> </w:t>
      </w:r>
      <w:r w:rsidR="00E8208F" w:rsidRPr="00C66720">
        <w:rPr>
          <w:b w:val="0"/>
          <w:bCs w:val="0"/>
          <w:sz w:val="22"/>
          <w:szCs w:val="22"/>
        </w:rPr>
        <w:t>eur a</w:t>
      </w:r>
      <w:r w:rsidR="00AF37FA" w:rsidRPr="00C66720">
        <w:rPr>
          <w:b w:val="0"/>
          <w:bCs w:val="0"/>
          <w:sz w:val="22"/>
          <w:szCs w:val="22"/>
        </w:rPr>
        <w:t xml:space="preserve"> </w:t>
      </w:r>
      <w:r w:rsidR="000223C4" w:rsidRPr="00C66720">
        <w:rPr>
          <w:b w:val="0"/>
          <w:bCs w:val="0"/>
          <w:sz w:val="22"/>
          <w:szCs w:val="22"/>
        </w:rPr>
        <w:t>nárast</w:t>
      </w:r>
      <w:r w:rsidR="009B32CB" w:rsidRPr="00C66720">
        <w:rPr>
          <w:b w:val="0"/>
          <w:bCs w:val="0"/>
          <w:sz w:val="22"/>
          <w:szCs w:val="22"/>
        </w:rPr>
        <w:t xml:space="preserve"> </w:t>
      </w:r>
      <w:r w:rsidR="00976FEE" w:rsidRPr="00C66720">
        <w:rPr>
          <w:b w:val="0"/>
          <w:bCs w:val="0"/>
          <w:sz w:val="22"/>
          <w:szCs w:val="22"/>
        </w:rPr>
        <w:t>1 648 419</w:t>
      </w:r>
      <w:r w:rsidR="008203B5" w:rsidRPr="00C66720">
        <w:rPr>
          <w:b w:val="0"/>
          <w:bCs w:val="0"/>
          <w:sz w:val="22"/>
          <w:szCs w:val="22"/>
        </w:rPr>
        <w:t xml:space="preserve"> tis. eur) z predaja zemného plynu</w:t>
      </w:r>
      <w:r w:rsidR="00EA0522" w:rsidRPr="00C66720">
        <w:rPr>
          <w:b w:val="0"/>
          <w:bCs w:val="0"/>
          <w:sz w:val="22"/>
          <w:szCs w:val="22"/>
        </w:rPr>
        <w:t xml:space="preserve"> vplyvom</w:t>
      </w:r>
      <w:r w:rsidR="008D632A" w:rsidRPr="00C66720">
        <w:rPr>
          <w:b w:val="0"/>
          <w:bCs w:val="0"/>
          <w:sz w:val="22"/>
          <w:szCs w:val="22"/>
        </w:rPr>
        <w:t xml:space="preserve"> vyššieho objemu obchodovania tak na domácom ako aj na zahraničnom trhu</w:t>
      </w:r>
      <w:r w:rsidR="00F5450E">
        <w:rPr>
          <w:b w:val="0"/>
          <w:bCs w:val="0"/>
          <w:sz w:val="22"/>
          <w:szCs w:val="22"/>
        </w:rPr>
        <w:t xml:space="preserve"> ako aj vyššími cenami komod</w:t>
      </w:r>
      <w:r w:rsidR="00150235">
        <w:rPr>
          <w:b w:val="0"/>
          <w:bCs w:val="0"/>
          <w:sz w:val="22"/>
          <w:szCs w:val="22"/>
        </w:rPr>
        <w:t>ity</w:t>
      </w:r>
      <w:r w:rsidR="008D632A" w:rsidRPr="00C66720">
        <w:rPr>
          <w:b w:val="0"/>
          <w:bCs w:val="0"/>
          <w:sz w:val="22"/>
          <w:szCs w:val="22"/>
        </w:rPr>
        <w:t xml:space="preserve">. </w:t>
      </w:r>
      <w:r w:rsidR="00642AEE" w:rsidRPr="00C66720">
        <w:rPr>
          <w:b w:val="0"/>
          <w:bCs w:val="0"/>
          <w:sz w:val="22"/>
          <w:szCs w:val="22"/>
        </w:rPr>
        <w:t>Ďalšou jednotkou s významným podielom sú Lesy SR, š.</w:t>
      </w:r>
      <w:r w:rsidR="003D6602" w:rsidRPr="00C66720">
        <w:rPr>
          <w:b w:val="0"/>
          <w:bCs w:val="0"/>
          <w:sz w:val="22"/>
          <w:szCs w:val="22"/>
        </w:rPr>
        <w:t xml:space="preserve"> </w:t>
      </w:r>
      <w:r w:rsidR="00642AEE" w:rsidRPr="00C66720">
        <w:rPr>
          <w:b w:val="0"/>
          <w:bCs w:val="0"/>
          <w:sz w:val="22"/>
          <w:szCs w:val="22"/>
        </w:rPr>
        <w:t>p. (</w:t>
      </w:r>
      <w:r w:rsidR="00C3151C" w:rsidRPr="00C66720">
        <w:rPr>
          <w:b w:val="0"/>
          <w:bCs w:val="0"/>
          <w:sz w:val="22"/>
          <w:szCs w:val="22"/>
        </w:rPr>
        <w:t>257 061</w:t>
      </w:r>
      <w:r w:rsidR="00642AEE" w:rsidRPr="00C66720">
        <w:rPr>
          <w:b w:val="0"/>
          <w:bCs w:val="0"/>
          <w:sz w:val="22"/>
          <w:szCs w:val="22"/>
        </w:rPr>
        <w:t xml:space="preserve"> tis. eur), ktoré vykazujú </w:t>
      </w:r>
      <w:r w:rsidR="003D6602" w:rsidRPr="00C66720">
        <w:rPr>
          <w:b w:val="0"/>
          <w:bCs w:val="0"/>
          <w:sz w:val="22"/>
          <w:szCs w:val="22"/>
        </w:rPr>
        <w:t xml:space="preserve">hlavne </w:t>
      </w:r>
      <w:r w:rsidR="00642AEE" w:rsidRPr="00C66720">
        <w:rPr>
          <w:b w:val="0"/>
          <w:bCs w:val="0"/>
          <w:sz w:val="22"/>
          <w:szCs w:val="22"/>
        </w:rPr>
        <w:t>tržby za predanú drevnú hmotu</w:t>
      </w:r>
      <w:r w:rsidR="003D6602" w:rsidRPr="00C66720">
        <w:rPr>
          <w:b w:val="0"/>
          <w:bCs w:val="0"/>
          <w:sz w:val="22"/>
          <w:szCs w:val="22"/>
        </w:rPr>
        <w:t>.</w:t>
      </w:r>
      <w:r w:rsidR="00642AEE" w:rsidRPr="00C66720">
        <w:rPr>
          <w:b w:val="0"/>
          <w:bCs w:val="0"/>
          <w:sz w:val="22"/>
          <w:szCs w:val="22"/>
        </w:rPr>
        <w:t xml:space="preserve"> </w:t>
      </w:r>
      <w:r w:rsidR="00B911C1" w:rsidRPr="00C66720">
        <w:rPr>
          <w:b w:val="0"/>
          <w:bCs w:val="0"/>
          <w:sz w:val="22"/>
          <w:szCs w:val="22"/>
        </w:rPr>
        <w:t xml:space="preserve">Výnosy z predaja výrobkov </w:t>
      </w:r>
      <w:r w:rsidR="001779B0" w:rsidRPr="00C66720">
        <w:rPr>
          <w:b w:val="0"/>
          <w:bCs w:val="0"/>
          <w:sz w:val="22"/>
          <w:szCs w:val="22"/>
        </w:rPr>
        <w:t>boli medziročne vyššie</w:t>
      </w:r>
      <w:r w:rsidR="00B92680" w:rsidRPr="00C66720">
        <w:rPr>
          <w:b w:val="0"/>
          <w:bCs w:val="0"/>
          <w:sz w:val="22"/>
          <w:szCs w:val="22"/>
        </w:rPr>
        <w:t xml:space="preserve"> o</w:t>
      </w:r>
      <w:r w:rsidR="001779B0" w:rsidRPr="00C66720">
        <w:rPr>
          <w:b w:val="0"/>
          <w:bCs w:val="0"/>
          <w:sz w:val="22"/>
          <w:szCs w:val="22"/>
        </w:rPr>
        <w:t xml:space="preserve"> 40 </w:t>
      </w:r>
      <w:r w:rsidR="00B911C1" w:rsidRPr="00C66720">
        <w:rPr>
          <w:b w:val="0"/>
          <w:bCs w:val="0"/>
          <w:sz w:val="22"/>
          <w:szCs w:val="22"/>
        </w:rPr>
        <w:t>318</w:t>
      </w:r>
      <w:r w:rsidR="00B92680" w:rsidRPr="00C66720">
        <w:rPr>
          <w:b w:val="0"/>
          <w:bCs w:val="0"/>
          <w:sz w:val="22"/>
          <w:szCs w:val="22"/>
        </w:rPr>
        <w:t xml:space="preserve"> tis. eur </w:t>
      </w:r>
      <w:r w:rsidR="00B31F6F" w:rsidRPr="00C66720">
        <w:rPr>
          <w:b w:val="0"/>
          <w:bCs w:val="0"/>
          <w:sz w:val="22"/>
          <w:szCs w:val="22"/>
        </w:rPr>
        <w:t>najmä z</w:t>
      </w:r>
      <w:r w:rsidR="00B911C1" w:rsidRPr="00C66720">
        <w:rPr>
          <w:b w:val="0"/>
          <w:bCs w:val="0"/>
          <w:sz w:val="22"/>
          <w:szCs w:val="22"/>
        </w:rPr>
        <w:t> </w:t>
      </w:r>
      <w:r w:rsidR="00B31F6F" w:rsidRPr="00C66720">
        <w:rPr>
          <w:b w:val="0"/>
          <w:bCs w:val="0"/>
          <w:sz w:val="22"/>
          <w:szCs w:val="22"/>
        </w:rPr>
        <w:t>dôvodu</w:t>
      </w:r>
      <w:r w:rsidR="00B911C1" w:rsidRPr="00C66720">
        <w:rPr>
          <w:b w:val="0"/>
          <w:bCs w:val="0"/>
          <w:sz w:val="22"/>
          <w:szCs w:val="22"/>
        </w:rPr>
        <w:t xml:space="preserve"> nárastu tržieb z predaja dreva o 26 %, ktorý bol ovplyvnený zvýšením priemerného speňaženia dreva za m</w:t>
      </w:r>
      <w:r w:rsidR="00B911C1" w:rsidRPr="00C66720">
        <w:rPr>
          <w:b w:val="0"/>
          <w:bCs w:val="0"/>
          <w:sz w:val="22"/>
          <w:szCs w:val="22"/>
          <w:vertAlign w:val="superscript"/>
        </w:rPr>
        <w:t>3</w:t>
      </w:r>
      <w:r w:rsidR="00B911C1" w:rsidRPr="00C66720">
        <w:rPr>
          <w:b w:val="0"/>
          <w:bCs w:val="0"/>
          <w:sz w:val="22"/>
          <w:szCs w:val="22"/>
        </w:rPr>
        <w:t>.</w:t>
      </w:r>
    </w:p>
    <w:p w14:paraId="23225A1B" w14:textId="54BBB12C" w:rsidR="001521F0" w:rsidRPr="00C66720" w:rsidRDefault="001521F0" w:rsidP="00D043B6">
      <w:pPr>
        <w:pStyle w:val="Pismenka"/>
        <w:numPr>
          <w:ilvl w:val="0"/>
          <w:numId w:val="44"/>
        </w:numPr>
        <w:spacing w:before="120" w:after="120"/>
        <w:ind w:left="284" w:hanging="284"/>
        <w:rPr>
          <w:i/>
          <w:sz w:val="22"/>
          <w:szCs w:val="22"/>
          <w:u w:val="single"/>
        </w:rPr>
      </w:pPr>
      <w:bookmarkStart w:id="57" w:name="_Ref86186386"/>
      <w:r w:rsidRPr="00C66720">
        <w:rPr>
          <w:i/>
          <w:sz w:val="22"/>
          <w:szCs w:val="22"/>
          <w:u w:val="single"/>
        </w:rPr>
        <w:t>Tovar</w:t>
      </w:r>
      <w:bookmarkEnd w:id="57"/>
    </w:p>
    <w:p w14:paraId="7C407AF5" w14:textId="19A91304" w:rsidR="001D5DDF" w:rsidRPr="00C66720" w:rsidRDefault="00495776" w:rsidP="002779AF">
      <w:pPr>
        <w:pStyle w:val="Pismenka"/>
        <w:tabs>
          <w:tab w:val="clear" w:pos="426"/>
        </w:tabs>
        <w:spacing w:before="120" w:after="240"/>
        <w:ind w:left="0" w:firstLine="0"/>
        <w:rPr>
          <w:b w:val="0"/>
          <w:bCs w:val="0"/>
          <w:sz w:val="22"/>
          <w:szCs w:val="22"/>
        </w:rPr>
      </w:pPr>
      <w:r w:rsidRPr="00C66720">
        <w:rPr>
          <w:b w:val="0"/>
          <w:bCs w:val="0"/>
          <w:sz w:val="22"/>
          <w:szCs w:val="22"/>
        </w:rPr>
        <w:t>Významné zvýšenie</w:t>
      </w:r>
      <w:r w:rsidR="00E8208F" w:rsidRPr="00C66720">
        <w:rPr>
          <w:b w:val="0"/>
          <w:bCs w:val="0"/>
          <w:sz w:val="22"/>
          <w:szCs w:val="22"/>
        </w:rPr>
        <w:t xml:space="preserve"> tržieb z predaja tovaru </w:t>
      </w:r>
      <w:r w:rsidR="003D5503" w:rsidRPr="00C66720">
        <w:rPr>
          <w:b w:val="0"/>
          <w:bCs w:val="0"/>
          <w:sz w:val="22"/>
          <w:szCs w:val="22"/>
        </w:rPr>
        <w:t>o</w:t>
      </w:r>
      <w:r w:rsidR="00191BF9" w:rsidRPr="00C66720">
        <w:rPr>
          <w:b w:val="0"/>
          <w:bCs w:val="0"/>
          <w:sz w:val="22"/>
          <w:szCs w:val="22"/>
        </w:rPr>
        <w:t xml:space="preserve"> 3 910 836 </w:t>
      </w:r>
      <w:r w:rsidR="003D5503" w:rsidRPr="00C66720">
        <w:rPr>
          <w:b w:val="0"/>
          <w:bCs w:val="0"/>
          <w:sz w:val="22"/>
          <w:szCs w:val="22"/>
        </w:rPr>
        <w:t xml:space="preserve"> tis. eur </w:t>
      </w:r>
      <w:r w:rsidR="00E8208F" w:rsidRPr="00C66720">
        <w:rPr>
          <w:b w:val="0"/>
          <w:bCs w:val="0"/>
          <w:sz w:val="22"/>
          <w:szCs w:val="22"/>
        </w:rPr>
        <w:t>je ovplyvnený výno</w:t>
      </w:r>
      <w:r w:rsidR="0051205E" w:rsidRPr="00C66720">
        <w:rPr>
          <w:b w:val="0"/>
          <w:bCs w:val="0"/>
          <w:sz w:val="22"/>
          <w:szCs w:val="22"/>
        </w:rPr>
        <w:t xml:space="preserve">smi </w:t>
      </w:r>
      <w:r w:rsidR="00775A11" w:rsidRPr="00C66720">
        <w:rPr>
          <w:b w:val="0"/>
          <w:bCs w:val="0"/>
          <w:sz w:val="22"/>
          <w:szCs w:val="22"/>
        </w:rPr>
        <w:t xml:space="preserve">napr. </w:t>
      </w:r>
      <w:r w:rsidR="0051205E" w:rsidRPr="00C66720">
        <w:rPr>
          <w:b w:val="0"/>
          <w:bCs w:val="0"/>
          <w:sz w:val="22"/>
          <w:szCs w:val="22"/>
        </w:rPr>
        <w:t>spoločnosti</w:t>
      </w:r>
      <w:r w:rsidR="00D73005" w:rsidRPr="00C66720">
        <w:rPr>
          <w:b w:val="0"/>
          <w:bCs w:val="0"/>
          <w:sz w:val="22"/>
          <w:szCs w:val="22"/>
        </w:rPr>
        <w:t xml:space="preserve"> </w:t>
      </w:r>
      <w:r w:rsidR="001D5DDF" w:rsidRPr="00C66720">
        <w:rPr>
          <w:b w:val="0"/>
          <w:bCs w:val="0"/>
          <w:sz w:val="22"/>
          <w:szCs w:val="22"/>
        </w:rPr>
        <w:t xml:space="preserve">Slovenská elektrizačná prenosová sústava, a.s., ktoré dosiahli </w:t>
      </w:r>
      <w:r w:rsidR="00603476" w:rsidRPr="00C66720">
        <w:rPr>
          <w:b w:val="0"/>
          <w:bCs w:val="0"/>
          <w:sz w:val="22"/>
          <w:szCs w:val="22"/>
        </w:rPr>
        <w:t>4 846 324</w:t>
      </w:r>
      <w:r w:rsidR="001D5DDF" w:rsidRPr="00C66720">
        <w:rPr>
          <w:b w:val="0"/>
          <w:bCs w:val="0"/>
          <w:sz w:val="22"/>
          <w:szCs w:val="22"/>
        </w:rPr>
        <w:t xml:space="preserve"> tis. eur a medziročne boli </w:t>
      </w:r>
      <w:r w:rsidR="00D73005" w:rsidRPr="00C66720">
        <w:rPr>
          <w:b w:val="0"/>
          <w:bCs w:val="0"/>
          <w:sz w:val="22"/>
          <w:szCs w:val="22"/>
        </w:rPr>
        <w:t>vyššie</w:t>
      </w:r>
      <w:r w:rsidR="001D5DDF" w:rsidRPr="00C66720">
        <w:rPr>
          <w:b w:val="0"/>
          <w:bCs w:val="0"/>
          <w:sz w:val="22"/>
          <w:szCs w:val="22"/>
        </w:rPr>
        <w:t xml:space="preserve"> o</w:t>
      </w:r>
      <w:r w:rsidR="00603476" w:rsidRPr="00C66720">
        <w:rPr>
          <w:b w:val="0"/>
          <w:bCs w:val="0"/>
          <w:sz w:val="22"/>
          <w:szCs w:val="22"/>
        </w:rPr>
        <w:t> 2 828 209</w:t>
      </w:r>
      <w:r w:rsidR="001D5DDF" w:rsidRPr="00C66720">
        <w:rPr>
          <w:b w:val="0"/>
          <w:bCs w:val="0"/>
          <w:sz w:val="22"/>
          <w:szCs w:val="22"/>
        </w:rPr>
        <w:t xml:space="preserve"> tis. eur z dôvodu </w:t>
      </w:r>
      <w:r w:rsidR="00D73005" w:rsidRPr="00C66720">
        <w:rPr>
          <w:b w:val="0"/>
          <w:bCs w:val="0"/>
          <w:sz w:val="22"/>
          <w:szCs w:val="22"/>
        </w:rPr>
        <w:t xml:space="preserve">nárastu výnosov </w:t>
      </w:r>
      <w:r w:rsidR="0008269B" w:rsidRPr="00C66720">
        <w:rPr>
          <w:b w:val="0"/>
          <w:bCs w:val="0"/>
          <w:sz w:val="22"/>
          <w:szCs w:val="22"/>
        </w:rPr>
        <w:t xml:space="preserve">najmä v súvislosti </w:t>
      </w:r>
      <w:r w:rsidR="00F5450E">
        <w:rPr>
          <w:b w:val="0"/>
          <w:bCs w:val="0"/>
          <w:sz w:val="22"/>
          <w:szCs w:val="22"/>
        </w:rPr>
        <w:t>s cenami</w:t>
      </w:r>
      <w:r w:rsidR="0008269B" w:rsidRPr="00C66720">
        <w:rPr>
          <w:b w:val="0"/>
          <w:bCs w:val="0"/>
          <w:sz w:val="22"/>
          <w:szCs w:val="22"/>
        </w:rPr>
        <w:t xml:space="preserve"> elektriny predávanej na dennom trhu, nárastu výnosov v rámci systému IGCC (International Grid Control Cooperatin), nárastu výnosov za funkciu shipping agenta v rámci prepojenia českého, slovenského a maďarského trhu s elektrinou (ide o platby za elektrinu prenesenú cez cezhraničné spojenia z krajín, kde je na trhu prebytok elektriny do krajín, kde bol na trhu jej nedostatok) a nárastu výnosov na FSKAR (neplánované výmeny elektrickej energie).</w:t>
      </w:r>
      <w:r w:rsidR="009C2E38" w:rsidRPr="00C66720">
        <w:rPr>
          <w:b w:val="0"/>
          <w:bCs w:val="0"/>
          <w:sz w:val="22"/>
          <w:szCs w:val="22"/>
        </w:rPr>
        <w:t xml:space="preserve"> D</w:t>
      </w:r>
      <w:r w:rsidR="00EF6985" w:rsidRPr="00C66720">
        <w:rPr>
          <w:b w:val="0"/>
          <w:bCs w:val="0"/>
          <w:sz w:val="22"/>
          <w:szCs w:val="22"/>
        </w:rPr>
        <w:t xml:space="preserve">ruhou najvýznamnejšou spoločnosťou je SPP, a.s., ktorej konsolidované výnosy dosiahli </w:t>
      </w:r>
      <w:r w:rsidR="00F706FB" w:rsidRPr="00C66720">
        <w:rPr>
          <w:b w:val="0"/>
          <w:bCs w:val="0"/>
          <w:sz w:val="22"/>
          <w:szCs w:val="22"/>
        </w:rPr>
        <w:t>1 410 449</w:t>
      </w:r>
      <w:r w:rsidR="00EF6985" w:rsidRPr="00C66720">
        <w:rPr>
          <w:b w:val="0"/>
          <w:bCs w:val="0"/>
          <w:sz w:val="22"/>
          <w:szCs w:val="22"/>
        </w:rPr>
        <w:t xml:space="preserve"> tis. eur a prírastok </w:t>
      </w:r>
      <w:r w:rsidR="00F706FB" w:rsidRPr="00C66720">
        <w:rPr>
          <w:b w:val="0"/>
          <w:bCs w:val="0"/>
          <w:sz w:val="22"/>
          <w:szCs w:val="22"/>
        </w:rPr>
        <w:t>1 061 365</w:t>
      </w:r>
      <w:r w:rsidR="00EF6985" w:rsidRPr="00C66720">
        <w:rPr>
          <w:b w:val="0"/>
          <w:bCs w:val="0"/>
          <w:sz w:val="22"/>
          <w:szCs w:val="22"/>
        </w:rPr>
        <w:t xml:space="preserve"> tis. eur z predaja elektrickej energie</w:t>
      </w:r>
      <w:r w:rsidR="00D50CA5" w:rsidRPr="00C66720">
        <w:rPr>
          <w:b w:val="0"/>
          <w:bCs w:val="0"/>
          <w:sz w:val="22"/>
          <w:szCs w:val="22"/>
        </w:rPr>
        <w:t xml:space="preserve"> a výnosov z tradingových obchodov</w:t>
      </w:r>
      <w:r w:rsidR="00EF6985" w:rsidRPr="00C66720">
        <w:rPr>
          <w:b w:val="0"/>
          <w:bCs w:val="0"/>
          <w:sz w:val="22"/>
          <w:szCs w:val="22"/>
        </w:rPr>
        <w:t xml:space="preserve">. </w:t>
      </w:r>
    </w:p>
    <w:p w14:paraId="5C23D8B2" w14:textId="4ECB37B7" w:rsidR="000E477C" w:rsidRPr="00C66720" w:rsidRDefault="000E477C" w:rsidP="00D043B6">
      <w:pPr>
        <w:pStyle w:val="Pismenka"/>
        <w:numPr>
          <w:ilvl w:val="0"/>
          <w:numId w:val="44"/>
        </w:numPr>
        <w:spacing w:before="120" w:after="120"/>
        <w:ind w:left="284" w:hanging="284"/>
        <w:rPr>
          <w:i/>
          <w:sz w:val="22"/>
          <w:szCs w:val="22"/>
          <w:u w:val="single"/>
        </w:rPr>
      </w:pPr>
      <w:bookmarkStart w:id="58" w:name="_Ref86186395"/>
      <w:r w:rsidRPr="00C66720">
        <w:rPr>
          <w:i/>
          <w:sz w:val="22"/>
          <w:szCs w:val="22"/>
          <w:u w:val="single"/>
        </w:rPr>
        <w:t>Ostatné výnosy</w:t>
      </w:r>
      <w:bookmarkEnd w:id="58"/>
    </w:p>
    <w:p w14:paraId="08AAD802" w14:textId="0DB19247" w:rsidR="001905F4" w:rsidRPr="00C66720" w:rsidRDefault="00DA3265" w:rsidP="00F85838">
      <w:pPr>
        <w:pStyle w:val="Pismenka"/>
        <w:tabs>
          <w:tab w:val="clear" w:pos="426"/>
        </w:tabs>
        <w:spacing w:before="120"/>
        <w:ind w:left="0" w:firstLine="0"/>
        <w:rPr>
          <w:b w:val="0"/>
          <w:bCs w:val="0"/>
          <w:sz w:val="22"/>
          <w:szCs w:val="22"/>
        </w:rPr>
      </w:pPr>
      <w:r w:rsidRPr="00C66720">
        <w:rPr>
          <w:b w:val="0"/>
          <w:bCs w:val="0"/>
          <w:sz w:val="22"/>
          <w:szCs w:val="22"/>
        </w:rPr>
        <w:t xml:space="preserve">Ostatné výnosy v rámci skupiny tržieb za vlastné výkony a tovar sú výnosy vyplývajúce z účtovania zmeny stavu vnútroorganizačných zásob </w:t>
      </w:r>
      <w:r w:rsidR="00F027B6" w:rsidRPr="00C66720">
        <w:rPr>
          <w:b w:val="0"/>
          <w:bCs w:val="0"/>
          <w:sz w:val="22"/>
          <w:szCs w:val="22"/>
        </w:rPr>
        <w:t>(</w:t>
      </w:r>
      <w:r w:rsidR="00A5568A" w:rsidRPr="00C66720">
        <w:rPr>
          <w:b w:val="0"/>
          <w:bCs w:val="0"/>
          <w:sz w:val="22"/>
          <w:szCs w:val="22"/>
        </w:rPr>
        <w:t>1 488 267</w:t>
      </w:r>
      <w:r w:rsidR="00F027B6" w:rsidRPr="00C66720">
        <w:rPr>
          <w:b w:val="0"/>
          <w:bCs w:val="0"/>
          <w:sz w:val="22"/>
          <w:szCs w:val="22"/>
        </w:rPr>
        <w:t xml:space="preserve"> tis. eur) </w:t>
      </w:r>
      <w:r w:rsidRPr="00C66720">
        <w:rPr>
          <w:b w:val="0"/>
          <w:bCs w:val="0"/>
          <w:sz w:val="22"/>
          <w:szCs w:val="22"/>
        </w:rPr>
        <w:t>a aktivácie majetku a</w:t>
      </w:r>
      <w:r w:rsidR="00F027B6" w:rsidRPr="00C66720">
        <w:rPr>
          <w:b w:val="0"/>
          <w:bCs w:val="0"/>
          <w:sz w:val="22"/>
          <w:szCs w:val="22"/>
        </w:rPr>
        <w:t> </w:t>
      </w:r>
      <w:r w:rsidRPr="00C66720">
        <w:rPr>
          <w:b w:val="0"/>
          <w:bCs w:val="0"/>
          <w:sz w:val="22"/>
          <w:szCs w:val="22"/>
        </w:rPr>
        <w:t>služieb</w:t>
      </w:r>
      <w:r w:rsidR="00F027B6" w:rsidRPr="00C66720">
        <w:rPr>
          <w:b w:val="0"/>
          <w:bCs w:val="0"/>
          <w:sz w:val="22"/>
          <w:szCs w:val="22"/>
        </w:rPr>
        <w:t xml:space="preserve"> </w:t>
      </w:r>
      <w:r w:rsidR="00BD0FFB" w:rsidRPr="00C66720">
        <w:rPr>
          <w:b w:val="0"/>
          <w:bCs w:val="0"/>
          <w:sz w:val="22"/>
          <w:szCs w:val="22"/>
        </w:rPr>
        <w:br/>
      </w:r>
      <w:r w:rsidR="00F027B6" w:rsidRPr="00C66720">
        <w:rPr>
          <w:b w:val="0"/>
          <w:bCs w:val="0"/>
          <w:sz w:val="22"/>
          <w:szCs w:val="22"/>
        </w:rPr>
        <w:t>(</w:t>
      </w:r>
      <w:r w:rsidR="00A5568A" w:rsidRPr="00C66720">
        <w:rPr>
          <w:b w:val="0"/>
          <w:bCs w:val="0"/>
          <w:sz w:val="22"/>
          <w:szCs w:val="22"/>
        </w:rPr>
        <w:t>8 625</w:t>
      </w:r>
      <w:r w:rsidR="00F027B6" w:rsidRPr="00C66720">
        <w:rPr>
          <w:b w:val="0"/>
          <w:bCs w:val="0"/>
          <w:sz w:val="22"/>
          <w:szCs w:val="22"/>
        </w:rPr>
        <w:t xml:space="preserve"> tis. eur).</w:t>
      </w:r>
      <w:r w:rsidR="00F85838" w:rsidRPr="00C66720">
        <w:rPr>
          <w:b w:val="0"/>
          <w:bCs w:val="0"/>
          <w:sz w:val="22"/>
          <w:szCs w:val="22"/>
        </w:rPr>
        <w:t xml:space="preserve"> </w:t>
      </w:r>
      <w:r w:rsidR="00A16092" w:rsidRPr="00C66720">
        <w:rPr>
          <w:b w:val="0"/>
          <w:bCs w:val="0"/>
          <w:sz w:val="22"/>
          <w:szCs w:val="22"/>
        </w:rPr>
        <w:t xml:space="preserve">V porovnaní s rokom 2021 došlo k zvýšeniu týchto ostatných výnosov </w:t>
      </w:r>
      <w:r w:rsidR="00CA3514">
        <w:rPr>
          <w:b w:val="0"/>
          <w:bCs w:val="0"/>
          <w:sz w:val="22"/>
          <w:szCs w:val="22"/>
        </w:rPr>
        <w:br/>
      </w:r>
      <w:r w:rsidR="00A16092" w:rsidRPr="00C66720">
        <w:rPr>
          <w:b w:val="0"/>
          <w:bCs w:val="0"/>
          <w:sz w:val="22"/>
          <w:szCs w:val="22"/>
        </w:rPr>
        <w:t xml:space="preserve">o 1 413 489 tis. eur vplyvom vyšších výnosov súvisiacich so zmenou stavu výrobkov </w:t>
      </w:r>
      <w:r w:rsidR="007D4A97">
        <w:rPr>
          <w:b w:val="0"/>
          <w:bCs w:val="0"/>
          <w:sz w:val="22"/>
          <w:szCs w:val="22"/>
        </w:rPr>
        <w:br/>
      </w:r>
      <w:r w:rsidR="00A16092" w:rsidRPr="00C66720">
        <w:rPr>
          <w:b w:val="0"/>
          <w:bCs w:val="0"/>
          <w:sz w:val="22"/>
          <w:szCs w:val="22"/>
        </w:rPr>
        <w:t xml:space="preserve">o 1 369 891 tis. eur. </w:t>
      </w:r>
      <w:r w:rsidR="002D06BB" w:rsidRPr="00C66720">
        <w:rPr>
          <w:b w:val="0"/>
          <w:bCs w:val="0"/>
          <w:sz w:val="22"/>
          <w:szCs w:val="22"/>
        </w:rPr>
        <w:t>Slovenský plynárenský priemysel, a.s. vykazuje medziročne vyššie výnosy zo zmeny stavu výrobkov o 1 367 129 tis. eur</w:t>
      </w:r>
      <w:r w:rsidR="00060CBE" w:rsidRPr="00C66720">
        <w:rPr>
          <w:b w:val="0"/>
          <w:bCs w:val="0"/>
          <w:sz w:val="22"/>
          <w:szCs w:val="22"/>
        </w:rPr>
        <w:t xml:space="preserve"> vplyvom </w:t>
      </w:r>
      <w:r w:rsidR="00150E61" w:rsidRPr="00C66720">
        <w:rPr>
          <w:b w:val="0"/>
          <w:bCs w:val="0"/>
          <w:sz w:val="22"/>
          <w:szCs w:val="22"/>
        </w:rPr>
        <w:t>maximalizácie stavu zásob zemného plynu nárastom cien tejto komodity.</w:t>
      </w:r>
    </w:p>
    <w:p w14:paraId="30E798A4" w14:textId="468CD57F" w:rsidR="009E5EC1" w:rsidRDefault="009E5EC1" w:rsidP="005B5AE4">
      <w:pPr>
        <w:numPr>
          <w:ilvl w:val="0"/>
          <w:numId w:val="25"/>
        </w:numPr>
        <w:spacing w:before="240" w:line="240" w:lineRule="auto"/>
        <w:ind w:left="425" w:hanging="425"/>
        <w:jc w:val="both"/>
        <w:rPr>
          <w:rFonts w:ascii="Times New Roman" w:hAnsi="Times New Roman"/>
          <w:b/>
          <w:bCs/>
          <w:sz w:val="24"/>
          <w:szCs w:val="24"/>
        </w:rPr>
      </w:pPr>
      <w:bookmarkStart w:id="59" w:name="_Ref86186957"/>
      <w:r w:rsidRPr="00C66720">
        <w:rPr>
          <w:rFonts w:ascii="Times New Roman" w:hAnsi="Times New Roman"/>
          <w:b/>
          <w:bCs/>
          <w:sz w:val="24"/>
          <w:szCs w:val="24"/>
        </w:rPr>
        <w:t>Finančné výnosy</w:t>
      </w:r>
      <w:bookmarkEnd w:id="59"/>
    </w:p>
    <w:p w14:paraId="7D3A806A" w14:textId="77777777" w:rsidR="00D043B6" w:rsidRPr="00D043B6" w:rsidRDefault="00D043B6" w:rsidP="00D043B6">
      <w:pPr>
        <w:spacing w:before="200" w:after="0" w:line="240" w:lineRule="auto"/>
        <w:jc w:val="both"/>
        <w:rPr>
          <w:rFonts w:ascii="Times New Roman" w:hAnsi="Times New Roman"/>
          <w:b/>
          <w:bCs/>
          <w:sz w:val="18"/>
          <w:szCs w:val="18"/>
        </w:rPr>
      </w:pPr>
      <w:r w:rsidRPr="00D043B6">
        <w:rPr>
          <w:rFonts w:ascii="Times New Roman" w:hAnsi="Times New Roman"/>
          <w:b/>
          <w:bCs/>
          <w:sz w:val="18"/>
          <w:szCs w:val="18"/>
        </w:rPr>
        <w:t>Tabuľka 21</w:t>
      </w:r>
    </w:p>
    <w:tbl>
      <w:tblPr>
        <w:tblW w:w="5000" w:type="pct"/>
        <w:jc w:val="center"/>
        <w:tblLayout w:type="fixed"/>
        <w:tblCellMar>
          <w:left w:w="70" w:type="dxa"/>
          <w:right w:w="70" w:type="dxa"/>
        </w:tblCellMar>
        <w:tblLook w:val="00A0" w:firstRow="1" w:lastRow="0" w:firstColumn="1" w:lastColumn="0" w:noHBand="0" w:noVBand="0"/>
      </w:tblPr>
      <w:tblGrid>
        <w:gridCol w:w="5176"/>
        <w:gridCol w:w="1201"/>
        <w:gridCol w:w="1419"/>
        <w:gridCol w:w="1275"/>
      </w:tblGrid>
      <w:tr w:rsidR="00D043B6" w:rsidRPr="005773D1" w14:paraId="43839C23"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485D6F4C" w14:textId="77777777" w:rsidR="00D043B6" w:rsidRPr="005773D1" w:rsidRDefault="00D043B6" w:rsidP="00241F33">
            <w:pPr>
              <w:spacing w:after="0" w:line="240" w:lineRule="auto"/>
              <w:rPr>
                <w:rFonts w:ascii="Times New Roman" w:hAnsi="Times New Roman"/>
                <w:b/>
                <w:bCs/>
                <w:sz w:val="18"/>
                <w:szCs w:val="18"/>
                <w:lang w:eastAsia="sk-SK"/>
              </w:rPr>
            </w:pPr>
            <w:r w:rsidRPr="005773D1">
              <w:rPr>
                <w:rFonts w:ascii="Times New Roman" w:hAnsi="Times New Roman"/>
                <w:b/>
                <w:bCs/>
                <w:sz w:val="18"/>
                <w:szCs w:val="18"/>
                <w:lang w:eastAsia="sk-SK"/>
              </w:rPr>
              <w:t>Finančné výnosy                                                                                                                                                       (v tis. eur) </w:t>
            </w:r>
          </w:p>
        </w:tc>
      </w:tr>
      <w:tr w:rsidR="00D043B6" w:rsidRPr="00514D11" w14:paraId="7BB7E8DF" w14:textId="77777777" w:rsidTr="00241F33">
        <w:trPr>
          <w:trHeight w:val="330"/>
          <w:jc w:val="center"/>
        </w:trPr>
        <w:tc>
          <w:tcPr>
            <w:tcW w:w="2853" w:type="pct"/>
            <w:tcBorders>
              <w:top w:val="nil"/>
              <w:left w:val="nil"/>
              <w:bottom w:val="single" w:sz="4" w:space="0" w:color="auto"/>
              <w:right w:val="nil"/>
            </w:tcBorders>
            <w:shd w:val="clear" w:color="auto" w:fill="BDD7EE"/>
            <w:noWrap/>
            <w:vAlign w:val="bottom"/>
          </w:tcPr>
          <w:p w14:paraId="2B09C947" w14:textId="77777777" w:rsidR="00D043B6" w:rsidRPr="00514D11" w:rsidRDefault="00D043B6" w:rsidP="00D043B6">
            <w:pPr>
              <w:spacing w:after="0" w:line="240" w:lineRule="auto"/>
              <w:rPr>
                <w:rFonts w:ascii="Times New Roman" w:hAnsi="Times New Roman"/>
                <w:b/>
                <w:bCs/>
                <w:sz w:val="18"/>
                <w:szCs w:val="18"/>
                <w:lang w:eastAsia="sk-SK"/>
              </w:rPr>
            </w:pPr>
          </w:p>
        </w:tc>
        <w:tc>
          <w:tcPr>
            <w:tcW w:w="662" w:type="pct"/>
            <w:tcBorders>
              <w:top w:val="nil"/>
              <w:left w:val="nil"/>
              <w:bottom w:val="single" w:sz="4" w:space="0" w:color="auto"/>
              <w:right w:val="nil"/>
            </w:tcBorders>
            <w:shd w:val="clear" w:color="auto" w:fill="BDD7EE"/>
            <w:noWrap/>
            <w:vAlign w:val="bottom"/>
          </w:tcPr>
          <w:p w14:paraId="317B651D" w14:textId="48CB6272" w:rsidR="00D043B6" w:rsidRPr="00514D11" w:rsidRDefault="00D043B6" w:rsidP="00D043B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82" w:type="pct"/>
            <w:tcBorders>
              <w:top w:val="nil"/>
              <w:left w:val="nil"/>
              <w:bottom w:val="single" w:sz="4" w:space="0" w:color="auto"/>
              <w:right w:val="nil"/>
            </w:tcBorders>
            <w:shd w:val="clear" w:color="auto" w:fill="BDD7EE"/>
            <w:noWrap/>
            <w:vAlign w:val="bottom"/>
          </w:tcPr>
          <w:p w14:paraId="65E2C57A" w14:textId="3D8C9C83" w:rsidR="00D043B6" w:rsidRPr="00514D11" w:rsidRDefault="00D043B6" w:rsidP="00D043B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3" w:type="pct"/>
            <w:tcBorders>
              <w:top w:val="nil"/>
              <w:left w:val="nil"/>
              <w:bottom w:val="single" w:sz="4" w:space="0" w:color="auto"/>
              <w:right w:val="nil"/>
            </w:tcBorders>
            <w:shd w:val="clear" w:color="auto" w:fill="BDD7EE"/>
            <w:vAlign w:val="bottom"/>
          </w:tcPr>
          <w:p w14:paraId="47BEBF26" w14:textId="565D130C" w:rsidR="00D043B6" w:rsidRPr="00514D11" w:rsidRDefault="00D043B6" w:rsidP="00D043B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D043B6" w:rsidRPr="00514D11" w14:paraId="4F95402A" w14:textId="77777777" w:rsidTr="00241F33">
        <w:trPr>
          <w:trHeight w:val="330"/>
          <w:jc w:val="center"/>
        </w:trPr>
        <w:tc>
          <w:tcPr>
            <w:tcW w:w="2853" w:type="pct"/>
            <w:tcBorders>
              <w:top w:val="nil"/>
              <w:left w:val="nil"/>
              <w:bottom w:val="nil"/>
              <w:right w:val="nil"/>
            </w:tcBorders>
            <w:shd w:val="clear" w:color="000000" w:fill="FFFFFF"/>
            <w:vAlign w:val="center"/>
          </w:tcPr>
          <w:p w14:paraId="596DAB92" w14:textId="4BB09BCF" w:rsidR="00D043B6" w:rsidRPr="00514D11" w:rsidRDefault="00D043B6" w:rsidP="00D043B6">
            <w:pPr>
              <w:spacing w:before="120"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Výnosy z derivátových operácií</w:t>
            </w:r>
          </w:p>
        </w:tc>
        <w:tc>
          <w:tcPr>
            <w:tcW w:w="662" w:type="pct"/>
            <w:tcBorders>
              <w:top w:val="nil"/>
              <w:left w:val="nil"/>
              <w:bottom w:val="nil"/>
              <w:right w:val="nil"/>
            </w:tcBorders>
            <w:shd w:val="clear" w:color="000000" w:fill="FFFFFF"/>
            <w:vAlign w:val="center"/>
          </w:tcPr>
          <w:p w14:paraId="5F5BE3EB" w14:textId="515635FB"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2 085 132</w:t>
            </w:r>
          </w:p>
        </w:tc>
        <w:tc>
          <w:tcPr>
            <w:tcW w:w="782" w:type="pct"/>
            <w:tcBorders>
              <w:top w:val="nil"/>
              <w:left w:val="nil"/>
              <w:bottom w:val="nil"/>
              <w:right w:val="nil"/>
            </w:tcBorders>
            <w:shd w:val="clear" w:color="000000" w:fill="FFFFFF"/>
            <w:vAlign w:val="center"/>
          </w:tcPr>
          <w:p w14:paraId="63438D14" w14:textId="7361B998"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795 281</w:t>
            </w:r>
          </w:p>
        </w:tc>
        <w:tc>
          <w:tcPr>
            <w:tcW w:w="703" w:type="pct"/>
            <w:tcBorders>
              <w:top w:val="nil"/>
              <w:left w:val="nil"/>
              <w:bottom w:val="nil"/>
              <w:right w:val="nil"/>
            </w:tcBorders>
            <w:shd w:val="clear" w:color="000000" w:fill="FFFFFF"/>
            <w:vAlign w:val="center"/>
          </w:tcPr>
          <w:p w14:paraId="318828E2" w14:textId="08AB275E"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1 289 851</w:t>
            </w:r>
          </w:p>
        </w:tc>
      </w:tr>
      <w:tr w:rsidR="00D043B6" w:rsidRPr="00514D11" w14:paraId="257DEBD7" w14:textId="77777777" w:rsidTr="00241F33">
        <w:trPr>
          <w:trHeight w:val="330"/>
          <w:jc w:val="center"/>
        </w:trPr>
        <w:tc>
          <w:tcPr>
            <w:tcW w:w="2853" w:type="pct"/>
            <w:tcBorders>
              <w:top w:val="nil"/>
              <w:left w:val="nil"/>
              <w:bottom w:val="nil"/>
              <w:right w:val="nil"/>
            </w:tcBorders>
            <w:shd w:val="clear" w:color="000000" w:fill="FFFFFF"/>
            <w:vAlign w:val="center"/>
          </w:tcPr>
          <w:p w14:paraId="2BCB71D6" w14:textId="2911F7D9" w:rsidR="00D043B6" w:rsidRPr="00514D11" w:rsidRDefault="00D043B6" w:rsidP="00D043B6">
            <w:pPr>
              <w:spacing w:before="120"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Podiel konsolidujúcej účtovnej jednotky na výsledku hospodárenia pridružených účtovných jednotiek verejnej správy</w:t>
            </w:r>
          </w:p>
        </w:tc>
        <w:tc>
          <w:tcPr>
            <w:tcW w:w="662" w:type="pct"/>
            <w:tcBorders>
              <w:top w:val="nil"/>
              <w:left w:val="nil"/>
              <w:bottom w:val="nil"/>
              <w:right w:val="nil"/>
            </w:tcBorders>
            <w:shd w:val="clear" w:color="000000" w:fill="FFFFFF"/>
            <w:vAlign w:val="center"/>
          </w:tcPr>
          <w:p w14:paraId="36DAEBC5" w14:textId="315E0A3D"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554 456</w:t>
            </w:r>
          </w:p>
        </w:tc>
        <w:tc>
          <w:tcPr>
            <w:tcW w:w="782" w:type="pct"/>
            <w:tcBorders>
              <w:top w:val="nil"/>
              <w:left w:val="nil"/>
              <w:bottom w:val="nil"/>
              <w:right w:val="nil"/>
            </w:tcBorders>
            <w:shd w:val="clear" w:color="000000" w:fill="FFFFFF"/>
            <w:vAlign w:val="center"/>
          </w:tcPr>
          <w:p w14:paraId="0793B3EB" w14:textId="7FBB87CB"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423 098</w:t>
            </w:r>
          </w:p>
        </w:tc>
        <w:tc>
          <w:tcPr>
            <w:tcW w:w="703" w:type="pct"/>
            <w:tcBorders>
              <w:top w:val="nil"/>
              <w:left w:val="nil"/>
              <w:bottom w:val="nil"/>
              <w:right w:val="nil"/>
            </w:tcBorders>
            <w:shd w:val="clear" w:color="000000" w:fill="FFFFFF"/>
            <w:vAlign w:val="center"/>
          </w:tcPr>
          <w:p w14:paraId="4869FF8F" w14:textId="58557B71"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131 358</w:t>
            </w:r>
          </w:p>
        </w:tc>
      </w:tr>
      <w:tr w:rsidR="00D043B6" w:rsidRPr="00514D11" w14:paraId="4E84BC98" w14:textId="77777777" w:rsidTr="00241F33">
        <w:trPr>
          <w:trHeight w:val="330"/>
          <w:jc w:val="center"/>
        </w:trPr>
        <w:tc>
          <w:tcPr>
            <w:tcW w:w="2853" w:type="pct"/>
            <w:tcBorders>
              <w:top w:val="nil"/>
              <w:left w:val="nil"/>
              <w:bottom w:val="nil"/>
              <w:right w:val="nil"/>
            </w:tcBorders>
            <w:shd w:val="clear" w:color="000000" w:fill="FFFFFF"/>
            <w:vAlign w:val="center"/>
          </w:tcPr>
          <w:p w14:paraId="6ACD573E" w14:textId="626D9243" w:rsidR="00D043B6" w:rsidRPr="00514D11" w:rsidRDefault="00D043B6" w:rsidP="00D043B6">
            <w:pPr>
              <w:spacing w:before="120" w:after="0" w:line="240" w:lineRule="auto"/>
              <w:rPr>
                <w:rFonts w:ascii="Times New Roman" w:hAnsi="Times New Roman"/>
                <w:sz w:val="18"/>
                <w:szCs w:val="18"/>
                <w:lang w:eastAsia="sk-SK"/>
              </w:rPr>
            </w:pPr>
            <w:r w:rsidRPr="00C66720">
              <w:rPr>
                <w:rFonts w:ascii="Times New Roman" w:hAnsi="Times New Roman"/>
                <w:bCs/>
                <w:sz w:val="18"/>
                <w:szCs w:val="18"/>
                <w:lang w:eastAsia="sk-SK"/>
              </w:rPr>
              <w:t>Úroky</w:t>
            </w:r>
          </w:p>
        </w:tc>
        <w:tc>
          <w:tcPr>
            <w:tcW w:w="662" w:type="pct"/>
            <w:tcBorders>
              <w:top w:val="nil"/>
              <w:left w:val="nil"/>
              <w:bottom w:val="nil"/>
              <w:right w:val="nil"/>
            </w:tcBorders>
            <w:shd w:val="clear" w:color="000000" w:fill="FFFFFF"/>
            <w:vAlign w:val="center"/>
          </w:tcPr>
          <w:p w14:paraId="6298D1F1" w14:textId="209109FB"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309 707</w:t>
            </w:r>
          </w:p>
        </w:tc>
        <w:tc>
          <w:tcPr>
            <w:tcW w:w="782" w:type="pct"/>
            <w:tcBorders>
              <w:top w:val="nil"/>
              <w:left w:val="nil"/>
              <w:bottom w:val="nil"/>
              <w:right w:val="nil"/>
            </w:tcBorders>
            <w:shd w:val="clear" w:color="000000" w:fill="FFFFFF"/>
            <w:vAlign w:val="center"/>
          </w:tcPr>
          <w:p w14:paraId="1BBB0476" w14:textId="77389C66"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311 297</w:t>
            </w:r>
          </w:p>
        </w:tc>
        <w:tc>
          <w:tcPr>
            <w:tcW w:w="703" w:type="pct"/>
            <w:tcBorders>
              <w:top w:val="nil"/>
              <w:left w:val="nil"/>
              <w:bottom w:val="nil"/>
              <w:right w:val="nil"/>
            </w:tcBorders>
            <w:shd w:val="clear" w:color="000000" w:fill="FFFFFF"/>
            <w:vAlign w:val="center"/>
          </w:tcPr>
          <w:p w14:paraId="70A6EAA5" w14:textId="51D4FA6D"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-1 590</w:t>
            </w:r>
          </w:p>
        </w:tc>
      </w:tr>
      <w:tr w:rsidR="00D043B6" w:rsidRPr="00514D11" w14:paraId="0795B812" w14:textId="77777777" w:rsidTr="00241F33">
        <w:trPr>
          <w:trHeight w:val="330"/>
          <w:jc w:val="center"/>
        </w:trPr>
        <w:tc>
          <w:tcPr>
            <w:tcW w:w="2853" w:type="pct"/>
            <w:tcBorders>
              <w:top w:val="nil"/>
              <w:left w:val="nil"/>
              <w:bottom w:val="nil"/>
              <w:right w:val="nil"/>
            </w:tcBorders>
            <w:shd w:val="clear" w:color="000000" w:fill="FFFFFF"/>
            <w:vAlign w:val="center"/>
          </w:tcPr>
          <w:p w14:paraId="5543E869" w14:textId="72980DB9" w:rsidR="00D043B6" w:rsidRPr="00514D11" w:rsidRDefault="00D043B6" w:rsidP="00D043B6">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Kurzové zisky</w:t>
            </w:r>
          </w:p>
        </w:tc>
        <w:tc>
          <w:tcPr>
            <w:tcW w:w="662" w:type="pct"/>
            <w:tcBorders>
              <w:top w:val="nil"/>
              <w:left w:val="nil"/>
              <w:bottom w:val="nil"/>
              <w:right w:val="nil"/>
            </w:tcBorders>
            <w:shd w:val="clear" w:color="000000" w:fill="FFFFFF"/>
            <w:vAlign w:val="center"/>
          </w:tcPr>
          <w:p w14:paraId="2937F224" w14:textId="4E536226"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172 138</w:t>
            </w:r>
          </w:p>
        </w:tc>
        <w:tc>
          <w:tcPr>
            <w:tcW w:w="782" w:type="pct"/>
            <w:tcBorders>
              <w:top w:val="nil"/>
              <w:left w:val="nil"/>
              <w:bottom w:val="nil"/>
              <w:right w:val="nil"/>
            </w:tcBorders>
            <w:shd w:val="clear" w:color="000000" w:fill="FFFFFF"/>
            <w:vAlign w:val="center"/>
          </w:tcPr>
          <w:p w14:paraId="62511B6E" w14:textId="6FE93407"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179 931</w:t>
            </w:r>
          </w:p>
        </w:tc>
        <w:tc>
          <w:tcPr>
            <w:tcW w:w="703" w:type="pct"/>
            <w:tcBorders>
              <w:top w:val="nil"/>
              <w:left w:val="nil"/>
              <w:bottom w:val="nil"/>
              <w:right w:val="nil"/>
            </w:tcBorders>
            <w:shd w:val="clear" w:color="000000" w:fill="FFFFFF"/>
            <w:vAlign w:val="center"/>
          </w:tcPr>
          <w:p w14:paraId="5C962852" w14:textId="607DE3C8"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-7 793</w:t>
            </w:r>
          </w:p>
        </w:tc>
      </w:tr>
      <w:tr w:rsidR="00D043B6" w:rsidRPr="00514D11" w14:paraId="6B009A25" w14:textId="77777777" w:rsidTr="00241F33">
        <w:trPr>
          <w:trHeight w:val="330"/>
          <w:jc w:val="center"/>
        </w:trPr>
        <w:tc>
          <w:tcPr>
            <w:tcW w:w="2853" w:type="pct"/>
            <w:tcBorders>
              <w:top w:val="nil"/>
              <w:left w:val="nil"/>
              <w:bottom w:val="single" w:sz="4" w:space="0" w:color="auto"/>
              <w:right w:val="nil"/>
            </w:tcBorders>
            <w:shd w:val="clear" w:color="000000" w:fill="FFFFFF"/>
            <w:vAlign w:val="center"/>
          </w:tcPr>
          <w:p w14:paraId="278A0864" w14:textId="58985795" w:rsidR="00D043B6" w:rsidRPr="00514D11" w:rsidRDefault="00D043B6" w:rsidP="00D043B6">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 finančné výnosy</w:t>
            </w:r>
          </w:p>
        </w:tc>
        <w:tc>
          <w:tcPr>
            <w:tcW w:w="662" w:type="pct"/>
            <w:tcBorders>
              <w:top w:val="nil"/>
              <w:left w:val="nil"/>
              <w:bottom w:val="single" w:sz="4" w:space="0" w:color="auto"/>
              <w:right w:val="nil"/>
            </w:tcBorders>
            <w:shd w:val="clear" w:color="000000" w:fill="FFFFFF"/>
            <w:vAlign w:val="center"/>
          </w:tcPr>
          <w:p w14:paraId="7570B240" w14:textId="6764C67E"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65 072</w:t>
            </w:r>
          </w:p>
        </w:tc>
        <w:tc>
          <w:tcPr>
            <w:tcW w:w="782" w:type="pct"/>
            <w:tcBorders>
              <w:top w:val="nil"/>
              <w:left w:val="nil"/>
              <w:bottom w:val="single" w:sz="4" w:space="0" w:color="auto"/>
              <w:right w:val="nil"/>
            </w:tcBorders>
            <w:shd w:val="clear" w:color="000000" w:fill="FFFFFF"/>
            <w:vAlign w:val="center"/>
          </w:tcPr>
          <w:p w14:paraId="7F733DDA" w14:textId="201FC809"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54 062</w:t>
            </w:r>
          </w:p>
        </w:tc>
        <w:tc>
          <w:tcPr>
            <w:tcW w:w="703" w:type="pct"/>
            <w:tcBorders>
              <w:top w:val="nil"/>
              <w:left w:val="nil"/>
              <w:bottom w:val="single" w:sz="4" w:space="0" w:color="auto"/>
              <w:right w:val="nil"/>
            </w:tcBorders>
            <w:shd w:val="clear" w:color="000000" w:fill="FFFFFF"/>
            <w:vAlign w:val="center"/>
          </w:tcPr>
          <w:p w14:paraId="0318D719" w14:textId="7E49C932" w:rsidR="00D043B6" w:rsidRPr="00514D11" w:rsidRDefault="00D043B6" w:rsidP="00D043B6">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11 010</w:t>
            </w:r>
          </w:p>
        </w:tc>
      </w:tr>
      <w:tr w:rsidR="00D043B6" w:rsidRPr="00975467" w14:paraId="55F26D20" w14:textId="77777777" w:rsidTr="00241F33">
        <w:trPr>
          <w:trHeight w:val="330"/>
          <w:jc w:val="center"/>
        </w:trPr>
        <w:tc>
          <w:tcPr>
            <w:tcW w:w="2853" w:type="pct"/>
            <w:tcBorders>
              <w:top w:val="single" w:sz="4" w:space="0" w:color="auto"/>
              <w:left w:val="nil"/>
              <w:bottom w:val="single" w:sz="4" w:space="0" w:color="000000"/>
              <w:right w:val="nil"/>
            </w:tcBorders>
            <w:shd w:val="clear" w:color="000000" w:fill="FFFFFF"/>
            <w:vAlign w:val="center"/>
          </w:tcPr>
          <w:p w14:paraId="112662E6" w14:textId="6FB891C0" w:rsidR="00D043B6" w:rsidRPr="00514D11" w:rsidRDefault="00D043B6" w:rsidP="00D043B6">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662" w:type="pct"/>
            <w:tcBorders>
              <w:top w:val="single" w:sz="4" w:space="0" w:color="auto"/>
              <w:left w:val="nil"/>
              <w:bottom w:val="single" w:sz="4" w:space="0" w:color="000000"/>
              <w:right w:val="nil"/>
            </w:tcBorders>
            <w:shd w:val="clear" w:color="000000" w:fill="FFFFFF"/>
            <w:vAlign w:val="center"/>
          </w:tcPr>
          <w:p w14:paraId="08ACD9DD" w14:textId="16BC6611" w:rsidR="00D043B6" w:rsidRPr="00514D11" w:rsidRDefault="00D043B6" w:rsidP="00D043B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3 186 505</w:t>
            </w:r>
          </w:p>
        </w:tc>
        <w:tc>
          <w:tcPr>
            <w:tcW w:w="782" w:type="pct"/>
            <w:tcBorders>
              <w:top w:val="single" w:sz="4" w:space="0" w:color="auto"/>
              <w:left w:val="nil"/>
              <w:bottom w:val="single" w:sz="4" w:space="0" w:color="000000"/>
              <w:right w:val="nil"/>
            </w:tcBorders>
            <w:shd w:val="clear" w:color="000000" w:fill="FFFFFF"/>
            <w:vAlign w:val="center"/>
          </w:tcPr>
          <w:p w14:paraId="6A2EB1A0" w14:textId="54A462A1" w:rsidR="00D043B6" w:rsidRPr="00514D11" w:rsidRDefault="00D043B6" w:rsidP="00D043B6">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1 763 669</w:t>
            </w:r>
          </w:p>
        </w:tc>
        <w:tc>
          <w:tcPr>
            <w:tcW w:w="703" w:type="pct"/>
            <w:tcBorders>
              <w:top w:val="single" w:sz="4" w:space="0" w:color="auto"/>
              <w:left w:val="nil"/>
              <w:bottom w:val="single" w:sz="4" w:space="0" w:color="000000"/>
              <w:right w:val="nil"/>
            </w:tcBorders>
            <w:shd w:val="clear" w:color="000000" w:fill="FFFFFF"/>
            <w:vAlign w:val="center"/>
          </w:tcPr>
          <w:p w14:paraId="1C6125C3" w14:textId="4168AD21" w:rsidR="00D043B6" w:rsidRPr="00514D11" w:rsidRDefault="00D043B6" w:rsidP="00D043B6">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1 422 836</w:t>
            </w:r>
          </w:p>
        </w:tc>
      </w:tr>
    </w:tbl>
    <w:p w14:paraId="505142CF" w14:textId="77777777" w:rsidR="00D043B6" w:rsidRPr="00D01DB2" w:rsidRDefault="00D043B6" w:rsidP="00D043B6">
      <w:pPr>
        <w:pStyle w:val="Pismenka"/>
        <w:tabs>
          <w:tab w:val="clear" w:pos="426"/>
        </w:tabs>
        <w:spacing w:after="120"/>
        <w:jc w:val="right"/>
        <w:rPr>
          <w:b w:val="0"/>
          <w:i/>
          <w:sz w:val="22"/>
          <w:szCs w:val="22"/>
          <w:u w:val="single"/>
        </w:rPr>
      </w:pPr>
      <w:r w:rsidRPr="00D01DB2">
        <w:rPr>
          <w:b w:val="0"/>
        </w:rPr>
        <w:t>Zdroj: MF SR, Centrálny konsolidačný systém</w:t>
      </w:r>
    </w:p>
    <w:p w14:paraId="697C6504" w14:textId="43145DB9" w:rsidR="00C34F1A" w:rsidRDefault="009E5EC1" w:rsidP="002D137E">
      <w:pPr>
        <w:pStyle w:val="Pismenka"/>
        <w:tabs>
          <w:tab w:val="clear" w:pos="426"/>
        </w:tabs>
        <w:spacing w:before="240" w:after="240"/>
        <w:ind w:left="0" w:firstLine="0"/>
        <w:rPr>
          <w:b w:val="0"/>
          <w:bCs w:val="0"/>
          <w:sz w:val="22"/>
          <w:szCs w:val="22"/>
        </w:rPr>
      </w:pPr>
      <w:r w:rsidRPr="00C66720">
        <w:rPr>
          <w:b w:val="0"/>
          <w:bCs w:val="0"/>
          <w:sz w:val="22"/>
          <w:szCs w:val="22"/>
        </w:rPr>
        <w:t xml:space="preserve">Finančné výnosy dosiahli hodnotu </w:t>
      </w:r>
      <w:r w:rsidR="00307226" w:rsidRPr="00C66720">
        <w:rPr>
          <w:b w:val="0"/>
          <w:bCs w:val="0"/>
          <w:sz w:val="22"/>
          <w:szCs w:val="22"/>
        </w:rPr>
        <w:t>3 186 505</w:t>
      </w:r>
      <w:r w:rsidR="00CB0FAF" w:rsidRPr="00C66720">
        <w:rPr>
          <w:b w:val="0"/>
          <w:bCs w:val="0"/>
          <w:sz w:val="22"/>
          <w:szCs w:val="22"/>
        </w:rPr>
        <w:t xml:space="preserve"> tis. eur (v roku 202</w:t>
      </w:r>
      <w:r w:rsidR="00307226" w:rsidRPr="00C66720">
        <w:rPr>
          <w:b w:val="0"/>
          <w:bCs w:val="0"/>
          <w:sz w:val="22"/>
          <w:szCs w:val="22"/>
        </w:rPr>
        <w:t>1</w:t>
      </w:r>
      <w:r w:rsidRPr="00C66720">
        <w:rPr>
          <w:b w:val="0"/>
          <w:bCs w:val="0"/>
          <w:sz w:val="22"/>
          <w:szCs w:val="22"/>
        </w:rPr>
        <w:t xml:space="preserve">: </w:t>
      </w:r>
      <w:r w:rsidR="00307226" w:rsidRPr="00C66720">
        <w:rPr>
          <w:b w:val="0"/>
          <w:bCs w:val="0"/>
          <w:sz w:val="22"/>
          <w:szCs w:val="22"/>
        </w:rPr>
        <w:t xml:space="preserve">1 763 669 </w:t>
      </w:r>
      <w:r w:rsidRPr="00C66720">
        <w:rPr>
          <w:b w:val="0"/>
          <w:bCs w:val="0"/>
          <w:sz w:val="22"/>
          <w:szCs w:val="22"/>
        </w:rPr>
        <w:t xml:space="preserve">tis. eur), z čoho najväčšiu časť tvoria </w:t>
      </w:r>
      <w:r w:rsidR="00213FE8" w:rsidRPr="00C66720">
        <w:rPr>
          <w:b w:val="0"/>
          <w:bCs w:val="0"/>
          <w:sz w:val="22"/>
          <w:szCs w:val="22"/>
          <w:u w:val="single"/>
        </w:rPr>
        <w:t>výnosy z derivátových operácií</w:t>
      </w:r>
      <w:r w:rsidR="00213FE8" w:rsidRPr="00C66720">
        <w:rPr>
          <w:b w:val="0"/>
          <w:bCs w:val="0"/>
          <w:sz w:val="22"/>
          <w:szCs w:val="22"/>
        </w:rPr>
        <w:t xml:space="preserve"> v hodnote </w:t>
      </w:r>
      <w:r w:rsidR="00B92483" w:rsidRPr="00C66720">
        <w:rPr>
          <w:b w:val="0"/>
          <w:bCs w:val="0"/>
          <w:sz w:val="22"/>
          <w:szCs w:val="22"/>
        </w:rPr>
        <w:t>2 085 132</w:t>
      </w:r>
      <w:r w:rsidR="00213FE8" w:rsidRPr="00C66720">
        <w:rPr>
          <w:b w:val="0"/>
          <w:bCs w:val="0"/>
          <w:sz w:val="22"/>
          <w:szCs w:val="22"/>
        </w:rPr>
        <w:t xml:space="preserve"> tis. eur, </w:t>
      </w:r>
      <w:r w:rsidRPr="00C66720">
        <w:rPr>
          <w:b w:val="0"/>
          <w:bCs w:val="0"/>
          <w:sz w:val="22"/>
          <w:szCs w:val="22"/>
          <w:u w:val="single"/>
        </w:rPr>
        <w:t>podiely konsolidujúcich účtovných jednotiek</w:t>
      </w:r>
      <w:r w:rsidRPr="00C66720">
        <w:rPr>
          <w:b w:val="0"/>
          <w:bCs w:val="0"/>
          <w:sz w:val="22"/>
          <w:szCs w:val="22"/>
        </w:rPr>
        <w:t xml:space="preserve"> (vypočítané na nižšej úrovni konsolidácie, napríklad za obchodné spoločnosti) na výsledku hospodárenia pridružených účtovných jednotiek</w:t>
      </w:r>
      <w:r w:rsidR="00213FE8" w:rsidRPr="00C66720">
        <w:rPr>
          <w:b w:val="0"/>
          <w:bCs w:val="0"/>
          <w:sz w:val="22"/>
          <w:szCs w:val="22"/>
        </w:rPr>
        <w:t xml:space="preserve"> </w:t>
      </w:r>
      <w:r w:rsidRPr="00C66720">
        <w:rPr>
          <w:b w:val="0"/>
          <w:bCs w:val="0"/>
          <w:sz w:val="22"/>
          <w:szCs w:val="22"/>
        </w:rPr>
        <w:t xml:space="preserve">vo výške </w:t>
      </w:r>
      <w:r w:rsidR="001074CE" w:rsidRPr="00C66720">
        <w:rPr>
          <w:b w:val="0"/>
          <w:bCs w:val="0"/>
          <w:sz w:val="22"/>
          <w:szCs w:val="22"/>
        </w:rPr>
        <w:t>554 456</w:t>
      </w:r>
      <w:r w:rsidRPr="00C66720">
        <w:rPr>
          <w:b w:val="0"/>
          <w:bCs w:val="0"/>
          <w:sz w:val="22"/>
          <w:szCs w:val="22"/>
        </w:rPr>
        <w:t xml:space="preserve"> tis. eur, ďalej </w:t>
      </w:r>
      <w:r w:rsidRPr="00C66720">
        <w:rPr>
          <w:b w:val="0"/>
          <w:bCs w:val="0"/>
          <w:sz w:val="22"/>
          <w:szCs w:val="22"/>
          <w:u w:val="single"/>
        </w:rPr>
        <w:t>úroky</w:t>
      </w:r>
      <w:r w:rsidRPr="00C66720">
        <w:rPr>
          <w:b w:val="0"/>
          <w:bCs w:val="0"/>
          <w:sz w:val="22"/>
          <w:szCs w:val="22"/>
        </w:rPr>
        <w:t xml:space="preserve"> </w:t>
      </w:r>
      <w:r w:rsidR="001C5A17" w:rsidRPr="00C66720">
        <w:rPr>
          <w:b w:val="0"/>
          <w:bCs w:val="0"/>
          <w:sz w:val="22"/>
          <w:szCs w:val="22"/>
        </w:rPr>
        <w:br/>
      </w:r>
      <w:r w:rsidR="001074CE" w:rsidRPr="00C66720">
        <w:rPr>
          <w:b w:val="0"/>
          <w:bCs w:val="0"/>
          <w:sz w:val="22"/>
          <w:szCs w:val="22"/>
        </w:rPr>
        <w:t>309 707</w:t>
      </w:r>
      <w:r w:rsidRPr="00C66720">
        <w:rPr>
          <w:b w:val="0"/>
          <w:bCs w:val="0"/>
          <w:sz w:val="22"/>
          <w:szCs w:val="22"/>
        </w:rPr>
        <w:t xml:space="preserve"> tis. eur a </w:t>
      </w:r>
      <w:r w:rsidRPr="00C66720">
        <w:rPr>
          <w:b w:val="0"/>
          <w:bCs w:val="0"/>
          <w:sz w:val="22"/>
          <w:szCs w:val="22"/>
          <w:u w:val="single"/>
        </w:rPr>
        <w:t>kurzové zisky</w:t>
      </w:r>
      <w:r w:rsidRPr="00C66720">
        <w:rPr>
          <w:b w:val="0"/>
          <w:bCs w:val="0"/>
          <w:sz w:val="22"/>
          <w:szCs w:val="22"/>
        </w:rPr>
        <w:t xml:space="preserve"> v hodnote </w:t>
      </w:r>
      <w:r w:rsidR="001074CE" w:rsidRPr="00C66720">
        <w:rPr>
          <w:b w:val="0"/>
          <w:bCs w:val="0"/>
          <w:sz w:val="22"/>
          <w:szCs w:val="22"/>
        </w:rPr>
        <w:t>172 138</w:t>
      </w:r>
      <w:r w:rsidRPr="00C66720">
        <w:rPr>
          <w:b w:val="0"/>
          <w:bCs w:val="0"/>
          <w:sz w:val="22"/>
          <w:szCs w:val="22"/>
        </w:rPr>
        <w:t xml:space="preserve"> tis. eur.</w:t>
      </w:r>
      <w:r w:rsidR="00DA673A" w:rsidRPr="00C66720">
        <w:rPr>
          <w:b w:val="0"/>
          <w:bCs w:val="0"/>
          <w:sz w:val="22"/>
          <w:szCs w:val="22"/>
        </w:rPr>
        <w:t xml:space="preserve"> Ostatné finančné výnosy boli dosiahnuté v sume 65 072 tis. eur.</w:t>
      </w:r>
    </w:p>
    <w:p w14:paraId="7C95B471" w14:textId="72E29593" w:rsidR="00382993" w:rsidRDefault="00382993" w:rsidP="002D137E">
      <w:pPr>
        <w:pStyle w:val="Pismenka"/>
        <w:tabs>
          <w:tab w:val="clear" w:pos="426"/>
        </w:tabs>
        <w:spacing w:before="240" w:after="240"/>
        <w:ind w:left="0" w:firstLine="0"/>
        <w:rPr>
          <w:b w:val="0"/>
          <w:bCs w:val="0"/>
          <w:sz w:val="22"/>
          <w:szCs w:val="22"/>
        </w:rPr>
      </w:pPr>
      <w:r w:rsidRPr="00382993">
        <w:rPr>
          <w:b w:val="0"/>
          <w:bCs w:val="0"/>
          <w:sz w:val="22"/>
          <w:szCs w:val="22"/>
          <w:u w:val="single"/>
        </w:rPr>
        <w:lastRenderedPageBreak/>
        <w:t>Výnosy z derivátových operácií</w:t>
      </w:r>
      <w:r w:rsidRPr="00382993">
        <w:rPr>
          <w:b w:val="0"/>
          <w:bCs w:val="0"/>
          <w:sz w:val="22"/>
          <w:szCs w:val="22"/>
        </w:rPr>
        <w:t xml:space="preserve"> dosiahli sumu 2 085</w:t>
      </w:r>
      <w:r>
        <w:rPr>
          <w:b w:val="0"/>
          <w:bCs w:val="0"/>
          <w:sz w:val="22"/>
          <w:szCs w:val="22"/>
        </w:rPr>
        <w:t> 132 tis.</w:t>
      </w:r>
      <w:r w:rsidRPr="00382993">
        <w:rPr>
          <w:b w:val="0"/>
          <w:bCs w:val="0"/>
          <w:sz w:val="22"/>
          <w:szCs w:val="22"/>
        </w:rPr>
        <w:t> eur, z toho najviac Slovenský plynárenský priemysel, a.s. (2 022 467 </w:t>
      </w:r>
      <w:r>
        <w:rPr>
          <w:b w:val="0"/>
          <w:bCs w:val="0"/>
          <w:sz w:val="22"/>
          <w:szCs w:val="22"/>
        </w:rPr>
        <w:t>tis. eur</w:t>
      </w:r>
      <w:r w:rsidRPr="00382993">
        <w:rPr>
          <w:b w:val="0"/>
          <w:bCs w:val="0"/>
          <w:sz w:val="22"/>
          <w:szCs w:val="22"/>
        </w:rPr>
        <w:t>)</w:t>
      </w:r>
      <w:r>
        <w:rPr>
          <w:b w:val="0"/>
          <w:bCs w:val="0"/>
          <w:sz w:val="22"/>
          <w:szCs w:val="22"/>
        </w:rPr>
        <w:t>.</w:t>
      </w:r>
      <w:r w:rsidRPr="00382993">
        <w:rPr>
          <w:b w:val="0"/>
          <w:bCs w:val="0"/>
          <w:sz w:val="22"/>
          <w:szCs w:val="22"/>
        </w:rPr>
        <w:t xml:space="preserve"> </w:t>
      </w:r>
      <w:r>
        <w:rPr>
          <w:b w:val="0"/>
          <w:bCs w:val="0"/>
          <w:sz w:val="22"/>
          <w:szCs w:val="22"/>
        </w:rPr>
        <w:t>I</w:t>
      </w:r>
      <w:r w:rsidRPr="00382993">
        <w:rPr>
          <w:b w:val="0"/>
          <w:bCs w:val="0"/>
          <w:sz w:val="22"/>
          <w:szCs w:val="22"/>
        </w:rPr>
        <w:t>šlo o vykázanie zisku z vysporiadania derivátových obchodov z titulu pohybu cien komodít na spotových trhoch.</w:t>
      </w:r>
      <w:r>
        <w:rPr>
          <w:b w:val="0"/>
          <w:bCs w:val="0"/>
          <w:sz w:val="22"/>
          <w:szCs w:val="22"/>
        </w:rPr>
        <w:t xml:space="preserve"> </w:t>
      </w:r>
      <w:r w:rsidRPr="00382993">
        <w:rPr>
          <w:b w:val="0"/>
          <w:bCs w:val="0"/>
          <w:sz w:val="22"/>
          <w:szCs w:val="22"/>
        </w:rPr>
        <w:t xml:space="preserve">Slovenská elektrizačná prenosová sústava, a.s. </w:t>
      </w:r>
      <w:r>
        <w:rPr>
          <w:b w:val="0"/>
          <w:bCs w:val="0"/>
          <w:sz w:val="22"/>
          <w:szCs w:val="22"/>
        </w:rPr>
        <w:t xml:space="preserve">dosiahla </w:t>
      </w:r>
      <w:r w:rsidRPr="00382993">
        <w:rPr>
          <w:b w:val="0"/>
          <w:bCs w:val="0"/>
          <w:sz w:val="22"/>
          <w:szCs w:val="22"/>
        </w:rPr>
        <w:t>62 660 </w:t>
      </w:r>
      <w:r>
        <w:rPr>
          <w:b w:val="0"/>
          <w:bCs w:val="0"/>
          <w:sz w:val="22"/>
          <w:szCs w:val="22"/>
        </w:rPr>
        <w:t>tis. eur</w:t>
      </w:r>
      <w:r w:rsidRPr="00382993">
        <w:rPr>
          <w:b w:val="0"/>
          <w:bCs w:val="0"/>
          <w:sz w:val="22"/>
          <w:szCs w:val="22"/>
        </w:rPr>
        <w:t xml:space="preserve"> z dôvodu vyššieho obchodovania na burze s elektrinou (European Energy Exchange). Cieľom týchto obchodov je minimalizovať alebo odstraňovať riziko nepriaznivého pohybu ceny komodity.</w:t>
      </w:r>
    </w:p>
    <w:p w14:paraId="71BF0DB4" w14:textId="42B8C5EB" w:rsidR="007D1B4A" w:rsidRPr="00C66720" w:rsidRDefault="007D1B4A" w:rsidP="00D043B6">
      <w:pPr>
        <w:pStyle w:val="Pismenka"/>
        <w:numPr>
          <w:ilvl w:val="0"/>
          <w:numId w:val="44"/>
        </w:numPr>
        <w:spacing w:before="120" w:after="120"/>
        <w:ind w:left="284" w:hanging="284"/>
        <w:rPr>
          <w:i/>
          <w:sz w:val="22"/>
          <w:szCs w:val="22"/>
          <w:u w:val="single"/>
        </w:rPr>
      </w:pPr>
      <w:bookmarkStart w:id="60" w:name="_Ref86186417"/>
      <w:r w:rsidRPr="00C66720">
        <w:rPr>
          <w:i/>
          <w:sz w:val="22"/>
          <w:szCs w:val="22"/>
          <w:u w:val="single"/>
        </w:rPr>
        <w:t>Úroky</w:t>
      </w:r>
      <w:bookmarkEnd w:id="60"/>
    </w:p>
    <w:p w14:paraId="6065401F" w14:textId="2EA61667" w:rsidR="007D1B4A" w:rsidRPr="00C66720" w:rsidRDefault="007D1B4A" w:rsidP="00F9266E">
      <w:pPr>
        <w:pStyle w:val="Pismenka"/>
        <w:tabs>
          <w:tab w:val="clear" w:pos="426"/>
        </w:tabs>
        <w:spacing w:after="120"/>
        <w:ind w:left="0" w:firstLine="0"/>
        <w:rPr>
          <w:b w:val="0"/>
          <w:bCs w:val="0"/>
          <w:sz w:val="22"/>
          <w:szCs w:val="22"/>
        </w:rPr>
      </w:pPr>
      <w:r w:rsidRPr="00C66720">
        <w:rPr>
          <w:b w:val="0"/>
          <w:bCs w:val="0"/>
          <w:sz w:val="22"/>
          <w:szCs w:val="22"/>
        </w:rPr>
        <w:t xml:space="preserve">Najvyššiu hodnotu vykazuje Ministerstvo financií SR, a to </w:t>
      </w:r>
      <w:r w:rsidR="00FC5DB5" w:rsidRPr="00C66720">
        <w:rPr>
          <w:b w:val="0"/>
          <w:bCs w:val="0"/>
          <w:sz w:val="22"/>
          <w:szCs w:val="22"/>
        </w:rPr>
        <w:t>252 921</w:t>
      </w:r>
      <w:r w:rsidRPr="00C66720">
        <w:rPr>
          <w:b w:val="0"/>
          <w:bCs w:val="0"/>
          <w:sz w:val="22"/>
          <w:szCs w:val="22"/>
        </w:rPr>
        <w:t xml:space="preserve"> tis. eur. Ide o úroky dosiahnuté na medzibankovom finančnom trhu z úložiek, ostatných finančných operácií pri správe štátneho dlhu a návratných finančných výpomocí</w:t>
      </w:r>
      <w:r w:rsidR="002001A4" w:rsidRPr="00C66720">
        <w:rPr>
          <w:b w:val="0"/>
          <w:bCs w:val="0"/>
          <w:sz w:val="22"/>
          <w:szCs w:val="22"/>
        </w:rPr>
        <w:t xml:space="preserve"> poskytnutých subjektom mimo súhrnného celku</w:t>
      </w:r>
      <w:r w:rsidRPr="00C66720">
        <w:rPr>
          <w:b w:val="0"/>
          <w:bCs w:val="0"/>
          <w:sz w:val="22"/>
          <w:szCs w:val="22"/>
        </w:rPr>
        <w:t>. Ďalšie úroky vykazuje napr. Štátny fond rozvoja bývania z poskytnutých úverov (</w:t>
      </w:r>
      <w:r w:rsidR="0037663D" w:rsidRPr="00C66720">
        <w:rPr>
          <w:b w:val="0"/>
          <w:bCs w:val="0"/>
          <w:sz w:val="22"/>
          <w:szCs w:val="22"/>
        </w:rPr>
        <w:t>12 580</w:t>
      </w:r>
      <w:r w:rsidRPr="00C66720">
        <w:rPr>
          <w:b w:val="0"/>
          <w:bCs w:val="0"/>
          <w:sz w:val="22"/>
          <w:szCs w:val="22"/>
        </w:rPr>
        <w:t xml:space="preserve"> tis. eur), Exportno-importná banka SR (</w:t>
      </w:r>
      <w:r w:rsidR="0037663D" w:rsidRPr="00C66720">
        <w:rPr>
          <w:b w:val="0"/>
          <w:bCs w:val="0"/>
          <w:sz w:val="22"/>
          <w:szCs w:val="22"/>
        </w:rPr>
        <w:t>16 756</w:t>
      </w:r>
      <w:r w:rsidRPr="00C66720">
        <w:rPr>
          <w:b w:val="0"/>
          <w:bCs w:val="0"/>
          <w:sz w:val="22"/>
          <w:szCs w:val="22"/>
        </w:rPr>
        <w:t xml:space="preserve"> tis. eur) a Slovenská záručná a rozvojová banka SR (</w:t>
      </w:r>
      <w:r w:rsidR="0037663D" w:rsidRPr="00C66720">
        <w:rPr>
          <w:b w:val="0"/>
          <w:bCs w:val="0"/>
          <w:sz w:val="22"/>
          <w:szCs w:val="22"/>
        </w:rPr>
        <w:t>13 358</w:t>
      </w:r>
      <w:r w:rsidRPr="00C66720">
        <w:rPr>
          <w:b w:val="0"/>
          <w:bCs w:val="0"/>
          <w:sz w:val="22"/>
          <w:szCs w:val="22"/>
        </w:rPr>
        <w:t xml:space="preserve"> tis. eur).</w:t>
      </w:r>
    </w:p>
    <w:p w14:paraId="4F1C2FC3" w14:textId="3584CF29" w:rsidR="007D1B4A" w:rsidRPr="00C66720" w:rsidRDefault="007D1B4A" w:rsidP="00D043B6">
      <w:pPr>
        <w:pStyle w:val="Pismenka"/>
        <w:numPr>
          <w:ilvl w:val="0"/>
          <w:numId w:val="44"/>
        </w:numPr>
        <w:spacing w:before="240" w:after="120"/>
        <w:ind w:left="284" w:hanging="284"/>
        <w:rPr>
          <w:i/>
          <w:sz w:val="22"/>
          <w:szCs w:val="22"/>
          <w:u w:val="single"/>
        </w:rPr>
      </w:pPr>
      <w:bookmarkStart w:id="61" w:name="_Ref86186426"/>
      <w:r w:rsidRPr="00C66720">
        <w:rPr>
          <w:i/>
          <w:sz w:val="22"/>
          <w:szCs w:val="22"/>
          <w:u w:val="single"/>
        </w:rPr>
        <w:t>Kurzové zisky</w:t>
      </w:r>
      <w:bookmarkEnd w:id="61"/>
    </w:p>
    <w:p w14:paraId="70C6CC25" w14:textId="7EBC09DE" w:rsidR="007D1B4A" w:rsidRPr="00C66720" w:rsidRDefault="007D1B4A" w:rsidP="00B83AD8">
      <w:pPr>
        <w:pStyle w:val="Pismenka"/>
        <w:tabs>
          <w:tab w:val="clear" w:pos="426"/>
        </w:tabs>
        <w:spacing w:after="240"/>
        <w:ind w:left="0" w:firstLine="0"/>
        <w:rPr>
          <w:b w:val="0"/>
          <w:bCs w:val="0"/>
          <w:sz w:val="22"/>
          <w:szCs w:val="22"/>
        </w:rPr>
      </w:pPr>
      <w:r w:rsidRPr="00C66720">
        <w:rPr>
          <w:b w:val="0"/>
          <w:bCs w:val="0"/>
          <w:sz w:val="22"/>
          <w:szCs w:val="22"/>
        </w:rPr>
        <w:t>Najvyššiu celkovú sumu (</w:t>
      </w:r>
      <w:r w:rsidR="00BB0713" w:rsidRPr="00C66720">
        <w:rPr>
          <w:b w:val="0"/>
          <w:bCs w:val="0"/>
          <w:sz w:val="22"/>
          <w:szCs w:val="22"/>
        </w:rPr>
        <w:t>150 602</w:t>
      </w:r>
      <w:r w:rsidRPr="00C66720">
        <w:rPr>
          <w:b w:val="0"/>
          <w:bCs w:val="0"/>
          <w:sz w:val="22"/>
          <w:szCs w:val="22"/>
        </w:rPr>
        <w:t xml:space="preserve"> tis. eur) ako aj medziročný </w:t>
      </w:r>
      <w:r w:rsidR="005003A8" w:rsidRPr="00C66720">
        <w:rPr>
          <w:b w:val="0"/>
          <w:bCs w:val="0"/>
          <w:sz w:val="22"/>
          <w:szCs w:val="22"/>
        </w:rPr>
        <w:t>pokles</w:t>
      </w:r>
      <w:r w:rsidRPr="00C66720">
        <w:rPr>
          <w:b w:val="0"/>
          <w:bCs w:val="0"/>
          <w:sz w:val="22"/>
          <w:szCs w:val="22"/>
        </w:rPr>
        <w:t xml:space="preserve"> (o </w:t>
      </w:r>
      <w:r w:rsidR="00BB0713" w:rsidRPr="00C66720">
        <w:rPr>
          <w:b w:val="0"/>
          <w:bCs w:val="0"/>
          <w:sz w:val="22"/>
          <w:szCs w:val="22"/>
        </w:rPr>
        <w:t>13 205</w:t>
      </w:r>
      <w:r w:rsidRPr="00C66720">
        <w:rPr>
          <w:b w:val="0"/>
          <w:bCs w:val="0"/>
          <w:sz w:val="22"/>
          <w:szCs w:val="22"/>
        </w:rPr>
        <w:t xml:space="preserve"> tis. eur) opäť tvorí Ministerstvo financií SR, a to z obchodov na finančnom trhu pri zabezpečovaní likvidity štátneho rozpočtu a riadení dlhu, precenenia vládnych pohľadávok voči zahraničiu, vkladov štátu v medzinárodných inštitúciách</w:t>
      </w:r>
      <w:r w:rsidR="006F4636" w:rsidRPr="00C66720">
        <w:rPr>
          <w:b w:val="0"/>
          <w:bCs w:val="0"/>
          <w:sz w:val="22"/>
          <w:szCs w:val="22"/>
        </w:rPr>
        <w:t>, úložiek v komerčných bankách v cudzej mene, úrokov zo SWAP-ov, štátnych dlhopisoch emitovaných v cudzej mene a záväzkov vyplývajúcich z úverových vzťahov denominovaných v cudzej mene.</w:t>
      </w:r>
      <w:r w:rsidRPr="00C66720">
        <w:rPr>
          <w:b w:val="0"/>
          <w:bCs w:val="0"/>
          <w:sz w:val="22"/>
          <w:szCs w:val="22"/>
        </w:rPr>
        <w:t xml:space="preserve"> Dôvodom bola zmena kurzov cudzích mien ako aj objem obchodov realizovaných v zahraničných menách.</w:t>
      </w:r>
    </w:p>
    <w:p w14:paraId="426D328B" w14:textId="63BDD66C" w:rsidR="007D1B4A" w:rsidRPr="00C66720" w:rsidRDefault="007D1B4A" w:rsidP="00D043B6">
      <w:pPr>
        <w:pStyle w:val="Pismenka"/>
        <w:numPr>
          <w:ilvl w:val="0"/>
          <w:numId w:val="44"/>
        </w:numPr>
        <w:spacing w:before="120" w:after="120"/>
        <w:ind w:left="284" w:hanging="284"/>
        <w:rPr>
          <w:i/>
          <w:sz w:val="22"/>
          <w:szCs w:val="22"/>
          <w:u w:val="single"/>
        </w:rPr>
      </w:pPr>
      <w:bookmarkStart w:id="62" w:name="_Ref86186435"/>
      <w:r w:rsidRPr="00C66720">
        <w:rPr>
          <w:i/>
          <w:sz w:val="22"/>
          <w:szCs w:val="22"/>
          <w:u w:val="single"/>
        </w:rPr>
        <w:t>Podiel na výsledku hospodárenia pridružených ÚJ</w:t>
      </w:r>
      <w:bookmarkEnd w:id="62"/>
    </w:p>
    <w:p w14:paraId="4A469A6E" w14:textId="69429DFD" w:rsidR="00F26018" w:rsidRPr="00C66720" w:rsidRDefault="00F26018" w:rsidP="00B83AD8">
      <w:pPr>
        <w:pStyle w:val="Pismenka"/>
        <w:tabs>
          <w:tab w:val="clear" w:pos="426"/>
        </w:tabs>
        <w:spacing w:after="240"/>
        <w:ind w:left="0" w:firstLine="0"/>
        <w:rPr>
          <w:b w:val="0"/>
          <w:bCs w:val="0"/>
          <w:sz w:val="22"/>
          <w:szCs w:val="22"/>
        </w:rPr>
      </w:pPr>
      <w:r w:rsidRPr="00C66720">
        <w:rPr>
          <w:b w:val="0"/>
          <w:bCs w:val="0"/>
          <w:sz w:val="22"/>
          <w:szCs w:val="22"/>
        </w:rPr>
        <w:t>Podiel na výsledku hospodárenia pridružených účtovných jednotiek bol vykázaný v hodnote</w:t>
      </w:r>
      <w:r w:rsidRPr="00C66720">
        <w:rPr>
          <w:b w:val="0"/>
          <w:bCs w:val="0"/>
          <w:sz w:val="22"/>
          <w:szCs w:val="22"/>
        </w:rPr>
        <w:br/>
      </w:r>
      <w:r w:rsidR="00B123D2" w:rsidRPr="00C66720">
        <w:rPr>
          <w:b w:val="0"/>
          <w:bCs w:val="0"/>
          <w:sz w:val="22"/>
          <w:szCs w:val="22"/>
        </w:rPr>
        <w:t>554 456</w:t>
      </w:r>
      <w:r w:rsidRPr="00C66720">
        <w:rPr>
          <w:b w:val="0"/>
          <w:bCs w:val="0"/>
          <w:sz w:val="22"/>
          <w:szCs w:val="22"/>
        </w:rPr>
        <w:t xml:space="preserve"> tis. eur, pričom ústredná správa vykázala </w:t>
      </w:r>
      <w:r w:rsidR="005F418D" w:rsidRPr="00C66720">
        <w:rPr>
          <w:b w:val="0"/>
          <w:bCs w:val="0"/>
          <w:sz w:val="22"/>
          <w:szCs w:val="22"/>
        </w:rPr>
        <w:t>552 174</w:t>
      </w:r>
      <w:r w:rsidRPr="00C66720">
        <w:rPr>
          <w:b w:val="0"/>
          <w:bCs w:val="0"/>
          <w:sz w:val="22"/>
          <w:szCs w:val="22"/>
        </w:rPr>
        <w:t xml:space="preserve"> tis. eur. V prípade týchto výnosov ide najmä o podiel SPP, a.s. na jeho konsolidovaných účtovných jednotkách vo výške </w:t>
      </w:r>
      <w:r w:rsidR="0046091B" w:rsidRPr="00C66720">
        <w:rPr>
          <w:b w:val="0"/>
          <w:bCs w:val="0"/>
          <w:sz w:val="22"/>
          <w:szCs w:val="22"/>
        </w:rPr>
        <w:t>316 638</w:t>
      </w:r>
      <w:r w:rsidRPr="00C66720">
        <w:rPr>
          <w:b w:val="0"/>
          <w:bCs w:val="0"/>
          <w:sz w:val="22"/>
          <w:szCs w:val="22"/>
        </w:rPr>
        <w:t xml:space="preserve"> tis. eur a</w:t>
      </w:r>
      <w:r w:rsidR="00F5450E">
        <w:rPr>
          <w:b w:val="0"/>
          <w:bCs w:val="0"/>
          <w:sz w:val="22"/>
          <w:szCs w:val="22"/>
        </w:rPr>
        <w:t> </w:t>
      </w:r>
      <w:r w:rsidRPr="00C66720">
        <w:rPr>
          <w:b w:val="0"/>
          <w:bCs w:val="0"/>
          <w:sz w:val="22"/>
          <w:szCs w:val="22"/>
        </w:rPr>
        <w:t xml:space="preserve">podiel Ministerstva hospodárstva SR na </w:t>
      </w:r>
      <w:r w:rsidR="00F5450E">
        <w:rPr>
          <w:b w:val="0"/>
          <w:bCs w:val="0"/>
          <w:sz w:val="22"/>
          <w:szCs w:val="22"/>
        </w:rPr>
        <w:t>výsledku</w:t>
      </w:r>
      <w:r w:rsidR="00F5450E" w:rsidRPr="00C66720">
        <w:rPr>
          <w:b w:val="0"/>
          <w:bCs w:val="0"/>
          <w:sz w:val="22"/>
          <w:szCs w:val="22"/>
        </w:rPr>
        <w:t xml:space="preserve"> </w:t>
      </w:r>
      <w:r w:rsidRPr="00C66720">
        <w:rPr>
          <w:b w:val="0"/>
          <w:bCs w:val="0"/>
          <w:sz w:val="22"/>
          <w:szCs w:val="22"/>
        </w:rPr>
        <w:t xml:space="preserve">pridružených energetických spoločnostiach, </w:t>
      </w:r>
      <w:r w:rsidR="0046091B" w:rsidRPr="00C66720">
        <w:rPr>
          <w:b w:val="0"/>
          <w:bCs w:val="0"/>
          <w:sz w:val="22"/>
          <w:szCs w:val="22"/>
        </w:rPr>
        <w:t>233 307</w:t>
      </w:r>
      <w:r w:rsidRPr="00C66720">
        <w:rPr>
          <w:b w:val="0"/>
          <w:bCs w:val="0"/>
          <w:sz w:val="22"/>
          <w:szCs w:val="22"/>
        </w:rPr>
        <w:t xml:space="preserve"> tis. eur.</w:t>
      </w:r>
      <w:r w:rsidR="00F5450E">
        <w:rPr>
          <w:b w:val="0"/>
          <w:bCs w:val="0"/>
          <w:sz w:val="22"/>
          <w:szCs w:val="22"/>
        </w:rPr>
        <w:t xml:space="preserve"> Medziročný nárast bol spôsobený vyššou ziskovosťou spoločností v oblasti energetiky.</w:t>
      </w:r>
      <w:r w:rsidRPr="00C66720">
        <w:rPr>
          <w:b w:val="0"/>
          <w:bCs w:val="0"/>
          <w:sz w:val="22"/>
          <w:szCs w:val="22"/>
        </w:rPr>
        <w:t xml:space="preserve"> </w:t>
      </w:r>
    </w:p>
    <w:p w14:paraId="5FB3B95B" w14:textId="36AEDFEC" w:rsidR="007D1B4A" w:rsidRPr="00C66720" w:rsidRDefault="007D1B4A" w:rsidP="00D043B6">
      <w:pPr>
        <w:pStyle w:val="Pismenka"/>
        <w:numPr>
          <w:ilvl w:val="0"/>
          <w:numId w:val="44"/>
        </w:numPr>
        <w:spacing w:before="120" w:after="120"/>
        <w:ind w:left="284" w:hanging="284"/>
        <w:rPr>
          <w:i/>
          <w:sz w:val="22"/>
          <w:szCs w:val="22"/>
          <w:u w:val="single"/>
        </w:rPr>
      </w:pPr>
      <w:bookmarkStart w:id="63" w:name="_Ref86186442"/>
      <w:r w:rsidRPr="00C66720">
        <w:rPr>
          <w:i/>
          <w:sz w:val="22"/>
          <w:szCs w:val="22"/>
          <w:u w:val="single"/>
        </w:rPr>
        <w:t>Ostatné finančné výnosy</w:t>
      </w:r>
      <w:bookmarkEnd w:id="63"/>
    </w:p>
    <w:p w14:paraId="18FD2B9B" w14:textId="5F184C40" w:rsidR="00224CC9" w:rsidRPr="00C66720" w:rsidRDefault="009E5EC1" w:rsidP="00F9266E">
      <w:pPr>
        <w:pStyle w:val="Pismenka"/>
        <w:tabs>
          <w:tab w:val="clear" w:pos="426"/>
        </w:tabs>
        <w:spacing w:after="120"/>
        <w:ind w:left="0" w:firstLine="0"/>
        <w:rPr>
          <w:b w:val="0"/>
          <w:bCs w:val="0"/>
          <w:sz w:val="22"/>
          <w:szCs w:val="22"/>
        </w:rPr>
      </w:pPr>
      <w:r w:rsidRPr="00C66720">
        <w:rPr>
          <w:b w:val="0"/>
          <w:bCs w:val="0"/>
          <w:sz w:val="22"/>
          <w:szCs w:val="22"/>
        </w:rPr>
        <w:t xml:space="preserve">Ostatné finančné výnosy v celkovej výške </w:t>
      </w:r>
      <w:r w:rsidR="00D658F1" w:rsidRPr="00C66720">
        <w:rPr>
          <w:b w:val="0"/>
          <w:bCs w:val="0"/>
          <w:sz w:val="22"/>
          <w:szCs w:val="22"/>
        </w:rPr>
        <w:t>65 072</w:t>
      </w:r>
      <w:r w:rsidRPr="00C66720">
        <w:rPr>
          <w:b w:val="0"/>
          <w:bCs w:val="0"/>
          <w:sz w:val="22"/>
          <w:szCs w:val="22"/>
        </w:rPr>
        <w:t xml:space="preserve"> tis. eur tvoria najmä</w:t>
      </w:r>
      <w:r w:rsidR="007D2405" w:rsidRPr="00C66720">
        <w:rPr>
          <w:b w:val="0"/>
          <w:bCs w:val="0"/>
          <w:sz w:val="22"/>
          <w:szCs w:val="22"/>
        </w:rPr>
        <w:t xml:space="preserve"> tržby z predaja cenných papierov a podielov v hodnote </w:t>
      </w:r>
      <w:r w:rsidR="004C03F1" w:rsidRPr="00C66720">
        <w:rPr>
          <w:b w:val="0"/>
          <w:bCs w:val="0"/>
          <w:sz w:val="22"/>
          <w:szCs w:val="22"/>
        </w:rPr>
        <w:t>10 647</w:t>
      </w:r>
      <w:r w:rsidR="007D2405" w:rsidRPr="00C66720">
        <w:rPr>
          <w:b w:val="0"/>
          <w:bCs w:val="0"/>
          <w:sz w:val="22"/>
          <w:szCs w:val="22"/>
        </w:rPr>
        <w:t xml:space="preserve"> tis. eur a výnosy z dlhodobého a krátkodobého finančného majetku v sume </w:t>
      </w:r>
      <w:r w:rsidR="00482F26" w:rsidRPr="00C66720">
        <w:rPr>
          <w:b w:val="0"/>
          <w:bCs w:val="0"/>
          <w:sz w:val="22"/>
          <w:szCs w:val="22"/>
        </w:rPr>
        <w:t>8 095</w:t>
      </w:r>
      <w:r w:rsidR="007D2405" w:rsidRPr="00C66720">
        <w:rPr>
          <w:b w:val="0"/>
          <w:bCs w:val="0"/>
          <w:sz w:val="22"/>
          <w:szCs w:val="22"/>
        </w:rPr>
        <w:t xml:space="preserve"> tis. eur</w:t>
      </w:r>
      <w:r w:rsidR="00224CC9" w:rsidRPr="00C66720">
        <w:rPr>
          <w:b w:val="0"/>
          <w:bCs w:val="0"/>
          <w:sz w:val="22"/>
          <w:szCs w:val="22"/>
        </w:rPr>
        <w:t xml:space="preserve"> v podobe napr. dividend alebo podielov na zisku.</w:t>
      </w:r>
    </w:p>
    <w:p w14:paraId="48771893" w14:textId="07528EE7" w:rsidR="00FA68CA" w:rsidRPr="00C66720" w:rsidRDefault="00FA68CA" w:rsidP="001F787F">
      <w:pPr>
        <w:numPr>
          <w:ilvl w:val="0"/>
          <w:numId w:val="25"/>
        </w:numPr>
        <w:spacing w:before="240" w:line="240" w:lineRule="auto"/>
        <w:ind w:left="425" w:hanging="425"/>
        <w:jc w:val="both"/>
        <w:rPr>
          <w:rFonts w:ascii="Times New Roman" w:hAnsi="Times New Roman"/>
          <w:b/>
          <w:bCs/>
          <w:sz w:val="24"/>
          <w:szCs w:val="24"/>
        </w:rPr>
      </w:pPr>
      <w:bookmarkStart w:id="64" w:name="_Ref86186967"/>
      <w:r w:rsidRPr="00C66720">
        <w:rPr>
          <w:rFonts w:ascii="Times New Roman" w:hAnsi="Times New Roman"/>
          <w:b/>
          <w:bCs/>
          <w:sz w:val="24"/>
          <w:szCs w:val="24"/>
        </w:rPr>
        <w:t>Zúčtovanie rezerv a opravných položiek</w:t>
      </w:r>
      <w:bookmarkEnd w:id="64"/>
    </w:p>
    <w:p w14:paraId="78903DA5" w14:textId="7E3979A3" w:rsidR="00907D23" w:rsidRPr="00C66720" w:rsidRDefault="00B80ED9" w:rsidP="000E3F9E">
      <w:pPr>
        <w:pStyle w:val="Pismenka"/>
        <w:tabs>
          <w:tab w:val="clear" w:pos="426"/>
        </w:tabs>
        <w:spacing w:after="240"/>
        <w:ind w:left="0" w:firstLine="0"/>
        <w:rPr>
          <w:b w:val="0"/>
          <w:bCs w:val="0"/>
          <w:sz w:val="22"/>
          <w:szCs w:val="22"/>
        </w:rPr>
      </w:pPr>
      <w:r w:rsidRPr="00C66720">
        <w:rPr>
          <w:b w:val="0"/>
          <w:bCs w:val="0"/>
          <w:sz w:val="22"/>
          <w:szCs w:val="22"/>
        </w:rPr>
        <w:t>Zúčtovanie rezerv</w:t>
      </w:r>
      <w:r w:rsidR="00A80F45" w:rsidRPr="00C66720">
        <w:rPr>
          <w:b w:val="0"/>
          <w:bCs w:val="0"/>
          <w:sz w:val="22"/>
          <w:szCs w:val="22"/>
        </w:rPr>
        <w:t xml:space="preserve"> a opravných položiek vytvorených v predchádzajú</w:t>
      </w:r>
      <w:r w:rsidR="007A7FA1" w:rsidRPr="00C66720">
        <w:rPr>
          <w:b w:val="0"/>
          <w:bCs w:val="0"/>
          <w:sz w:val="22"/>
          <w:szCs w:val="22"/>
        </w:rPr>
        <w:t>cich obdobiach, bolo k 31.12.202</w:t>
      </w:r>
      <w:r w:rsidR="0060433D" w:rsidRPr="00C66720">
        <w:rPr>
          <w:b w:val="0"/>
          <w:bCs w:val="0"/>
          <w:sz w:val="22"/>
          <w:szCs w:val="22"/>
        </w:rPr>
        <w:t>2</w:t>
      </w:r>
      <w:r w:rsidR="00A80F45" w:rsidRPr="00C66720">
        <w:rPr>
          <w:b w:val="0"/>
          <w:bCs w:val="0"/>
          <w:sz w:val="22"/>
          <w:szCs w:val="22"/>
        </w:rPr>
        <w:t xml:space="preserve"> v hodnote </w:t>
      </w:r>
      <w:r w:rsidR="0060433D" w:rsidRPr="00C66720">
        <w:rPr>
          <w:b w:val="0"/>
          <w:bCs w:val="0"/>
          <w:sz w:val="22"/>
          <w:szCs w:val="22"/>
        </w:rPr>
        <w:t>15 409 733</w:t>
      </w:r>
      <w:r w:rsidR="00F7490A" w:rsidRPr="00C66720">
        <w:rPr>
          <w:b w:val="0"/>
          <w:bCs w:val="0"/>
          <w:sz w:val="22"/>
          <w:szCs w:val="22"/>
        </w:rPr>
        <w:t xml:space="preserve"> </w:t>
      </w:r>
      <w:r w:rsidR="005C0BC1" w:rsidRPr="00C66720">
        <w:rPr>
          <w:b w:val="0"/>
          <w:bCs w:val="0"/>
          <w:sz w:val="22"/>
          <w:szCs w:val="22"/>
        </w:rPr>
        <w:t>tis. eur</w:t>
      </w:r>
      <w:r w:rsidR="00A80F45" w:rsidRPr="00C66720">
        <w:rPr>
          <w:b w:val="0"/>
          <w:bCs w:val="0"/>
          <w:sz w:val="22"/>
          <w:szCs w:val="22"/>
        </w:rPr>
        <w:t>. Medziročne sa</w:t>
      </w:r>
      <w:r w:rsidR="00A70836" w:rsidRPr="00C66720">
        <w:rPr>
          <w:b w:val="0"/>
          <w:bCs w:val="0"/>
          <w:sz w:val="22"/>
          <w:szCs w:val="22"/>
        </w:rPr>
        <w:t xml:space="preserve"> </w:t>
      </w:r>
      <w:r w:rsidR="0060433D" w:rsidRPr="00C66720">
        <w:rPr>
          <w:b w:val="0"/>
          <w:bCs w:val="0"/>
          <w:sz w:val="22"/>
          <w:szCs w:val="22"/>
        </w:rPr>
        <w:t>zvýšili</w:t>
      </w:r>
      <w:r w:rsidR="00D56C03" w:rsidRPr="00C66720">
        <w:rPr>
          <w:b w:val="0"/>
          <w:bCs w:val="0"/>
          <w:sz w:val="22"/>
          <w:szCs w:val="22"/>
        </w:rPr>
        <w:t xml:space="preserve"> tieto nepeňažné výnosy </w:t>
      </w:r>
      <w:r w:rsidR="00A80F45" w:rsidRPr="00C66720">
        <w:rPr>
          <w:b w:val="0"/>
          <w:bCs w:val="0"/>
          <w:sz w:val="22"/>
          <w:szCs w:val="22"/>
        </w:rPr>
        <w:t>o</w:t>
      </w:r>
      <w:r w:rsidR="0060433D" w:rsidRPr="00C66720">
        <w:rPr>
          <w:b w:val="0"/>
          <w:bCs w:val="0"/>
          <w:sz w:val="22"/>
          <w:szCs w:val="22"/>
        </w:rPr>
        <w:t> 13 348 578</w:t>
      </w:r>
      <w:r w:rsidR="001A5256" w:rsidRPr="00C66720">
        <w:rPr>
          <w:b w:val="0"/>
          <w:bCs w:val="0"/>
          <w:sz w:val="22"/>
          <w:szCs w:val="22"/>
        </w:rPr>
        <w:t xml:space="preserve"> </w:t>
      </w:r>
      <w:r w:rsidR="00C03F0A" w:rsidRPr="00C66720">
        <w:rPr>
          <w:b w:val="0"/>
          <w:bCs w:val="0"/>
          <w:sz w:val="22"/>
          <w:szCs w:val="22"/>
        </w:rPr>
        <w:t xml:space="preserve">tis. eur </w:t>
      </w:r>
      <w:r w:rsidR="000E3F9E" w:rsidRPr="00C66720">
        <w:rPr>
          <w:b w:val="0"/>
          <w:bCs w:val="0"/>
          <w:sz w:val="22"/>
          <w:szCs w:val="22"/>
        </w:rPr>
        <w:t>najm</w:t>
      </w:r>
      <w:r w:rsidR="00F34410">
        <w:rPr>
          <w:b w:val="0"/>
          <w:bCs w:val="0"/>
          <w:sz w:val="22"/>
          <w:szCs w:val="22"/>
        </w:rPr>
        <w:t>ä</w:t>
      </w:r>
      <w:r w:rsidR="000E3F9E" w:rsidRPr="00C66720">
        <w:rPr>
          <w:b w:val="0"/>
          <w:bCs w:val="0"/>
          <w:sz w:val="22"/>
          <w:szCs w:val="22"/>
        </w:rPr>
        <w:t xml:space="preserve"> vyšším </w:t>
      </w:r>
      <w:r w:rsidR="000E3F9E" w:rsidRPr="00C66720">
        <w:rPr>
          <w:b w:val="0"/>
          <w:bCs w:val="0"/>
          <w:sz w:val="22"/>
          <w:szCs w:val="22"/>
          <w:u w:val="single"/>
        </w:rPr>
        <w:t>zúčtovaním rezerv</w:t>
      </w:r>
      <w:r w:rsidR="000E3F9E" w:rsidRPr="00C66720">
        <w:rPr>
          <w:b w:val="0"/>
          <w:bCs w:val="0"/>
          <w:sz w:val="22"/>
          <w:szCs w:val="22"/>
        </w:rPr>
        <w:t xml:space="preserve"> o 13 286 574 tis. eur</w:t>
      </w:r>
      <w:r w:rsidR="00F34410">
        <w:rPr>
          <w:b w:val="0"/>
          <w:bCs w:val="0"/>
          <w:sz w:val="22"/>
          <w:szCs w:val="22"/>
        </w:rPr>
        <w:t>,</w:t>
      </w:r>
      <w:r w:rsidR="000E3F9E" w:rsidRPr="00C66720">
        <w:rPr>
          <w:b w:val="0"/>
          <w:bCs w:val="0"/>
          <w:sz w:val="22"/>
          <w:szCs w:val="22"/>
        </w:rPr>
        <w:t xml:space="preserve"> ale aj vyšším </w:t>
      </w:r>
      <w:r w:rsidR="000E3F9E" w:rsidRPr="00C66720">
        <w:rPr>
          <w:b w:val="0"/>
          <w:bCs w:val="0"/>
          <w:sz w:val="22"/>
          <w:szCs w:val="22"/>
          <w:u w:val="single"/>
        </w:rPr>
        <w:t>zúčtovaním opravných položiek</w:t>
      </w:r>
      <w:r w:rsidR="000E3F9E" w:rsidRPr="00C66720">
        <w:rPr>
          <w:b w:val="0"/>
          <w:bCs w:val="0"/>
          <w:sz w:val="22"/>
          <w:szCs w:val="22"/>
        </w:rPr>
        <w:t xml:space="preserve"> </w:t>
      </w:r>
      <w:r w:rsidR="000E3F9E" w:rsidRPr="00C66720">
        <w:rPr>
          <w:b w:val="0"/>
          <w:bCs w:val="0"/>
          <w:sz w:val="22"/>
          <w:szCs w:val="22"/>
        </w:rPr>
        <w:br/>
        <w:t>o 62 004 tis. eur.</w:t>
      </w:r>
      <w:r w:rsidR="0089023A" w:rsidRPr="00C66720">
        <w:rPr>
          <w:b w:val="0"/>
          <w:bCs w:val="0"/>
          <w:sz w:val="22"/>
          <w:szCs w:val="22"/>
        </w:rPr>
        <w:t xml:space="preserve"> </w:t>
      </w:r>
      <w:r w:rsidR="00907D23" w:rsidRPr="00C66720">
        <w:rPr>
          <w:b w:val="0"/>
          <w:bCs w:val="0"/>
          <w:sz w:val="22"/>
          <w:szCs w:val="22"/>
        </w:rPr>
        <w:t xml:space="preserve">Na celkovej hodnote týchto výnosov sa v rozhodujúcej miere </w:t>
      </w:r>
      <w:r w:rsidR="0030298B" w:rsidRPr="00C66720">
        <w:rPr>
          <w:b w:val="0"/>
          <w:bCs w:val="0"/>
          <w:sz w:val="22"/>
          <w:szCs w:val="22"/>
        </w:rPr>
        <w:t>(9</w:t>
      </w:r>
      <w:r w:rsidR="006466F1" w:rsidRPr="00C66720">
        <w:rPr>
          <w:b w:val="0"/>
          <w:bCs w:val="0"/>
          <w:sz w:val="22"/>
          <w:szCs w:val="22"/>
        </w:rPr>
        <w:t>7</w:t>
      </w:r>
      <w:r w:rsidR="0030298B" w:rsidRPr="00C66720">
        <w:rPr>
          <w:b w:val="0"/>
          <w:bCs w:val="0"/>
          <w:sz w:val="22"/>
          <w:szCs w:val="22"/>
        </w:rPr>
        <w:t>,7</w:t>
      </w:r>
      <w:r w:rsidR="00B408B0" w:rsidRPr="00C66720">
        <w:rPr>
          <w:b w:val="0"/>
          <w:bCs w:val="0"/>
          <w:sz w:val="22"/>
          <w:szCs w:val="22"/>
        </w:rPr>
        <w:t xml:space="preserve"> %) </w:t>
      </w:r>
      <w:r w:rsidR="00907D23" w:rsidRPr="00C66720">
        <w:rPr>
          <w:b w:val="0"/>
          <w:bCs w:val="0"/>
          <w:sz w:val="22"/>
          <w:szCs w:val="22"/>
        </w:rPr>
        <w:t xml:space="preserve">podieľa ústredná správa </w:t>
      </w:r>
      <w:r w:rsidR="00B408B0" w:rsidRPr="00C66720">
        <w:rPr>
          <w:b w:val="0"/>
          <w:bCs w:val="0"/>
          <w:sz w:val="22"/>
          <w:szCs w:val="22"/>
        </w:rPr>
        <w:t xml:space="preserve">sumou </w:t>
      </w:r>
      <w:r w:rsidR="006466F1" w:rsidRPr="00C66720">
        <w:rPr>
          <w:b w:val="0"/>
          <w:bCs w:val="0"/>
          <w:sz w:val="22"/>
          <w:szCs w:val="22"/>
        </w:rPr>
        <w:t>15 061 278</w:t>
      </w:r>
      <w:r w:rsidR="00B408B0" w:rsidRPr="00C66720">
        <w:rPr>
          <w:b w:val="0"/>
          <w:bCs w:val="0"/>
          <w:sz w:val="22"/>
          <w:szCs w:val="22"/>
        </w:rPr>
        <w:t xml:space="preserve"> tis. eur (v tom zúčtovanie rezerv </w:t>
      </w:r>
      <w:r w:rsidR="00072720" w:rsidRPr="00C66720">
        <w:rPr>
          <w:b w:val="0"/>
          <w:bCs w:val="0"/>
          <w:sz w:val="22"/>
          <w:szCs w:val="22"/>
        </w:rPr>
        <w:t>14 520 048</w:t>
      </w:r>
      <w:r w:rsidR="00B408B0" w:rsidRPr="00C66720">
        <w:rPr>
          <w:b w:val="0"/>
          <w:bCs w:val="0"/>
          <w:sz w:val="22"/>
          <w:szCs w:val="22"/>
        </w:rPr>
        <w:t xml:space="preserve"> tis. eur a </w:t>
      </w:r>
      <w:r w:rsidR="0030298B" w:rsidRPr="00C66720">
        <w:rPr>
          <w:b w:val="0"/>
          <w:bCs w:val="0"/>
          <w:sz w:val="22"/>
          <w:szCs w:val="22"/>
        </w:rPr>
        <w:t>zúčtovanie opravných položiek</w:t>
      </w:r>
      <w:r w:rsidR="00072720" w:rsidRPr="00C66720">
        <w:rPr>
          <w:b w:val="0"/>
          <w:bCs w:val="0"/>
          <w:sz w:val="22"/>
          <w:szCs w:val="22"/>
        </w:rPr>
        <w:t xml:space="preserve"> 889 685</w:t>
      </w:r>
      <w:r w:rsidR="00B408B0" w:rsidRPr="00C66720">
        <w:rPr>
          <w:b w:val="0"/>
          <w:bCs w:val="0"/>
          <w:sz w:val="22"/>
          <w:szCs w:val="22"/>
        </w:rPr>
        <w:t xml:space="preserve"> tis. eur). </w:t>
      </w:r>
    </w:p>
    <w:p w14:paraId="6EBBD0F8" w14:textId="5D6FF5FC" w:rsidR="00AB0D3C" w:rsidRPr="00C66720" w:rsidRDefault="00AB0D3C" w:rsidP="00D043B6">
      <w:pPr>
        <w:pStyle w:val="Pismenka"/>
        <w:numPr>
          <w:ilvl w:val="0"/>
          <w:numId w:val="44"/>
        </w:numPr>
        <w:spacing w:before="120" w:after="120"/>
        <w:ind w:left="284" w:hanging="284"/>
        <w:rPr>
          <w:i/>
          <w:sz w:val="22"/>
          <w:szCs w:val="22"/>
          <w:u w:val="single"/>
        </w:rPr>
      </w:pPr>
      <w:bookmarkStart w:id="65" w:name="_Ref86186453"/>
      <w:r w:rsidRPr="00C66720">
        <w:rPr>
          <w:i/>
          <w:sz w:val="22"/>
          <w:szCs w:val="22"/>
          <w:u w:val="single"/>
        </w:rPr>
        <w:t>Rezervy</w:t>
      </w:r>
      <w:bookmarkEnd w:id="65"/>
    </w:p>
    <w:p w14:paraId="2DEB4CAA" w14:textId="77777777" w:rsidR="005259BE" w:rsidRPr="00C66720" w:rsidRDefault="003623B9" w:rsidP="005259BE">
      <w:pPr>
        <w:pStyle w:val="Pismenka"/>
        <w:tabs>
          <w:tab w:val="clear" w:pos="426"/>
        </w:tabs>
        <w:spacing w:after="120"/>
        <w:ind w:left="0" w:firstLine="0"/>
        <w:rPr>
          <w:b w:val="0"/>
          <w:sz w:val="22"/>
          <w:szCs w:val="22"/>
        </w:rPr>
      </w:pPr>
      <w:r w:rsidRPr="00C66720">
        <w:rPr>
          <w:b w:val="0"/>
          <w:sz w:val="22"/>
          <w:szCs w:val="22"/>
        </w:rPr>
        <w:t xml:space="preserve">Výnosy zo zúčtovania rezerv v celkovej sume </w:t>
      </w:r>
      <w:r w:rsidR="008A3DC3" w:rsidRPr="00C66720">
        <w:rPr>
          <w:b w:val="0"/>
          <w:sz w:val="22"/>
          <w:szCs w:val="22"/>
        </w:rPr>
        <w:t>14 520 048</w:t>
      </w:r>
      <w:r w:rsidRPr="00C66720">
        <w:rPr>
          <w:b w:val="0"/>
          <w:sz w:val="22"/>
          <w:szCs w:val="22"/>
        </w:rPr>
        <w:t xml:space="preserve"> tis. eur </w:t>
      </w:r>
      <w:r w:rsidR="005259BE">
        <w:rPr>
          <w:b w:val="0"/>
          <w:sz w:val="22"/>
          <w:szCs w:val="22"/>
        </w:rPr>
        <w:t xml:space="preserve">sú vykazované z dôvodu </w:t>
      </w:r>
      <w:r w:rsidR="005259BE" w:rsidRPr="00C66720">
        <w:rPr>
          <w:b w:val="0"/>
          <w:sz w:val="22"/>
          <w:szCs w:val="22"/>
        </w:rPr>
        <w:t xml:space="preserve">ich použitia na vymedzený účel resp. z dôvodu </w:t>
      </w:r>
      <w:r w:rsidR="005259BE">
        <w:rPr>
          <w:b w:val="0"/>
          <w:sz w:val="22"/>
          <w:szCs w:val="22"/>
        </w:rPr>
        <w:t>zrušenia</w:t>
      </w:r>
      <w:r w:rsidR="005259BE" w:rsidRPr="00C66720">
        <w:rPr>
          <w:b w:val="0"/>
          <w:sz w:val="22"/>
          <w:szCs w:val="22"/>
        </w:rPr>
        <w:t xml:space="preserve"> pri zániku rizika, na ktoré boli rezervy tvorené</w:t>
      </w:r>
      <w:r w:rsidR="005259BE">
        <w:rPr>
          <w:b w:val="0"/>
          <w:sz w:val="22"/>
          <w:szCs w:val="22"/>
        </w:rPr>
        <w:t xml:space="preserve"> (rovnako tak aj pri aktualizácii ich výšky vytvorenej v predchádzajúcich obdobiach)</w:t>
      </w:r>
      <w:r w:rsidR="005259BE" w:rsidRPr="00C66720">
        <w:rPr>
          <w:b w:val="0"/>
          <w:sz w:val="22"/>
          <w:szCs w:val="22"/>
        </w:rPr>
        <w:t xml:space="preserve">. </w:t>
      </w:r>
    </w:p>
    <w:p w14:paraId="3D639164" w14:textId="4FC7CD8F" w:rsidR="003F058F" w:rsidRPr="00C66720" w:rsidRDefault="00D50A65" w:rsidP="005F2AEA">
      <w:pPr>
        <w:pStyle w:val="Pismenka"/>
        <w:tabs>
          <w:tab w:val="clear" w:pos="426"/>
        </w:tabs>
        <w:spacing w:after="120"/>
        <w:ind w:left="0" w:firstLine="0"/>
        <w:rPr>
          <w:b w:val="0"/>
          <w:bCs w:val="0"/>
          <w:color w:val="FF0000"/>
          <w:sz w:val="22"/>
          <w:szCs w:val="22"/>
          <w:highlight w:val="yellow"/>
        </w:rPr>
      </w:pPr>
      <w:r w:rsidRPr="00C66720">
        <w:rPr>
          <w:b w:val="0"/>
          <w:bCs w:val="0"/>
          <w:sz w:val="22"/>
          <w:szCs w:val="22"/>
        </w:rPr>
        <w:t xml:space="preserve">Ide najmä o zúčtovanie rezervy na </w:t>
      </w:r>
      <w:r w:rsidR="003F058F" w:rsidRPr="00C66720">
        <w:rPr>
          <w:b w:val="0"/>
          <w:bCs w:val="0"/>
          <w:sz w:val="22"/>
          <w:szCs w:val="22"/>
        </w:rPr>
        <w:t xml:space="preserve">zamestnanecké požitky vo výške </w:t>
      </w:r>
      <w:r w:rsidR="00AD4563" w:rsidRPr="00C66720">
        <w:rPr>
          <w:b w:val="0"/>
          <w:bCs w:val="0"/>
          <w:sz w:val="22"/>
          <w:szCs w:val="22"/>
        </w:rPr>
        <w:t>13 436 694</w:t>
      </w:r>
      <w:r w:rsidR="003F058F" w:rsidRPr="00C66720">
        <w:rPr>
          <w:b w:val="0"/>
          <w:bCs w:val="0"/>
          <w:sz w:val="22"/>
          <w:szCs w:val="22"/>
        </w:rPr>
        <w:t xml:space="preserve"> tis. eur a zrušenie rezervy na záväzky z odpočítaných nezrovnalostí a od</w:t>
      </w:r>
      <w:r w:rsidR="00AD4563" w:rsidRPr="00C66720">
        <w:rPr>
          <w:b w:val="0"/>
          <w:bCs w:val="0"/>
          <w:sz w:val="22"/>
          <w:szCs w:val="22"/>
        </w:rPr>
        <w:t>počítaných vrátení v účtoch za 7</w:t>
      </w:r>
      <w:r w:rsidR="003F058F" w:rsidRPr="00C66720">
        <w:rPr>
          <w:b w:val="0"/>
          <w:bCs w:val="0"/>
          <w:sz w:val="22"/>
          <w:szCs w:val="22"/>
        </w:rPr>
        <w:t xml:space="preserve">. účtovný rok programového obdobia 2014 2020 a zaúčtovanie záväzkov voči EK v schválenej výške </w:t>
      </w:r>
      <w:r w:rsidR="006F42F8" w:rsidRPr="00C66720">
        <w:rPr>
          <w:b w:val="0"/>
          <w:bCs w:val="0"/>
          <w:sz w:val="22"/>
          <w:szCs w:val="22"/>
        </w:rPr>
        <w:t>153 050</w:t>
      </w:r>
      <w:r w:rsidR="003F058F" w:rsidRPr="00C66720">
        <w:rPr>
          <w:b w:val="0"/>
          <w:bCs w:val="0"/>
          <w:sz w:val="22"/>
          <w:szCs w:val="22"/>
        </w:rPr>
        <w:t xml:space="preserve"> tis. eur.</w:t>
      </w:r>
    </w:p>
    <w:p w14:paraId="1518C3BD" w14:textId="77DCB733" w:rsidR="00E87B66" w:rsidRPr="00C66720" w:rsidRDefault="00D50A65" w:rsidP="00452AD3">
      <w:pPr>
        <w:pStyle w:val="Pismenka"/>
        <w:tabs>
          <w:tab w:val="clear" w:pos="426"/>
        </w:tabs>
        <w:spacing w:after="120"/>
        <w:ind w:left="0" w:firstLine="0"/>
        <w:rPr>
          <w:b w:val="0"/>
          <w:bCs w:val="0"/>
          <w:sz w:val="22"/>
          <w:szCs w:val="22"/>
        </w:rPr>
      </w:pPr>
      <w:r w:rsidRPr="00C66720">
        <w:rPr>
          <w:b w:val="0"/>
          <w:sz w:val="22"/>
          <w:szCs w:val="22"/>
        </w:rPr>
        <w:lastRenderedPageBreak/>
        <w:t xml:space="preserve">Celkovo boli </w:t>
      </w:r>
      <w:r w:rsidR="00F525C2" w:rsidRPr="00C66720">
        <w:rPr>
          <w:b w:val="0"/>
          <w:sz w:val="22"/>
          <w:szCs w:val="22"/>
        </w:rPr>
        <w:t xml:space="preserve">výnosy zo zúčtovania rezerv </w:t>
      </w:r>
      <w:r w:rsidRPr="00C66720">
        <w:rPr>
          <w:b w:val="0"/>
          <w:sz w:val="22"/>
          <w:szCs w:val="22"/>
        </w:rPr>
        <w:t xml:space="preserve">medziročne </w:t>
      </w:r>
      <w:r w:rsidR="00752DF6" w:rsidRPr="00C66720">
        <w:rPr>
          <w:b w:val="0"/>
          <w:sz w:val="22"/>
          <w:szCs w:val="22"/>
        </w:rPr>
        <w:t>vyššie</w:t>
      </w:r>
      <w:r w:rsidRPr="00C66720">
        <w:rPr>
          <w:b w:val="0"/>
          <w:sz w:val="22"/>
          <w:szCs w:val="22"/>
        </w:rPr>
        <w:t xml:space="preserve"> o</w:t>
      </w:r>
      <w:r w:rsidR="005D2FF6" w:rsidRPr="00C66720">
        <w:rPr>
          <w:b w:val="0"/>
          <w:sz w:val="22"/>
          <w:szCs w:val="22"/>
        </w:rPr>
        <w:t> 13 286 574</w:t>
      </w:r>
      <w:r w:rsidRPr="00C66720">
        <w:rPr>
          <w:b w:val="0"/>
          <w:sz w:val="22"/>
          <w:szCs w:val="22"/>
        </w:rPr>
        <w:t xml:space="preserve"> tis eur. </w:t>
      </w:r>
      <w:r w:rsidR="0049677A" w:rsidRPr="00C66720">
        <w:rPr>
          <w:b w:val="0"/>
          <w:sz w:val="22"/>
          <w:szCs w:val="22"/>
        </w:rPr>
        <w:t>Zvýšenie</w:t>
      </w:r>
      <w:r w:rsidRPr="00C66720">
        <w:rPr>
          <w:b w:val="0"/>
          <w:bCs w:val="0"/>
          <w:sz w:val="22"/>
          <w:szCs w:val="22"/>
        </w:rPr>
        <w:t xml:space="preserve"> výnosov bolo spôsobené </w:t>
      </w:r>
      <w:r w:rsidR="0049677A" w:rsidRPr="00C66720">
        <w:rPr>
          <w:b w:val="0"/>
          <w:bCs w:val="0"/>
          <w:sz w:val="22"/>
          <w:szCs w:val="22"/>
        </w:rPr>
        <w:t xml:space="preserve">vyššími </w:t>
      </w:r>
      <w:r w:rsidRPr="00C66720">
        <w:rPr>
          <w:b w:val="0"/>
          <w:bCs w:val="0"/>
          <w:sz w:val="22"/>
          <w:szCs w:val="22"/>
        </w:rPr>
        <w:t>výnosmi zo zúčtovania rezerv najmä na Ministerstve financií SR, kde boli ti</w:t>
      </w:r>
      <w:r w:rsidR="0062375F" w:rsidRPr="00C66720">
        <w:rPr>
          <w:b w:val="0"/>
          <w:bCs w:val="0"/>
          <w:sz w:val="22"/>
          <w:szCs w:val="22"/>
        </w:rPr>
        <w:t>eto výnosy oproti roku 2021</w:t>
      </w:r>
      <w:r w:rsidRPr="00C66720">
        <w:rPr>
          <w:b w:val="0"/>
          <w:bCs w:val="0"/>
          <w:sz w:val="22"/>
          <w:szCs w:val="22"/>
        </w:rPr>
        <w:t xml:space="preserve"> </w:t>
      </w:r>
      <w:r w:rsidR="0049677A" w:rsidRPr="00C66720">
        <w:rPr>
          <w:b w:val="0"/>
          <w:bCs w:val="0"/>
          <w:sz w:val="22"/>
          <w:szCs w:val="22"/>
        </w:rPr>
        <w:t>vyššie</w:t>
      </w:r>
      <w:r w:rsidRPr="00C66720">
        <w:rPr>
          <w:b w:val="0"/>
          <w:bCs w:val="0"/>
          <w:sz w:val="22"/>
          <w:szCs w:val="22"/>
        </w:rPr>
        <w:t xml:space="preserve"> až o</w:t>
      </w:r>
      <w:r w:rsidR="0062375F" w:rsidRPr="00C66720">
        <w:rPr>
          <w:b w:val="0"/>
          <w:bCs w:val="0"/>
          <w:sz w:val="22"/>
          <w:szCs w:val="22"/>
        </w:rPr>
        <w:t> 12 986 592</w:t>
      </w:r>
      <w:r w:rsidR="00411C52" w:rsidRPr="00C66720">
        <w:rPr>
          <w:b w:val="0"/>
          <w:bCs w:val="0"/>
          <w:sz w:val="22"/>
          <w:szCs w:val="22"/>
        </w:rPr>
        <w:t xml:space="preserve"> tis. eur najmä vplyvom zúčtovania rezervy na zamestnanecké požitky. Medziročný nárast zúčtovania rezervy na zamestnanecké požitky zamestnancov štátnych rozpočtových a štátnych príspevkových organizácií o 13 436 694 tis. eur bol </w:t>
      </w:r>
      <w:r w:rsidR="00E87B66" w:rsidRPr="00C66720">
        <w:rPr>
          <w:b w:val="0"/>
          <w:bCs w:val="0"/>
          <w:sz w:val="22"/>
          <w:szCs w:val="22"/>
        </w:rPr>
        <w:t>z dôvodu aktualizácie prepočtu na základe zmenených parametrov inflácie a úrokovej sadzby. Pri rastúcich úrokových sadzbách</w:t>
      </w:r>
      <w:r w:rsidR="00E43B90" w:rsidRPr="00C66720">
        <w:rPr>
          <w:b w:val="0"/>
          <w:bCs w:val="0"/>
          <w:sz w:val="22"/>
          <w:szCs w:val="22"/>
        </w:rPr>
        <w:t xml:space="preserve"> sa súčasná hodnota budúcich záväzkov znižuje, a tým sa v minulých rokoch vytvorená rezerva zúčtováva do výnosov.</w:t>
      </w:r>
      <w:r w:rsidR="00074DD4" w:rsidRPr="00C66720">
        <w:rPr>
          <w:b w:val="0"/>
          <w:bCs w:val="0"/>
          <w:sz w:val="22"/>
          <w:szCs w:val="22"/>
        </w:rPr>
        <w:t xml:space="preserve"> Výrazné zníženie rezervy do výnosov odpovedá skokovému nárastu úrokových sadzieb. Počet zamestnancov štátnej správy (rok 2022: 534 622 zamestnancov a rok 2021: 515</w:t>
      </w:r>
      <w:r w:rsidR="00F34410">
        <w:rPr>
          <w:b w:val="0"/>
          <w:bCs w:val="0"/>
          <w:sz w:val="22"/>
          <w:szCs w:val="22"/>
        </w:rPr>
        <w:t xml:space="preserve"> </w:t>
      </w:r>
      <w:r w:rsidR="00074DD4" w:rsidRPr="00C66720">
        <w:rPr>
          <w:b w:val="0"/>
          <w:bCs w:val="0"/>
          <w:sz w:val="22"/>
          <w:szCs w:val="22"/>
        </w:rPr>
        <w:t>997 zamestnancov) a zmena v príslušnej legislatíve mali na zmenu tejto rezervy zanedbateľný vplyv.</w:t>
      </w:r>
    </w:p>
    <w:p w14:paraId="1D67E996" w14:textId="5E6FEDE5" w:rsidR="00452AD3" w:rsidRPr="00C66720" w:rsidRDefault="00452AD3" w:rsidP="00452AD3">
      <w:pPr>
        <w:pStyle w:val="Pismenka"/>
        <w:tabs>
          <w:tab w:val="clear" w:pos="426"/>
        </w:tabs>
        <w:spacing w:after="120"/>
        <w:ind w:left="0" w:firstLine="0"/>
        <w:rPr>
          <w:b w:val="0"/>
          <w:bCs w:val="0"/>
          <w:sz w:val="22"/>
          <w:szCs w:val="22"/>
        </w:rPr>
      </w:pPr>
      <w:r w:rsidRPr="00C66720">
        <w:rPr>
          <w:b w:val="0"/>
          <w:bCs w:val="0"/>
          <w:sz w:val="22"/>
          <w:szCs w:val="22"/>
        </w:rPr>
        <w:t xml:space="preserve">Ministerstvo dopravy SR vykázalo výnosy zo zúčtovania rezerv v sume </w:t>
      </w:r>
      <w:r w:rsidR="00205DAB">
        <w:rPr>
          <w:b w:val="0"/>
          <w:bCs w:val="0"/>
          <w:sz w:val="22"/>
          <w:szCs w:val="22"/>
        </w:rPr>
        <w:t xml:space="preserve"> </w:t>
      </w:r>
      <w:r w:rsidRPr="00C66720">
        <w:rPr>
          <w:b w:val="0"/>
          <w:bCs w:val="0"/>
          <w:sz w:val="22"/>
          <w:szCs w:val="22"/>
        </w:rPr>
        <w:t>80 394 tis. eur (medziročne viac o</w:t>
      </w:r>
      <w:r w:rsidR="004E5A5C">
        <w:rPr>
          <w:b w:val="0"/>
          <w:bCs w:val="0"/>
          <w:sz w:val="22"/>
          <w:szCs w:val="22"/>
        </w:rPr>
        <w:t> 76 986</w:t>
      </w:r>
      <w:r w:rsidRPr="00C66720">
        <w:rPr>
          <w:b w:val="0"/>
          <w:bCs w:val="0"/>
          <w:sz w:val="22"/>
          <w:szCs w:val="22"/>
        </w:rPr>
        <w:t xml:space="preserve"> tis. eur) vplyvom zrušenia rezervy na súdne spory</w:t>
      </w:r>
      <w:r w:rsidR="00205DAB">
        <w:rPr>
          <w:b w:val="0"/>
          <w:bCs w:val="0"/>
          <w:sz w:val="22"/>
          <w:szCs w:val="22"/>
        </w:rPr>
        <w:t xml:space="preserve"> </w:t>
      </w:r>
      <w:r w:rsidRPr="00C66720">
        <w:rPr>
          <w:b w:val="0"/>
          <w:bCs w:val="0"/>
          <w:sz w:val="22"/>
          <w:szCs w:val="22"/>
        </w:rPr>
        <w:t xml:space="preserve">v sume 78 855 tis. eur a zrušenia rezerv z dôvodu presunu kompetencií v oblasti územného plánovania, stavebného poriadku a vyvlastňovania z Ministerstva dopravy SR na Úrad pre územné plánovanie a výstavbu SR (Stavebný úrad) v sume </w:t>
      </w:r>
      <w:r w:rsidR="004E5A5C">
        <w:rPr>
          <w:b w:val="0"/>
          <w:bCs w:val="0"/>
          <w:sz w:val="22"/>
          <w:szCs w:val="22"/>
        </w:rPr>
        <w:br/>
      </w:r>
      <w:r w:rsidRPr="00C66720">
        <w:rPr>
          <w:b w:val="0"/>
          <w:bCs w:val="0"/>
          <w:sz w:val="22"/>
          <w:szCs w:val="22"/>
        </w:rPr>
        <w:t>2 078 tis. eur.</w:t>
      </w:r>
    </w:p>
    <w:p w14:paraId="6EF2E975" w14:textId="60BCF033" w:rsidR="0044555F" w:rsidRDefault="00D50A65" w:rsidP="00894449">
      <w:pPr>
        <w:pStyle w:val="Pismenka"/>
        <w:tabs>
          <w:tab w:val="clear" w:pos="426"/>
        </w:tabs>
        <w:spacing w:after="120"/>
        <w:ind w:left="0" w:firstLine="0"/>
        <w:rPr>
          <w:b w:val="0"/>
          <w:bCs w:val="0"/>
          <w:sz w:val="22"/>
          <w:szCs w:val="22"/>
        </w:rPr>
      </w:pPr>
      <w:r w:rsidRPr="00C66720">
        <w:rPr>
          <w:b w:val="0"/>
          <w:bCs w:val="0"/>
          <w:sz w:val="22"/>
          <w:szCs w:val="22"/>
        </w:rPr>
        <w:t xml:space="preserve">Všeobecná zdravotná poisťovňa, a.s. vykázala zúčtovanie rezerv vo výške </w:t>
      </w:r>
      <w:r w:rsidR="00544803">
        <w:rPr>
          <w:b w:val="0"/>
          <w:bCs w:val="0"/>
          <w:sz w:val="22"/>
          <w:szCs w:val="22"/>
        </w:rPr>
        <w:t>225 954</w:t>
      </w:r>
      <w:r w:rsidR="001F6E8E" w:rsidRPr="00C66720">
        <w:rPr>
          <w:b w:val="0"/>
          <w:bCs w:val="0"/>
          <w:sz w:val="22"/>
          <w:szCs w:val="22"/>
        </w:rPr>
        <w:t xml:space="preserve"> tis. eur, </w:t>
      </w:r>
      <w:r w:rsidRPr="00C66720">
        <w:rPr>
          <w:b w:val="0"/>
          <w:bCs w:val="0"/>
          <w:sz w:val="22"/>
          <w:szCs w:val="22"/>
        </w:rPr>
        <w:t xml:space="preserve"> </w:t>
      </w:r>
      <w:r w:rsidR="001F6E8E" w:rsidRPr="00C66720">
        <w:rPr>
          <w:b w:val="0"/>
          <w:bCs w:val="0"/>
          <w:sz w:val="22"/>
          <w:szCs w:val="22"/>
        </w:rPr>
        <w:t xml:space="preserve">najmä </w:t>
      </w:r>
      <w:r w:rsidR="00293E48" w:rsidRPr="00C66720">
        <w:rPr>
          <w:b w:val="0"/>
          <w:bCs w:val="0"/>
          <w:sz w:val="22"/>
          <w:szCs w:val="22"/>
        </w:rPr>
        <w:t>v dôsledku</w:t>
      </w:r>
      <w:r w:rsidR="001F6E8E" w:rsidRPr="00C66720">
        <w:rPr>
          <w:b w:val="0"/>
          <w:bCs w:val="0"/>
          <w:sz w:val="22"/>
          <w:szCs w:val="22"/>
        </w:rPr>
        <w:t xml:space="preserve"> použitia technickýc</w:t>
      </w:r>
      <w:r w:rsidR="00054535" w:rsidRPr="00C66720">
        <w:rPr>
          <w:b w:val="0"/>
          <w:bCs w:val="0"/>
          <w:sz w:val="22"/>
          <w:szCs w:val="22"/>
        </w:rPr>
        <w:t>h rezerv vytvorených v roku 2021</w:t>
      </w:r>
      <w:r w:rsidR="001F6E8E" w:rsidRPr="00C66720">
        <w:rPr>
          <w:b w:val="0"/>
          <w:bCs w:val="0"/>
          <w:sz w:val="22"/>
          <w:szCs w:val="22"/>
        </w:rPr>
        <w:t xml:space="preserve"> na zdravotnú starostlivosť, plánovanú zdravotnú starostlivosť, centrálny nákup liekov a doplatky na lieky poistencom</w:t>
      </w:r>
      <w:r w:rsidR="007B7BBF" w:rsidRPr="00C66720">
        <w:rPr>
          <w:b w:val="0"/>
          <w:bCs w:val="0"/>
          <w:sz w:val="22"/>
          <w:szCs w:val="22"/>
        </w:rPr>
        <w:t>,</w:t>
      </w:r>
      <w:r w:rsidR="001F6E8E" w:rsidRPr="00C66720">
        <w:rPr>
          <w:b w:val="0"/>
          <w:bCs w:val="0"/>
          <w:sz w:val="22"/>
          <w:szCs w:val="22"/>
        </w:rPr>
        <w:t> liečbu poistencov v</w:t>
      </w:r>
      <w:r w:rsidR="007B7BBF" w:rsidRPr="00C66720">
        <w:rPr>
          <w:b w:val="0"/>
          <w:bCs w:val="0"/>
          <w:sz w:val="22"/>
          <w:szCs w:val="22"/>
        </w:rPr>
        <w:t> </w:t>
      </w:r>
      <w:r w:rsidR="001F6E8E" w:rsidRPr="00C66720">
        <w:rPr>
          <w:b w:val="0"/>
          <w:bCs w:val="0"/>
          <w:sz w:val="22"/>
          <w:szCs w:val="22"/>
        </w:rPr>
        <w:t>zahraničí</w:t>
      </w:r>
      <w:r w:rsidR="007B7BBF" w:rsidRPr="00C66720">
        <w:rPr>
          <w:b w:val="0"/>
          <w:bCs w:val="0"/>
          <w:sz w:val="22"/>
          <w:szCs w:val="22"/>
        </w:rPr>
        <w:t xml:space="preserve"> a </w:t>
      </w:r>
      <w:r w:rsidR="00293E48" w:rsidRPr="00C66720">
        <w:rPr>
          <w:b w:val="0"/>
          <w:bCs w:val="0"/>
          <w:sz w:val="22"/>
          <w:szCs w:val="22"/>
        </w:rPr>
        <w:t>použitia</w:t>
      </w:r>
      <w:r w:rsidR="007B7BBF" w:rsidRPr="00C66720">
        <w:rPr>
          <w:b w:val="0"/>
          <w:bCs w:val="0"/>
          <w:sz w:val="22"/>
          <w:szCs w:val="22"/>
        </w:rPr>
        <w:t xml:space="preserve"> rezervy na mzdy a súvisiace odvody za nevyčerpané dovolenky</w:t>
      </w:r>
      <w:r w:rsidR="001F6E8E" w:rsidRPr="00C66720">
        <w:rPr>
          <w:b w:val="0"/>
          <w:bCs w:val="0"/>
          <w:sz w:val="22"/>
          <w:szCs w:val="22"/>
        </w:rPr>
        <w:t xml:space="preserve">. </w:t>
      </w:r>
      <w:r w:rsidR="007B7BBF" w:rsidRPr="00C66720">
        <w:rPr>
          <w:b w:val="0"/>
          <w:bCs w:val="0"/>
          <w:sz w:val="22"/>
          <w:szCs w:val="22"/>
        </w:rPr>
        <w:t xml:space="preserve">Medziročný pokles výnosov zo zúčtovania </w:t>
      </w:r>
      <w:r w:rsidR="00544803">
        <w:rPr>
          <w:b w:val="0"/>
          <w:bCs w:val="0"/>
          <w:sz w:val="22"/>
          <w:szCs w:val="22"/>
        </w:rPr>
        <w:t>r</w:t>
      </w:r>
      <w:r w:rsidR="007B7BBF" w:rsidRPr="00C66720">
        <w:rPr>
          <w:b w:val="0"/>
          <w:bCs w:val="0"/>
          <w:sz w:val="22"/>
          <w:szCs w:val="22"/>
        </w:rPr>
        <w:t>ezerv o</w:t>
      </w:r>
      <w:r w:rsidR="00544803">
        <w:rPr>
          <w:b w:val="0"/>
          <w:bCs w:val="0"/>
          <w:sz w:val="22"/>
          <w:szCs w:val="22"/>
        </w:rPr>
        <w:t> 12 671</w:t>
      </w:r>
      <w:r w:rsidR="007B7BBF" w:rsidRPr="00C66720">
        <w:rPr>
          <w:b w:val="0"/>
          <w:bCs w:val="0"/>
          <w:sz w:val="22"/>
          <w:szCs w:val="22"/>
        </w:rPr>
        <w:t xml:space="preserve"> tis. eur bol spôsobený najmä nižším použitím technických rezerv pre poskytovateľov zdravotnej starostlivosti za výkony vrátane kúpeľnej liečby pre poistencov na území Slovenskej republiky a nižším použitím technických rezerv na schválenú liečbu v zahraničí.</w:t>
      </w:r>
    </w:p>
    <w:p w14:paraId="64D539BA" w14:textId="471EC121" w:rsidR="00A47E31" w:rsidRPr="00C66720" w:rsidRDefault="00D50A65" w:rsidP="00F85838">
      <w:pPr>
        <w:pStyle w:val="Pismenka"/>
        <w:tabs>
          <w:tab w:val="clear" w:pos="426"/>
        </w:tabs>
        <w:spacing w:after="240"/>
        <w:ind w:left="0" w:firstLine="0"/>
        <w:rPr>
          <w:b w:val="0"/>
          <w:bCs w:val="0"/>
          <w:i/>
          <w:szCs w:val="22"/>
          <w:u w:val="single"/>
        </w:rPr>
      </w:pPr>
      <w:r w:rsidRPr="00C66720">
        <w:rPr>
          <w:b w:val="0"/>
          <w:bCs w:val="0"/>
          <w:sz w:val="22"/>
          <w:szCs w:val="22"/>
        </w:rPr>
        <w:t xml:space="preserve">Územná samospráva vykázala zúčtovanie rezerv vo výške </w:t>
      </w:r>
      <w:r w:rsidR="00797A00" w:rsidRPr="00C66720">
        <w:rPr>
          <w:b w:val="0"/>
          <w:bCs w:val="0"/>
          <w:sz w:val="22"/>
          <w:szCs w:val="22"/>
        </w:rPr>
        <w:t>226 934</w:t>
      </w:r>
      <w:r w:rsidRPr="00C66720">
        <w:rPr>
          <w:b w:val="0"/>
          <w:bCs w:val="0"/>
          <w:sz w:val="22"/>
          <w:szCs w:val="22"/>
        </w:rPr>
        <w:t xml:space="preserve"> </w:t>
      </w:r>
      <w:r w:rsidR="008E09BE" w:rsidRPr="00C66720">
        <w:rPr>
          <w:b w:val="0"/>
          <w:bCs w:val="0"/>
          <w:sz w:val="22"/>
          <w:szCs w:val="22"/>
        </w:rPr>
        <w:t>tis. eur</w:t>
      </w:r>
      <w:r w:rsidR="00F525C2" w:rsidRPr="00C66720">
        <w:rPr>
          <w:b w:val="0"/>
          <w:bCs w:val="0"/>
          <w:sz w:val="22"/>
          <w:szCs w:val="22"/>
        </w:rPr>
        <w:t>.</w:t>
      </w:r>
      <w:r w:rsidR="00F85838" w:rsidRPr="00C66720">
        <w:rPr>
          <w:b w:val="0"/>
          <w:bCs w:val="0"/>
          <w:sz w:val="22"/>
          <w:szCs w:val="22"/>
        </w:rPr>
        <w:t xml:space="preserve"> </w:t>
      </w:r>
    </w:p>
    <w:p w14:paraId="2B3CB551" w14:textId="7D28B45F" w:rsidR="00AB0D3C" w:rsidRPr="00C66720" w:rsidRDefault="00AB0D3C" w:rsidP="00D043B6">
      <w:pPr>
        <w:pStyle w:val="Pismenka"/>
        <w:numPr>
          <w:ilvl w:val="0"/>
          <w:numId w:val="44"/>
        </w:numPr>
        <w:spacing w:before="120" w:after="120"/>
        <w:ind w:left="284" w:hanging="284"/>
        <w:rPr>
          <w:i/>
          <w:sz w:val="22"/>
          <w:szCs w:val="22"/>
          <w:u w:val="single"/>
        </w:rPr>
      </w:pPr>
      <w:bookmarkStart w:id="66" w:name="_Ref86186462"/>
      <w:r w:rsidRPr="00C66720">
        <w:rPr>
          <w:i/>
          <w:sz w:val="22"/>
          <w:szCs w:val="22"/>
          <w:u w:val="single"/>
        </w:rPr>
        <w:t>Opravné položky</w:t>
      </w:r>
      <w:bookmarkEnd w:id="66"/>
    </w:p>
    <w:p w14:paraId="794CD0B2" w14:textId="34EC7403" w:rsidR="00A90112" w:rsidRPr="00C66720" w:rsidRDefault="00F525C2" w:rsidP="00A47E31">
      <w:pPr>
        <w:pStyle w:val="Pismenka"/>
        <w:tabs>
          <w:tab w:val="clear" w:pos="426"/>
        </w:tabs>
        <w:spacing w:after="120"/>
        <w:ind w:left="0" w:firstLine="0"/>
        <w:rPr>
          <w:b w:val="0"/>
          <w:bCs w:val="0"/>
          <w:sz w:val="22"/>
          <w:szCs w:val="22"/>
        </w:rPr>
      </w:pPr>
      <w:r w:rsidRPr="00C66720">
        <w:rPr>
          <w:b w:val="0"/>
          <w:bCs w:val="0"/>
          <w:sz w:val="22"/>
          <w:szCs w:val="22"/>
        </w:rPr>
        <w:t xml:space="preserve">Výnosy zo zúčtovania opravných položiek dosiahli </w:t>
      </w:r>
      <w:r w:rsidR="00385B62" w:rsidRPr="00C66720">
        <w:rPr>
          <w:b w:val="0"/>
          <w:bCs w:val="0"/>
          <w:sz w:val="22"/>
          <w:szCs w:val="22"/>
        </w:rPr>
        <w:t>889 685</w:t>
      </w:r>
      <w:r w:rsidRPr="00C66720">
        <w:rPr>
          <w:b w:val="0"/>
          <w:bCs w:val="0"/>
          <w:sz w:val="22"/>
          <w:szCs w:val="22"/>
        </w:rPr>
        <w:t xml:space="preserve"> tis. eur</w:t>
      </w:r>
      <w:r w:rsidR="00A90112" w:rsidRPr="00C66720">
        <w:rPr>
          <w:b w:val="0"/>
          <w:bCs w:val="0"/>
          <w:sz w:val="22"/>
          <w:szCs w:val="22"/>
        </w:rPr>
        <w:t xml:space="preserve"> a medziročne boli </w:t>
      </w:r>
      <w:r w:rsidR="00385B62" w:rsidRPr="00C66720">
        <w:rPr>
          <w:b w:val="0"/>
          <w:bCs w:val="0"/>
          <w:sz w:val="22"/>
          <w:szCs w:val="22"/>
        </w:rPr>
        <w:t>vyššie</w:t>
      </w:r>
      <w:r w:rsidR="005F6053" w:rsidRPr="00C66720">
        <w:rPr>
          <w:b w:val="0"/>
          <w:bCs w:val="0"/>
          <w:sz w:val="22"/>
          <w:szCs w:val="22"/>
        </w:rPr>
        <w:br/>
      </w:r>
      <w:r w:rsidR="00A90112" w:rsidRPr="00C66720">
        <w:rPr>
          <w:b w:val="0"/>
          <w:bCs w:val="0"/>
          <w:sz w:val="22"/>
          <w:szCs w:val="22"/>
        </w:rPr>
        <w:t>o</w:t>
      </w:r>
      <w:r w:rsidR="005F6053" w:rsidRPr="00C66720">
        <w:rPr>
          <w:b w:val="0"/>
          <w:bCs w:val="0"/>
          <w:sz w:val="22"/>
          <w:szCs w:val="22"/>
        </w:rPr>
        <w:t> </w:t>
      </w:r>
      <w:r w:rsidR="00973C55" w:rsidRPr="00C66720">
        <w:rPr>
          <w:b w:val="0"/>
          <w:bCs w:val="0"/>
          <w:sz w:val="22"/>
          <w:szCs w:val="22"/>
        </w:rPr>
        <w:t>62 004</w:t>
      </w:r>
      <w:r w:rsidR="00A90112" w:rsidRPr="00C66720">
        <w:rPr>
          <w:b w:val="0"/>
          <w:bCs w:val="0"/>
          <w:sz w:val="22"/>
          <w:szCs w:val="22"/>
        </w:rPr>
        <w:t xml:space="preserve"> tis. eur</w:t>
      </w:r>
      <w:r w:rsidRPr="00C66720">
        <w:rPr>
          <w:b w:val="0"/>
          <w:bCs w:val="0"/>
          <w:sz w:val="22"/>
          <w:szCs w:val="22"/>
        </w:rPr>
        <w:t xml:space="preserve">. </w:t>
      </w:r>
      <w:r w:rsidR="008A1CCF" w:rsidRPr="00C66720">
        <w:rPr>
          <w:b w:val="0"/>
          <w:bCs w:val="0"/>
          <w:sz w:val="22"/>
          <w:szCs w:val="22"/>
        </w:rPr>
        <w:t xml:space="preserve">Obdobne ako v prípade výnosov zo zúčtovania rezerv, aj výnosy zo zúčtovania opravných položiek pri ich zrušení alebo </w:t>
      </w:r>
      <w:r w:rsidR="0044555F">
        <w:rPr>
          <w:b w:val="0"/>
          <w:bCs w:val="0"/>
          <w:sz w:val="22"/>
          <w:szCs w:val="22"/>
        </w:rPr>
        <w:t>znížení</w:t>
      </w:r>
      <w:r w:rsidR="008A1CCF" w:rsidRPr="00C66720">
        <w:rPr>
          <w:b w:val="0"/>
          <w:bCs w:val="0"/>
          <w:sz w:val="22"/>
          <w:szCs w:val="22"/>
        </w:rPr>
        <w:t xml:space="preserve">, sú najvýznamnejšie v ústrednej správe </w:t>
      </w:r>
      <w:r w:rsidR="00A90112" w:rsidRPr="00C66720">
        <w:rPr>
          <w:b w:val="0"/>
          <w:bCs w:val="0"/>
          <w:sz w:val="22"/>
          <w:szCs w:val="22"/>
        </w:rPr>
        <w:t xml:space="preserve">v hodnote </w:t>
      </w:r>
      <w:r w:rsidR="00AD14C1">
        <w:rPr>
          <w:b w:val="0"/>
          <w:bCs w:val="0"/>
          <w:sz w:val="22"/>
          <w:szCs w:val="22"/>
        </w:rPr>
        <w:br/>
      </w:r>
      <w:r w:rsidR="00973C55" w:rsidRPr="00C66720">
        <w:rPr>
          <w:b w:val="0"/>
          <w:bCs w:val="0"/>
          <w:sz w:val="22"/>
          <w:szCs w:val="22"/>
        </w:rPr>
        <w:t>778 126 tis. eur (87,5</w:t>
      </w:r>
      <w:r w:rsidR="00A90112" w:rsidRPr="00C66720">
        <w:rPr>
          <w:b w:val="0"/>
          <w:bCs w:val="0"/>
          <w:sz w:val="22"/>
          <w:szCs w:val="22"/>
        </w:rPr>
        <w:t xml:space="preserve"> %). </w:t>
      </w:r>
    </w:p>
    <w:p w14:paraId="3DA46BCB" w14:textId="6E2B6DB4" w:rsidR="002C5030" w:rsidRPr="00C66720" w:rsidRDefault="009B2D3C" w:rsidP="009F2A72">
      <w:pPr>
        <w:pStyle w:val="Pismenka"/>
        <w:tabs>
          <w:tab w:val="clear" w:pos="426"/>
        </w:tabs>
        <w:spacing w:after="120"/>
        <w:ind w:left="0" w:firstLine="0"/>
        <w:rPr>
          <w:b w:val="0"/>
          <w:bCs w:val="0"/>
          <w:sz w:val="22"/>
          <w:szCs w:val="22"/>
        </w:rPr>
      </w:pPr>
      <w:r w:rsidRPr="00C66720">
        <w:rPr>
          <w:b w:val="0"/>
          <w:bCs w:val="0"/>
          <w:sz w:val="22"/>
          <w:szCs w:val="22"/>
        </w:rPr>
        <w:t>Ministerstvo financií SR</w:t>
      </w:r>
      <w:r w:rsidR="00B05CD5" w:rsidRPr="00C66720">
        <w:rPr>
          <w:b w:val="0"/>
          <w:bCs w:val="0"/>
          <w:sz w:val="22"/>
          <w:szCs w:val="22"/>
        </w:rPr>
        <w:t xml:space="preserve"> v roku </w:t>
      </w:r>
      <w:r w:rsidR="00096530" w:rsidRPr="00C66720">
        <w:rPr>
          <w:b w:val="0"/>
          <w:bCs w:val="0"/>
          <w:sz w:val="22"/>
          <w:szCs w:val="22"/>
        </w:rPr>
        <w:t>2022</w:t>
      </w:r>
      <w:r w:rsidR="00B05CD5" w:rsidRPr="00C66720">
        <w:rPr>
          <w:b w:val="0"/>
          <w:bCs w:val="0"/>
          <w:sz w:val="22"/>
          <w:szCs w:val="22"/>
        </w:rPr>
        <w:t xml:space="preserve"> vykázalo zúčtovanie opravných položiek v sume 396 331 tis. eur </w:t>
      </w:r>
      <w:r w:rsidR="00096530" w:rsidRPr="00C66720">
        <w:rPr>
          <w:b w:val="0"/>
          <w:bCs w:val="0"/>
          <w:sz w:val="22"/>
          <w:szCs w:val="22"/>
        </w:rPr>
        <w:t>a v roku 2021 v sume 372 161 tis. eur.</w:t>
      </w:r>
      <w:r w:rsidR="009F2A72" w:rsidRPr="00C66720">
        <w:rPr>
          <w:b w:val="0"/>
          <w:bCs w:val="0"/>
          <w:sz w:val="22"/>
          <w:szCs w:val="22"/>
        </w:rPr>
        <w:t xml:space="preserve"> </w:t>
      </w:r>
      <w:r w:rsidR="00FE023D" w:rsidRPr="00C66720">
        <w:rPr>
          <w:b w:val="0"/>
          <w:bCs w:val="0"/>
          <w:sz w:val="22"/>
          <w:szCs w:val="22"/>
        </w:rPr>
        <w:t>Daňo</w:t>
      </w:r>
      <w:r w:rsidR="005932A9" w:rsidRPr="00C66720">
        <w:rPr>
          <w:b w:val="0"/>
          <w:bCs w:val="0"/>
          <w:sz w:val="22"/>
          <w:szCs w:val="22"/>
        </w:rPr>
        <w:t>vá a colná správa k 31. 12. 2022</w:t>
      </w:r>
      <w:r w:rsidR="00FE023D" w:rsidRPr="00C66720">
        <w:rPr>
          <w:b w:val="0"/>
          <w:bCs w:val="0"/>
          <w:sz w:val="22"/>
          <w:szCs w:val="22"/>
        </w:rPr>
        <w:t xml:space="preserve"> zrušila opravné položky vo výške </w:t>
      </w:r>
      <w:r w:rsidR="005932A9" w:rsidRPr="00C66720">
        <w:rPr>
          <w:b w:val="0"/>
          <w:bCs w:val="0"/>
          <w:sz w:val="22"/>
          <w:szCs w:val="22"/>
        </w:rPr>
        <w:t>393 880</w:t>
      </w:r>
      <w:r w:rsidR="00FE023D" w:rsidRPr="00C66720">
        <w:rPr>
          <w:b w:val="0"/>
          <w:bCs w:val="0"/>
          <w:sz w:val="22"/>
          <w:szCs w:val="22"/>
        </w:rPr>
        <w:t xml:space="preserve"> tis. eur najmä z dôvodu odpísania pohľadávok </w:t>
      </w:r>
      <w:r w:rsidR="002C5030" w:rsidRPr="00C66720">
        <w:rPr>
          <w:b w:val="0"/>
          <w:bCs w:val="0"/>
          <w:sz w:val="22"/>
          <w:szCs w:val="22"/>
        </w:rPr>
        <w:t xml:space="preserve">so zánikom v zmysle zákona </w:t>
      </w:r>
      <w:r w:rsidR="00072C23">
        <w:rPr>
          <w:b w:val="0"/>
          <w:bCs w:val="0"/>
          <w:sz w:val="22"/>
          <w:szCs w:val="22"/>
        </w:rPr>
        <w:br/>
      </w:r>
      <w:r w:rsidR="002C5030" w:rsidRPr="00C66720">
        <w:rPr>
          <w:b w:val="0"/>
          <w:bCs w:val="0"/>
          <w:sz w:val="22"/>
          <w:szCs w:val="22"/>
        </w:rPr>
        <w:t xml:space="preserve">č. 563/2009 Z. z. o správe daní v znení neskorších predpisov a zákona č. 278/1993 Z. z. o správe majetku štátu v znení neskorších predpisov, ako aj z dôvodu prehodnotenia opodstatnenosti vytvorenej opravnej položky v predchádzajúcich rokoch a z dôvodu úhrady pohľadávok. </w:t>
      </w:r>
      <w:r w:rsidR="006426FE" w:rsidRPr="00C66720">
        <w:rPr>
          <w:b w:val="0"/>
          <w:bCs w:val="0"/>
          <w:sz w:val="22"/>
          <w:szCs w:val="22"/>
        </w:rPr>
        <w:t>Ďalej nasledujú výnosy zo zúčtovania opravných položiek na Ministerstve vnútra SR (58 125 tis. eur)</w:t>
      </w:r>
      <w:r w:rsidR="00D96011" w:rsidRPr="00C66720">
        <w:rPr>
          <w:b w:val="0"/>
          <w:bCs w:val="0"/>
          <w:sz w:val="22"/>
          <w:szCs w:val="22"/>
        </w:rPr>
        <w:t xml:space="preserve"> najmä v súvislosti s úhradami pohľadávok po lehote splatnosti a trvalým upustením od vymáhania pohľadávok štátu z dôvodu ich nevymožiteľnosti</w:t>
      </w:r>
      <w:r w:rsidR="00E32297" w:rsidRPr="00C66720">
        <w:rPr>
          <w:b w:val="0"/>
          <w:bCs w:val="0"/>
          <w:sz w:val="22"/>
          <w:szCs w:val="22"/>
        </w:rPr>
        <w:t xml:space="preserve"> a</w:t>
      </w:r>
      <w:r w:rsidR="00D96011" w:rsidRPr="00C66720">
        <w:rPr>
          <w:b w:val="0"/>
          <w:bCs w:val="0"/>
          <w:sz w:val="22"/>
          <w:szCs w:val="22"/>
        </w:rPr>
        <w:t xml:space="preserve"> na</w:t>
      </w:r>
      <w:r w:rsidR="00E32297" w:rsidRPr="00C66720">
        <w:rPr>
          <w:b w:val="0"/>
          <w:bCs w:val="0"/>
          <w:sz w:val="22"/>
          <w:szCs w:val="22"/>
        </w:rPr>
        <w:t xml:space="preserve"> Ministerstve obrany SR (42 954 </w:t>
      </w:r>
      <w:r w:rsidR="00E715F7" w:rsidRPr="00C66720">
        <w:rPr>
          <w:b w:val="0"/>
          <w:bCs w:val="0"/>
          <w:sz w:val="22"/>
          <w:szCs w:val="22"/>
        </w:rPr>
        <w:t>tis. eur)</w:t>
      </w:r>
      <w:r w:rsidR="00D96011" w:rsidRPr="00C66720">
        <w:rPr>
          <w:b w:val="0"/>
          <w:bCs w:val="0"/>
          <w:sz w:val="22"/>
          <w:szCs w:val="22"/>
        </w:rPr>
        <w:t xml:space="preserve"> z dôvodu zníženia opravných položiek k zásobám a</w:t>
      </w:r>
      <w:r w:rsidR="00996563" w:rsidRPr="00C66720">
        <w:rPr>
          <w:b w:val="0"/>
          <w:bCs w:val="0"/>
          <w:sz w:val="22"/>
          <w:szCs w:val="22"/>
        </w:rPr>
        <w:t> </w:t>
      </w:r>
      <w:r w:rsidR="00D96011" w:rsidRPr="00C66720">
        <w:rPr>
          <w:b w:val="0"/>
          <w:bCs w:val="0"/>
          <w:sz w:val="22"/>
          <w:szCs w:val="22"/>
        </w:rPr>
        <w:t>dlhodobé</w:t>
      </w:r>
      <w:r w:rsidR="00996563" w:rsidRPr="00C66720">
        <w:rPr>
          <w:b w:val="0"/>
          <w:bCs w:val="0"/>
          <w:sz w:val="22"/>
          <w:szCs w:val="22"/>
        </w:rPr>
        <w:t>mu majetku.</w:t>
      </w:r>
    </w:p>
    <w:p w14:paraId="4E823C83" w14:textId="32EF7DDD" w:rsidR="007D0174" w:rsidRPr="00C66720" w:rsidRDefault="007D0174" w:rsidP="009F2A72">
      <w:pPr>
        <w:pStyle w:val="Pismenka"/>
        <w:tabs>
          <w:tab w:val="clear" w:pos="426"/>
        </w:tabs>
        <w:spacing w:after="120"/>
        <w:ind w:left="0" w:firstLine="0"/>
        <w:rPr>
          <w:b w:val="0"/>
          <w:bCs w:val="0"/>
          <w:color w:val="FF0000"/>
          <w:sz w:val="22"/>
          <w:szCs w:val="22"/>
          <w:highlight w:val="yellow"/>
        </w:rPr>
      </w:pPr>
      <w:r w:rsidRPr="00C66720">
        <w:rPr>
          <w:b w:val="0"/>
          <w:bCs w:val="0"/>
          <w:sz w:val="22"/>
          <w:szCs w:val="22"/>
        </w:rPr>
        <w:t>Výnosy zo zúčtovania opravných položiek z finančnej činnosti dosiahli výšku 149 581 tis. eur, čo je oproti roku 2021 viac o 38 052 tis. eur.</w:t>
      </w:r>
      <w:r w:rsidR="002F4607" w:rsidRPr="00C66720">
        <w:rPr>
          <w:b w:val="0"/>
          <w:bCs w:val="0"/>
          <w:sz w:val="22"/>
          <w:szCs w:val="22"/>
        </w:rPr>
        <w:t xml:space="preserve"> Významné sú výnosy MH Manažmentu, a.s. v sume 89 954 tis. eur, ktoré boli medziročne vyššie o 77 488 tis. eur. </w:t>
      </w:r>
      <w:r w:rsidR="00F1558B" w:rsidRPr="00C66720">
        <w:rPr>
          <w:b w:val="0"/>
          <w:bCs w:val="0"/>
          <w:sz w:val="22"/>
          <w:szCs w:val="22"/>
        </w:rPr>
        <w:t xml:space="preserve">Ide najmä o zúčtovanie opravných položiek </w:t>
      </w:r>
      <w:r w:rsidR="004F2B3C" w:rsidRPr="00C66720">
        <w:rPr>
          <w:b w:val="0"/>
          <w:bCs w:val="0"/>
          <w:sz w:val="22"/>
          <w:szCs w:val="22"/>
        </w:rPr>
        <w:t>k podielovým cenným papierom a podielom v dcérskych účtovných jednotkách (25 170 tis. eur) a k podielovým cenným papierom a podielom v spoločnostiach s podstatným vplyvom (64 784 tis. eur) najmä v súvislosti so zvýšenými kladnými oceňovacími rozdielmi z titulu významne zlepšených hospodárskych výsledkov a vlastného imania týchto spoločností (napr. MH Teplárenský Holding, a.s. 53 132 tis. eur) resp. z dôvodu rozpustenia oceňovacích rozdielov kvôli ex offo výmazu spoločností z Obchodného registra (napr. DMD Holding, 64 727 tis. eur).</w:t>
      </w:r>
      <w:r w:rsidR="00F47B1F" w:rsidRPr="00C66720">
        <w:rPr>
          <w:b w:val="0"/>
          <w:bCs w:val="0"/>
          <w:sz w:val="22"/>
          <w:szCs w:val="22"/>
        </w:rPr>
        <w:t xml:space="preserve"> Ministerstvo hospodárstva SR vykazuje medziročne nižšie výnosy zo zúčtovania opravných položiek z finančnej činnosti o 53 744 tis. eur z dôvodu, že v priebehu roka</w:t>
      </w:r>
      <w:r w:rsidR="00F047E8" w:rsidRPr="00C66720">
        <w:rPr>
          <w:b w:val="0"/>
          <w:bCs w:val="0"/>
          <w:sz w:val="22"/>
          <w:szCs w:val="22"/>
        </w:rPr>
        <w:t xml:space="preserve"> 2022 došlo k zrušeniu a následnému výmazu z Obchodného registra menšieho počtu štátnych podnikov v likvidácii v porovnaní s rokom 2021.</w:t>
      </w:r>
    </w:p>
    <w:p w14:paraId="14953592" w14:textId="7F86D51E" w:rsidR="004F34BB" w:rsidRDefault="002943E8" w:rsidP="004F34BB">
      <w:pPr>
        <w:numPr>
          <w:ilvl w:val="0"/>
          <w:numId w:val="25"/>
        </w:numPr>
        <w:spacing w:before="240" w:line="240" w:lineRule="auto"/>
        <w:ind w:left="425" w:hanging="425"/>
        <w:jc w:val="both"/>
        <w:rPr>
          <w:rFonts w:ascii="Times New Roman" w:hAnsi="Times New Roman"/>
          <w:b/>
          <w:bCs/>
          <w:sz w:val="24"/>
          <w:szCs w:val="24"/>
        </w:rPr>
      </w:pPr>
      <w:bookmarkStart w:id="67" w:name="_Ref86186979"/>
      <w:r w:rsidRPr="00C66720">
        <w:rPr>
          <w:rFonts w:ascii="Times New Roman" w:hAnsi="Times New Roman"/>
          <w:b/>
          <w:bCs/>
          <w:sz w:val="24"/>
          <w:szCs w:val="24"/>
        </w:rPr>
        <w:lastRenderedPageBreak/>
        <w:t>Ostatné výnosy z prevádzkovej činnosti</w:t>
      </w:r>
      <w:bookmarkEnd w:id="67"/>
    </w:p>
    <w:p w14:paraId="060CCF86" w14:textId="77777777" w:rsidR="004F34BB" w:rsidRPr="004F34BB" w:rsidRDefault="004F34BB" w:rsidP="004F34BB">
      <w:pPr>
        <w:pStyle w:val="Odsekzoznamu"/>
        <w:numPr>
          <w:ilvl w:val="0"/>
          <w:numId w:val="25"/>
        </w:numPr>
        <w:spacing w:before="200" w:after="0" w:line="240" w:lineRule="auto"/>
        <w:jc w:val="both"/>
        <w:rPr>
          <w:rFonts w:ascii="Times New Roman" w:hAnsi="Times New Roman"/>
          <w:b/>
          <w:bCs/>
          <w:sz w:val="18"/>
          <w:szCs w:val="18"/>
        </w:rPr>
      </w:pPr>
      <w:r w:rsidRPr="004F34BB">
        <w:rPr>
          <w:rFonts w:ascii="Times New Roman" w:hAnsi="Times New Roman"/>
          <w:b/>
          <w:bCs/>
          <w:sz w:val="18"/>
          <w:szCs w:val="18"/>
        </w:rPr>
        <w:t>Tabuľka 22</w:t>
      </w:r>
    </w:p>
    <w:tbl>
      <w:tblPr>
        <w:tblW w:w="5000" w:type="pct"/>
        <w:jc w:val="center"/>
        <w:tblLayout w:type="fixed"/>
        <w:tblCellMar>
          <w:left w:w="70" w:type="dxa"/>
          <w:right w:w="70" w:type="dxa"/>
        </w:tblCellMar>
        <w:tblLook w:val="00A0" w:firstRow="1" w:lastRow="0" w:firstColumn="1" w:lastColumn="0" w:noHBand="0" w:noVBand="0"/>
      </w:tblPr>
      <w:tblGrid>
        <w:gridCol w:w="5176"/>
        <w:gridCol w:w="1201"/>
        <w:gridCol w:w="1419"/>
        <w:gridCol w:w="1275"/>
      </w:tblGrid>
      <w:tr w:rsidR="004F34BB" w:rsidRPr="005773D1" w14:paraId="7A5BF5E3" w14:textId="77777777" w:rsidTr="00241F33">
        <w:trPr>
          <w:trHeight w:val="284"/>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3482008D" w14:textId="77777777" w:rsidR="004F34BB" w:rsidRPr="005773D1" w:rsidRDefault="004F34BB" w:rsidP="00241F33">
            <w:pPr>
              <w:spacing w:after="0" w:line="240" w:lineRule="auto"/>
              <w:rPr>
                <w:rFonts w:ascii="Times New Roman" w:hAnsi="Times New Roman"/>
                <w:b/>
                <w:bCs/>
                <w:sz w:val="18"/>
                <w:szCs w:val="18"/>
                <w:lang w:eastAsia="sk-SK"/>
              </w:rPr>
            </w:pPr>
            <w:r w:rsidRPr="005773D1">
              <w:rPr>
                <w:rFonts w:ascii="Times New Roman" w:hAnsi="Times New Roman"/>
                <w:b/>
                <w:bCs/>
                <w:sz w:val="18"/>
                <w:szCs w:val="18"/>
                <w:lang w:eastAsia="sk-SK"/>
              </w:rPr>
              <w:t>Ostatné výnosy z prevádzkovej činnosti</w:t>
            </w:r>
            <w:r>
              <w:rPr>
                <w:rFonts w:ascii="Times New Roman" w:hAnsi="Times New Roman"/>
                <w:b/>
                <w:bCs/>
                <w:sz w:val="18"/>
                <w:szCs w:val="18"/>
                <w:lang w:eastAsia="sk-SK"/>
              </w:rPr>
              <w:t xml:space="preserve"> podľa druhu</w:t>
            </w:r>
            <w:r w:rsidRPr="005773D1">
              <w:rPr>
                <w:rFonts w:ascii="Times New Roman" w:hAnsi="Times New Roman"/>
                <w:b/>
                <w:bCs/>
                <w:sz w:val="18"/>
                <w:szCs w:val="18"/>
                <w:lang w:eastAsia="sk-SK"/>
              </w:rPr>
              <w:t xml:space="preserve">                                                                                        (v tis. eur) </w:t>
            </w:r>
          </w:p>
        </w:tc>
      </w:tr>
      <w:tr w:rsidR="004F34BB" w:rsidRPr="00975215" w14:paraId="657F6A79" w14:textId="77777777" w:rsidTr="00241F33">
        <w:trPr>
          <w:trHeight w:val="284"/>
          <w:jc w:val="center"/>
        </w:trPr>
        <w:tc>
          <w:tcPr>
            <w:tcW w:w="2853" w:type="pct"/>
            <w:tcBorders>
              <w:top w:val="nil"/>
              <w:left w:val="nil"/>
              <w:bottom w:val="single" w:sz="4" w:space="0" w:color="auto"/>
              <w:right w:val="nil"/>
            </w:tcBorders>
            <w:shd w:val="clear" w:color="auto" w:fill="BDD7EE"/>
            <w:noWrap/>
            <w:vAlign w:val="center"/>
          </w:tcPr>
          <w:p w14:paraId="34F50F69" w14:textId="77777777" w:rsidR="004F34BB" w:rsidRPr="00975215" w:rsidRDefault="004F34BB" w:rsidP="004F34BB">
            <w:pPr>
              <w:spacing w:after="0" w:line="240" w:lineRule="auto"/>
              <w:rPr>
                <w:rFonts w:ascii="Times New Roman" w:hAnsi="Times New Roman"/>
                <w:b/>
                <w:bCs/>
                <w:sz w:val="18"/>
                <w:szCs w:val="18"/>
                <w:lang w:eastAsia="sk-SK"/>
              </w:rPr>
            </w:pPr>
          </w:p>
        </w:tc>
        <w:tc>
          <w:tcPr>
            <w:tcW w:w="662" w:type="pct"/>
            <w:tcBorders>
              <w:top w:val="nil"/>
              <w:left w:val="nil"/>
              <w:bottom w:val="single" w:sz="4" w:space="0" w:color="auto"/>
              <w:right w:val="nil"/>
            </w:tcBorders>
            <w:shd w:val="clear" w:color="auto" w:fill="BDD7EE"/>
            <w:noWrap/>
            <w:vAlign w:val="center"/>
          </w:tcPr>
          <w:p w14:paraId="385CF20E" w14:textId="676B31ED" w:rsidR="004F34BB" w:rsidRPr="00975215" w:rsidRDefault="004F34BB" w:rsidP="004F34B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82" w:type="pct"/>
            <w:tcBorders>
              <w:top w:val="nil"/>
              <w:left w:val="nil"/>
              <w:bottom w:val="single" w:sz="4" w:space="0" w:color="auto"/>
              <w:right w:val="nil"/>
            </w:tcBorders>
            <w:shd w:val="clear" w:color="auto" w:fill="BDD7EE"/>
            <w:noWrap/>
            <w:vAlign w:val="center"/>
          </w:tcPr>
          <w:p w14:paraId="60BEE4CA" w14:textId="16673C06" w:rsidR="004F34BB" w:rsidRPr="00975215" w:rsidRDefault="004F34BB" w:rsidP="004F34B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3" w:type="pct"/>
            <w:tcBorders>
              <w:top w:val="nil"/>
              <w:left w:val="nil"/>
              <w:bottom w:val="single" w:sz="4" w:space="0" w:color="auto"/>
              <w:right w:val="nil"/>
            </w:tcBorders>
            <w:shd w:val="clear" w:color="auto" w:fill="BDD7EE"/>
            <w:vAlign w:val="center"/>
          </w:tcPr>
          <w:p w14:paraId="165C1431" w14:textId="11766D60" w:rsidR="004F34BB" w:rsidRPr="00975215" w:rsidRDefault="004F34BB" w:rsidP="004F34B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4F34BB" w:rsidRPr="00975215" w14:paraId="64B63CA4" w14:textId="77777777" w:rsidTr="00241F33">
        <w:trPr>
          <w:trHeight w:val="284"/>
          <w:jc w:val="center"/>
        </w:trPr>
        <w:tc>
          <w:tcPr>
            <w:tcW w:w="2853" w:type="pct"/>
            <w:tcBorders>
              <w:top w:val="nil"/>
              <w:left w:val="nil"/>
              <w:bottom w:val="nil"/>
              <w:right w:val="nil"/>
            </w:tcBorders>
            <w:shd w:val="clear" w:color="000000" w:fill="FFFFFF"/>
            <w:vAlign w:val="center"/>
          </w:tcPr>
          <w:p w14:paraId="64249985" w14:textId="074EC263" w:rsidR="004F34BB" w:rsidRPr="00975215" w:rsidRDefault="004F34BB" w:rsidP="004F34BB">
            <w:pPr>
              <w:spacing w:before="120"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Špecifické výnosy Ministerstva financií SR</w:t>
            </w:r>
          </w:p>
        </w:tc>
        <w:tc>
          <w:tcPr>
            <w:tcW w:w="662" w:type="pct"/>
            <w:tcBorders>
              <w:top w:val="nil"/>
              <w:left w:val="nil"/>
              <w:bottom w:val="nil"/>
              <w:right w:val="nil"/>
            </w:tcBorders>
            <w:shd w:val="clear" w:color="000000" w:fill="FFFFFF"/>
            <w:vAlign w:val="center"/>
          </w:tcPr>
          <w:p w14:paraId="6B225CEE" w14:textId="73840084"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591 510</w:t>
            </w:r>
          </w:p>
        </w:tc>
        <w:tc>
          <w:tcPr>
            <w:tcW w:w="782" w:type="pct"/>
            <w:tcBorders>
              <w:top w:val="nil"/>
              <w:left w:val="nil"/>
              <w:bottom w:val="nil"/>
              <w:right w:val="nil"/>
            </w:tcBorders>
            <w:shd w:val="clear" w:color="000000" w:fill="FFFFFF"/>
            <w:vAlign w:val="center"/>
          </w:tcPr>
          <w:p w14:paraId="2053F998" w14:textId="2A14BCC5"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632 930</w:t>
            </w:r>
          </w:p>
        </w:tc>
        <w:tc>
          <w:tcPr>
            <w:tcW w:w="703" w:type="pct"/>
            <w:tcBorders>
              <w:top w:val="nil"/>
              <w:left w:val="nil"/>
              <w:bottom w:val="nil"/>
              <w:right w:val="nil"/>
            </w:tcBorders>
            <w:shd w:val="clear" w:color="000000" w:fill="FFFFFF"/>
            <w:vAlign w:val="center"/>
          </w:tcPr>
          <w:p w14:paraId="509AFBAF" w14:textId="789A8BEF"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-41 420</w:t>
            </w:r>
          </w:p>
        </w:tc>
      </w:tr>
      <w:tr w:rsidR="004F34BB" w:rsidRPr="00975215" w14:paraId="3A2A0936" w14:textId="77777777" w:rsidTr="00241F33">
        <w:trPr>
          <w:trHeight w:val="284"/>
          <w:jc w:val="center"/>
        </w:trPr>
        <w:tc>
          <w:tcPr>
            <w:tcW w:w="2853" w:type="pct"/>
            <w:tcBorders>
              <w:top w:val="nil"/>
              <w:left w:val="nil"/>
              <w:bottom w:val="nil"/>
              <w:right w:val="nil"/>
            </w:tcBorders>
            <w:shd w:val="clear" w:color="000000" w:fill="FFFFFF"/>
            <w:vAlign w:val="center"/>
          </w:tcPr>
          <w:p w14:paraId="3E415823" w14:textId="5BF73CC5" w:rsidR="004F34BB" w:rsidRPr="00975215" w:rsidRDefault="004F34BB" w:rsidP="004F34BB">
            <w:pPr>
              <w:spacing w:before="120"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 xml:space="preserve">Výnosy Všeobecnej zdravotnej poisťovne, a.s. z poistného </w:t>
            </w:r>
          </w:p>
        </w:tc>
        <w:tc>
          <w:tcPr>
            <w:tcW w:w="662" w:type="pct"/>
            <w:tcBorders>
              <w:top w:val="nil"/>
              <w:left w:val="nil"/>
              <w:bottom w:val="nil"/>
              <w:right w:val="nil"/>
            </w:tcBorders>
            <w:shd w:val="clear" w:color="000000" w:fill="FFFFFF"/>
            <w:vAlign w:val="center"/>
          </w:tcPr>
          <w:p w14:paraId="6BDF1A84" w14:textId="36E32F9A"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440 172</w:t>
            </w:r>
          </w:p>
        </w:tc>
        <w:tc>
          <w:tcPr>
            <w:tcW w:w="782" w:type="pct"/>
            <w:tcBorders>
              <w:top w:val="nil"/>
              <w:left w:val="nil"/>
              <w:bottom w:val="nil"/>
              <w:right w:val="nil"/>
            </w:tcBorders>
            <w:shd w:val="clear" w:color="000000" w:fill="FFFFFF"/>
            <w:vAlign w:val="center"/>
          </w:tcPr>
          <w:p w14:paraId="6909380E" w14:textId="44A5FF36"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381 044</w:t>
            </w:r>
          </w:p>
        </w:tc>
        <w:tc>
          <w:tcPr>
            <w:tcW w:w="703" w:type="pct"/>
            <w:tcBorders>
              <w:top w:val="nil"/>
              <w:left w:val="nil"/>
              <w:bottom w:val="nil"/>
              <w:right w:val="nil"/>
            </w:tcBorders>
            <w:shd w:val="clear" w:color="000000" w:fill="FFFFFF"/>
            <w:vAlign w:val="center"/>
          </w:tcPr>
          <w:p w14:paraId="21B865E7" w14:textId="2F3C9369"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59 128</w:t>
            </w:r>
          </w:p>
        </w:tc>
      </w:tr>
      <w:tr w:rsidR="004F34BB" w:rsidRPr="00975215" w14:paraId="120500DE" w14:textId="77777777" w:rsidTr="00241F33">
        <w:trPr>
          <w:trHeight w:val="284"/>
          <w:jc w:val="center"/>
        </w:trPr>
        <w:tc>
          <w:tcPr>
            <w:tcW w:w="2853" w:type="pct"/>
            <w:tcBorders>
              <w:top w:val="nil"/>
              <w:left w:val="nil"/>
              <w:bottom w:val="nil"/>
              <w:right w:val="nil"/>
            </w:tcBorders>
            <w:shd w:val="clear" w:color="000000" w:fill="FFFFFF"/>
            <w:vAlign w:val="center"/>
          </w:tcPr>
          <w:p w14:paraId="79B04297" w14:textId="41EFDFFD" w:rsidR="004F34BB" w:rsidRPr="00975215" w:rsidRDefault="004F34BB" w:rsidP="004F34BB">
            <w:pPr>
              <w:spacing w:before="120"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Výnosy Ministerstva vnútra SR z poistenia príslušníkov Policajného zboru a Hasičského záchranného zboru</w:t>
            </w:r>
          </w:p>
        </w:tc>
        <w:tc>
          <w:tcPr>
            <w:tcW w:w="662" w:type="pct"/>
            <w:tcBorders>
              <w:top w:val="nil"/>
              <w:left w:val="nil"/>
              <w:bottom w:val="nil"/>
              <w:right w:val="nil"/>
            </w:tcBorders>
            <w:shd w:val="clear" w:color="000000" w:fill="FFFFFF"/>
            <w:vAlign w:val="center"/>
          </w:tcPr>
          <w:p w14:paraId="79F7A339" w14:textId="2A70B345"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237 494</w:t>
            </w:r>
          </w:p>
        </w:tc>
        <w:tc>
          <w:tcPr>
            <w:tcW w:w="782" w:type="pct"/>
            <w:tcBorders>
              <w:top w:val="nil"/>
              <w:left w:val="nil"/>
              <w:bottom w:val="nil"/>
              <w:right w:val="nil"/>
            </w:tcBorders>
            <w:shd w:val="clear" w:color="000000" w:fill="FFFFFF"/>
            <w:vAlign w:val="center"/>
          </w:tcPr>
          <w:p w14:paraId="2C3DB207" w14:textId="409A270C"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226 895</w:t>
            </w:r>
          </w:p>
        </w:tc>
        <w:tc>
          <w:tcPr>
            <w:tcW w:w="703" w:type="pct"/>
            <w:tcBorders>
              <w:top w:val="nil"/>
              <w:left w:val="nil"/>
              <w:bottom w:val="nil"/>
              <w:right w:val="nil"/>
            </w:tcBorders>
            <w:shd w:val="clear" w:color="000000" w:fill="FFFFFF"/>
            <w:vAlign w:val="center"/>
          </w:tcPr>
          <w:p w14:paraId="55E374CF" w14:textId="74D8CE0C"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10 599</w:t>
            </w:r>
          </w:p>
        </w:tc>
      </w:tr>
      <w:tr w:rsidR="004F34BB" w:rsidRPr="00975215" w14:paraId="217188FA" w14:textId="77777777" w:rsidTr="00241F33">
        <w:trPr>
          <w:trHeight w:val="284"/>
          <w:jc w:val="center"/>
        </w:trPr>
        <w:tc>
          <w:tcPr>
            <w:tcW w:w="2853" w:type="pct"/>
            <w:tcBorders>
              <w:top w:val="nil"/>
              <w:left w:val="nil"/>
              <w:bottom w:val="nil"/>
              <w:right w:val="nil"/>
            </w:tcBorders>
            <w:shd w:val="clear" w:color="000000" w:fill="FFFFFF"/>
            <w:vAlign w:val="center"/>
          </w:tcPr>
          <w:p w14:paraId="64FF0C0E" w14:textId="3C65A8A2" w:rsidR="004F34BB" w:rsidRPr="00975215" w:rsidRDefault="004F34BB" w:rsidP="004F34BB">
            <w:pPr>
              <w:spacing w:before="120"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Tržby z predaja dlhodobého majetku</w:t>
            </w:r>
          </w:p>
        </w:tc>
        <w:tc>
          <w:tcPr>
            <w:tcW w:w="662" w:type="pct"/>
            <w:tcBorders>
              <w:top w:val="nil"/>
              <w:left w:val="nil"/>
              <w:bottom w:val="nil"/>
              <w:right w:val="nil"/>
            </w:tcBorders>
            <w:shd w:val="clear" w:color="000000" w:fill="FFFFFF"/>
            <w:vAlign w:val="center"/>
          </w:tcPr>
          <w:p w14:paraId="277E52E6" w14:textId="23031583"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207 957</w:t>
            </w:r>
          </w:p>
        </w:tc>
        <w:tc>
          <w:tcPr>
            <w:tcW w:w="782" w:type="pct"/>
            <w:tcBorders>
              <w:top w:val="nil"/>
              <w:left w:val="nil"/>
              <w:bottom w:val="nil"/>
              <w:right w:val="nil"/>
            </w:tcBorders>
            <w:shd w:val="clear" w:color="000000" w:fill="FFFFFF"/>
            <w:vAlign w:val="center"/>
          </w:tcPr>
          <w:p w14:paraId="343F04EB" w14:textId="485D0114"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188 903</w:t>
            </w:r>
          </w:p>
        </w:tc>
        <w:tc>
          <w:tcPr>
            <w:tcW w:w="703" w:type="pct"/>
            <w:tcBorders>
              <w:top w:val="nil"/>
              <w:left w:val="nil"/>
              <w:bottom w:val="nil"/>
              <w:right w:val="nil"/>
            </w:tcBorders>
            <w:shd w:val="clear" w:color="000000" w:fill="FFFFFF"/>
            <w:vAlign w:val="center"/>
          </w:tcPr>
          <w:p w14:paraId="70AC6A29" w14:textId="32FF48D6"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19 054</w:t>
            </w:r>
          </w:p>
        </w:tc>
      </w:tr>
      <w:tr w:rsidR="004F34BB" w:rsidRPr="00975215" w14:paraId="0C56AA14" w14:textId="77777777" w:rsidTr="00241F33">
        <w:trPr>
          <w:trHeight w:val="284"/>
          <w:jc w:val="center"/>
        </w:trPr>
        <w:tc>
          <w:tcPr>
            <w:tcW w:w="2853" w:type="pct"/>
            <w:tcBorders>
              <w:top w:val="nil"/>
              <w:left w:val="nil"/>
              <w:bottom w:val="nil"/>
              <w:right w:val="nil"/>
            </w:tcBorders>
            <w:shd w:val="clear" w:color="000000" w:fill="FFFFFF"/>
            <w:vAlign w:val="center"/>
          </w:tcPr>
          <w:p w14:paraId="1BA0AFD2" w14:textId="069A1B27" w:rsidR="004F34BB" w:rsidRPr="00975215" w:rsidRDefault="004F34BB" w:rsidP="004F34BB">
            <w:pPr>
              <w:spacing w:before="120" w:after="0" w:line="240" w:lineRule="auto"/>
              <w:rPr>
                <w:rFonts w:ascii="Times New Roman" w:hAnsi="Times New Roman"/>
                <w:sz w:val="18"/>
                <w:szCs w:val="18"/>
                <w:lang w:eastAsia="sk-SK"/>
              </w:rPr>
            </w:pPr>
            <w:r w:rsidRPr="00C66720">
              <w:rPr>
                <w:rFonts w:ascii="Times New Roman" w:hAnsi="Times New Roman"/>
                <w:bCs/>
                <w:sz w:val="18"/>
                <w:szCs w:val="18"/>
                <w:lang w:eastAsia="sk-SK"/>
              </w:rPr>
              <w:t>Pokuty, penále a úroky z omeškania</w:t>
            </w:r>
          </w:p>
        </w:tc>
        <w:tc>
          <w:tcPr>
            <w:tcW w:w="662" w:type="pct"/>
            <w:tcBorders>
              <w:top w:val="nil"/>
              <w:left w:val="nil"/>
              <w:bottom w:val="nil"/>
              <w:right w:val="nil"/>
            </w:tcBorders>
            <w:shd w:val="clear" w:color="000000" w:fill="FFFFFF"/>
            <w:vAlign w:val="center"/>
          </w:tcPr>
          <w:p w14:paraId="7E85CC53" w14:textId="61105FBD"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120 197</w:t>
            </w:r>
          </w:p>
        </w:tc>
        <w:tc>
          <w:tcPr>
            <w:tcW w:w="782" w:type="pct"/>
            <w:tcBorders>
              <w:top w:val="nil"/>
              <w:left w:val="nil"/>
              <w:bottom w:val="nil"/>
              <w:right w:val="nil"/>
            </w:tcBorders>
            <w:shd w:val="clear" w:color="000000" w:fill="FFFFFF"/>
            <w:vAlign w:val="center"/>
          </w:tcPr>
          <w:p w14:paraId="6DFC7F77" w14:textId="4366A9FD"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88 782</w:t>
            </w:r>
          </w:p>
        </w:tc>
        <w:tc>
          <w:tcPr>
            <w:tcW w:w="703" w:type="pct"/>
            <w:tcBorders>
              <w:top w:val="nil"/>
              <w:left w:val="nil"/>
              <w:bottom w:val="nil"/>
              <w:right w:val="nil"/>
            </w:tcBorders>
            <w:shd w:val="clear" w:color="000000" w:fill="FFFFFF"/>
            <w:vAlign w:val="center"/>
          </w:tcPr>
          <w:p w14:paraId="0AB2E70E" w14:textId="5494369C" w:rsidR="004F34BB" w:rsidRPr="00975215" w:rsidRDefault="004F34BB" w:rsidP="004F34BB">
            <w:pPr>
              <w:spacing w:after="0" w:line="240" w:lineRule="auto"/>
              <w:jc w:val="right"/>
              <w:rPr>
                <w:rFonts w:ascii="Times New Roman" w:hAnsi="Times New Roman"/>
                <w:color w:val="FF0000"/>
                <w:sz w:val="18"/>
                <w:szCs w:val="18"/>
                <w:lang w:eastAsia="sk-SK"/>
              </w:rPr>
            </w:pPr>
            <w:r w:rsidRPr="00C66720">
              <w:rPr>
                <w:rFonts w:ascii="Times New Roman" w:hAnsi="Times New Roman"/>
                <w:sz w:val="18"/>
                <w:szCs w:val="18"/>
                <w:lang w:eastAsia="sk-SK"/>
              </w:rPr>
              <w:t>31 415</w:t>
            </w:r>
          </w:p>
        </w:tc>
      </w:tr>
      <w:tr w:rsidR="004F34BB" w:rsidRPr="00975215" w14:paraId="52B1040C" w14:textId="77777777" w:rsidTr="00241F33">
        <w:trPr>
          <w:trHeight w:val="284"/>
          <w:jc w:val="center"/>
        </w:trPr>
        <w:tc>
          <w:tcPr>
            <w:tcW w:w="2853" w:type="pct"/>
            <w:tcBorders>
              <w:top w:val="nil"/>
              <w:left w:val="nil"/>
              <w:bottom w:val="nil"/>
              <w:right w:val="nil"/>
            </w:tcBorders>
            <w:shd w:val="clear" w:color="000000" w:fill="FFFFFF"/>
            <w:vAlign w:val="center"/>
          </w:tcPr>
          <w:p w14:paraId="73C77843" w14:textId="54FFE77F" w:rsidR="004F34BB" w:rsidRPr="00975215" w:rsidRDefault="004F34BB" w:rsidP="004F34BB">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Výnosy Ministerstva hospodárstva SR z odvodov z prenosovej a distribučných sústav</w:t>
            </w:r>
          </w:p>
        </w:tc>
        <w:tc>
          <w:tcPr>
            <w:tcW w:w="662" w:type="pct"/>
            <w:tcBorders>
              <w:top w:val="nil"/>
              <w:left w:val="nil"/>
              <w:bottom w:val="nil"/>
              <w:right w:val="nil"/>
            </w:tcBorders>
            <w:shd w:val="clear" w:color="000000" w:fill="FFFFFF"/>
            <w:vAlign w:val="center"/>
          </w:tcPr>
          <w:p w14:paraId="465D889E" w14:textId="7860D165"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71 815</w:t>
            </w:r>
          </w:p>
        </w:tc>
        <w:tc>
          <w:tcPr>
            <w:tcW w:w="782" w:type="pct"/>
            <w:tcBorders>
              <w:top w:val="nil"/>
              <w:left w:val="nil"/>
              <w:bottom w:val="nil"/>
              <w:right w:val="nil"/>
            </w:tcBorders>
            <w:shd w:val="clear" w:color="000000" w:fill="FFFFFF"/>
            <w:vAlign w:val="center"/>
          </w:tcPr>
          <w:p w14:paraId="0D4EECFE" w14:textId="354DFCDD"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76 988</w:t>
            </w:r>
          </w:p>
        </w:tc>
        <w:tc>
          <w:tcPr>
            <w:tcW w:w="703" w:type="pct"/>
            <w:tcBorders>
              <w:top w:val="nil"/>
              <w:left w:val="nil"/>
              <w:bottom w:val="nil"/>
              <w:right w:val="nil"/>
            </w:tcBorders>
            <w:shd w:val="clear" w:color="000000" w:fill="FFFFFF"/>
            <w:vAlign w:val="center"/>
          </w:tcPr>
          <w:p w14:paraId="27E68CB7" w14:textId="5B6C4976" w:rsidR="004F34BB" w:rsidRPr="00975215" w:rsidRDefault="004F34BB" w:rsidP="004F34BB">
            <w:pPr>
              <w:spacing w:after="0" w:line="240" w:lineRule="auto"/>
              <w:jc w:val="right"/>
              <w:rPr>
                <w:rFonts w:ascii="Times New Roman" w:hAnsi="Times New Roman"/>
                <w:color w:val="FF0000"/>
                <w:sz w:val="18"/>
                <w:szCs w:val="18"/>
                <w:lang w:eastAsia="sk-SK"/>
              </w:rPr>
            </w:pPr>
            <w:r w:rsidRPr="00C66720">
              <w:rPr>
                <w:rFonts w:ascii="Times New Roman" w:hAnsi="Times New Roman"/>
                <w:sz w:val="18"/>
                <w:szCs w:val="18"/>
                <w:lang w:eastAsia="sk-SK"/>
              </w:rPr>
              <w:t>-5 173</w:t>
            </w:r>
          </w:p>
        </w:tc>
      </w:tr>
      <w:tr w:rsidR="004F34BB" w:rsidRPr="00975215" w14:paraId="532DC69B" w14:textId="77777777" w:rsidTr="00241F33">
        <w:trPr>
          <w:trHeight w:val="284"/>
          <w:jc w:val="center"/>
        </w:trPr>
        <w:tc>
          <w:tcPr>
            <w:tcW w:w="2853" w:type="pct"/>
            <w:tcBorders>
              <w:top w:val="nil"/>
              <w:left w:val="nil"/>
              <w:bottom w:val="nil"/>
              <w:right w:val="nil"/>
            </w:tcBorders>
            <w:shd w:val="clear" w:color="000000" w:fill="FFFFFF"/>
            <w:vAlign w:val="center"/>
          </w:tcPr>
          <w:p w14:paraId="6BF529B5" w14:textId="644B0C21" w:rsidR="004F34BB" w:rsidRPr="00975215" w:rsidRDefault="004F34BB" w:rsidP="004F34BB">
            <w:pPr>
              <w:spacing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Výnosy Vojenského úradu sociálneho zabezpečenia z poistenia profesionálnych vojakov</w:t>
            </w:r>
          </w:p>
        </w:tc>
        <w:tc>
          <w:tcPr>
            <w:tcW w:w="662" w:type="pct"/>
            <w:tcBorders>
              <w:top w:val="nil"/>
              <w:left w:val="nil"/>
              <w:bottom w:val="nil"/>
              <w:right w:val="nil"/>
            </w:tcBorders>
            <w:shd w:val="clear" w:color="000000" w:fill="FFFFFF"/>
            <w:vAlign w:val="center"/>
          </w:tcPr>
          <w:p w14:paraId="374DED6E" w14:textId="2E1D4D25"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36 649</w:t>
            </w:r>
          </w:p>
        </w:tc>
        <w:tc>
          <w:tcPr>
            <w:tcW w:w="782" w:type="pct"/>
            <w:tcBorders>
              <w:top w:val="nil"/>
              <w:left w:val="nil"/>
              <w:bottom w:val="nil"/>
              <w:right w:val="nil"/>
            </w:tcBorders>
            <w:shd w:val="clear" w:color="000000" w:fill="FFFFFF"/>
            <w:vAlign w:val="center"/>
          </w:tcPr>
          <w:p w14:paraId="439A655C" w14:textId="35254149"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37 527</w:t>
            </w:r>
          </w:p>
        </w:tc>
        <w:tc>
          <w:tcPr>
            <w:tcW w:w="703" w:type="pct"/>
            <w:tcBorders>
              <w:top w:val="nil"/>
              <w:left w:val="nil"/>
              <w:bottom w:val="nil"/>
              <w:right w:val="nil"/>
            </w:tcBorders>
            <w:shd w:val="clear" w:color="000000" w:fill="FFFFFF"/>
            <w:vAlign w:val="center"/>
          </w:tcPr>
          <w:p w14:paraId="152F5071" w14:textId="714653E0"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-878</w:t>
            </w:r>
          </w:p>
        </w:tc>
      </w:tr>
      <w:tr w:rsidR="004F34BB" w:rsidRPr="00975215" w14:paraId="57956AE9" w14:textId="77777777" w:rsidTr="00241F33">
        <w:trPr>
          <w:trHeight w:val="284"/>
          <w:jc w:val="center"/>
        </w:trPr>
        <w:tc>
          <w:tcPr>
            <w:tcW w:w="2853" w:type="pct"/>
            <w:tcBorders>
              <w:top w:val="nil"/>
              <w:left w:val="nil"/>
              <w:bottom w:val="nil"/>
              <w:right w:val="nil"/>
            </w:tcBorders>
            <w:shd w:val="clear" w:color="000000" w:fill="FFFFFF"/>
            <w:vAlign w:val="center"/>
          </w:tcPr>
          <w:p w14:paraId="1E29140F" w14:textId="2A8B14B0" w:rsidR="004F34BB" w:rsidRPr="00975215" w:rsidRDefault="004F34BB" w:rsidP="004F34BB">
            <w:pPr>
              <w:spacing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Tržby z predaja materiálu</w:t>
            </w:r>
          </w:p>
        </w:tc>
        <w:tc>
          <w:tcPr>
            <w:tcW w:w="662" w:type="pct"/>
            <w:tcBorders>
              <w:top w:val="nil"/>
              <w:left w:val="nil"/>
              <w:bottom w:val="nil"/>
              <w:right w:val="nil"/>
            </w:tcBorders>
            <w:shd w:val="clear" w:color="000000" w:fill="FFFFFF"/>
            <w:vAlign w:val="center"/>
          </w:tcPr>
          <w:p w14:paraId="28F33E92" w14:textId="34A56B6C"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 xml:space="preserve">13 298 </w:t>
            </w:r>
          </w:p>
        </w:tc>
        <w:tc>
          <w:tcPr>
            <w:tcW w:w="782" w:type="pct"/>
            <w:tcBorders>
              <w:top w:val="nil"/>
              <w:left w:val="nil"/>
              <w:bottom w:val="nil"/>
              <w:right w:val="nil"/>
            </w:tcBorders>
            <w:shd w:val="clear" w:color="000000" w:fill="FFFFFF"/>
            <w:vAlign w:val="center"/>
          </w:tcPr>
          <w:p w14:paraId="16B42695" w14:textId="4916CCA6"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 xml:space="preserve">11 163 </w:t>
            </w:r>
          </w:p>
        </w:tc>
        <w:tc>
          <w:tcPr>
            <w:tcW w:w="703" w:type="pct"/>
            <w:tcBorders>
              <w:top w:val="nil"/>
              <w:left w:val="nil"/>
              <w:bottom w:val="nil"/>
              <w:right w:val="nil"/>
            </w:tcBorders>
            <w:shd w:val="clear" w:color="000000" w:fill="FFFFFF"/>
            <w:vAlign w:val="center"/>
          </w:tcPr>
          <w:p w14:paraId="1838D6CE" w14:textId="0AB5E1E9"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2 135</w:t>
            </w:r>
          </w:p>
        </w:tc>
      </w:tr>
      <w:tr w:rsidR="004F34BB" w:rsidRPr="00975215" w14:paraId="65C0D6DA" w14:textId="77777777" w:rsidTr="00241F33">
        <w:trPr>
          <w:trHeight w:val="284"/>
          <w:jc w:val="center"/>
        </w:trPr>
        <w:tc>
          <w:tcPr>
            <w:tcW w:w="2853" w:type="pct"/>
            <w:tcBorders>
              <w:top w:val="nil"/>
              <w:left w:val="nil"/>
              <w:bottom w:val="nil"/>
              <w:right w:val="nil"/>
            </w:tcBorders>
            <w:shd w:val="clear" w:color="000000" w:fill="FFFFFF"/>
            <w:vAlign w:val="center"/>
          </w:tcPr>
          <w:p w14:paraId="1A3350D4" w14:textId="7EA866CE" w:rsidR="004F34BB" w:rsidRPr="00975215" w:rsidRDefault="004F34BB" w:rsidP="004F34BB">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Výnosy z odpísaných pohľadávok</w:t>
            </w:r>
          </w:p>
        </w:tc>
        <w:tc>
          <w:tcPr>
            <w:tcW w:w="662" w:type="pct"/>
            <w:tcBorders>
              <w:top w:val="nil"/>
              <w:left w:val="nil"/>
              <w:bottom w:val="nil"/>
              <w:right w:val="nil"/>
            </w:tcBorders>
            <w:shd w:val="clear" w:color="000000" w:fill="FFFFFF"/>
            <w:vAlign w:val="center"/>
          </w:tcPr>
          <w:p w14:paraId="3DB082DF" w14:textId="1D7CF1C3"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12 675</w:t>
            </w:r>
          </w:p>
        </w:tc>
        <w:tc>
          <w:tcPr>
            <w:tcW w:w="782" w:type="pct"/>
            <w:tcBorders>
              <w:top w:val="nil"/>
              <w:left w:val="nil"/>
              <w:bottom w:val="nil"/>
              <w:right w:val="nil"/>
            </w:tcBorders>
            <w:shd w:val="clear" w:color="000000" w:fill="FFFFFF"/>
            <w:vAlign w:val="center"/>
          </w:tcPr>
          <w:p w14:paraId="37998525" w14:textId="5D53824E"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8 775</w:t>
            </w:r>
          </w:p>
        </w:tc>
        <w:tc>
          <w:tcPr>
            <w:tcW w:w="703" w:type="pct"/>
            <w:tcBorders>
              <w:top w:val="nil"/>
              <w:left w:val="nil"/>
              <w:bottom w:val="nil"/>
              <w:right w:val="nil"/>
            </w:tcBorders>
            <w:shd w:val="clear" w:color="000000" w:fill="FFFFFF"/>
            <w:vAlign w:val="center"/>
          </w:tcPr>
          <w:p w14:paraId="1795B802" w14:textId="67BADA94"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3 900</w:t>
            </w:r>
          </w:p>
        </w:tc>
      </w:tr>
      <w:tr w:rsidR="004F34BB" w:rsidRPr="00975215" w14:paraId="3FD198D4" w14:textId="77777777" w:rsidTr="00241F33">
        <w:trPr>
          <w:trHeight w:val="284"/>
          <w:jc w:val="center"/>
        </w:trPr>
        <w:tc>
          <w:tcPr>
            <w:tcW w:w="2853" w:type="pct"/>
            <w:tcBorders>
              <w:top w:val="nil"/>
              <w:left w:val="nil"/>
              <w:bottom w:val="nil"/>
              <w:right w:val="nil"/>
            </w:tcBorders>
            <w:shd w:val="clear" w:color="000000" w:fill="FFFFFF"/>
            <w:vAlign w:val="center"/>
          </w:tcPr>
          <w:p w14:paraId="31FF56E4" w14:textId="06603D5B" w:rsidR="004F34BB" w:rsidRPr="00975215" w:rsidRDefault="004F34BB" w:rsidP="004F34BB">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Výnosy Sociálnej poisťovne</w:t>
            </w:r>
          </w:p>
        </w:tc>
        <w:tc>
          <w:tcPr>
            <w:tcW w:w="662" w:type="pct"/>
            <w:tcBorders>
              <w:top w:val="nil"/>
              <w:left w:val="nil"/>
              <w:bottom w:val="nil"/>
              <w:right w:val="nil"/>
            </w:tcBorders>
            <w:shd w:val="clear" w:color="000000" w:fill="FFFFFF"/>
            <w:vAlign w:val="center"/>
          </w:tcPr>
          <w:p w14:paraId="2BB53FAC" w14:textId="351E7A84"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1 352</w:t>
            </w:r>
          </w:p>
        </w:tc>
        <w:tc>
          <w:tcPr>
            <w:tcW w:w="782" w:type="pct"/>
            <w:tcBorders>
              <w:top w:val="nil"/>
              <w:left w:val="nil"/>
              <w:bottom w:val="nil"/>
              <w:right w:val="nil"/>
            </w:tcBorders>
            <w:shd w:val="clear" w:color="000000" w:fill="FFFFFF"/>
            <w:vAlign w:val="center"/>
          </w:tcPr>
          <w:p w14:paraId="635870F7" w14:textId="6D4EE51B"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419 652</w:t>
            </w:r>
          </w:p>
        </w:tc>
        <w:tc>
          <w:tcPr>
            <w:tcW w:w="703" w:type="pct"/>
            <w:tcBorders>
              <w:top w:val="nil"/>
              <w:left w:val="nil"/>
              <w:bottom w:val="nil"/>
              <w:right w:val="nil"/>
            </w:tcBorders>
            <w:shd w:val="clear" w:color="000000" w:fill="FFFFFF"/>
            <w:vAlign w:val="center"/>
          </w:tcPr>
          <w:p w14:paraId="52F29882" w14:textId="06B81DC5" w:rsidR="004F34BB" w:rsidRPr="00975215" w:rsidRDefault="004F34BB" w:rsidP="004F34B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-418 300</w:t>
            </w:r>
          </w:p>
        </w:tc>
      </w:tr>
      <w:tr w:rsidR="004F34BB" w:rsidRPr="00975215" w14:paraId="6F39120D" w14:textId="77777777" w:rsidTr="00241F33">
        <w:trPr>
          <w:trHeight w:val="284"/>
          <w:jc w:val="center"/>
        </w:trPr>
        <w:tc>
          <w:tcPr>
            <w:tcW w:w="2853" w:type="pct"/>
            <w:tcBorders>
              <w:top w:val="nil"/>
              <w:left w:val="nil"/>
              <w:bottom w:val="single" w:sz="4" w:space="0" w:color="auto"/>
              <w:right w:val="nil"/>
            </w:tcBorders>
            <w:shd w:val="clear" w:color="000000" w:fill="FFFFFF"/>
            <w:vAlign w:val="center"/>
          </w:tcPr>
          <w:p w14:paraId="66E0E28B" w14:textId="605AC3D7" w:rsidR="004F34BB" w:rsidRPr="00975215" w:rsidRDefault="004F34BB" w:rsidP="004F34BB">
            <w:pPr>
              <w:spacing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Ostatné výnosy z prevádzkovej činnosti</w:t>
            </w:r>
          </w:p>
        </w:tc>
        <w:tc>
          <w:tcPr>
            <w:tcW w:w="662" w:type="pct"/>
            <w:tcBorders>
              <w:top w:val="nil"/>
              <w:left w:val="nil"/>
              <w:bottom w:val="single" w:sz="4" w:space="0" w:color="auto"/>
              <w:right w:val="nil"/>
            </w:tcBorders>
            <w:shd w:val="clear" w:color="000000" w:fill="FFFFFF"/>
            <w:vAlign w:val="center"/>
          </w:tcPr>
          <w:p w14:paraId="5C5FCD0E" w14:textId="1517EE91"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969 262</w:t>
            </w:r>
          </w:p>
        </w:tc>
        <w:tc>
          <w:tcPr>
            <w:tcW w:w="782" w:type="pct"/>
            <w:tcBorders>
              <w:top w:val="nil"/>
              <w:left w:val="nil"/>
              <w:bottom w:val="single" w:sz="4" w:space="0" w:color="auto"/>
              <w:right w:val="nil"/>
            </w:tcBorders>
            <w:shd w:val="clear" w:color="000000" w:fill="FFFFFF"/>
            <w:vAlign w:val="center"/>
          </w:tcPr>
          <w:p w14:paraId="624A74C4" w14:textId="5227F3E3"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778 745</w:t>
            </w:r>
          </w:p>
        </w:tc>
        <w:tc>
          <w:tcPr>
            <w:tcW w:w="703" w:type="pct"/>
            <w:tcBorders>
              <w:top w:val="nil"/>
              <w:left w:val="nil"/>
              <w:bottom w:val="single" w:sz="4" w:space="0" w:color="auto"/>
              <w:right w:val="nil"/>
            </w:tcBorders>
            <w:shd w:val="clear" w:color="000000" w:fill="FFFFFF"/>
            <w:vAlign w:val="center"/>
          </w:tcPr>
          <w:p w14:paraId="5D6E6582" w14:textId="3C735789" w:rsidR="004F34BB" w:rsidRPr="00975215" w:rsidRDefault="004F34BB" w:rsidP="004F34BB">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190 517</w:t>
            </w:r>
          </w:p>
        </w:tc>
      </w:tr>
      <w:tr w:rsidR="004F34BB" w:rsidRPr="00975467" w14:paraId="5AF1EA11" w14:textId="77777777" w:rsidTr="00241F33">
        <w:trPr>
          <w:trHeight w:val="284"/>
          <w:jc w:val="center"/>
        </w:trPr>
        <w:tc>
          <w:tcPr>
            <w:tcW w:w="2853" w:type="pct"/>
            <w:tcBorders>
              <w:top w:val="single" w:sz="4" w:space="0" w:color="auto"/>
              <w:left w:val="nil"/>
              <w:bottom w:val="single" w:sz="4" w:space="0" w:color="000000"/>
              <w:right w:val="nil"/>
            </w:tcBorders>
            <w:shd w:val="clear" w:color="000000" w:fill="FFFFFF"/>
            <w:vAlign w:val="center"/>
          </w:tcPr>
          <w:p w14:paraId="7B767727" w14:textId="2FF1F2F2" w:rsidR="004F34BB" w:rsidRPr="00975215" w:rsidRDefault="004F34BB" w:rsidP="004F34BB">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662" w:type="pct"/>
            <w:tcBorders>
              <w:top w:val="single" w:sz="4" w:space="0" w:color="auto"/>
              <w:left w:val="nil"/>
              <w:bottom w:val="single" w:sz="4" w:space="0" w:color="000000"/>
              <w:right w:val="nil"/>
            </w:tcBorders>
            <w:shd w:val="clear" w:color="000000" w:fill="FFFFFF"/>
            <w:vAlign w:val="center"/>
          </w:tcPr>
          <w:p w14:paraId="0AC60BE2" w14:textId="7001EF06" w:rsidR="004F34BB" w:rsidRPr="00975215" w:rsidRDefault="004F34BB" w:rsidP="004F34BB">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2 702 329</w:t>
            </w:r>
          </w:p>
        </w:tc>
        <w:tc>
          <w:tcPr>
            <w:tcW w:w="782" w:type="pct"/>
            <w:tcBorders>
              <w:top w:val="single" w:sz="4" w:space="0" w:color="auto"/>
              <w:left w:val="nil"/>
              <w:bottom w:val="single" w:sz="4" w:space="0" w:color="000000"/>
              <w:right w:val="nil"/>
            </w:tcBorders>
            <w:shd w:val="clear" w:color="000000" w:fill="FFFFFF"/>
            <w:vAlign w:val="center"/>
          </w:tcPr>
          <w:p w14:paraId="6AC28230" w14:textId="153BB377" w:rsidR="004F34BB" w:rsidRPr="00975215" w:rsidRDefault="004F34BB" w:rsidP="004F34BB">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2 851 404</w:t>
            </w:r>
          </w:p>
        </w:tc>
        <w:tc>
          <w:tcPr>
            <w:tcW w:w="703" w:type="pct"/>
            <w:tcBorders>
              <w:top w:val="single" w:sz="4" w:space="0" w:color="auto"/>
              <w:left w:val="nil"/>
              <w:bottom w:val="single" w:sz="4" w:space="0" w:color="000000"/>
              <w:right w:val="nil"/>
            </w:tcBorders>
            <w:shd w:val="clear" w:color="000000" w:fill="FFFFFF"/>
            <w:vAlign w:val="center"/>
          </w:tcPr>
          <w:p w14:paraId="43096845" w14:textId="2E60A07E" w:rsidR="004F34BB" w:rsidRPr="00975215" w:rsidRDefault="004F34BB" w:rsidP="004F34BB">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-149 075</w:t>
            </w:r>
          </w:p>
        </w:tc>
      </w:tr>
    </w:tbl>
    <w:p w14:paraId="0DAD8790" w14:textId="77777777" w:rsidR="004F34BB" w:rsidRPr="00D01DB2" w:rsidRDefault="004F34BB" w:rsidP="004F34BB">
      <w:pPr>
        <w:pStyle w:val="Pismenka"/>
        <w:tabs>
          <w:tab w:val="clear" w:pos="426"/>
        </w:tabs>
        <w:spacing w:after="120"/>
        <w:jc w:val="right"/>
        <w:rPr>
          <w:b w:val="0"/>
          <w:i/>
          <w:sz w:val="22"/>
          <w:szCs w:val="22"/>
          <w:u w:val="single"/>
        </w:rPr>
      </w:pPr>
      <w:r w:rsidRPr="00D01DB2">
        <w:rPr>
          <w:b w:val="0"/>
        </w:rPr>
        <w:t>Zdroj: MF SR, Centrálny konsolidačný systém</w:t>
      </w:r>
    </w:p>
    <w:p w14:paraId="57760C3D" w14:textId="48EA9C7A" w:rsidR="006F0904" w:rsidRPr="00C66720" w:rsidRDefault="002943E8" w:rsidP="000F5743">
      <w:pPr>
        <w:pStyle w:val="Pismenka"/>
        <w:tabs>
          <w:tab w:val="clear" w:pos="426"/>
        </w:tabs>
        <w:spacing w:before="240"/>
        <w:ind w:left="0" w:firstLine="0"/>
        <w:rPr>
          <w:b w:val="0"/>
          <w:bCs w:val="0"/>
          <w:sz w:val="22"/>
          <w:szCs w:val="22"/>
        </w:rPr>
      </w:pPr>
      <w:r w:rsidRPr="00C66720">
        <w:rPr>
          <w:b w:val="0"/>
          <w:bCs w:val="0"/>
          <w:sz w:val="22"/>
          <w:szCs w:val="22"/>
        </w:rPr>
        <w:t xml:space="preserve">Ostatné výnosy z prevádzkovej činnosti dosiahli hodnotu </w:t>
      </w:r>
      <w:r w:rsidR="002E5A72" w:rsidRPr="00C66720">
        <w:rPr>
          <w:b w:val="0"/>
          <w:bCs w:val="0"/>
          <w:sz w:val="22"/>
          <w:szCs w:val="22"/>
        </w:rPr>
        <w:t>2 702 329</w:t>
      </w:r>
      <w:r w:rsidR="000E12CE" w:rsidRPr="00C66720">
        <w:rPr>
          <w:b w:val="0"/>
          <w:bCs w:val="0"/>
          <w:sz w:val="22"/>
          <w:szCs w:val="22"/>
        </w:rPr>
        <w:t xml:space="preserve"> tis. eur </w:t>
      </w:r>
      <w:r w:rsidRPr="00C66720">
        <w:rPr>
          <w:b w:val="0"/>
          <w:bCs w:val="0"/>
          <w:sz w:val="22"/>
          <w:szCs w:val="22"/>
        </w:rPr>
        <w:t>a</w:t>
      </w:r>
      <w:r w:rsidR="00C22B03" w:rsidRPr="00C66720">
        <w:rPr>
          <w:b w:val="0"/>
          <w:bCs w:val="0"/>
          <w:sz w:val="22"/>
          <w:szCs w:val="22"/>
        </w:rPr>
        <w:t xml:space="preserve"> sú </w:t>
      </w:r>
      <w:r w:rsidR="00B64213" w:rsidRPr="00C66720">
        <w:rPr>
          <w:b w:val="0"/>
          <w:bCs w:val="0"/>
          <w:sz w:val="22"/>
          <w:szCs w:val="22"/>
        </w:rPr>
        <w:t xml:space="preserve">oproti </w:t>
      </w:r>
      <w:r w:rsidR="002E5A72" w:rsidRPr="00C66720">
        <w:rPr>
          <w:b w:val="0"/>
          <w:bCs w:val="0"/>
          <w:sz w:val="22"/>
          <w:szCs w:val="22"/>
        </w:rPr>
        <w:t>roku 2021</w:t>
      </w:r>
      <w:r w:rsidR="00315A07" w:rsidRPr="00C66720">
        <w:rPr>
          <w:b w:val="0"/>
          <w:bCs w:val="0"/>
          <w:sz w:val="22"/>
          <w:szCs w:val="22"/>
        </w:rPr>
        <w:t xml:space="preserve"> </w:t>
      </w:r>
      <w:r w:rsidR="002E5A72" w:rsidRPr="00C66720">
        <w:rPr>
          <w:b w:val="0"/>
          <w:bCs w:val="0"/>
          <w:sz w:val="22"/>
          <w:szCs w:val="22"/>
        </w:rPr>
        <w:t>nižšie</w:t>
      </w:r>
      <w:r w:rsidR="00315A07" w:rsidRPr="00C66720">
        <w:rPr>
          <w:b w:val="0"/>
          <w:bCs w:val="0"/>
          <w:sz w:val="22"/>
          <w:szCs w:val="22"/>
        </w:rPr>
        <w:t xml:space="preserve"> o</w:t>
      </w:r>
      <w:r w:rsidR="002E5A72" w:rsidRPr="00C66720">
        <w:rPr>
          <w:b w:val="0"/>
          <w:bCs w:val="0"/>
          <w:sz w:val="22"/>
          <w:szCs w:val="22"/>
        </w:rPr>
        <w:t> 149 075</w:t>
      </w:r>
      <w:r w:rsidR="00315A07" w:rsidRPr="00C66720">
        <w:rPr>
          <w:b w:val="0"/>
          <w:bCs w:val="0"/>
          <w:sz w:val="22"/>
          <w:szCs w:val="22"/>
        </w:rPr>
        <w:t xml:space="preserve"> tis. eur. </w:t>
      </w:r>
      <w:r w:rsidR="00785A54" w:rsidRPr="00C66720">
        <w:rPr>
          <w:b w:val="0"/>
          <w:bCs w:val="0"/>
          <w:sz w:val="22"/>
          <w:szCs w:val="22"/>
        </w:rPr>
        <w:t xml:space="preserve">Ústredná správa vykázala </w:t>
      </w:r>
      <w:r w:rsidR="002E5A72" w:rsidRPr="00C66720">
        <w:rPr>
          <w:b w:val="0"/>
          <w:bCs w:val="0"/>
          <w:sz w:val="22"/>
          <w:szCs w:val="22"/>
        </w:rPr>
        <w:t>2 106 589</w:t>
      </w:r>
      <w:r w:rsidR="00785A54" w:rsidRPr="00C66720">
        <w:rPr>
          <w:b w:val="0"/>
          <w:bCs w:val="0"/>
          <w:sz w:val="22"/>
          <w:szCs w:val="22"/>
        </w:rPr>
        <w:t xml:space="preserve"> tis. eur, územná samospráva </w:t>
      </w:r>
      <w:r w:rsidR="002E5A72" w:rsidRPr="00C66720">
        <w:rPr>
          <w:b w:val="0"/>
          <w:bCs w:val="0"/>
          <w:sz w:val="22"/>
          <w:szCs w:val="22"/>
        </w:rPr>
        <w:t>448 247</w:t>
      </w:r>
      <w:r w:rsidR="00785A54" w:rsidRPr="00C66720">
        <w:rPr>
          <w:b w:val="0"/>
          <w:bCs w:val="0"/>
          <w:sz w:val="22"/>
          <w:szCs w:val="22"/>
        </w:rPr>
        <w:t xml:space="preserve"> tis. eur a ostatné subjekty </w:t>
      </w:r>
      <w:r w:rsidR="00AF2786" w:rsidRPr="00C66720">
        <w:rPr>
          <w:b w:val="0"/>
          <w:bCs w:val="0"/>
          <w:sz w:val="22"/>
          <w:szCs w:val="22"/>
        </w:rPr>
        <w:t>147 492</w:t>
      </w:r>
      <w:r w:rsidR="00785A54" w:rsidRPr="00C66720">
        <w:rPr>
          <w:b w:val="0"/>
          <w:bCs w:val="0"/>
          <w:sz w:val="22"/>
          <w:szCs w:val="22"/>
        </w:rPr>
        <w:t xml:space="preserve"> tis. eur. </w:t>
      </w:r>
    </w:p>
    <w:p w14:paraId="55B33EF9" w14:textId="68AFB9E1" w:rsidR="00DC2269" w:rsidRPr="00C66720" w:rsidRDefault="006F0904" w:rsidP="000F5743">
      <w:pPr>
        <w:pStyle w:val="Pismenka"/>
        <w:tabs>
          <w:tab w:val="clear" w:pos="426"/>
        </w:tabs>
        <w:spacing w:before="120"/>
        <w:ind w:left="0" w:firstLine="0"/>
        <w:rPr>
          <w:b w:val="0"/>
          <w:bCs w:val="0"/>
          <w:color w:val="FF0000"/>
          <w:sz w:val="22"/>
          <w:szCs w:val="22"/>
          <w:highlight w:val="yellow"/>
        </w:rPr>
      </w:pPr>
      <w:r w:rsidRPr="00C66720">
        <w:rPr>
          <w:b w:val="0"/>
          <w:bCs w:val="0"/>
          <w:sz w:val="22"/>
          <w:szCs w:val="22"/>
        </w:rPr>
        <w:t xml:space="preserve">V rámci ústrednej správy vykazuje </w:t>
      </w:r>
      <w:r w:rsidR="00DC2269" w:rsidRPr="00C66720">
        <w:rPr>
          <w:b w:val="0"/>
          <w:bCs w:val="0"/>
          <w:sz w:val="22"/>
          <w:szCs w:val="22"/>
          <w:u w:val="single"/>
        </w:rPr>
        <w:t xml:space="preserve">špecifické výnosy </w:t>
      </w:r>
      <w:r w:rsidR="00315302" w:rsidRPr="00C66720">
        <w:rPr>
          <w:b w:val="0"/>
          <w:bCs w:val="0"/>
          <w:sz w:val="22"/>
          <w:szCs w:val="22"/>
          <w:u w:val="single"/>
        </w:rPr>
        <w:t>Ministerstvo financií SR</w:t>
      </w:r>
      <w:r w:rsidR="00315302" w:rsidRPr="00C66720">
        <w:rPr>
          <w:b w:val="0"/>
          <w:bCs w:val="0"/>
          <w:sz w:val="22"/>
          <w:szCs w:val="22"/>
        </w:rPr>
        <w:t xml:space="preserve"> </w:t>
      </w:r>
      <w:r w:rsidR="00A4690B" w:rsidRPr="00C66720">
        <w:rPr>
          <w:b w:val="0"/>
          <w:bCs w:val="0"/>
          <w:sz w:val="22"/>
          <w:szCs w:val="22"/>
        </w:rPr>
        <w:t xml:space="preserve">úhrnom </w:t>
      </w:r>
      <w:r w:rsidR="007211DC" w:rsidRPr="00C66720">
        <w:rPr>
          <w:b w:val="0"/>
          <w:bCs w:val="0"/>
          <w:sz w:val="22"/>
          <w:szCs w:val="22"/>
        </w:rPr>
        <w:t>591 510</w:t>
      </w:r>
      <w:r w:rsidR="00315302" w:rsidRPr="00C66720">
        <w:rPr>
          <w:b w:val="0"/>
          <w:bCs w:val="0"/>
          <w:sz w:val="22"/>
          <w:szCs w:val="22"/>
        </w:rPr>
        <w:t xml:space="preserve"> tis. eur v súvislosti s vysporiadaním finančných vzťahov s prijímateľom a Európskou komisiou z dôvodu nezrovnalostí alebo vrátenia prostriedkov poskytovaných z fondov EÚ</w:t>
      </w:r>
      <w:r w:rsidR="00134901" w:rsidRPr="00C66720">
        <w:rPr>
          <w:b w:val="0"/>
          <w:bCs w:val="0"/>
          <w:sz w:val="22"/>
          <w:szCs w:val="22"/>
        </w:rPr>
        <w:t xml:space="preserve"> prostredníctvom ministerstva ako certifikačného orgánu, resp. platobného orgánu, výnosy z vratiek z finančného zúčtovania so štátnym rozpočtom</w:t>
      </w:r>
      <w:r w:rsidR="00DA1212" w:rsidRPr="00C66720">
        <w:rPr>
          <w:b w:val="0"/>
          <w:bCs w:val="0"/>
          <w:sz w:val="22"/>
          <w:szCs w:val="22"/>
        </w:rPr>
        <w:t xml:space="preserve">. </w:t>
      </w:r>
      <w:r w:rsidR="001B47A6" w:rsidRPr="00C66720">
        <w:rPr>
          <w:b w:val="0"/>
          <w:bCs w:val="0"/>
          <w:sz w:val="22"/>
          <w:szCs w:val="22"/>
        </w:rPr>
        <w:t xml:space="preserve">Tieto výnosy zaznamenali </w:t>
      </w:r>
      <w:r w:rsidR="00E31061" w:rsidRPr="00C66720">
        <w:rPr>
          <w:b w:val="0"/>
          <w:bCs w:val="0"/>
          <w:sz w:val="22"/>
          <w:szCs w:val="22"/>
        </w:rPr>
        <w:t>pokles</w:t>
      </w:r>
      <w:r w:rsidR="001B47A6" w:rsidRPr="00C66720">
        <w:rPr>
          <w:b w:val="0"/>
          <w:bCs w:val="0"/>
          <w:sz w:val="22"/>
          <w:szCs w:val="22"/>
        </w:rPr>
        <w:t xml:space="preserve"> o</w:t>
      </w:r>
      <w:r w:rsidR="00E31061" w:rsidRPr="00C66720">
        <w:rPr>
          <w:b w:val="0"/>
          <w:bCs w:val="0"/>
          <w:sz w:val="22"/>
          <w:szCs w:val="22"/>
        </w:rPr>
        <w:t> 41 419</w:t>
      </w:r>
      <w:r w:rsidR="001B47A6" w:rsidRPr="00C66720">
        <w:rPr>
          <w:b w:val="0"/>
          <w:bCs w:val="0"/>
          <w:sz w:val="22"/>
          <w:szCs w:val="22"/>
        </w:rPr>
        <w:t xml:space="preserve"> tis. eur. </w:t>
      </w:r>
    </w:p>
    <w:p w14:paraId="2C5EA946" w14:textId="2BE85EF6" w:rsidR="008C486A" w:rsidRPr="00C66720" w:rsidRDefault="00134901" w:rsidP="000F5743">
      <w:pPr>
        <w:pStyle w:val="Pismenka"/>
        <w:tabs>
          <w:tab w:val="clear" w:pos="426"/>
        </w:tabs>
        <w:spacing w:before="120"/>
        <w:ind w:left="0" w:firstLine="0"/>
        <w:rPr>
          <w:b w:val="0"/>
          <w:bCs w:val="0"/>
          <w:sz w:val="22"/>
          <w:szCs w:val="22"/>
        </w:rPr>
      </w:pPr>
      <w:r w:rsidRPr="00C66720">
        <w:rPr>
          <w:b w:val="0"/>
          <w:bCs w:val="0"/>
          <w:sz w:val="22"/>
          <w:szCs w:val="22"/>
        </w:rPr>
        <w:t xml:space="preserve">Ďalej </w:t>
      </w:r>
      <w:r w:rsidRPr="00C66720">
        <w:rPr>
          <w:b w:val="0"/>
          <w:bCs w:val="0"/>
          <w:sz w:val="22"/>
          <w:szCs w:val="22"/>
          <w:u w:val="single"/>
        </w:rPr>
        <w:t>Všeobecná zdravotná poisťovňa, a.s.</w:t>
      </w:r>
      <w:r w:rsidRPr="00C66720">
        <w:rPr>
          <w:b w:val="0"/>
          <w:bCs w:val="0"/>
          <w:sz w:val="22"/>
          <w:szCs w:val="22"/>
        </w:rPr>
        <w:t xml:space="preserve"> </w:t>
      </w:r>
      <w:r w:rsidR="00C80CCD" w:rsidRPr="00C66720">
        <w:rPr>
          <w:b w:val="0"/>
          <w:bCs w:val="0"/>
          <w:sz w:val="22"/>
          <w:szCs w:val="22"/>
        </w:rPr>
        <w:t xml:space="preserve">vykazuje ostatné výnosy z prevádzkovej činnosti </w:t>
      </w:r>
      <w:r w:rsidR="00A4690B" w:rsidRPr="00C66720">
        <w:rPr>
          <w:b w:val="0"/>
          <w:bCs w:val="0"/>
          <w:color w:val="FF0000"/>
          <w:sz w:val="22"/>
          <w:szCs w:val="22"/>
          <w:highlight w:val="yellow"/>
        </w:rPr>
        <w:br/>
      </w:r>
      <w:r w:rsidR="00F32304" w:rsidRPr="00C66720">
        <w:rPr>
          <w:b w:val="0"/>
          <w:bCs w:val="0"/>
          <w:sz w:val="22"/>
          <w:szCs w:val="22"/>
        </w:rPr>
        <w:t>440 172</w:t>
      </w:r>
      <w:r w:rsidRPr="00C66720">
        <w:rPr>
          <w:b w:val="0"/>
          <w:bCs w:val="0"/>
          <w:sz w:val="22"/>
          <w:szCs w:val="22"/>
        </w:rPr>
        <w:t xml:space="preserve"> tis. eur napríklad </w:t>
      </w:r>
      <w:r w:rsidR="008C486A" w:rsidRPr="00C66720">
        <w:rPr>
          <w:b w:val="0"/>
          <w:bCs w:val="0"/>
          <w:sz w:val="22"/>
          <w:szCs w:val="22"/>
        </w:rPr>
        <w:t>z prerozdelenia poistného medzi zdravotnými poisťovňami vrátane ročného prerozdeľovania a odhadov mesačného a ročného prerozdeľovania a vrátane odhadu výsledku ročného prerozdelenia poistného (389 392 tis. eur) a</w:t>
      </w:r>
      <w:r w:rsidR="00014E6C" w:rsidRPr="00C66720">
        <w:rPr>
          <w:b w:val="0"/>
          <w:bCs w:val="0"/>
          <w:sz w:val="22"/>
          <w:szCs w:val="22"/>
        </w:rPr>
        <w:t> o výnosy z predpisu voči Styčnému orgánu SR za zdravotnú starostlivosť poskytnutú poistencom EÚ v SR (33 862 tis. eur). V porovnaní s predchádzajúcim účtovným obdobím došlo k nárastu týchto výnosov o 59 128 tis. eur pričom až 53 283 tis. eur tohto nárastu tvorili výnosy z predpisu prerozdeľovania poistného, vrátane ročného prerozdeľovania a odhadov mesačného i ročného prerozdeľovania.</w:t>
      </w:r>
      <w:r w:rsidR="008C486A" w:rsidRPr="00C66720">
        <w:rPr>
          <w:b w:val="0"/>
          <w:bCs w:val="0"/>
          <w:sz w:val="22"/>
          <w:szCs w:val="22"/>
        </w:rPr>
        <w:t xml:space="preserve"> </w:t>
      </w:r>
    </w:p>
    <w:p w14:paraId="60AC4D81" w14:textId="49D71215" w:rsidR="00AF38E5" w:rsidRPr="00C66720" w:rsidRDefault="00134901" w:rsidP="000F5743">
      <w:pPr>
        <w:pStyle w:val="Pismenka"/>
        <w:tabs>
          <w:tab w:val="clear" w:pos="426"/>
        </w:tabs>
        <w:spacing w:before="120"/>
        <w:ind w:left="0" w:firstLine="0"/>
        <w:rPr>
          <w:b w:val="0"/>
          <w:bCs w:val="0"/>
          <w:sz w:val="22"/>
          <w:szCs w:val="22"/>
        </w:rPr>
      </w:pPr>
      <w:r w:rsidRPr="00C66720">
        <w:rPr>
          <w:b w:val="0"/>
          <w:bCs w:val="0"/>
          <w:sz w:val="22"/>
          <w:szCs w:val="22"/>
          <w:u w:val="single"/>
        </w:rPr>
        <w:t>Ministerstvo vnútra SR</w:t>
      </w:r>
      <w:r w:rsidRPr="00C66720">
        <w:rPr>
          <w:b w:val="0"/>
          <w:bCs w:val="0"/>
          <w:sz w:val="22"/>
          <w:szCs w:val="22"/>
        </w:rPr>
        <w:t xml:space="preserve"> </w:t>
      </w:r>
      <w:r w:rsidR="00EE4A5B" w:rsidRPr="00C66720">
        <w:rPr>
          <w:b w:val="0"/>
          <w:bCs w:val="0"/>
          <w:sz w:val="22"/>
          <w:szCs w:val="22"/>
        </w:rPr>
        <w:t xml:space="preserve">vykazuje výnosy </w:t>
      </w:r>
      <w:r w:rsidRPr="00C66720">
        <w:rPr>
          <w:b w:val="0"/>
          <w:bCs w:val="0"/>
          <w:sz w:val="22"/>
          <w:szCs w:val="22"/>
        </w:rPr>
        <w:t xml:space="preserve">z titulu poistného hradeného zamestnancom a zamestnávateľom na starobné poistenie, nemocenské poistenie, úrazové poistenie a invalidné poistenie príslušníkov Policajného zboru a Hasičského záchranného zboru v celkovej sume </w:t>
      </w:r>
      <w:r w:rsidR="00AF38E5" w:rsidRPr="00C66720">
        <w:rPr>
          <w:b w:val="0"/>
          <w:bCs w:val="0"/>
          <w:sz w:val="22"/>
          <w:szCs w:val="22"/>
        </w:rPr>
        <w:br/>
      </w:r>
      <w:r w:rsidR="004F0C1D" w:rsidRPr="00C66720">
        <w:rPr>
          <w:b w:val="0"/>
          <w:bCs w:val="0"/>
          <w:sz w:val="22"/>
          <w:szCs w:val="22"/>
        </w:rPr>
        <w:t>237 494</w:t>
      </w:r>
      <w:r w:rsidRPr="00C66720">
        <w:rPr>
          <w:b w:val="0"/>
          <w:bCs w:val="0"/>
          <w:sz w:val="22"/>
          <w:szCs w:val="22"/>
        </w:rPr>
        <w:t xml:space="preserve"> tis. eur</w:t>
      </w:r>
      <w:r w:rsidR="004F0C1D" w:rsidRPr="00C66720">
        <w:rPr>
          <w:b w:val="0"/>
          <w:bCs w:val="0"/>
          <w:sz w:val="22"/>
          <w:szCs w:val="22"/>
        </w:rPr>
        <w:t>.</w:t>
      </w:r>
      <w:r w:rsidR="006B2383" w:rsidRPr="00C66720">
        <w:rPr>
          <w:b w:val="0"/>
          <w:bCs w:val="0"/>
          <w:sz w:val="22"/>
          <w:szCs w:val="22"/>
        </w:rPr>
        <w:t xml:space="preserve"> </w:t>
      </w:r>
    </w:p>
    <w:p w14:paraId="662D48A2" w14:textId="51D0C430" w:rsidR="003F65AA" w:rsidRPr="00C66720" w:rsidRDefault="006B2383" w:rsidP="000F5743">
      <w:pPr>
        <w:pStyle w:val="Pismenka"/>
        <w:tabs>
          <w:tab w:val="clear" w:pos="426"/>
        </w:tabs>
        <w:spacing w:before="120"/>
        <w:ind w:left="0" w:firstLine="0"/>
        <w:rPr>
          <w:b w:val="0"/>
          <w:bCs w:val="0"/>
          <w:sz w:val="22"/>
          <w:szCs w:val="22"/>
        </w:rPr>
      </w:pPr>
      <w:r w:rsidRPr="00C66720">
        <w:rPr>
          <w:b w:val="0"/>
          <w:bCs w:val="0"/>
          <w:sz w:val="22"/>
          <w:szCs w:val="22"/>
          <w:u w:val="single"/>
        </w:rPr>
        <w:t>Vojenský úrad sociálneho zabezpečenia</w:t>
      </w:r>
      <w:r w:rsidRPr="00C66720">
        <w:rPr>
          <w:b w:val="0"/>
          <w:bCs w:val="0"/>
          <w:sz w:val="22"/>
          <w:szCs w:val="22"/>
        </w:rPr>
        <w:t xml:space="preserve"> vykazuje výnosy z úhrad na zákonné sociálne poistenie profesionálnych vojakov</w:t>
      </w:r>
      <w:r w:rsidR="00582C8F" w:rsidRPr="00C66720">
        <w:rPr>
          <w:b w:val="0"/>
          <w:bCs w:val="0"/>
          <w:sz w:val="22"/>
          <w:szCs w:val="22"/>
        </w:rPr>
        <w:t xml:space="preserve"> </w:t>
      </w:r>
      <w:r w:rsidR="00B260F2" w:rsidRPr="00C66720">
        <w:rPr>
          <w:b w:val="0"/>
          <w:bCs w:val="0"/>
          <w:sz w:val="22"/>
          <w:szCs w:val="22"/>
        </w:rPr>
        <w:t>36 649</w:t>
      </w:r>
      <w:r w:rsidR="00B327D5" w:rsidRPr="00C66720">
        <w:rPr>
          <w:b w:val="0"/>
          <w:bCs w:val="0"/>
          <w:sz w:val="22"/>
          <w:szCs w:val="22"/>
        </w:rPr>
        <w:t xml:space="preserve"> tis. eur</w:t>
      </w:r>
      <w:r w:rsidRPr="00C66720">
        <w:rPr>
          <w:b w:val="0"/>
          <w:bCs w:val="0"/>
          <w:sz w:val="22"/>
          <w:szCs w:val="22"/>
        </w:rPr>
        <w:t>.</w:t>
      </w:r>
    </w:p>
    <w:p w14:paraId="2E1F9E98" w14:textId="0AB2BC70" w:rsidR="008949CD" w:rsidRPr="00C66720" w:rsidRDefault="00424158" w:rsidP="000F5743">
      <w:pPr>
        <w:pStyle w:val="Pismenka"/>
        <w:tabs>
          <w:tab w:val="clear" w:pos="426"/>
        </w:tabs>
        <w:spacing w:before="120"/>
        <w:ind w:left="0" w:firstLine="0"/>
        <w:rPr>
          <w:b w:val="0"/>
          <w:bCs w:val="0"/>
          <w:sz w:val="22"/>
          <w:szCs w:val="22"/>
        </w:rPr>
      </w:pPr>
      <w:r w:rsidRPr="00C66720">
        <w:rPr>
          <w:b w:val="0"/>
          <w:bCs w:val="0"/>
          <w:sz w:val="22"/>
          <w:szCs w:val="22"/>
        </w:rPr>
        <w:t xml:space="preserve">Ďalšie </w:t>
      </w:r>
      <w:r w:rsidR="002943E8" w:rsidRPr="00C66720">
        <w:rPr>
          <w:b w:val="0"/>
          <w:bCs w:val="0"/>
          <w:sz w:val="22"/>
          <w:szCs w:val="22"/>
        </w:rPr>
        <w:t xml:space="preserve">výnosy </w:t>
      </w:r>
      <w:r w:rsidR="00DA5130" w:rsidRPr="00C66720">
        <w:rPr>
          <w:b w:val="0"/>
          <w:bCs w:val="0"/>
          <w:sz w:val="22"/>
          <w:szCs w:val="22"/>
        </w:rPr>
        <w:t>ako</w:t>
      </w:r>
      <w:r w:rsidR="008949CD" w:rsidRPr="00C66720">
        <w:rPr>
          <w:b w:val="0"/>
          <w:bCs w:val="0"/>
          <w:sz w:val="22"/>
          <w:szCs w:val="22"/>
        </w:rPr>
        <w:t xml:space="preserve"> </w:t>
      </w:r>
      <w:r w:rsidR="008949CD" w:rsidRPr="00C66720">
        <w:rPr>
          <w:b w:val="0"/>
          <w:bCs w:val="0"/>
          <w:sz w:val="22"/>
          <w:szCs w:val="22"/>
          <w:u w:val="single"/>
        </w:rPr>
        <w:t>tržby z predaja dlhodobého hmotného a nehmotného majetku</w:t>
      </w:r>
      <w:r w:rsidR="008949CD" w:rsidRPr="00C66720">
        <w:rPr>
          <w:b w:val="0"/>
          <w:bCs w:val="0"/>
          <w:sz w:val="22"/>
          <w:szCs w:val="22"/>
        </w:rPr>
        <w:t xml:space="preserve"> </w:t>
      </w:r>
      <w:r w:rsidR="00DA5130" w:rsidRPr="00C66720">
        <w:rPr>
          <w:b w:val="0"/>
          <w:bCs w:val="0"/>
          <w:sz w:val="22"/>
          <w:szCs w:val="22"/>
        </w:rPr>
        <w:t xml:space="preserve">tvoria </w:t>
      </w:r>
      <w:r w:rsidR="008949CD" w:rsidRPr="00C66720">
        <w:rPr>
          <w:b w:val="0"/>
          <w:bCs w:val="0"/>
          <w:sz w:val="22"/>
          <w:szCs w:val="22"/>
        </w:rPr>
        <w:t>sumu</w:t>
      </w:r>
      <w:r w:rsidR="0049067E" w:rsidRPr="00C66720">
        <w:rPr>
          <w:b w:val="0"/>
          <w:bCs w:val="0"/>
          <w:sz w:val="22"/>
          <w:szCs w:val="22"/>
        </w:rPr>
        <w:br/>
      </w:r>
      <w:r w:rsidR="00361F5B" w:rsidRPr="00C66720">
        <w:rPr>
          <w:b w:val="0"/>
          <w:bCs w:val="0"/>
          <w:sz w:val="22"/>
          <w:szCs w:val="22"/>
        </w:rPr>
        <w:t>207 957 tis. eur (2021</w:t>
      </w:r>
      <w:r w:rsidR="008949CD" w:rsidRPr="00C66720">
        <w:rPr>
          <w:b w:val="0"/>
          <w:bCs w:val="0"/>
          <w:sz w:val="22"/>
          <w:szCs w:val="22"/>
        </w:rPr>
        <w:t>:</w:t>
      </w:r>
      <w:r w:rsidR="005000F9" w:rsidRPr="00C66720">
        <w:rPr>
          <w:b w:val="0"/>
          <w:bCs w:val="0"/>
          <w:sz w:val="22"/>
          <w:szCs w:val="22"/>
        </w:rPr>
        <w:t xml:space="preserve"> </w:t>
      </w:r>
      <w:r w:rsidR="00361F5B" w:rsidRPr="00C66720">
        <w:rPr>
          <w:b w:val="0"/>
          <w:bCs w:val="0"/>
          <w:sz w:val="22"/>
          <w:szCs w:val="22"/>
        </w:rPr>
        <w:t xml:space="preserve">188 903 </w:t>
      </w:r>
      <w:r w:rsidR="008949CD" w:rsidRPr="00C66720">
        <w:rPr>
          <w:b w:val="0"/>
          <w:bCs w:val="0"/>
          <w:sz w:val="22"/>
          <w:szCs w:val="22"/>
        </w:rPr>
        <w:t xml:space="preserve">tis. eur), </w:t>
      </w:r>
      <w:r w:rsidR="008949CD" w:rsidRPr="00C66720">
        <w:rPr>
          <w:b w:val="0"/>
          <w:bCs w:val="0"/>
          <w:sz w:val="22"/>
          <w:szCs w:val="22"/>
          <w:u w:val="single"/>
        </w:rPr>
        <w:t>zmluvné a ostatné pokuty a penále</w:t>
      </w:r>
      <w:r w:rsidR="008949CD" w:rsidRPr="00C66720">
        <w:rPr>
          <w:b w:val="0"/>
          <w:bCs w:val="0"/>
          <w:sz w:val="22"/>
          <w:szCs w:val="22"/>
        </w:rPr>
        <w:t xml:space="preserve"> </w:t>
      </w:r>
      <w:r w:rsidR="00F0584A" w:rsidRPr="00C66720">
        <w:rPr>
          <w:b w:val="0"/>
          <w:bCs w:val="0"/>
          <w:sz w:val="22"/>
          <w:szCs w:val="22"/>
        </w:rPr>
        <w:t>120 197</w:t>
      </w:r>
      <w:r w:rsidR="0049067E" w:rsidRPr="00C66720">
        <w:rPr>
          <w:b w:val="0"/>
          <w:bCs w:val="0"/>
          <w:sz w:val="22"/>
          <w:szCs w:val="22"/>
        </w:rPr>
        <w:t xml:space="preserve"> tis. eur</w:t>
      </w:r>
      <w:r w:rsidR="0049067E" w:rsidRPr="00C66720">
        <w:rPr>
          <w:b w:val="0"/>
          <w:bCs w:val="0"/>
          <w:sz w:val="22"/>
          <w:szCs w:val="22"/>
        </w:rPr>
        <w:br/>
      </w:r>
      <w:r w:rsidR="00F0584A" w:rsidRPr="00C66720">
        <w:rPr>
          <w:b w:val="0"/>
          <w:bCs w:val="0"/>
          <w:sz w:val="22"/>
          <w:szCs w:val="22"/>
        </w:rPr>
        <w:t>(2021</w:t>
      </w:r>
      <w:r w:rsidR="008949CD" w:rsidRPr="00C66720">
        <w:rPr>
          <w:b w:val="0"/>
          <w:bCs w:val="0"/>
          <w:sz w:val="22"/>
          <w:szCs w:val="22"/>
        </w:rPr>
        <w:t xml:space="preserve">: </w:t>
      </w:r>
      <w:r w:rsidR="00F0584A" w:rsidRPr="00C66720">
        <w:rPr>
          <w:b w:val="0"/>
          <w:bCs w:val="0"/>
          <w:sz w:val="22"/>
          <w:szCs w:val="22"/>
        </w:rPr>
        <w:t>88 782</w:t>
      </w:r>
      <w:r w:rsidR="00CF776C" w:rsidRPr="00C66720">
        <w:rPr>
          <w:b w:val="0"/>
          <w:bCs w:val="0"/>
          <w:sz w:val="22"/>
          <w:szCs w:val="22"/>
        </w:rPr>
        <w:t xml:space="preserve"> </w:t>
      </w:r>
      <w:r w:rsidR="008949CD" w:rsidRPr="00C66720">
        <w:rPr>
          <w:b w:val="0"/>
          <w:bCs w:val="0"/>
          <w:sz w:val="22"/>
          <w:szCs w:val="22"/>
        </w:rPr>
        <w:t>tis.</w:t>
      </w:r>
      <w:r w:rsidR="00E8513B" w:rsidRPr="00C66720">
        <w:rPr>
          <w:b w:val="0"/>
          <w:bCs w:val="0"/>
          <w:sz w:val="22"/>
          <w:szCs w:val="22"/>
        </w:rPr>
        <w:t> </w:t>
      </w:r>
      <w:r w:rsidR="008949CD" w:rsidRPr="00C66720">
        <w:rPr>
          <w:b w:val="0"/>
          <w:bCs w:val="0"/>
          <w:sz w:val="22"/>
          <w:szCs w:val="22"/>
        </w:rPr>
        <w:t xml:space="preserve">eur), </w:t>
      </w:r>
      <w:r w:rsidR="00074CA8" w:rsidRPr="00C66720">
        <w:rPr>
          <w:b w:val="0"/>
          <w:bCs w:val="0"/>
          <w:sz w:val="22"/>
          <w:szCs w:val="22"/>
          <w:u w:val="single"/>
        </w:rPr>
        <w:t>tržby z predaja materiálu</w:t>
      </w:r>
      <w:r w:rsidR="00074CA8" w:rsidRPr="00C66720">
        <w:rPr>
          <w:b w:val="0"/>
          <w:bCs w:val="0"/>
          <w:sz w:val="22"/>
          <w:szCs w:val="22"/>
        </w:rPr>
        <w:t xml:space="preserve"> </w:t>
      </w:r>
      <w:r w:rsidR="001F6E7B" w:rsidRPr="00C66720">
        <w:rPr>
          <w:b w:val="0"/>
          <w:bCs w:val="0"/>
          <w:sz w:val="22"/>
          <w:szCs w:val="22"/>
        </w:rPr>
        <w:t xml:space="preserve">13 298 tis. eur (2021: 11 163 tis. eur), </w:t>
      </w:r>
      <w:r w:rsidR="008949CD" w:rsidRPr="00C66720">
        <w:rPr>
          <w:b w:val="0"/>
          <w:bCs w:val="0"/>
          <w:sz w:val="22"/>
          <w:szCs w:val="22"/>
          <w:u w:val="single"/>
        </w:rPr>
        <w:t>výnosy z odpísaných pohľadávok</w:t>
      </w:r>
      <w:r w:rsidR="005652AB" w:rsidRPr="00C66720">
        <w:rPr>
          <w:b w:val="0"/>
          <w:bCs w:val="0"/>
          <w:sz w:val="22"/>
          <w:szCs w:val="22"/>
        </w:rPr>
        <w:t xml:space="preserve"> </w:t>
      </w:r>
      <w:r w:rsidR="00634F81" w:rsidRPr="00C66720">
        <w:rPr>
          <w:b w:val="0"/>
          <w:bCs w:val="0"/>
          <w:sz w:val="22"/>
          <w:szCs w:val="22"/>
        </w:rPr>
        <w:t>12 675</w:t>
      </w:r>
      <w:r w:rsidR="008949CD" w:rsidRPr="00C66720">
        <w:rPr>
          <w:b w:val="0"/>
          <w:bCs w:val="0"/>
          <w:sz w:val="22"/>
          <w:szCs w:val="22"/>
        </w:rPr>
        <w:t xml:space="preserve"> </w:t>
      </w:r>
      <w:r w:rsidR="00634F81" w:rsidRPr="00C66720">
        <w:rPr>
          <w:b w:val="0"/>
          <w:bCs w:val="0"/>
          <w:sz w:val="22"/>
          <w:szCs w:val="22"/>
        </w:rPr>
        <w:t>tis. eur (2021</w:t>
      </w:r>
      <w:r w:rsidR="008949CD" w:rsidRPr="00C66720">
        <w:rPr>
          <w:b w:val="0"/>
          <w:bCs w:val="0"/>
          <w:sz w:val="22"/>
          <w:szCs w:val="22"/>
        </w:rPr>
        <w:t xml:space="preserve">: </w:t>
      </w:r>
      <w:r w:rsidR="00634F81" w:rsidRPr="00C66720">
        <w:rPr>
          <w:b w:val="0"/>
          <w:bCs w:val="0"/>
          <w:sz w:val="22"/>
          <w:szCs w:val="22"/>
        </w:rPr>
        <w:t xml:space="preserve">8 775 </w:t>
      </w:r>
      <w:r w:rsidR="008949CD" w:rsidRPr="00C66720">
        <w:rPr>
          <w:b w:val="0"/>
          <w:bCs w:val="0"/>
          <w:sz w:val="22"/>
          <w:szCs w:val="22"/>
        </w:rPr>
        <w:t xml:space="preserve">tis. eur). </w:t>
      </w:r>
    </w:p>
    <w:p w14:paraId="70AA0E8F" w14:textId="1DB179AD" w:rsidR="00C31689" w:rsidRPr="00C66720" w:rsidRDefault="00A144F4" w:rsidP="00A144F4">
      <w:pPr>
        <w:pStyle w:val="Pismenka"/>
        <w:tabs>
          <w:tab w:val="clear" w:pos="426"/>
        </w:tabs>
        <w:spacing w:before="120"/>
        <w:ind w:left="0" w:firstLine="0"/>
        <w:rPr>
          <w:b w:val="0"/>
          <w:bCs w:val="0"/>
          <w:sz w:val="22"/>
          <w:szCs w:val="22"/>
        </w:rPr>
      </w:pPr>
      <w:r w:rsidRPr="00C66720">
        <w:rPr>
          <w:b w:val="0"/>
          <w:bCs w:val="0"/>
          <w:sz w:val="22"/>
          <w:szCs w:val="22"/>
          <w:u w:val="single"/>
        </w:rPr>
        <w:t>Sociálna poisťovňa</w:t>
      </w:r>
      <w:r w:rsidRPr="00C66720">
        <w:rPr>
          <w:b w:val="0"/>
          <w:bCs w:val="0"/>
          <w:sz w:val="22"/>
          <w:szCs w:val="22"/>
        </w:rPr>
        <w:t xml:space="preserve"> medzi ostatnými výnosmi z prevádzkovej činnosti vykazuje </w:t>
      </w:r>
      <w:r w:rsidR="00C31689" w:rsidRPr="00C66720">
        <w:rPr>
          <w:b w:val="0"/>
          <w:bCs w:val="0"/>
          <w:sz w:val="22"/>
          <w:szCs w:val="22"/>
        </w:rPr>
        <w:t xml:space="preserve">ostatné výnosy z činnosti </w:t>
      </w:r>
      <w:r w:rsidR="00D621D7" w:rsidRPr="00C66720">
        <w:rPr>
          <w:b w:val="0"/>
          <w:bCs w:val="0"/>
          <w:sz w:val="22"/>
          <w:szCs w:val="22"/>
        </w:rPr>
        <w:t>Sociálnej poisťovne</w:t>
      </w:r>
      <w:r w:rsidR="00F33B87">
        <w:rPr>
          <w:b w:val="0"/>
          <w:bCs w:val="0"/>
          <w:sz w:val="22"/>
          <w:szCs w:val="22"/>
        </w:rPr>
        <w:t xml:space="preserve"> (</w:t>
      </w:r>
      <w:r w:rsidR="00F90CE9">
        <w:rPr>
          <w:b w:val="0"/>
          <w:bCs w:val="0"/>
          <w:sz w:val="22"/>
          <w:szCs w:val="22"/>
        </w:rPr>
        <w:t>1 352</w:t>
      </w:r>
      <w:r w:rsidR="00F33B87">
        <w:rPr>
          <w:b w:val="0"/>
          <w:bCs w:val="0"/>
          <w:sz w:val="22"/>
          <w:szCs w:val="22"/>
        </w:rPr>
        <w:t xml:space="preserve"> tis. eur)</w:t>
      </w:r>
      <w:r w:rsidR="00D621D7" w:rsidRPr="00C66720">
        <w:rPr>
          <w:b w:val="0"/>
          <w:bCs w:val="0"/>
          <w:sz w:val="22"/>
          <w:szCs w:val="22"/>
        </w:rPr>
        <w:t xml:space="preserve">, pričom medziročný pokles v sume </w:t>
      </w:r>
      <w:r w:rsidR="00F90CE9">
        <w:rPr>
          <w:b w:val="0"/>
          <w:bCs w:val="0"/>
          <w:sz w:val="22"/>
          <w:szCs w:val="22"/>
        </w:rPr>
        <w:t>418 300</w:t>
      </w:r>
      <w:r w:rsidR="00D621D7" w:rsidRPr="00C66720">
        <w:rPr>
          <w:b w:val="0"/>
          <w:bCs w:val="0"/>
          <w:sz w:val="22"/>
          <w:szCs w:val="22"/>
        </w:rPr>
        <w:t xml:space="preserve"> tis. eur je spôsobený </w:t>
      </w:r>
      <w:r w:rsidR="00F33B87">
        <w:rPr>
          <w:b w:val="0"/>
          <w:bCs w:val="0"/>
          <w:sz w:val="22"/>
          <w:szCs w:val="22"/>
        </w:rPr>
        <w:t xml:space="preserve">predovšetkým </w:t>
      </w:r>
      <w:r w:rsidR="00D621D7" w:rsidRPr="00C66720">
        <w:rPr>
          <w:b w:val="0"/>
          <w:bCs w:val="0"/>
          <w:sz w:val="22"/>
          <w:szCs w:val="22"/>
        </w:rPr>
        <w:t xml:space="preserve">zmenou vykazovania tvorby a čerpania správneho fondu (vylúčením </w:t>
      </w:r>
      <w:r w:rsidR="00D621D7" w:rsidRPr="00C66720">
        <w:rPr>
          <w:b w:val="0"/>
          <w:bCs w:val="0"/>
          <w:sz w:val="22"/>
          <w:szCs w:val="22"/>
        </w:rPr>
        <w:lastRenderedPageBreak/>
        <w:t>vzájomných nákladov a výnosov z tvorby a zúčtovania správneho fondu pri jeho použití) ako aj z dôvodu reklasifikácie výnosov zo zúčtovania bežných a kapitálových transferov v súvislosti s nákladmi na príslušný výnosový účet podľa poskytovateľa transferu.</w:t>
      </w:r>
    </w:p>
    <w:p w14:paraId="650E93BA" w14:textId="733CD1D6" w:rsidR="00DE33A0" w:rsidRPr="00C66720" w:rsidRDefault="00D01E4C" w:rsidP="00633123">
      <w:pPr>
        <w:pStyle w:val="Pismenka"/>
        <w:tabs>
          <w:tab w:val="clear" w:pos="426"/>
        </w:tabs>
        <w:spacing w:before="120"/>
        <w:ind w:left="0" w:firstLine="0"/>
        <w:rPr>
          <w:b w:val="0"/>
          <w:bCs w:val="0"/>
          <w:sz w:val="22"/>
          <w:szCs w:val="22"/>
        </w:rPr>
      </w:pPr>
      <w:r w:rsidRPr="00C66720">
        <w:rPr>
          <w:b w:val="0"/>
          <w:bCs w:val="0"/>
          <w:sz w:val="22"/>
          <w:szCs w:val="22"/>
        </w:rPr>
        <w:t xml:space="preserve">V rámci </w:t>
      </w:r>
      <w:r w:rsidRPr="00C66720">
        <w:rPr>
          <w:b w:val="0"/>
          <w:bCs w:val="0"/>
          <w:sz w:val="22"/>
          <w:szCs w:val="22"/>
          <w:u w:val="single"/>
        </w:rPr>
        <w:t>ostatných výnosov</w:t>
      </w:r>
      <w:r w:rsidRPr="00C66720">
        <w:rPr>
          <w:b w:val="0"/>
          <w:bCs w:val="0"/>
          <w:sz w:val="22"/>
          <w:szCs w:val="22"/>
        </w:rPr>
        <w:t xml:space="preserve"> z prevádzkovej činnosti vykazuje Jadrová a vyraďovacia spoločnosť, a.s. </w:t>
      </w:r>
      <w:r w:rsidR="001356BE" w:rsidRPr="00C66720">
        <w:rPr>
          <w:b w:val="0"/>
          <w:bCs w:val="0"/>
          <w:sz w:val="22"/>
          <w:szCs w:val="22"/>
        </w:rPr>
        <w:br/>
        <w:t>63 077</w:t>
      </w:r>
      <w:r w:rsidRPr="00C66720">
        <w:rPr>
          <w:b w:val="0"/>
          <w:bCs w:val="0"/>
          <w:sz w:val="22"/>
          <w:szCs w:val="22"/>
        </w:rPr>
        <w:t xml:space="preserve"> tis. eur v súvislosti so zúčtovaním transferov od subjektov mimo verejnej správy </w:t>
      </w:r>
      <w:r w:rsidR="003863C6" w:rsidRPr="00C66720">
        <w:rPr>
          <w:b w:val="0"/>
          <w:bCs w:val="0"/>
          <w:sz w:val="22"/>
          <w:szCs w:val="22"/>
        </w:rPr>
        <w:t xml:space="preserve">(finančných príspevkov poskytnutých prostredníctvom Národného jadrového fondu uhradených subjektami mimo konsolidovaný celok verejnej správy a príspevkov od Medzinárodného fondu na podporu vyradenia z prevádzky Jadrovej elektrárne Jaslovské Bohunice) </w:t>
      </w:r>
      <w:r w:rsidRPr="00C66720">
        <w:rPr>
          <w:b w:val="0"/>
          <w:bCs w:val="0"/>
          <w:sz w:val="22"/>
          <w:szCs w:val="22"/>
        </w:rPr>
        <w:t>a Ministerstvo hospodárstva SR výnosy z</w:t>
      </w:r>
      <w:r w:rsidR="00322E68" w:rsidRPr="00C66720">
        <w:rPr>
          <w:b w:val="0"/>
          <w:bCs w:val="0"/>
          <w:sz w:val="22"/>
          <w:szCs w:val="22"/>
        </w:rPr>
        <w:t xml:space="preserve"> odvodov z prenosovej sústavy a distribučných sústav v sume </w:t>
      </w:r>
      <w:r w:rsidR="0064293E" w:rsidRPr="00C66720">
        <w:rPr>
          <w:b w:val="0"/>
          <w:bCs w:val="0"/>
          <w:sz w:val="22"/>
          <w:szCs w:val="22"/>
        </w:rPr>
        <w:t>71 815</w:t>
      </w:r>
      <w:r w:rsidR="00322E68" w:rsidRPr="00C66720">
        <w:rPr>
          <w:b w:val="0"/>
          <w:bCs w:val="0"/>
          <w:sz w:val="22"/>
          <w:szCs w:val="22"/>
        </w:rPr>
        <w:t xml:space="preserve"> tis. eur.</w:t>
      </w:r>
      <w:r w:rsidR="00925F4A" w:rsidRPr="00C66720">
        <w:rPr>
          <w:b w:val="0"/>
          <w:bCs w:val="0"/>
          <w:sz w:val="22"/>
          <w:szCs w:val="22"/>
        </w:rPr>
        <w:t xml:space="preserve"> Ďalej v rámci ostatných výnosov sú vykázané výnosy Ministerstva vnútra SR za odňatie poľnohospodárskej pôdy z poľnohospodárskeho pôdneho fondu a vyňatia lesnej pôdy z lesného fondu (4 151 tis. eur), výnosy z dobropisov (11 073 tis. eur) a ostatné výnosy z príjmov za odúmrť, prepadnuté volebné kaucie, prepadnuté veci, súdne úschovy a výnosy z náhrad poistného plnenia (8 916 tis. eur).</w:t>
      </w:r>
    </w:p>
    <w:p w14:paraId="67E7D173" w14:textId="3FA90924" w:rsidR="000F5743" w:rsidRPr="00C66720" w:rsidRDefault="00955CCF" w:rsidP="00633123">
      <w:pPr>
        <w:pStyle w:val="Pismenka"/>
        <w:tabs>
          <w:tab w:val="clear" w:pos="426"/>
        </w:tabs>
        <w:spacing w:before="120"/>
        <w:ind w:left="0" w:firstLine="0"/>
        <w:rPr>
          <w:szCs w:val="22"/>
        </w:rPr>
      </w:pPr>
      <w:r w:rsidRPr="00C66720">
        <w:rPr>
          <w:b w:val="0"/>
          <w:bCs w:val="0"/>
          <w:sz w:val="22"/>
          <w:szCs w:val="22"/>
        </w:rPr>
        <w:t xml:space="preserve">Subjekty územnej samosprávy vykázali tieto ostatné výnosy úhrnnom </w:t>
      </w:r>
      <w:r w:rsidR="001D611E" w:rsidRPr="00C66720">
        <w:rPr>
          <w:b w:val="0"/>
          <w:bCs w:val="0"/>
          <w:sz w:val="22"/>
          <w:szCs w:val="22"/>
        </w:rPr>
        <w:t>317 562</w:t>
      </w:r>
      <w:r w:rsidRPr="00C66720">
        <w:rPr>
          <w:b w:val="0"/>
          <w:bCs w:val="0"/>
          <w:sz w:val="22"/>
          <w:szCs w:val="22"/>
        </w:rPr>
        <w:t xml:space="preserve"> tis. eur</w:t>
      </w:r>
      <w:r w:rsidR="00E42AF3" w:rsidRPr="00C66720">
        <w:rPr>
          <w:b w:val="0"/>
          <w:bCs w:val="0"/>
          <w:sz w:val="22"/>
          <w:szCs w:val="22"/>
        </w:rPr>
        <w:t xml:space="preserve"> a</w:t>
      </w:r>
      <w:r w:rsidRPr="00C66720">
        <w:rPr>
          <w:b w:val="0"/>
          <w:bCs w:val="0"/>
          <w:sz w:val="22"/>
          <w:szCs w:val="22"/>
        </w:rPr>
        <w:t xml:space="preserve"> medziročne </w:t>
      </w:r>
      <w:r w:rsidR="00E42AF3" w:rsidRPr="00C66720">
        <w:rPr>
          <w:b w:val="0"/>
          <w:bCs w:val="0"/>
          <w:sz w:val="22"/>
          <w:szCs w:val="22"/>
        </w:rPr>
        <w:t xml:space="preserve">boli </w:t>
      </w:r>
      <w:r w:rsidR="001D611E" w:rsidRPr="00C66720">
        <w:rPr>
          <w:b w:val="0"/>
          <w:bCs w:val="0"/>
          <w:sz w:val="22"/>
          <w:szCs w:val="22"/>
        </w:rPr>
        <w:t>vyššie</w:t>
      </w:r>
      <w:r w:rsidRPr="00C66720">
        <w:rPr>
          <w:b w:val="0"/>
          <w:bCs w:val="0"/>
          <w:sz w:val="22"/>
          <w:szCs w:val="22"/>
        </w:rPr>
        <w:t xml:space="preserve"> o</w:t>
      </w:r>
      <w:r w:rsidR="001D611E" w:rsidRPr="00C66720">
        <w:rPr>
          <w:b w:val="0"/>
          <w:bCs w:val="0"/>
          <w:sz w:val="22"/>
          <w:szCs w:val="22"/>
        </w:rPr>
        <w:t> 13 202</w:t>
      </w:r>
      <w:r w:rsidRPr="00C66720">
        <w:rPr>
          <w:b w:val="0"/>
          <w:bCs w:val="0"/>
          <w:sz w:val="22"/>
          <w:szCs w:val="22"/>
        </w:rPr>
        <w:t xml:space="preserve"> tis. eur.</w:t>
      </w:r>
    </w:p>
    <w:p w14:paraId="4EBF9B6A" w14:textId="77777777" w:rsidR="005A629E" w:rsidRPr="00C66720" w:rsidRDefault="005A629E" w:rsidP="00521C01">
      <w:pPr>
        <w:pStyle w:val="Pismenka"/>
        <w:tabs>
          <w:tab w:val="clear" w:pos="426"/>
        </w:tabs>
        <w:spacing w:before="240" w:after="120"/>
        <w:ind w:left="425" w:hanging="425"/>
        <w:rPr>
          <w:bCs w:val="0"/>
          <w:sz w:val="24"/>
          <w:szCs w:val="24"/>
        </w:rPr>
      </w:pPr>
      <w:r w:rsidRPr="00C66720">
        <w:rPr>
          <w:bCs w:val="0"/>
          <w:sz w:val="24"/>
          <w:szCs w:val="24"/>
        </w:rPr>
        <w:t>NÁKLADY</w:t>
      </w:r>
    </w:p>
    <w:p w14:paraId="0DB8D311" w14:textId="652EC112" w:rsidR="00C453A1" w:rsidRPr="00C66720" w:rsidRDefault="005A629E" w:rsidP="008F097E">
      <w:pPr>
        <w:pStyle w:val="Pismenka"/>
        <w:tabs>
          <w:tab w:val="clear" w:pos="426"/>
        </w:tabs>
        <w:spacing w:after="120"/>
        <w:ind w:left="0" w:firstLine="0"/>
        <w:rPr>
          <w:b w:val="0"/>
          <w:bCs w:val="0"/>
          <w:sz w:val="22"/>
          <w:szCs w:val="22"/>
        </w:rPr>
      </w:pPr>
      <w:r w:rsidRPr="00C66720">
        <w:rPr>
          <w:b w:val="0"/>
          <w:bCs w:val="0"/>
          <w:sz w:val="22"/>
          <w:szCs w:val="22"/>
        </w:rPr>
        <w:t>Náklady súhrnného celku za ro</w:t>
      </w:r>
      <w:r w:rsidR="00811D2E" w:rsidRPr="00C66720">
        <w:rPr>
          <w:b w:val="0"/>
          <w:bCs w:val="0"/>
          <w:sz w:val="22"/>
          <w:szCs w:val="22"/>
        </w:rPr>
        <w:t>k 2022</w:t>
      </w:r>
      <w:r w:rsidRPr="00C66720">
        <w:rPr>
          <w:b w:val="0"/>
          <w:bCs w:val="0"/>
          <w:sz w:val="22"/>
          <w:szCs w:val="22"/>
        </w:rPr>
        <w:t xml:space="preserve"> dosiahli hodnotu </w:t>
      </w:r>
      <w:r w:rsidR="00DC1E3D" w:rsidRPr="00C66720">
        <w:rPr>
          <w:b w:val="0"/>
          <w:bCs w:val="0"/>
          <w:sz w:val="22"/>
          <w:szCs w:val="22"/>
        </w:rPr>
        <w:t>65 481 864</w:t>
      </w:r>
      <w:r w:rsidRPr="00C66720">
        <w:rPr>
          <w:b w:val="0"/>
          <w:bCs w:val="0"/>
          <w:sz w:val="22"/>
          <w:szCs w:val="22"/>
        </w:rPr>
        <w:t xml:space="preserve"> tis. eur. </w:t>
      </w:r>
      <w:r w:rsidR="00BC2243" w:rsidRPr="00C66720">
        <w:rPr>
          <w:b w:val="0"/>
          <w:bCs w:val="0"/>
          <w:sz w:val="22"/>
          <w:szCs w:val="22"/>
        </w:rPr>
        <w:t>Oproti roku 2021</w:t>
      </w:r>
      <w:r w:rsidR="00B947F1" w:rsidRPr="00C66720">
        <w:rPr>
          <w:b w:val="0"/>
          <w:bCs w:val="0"/>
          <w:sz w:val="22"/>
          <w:szCs w:val="22"/>
        </w:rPr>
        <w:t xml:space="preserve"> sa celkové náklady </w:t>
      </w:r>
      <w:r w:rsidR="00BC2243" w:rsidRPr="00C66720">
        <w:rPr>
          <w:b w:val="0"/>
          <w:bCs w:val="0"/>
          <w:sz w:val="22"/>
          <w:szCs w:val="22"/>
        </w:rPr>
        <w:t>znížili</w:t>
      </w:r>
      <w:r w:rsidR="00685912" w:rsidRPr="00C66720">
        <w:rPr>
          <w:b w:val="0"/>
          <w:bCs w:val="0"/>
          <w:sz w:val="22"/>
          <w:szCs w:val="22"/>
        </w:rPr>
        <w:t xml:space="preserve"> </w:t>
      </w:r>
      <w:r w:rsidRPr="00C66720">
        <w:rPr>
          <w:b w:val="0"/>
          <w:bCs w:val="0"/>
          <w:sz w:val="22"/>
          <w:szCs w:val="22"/>
        </w:rPr>
        <w:t>o</w:t>
      </w:r>
      <w:r w:rsidR="00DC1E3D" w:rsidRPr="00C66720">
        <w:rPr>
          <w:b w:val="0"/>
          <w:bCs w:val="0"/>
          <w:sz w:val="22"/>
          <w:szCs w:val="22"/>
        </w:rPr>
        <w:t> 7 017 899</w:t>
      </w:r>
      <w:r w:rsidRPr="00C66720">
        <w:rPr>
          <w:b w:val="0"/>
          <w:bCs w:val="0"/>
          <w:sz w:val="22"/>
          <w:szCs w:val="22"/>
        </w:rPr>
        <w:t> tis. eur, pričom toto</w:t>
      </w:r>
      <w:r w:rsidR="00B947F1" w:rsidRPr="00C66720">
        <w:rPr>
          <w:b w:val="0"/>
          <w:bCs w:val="0"/>
          <w:sz w:val="22"/>
          <w:szCs w:val="22"/>
        </w:rPr>
        <w:t xml:space="preserve"> </w:t>
      </w:r>
      <w:r w:rsidR="00BC2243" w:rsidRPr="00C66720">
        <w:rPr>
          <w:b w:val="0"/>
          <w:bCs w:val="0"/>
          <w:sz w:val="22"/>
          <w:szCs w:val="22"/>
        </w:rPr>
        <w:t>zníženie</w:t>
      </w:r>
      <w:r w:rsidRPr="00C66720">
        <w:rPr>
          <w:b w:val="0"/>
          <w:bCs w:val="0"/>
          <w:sz w:val="22"/>
          <w:szCs w:val="22"/>
        </w:rPr>
        <w:t xml:space="preserve"> bolo spôsobené najmä</w:t>
      </w:r>
      <w:r w:rsidR="00FB32C8">
        <w:rPr>
          <w:b w:val="0"/>
          <w:bCs w:val="0"/>
          <w:sz w:val="22"/>
          <w:szCs w:val="22"/>
        </w:rPr>
        <w:t xml:space="preserve"> </w:t>
      </w:r>
      <w:r w:rsidR="00BC2243" w:rsidRPr="00C66720">
        <w:rPr>
          <w:b w:val="0"/>
          <w:bCs w:val="0"/>
          <w:sz w:val="22"/>
          <w:szCs w:val="22"/>
        </w:rPr>
        <w:t xml:space="preserve">nižšími nákladmi </w:t>
      </w:r>
      <w:r w:rsidR="00FB32C8">
        <w:rPr>
          <w:b w:val="0"/>
          <w:bCs w:val="0"/>
          <w:sz w:val="22"/>
          <w:szCs w:val="22"/>
        </w:rPr>
        <w:t xml:space="preserve">Sociálnej poisťovne o 14 233 261 tis. eur z dôvodu vylúčenia interných prevodov medzi fondami, </w:t>
      </w:r>
      <w:r w:rsidR="00673A2A">
        <w:rPr>
          <w:b w:val="0"/>
          <w:bCs w:val="0"/>
          <w:sz w:val="22"/>
          <w:szCs w:val="22"/>
        </w:rPr>
        <w:t xml:space="preserve">nižšími nákladmi Ministerstva financií SR </w:t>
      </w:r>
      <w:r w:rsidR="007D78C1">
        <w:rPr>
          <w:b w:val="0"/>
          <w:bCs w:val="0"/>
          <w:sz w:val="22"/>
          <w:szCs w:val="22"/>
        </w:rPr>
        <w:t xml:space="preserve">na transfery </w:t>
      </w:r>
      <w:r w:rsidR="00673A2A">
        <w:rPr>
          <w:b w:val="0"/>
          <w:bCs w:val="0"/>
          <w:sz w:val="22"/>
          <w:szCs w:val="22"/>
        </w:rPr>
        <w:t xml:space="preserve">o 1 032 095 tis. eur (v tom subjektom mimo verejnej správy o 534 322 tis. eur a subjektom mimo verejnej správy o 421 287 </w:t>
      </w:r>
      <w:r w:rsidR="00980BF0">
        <w:rPr>
          <w:b w:val="0"/>
          <w:bCs w:val="0"/>
          <w:sz w:val="22"/>
          <w:szCs w:val="22"/>
        </w:rPr>
        <w:t>tis. eur),</w:t>
      </w:r>
      <w:r w:rsidR="00BC2243" w:rsidRPr="00C66720">
        <w:rPr>
          <w:b w:val="0"/>
          <w:bCs w:val="0"/>
          <w:sz w:val="22"/>
          <w:szCs w:val="22"/>
        </w:rPr>
        <w:t>nižšími nákladmi na tvorbu rezerv (o 1 887 540 tis. eur) a opravných položiek (o 175 534 tis. eur)</w:t>
      </w:r>
      <w:r w:rsidR="00D62E3D">
        <w:rPr>
          <w:b w:val="0"/>
          <w:bCs w:val="0"/>
          <w:sz w:val="22"/>
          <w:szCs w:val="22"/>
        </w:rPr>
        <w:t xml:space="preserve"> a</w:t>
      </w:r>
      <w:r w:rsidR="00BC2243" w:rsidRPr="00C66720">
        <w:rPr>
          <w:b w:val="0"/>
          <w:bCs w:val="0"/>
          <w:sz w:val="22"/>
          <w:szCs w:val="22"/>
        </w:rPr>
        <w:t xml:space="preserve"> nižšími finančnými nákladmi</w:t>
      </w:r>
      <w:r w:rsidR="007D78C1">
        <w:rPr>
          <w:b w:val="0"/>
          <w:bCs w:val="0"/>
          <w:sz w:val="22"/>
          <w:szCs w:val="22"/>
        </w:rPr>
        <w:t xml:space="preserve"> </w:t>
      </w:r>
      <w:r w:rsidR="00BC2243" w:rsidRPr="00C66720">
        <w:rPr>
          <w:b w:val="0"/>
          <w:bCs w:val="0"/>
          <w:sz w:val="22"/>
          <w:szCs w:val="22"/>
        </w:rPr>
        <w:t>(o 711 663 tis. eur)</w:t>
      </w:r>
      <w:r w:rsidR="00D62E3D">
        <w:rPr>
          <w:b w:val="0"/>
          <w:bCs w:val="0"/>
          <w:sz w:val="22"/>
          <w:szCs w:val="22"/>
        </w:rPr>
        <w:t>.</w:t>
      </w:r>
      <w:r w:rsidR="00BC2243" w:rsidRPr="00C66720">
        <w:rPr>
          <w:b w:val="0"/>
          <w:bCs w:val="0"/>
          <w:sz w:val="22"/>
          <w:szCs w:val="22"/>
        </w:rPr>
        <w:t xml:space="preserve"> Naopak, medziročne vzrástli náklady na spotrebované nákupy a služby </w:t>
      </w:r>
      <w:r w:rsidR="007D78C1">
        <w:rPr>
          <w:b w:val="0"/>
          <w:bCs w:val="0"/>
          <w:sz w:val="22"/>
          <w:szCs w:val="22"/>
        </w:rPr>
        <w:t>(</w:t>
      </w:r>
      <w:r w:rsidR="00BC2243" w:rsidRPr="00C66720">
        <w:rPr>
          <w:b w:val="0"/>
          <w:bCs w:val="0"/>
          <w:sz w:val="22"/>
          <w:szCs w:val="22"/>
        </w:rPr>
        <w:t>o 9 803 637 tis. eur), najmä náklady na materiál (o 4 827 141 tis. eur)</w:t>
      </w:r>
      <w:r w:rsidR="00566331">
        <w:rPr>
          <w:b w:val="0"/>
          <w:bCs w:val="0"/>
          <w:sz w:val="22"/>
          <w:szCs w:val="22"/>
        </w:rPr>
        <w:t xml:space="preserve"> vplyvom zvýšeného</w:t>
      </w:r>
      <w:r w:rsidR="00566331" w:rsidRPr="00C66720">
        <w:rPr>
          <w:b w:val="0"/>
          <w:bCs w:val="0"/>
          <w:sz w:val="22"/>
          <w:szCs w:val="22"/>
        </w:rPr>
        <w:t xml:space="preserve"> objemu nákupov zemného plynu </w:t>
      </w:r>
      <w:r w:rsidR="00566331">
        <w:rPr>
          <w:b w:val="0"/>
          <w:bCs w:val="0"/>
          <w:sz w:val="22"/>
          <w:szCs w:val="22"/>
        </w:rPr>
        <w:t>a</w:t>
      </w:r>
      <w:r w:rsidR="00566331" w:rsidRPr="00C66720">
        <w:rPr>
          <w:b w:val="0"/>
          <w:bCs w:val="0"/>
          <w:sz w:val="22"/>
          <w:szCs w:val="22"/>
        </w:rPr>
        <w:t xml:space="preserve"> nárastom spotových cien tejto komodity</w:t>
      </w:r>
      <w:r w:rsidR="00566331">
        <w:rPr>
          <w:b w:val="0"/>
          <w:bCs w:val="0"/>
          <w:sz w:val="22"/>
          <w:szCs w:val="22"/>
        </w:rPr>
        <w:t xml:space="preserve">, </w:t>
      </w:r>
      <w:r w:rsidR="00BC2243" w:rsidRPr="00C66720">
        <w:rPr>
          <w:b w:val="0"/>
          <w:bCs w:val="0"/>
          <w:sz w:val="22"/>
          <w:szCs w:val="22"/>
        </w:rPr>
        <w:t xml:space="preserve">a predaný tovar </w:t>
      </w:r>
      <w:r w:rsidR="00566331">
        <w:rPr>
          <w:b w:val="0"/>
          <w:bCs w:val="0"/>
          <w:sz w:val="22"/>
          <w:szCs w:val="22"/>
        </w:rPr>
        <w:br/>
      </w:r>
      <w:r w:rsidR="00BC2243" w:rsidRPr="00C66720">
        <w:rPr>
          <w:b w:val="0"/>
          <w:bCs w:val="0"/>
          <w:sz w:val="22"/>
          <w:szCs w:val="22"/>
        </w:rPr>
        <w:t>(o 3 431 589 tis. eur)</w:t>
      </w:r>
      <w:r w:rsidR="00566331">
        <w:rPr>
          <w:b w:val="0"/>
          <w:bCs w:val="0"/>
          <w:sz w:val="22"/>
          <w:szCs w:val="22"/>
        </w:rPr>
        <w:t xml:space="preserve"> v dôsledku zvýšenia cien elektrickej energie </w:t>
      </w:r>
      <w:r w:rsidR="00BC2243" w:rsidRPr="00C66720">
        <w:rPr>
          <w:b w:val="0"/>
          <w:bCs w:val="0"/>
          <w:sz w:val="22"/>
          <w:szCs w:val="22"/>
        </w:rPr>
        <w:t>. Nasleduje nárast osobných nákladov v objeme 808 750 tis. eur (v tom mzdy a platy o 558 708 tis. eur) a ostatných nákladov na prevádzkovú činnosť o 255 414 tis. eur.</w:t>
      </w:r>
      <w:r w:rsidR="00C453A1" w:rsidRPr="00C66720">
        <w:rPr>
          <w:b w:val="0"/>
          <w:bCs w:val="0"/>
          <w:sz w:val="22"/>
          <w:szCs w:val="22"/>
        </w:rPr>
        <w:t xml:space="preserve"> </w:t>
      </w:r>
    </w:p>
    <w:p w14:paraId="0134F445" w14:textId="77777777" w:rsidR="005A629E" w:rsidRPr="00C66720" w:rsidRDefault="005A629E" w:rsidP="00C014E3">
      <w:pPr>
        <w:pStyle w:val="Pismenka"/>
        <w:numPr>
          <w:ilvl w:val="0"/>
          <w:numId w:val="24"/>
        </w:numPr>
        <w:spacing w:before="240" w:after="120"/>
        <w:ind w:left="426" w:hanging="426"/>
        <w:rPr>
          <w:bCs w:val="0"/>
          <w:sz w:val="24"/>
          <w:szCs w:val="24"/>
        </w:rPr>
      </w:pPr>
      <w:bookmarkStart w:id="68" w:name="_Ref86186907"/>
      <w:r w:rsidRPr="00C66720">
        <w:rPr>
          <w:bCs w:val="0"/>
          <w:sz w:val="24"/>
          <w:szCs w:val="24"/>
        </w:rPr>
        <w:t>Náklady na transfery</w:t>
      </w:r>
      <w:bookmarkEnd w:id="68"/>
      <w:r w:rsidRPr="00C66720">
        <w:rPr>
          <w:bCs w:val="0"/>
          <w:sz w:val="24"/>
          <w:szCs w:val="24"/>
        </w:rPr>
        <w:t xml:space="preserve"> </w:t>
      </w:r>
    </w:p>
    <w:p w14:paraId="4FB9F830" w14:textId="40195B83" w:rsidR="000C2944" w:rsidRPr="00C66720" w:rsidRDefault="005A629E" w:rsidP="00633123">
      <w:pPr>
        <w:pStyle w:val="Pismenka"/>
        <w:tabs>
          <w:tab w:val="clear" w:pos="426"/>
        </w:tabs>
        <w:spacing w:after="240"/>
        <w:ind w:left="0" w:firstLine="0"/>
        <w:rPr>
          <w:b w:val="0"/>
          <w:bCs w:val="0"/>
          <w:sz w:val="22"/>
          <w:szCs w:val="22"/>
        </w:rPr>
      </w:pPr>
      <w:r w:rsidRPr="00C66720">
        <w:rPr>
          <w:b w:val="0"/>
          <w:bCs w:val="0"/>
          <w:sz w:val="22"/>
          <w:szCs w:val="22"/>
        </w:rPr>
        <w:t xml:space="preserve">V rámci celkových nákladov tvoria hodnotu </w:t>
      </w:r>
      <w:r w:rsidR="006B093E" w:rsidRPr="00C66720">
        <w:rPr>
          <w:b w:val="0"/>
          <w:bCs w:val="0"/>
          <w:sz w:val="22"/>
          <w:szCs w:val="22"/>
        </w:rPr>
        <w:t>19</w:t>
      </w:r>
      <w:r w:rsidR="00002E2F" w:rsidRPr="00C66720">
        <w:rPr>
          <w:b w:val="0"/>
          <w:bCs w:val="0"/>
          <w:sz w:val="22"/>
          <w:szCs w:val="22"/>
        </w:rPr>
        <w:t> </w:t>
      </w:r>
      <w:r w:rsidR="006B093E" w:rsidRPr="00C66720">
        <w:rPr>
          <w:b w:val="0"/>
          <w:bCs w:val="0"/>
          <w:sz w:val="22"/>
          <w:szCs w:val="22"/>
        </w:rPr>
        <w:t>291</w:t>
      </w:r>
      <w:r w:rsidR="00002E2F" w:rsidRPr="00C66720">
        <w:rPr>
          <w:b w:val="0"/>
          <w:bCs w:val="0"/>
          <w:sz w:val="22"/>
          <w:szCs w:val="22"/>
        </w:rPr>
        <w:t xml:space="preserve"> </w:t>
      </w:r>
      <w:r w:rsidR="006B093E" w:rsidRPr="00C66720">
        <w:rPr>
          <w:b w:val="0"/>
          <w:bCs w:val="0"/>
          <w:sz w:val="22"/>
          <w:szCs w:val="22"/>
        </w:rPr>
        <w:t>017</w:t>
      </w:r>
      <w:r w:rsidRPr="00C66720">
        <w:rPr>
          <w:b w:val="0"/>
          <w:bCs w:val="0"/>
          <w:sz w:val="22"/>
          <w:szCs w:val="22"/>
        </w:rPr>
        <w:t xml:space="preserve"> tis. eur a medziročne sa </w:t>
      </w:r>
      <w:r w:rsidR="006B093E" w:rsidRPr="00C66720">
        <w:rPr>
          <w:b w:val="0"/>
          <w:bCs w:val="0"/>
          <w:sz w:val="22"/>
          <w:szCs w:val="22"/>
        </w:rPr>
        <w:t>znížili</w:t>
      </w:r>
      <w:r w:rsidRPr="00C66720">
        <w:rPr>
          <w:b w:val="0"/>
          <w:bCs w:val="0"/>
          <w:sz w:val="22"/>
          <w:szCs w:val="22"/>
        </w:rPr>
        <w:br/>
        <w:t>o </w:t>
      </w:r>
      <w:r w:rsidR="006B093E" w:rsidRPr="00C66720">
        <w:rPr>
          <w:b w:val="0"/>
          <w:bCs w:val="0"/>
          <w:sz w:val="22"/>
          <w:szCs w:val="22"/>
        </w:rPr>
        <w:t>15 089 155</w:t>
      </w:r>
      <w:r w:rsidRPr="00C66720">
        <w:rPr>
          <w:b w:val="0"/>
          <w:bCs w:val="0"/>
          <w:sz w:val="22"/>
          <w:szCs w:val="22"/>
        </w:rPr>
        <w:t xml:space="preserve"> tis. eur. Transfery sa poskytujú fyzickým osobám – obyvateľstvu, podnikateľským subjektom, zahraničným subjektom a podobne. V konsolidačných operáciách boli eliminované transfery v rámci ústrednej správy a aj náklady medzi ústrednou správou a územnou samosprávou</w:t>
      </w:r>
      <w:r w:rsidR="00065383" w:rsidRPr="00C66720">
        <w:rPr>
          <w:b w:val="0"/>
          <w:bCs w:val="0"/>
          <w:sz w:val="22"/>
          <w:szCs w:val="22"/>
        </w:rPr>
        <w:t xml:space="preserve"> resp. ostatnými subjektami verejnej správy </w:t>
      </w:r>
      <w:r w:rsidRPr="00C66720">
        <w:rPr>
          <w:b w:val="0"/>
          <w:bCs w:val="0"/>
          <w:sz w:val="22"/>
          <w:szCs w:val="22"/>
        </w:rPr>
        <w:t xml:space="preserve">(bez zohľadnenia časového rozlíšenia) v hodnote </w:t>
      </w:r>
      <w:r w:rsidR="005727D8">
        <w:rPr>
          <w:b w:val="0"/>
          <w:bCs w:val="0"/>
          <w:sz w:val="22"/>
          <w:szCs w:val="22"/>
        </w:rPr>
        <w:br/>
        <w:t>1 065 974</w:t>
      </w:r>
      <w:r w:rsidRPr="00C66720">
        <w:rPr>
          <w:b w:val="0"/>
          <w:bCs w:val="0"/>
          <w:sz w:val="22"/>
          <w:szCs w:val="22"/>
        </w:rPr>
        <w:t xml:space="preserve"> tis. eur ako náklady na transfery poskytnuté </w:t>
      </w:r>
      <w:r w:rsidR="005727D8" w:rsidRPr="00C66720">
        <w:rPr>
          <w:b w:val="0"/>
          <w:bCs w:val="0"/>
          <w:sz w:val="22"/>
          <w:szCs w:val="22"/>
        </w:rPr>
        <w:t>Ministerstvom financií SR</w:t>
      </w:r>
      <w:r w:rsidR="005727D8">
        <w:rPr>
          <w:b w:val="0"/>
          <w:bCs w:val="0"/>
          <w:sz w:val="22"/>
          <w:szCs w:val="22"/>
        </w:rPr>
        <w:t xml:space="preserve"> 818 333 tis eur a </w:t>
      </w:r>
      <w:r w:rsidRPr="00C66720">
        <w:rPr>
          <w:b w:val="0"/>
          <w:bCs w:val="0"/>
          <w:sz w:val="22"/>
          <w:szCs w:val="22"/>
        </w:rPr>
        <w:t xml:space="preserve">Environmentálnym fondom </w:t>
      </w:r>
      <w:r w:rsidR="005727D8">
        <w:rPr>
          <w:b w:val="0"/>
          <w:bCs w:val="0"/>
          <w:sz w:val="22"/>
          <w:szCs w:val="22"/>
        </w:rPr>
        <w:t>96 446</w:t>
      </w:r>
      <w:r w:rsidRPr="00C66720">
        <w:rPr>
          <w:b w:val="0"/>
          <w:bCs w:val="0"/>
          <w:sz w:val="22"/>
          <w:szCs w:val="22"/>
        </w:rPr>
        <w:t xml:space="preserve"> tis. eur</w:t>
      </w:r>
      <w:r w:rsidR="00057935" w:rsidRPr="00C66720">
        <w:rPr>
          <w:b w:val="0"/>
          <w:bCs w:val="0"/>
          <w:sz w:val="22"/>
          <w:szCs w:val="22"/>
        </w:rPr>
        <w:t xml:space="preserve"> a</w:t>
      </w:r>
      <w:r w:rsidRPr="00C66720">
        <w:rPr>
          <w:b w:val="0"/>
          <w:bCs w:val="0"/>
          <w:sz w:val="22"/>
          <w:szCs w:val="22"/>
        </w:rPr>
        <w:t xml:space="preserve"> transfery poskytnuté </w:t>
      </w:r>
      <w:r w:rsidR="00E30BAB" w:rsidRPr="00C66720">
        <w:rPr>
          <w:b w:val="0"/>
          <w:bCs w:val="0"/>
          <w:sz w:val="22"/>
          <w:szCs w:val="22"/>
        </w:rPr>
        <w:t xml:space="preserve">Medzi jednotlivými subjektami územnej samosprávy (obce) došlo k eliminácii transferových vzťahov v hodnote </w:t>
      </w:r>
      <w:r w:rsidR="0028515C" w:rsidRPr="00C66720">
        <w:rPr>
          <w:b w:val="0"/>
          <w:bCs w:val="0"/>
          <w:sz w:val="22"/>
          <w:szCs w:val="22"/>
        </w:rPr>
        <w:t>8 538</w:t>
      </w:r>
      <w:r w:rsidR="00E30BAB" w:rsidRPr="00C66720">
        <w:rPr>
          <w:b w:val="0"/>
          <w:bCs w:val="0"/>
          <w:sz w:val="22"/>
          <w:szCs w:val="22"/>
        </w:rPr>
        <w:t xml:space="preserve"> tis. eur. Predmetom eliminácie bol aj transfer poskytnutý Ministerstvom financií SR pre Sociálnu poisťovňu v sume </w:t>
      </w:r>
      <w:r w:rsidR="009F6AFF" w:rsidRPr="00C66720">
        <w:rPr>
          <w:b w:val="0"/>
          <w:bCs w:val="0"/>
          <w:sz w:val="22"/>
          <w:szCs w:val="22"/>
        </w:rPr>
        <w:t>103 903 tis. eur</w:t>
      </w:r>
      <w:r w:rsidR="005727D8">
        <w:rPr>
          <w:b w:val="0"/>
          <w:bCs w:val="0"/>
          <w:sz w:val="22"/>
          <w:szCs w:val="22"/>
        </w:rPr>
        <w:t xml:space="preserve"> </w:t>
      </w:r>
      <w:r w:rsidR="009F6AFF" w:rsidRPr="00C66720">
        <w:rPr>
          <w:b w:val="0"/>
          <w:bCs w:val="0"/>
          <w:sz w:val="22"/>
          <w:szCs w:val="22"/>
        </w:rPr>
        <w:t>(2021</w:t>
      </w:r>
      <w:r w:rsidR="00E30BAB" w:rsidRPr="00C66720">
        <w:rPr>
          <w:b w:val="0"/>
          <w:bCs w:val="0"/>
          <w:sz w:val="22"/>
          <w:szCs w:val="22"/>
        </w:rPr>
        <w:t xml:space="preserve">: </w:t>
      </w:r>
      <w:r w:rsidR="009F6AFF" w:rsidRPr="00C66720">
        <w:rPr>
          <w:b w:val="0"/>
          <w:bCs w:val="0"/>
          <w:sz w:val="22"/>
          <w:szCs w:val="22"/>
        </w:rPr>
        <w:t xml:space="preserve">840 000 </w:t>
      </w:r>
      <w:r w:rsidR="00E30BAB" w:rsidRPr="00C66720">
        <w:rPr>
          <w:b w:val="0"/>
          <w:bCs w:val="0"/>
          <w:sz w:val="22"/>
          <w:szCs w:val="22"/>
        </w:rPr>
        <w:t>tis. eur). Hodnota bezhotovostných transferov poskytovaných subjektom územnej samosprávy</w:t>
      </w:r>
      <w:r w:rsidR="000C2944" w:rsidRPr="00C66720">
        <w:rPr>
          <w:b w:val="0"/>
          <w:bCs w:val="0"/>
          <w:sz w:val="22"/>
          <w:szCs w:val="22"/>
        </w:rPr>
        <w:t xml:space="preserve"> a ostatným subjektom verejnej správy</w:t>
      </w:r>
      <w:r w:rsidR="00E30BAB" w:rsidRPr="00C66720">
        <w:rPr>
          <w:b w:val="0"/>
          <w:bCs w:val="0"/>
          <w:sz w:val="22"/>
          <w:szCs w:val="22"/>
        </w:rPr>
        <w:t xml:space="preserve"> v podobe zásob (lieky, vakcíny, ochranné prostriedky a iný zdravotnícky materiál) najmä zo strany </w:t>
      </w:r>
      <w:r w:rsidR="000C2944" w:rsidRPr="00C66720">
        <w:rPr>
          <w:b w:val="0"/>
          <w:bCs w:val="0"/>
          <w:sz w:val="22"/>
          <w:szCs w:val="22"/>
        </w:rPr>
        <w:t xml:space="preserve">Ministerstva zdravotníctva SR, Správy štátnych hmotných rezerv, Ministerstva vnútra SR, </w:t>
      </w:r>
      <w:r w:rsidR="007B271B" w:rsidRPr="00C66720">
        <w:rPr>
          <w:b w:val="0"/>
          <w:bCs w:val="0"/>
          <w:sz w:val="22"/>
          <w:szCs w:val="22"/>
        </w:rPr>
        <w:t xml:space="preserve">regionálnych úrad školskej správy a Ministerstva práce, sociálnych vecí a rodiny SR bola eliminovaná v sume </w:t>
      </w:r>
      <w:r w:rsidR="007F785B" w:rsidRPr="00C66720">
        <w:rPr>
          <w:b w:val="0"/>
          <w:bCs w:val="0"/>
          <w:sz w:val="22"/>
          <w:szCs w:val="22"/>
        </w:rPr>
        <w:t xml:space="preserve">38 533 tis. eur. </w:t>
      </w:r>
    </w:p>
    <w:p w14:paraId="36B21ECE" w14:textId="287D78EB" w:rsidR="002702C3" w:rsidRPr="00C66720" w:rsidRDefault="002702C3" w:rsidP="00D043B6">
      <w:pPr>
        <w:pStyle w:val="Pismenka"/>
        <w:numPr>
          <w:ilvl w:val="0"/>
          <w:numId w:val="44"/>
        </w:numPr>
        <w:spacing w:before="120" w:after="120"/>
        <w:ind w:left="284" w:hanging="284"/>
        <w:rPr>
          <w:i/>
          <w:sz w:val="22"/>
          <w:szCs w:val="22"/>
          <w:u w:val="single"/>
        </w:rPr>
      </w:pPr>
      <w:bookmarkStart w:id="69" w:name="_Ref86186472"/>
      <w:r w:rsidRPr="00C66720">
        <w:rPr>
          <w:i/>
          <w:sz w:val="22"/>
          <w:szCs w:val="22"/>
          <w:u w:val="single"/>
        </w:rPr>
        <w:t>Odvod do rozpočtu EÚ</w:t>
      </w:r>
      <w:bookmarkEnd w:id="69"/>
    </w:p>
    <w:p w14:paraId="029DF48A" w14:textId="4063AA4C" w:rsidR="00310EA5" w:rsidRPr="00C66720" w:rsidRDefault="00C72AFD" w:rsidP="00633123">
      <w:pPr>
        <w:pStyle w:val="Pismenka"/>
        <w:tabs>
          <w:tab w:val="clear" w:pos="426"/>
        </w:tabs>
        <w:spacing w:after="240"/>
        <w:ind w:left="0" w:firstLine="0"/>
        <w:rPr>
          <w:b w:val="0"/>
          <w:bCs w:val="0"/>
          <w:sz w:val="22"/>
          <w:szCs w:val="22"/>
        </w:rPr>
      </w:pPr>
      <w:r w:rsidRPr="00C66720">
        <w:rPr>
          <w:b w:val="0"/>
          <w:bCs w:val="0"/>
          <w:sz w:val="22"/>
          <w:szCs w:val="22"/>
        </w:rPr>
        <w:t xml:space="preserve">Rozpočet EÚ je financovaný vlastnými zdrojmi a ostatnými príjmami, pričom vlastné zdroje EÚ možno charakterizovať ako príjmy </w:t>
      </w:r>
      <w:r w:rsidR="004C2CB6">
        <w:rPr>
          <w:b w:val="0"/>
          <w:bCs w:val="0"/>
          <w:sz w:val="22"/>
          <w:szCs w:val="22"/>
        </w:rPr>
        <w:t>patriace</w:t>
      </w:r>
      <w:r w:rsidR="004C2CB6" w:rsidRPr="00C66720">
        <w:rPr>
          <w:b w:val="0"/>
          <w:bCs w:val="0"/>
          <w:sz w:val="22"/>
          <w:szCs w:val="22"/>
        </w:rPr>
        <w:t xml:space="preserve"> </w:t>
      </w:r>
      <w:r w:rsidRPr="00C66720">
        <w:rPr>
          <w:b w:val="0"/>
          <w:bCs w:val="0"/>
          <w:sz w:val="22"/>
          <w:szCs w:val="22"/>
        </w:rPr>
        <w:t xml:space="preserve">EÚ s cieľom financovania svojho rozpočtu a plynúce do tohto rozpočtu automaticky. V súčasnosti systém vlastných zdrojov EÚ pozostáva z tradičných vlastných zdrojov (clá a odvody v sektore cukru), zdroja založeného na DPH a zdroja založeného na HND. </w:t>
      </w:r>
      <w:r w:rsidR="00D33BCD" w:rsidRPr="00C66720">
        <w:rPr>
          <w:b w:val="0"/>
          <w:bCs w:val="0"/>
          <w:sz w:val="22"/>
          <w:szCs w:val="22"/>
        </w:rPr>
        <w:lastRenderedPageBreak/>
        <w:t xml:space="preserve">Celková hodnota nákladov na odvod prostriedkov do rozpočtu EÚ </w:t>
      </w:r>
      <w:r w:rsidRPr="00C66720">
        <w:rPr>
          <w:b w:val="0"/>
          <w:bCs w:val="0"/>
          <w:sz w:val="22"/>
          <w:szCs w:val="22"/>
        </w:rPr>
        <w:t>za rok 202</w:t>
      </w:r>
      <w:r w:rsidR="001225BD" w:rsidRPr="00C66720">
        <w:rPr>
          <w:b w:val="0"/>
          <w:bCs w:val="0"/>
          <w:sz w:val="22"/>
          <w:szCs w:val="22"/>
        </w:rPr>
        <w:t>2</w:t>
      </w:r>
      <w:r w:rsidRPr="00C66720">
        <w:rPr>
          <w:b w:val="0"/>
          <w:bCs w:val="0"/>
          <w:sz w:val="22"/>
          <w:szCs w:val="22"/>
        </w:rPr>
        <w:t xml:space="preserve"> </w:t>
      </w:r>
      <w:r w:rsidR="00D33BCD" w:rsidRPr="00C66720">
        <w:rPr>
          <w:b w:val="0"/>
          <w:bCs w:val="0"/>
          <w:sz w:val="22"/>
          <w:szCs w:val="22"/>
        </w:rPr>
        <w:t xml:space="preserve">bola v sume </w:t>
      </w:r>
      <w:r w:rsidR="00473A9B" w:rsidRPr="00C66720">
        <w:rPr>
          <w:b w:val="0"/>
          <w:bCs w:val="0"/>
          <w:sz w:val="22"/>
          <w:szCs w:val="22"/>
        </w:rPr>
        <w:br/>
      </w:r>
      <w:r w:rsidR="001225BD" w:rsidRPr="00C66720">
        <w:rPr>
          <w:b w:val="0"/>
          <w:bCs w:val="0"/>
          <w:sz w:val="22"/>
          <w:szCs w:val="22"/>
        </w:rPr>
        <w:t>940 226</w:t>
      </w:r>
      <w:r w:rsidR="00D33BCD" w:rsidRPr="00C66720">
        <w:rPr>
          <w:b w:val="0"/>
          <w:bCs w:val="0"/>
          <w:sz w:val="22"/>
          <w:szCs w:val="22"/>
        </w:rPr>
        <w:t xml:space="preserve"> tis</w:t>
      </w:r>
      <w:r w:rsidR="00473A9B" w:rsidRPr="00C66720">
        <w:rPr>
          <w:b w:val="0"/>
          <w:bCs w:val="0"/>
          <w:sz w:val="22"/>
          <w:szCs w:val="22"/>
        </w:rPr>
        <w:t>.</w:t>
      </w:r>
      <w:r w:rsidR="00D33BCD" w:rsidRPr="00C66720">
        <w:rPr>
          <w:b w:val="0"/>
          <w:bCs w:val="0"/>
          <w:sz w:val="22"/>
          <w:szCs w:val="22"/>
        </w:rPr>
        <w:t xml:space="preserve"> eur a v porovnaní s rokom 20</w:t>
      </w:r>
      <w:r w:rsidR="001225BD" w:rsidRPr="00C66720">
        <w:rPr>
          <w:b w:val="0"/>
          <w:bCs w:val="0"/>
          <w:sz w:val="22"/>
          <w:szCs w:val="22"/>
        </w:rPr>
        <w:t>21</w:t>
      </w:r>
      <w:r w:rsidR="00D33BCD" w:rsidRPr="00C66720">
        <w:rPr>
          <w:b w:val="0"/>
          <w:bCs w:val="0"/>
          <w:sz w:val="22"/>
          <w:szCs w:val="22"/>
        </w:rPr>
        <w:t xml:space="preserve"> boli tieto náklady </w:t>
      </w:r>
      <w:r w:rsidR="001225BD" w:rsidRPr="00C66720">
        <w:rPr>
          <w:b w:val="0"/>
          <w:bCs w:val="0"/>
          <w:sz w:val="22"/>
          <w:szCs w:val="22"/>
        </w:rPr>
        <w:t>nižšie</w:t>
      </w:r>
      <w:r w:rsidR="00D33BCD" w:rsidRPr="00C66720">
        <w:rPr>
          <w:b w:val="0"/>
          <w:bCs w:val="0"/>
          <w:sz w:val="22"/>
          <w:szCs w:val="22"/>
        </w:rPr>
        <w:t xml:space="preserve"> o</w:t>
      </w:r>
      <w:r w:rsidR="001225BD" w:rsidRPr="00C66720">
        <w:rPr>
          <w:b w:val="0"/>
          <w:bCs w:val="0"/>
          <w:sz w:val="22"/>
          <w:szCs w:val="22"/>
        </w:rPr>
        <w:t> 26 524</w:t>
      </w:r>
      <w:r w:rsidR="00D33BCD" w:rsidRPr="00C66720">
        <w:rPr>
          <w:b w:val="0"/>
          <w:bCs w:val="0"/>
          <w:sz w:val="22"/>
          <w:szCs w:val="22"/>
        </w:rPr>
        <w:t xml:space="preserve"> tis. eur.</w:t>
      </w:r>
    </w:p>
    <w:p w14:paraId="5C486609" w14:textId="1A924EBB" w:rsidR="00D3474B" w:rsidRPr="00C66720" w:rsidRDefault="00D3474B" w:rsidP="00D043B6">
      <w:pPr>
        <w:pStyle w:val="Pismenka"/>
        <w:numPr>
          <w:ilvl w:val="0"/>
          <w:numId w:val="44"/>
        </w:numPr>
        <w:spacing w:before="120" w:after="120"/>
        <w:ind w:left="284" w:hanging="284"/>
        <w:rPr>
          <w:i/>
          <w:sz w:val="22"/>
          <w:szCs w:val="22"/>
          <w:u w:val="single"/>
        </w:rPr>
      </w:pPr>
      <w:bookmarkStart w:id="70" w:name="_Ref86186495"/>
      <w:r w:rsidRPr="00C66720">
        <w:rPr>
          <w:i/>
          <w:sz w:val="22"/>
          <w:szCs w:val="22"/>
          <w:u w:val="single"/>
        </w:rPr>
        <w:t>Ostatné transfery</w:t>
      </w:r>
      <w:bookmarkEnd w:id="70"/>
    </w:p>
    <w:p w14:paraId="3450B7A3" w14:textId="06C2192D" w:rsidR="00902532" w:rsidRPr="00C66720" w:rsidRDefault="00C954BA" w:rsidP="00B14F24">
      <w:pPr>
        <w:pStyle w:val="Pismenka"/>
        <w:tabs>
          <w:tab w:val="clear" w:pos="426"/>
        </w:tabs>
        <w:spacing w:after="120"/>
        <w:ind w:left="0" w:firstLine="0"/>
        <w:rPr>
          <w:b w:val="0"/>
          <w:bCs w:val="0"/>
          <w:sz w:val="22"/>
          <w:szCs w:val="22"/>
        </w:rPr>
      </w:pPr>
      <w:r w:rsidRPr="00C66720">
        <w:rPr>
          <w:b w:val="0"/>
          <w:bCs w:val="0"/>
          <w:sz w:val="22"/>
          <w:szCs w:val="22"/>
        </w:rPr>
        <w:t xml:space="preserve">Náklady na ostatné transfery dosiahli </w:t>
      </w:r>
      <w:r w:rsidR="00BD6E74" w:rsidRPr="00C66720">
        <w:rPr>
          <w:b w:val="0"/>
          <w:bCs w:val="0"/>
          <w:sz w:val="22"/>
          <w:szCs w:val="22"/>
        </w:rPr>
        <w:t>18 350 791</w:t>
      </w:r>
      <w:r w:rsidRPr="00C66720">
        <w:rPr>
          <w:b w:val="0"/>
          <w:bCs w:val="0"/>
          <w:sz w:val="22"/>
          <w:szCs w:val="22"/>
        </w:rPr>
        <w:t xml:space="preserve"> tis. eur a oproti predchádzajúcemu účtovnému obdobiu dosiali </w:t>
      </w:r>
      <w:r w:rsidR="00BD6E74" w:rsidRPr="00C66720">
        <w:rPr>
          <w:b w:val="0"/>
          <w:bCs w:val="0"/>
          <w:sz w:val="22"/>
          <w:szCs w:val="22"/>
        </w:rPr>
        <w:t>pokles</w:t>
      </w:r>
      <w:r w:rsidR="0022768F" w:rsidRPr="00C66720">
        <w:rPr>
          <w:b w:val="0"/>
          <w:bCs w:val="0"/>
          <w:sz w:val="22"/>
          <w:szCs w:val="22"/>
        </w:rPr>
        <w:t xml:space="preserve"> o</w:t>
      </w:r>
      <w:r w:rsidR="00BD6E74" w:rsidRPr="00C66720">
        <w:rPr>
          <w:b w:val="0"/>
          <w:bCs w:val="0"/>
          <w:sz w:val="22"/>
          <w:szCs w:val="22"/>
        </w:rPr>
        <w:t> 15 062 631</w:t>
      </w:r>
      <w:r w:rsidRPr="00C66720">
        <w:rPr>
          <w:b w:val="0"/>
          <w:bCs w:val="0"/>
          <w:sz w:val="22"/>
          <w:szCs w:val="22"/>
        </w:rPr>
        <w:t xml:space="preserve"> tis. eur.</w:t>
      </w:r>
      <w:r w:rsidR="00061026" w:rsidRPr="00C66720">
        <w:rPr>
          <w:b w:val="0"/>
          <w:bCs w:val="0"/>
          <w:sz w:val="22"/>
          <w:szCs w:val="22"/>
        </w:rPr>
        <w:t xml:space="preserve"> </w:t>
      </w:r>
    </w:p>
    <w:p w14:paraId="660C78C8" w14:textId="0F8B01EA" w:rsidR="004C2CB6" w:rsidRDefault="005A629E" w:rsidP="00AE58B2">
      <w:pPr>
        <w:pStyle w:val="Pismenka"/>
        <w:tabs>
          <w:tab w:val="clear" w:pos="426"/>
        </w:tabs>
        <w:spacing w:after="120"/>
        <w:ind w:left="0" w:firstLine="0"/>
        <w:rPr>
          <w:b w:val="0"/>
          <w:bCs w:val="0"/>
          <w:sz w:val="22"/>
          <w:szCs w:val="22"/>
        </w:rPr>
      </w:pPr>
      <w:r w:rsidRPr="00C66720">
        <w:rPr>
          <w:b w:val="0"/>
          <w:bCs w:val="0"/>
          <w:sz w:val="22"/>
          <w:szCs w:val="22"/>
        </w:rPr>
        <w:t>Ako v roku 20</w:t>
      </w:r>
      <w:r w:rsidR="007101E5" w:rsidRPr="00C66720">
        <w:rPr>
          <w:b w:val="0"/>
          <w:bCs w:val="0"/>
          <w:sz w:val="22"/>
          <w:szCs w:val="22"/>
        </w:rPr>
        <w:t>21 tak aj v roku 2022</w:t>
      </w:r>
      <w:r w:rsidRPr="00C66720">
        <w:rPr>
          <w:b w:val="0"/>
          <w:bCs w:val="0"/>
          <w:sz w:val="22"/>
          <w:szCs w:val="22"/>
        </w:rPr>
        <w:t xml:space="preserve"> vykazuje najvyššiu hodnotu Sociálna poi</w:t>
      </w:r>
      <w:r w:rsidR="0021694A" w:rsidRPr="00C66720">
        <w:rPr>
          <w:b w:val="0"/>
          <w:bCs w:val="0"/>
          <w:sz w:val="22"/>
          <w:szCs w:val="22"/>
        </w:rPr>
        <w:t xml:space="preserve">sťovňa </w:t>
      </w:r>
      <w:r w:rsidR="007101E5" w:rsidRPr="00C66720">
        <w:rPr>
          <w:b w:val="0"/>
          <w:bCs w:val="0"/>
          <w:sz w:val="22"/>
          <w:szCs w:val="22"/>
        </w:rPr>
        <w:t>9 606 327</w:t>
      </w:r>
      <w:r w:rsidR="00987A02" w:rsidRPr="00C66720">
        <w:rPr>
          <w:b w:val="0"/>
          <w:bCs w:val="0"/>
          <w:sz w:val="22"/>
          <w:szCs w:val="22"/>
        </w:rPr>
        <w:t xml:space="preserve"> </w:t>
      </w:r>
      <w:r w:rsidR="007101E5" w:rsidRPr="00C66720">
        <w:rPr>
          <w:b w:val="0"/>
          <w:bCs w:val="0"/>
          <w:sz w:val="22"/>
          <w:szCs w:val="22"/>
        </w:rPr>
        <w:t>tis. eur (2021</w:t>
      </w:r>
      <w:r w:rsidRPr="00C66720">
        <w:rPr>
          <w:b w:val="0"/>
          <w:bCs w:val="0"/>
          <w:sz w:val="22"/>
          <w:szCs w:val="22"/>
        </w:rPr>
        <w:t xml:space="preserve">: </w:t>
      </w:r>
      <w:r w:rsidR="007101E5" w:rsidRPr="00C66720">
        <w:rPr>
          <w:b w:val="0"/>
          <w:bCs w:val="0"/>
          <w:sz w:val="22"/>
          <w:szCs w:val="22"/>
        </w:rPr>
        <w:t>23 839 588</w:t>
      </w:r>
      <w:r w:rsidRPr="00C66720">
        <w:rPr>
          <w:b w:val="0"/>
          <w:bCs w:val="0"/>
          <w:sz w:val="22"/>
          <w:szCs w:val="22"/>
        </w:rPr>
        <w:t xml:space="preserve"> tis. eur), hlavne ako náklady na použitie fondov Sociálnej poisťovne (napr.</w:t>
      </w:r>
      <w:r w:rsidR="00BC33B0">
        <w:rPr>
          <w:b w:val="0"/>
          <w:bCs w:val="0"/>
          <w:sz w:val="22"/>
          <w:szCs w:val="22"/>
        </w:rPr>
        <w:t xml:space="preserve"> </w:t>
      </w:r>
      <w:r w:rsidRPr="00C66720">
        <w:rPr>
          <w:b w:val="0"/>
          <w:bCs w:val="0"/>
          <w:sz w:val="22"/>
          <w:szCs w:val="22"/>
        </w:rPr>
        <w:t xml:space="preserve">na poskytnuté sociálne príspevky a dôchodky obyvateľstvu). Medziročná zmena v prípade transferov Sociálnej poisťovne znamenala </w:t>
      </w:r>
      <w:r w:rsidR="007101E5" w:rsidRPr="00C66720">
        <w:rPr>
          <w:b w:val="0"/>
          <w:bCs w:val="0"/>
          <w:sz w:val="22"/>
          <w:szCs w:val="22"/>
        </w:rPr>
        <w:t>významné zníženie o 14 233 261</w:t>
      </w:r>
      <w:r w:rsidRPr="00C66720">
        <w:rPr>
          <w:b w:val="0"/>
          <w:bCs w:val="0"/>
          <w:sz w:val="22"/>
          <w:szCs w:val="22"/>
        </w:rPr>
        <w:t xml:space="preserve"> tis. eur, </w:t>
      </w:r>
      <w:r w:rsidR="0021694A" w:rsidRPr="00C66720">
        <w:rPr>
          <w:b w:val="0"/>
          <w:bCs w:val="0"/>
          <w:sz w:val="22"/>
          <w:szCs w:val="22"/>
        </w:rPr>
        <w:t xml:space="preserve">najmä z dôvodu </w:t>
      </w:r>
      <w:r w:rsidR="007101E5" w:rsidRPr="00C66720">
        <w:rPr>
          <w:b w:val="0"/>
          <w:bCs w:val="0"/>
          <w:sz w:val="22"/>
          <w:szCs w:val="22"/>
        </w:rPr>
        <w:t>zmeny vykazovania prerozdelenia poistného do jednotlivých fondov Sociálnej poisťovne (vylúčenie vykazovania nákladov a výnosov z prerozdelenia prostriedkov medzi jednotlivými fondami).</w:t>
      </w:r>
    </w:p>
    <w:p w14:paraId="4C863069" w14:textId="28178648" w:rsidR="007101E5" w:rsidRPr="00C66720" w:rsidRDefault="007E3712" w:rsidP="00AE58B2">
      <w:pPr>
        <w:pStyle w:val="Pismenka"/>
        <w:tabs>
          <w:tab w:val="clear" w:pos="426"/>
        </w:tabs>
        <w:spacing w:after="120"/>
        <w:ind w:left="0" w:firstLine="0"/>
        <w:rPr>
          <w:b w:val="0"/>
          <w:bCs w:val="0"/>
          <w:sz w:val="22"/>
          <w:szCs w:val="22"/>
        </w:rPr>
      </w:pPr>
      <w:r w:rsidRPr="00C66720">
        <w:rPr>
          <w:b w:val="0"/>
          <w:bCs w:val="0"/>
          <w:sz w:val="22"/>
          <w:szCs w:val="22"/>
        </w:rPr>
        <w:t xml:space="preserve">V rámci týchto výdavkov sa vykazuje poskytnutá podpora na čiastočnú úhradu nákladov zamestnávateľa na náhradu mzdy zamestnanca v súlade so zákonom č. 215/2021 Z. z. o podpore v čase skrátenej práce a o zmene a doplnení niektorých zákonov v znení neskorších predpisov. Dôchodkové dávky sa v roku 2022 zvýšili v závislosti od medziročného rastu spotrebiteľských cien za domácnosti dôchodcov vykázaného Štatistickým úradom </w:t>
      </w:r>
      <w:r w:rsidR="00A91277" w:rsidRPr="00C66720">
        <w:rPr>
          <w:b w:val="0"/>
          <w:bCs w:val="0"/>
          <w:sz w:val="22"/>
          <w:szCs w:val="22"/>
        </w:rPr>
        <w:t xml:space="preserve">SR </w:t>
      </w:r>
      <w:r w:rsidRPr="00C66720">
        <w:rPr>
          <w:b w:val="0"/>
          <w:bCs w:val="0"/>
          <w:sz w:val="22"/>
          <w:szCs w:val="22"/>
        </w:rPr>
        <w:t>za prvý polrok kalendárneho roka, ktorý predchád</w:t>
      </w:r>
      <w:r w:rsidR="00A91277" w:rsidRPr="00C66720">
        <w:rPr>
          <w:b w:val="0"/>
          <w:bCs w:val="0"/>
          <w:sz w:val="22"/>
          <w:szCs w:val="22"/>
        </w:rPr>
        <w:t>za príslušnému kalendárnemu roku</w:t>
      </w:r>
      <w:r w:rsidRPr="00C66720">
        <w:rPr>
          <w:b w:val="0"/>
          <w:bCs w:val="0"/>
          <w:sz w:val="22"/>
          <w:szCs w:val="22"/>
        </w:rPr>
        <w:t xml:space="preserve"> (</w:t>
      </w:r>
      <w:r w:rsidR="00C3645A" w:rsidRPr="00C66720">
        <w:rPr>
          <w:b w:val="0"/>
          <w:bCs w:val="0"/>
          <w:sz w:val="22"/>
          <w:szCs w:val="22"/>
        </w:rPr>
        <w:t>zvýšenie od 1. januára 2022 o 1,3 %)</w:t>
      </w:r>
      <w:r w:rsidRPr="00C66720">
        <w:rPr>
          <w:b w:val="0"/>
          <w:bCs w:val="0"/>
          <w:sz w:val="22"/>
          <w:szCs w:val="22"/>
        </w:rPr>
        <w:t>. Výdavky na zvýšenie dôchodkov v roku 2022 predstavovali 107 078 tis. eur</w:t>
      </w:r>
      <w:r w:rsidR="004C2CB6">
        <w:rPr>
          <w:b w:val="0"/>
          <w:bCs w:val="0"/>
          <w:sz w:val="22"/>
          <w:szCs w:val="22"/>
        </w:rPr>
        <w:t xml:space="preserve">. </w:t>
      </w:r>
      <w:r w:rsidR="00A91277" w:rsidRPr="00C66720">
        <w:rPr>
          <w:b w:val="0"/>
          <w:bCs w:val="0"/>
          <w:sz w:val="22"/>
          <w:szCs w:val="22"/>
        </w:rPr>
        <w:t>Úrazové dávky sa v roku 2022 zvýšili v závislosti od medziročného rastu spotrebiteľských cien vykázaného Štatistickým úradom SR</w:t>
      </w:r>
      <w:r w:rsidR="00C3645A" w:rsidRPr="00C66720">
        <w:rPr>
          <w:b w:val="0"/>
          <w:bCs w:val="0"/>
          <w:sz w:val="22"/>
          <w:szCs w:val="22"/>
        </w:rPr>
        <w:t xml:space="preserve"> </w:t>
      </w:r>
      <w:r w:rsidR="00A91277" w:rsidRPr="00C66720">
        <w:rPr>
          <w:b w:val="0"/>
          <w:bCs w:val="0"/>
          <w:sz w:val="22"/>
          <w:szCs w:val="22"/>
        </w:rPr>
        <w:t>za prvý polrok kalendárneho roka, ktorý predchádza príslušnému kalendárnemu roku (</w:t>
      </w:r>
      <w:r w:rsidR="009714D6" w:rsidRPr="00C66720">
        <w:rPr>
          <w:b w:val="0"/>
          <w:bCs w:val="0"/>
          <w:sz w:val="22"/>
          <w:szCs w:val="22"/>
        </w:rPr>
        <w:t>zvýšenie od 1. januára 2022 o 1,6 %). Zvýšené výdavky na úrazové dávky dosiahli takmer 500 tis. eur.</w:t>
      </w:r>
    </w:p>
    <w:p w14:paraId="1B30CC03" w14:textId="429DC6F4" w:rsidR="00C87CB9" w:rsidRPr="00C66720" w:rsidRDefault="005A629E" w:rsidP="00AE58B2">
      <w:pPr>
        <w:pStyle w:val="Pismenka"/>
        <w:tabs>
          <w:tab w:val="clear" w:pos="426"/>
        </w:tabs>
        <w:spacing w:after="120"/>
        <w:ind w:left="0" w:firstLine="0"/>
        <w:rPr>
          <w:b w:val="0"/>
          <w:bCs w:val="0"/>
          <w:sz w:val="22"/>
          <w:szCs w:val="22"/>
        </w:rPr>
      </w:pPr>
      <w:r w:rsidRPr="00C66720">
        <w:rPr>
          <w:b w:val="0"/>
          <w:bCs w:val="0"/>
          <w:sz w:val="22"/>
          <w:szCs w:val="22"/>
        </w:rPr>
        <w:t xml:space="preserve">Ministerstvo financií SR vykazuje náklady na transfery v hodnote </w:t>
      </w:r>
      <w:r w:rsidR="007C078B" w:rsidRPr="00C66720">
        <w:rPr>
          <w:b w:val="0"/>
          <w:bCs w:val="0"/>
          <w:sz w:val="22"/>
          <w:szCs w:val="22"/>
        </w:rPr>
        <w:t xml:space="preserve">8 691 299 tis. eur </w:t>
      </w:r>
      <w:r w:rsidR="007C078B" w:rsidRPr="00C66720">
        <w:rPr>
          <w:b w:val="0"/>
          <w:bCs w:val="0"/>
          <w:color w:val="FF0000"/>
          <w:sz w:val="22"/>
          <w:szCs w:val="22"/>
          <w:highlight w:val="yellow"/>
        </w:rPr>
        <w:br/>
      </w:r>
      <w:r w:rsidR="007C078B" w:rsidRPr="00C66720">
        <w:rPr>
          <w:b w:val="0"/>
          <w:bCs w:val="0"/>
          <w:sz w:val="22"/>
          <w:szCs w:val="22"/>
        </w:rPr>
        <w:t>(2021</w:t>
      </w:r>
      <w:r w:rsidRPr="00C66720">
        <w:rPr>
          <w:b w:val="0"/>
          <w:bCs w:val="0"/>
          <w:sz w:val="22"/>
          <w:szCs w:val="22"/>
        </w:rPr>
        <w:t xml:space="preserve">: </w:t>
      </w:r>
      <w:r w:rsidR="007C078B" w:rsidRPr="00C66720">
        <w:rPr>
          <w:b w:val="0"/>
          <w:bCs w:val="0"/>
          <w:sz w:val="22"/>
          <w:szCs w:val="22"/>
        </w:rPr>
        <w:t xml:space="preserve">9 723 394 </w:t>
      </w:r>
      <w:r w:rsidRPr="00C66720">
        <w:rPr>
          <w:b w:val="0"/>
          <w:bCs w:val="0"/>
          <w:sz w:val="22"/>
          <w:szCs w:val="22"/>
        </w:rPr>
        <w:t xml:space="preserve">tis. eur, eliminácia v rámci súhrnného celku </w:t>
      </w:r>
      <w:r w:rsidR="00F77EA6" w:rsidRPr="00C66720">
        <w:rPr>
          <w:b w:val="0"/>
          <w:bCs w:val="0"/>
          <w:sz w:val="22"/>
          <w:szCs w:val="22"/>
        </w:rPr>
        <w:t>818 333</w:t>
      </w:r>
      <w:r w:rsidRPr="00C66720">
        <w:rPr>
          <w:b w:val="0"/>
          <w:bCs w:val="0"/>
          <w:sz w:val="22"/>
          <w:szCs w:val="22"/>
        </w:rPr>
        <w:t xml:space="preserve"> tis. eur), ktoré boli poskytnuté zo štátneho rozpočtu ostatným subjektom, podnikateľským subjektom a obyvateľstvu. Medziročné </w:t>
      </w:r>
      <w:r w:rsidR="00416DFA" w:rsidRPr="00C66720">
        <w:rPr>
          <w:b w:val="0"/>
          <w:bCs w:val="0"/>
          <w:sz w:val="22"/>
          <w:szCs w:val="22"/>
        </w:rPr>
        <w:t>zníženie</w:t>
      </w:r>
      <w:r w:rsidRPr="00C66720">
        <w:rPr>
          <w:b w:val="0"/>
          <w:bCs w:val="0"/>
          <w:sz w:val="22"/>
          <w:szCs w:val="22"/>
        </w:rPr>
        <w:t xml:space="preserve"> nákladov na transfery zo štátneho rozpočtu, o ktorých účtovalo Ministerstvo financií SR bolo vo výške </w:t>
      </w:r>
      <w:r w:rsidR="009F5965" w:rsidRPr="00C66720">
        <w:rPr>
          <w:b w:val="0"/>
          <w:bCs w:val="0"/>
          <w:sz w:val="22"/>
          <w:szCs w:val="22"/>
        </w:rPr>
        <w:t>1 032 095</w:t>
      </w:r>
      <w:r w:rsidRPr="00C66720">
        <w:rPr>
          <w:b w:val="0"/>
          <w:bCs w:val="0"/>
          <w:sz w:val="22"/>
          <w:szCs w:val="22"/>
        </w:rPr>
        <w:t xml:space="preserve"> tis. eur, a to vplyvom </w:t>
      </w:r>
      <w:r w:rsidR="00BD750E" w:rsidRPr="00C66720">
        <w:rPr>
          <w:b w:val="0"/>
          <w:bCs w:val="0"/>
          <w:sz w:val="22"/>
          <w:szCs w:val="22"/>
        </w:rPr>
        <w:t>nižších</w:t>
      </w:r>
      <w:r w:rsidRPr="00C66720">
        <w:rPr>
          <w:b w:val="0"/>
          <w:bCs w:val="0"/>
          <w:sz w:val="22"/>
          <w:szCs w:val="22"/>
        </w:rPr>
        <w:t xml:space="preserve"> nákladov na transfery </w:t>
      </w:r>
      <w:r w:rsidR="00C87CB9" w:rsidRPr="00C66720">
        <w:rPr>
          <w:b w:val="0"/>
          <w:bCs w:val="0"/>
          <w:sz w:val="22"/>
          <w:szCs w:val="22"/>
        </w:rPr>
        <w:t>subjektom mimo verejnej správy (o 534 322 tis. eur), ostatným subjektom v rámci verejnej správy (o 421 287 tis. eur) a ostatných transferov (o 76 486 tis. eur).</w:t>
      </w:r>
      <w:r w:rsidR="000A2E5C">
        <w:rPr>
          <w:b w:val="0"/>
          <w:bCs w:val="0"/>
          <w:sz w:val="22"/>
          <w:szCs w:val="22"/>
        </w:rPr>
        <w:t xml:space="preserve"> V rámci nákladov na ostatné transfery Ministerstvo financií SR vykazuje zúčtovanie poskytnutého preddavku Slovenskej pošte ,a.s. (poskytnutého v roku 2021) v objeme 237 834 tis. eur na vyplácanie poukazov pre seniorov 60+ za očkovanie (nezúčtovaná časť preddavku, ktorá sa preniesla do roku 2023 bola vo výške 1 000 tis. eur). Medzi ostatné transfery patrí aj príspevok SR do Európskeho rozvojového fondu vo výške 9 404 tis. eur.</w:t>
      </w:r>
    </w:p>
    <w:p w14:paraId="0E2513D9" w14:textId="55653D47" w:rsidR="005A629E" w:rsidRPr="00C66720" w:rsidRDefault="005A629E" w:rsidP="00AE58B2">
      <w:pPr>
        <w:pStyle w:val="Pismenka"/>
        <w:tabs>
          <w:tab w:val="clear" w:pos="426"/>
        </w:tabs>
        <w:spacing w:after="120"/>
        <w:ind w:left="0" w:firstLine="0"/>
        <w:rPr>
          <w:b w:val="0"/>
          <w:bCs w:val="0"/>
          <w:sz w:val="22"/>
          <w:szCs w:val="22"/>
        </w:rPr>
      </w:pPr>
      <w:r w:rsidRPr="00C66720">
        <w:rPr>
          <w:b w:val="0"/>
          <w:bCs w:val="0"/>
          <w:sz w:val="22"/>
          <w:szCs w:val="22"/>
        </w:rPr>
        <w:t xml:space="preserve">Obce a vyššie územné celky poskytujú bežné a kapitálové transfery zo svojho rozpočtu (transfery svojím rozpočtovým, príspevkovým a obchodným organizáciám sú predmetom eliminácií) aj ostatným subjektom verejnej správy resp. mimo verejnej správy. Spolu vykázali </w:t>
      </w:r>
      <w:r w:rsidR="00CE0545" w:rsidRPr="00C66720">
        <w:rPr>
          <w:b w:val="0"/>
          <w:bCs w:val="0"/>
          <w:sz w:val="22"/>
          <w:szCs w:val="22"/>
        </w:rPr>
        <w:t>699 856</w:t>
      </w:r>
      <w:r w:rsidR="00370D52" w:rsidRPr="00C66720">
        <w:rPr>
          <w:b w:val="0"/>
          <w:bCs w:val="0"/>
          <w:sz w:val="22"/>
          <w:szCs w:val="22"/>
        </w:rPr>
        <w:t xml:space="preserve"> tis. eur </w:t>
      </w:r>
      <w:r w:rsidR="00370D52" w:rsidRPr="00C66720">
        <w:rPr>
          <w:b w:val="0"/>
          <w:bCs w:val="0"/>
          <w:sz w:val="22"/>
          <w:szCs w:val="22"/>
        </w:rPr>
        <w:br/>
        <w:t>(202</w:t>
      </w:r>
      <w:r w:rsidR="00CE0545" w:rsidRPr="00C66720">
        <w:rPr>
          <w:b w:val="0"/>
          <w:bCs w:val="0"/>
          <w:sz w:val="22"/>
          <w:szCs w:val="22"/>
        </w:rPr>
        <w:t>1</w:t>
      </w:r>
      <w:r w:rsidRPr="00C66720">
        <w:rPr>
          <w:b w:val="0"/>
          <w:bCs w:val="0"/>
          <w:sz w:val="22"/>
          <w:szCs w:val="22"/>
        </w:rPr>
        <w:t xml:space="preserve">: </w:t>
      </w:r>
      <w:r w:rsidR="00CE0545" w:rsidRPr="00C66720">
        <w:rPr>
          <w:b w:val="0"/>
          <w:bCs w:val="0"/>
          <w:sz w:val="22"/>
          <w:szCs w:val="22"/>
        </w:rPr>
        <w:t xml:space="preserve">506 150 </w:t>
      </w:r>
      <w:r w:rsidRPr="00C66720">
        <w:rPr>
          <w:b w:val="0"/>
          <w:bCs w:val="0"/>
          <w:sz w:val="22"/>
          <w:szCs w:val="22"/>
        </w:rPr>
        <w:t xml:space="preserve">tis. eur), z toho obce </w:t>
      </w:r>
      <w:r w:rsidR="000971FA" w:rsidRPr="00C66720">
        <w:rPr>
          <w:b w:val="0"/>
          <w:bCs w:val="0"/>
          <w:sz w:val="22"/>
          <w:szCs w:val="22"/>
        </w:rPr>
        <w:t>270 606</w:t>
      </w:r>
      <w:r w:rsidRPr="00C66720">
        <w:rPr>
          <w:b w:val="0"/>
          <w:bCs w:val="0"/>
          <w:sz w:val="22"/>
          <w:szCs w:val="22"/>
        </w:rPr>
        <w:t xml:space="preserve"> tis. eur a vyššie územné celky </w:t>
      </w:r>
      <w:r w:rsidR="000971FA" w:rsidRPr="00C66720">
        <w:rPr>
          <w:b w:val="0"/>
          <w:bCs w:val="0"/>
          <w:sz w:val="22"/>
          <w:szCs w:val="22"/>
        </w:rPr>
        <w:t>429 250</w:t>
      </w:r>
      <w:r w:rsidRPr="00C66720">
        <w:rPr>
          <w:b w:val="0"/>
          <w:bCs w:val="0"/>
          <w:sz w:val="22"/>
          <w:szCs w:val="22"/>
        </w:rPr>
        <w:t xml:space="preserve"> tis. eur.</w:t>
      </w:r>
    </w:p>
    <w:p w14:paraId="3F7734D0" w14:textId="16D91EEC" w:rsidR="005A629E" w:rsidRPr="00C66720" w:rsidRDefault="005A629E" w:rsidP="00BD6E74">
      <w:pPr>
        <w:pStyle w:val="Pismenka"/>
        <w:tabs>
          <w:tab w:val="clear" w:pos="426"/>
        </w:tabs>
        <w:spacing w:after="240"/>
        <w:ind w:left="0" w:firstLine="0"/>
        <w:rPr>
          <w:b w:val="0"/>
          <w:bCs w:val="0"/>
          <w:sz w:val="22"/>
          <w:szCs w:val="22"/>
        </w:rPr>
      </w:pPr>
      <w:r w:rsidRPr="00C66720">
        <w:rPr>
          <w:b w:val="0"/>
          <w:bCs w:val="0"/>
          <w:sz w:val="22"/>
          <w:szCs w:val="22"/>
        </w:rPr>
        <w:t>Významnú hodnotu z ostatných subjektov vykazuje napríklad štá</w:t>
      </w:r>
      <w:r w:rsidR="00F14F1B" w:rsidRPr="00C66720">
        <w:rPr>
          <w:b w:val="0"/>
          <w:bCs w:val="0"/>
          <w:sz w:val="22"/>
          <w:szCs w:val="22"/>
        </w:rPr>
        <w:t>tny Environmentálny fond</w:t>
      </w:r>
      <w:r w:rsidR="00F14F1B" w:rsidRPr="00C66720">
        <w:rPr>
          <w:b w:val="0"/>
          <w:bCs w:val="0"/>
          <w:sz w:val="22"/>
          <w:szCs w:val="22"/>
        </w:rPr>
        <w:br/>
        <w:t>(</w:t>
      </w:r>
      <w:r w:rsidR="00C218C0" w:rsidRPr="00C66720">
        <w:rPr>
          <w:b w:val="0"/>
          <w:bCs w:val="0"/>
          <w:sz w:val="22"/>
          <w:szCs w:val="22"/>
        </w:rPr>
        <w:t>96 446</w:t>
      </w:r>
      <w:r w:rsidRPr="00C66720">
        <w:rPr>
          <w:b w:val="0"/>
          <w:bCs w:val="0"/>
          <w:sz w:val="22"/>
          <w:szCs w:val="22"/>
        </w:rPr>
        <w:t xml:space="preserve"> tis. eur</w:t>
      </w:r>
      <w:r w:rsidR="00F14F1B" w:rsidRPr="00C66720">
        <w:rPr>
          <w:b w:val="0"/>
          <w:bCs w:val="0"/>
          <w:sz w:val="22"/>
          <w:szCs w:val="22"/>
        </w:rPr>
        <w:t xml:space="preserve">; po eliminácii </w:t>
      </w:r>
      <w:r w:rsidR="00C218C0" w:rsidRPr="00C66720">
        <w:rPr>
          <w:b w:val="0"/>
          <w:bCs w:val="0"/>
          <w:sz w:val="22"/>
          <w:szCs w:val="22"/>
        </w:rPr>
        <w:t>18 134</w:t>
      </w:r>
      <w:r w:rsidR="00F14F1B" w:rsidRPr="00C66720">
        <w:rPr>
          <w:b w:val="0"/>
          <w:bCs w:val="0"/>
          <w:sz w:val="22"/>
          <w:szCs w:val="22"/>
        </w:rPr>
        <w:t xml:space="preserve"> tis. eur</w:t>
      </w:r>
      <w:r w:rsidRPr="00C66720">
        <w:rPr>
          <w:b w:val="0"/>
          <w:bCs w:val="0"/>
          <w:sz w:val="22"/>
          <w:szCs w:val="22"/>
        </w:rPr>
        <w:t>) z titulu poskytovania podpory v oblasti odstraňovania znečistenia životného prostredia, čiernych skládok, podpory poskytujúcej po zaniknutom Recyklačnom fonde (tvorba a prevádzka zberných dvorov v obciach a mestách SR, recyklačných liniek) a ďalšie transfery.</w:t>
      </w:r>
      <w:r w:rsidR="00D65C2A" w:rsidRPr="00C66720">
        <w:rPr>
          <w:b w:val="0"/>
          <w:bCs w:val="0"/>
          <w:sz w:val="22"/>
          <w:szCs w:val="22"/>
        </w:rPr>
        <w:t xml:space="preserve"> Ministerstvo zdravotníctva SR dosiahlo celkové náklady na ostatné transfery v sume </w:t>
      </w:r>
      <w:r w:rsidR="00D65C2A" w:rsidRPr="00C66720">
        <w:rPr>
          <w:b w:val="0"/>
          <w:bCs w:val="0"/>
          <w:sz w:val="22"/>
          <w:szCs w:val="22"/>
        </w:rPr>
        <w:br/>
        <w:t>68 063 tis. eur</w:t>
      </w:r>
      <w:r w:rsidR="00C27912" w:rsidRPr="00C66720">
        <w:rPr>
          <w:b w:val="0"/>
          <w:bCs w:val="0"/>
          <w:sz w:val="22"/>
          <w:szCs w:val="22"/>
        </w:rPr>
        <w:t xml:space="preserve"> z dôvodu poskytovania vakcín, liekov, testov a iného zdravotníckeho materiálu v súvislosti s pandémiou Covid-19 subjektom mimo súhrnného celku.</w:t>
      </w:r>
      <w:r w:rsidR="00DA3C61" w:rsidRPr="00C66720">
        <w:rPr>
          <w:b w:val="0"/>
          <w:bCs w:val="0"/>
          <w:sz w:val="22"/>
          <w:szCs w:val="22"/>
        </w:rPr>
        <w:t xml:space="preserve"> Ministerstvo vnútra SR vykazuje náklade na ostatné transfery v sume 79 310 tis. eur s medziročným znížením o 13 705 tis. eur</w:t>
      </w:r>
      <w:r w:rsidR="00066895" w:rsidRPr="00C66720">
        <w:rPr>
          <w:b w:val="0"/>
          <w:bCs w:val="0"/>
          <w:sz w:val="22"/>
          <w:szCs w:val="22"/>
        </w:rPr>
        <w:t>, dôvodom čoho bol medziročne nižší výdaj antigénových testov v súvislosti s </w:t>
      </w:r>
      <w:r w:rsidR="004C2CB6">
        <w:rPr>
          <w:b w:val="0"/>
          <w:bCs w:val="0"/>
          <w:sz w:val="22"/>
          <w:szCs w:val="22"/>
        </w:rPr>
        <w:t>ustupujúcou</w:t>
      </w:r>
      <w:r w:rsidR="004C2CB6" w:rsidRPr="00C66720">
        <w:rPr>
          <w:b w:val="0"/>
          <w:bCs w:val="0"/>
          <w:sz w:val="22"/>
          <w:szCs w:val="22"/>
        </w:rPr>
        <w:t xml:space="preserve"> </w:t>
      </w:r>
      <w:r w:rsidR="00066895" w:rsidRPr="00C66720">
        <w:rPr>
          <w:b w:val="0"/>
          <w:bCs w:val="0"/>
          <w:sz w:val="22"/>
          <w:szCs w:val="22"/>
        </w:rPr>
        <w:t xml:space="preserve">pandémiou </w:t>
      </w:r>
      <w:r w:rsidR="004B0058" w:rsidRPr="00C66720">
        <w:rPr>
          <w:b w:val="0"/>
          <w:bCs w:val="0"/>
          <w:sz w:val="22"/>
          <w:szCs w:val="22"/>
        </w:rPr>
        <w:t>C</w:t>
      </w:r>
      <w:r w:rsidR="004B0058">
        <w:rPr>
          <w:b w:val="0"/>
          <w:bCs w:val="0"/>
          <w:sz w:val="22"/>
          <w:szCs w:val="22"/>
        </w:rPr>
        <w:t>OVID</w:t>
      </w:r>
      <w:r w:rsidR="00066895" w:rsidRPr="00C66720">
        <w:rPr>
          <w:b w:val="0"/>
          <w:bCs w:val="0"/>
          <w:sz w:val="22"/>
          <w:szCs w:val="22"/>
        </w:rPr>
        <w:t>-19 v roku 2022.</w:t>
      </w:r>
      <w:r w:rsidR="006D1BB8" w:rsidRPr="00C66720">
        <w:rPr>
          <w:b w:val="0"/>
          <w:bCs w:val="0"/>
          <w:sz w:val="22"/>
          <w:szCs w:val="22"/>
        </w:rPr>
        <w:t xml:space="preserve"> Ministerstvo obrany SR vynaložila náklady na ostatné transfery v sume 65 704 tis. eur, čo je v porovnaní s rokom 2021 viac o 59 511 tis. eur. Najvýznamnejšiu položku tvorili náklady z dôvodu darovania resp. bezodplatného prevodu vlastníctva zásob a dlhodobého majetku </w:t>
      </w:r>
      <w:r w:rsidR="00280B39" w:rsidRPr="00C66720">
        <w:rPr>
          <w:b w:val="0"/>
          <w:bCs w:val="0"/>
          <w:sz w:val="22"/>
          <w:szCs w:val="22"/>
        </w:rPr>
        <w:t xml:space="preserve">vo výške 63 672 tis. eur na základe medzinárodných zmlúv. Ministerstvo obrany SR na základe žiadosti o pomoc pri výkone sebaobrany v zmysle článku 51 Charty OSN, darovalo Ukrajine v roku 2022 systém protivzdušnej </w:t>
      </w:r>
      <w:r w:rsidR="00280B39" w:rsidRPr="00C66720">
        <w:rPr>
          <w:b w:val="0"/>
          <w:bCs w:val="0"/>
          <w:sz w:val="22"/>
          <w:szCs w:val="22"/>
        </w:rPr>
        <w:lastRenderedPageBreak/>
        <w:t>obrany S-300, odmínovací systém Božena, päť dopravných vrtuľníkov, muníciu, palivo.</w:t>
      </w:r>
      <w:r w:rsidR="00B50871" w:rsidRPr="00C66720">
        <w:rPr>
          <w:b w:val="0"/>
          <w:bCs w:val="0"/>
          <w:sz w:val="22"/>
          <w:szCs w:val="22"/>
        </w:rPr>
        <w:t xml:space="preserve"> Ďalším projektom pomoci bolo darovanie 30 bojových vozidiel pechoty BVP-1.</w:t>
      </w:r>
    </w:p>
    <w:p w14:paraId="245B2B86" w14:textId="77777777" w:rsidR="005A629E" w:rsidRPr="00C66720" w:rsidRDefault="005A629E" w:rsidP="000F5743">
      <w:pPr>
        <w:pStyle w:val="Pismenka"/>
        <w:numPr>
          <w:ilvl w:val="0"/>
          <w:numId w:val="24"/>
        </w:numPr>
        <w:spacing w:after="120"/>
        <w:ind w:left="426" w:hanging="426"/>
        <w:rPr>
          <w:bCs w:val="0"/>
          <w:sz w:val="24"/>
          <w:szCs w:val="24"/>
        </w:rPr>
      </w:pPr>
      <w:bookmarkStart w:id="71" w:name="_Ref86186892"/>
      <w:r w:rsidRPr="00C66720">
        <w:rPr>
          <w:bCs w:val="0"/>
          <w:sz w:val="24"/>
          <w:szCs w:val="24"/>
        </w:rPr>
        <w:t>Spotrebované nákupy a služby</w:t>
      </w:r>
      <w:bookmarkEnd w:id="71"/>
    </w:p>
    <w:p w14:paraId="5671C227" w14:textId="39646A8D" w:rsidR="002865C4" w:rsidRPr="00C66720" w:rsidRDefault="005A629E" w:rsidP="00366DAF">
      <w:pPr>
        <w:pStyle w:val="Pismenka"/>
        <w:tabs>
          <w:tab w:val="clear" w:pos="426"/>
        </w:tabs>
        <w:spacing w:after="240"/>
        <w:ind w:left="0" w:firstLine="0"/>
        <w:rPr>
          <w:b w:val="0"/>
          <w:bCs w:val="0"/>
          <w:sz w:val="22"/>
          <w:szCs w:val="22"/>
        </w:rPr>
      </w:pPr>
      <w:r w:rsidRPr="00C66720">
        <w:rPr>
          <w:b w:val="0"/>
          <w:bCs w:val="0"/>
          <w:sz w:val="22"/>
          <w:szCs w:val="22"/>
        </w:rPr>
        <w:t xml:space="preserve">V rámci týchto nákladov tvoria najvyššiu hodnotu náklady na </w:t>
      </w:r>
      <w:r w:rsidR="00A21AD4" w:rsidRPr="00C66720">
        <w:rPr>
          <w:b w:val="0"/>
          <w:bCs w:val="0"/>
          <w:sz w:val="22"/>
          <w:szCs w:val="22"/>
          <w:u w:val="single"/>
        </w:rPr>
        <w:t>spotrebu materiálu</w:t>
      </w:r>
      <w:r w:rsidR="00A21AD4" w:rsidRPr="00C66720">
        <w:rPr>
          <w:b w:val="0"/>
          <w:bCs w:val="0"/>
          <w:sz w:val="22"/>
          <w:szCs w:val="22"/>
        </w:rPr>
        <w:t xml:space="preserve"> 8 148 783 tis. eur (2021: 3 321 642 tis. eur), </w:t>
      </w:r>
      <w:r w:rsidR="004741ED" w:rsidRPr="00C66720">
        <w:rPr>
          <w:b w:val="0"/>
          <w:bCs w:val="0"/>
          <w:sz w:val="22"/>
          <w:szCs w:val="22"/>
          <w:u w:val="single"/>
        </w:rPr>
        <w:t xml:space="preserve">služby </w:t>
      </w:r>
      <w:r w:rsidR="004741ED" w:rsidRPr="00C66720">
        <w:rPr>
          <w:b w:val="0"/>
          <w:bCs w:val="0"/>
          <w:sz w:val="22"/>
          <w:szCs w:val="22"/>
        </w:rPr>
        <w:t xml:space="preserve">7 808 495 tis. eur (2021: 6 580 677 tis. eur), </w:t>
      </w:r>
      <w:r w:rsidR="00F65ACC" w:rsidRPr="00C66720">
        <w:rPr>
          <w:b w:val="0"/>
          <w:bCs w:val="0"/>
          <w:sz w:val="22"/>
          <w:szCs w:val="22"/>
          <w:u w:val="single"/>
        </w:rPr>
        <w:t xml:space="preserve">predaný tovar </w:t>
      </w:r>
      <w:r w:rsidR="00F35C8F">
        <w:rPr>
          <w:b w:val="0"/>
          <w:bCs w:val="0"/>
          <w:sz w:val="22"/>
          <w:szCs w:val="22"/>
          <w:u w:val="single"/>
        </w:rPr>
        <w:br/>
      </w:r>
      <w:r w:rsidR="00F65ACC" w:rsidRPr="00C66720">
        <w:rPr>
          <w:b w:val="0"/>
          <w:bCs w:val="0"/>
          <w:sz w:val="22"/>
          <w:szCs w:val="22"/>
        </w:rPr>
        <w:t>5 822 916 tis. eur (2021: 2 391 327 tis. eur) a </w:t>
      </w:r>
      <w:r w:rsidR="00F65ACC" w:rsidRPr="00C66720">
        <w:rPr>
          <w:b w:val="0"/>
          <w:bCs w:val="0"/>
          <w:sz w:val="22"/>
          <w:szCs w:val="22"/>
          <w:u w:val="single"/>
        </w:rPr>
        <w:t>spotreba energií</w:t>
      </w:r>
      <w:r w:rsidR="00F65ACC" w:rsidRPr="00C66720">
        <w:rPr>
          <w:b w:val="0"/>
          <w:bCs w:val="0"/>
          <w:sz w:val="22"/>
          <w:szCs w:val="22"/>
        </w:rPr>
        <w:t xml:space="preserve"> 971 640 tis. eur (2021: 657 019 tis. eur).</w:t>
      </w:r>
      <w:r w:rsidR="002865C4" w:rsidRPr="00C66720">
        <w:rPr>
          <w:b w:val="0"/>
          <w:bCs w:val="0"/>
          <w:sz w:val="22"/>
          <w:szCs w:val="22"/>
        </w:rPr>
        <w:t xml:space="preserve"> </w:t>
      </w:r>
      <w:r w:rsidRPr="00C66720">
        <w:rPr>
          <w:b w:val="0"/>
          <w:bCs w:val="0"/>
          <w:sz w:val="22"/>
          <w:szCs w:val="22"/>
        </w:rPr>
        <w:t xml:space="preserve">Medziročný </w:t>
      </w:r>
      <w:r w:rsidR="00F967A0" w:rsidRPr="00C66720">
        <w:rPr>
          <w:b w:val="0"/>
          <w:bCs w:val="0"/>
          <w:sz w:val="22"/>
          <w:szCs w:val="22"/>
        </w:rPr>
        <w:t>nárast</w:t>
      </w:r>
      <w:r w:rsidRPr="00C66720">
        <w:rPr>
          <w:b w:val="0"/>
          <w:bCs w:val="0"/>
          <w:sz w:val="22"/>
          <w:szCs w:val="22"/>
        </w:rPr>
        <w:t xml:space="preserve"> týchto nákladov o</w:t>
      </w:r>
      <w:r w:rsidR="002865C4" w:rsidRPr="00C66720">
        <w:rPr>
          <w:b w:val="0"/>
          <w:bCs w:val="0"/>
          <w:sz w:val="22"/>
          <w:szCs w:val="22"/>
        </w:rPr>
        <w:t> 9 803 637</w:t>
      </w:r>
      <w:r w:rsidRPr="00C66720">
        <w:rPr>
          <w:b w:val="0"/>
          <w:bCs w:val="0"/>
          <w:sz w:val="22"/>
          <w:szCs w:val="22"/>
        </w:rPr>
        <w:t xml:space="preserve"> tis. eur bol spôsobený najmä </w:t>
      </w:r>
      <w:r w:rsidR="00F967A0" w:rsidRPr="00C66720">
        <w:rPr>
          <w:b w:val="0"/>
          <w:bCs w:val="0"/>
          <w:sz w:val="22"/>
          <w:szCs w:val="22"/>
        </w:rPr>
        <w:t>nárastom</w:t>
      </w:r>
      <w:r w:rsidRPr="00C66720">
        <w:rPr>
          <w:b w:val="0"/>
          <w:bCs w:val="0"/>
          <w:sz w:val="22"/>
          <w:szCs w:val="22"/>
        </w:rPr>
        <w:t xml:space="preserve"> nákladov </w:t>
      </w:r>
      <w:r w:rsidR="00B9594F" w:rsidRPr="00C66720">
        <w:rPr>
          <w:b w:val="0"/>
          <w:bCs w:val="0"/>
          <w:sz w:val="22"/>
          <w:szCs w:val="22"/>
        </w:rPr>
        <w:t>súvisiacich so spotrebou materiálu o 4 827 141 tis. eur, nákladov na predaný tovar o 3 431 589 tis. eur, nákladov na prijaté služby o 1 227 818 tis. eur a nákladov na spotrebu energií o 314 621 tis. eur.</w:t>
      </w:r>
    </w:p>
    <w:p w14:paraId="448D565B" w14:textId="541C2404" w:rsidR="008E5899" w:rsidRPr="00C66720" w:rsidRDefault="008E5899" w:rsidP="00D043B6">
      <w:pPr>
        <w:pStyle w:val="Pismenka"/>
        <w:numPr>
          <w:ilvl w:val="0"/>
          <w:numId w:val="44"/>
        </w:numPr>
        <w:spacing w:before="120" w:after="120"/>
        <w:ind w:left="284" w:hanging="284"/>
        <w:rPr>
          <w:i/>
          <w:sz w:val="22"/>
          <w:szCs w:val="22"/>
          <w:u w:val="single"/>
        </w:rPr>
      </w:pPr>
      <w:bookmarkStart w:id="72" w:name="_Ref86186511"/>
      <w:r w:rsidRPr="00C66720">
        <w:rPr>
          <w:i/>
          <w:sz w:val="22"/>
          <w:szCs w:val="22"/>
          <w:u w:val="single"/>
        </w:rPr>
        <w:t>Služby</w:t>
      </w:r>
      <w:bookmarkEnd w:id="72"/>
    </w:p>
    <w:p w14:paraId="4C3265A5" w14:textId="086F22D5" w:rsidR="0021240A" w:rsidRDefault="0021240A" w:rsidP="000F5743">
      <w:pPr>
        <w:pStyle w:val="Pismenka"/>
        <w:tabs>
          <w:tab w:val="clear" w:pos="426"/>
        </w:tabs>
        <w:spacing w:before="120"/>
        <w:ind w:left="0" w:firstLine="0"/>
        <w:rPr>
          <w:b w:val="0"/>
          <w:bCs w:val="0"/>
          <w:sz w:val="22"/>
          <w:szCs w:val="22"/>
        </w:rPr>
      </w:pPr>
      <w:r w:rsidRPr="00C66720">
        <w:rPr>
          <w:b w:val="0"/>
          <w:bCs w:val="0"/>
          <w:sz w:val="22"/>
          <w:szCs w:val="22"/>
          <w:u w:val="single"/>
        </w:rPr>
        <w:t>Na hodnote nákladov spotrebovaných služieb</w:t>
      </w:r>
      <w:r w:rsidRPr="00C66720">
        <w:rPr>
          <w:b w:val="0"/>
          <w:bCs w:val="0"/>
          <w:sz w:val="22"/>
          <w:szCs w:val="22"/>
        </w:rPr>
        <w:t xml:space="preserve"> sa podieľa najmä ústredná správa (</w:t>
      </w:r>
      <w:r w:rsidR="00D153AF" w:rsidRPr="00C66720">
        <w:rPr>
          <w:b w:val="0"/>
          <w:bCs w:val="0"/>
          <w:sz w:val="22"/>
          <w:szCs w:val="22"/>
        </w:rPr>
        <w:t>6 450 718</w:t>
      </w:r>
      <w:r w:rsidRPr="00C66720">
        <w:rPr>
          <w:b w:val="0"/>
          <w:bCs w:val="0"/>
          <w:sz w:val="22"/>
          <w:szCs w:val="22"/>
        </w:rPr>
        <w:t xml:space="preserve"> tis. eur) a obce so svojimi organizáciami v konsolidovaných celkoch (</w:t>
      </w:r>
      <w:r w:rsidR="00D153AF" w:rsidRPr="00C66720">
        <w:rPr>
          <w:b w:val="0"/>
          <w:bCs w:val="0"/>
          <w:sz w:val="22"/>
          <w:szCs w:val="22"/>
        </w:rPr>
        <w:t>875 109</w:t>
      </w:r>
      <w:r w:rsidRPr="00C66720">
        <w:rPr>
          <w:b w:val="0"/>
          <w:bCs w:val="0"/>
          <w:sz w:val="22"/>
          <w:szCs w:val="22"/>
        </w:rPr>
        <w:t xml:space="preserve"> tis. eur).</w:t>
      </w:r>
    </w:p>
    <w:p w14:paraId="3CCB6BD9" w14:textId="77777777" w:rsidR="005A789F" w:rsidRPr="00F63B32" w:rsidRDefault="005A789F" w:rsidP="005A789F">
      <w:pPr>
        <w:spacing w:before="200" w:after="0" w:line="240" w:lineRule="auto"/>
        <w:jc w:val="both"/>
        <w:rPr>
          <w:rFonts w:ascii="Times New Roman" w:hAnsi="Times New Roman"/>
          <w:b/>
          <w:bCs/>
          <w:sz w:val="18"/>
          <w:szCs w:val="18"/>
        </w:rPr>
      </w:pPr>
      <w:r>
        <w:rPr>
          <w:rFonts w:ascii="Times New Roman" w:hAnsi="Times New Roman"/>
          <w:b/>
          <w:bCs/>
          <w:sz w:val="18"/>
          <w:szCs w:val="18"/>
        </w:rPr>
        <w:t>Tabuľka 23</w:t>
      </w:r>
    </w:p>
    <w:tbl>
      <w:tblPr>
        <w:tblW w:w="5000" w:type="pct"/>
        <w:jc w:val="center"/>
        <w:tblLayout w:type="fixed"/>
        <w:tblCellMar>
          <w:left w:w="70" w:type="dxa"/>
          <w:right w:w="70" w:type="dxa"/>
        </w:tblCellMar>
        <w:tblLook w:val="00A0" w:firstRow="1" w:lastRow="0" w:firstColumn="1" w:lastColumn="0" w:noHBand="0" w:noVBand="0"/>
      </w:tblPr>
      <w:tblGrid>
        <w:gridCol w:w="5176"/>
        <w:gridCol w:w="1201"/>
        <w:gridCol w:w="1419"/>
        <w:gridCol w:w="1275"/>
      </w:tblGrid>
      <w:tr w:rsidR="005A789F" w:rsidRPr="005773D1" w14:paraId="72ED3C71"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62F52DDC" w14:textId="77777777" w:rsidR="005A789F" w:rsidRPr="005773D1" w:rsidRDefault="005A789F" w:rsidP="00241F33">
            <w:pPr>
              <w:spacing w:after="0" w:line="240" w:lineRule="auto"/>
              <w:rPr>
                <w:rFonts w:ascii="Times New Roman" w:hAnsi="Times New Roman"/>
                <w:b/>
                <w:bCs/>
                <w:sz w:val="18"/>
                <w:szCs w:val="18"/>
                <w:lang w:eastAsia="sk-SK"/>
              </w:rPr>
            </w:pPr>
            <w:r w:rsidRPr="005773D1">
              <w:rPr>
                <w:rFonts w:ascii="Times New Roman" w:hAnsi="Times New Roman"/>
                <w:b/>
                <w:bCs/>
                <w:sz w:val="18"/>
                <w:szCs w:val="18"/>
                <w:lang w:eastAsia="sk-SK"/>
              </w:rPr>
              <w:t>Služby                                                                                                                                                                      (v tis. eur) </w:t>
            </w:r>
          </w:p>
        </w:tc>
      </w:tr>
      <w:tr w:rsidR="005A789F" w:rsidRPr="009462E4" w14:paraId="46BC0DDC" w14:textId="77777777" w:rsidTr="00241F33">
        <w:trPr>
          <w:trHeight w:val="330"/>
          <w:jc w:val="center"/>
        </w:trPr>
        <w:tc>
          <w:tcPr>
            <w:tcW w:w="2853" w:type="pct"/>
            <w:tcBorders>
              <w:top w:val="nil"/>
              <w:left w:val="nil"/>
              <w:bottom w:val="single" w:sz="4" w:space="0" w:color="auto"/>
              <w:right w:val="nil"/>
            </w:tcBorders>
            <w:shd w:val="clear" w:color="auto" w:fill="BDD7EE"/>
            <w:noWrap/>
            <w:vAlign w:val="center"/>
          </w:tcPr>
          <w:p w14:paraId="1234ADFE" w14:textId="77777777" w:rsidR="005A789F" w:rsidRPr="009462E4" w:rsidRDefault="005A789F" w:rsidP="005A789F">
            <w:pPr>
              <w:spacing w:after="0" w:line="240" w:lineRule="auto"/>
              <w:rPr>
                <w:rFonts w:ascii="Times New Roman" w:hAnsi="Times New Roman"/>
                <w:b/>
                <w:bCs/>
                <w:color w:val="000000" w:themeColor="text1"/>
                <w:sz w:val="18"/>
                <w:szCs w:val="18"/>
                <w:lang w:eastAsia="sk-SK"/>
              </w:rPr>
            </w:pPr>
          </w:p>
        </w:tc>
        <w:tc>
          <w:tcPr>
            <w:tcW w:w="662" w:type="pct"/>
            <w:tcBorders>
              <w:top w:val="nil"/>
              <w:left w:val="nil"/>
              <w:bottom w:val="single" w:sz="4" w:space="0" w:color="auto"/>
              <w:right w:val="nil"/>
            </w:tcBorders>
            <w:shd w:val="clear" w:color="auto" w:fill="BDD7EE"/>
            <w:noWrap/>
            <w:vAlign w:val="center"/>
          </w:tcPr>
          <w:p w14:paraId="0A03B554" w14:textId="1987BEA4" w:rsidR="005A789F" w:rsidRPr="009462E4" w:rsidRDefault="005A789F" w:rsidP="005A789F">
            <w:pPr>
              <w:spacing w:after="0" w:line="240" w:lineRule="auto"/>
              <w:jc w:val="right"/>
              <w:rPr>
                <w:rFonts w:ascii="Times New Roman" w:hAnsi="Times New Roman"/>
                <w:b/>
                <w:bCs/>
                <w:color w:val="000000" w:themeColor="text1"/>
                <w:sz w:val="18"/>
                <w:szCs w:val="18"/>
                <w:lang w:eastAsia="sk-SK"/>
              </w:rPr>
            </w:pPr>
            <w:r w:rsidRPr="00C66720">
              <w:rPr>
                <w:rFonts w:ascii="Times New Roman" w:hAnsi="Times New Roman"/>
                <w:b/>
                <w:bCs/>
                <w:sz w:val="18"/>
                <w:szCs w:val="18"/>
                <w:lang w:eastAsia="sk-SK"/>
              </w:rPr>
              <w:t>2022</w:t>
            </w:r>
          </w:p>
        </w:tc>
        <w:tc>
          <w:tcPr>
            <w:tcW w:w="782" w:type="pct"/>
            <w:tcBorders>
              <w:top w:val="nil"/>
              <w:left w:val="nil"/>
              <w:bottom w:val="single" w:sz="4" w:space="0" w:color="auto"/>
              <w:right w:val="nil"/>
            </w:tcBorders>
            <w:shd w:val="clear" w:color="auto" w:fill="BDD7EE"/>
            <w:noWrap/>
            <w:vAlign w:val="center"/>
          </w:tcPr>
          <w:p w14:paraId="4B501901" w14:textId="07A965A2" w:rsidR="005A789F" w:rsidRPr="009462E4" w:rsidRDefault="005A789F" w:rsidP="005A789F">
            <w:pPr>
              <w:spacing w:after="0" w:line="240" w:lineRule="auto"/>
              <w:jc w:val="right"/>
              <w:rPr>
                <w:rFonts w:ascii="Times New Roman" w:hAnsi="Times New Roman"/>
                <w:b/>
                <w:bCs/>
                <w:color w:val="000000" w:themeColor="text1"/>
                <w:sz w:val="18"/>
                <w:szCs w:val="18"/>
                <w:lang w:eastAsia="sk-SK"/>
              </w:rPr>
            </w:pPr>
            <w:r w:rsidRPr="00C66720">
              <w:rPr>
                <w:rFonts w:ascii="Times New Roman" w:hAnsi="Times New Roman"/>
                <w:b/>
                <w:bCs/>
                <w:sz w:val="18"/>
                <w:szCs w:val="18"/>
                <w:lang w:eastAsia="sk-SK"/>
              </w:rPr>
              <w:t>2021</w:t>
            </w:r>
          </w:p>
        </w:tc>
        <w:tc>
          <w:tcPr>
            <w:tcW w:w="703" w:type="pct"/>
            <w:tcBorders>
              <w:top w:val="nil"/>
              <w:left w:val="nil"/>
              <w:bottom w:val="single" w:sz="4" w:space="0" w:color="auto"/>
              <w:right w:val="nil"/>
            </w:tcBorders>
            <w:shd w:val="clear" w:color="auto" w:fill="BDD7EE"/>
            <w:vAlign w:val="center"/>
          </w:tcPr>
          <w:p w14:paraId="5ADC0BC3" w14:textId="08ACB958" w:rsidR="005A789F" w:rsidRPr="009462E4" w:rsidRDefault="005A789F" w:rsidP="005A789F">
            <w:pPr>
              <w:spacing w:after="0" w:line="240" w:lineRule="auto"/>
              <w:jc w:val="right"/>
              <w:rPr>
                <w:rFonts w:ascii="Times New Roman" w:hAnsi="Times New Roman"/>
                <w:b/>
                <w:bCs/>
                <w:color w:val="000000" w:themeColor="text1"/>
                <w:sz w:val="18"/>
                <w:szCs w:val="18"/>
                <w:lang w:eastAsia="sk-SK"/>
              </w:rPr>
            </w:pPr>
            <w:r w:rsidRPr="00C66720">
              <w:rPr>
                <w:rFonts w:ascii="Times New Roman" w:hAnsi="Times New Roman"/>
                <w:b/>
                <w:bCs/>
                <w:sz w:val="18"/>
                <w:szCs w:val="18"/>
                <w:lang w:eastAsia="sk-SK"/>
              </w:rPr>
              <w:t>Δ 2022-2021</w:t>
            </w:r>
          </w:p>
        </w:tc>
      </w:tr>
      <w:tr w:rsidR="005A789F" w:rsidRPr="009462E4" w14:paraId="3C58C6DD" w14:textId="77777777" w:rsidTr="00241F33">
        <w:trPr>
          <w:trHeight w:val="330"/>
          <w:jc w:val="center"/>
        </w:trPr>
        <w:tc>
          <w:tcPr>
            <w:tcW w:w="2853" w:type="pct"/>
            <w:tcBorders>
              <w:top w:val="nil"/>
              <w:left w:val="nil"/>
              <w:bottom w:val="nil"/>
              <w:right w:val="nil"/>
            </w:tcBorders>
            <w:shd w:val="clear" w:color="000000" w:fill="FFFFFF"/>
            <w:vAlign w:val="center"/>
          </w:tcPr>
          <w:p w14:paraId="376C787B" w14:textId="654F0F00" w:rsidR="005A789F" w:rsidRPr="009462E4" w:rsidRDefault="005A789F" w:rsidP="005A789F">
            <w:pPr>
              <w:spacing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Náklady na zdravotnú starostlivosť VšZP, a.s.</w:t>
            </w:r>
          </w:p>
        </w:tc>
        <w:tc>
          <w:tcPr>
            <w:tcW w:w="662" w:type="pct"/>
            <w:tcBorders>
              <w:top w:val="nil"/>
              <w:left w:val="nil"/>
              <w:bottom w:val="nil"/>
              <w:right w:val="nil"/>
            </w:tcBorders>
            <w:shd w:val="clear" w:color="000000" w:fill="FFFFFF"/>
            <w:vAlign w:val="center"/>
          </w:tcPr>
          <w:p w14:paraId="5756CC11" w14:textId="24FF6F62"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2 686 033</w:t>
            </w:r>
          </w:p>
        </w:tc>
        <w:tc>
          <w:tcPr>
            <w:tcW w:w="782" w:type="pct"/>
            <w:tcBorders>
              <w:top w:val="nil"/>
              <w:left w:val="nil"/>
              <w:bottom w:val="nil"/>
              <w:right w:val="nil"/>
            </w:tcBorders>
            <w:shd w:val="clear" w:color="000000" w:fill="FFFFFF"/>
            <w:vAlign w:val="center"/>
          </w:tcPr>
          <w:p w14:paraId="37DF89A9" w14:textId="7660CA28"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2 460 840</w:t>
            </w:r>
          </w:p>
        </w:tc>
        <w:tc>
          <w:tcPr>
            <w:tcW w:w="703" w:type="pct"/>
            <w:tcBorders>
              <w:top w:val="nil"/>
              <w:left w:val="nil"/>
              <w:bottom w:val="nil"/>
              <w:right w:val="nil"/>
            </w:tcBorders>
            <w:shd w:val="clear" w:color="000000" w:fill="FFFFFF"/>
            <w:vAlign w:val="center"/>
          </w:tcPr>
          <w:p w14:paraId="15B0D7F0" w14:textId="7A384C46"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225 193</w:t>
            </w:r>
          </w:p>
        </w:tc>
      </w:tr>
      <w:tr w:rsidR="005A789F" w:rsidRPr="009462E4" w14:paraId="76A3F9F6" w14:textId="77777777" w:rsidTr="00241F33">
        <w:trPr>
          <w:trHeight w:val="330"/>
          <w:jc w:val="center"/>
        </w:trPr>
        <w:tc>
          <w:tcPr>
            <w:tcW w:w="2853" w:type="pct"/>
            <w:tcBorders>
              <w:top w:val="nil"/>
              <w:left w:val="nil"/>
              <w:bottom w:val="nil"/>
              <w:right w:val="nil"/>
            </w:tcBorders>
            <w:shd w:val="clear" w:color="000000" w:fill="FFFFFF"/>
            <w:vAlign w:val="center"/>
          </w:tcPr>
          <w:p w14:paraId="34D1DA5D" w14:textId="5CD3216C" w:rsidR="005A789F" w:rsidRPr="009462E4" w:rsidRDefault="005A789F" w:rsidP="005A789F">
            <w:pPr>
              <w:spacing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Náklady SEPS, a.s. na prevádzku systému</w:t>
            </w:r>
          </w:p>
        </w:tc>
        <w:tc>
          <w:tcPr>
            <w:tcW w:w="662" w:type="pct"/>
            <w:tcBorders>
              <w:top w:val="nil"/>
              <w:left w:val="nil"/>
              <w:bottom w:val="nil"/>
              <w:right w:val="nil"/>
            </w:tcBorders>
            <w:shd w:val="clear" w:color="000000" w:fill="FFFFFF"/>
            <w:vAlign w:val="center"/>
          </w:tcPr>
          <w:p w14:paraId="71B2DF99" w14:textId="2AB62026"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1 370 469</w:t>
            </w:r>
          </w:p>
        </w:tc>
        <w:tc>
          <w:tcPr>
            <w:tcW w:w="782" w:type="pct"/>
            <w:tcBorders>
              <w:top w:val="nil"/>
              <w:left w:val="nil"/>
              <w:bottom w:val="nil"/>
              <w:right w:val="nil"/>
            </w:tcBorders>
            <w:shd w:val="clear" w:color="000000" w:fill="FFFFFF"/>
            <w:vAlign w:val="center"/>
          </w:tcPr>
          <w:p w14:paraId="7638EB29" w14:textId="27FC2B92"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651 251</w:t>
            </w:r>
          </w:p>
        </w:tc>
        <w:tc>
          <w:tcPr>
            <w:tcW w:w="703" w:type="pct"/>
            <w:tcBorders>
              <w:top w:val="nil"/>
              <w:left w:val="nil"/>
              <w:bottom w:val="nil"/>
              <w:right w:val="nil"/>
            </w:tcBorders>
            <w:shd w:val="clear" w:color="000000" w:fill="FFFFFF"/>
            <w:vAlign w:val="center"/>
          </w:tcPr>
          <w:p w14:paraId="00A28A65" w14:textId="10204ABF"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719 218</w:t>
            </w:r>
          </w:p>
        </w:tc>
      </w:tr>
      <w:tr w:rsidR="005A789F" w:rsidRPr="009462E4" w14:paraId="7B20CDCA" w14:textId="77777777" w:rsidTr="00241F33">
        <w:trPr>
          <w:trHeight w:val="330"/>
          <w:jc w:val="center"/>
        </w:trPr>
        <w:tc>
          <w:tcPr>
            <w:tcW w:w="2853" w:type="pct"/>
            <w:tcBorders>
              <w:top w:val="nil"/>
              <w:left w:val="nil"/>
              <w:bottom w:val="nil"/>
              <w:right w:val="nil"/>
            </w:tcBorders>
            <w:shd w:val="clear" w:color="000000" w:fill="FFFFFF"/>
            <w:vAlign w:val="center"/>
          </w:tcPr>
          <w:p w14:paraId="0BB95832" w14:textId="41E03889" w:rsidR="005A789F" w:rsidRPr="00FA64CB" w:rsidRDefault="005A789F" w:rsidP="005A789F">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Opravy a udržiavanie</w:t>
            </w:r>
          </w:p>
        </w:tc>
        <w:tc>
          <w:tcPr>
            <w:tcW w:w="662" w:type="pct"/>
            <w:tcBorders>
              <w:top w:val="nil"/>
              <w:left w:val="nil"/>
              <w:bottom w:val="nil"/>
              <w:right w:val="nil"/>
            </w:tcBorders>
            <w:shd w:val="clear" w:color="000000" w:fill="FFFFFF"/>
            <w:vAlign w:val="center"/>
          </w:tcPr>
          <w:p w14:paraId="60791E8C" w14:textId="51E5AD9F" w:rsidR="005A789F" w:rsidRPr="00FA64CB" w:rsidRDefault="005A789F" w:rsidP="005A789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768 592</w:t>
            </w:r>
          </w:p>
        </w:tc>
        <w:tc>
          <w:tcPr>
            <w:tcW w:w="782" w:type="pct"/>
            <w:tcBorders>
              <w:top w:val="nil"/>
              <w:left w:val="nil"/>
              <w:bottom w:val="nil"/>
              <w:right w:val="nil"/>
            </w:tcBorders>
            <w:shd w:val="clear" w:color="000000" w:fill="FFFFFF"/>
            <w:vAlign w:val="center"/>
          </w:tcPr>
          <w:p w14:paraId="2195DD64" w14:textId="73427C08" w:rsidR="005A789F" w:rsidRPr="00FA64CB" w:rsidRDefault="005A789F" w:rsidP="005A789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809 295</w:t>
            </w:r>
          </w:p>
        </w:tc>
        <w:tc>
          <w:tcPr>
            <w:tcW w:w="703" w:type="pct"/>
            <w:tcBorders>
              <w:top w:val="nil"/>
              <w:left w:val="nil"/>
              <w:bottom w:val="nil"/>
              <w:right w:val="nil"/>
            </w:tcBorders>
            <w:shd w:val="clear" w:color="000000" w:fill="FFFFFF"/>
            <w:vAlign w:val="center"/>
          </w:tcPr>
          <w:p w14:paraId="0D5B1AD3" w14:textId="589D45DA" w:rsidR="005A789F" w:rsidRPr="00FA64CB" w:rsidRDefault="005A789F" w:rsidP="005A789F">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-40 703</w:t>
            </w:r>
          </w:p>
        </w:tc>
      </w:tr>
      <w:tr w:rsidR="005A789F" w:rsidRPr="009462E4" w14:paraId="18FBCAB1" w14:textId="77777777" w:rsidTr="00241F33">
        <w:trPr>
          <w:trHeight w:val="330"/>
          <w:jc w:val="center"/>
        </w:trPr>
        <w:tc>
          <w:tcPr>
            <w:tcW w:w="2853" w:type="pct"/>
            <w:tcBorders>
              <w:top w:val="nil"/>
              <w:left w:val="nil"/>
              <w:bottom w:val="nil"/>
              <w:right w:val="nil"/>
            </w:tcBorders>
            <w:shd w:val="clear" w:color="000000" w:fill="FFFFFF"/>
            <w:vAlign w:val="center"/>
          </w:tcPr>
          <w:p w14:paraId="3483C6FA" w14:textId="248D9B48" w:rsidR="005A789F" w:rsidRPr="009462E4" w:rsidRDefault="005A789F" w:rsidP="005A789F">
            <w:pPr>
              <w:spacing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 xml:space="preserve">Náklady za dostupnosť </w:t>
            </w:r>
          </w:p>
        </w:tc>
        <w:tc>
          <w:tcPr>
            <w:tcW w:w="662" w:type="pct"/>
            <w:tcBorders>
              <w:top w:val="nil"/>
              <w:left w:val="nil"/>
              <w:bottom w:val="nil"/>
              <w:right w:val="nil"/>
            </w:tcBorders>
            <w:shd w:val="clear" w:color="000000" w:fill="FFFFFF"/>
            <w:vAlign w:val="center"/>
          </w:tcPr>
          <w:p w14:paraId="3E7543C1" w14:textId="678ADFE3"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180 499</w:t>
            </w:r>
          </w:p>
        </w:tc>
        <w:tc>
          <w:tcPr>
            <w:tcW w:w="782" w:type="pct"/>
            <w:tcBorders>
              <w:top w:val="nil"/>
              <w:left w:val="nil"/>
              <w:bottom w:val="nil"/>
              <w:right w:val="nil"/>
            </w:tcBorders>
            <w:shd w:val="clear" w:color="000000" w:fill="FFFFFF"/>
            <w:vAlign w:val="center"/>
          </w:tcPr>
          <w:p w14:paraId="33B52246" w14:textId="55BBF349"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152 987</w:t>
            </w:r>
          </w:p>
        </w:tc>
        <w:tc>
          <w:tcPr>
            <w:tcW w:w="703" w:type="pct"/>
            <w:tcBorders>
              <w:top w:val="nil"/>
              <w:left w:val="nil"/>
              <w:bottom w:val="nil"/>
              <w:right w:val="nil"/>
            </w:tcBorders>
            <w:shd w:val="clear" w:color="000000" w:fill="FFFFFF"/>
            <w:vAlign w:val="center"/>
          </w:tcPr>
          <w:p w14:paraId="46F0A521" w14:textId="26711FF9"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27 512</w:t>
            </w:r>
          </w:p>
        </w:tc>
      </w:tr>
      <w:tr w:rsidR="005A789F" w:rsidRPr="009462E4" w14:paraId="5B13CEF6" w14:textId="77777777" w:rsidTr="005A789F">
        <w:trPr>
          <w:trHeight w:val="330"/>
          <w:jc w:val="center"/>
        </w:trPr>
        <w:tc>
          <w:tcPr>
            <w:tcW w:w="2853" w:type="pct"/>
            <w:tcBorders>
              <w:top w:val="nil"/>
              <w:left w:val="nil"/>
              <w:right w:val="nil"/>
            </w:tcBorders>
            <w:shd w:val="clear" w:color="000000" w:fill="FFFFFF"/>
            <w:vAlign w:val="center"/>
          </w:tcPr>
          <w:p w14:paraId="0E9BAAC4" w14:textId="5CE44EE0" w:rsidR="005A789F" w:rsidRPr="009462E4" w:rsidRDefault="005A789F" w:rsidP="005A789F">
            <w:pPr>
              <w:spacing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Cestovné</w:t>
            </w:r>
          </w:p>
        </w:tc>
        <w:tc>
          <w:tcPr>
            <w:tcW w:w="662" w:type="pct"/>
            <w:tcBorders>
              <w:top w:val="nil"/>
              <w:left w:val="nil"/>
              <w:right w:val="nil"/>
            </w:tcBorders>
            <w:shd w:val="clear" w:color="000000" w:fill="FFFFFF"/>
            <w:vAlign w:val="center"/>
          </w:tcPr>
          <w:p w14:paraId="04F2D91B" w14:textId="3DB2C2CA"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77 361</w:t>
            </w:r>
          </w:p>
        </w:tc>
        <w:tc>
          <w:tcPr>
            <w:tcW w:w="782" w:type="pct"/>
            <w:tcBorders>
              <w:top w:val="nil"/>
              <w:left w:val="nil"/>
              <w:right w:val="nil"/>
            </w:tcBorders>
            <w:shd w:val="clear" w:color="000000" w:fill="FFFFFF"/>
            <w:vAlign w:val="center"/>
          </w:tcPr>
          <w:p w14:paraId="737F8140" w14:textId="0DE789F1"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44 968</w:t>
            </w:r>
          </w:p>
        </w:tc>
        <w:tc>
          <w:tcPr>
            <w:tcW w:w="703" w:type="pct"/>
            <w:tcBorders>
              <w:top w:val="nil"/>
              <w:left w:val="nil"/>
              <w:right w:val="nil"/>
            </w:tcBorders>
            <w:shd w:val="clear" w:color="000000" w:fill="FFFFFF"/>
            <w:vAlign w:val="center"/>
          </w:tcPr>
          <w:p w14:paraId="7D8E6709" w14:textId="06A38BC4"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32 393</w:t>
            </w:r>
          </w:p>
        </w:tc>
      </w:tr>
      <w:tr w:rsidR="005A789F" w:rsidRPr="009462E4" w14:paraId="14BD234C" w14:textId="77777777" w:rsidTr="005A789F">
        <w:trPr>
          <w:trHeight w:val="330"/>
          <w:jc w:val="center"/>
        </w:trPr>
        <w:tc>
          <w:tcPr>
            <w:tcW w:w="2853" w:type="pct"/>
            <w:tcBorders>
              <w:top w:val="nil"/>
              <w:left w:val="nil"/>
              <w:right w:val="nil"/>
            </w:tcBorders>
            <w:shd w:val="clear" w:color="000000" w:fill="FFFFFF"/>
            <w:vAlign w:val="center"/>
          </w:tcPr>
          <w:p w14:paraId="21F7959A" w14:textId="4B358DEF" w:rsidR="005A789F" w:rsidRPr="009462E4" w:rsidRDefault="005A789F" w:rsidP="005A789F">
            <w:pPr>
              <w:spacing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Náklady na reprezentáciu</w:t>
            </w:r>
          </w:p>
        </w:tc>
        <w:tc>
          <w:tcPr>
            <w:tcW w:w="662" w:type="pct"/>
            <w:tcBorders>
              <w:top w:val="nil"/>
              <w:left w:val="nil"/>
              <w:right w:val="nil"/>
            </w:tcBorders>
            <w:shd w:val="clear" w:color="000000" w:fill="FFFFFF"/>
            <w:vAlign w:val="center"/>
          </w:tcPr>
          <w:p w14:paraId="3232ED71" w14:textId="6092D859"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22 714</w:t>
            </w:r>
          </w:p>
        </w:tc>
        <w:tc>
          <w:tcPr>
            <w:tcW w:w="782" w:type="pct"/>
            <w:tcBorders>
              <w:top w:val="nil"/>
              <w:left w:val="nil"/>
              <w:right w:val="nil"/>
            </w:tcBorders>
            <w:shd w:val="clear" w:color="000000" w:fill="FFFFFF"/>
            <w:vAlign w:val="center"/>
          </w:tcPr>
          <w:p w14:paraId="66CBE03D" w14:textId="7C82B5F4"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12 510</w:t>
            </w:r>
          </w:p>
        </w:tc>
        <w:tc>
          <w:tcPr>
            <w:tcW w:w="703" w:type="pct"/>
            <w:tcBorders>
              <w:top w:val="nil"/>
              <w:left w:val="nil"/>
              <w:right w:val="nil"/>
            </w:tcBorders>
            <w:shd w:val="clear" w:color="000000" w:fill="FFFFFF"/>
            <w:vAlign w:val="center"/>
          </w:tcPr>
          <w:p w14:paraId="36667C59" w14:textId="3D8B59DC"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10 204</w:t>
            </w:r>
          </w:p>
        </w:tc>
      </w:tr>
      <w:tr w:rsidR="005A789F" w:rsidRPr="009462E4" w14:paraId="07158282" w14:textId="77777777" w:rsidTr="005A789F">
        <w:trPr>
          <w:trHeight w:val="330"/>
          <w:jc w:val="center"/>
        </w:trPr>
        <w:tc>
          <w:tcPr>
            <w:tcW w:w="2853" w:type="pct"/>
            <w:tcBorders>
              <w:left w:val="nil"/>
              <w:bottom w:val="single" w:sz="4" w:space="0" w:color="auto"/>
              <w:right w:val="nil"/>
            </w:tcBorders>
            <w:shd w:val="clear" w:color="000000" w:fill="FFFFFF"/>
            <w:vAlign w:val="center"/>
          </w:tcPr>
          <w:p w14:paraId="4BA898ED" w14:textId="28131ABB" w:rsidR="005A789F" w:rsidRPr="009462E4" w:rsidRDefault="005A789F" w:rsidP="005A789F">
            <w:pPr>
              <w:spacing w:after="0" w:line="240" w:lineRule="auto"/>
              <w:rPr>
                <w:rFonts w:ascii="Times New Roman" w:hAnsi="Times New Roman"/>
                <w:bCs/>
                <w:color w:val="000000" w:themeColor="text1"/>
                <w:sz w:val="18"/>
                <w:szCs w:val="18"/>
                <w:lang w:eastAsia="sk-SK"/>
              </w:rPr>
            </w:pPr>
            <w:r w:rsidRPr="00C66720">
              <w:rPr>
                <w:rFonts w:ascii="Times New Roman" w:hAnsi="Times New Roman"/>
                <w:bCs/>
                <w:sz w:val="18"/>
                <w:szCs w:val="18"/>
                <w:lang w:eastAsia="sk-SK"/>
              </w:rPr>
              <w:t>Ostatné služby</w:t>
            </w:r>
          </w:p>
        </w:tc>
        <w:tc>
          <w:tcPr>
            <w:tcW w:w="662" w:type="pct"/>
            <w:tcBorders>
              <w:left w:val="nil"/>
              <w:bottom w:val="single" w:sz="4" w:space="0" w:color="auto"/>
              <w:right w:val="nil"/>
            </w:tcBorders>
            <w:shd w:val="clear" w:color="000000" w:fill="FFFFFF"/>
            <w:vAlign w:val="center"/>
          </w:tcPr>
          <w:p w14:paraId="1DFF9F3B" w14:textId="7FF533A6"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2 702 827</w:t>
            </w:r>
          </w:p>
        </w:tc>
        <w:tc>
          <w:tcPr>
            <w:tcW w:w="782" w:type="pct"/>
            <w:tcBorders>
              <w:left w:val="nil"/>
              <w:bottom w:val="single" w:sz="4" w:space="0" w:color="auto"/>
              <w:right w:val="nil"/>
            </w:tcBorders>
            <w:shd w:val="clear" w:color="000000" w:fill="FFFFFF"/>
            <w:vAlign w:val="center"/>
          </w:tcPr>
          <w:p w14:paraId="728C59D2" w14:textId="7CCB5E96"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2 448 826</w:t>
            </w:r>
          </w:p>
        </w:tc>
        <w:tc>
          <w:tcPr>
            <w:tcW w:w="703" w:type="pct"/>
            <w:tcBorders>
              <w:left w:val="nil"/>
              <w:bottom w:val="single" w:sz="4" w:space="0" w:color="auto"/>
              <w:right w:val="nil"/>
            </w:tcBorders>
            <w:shd w:val="clear" w:color="000000" w:fill="FFFFFF"/>
            <w:vAlign w:val="center"/>
          </w:tcPr>
          <w:p w14:paraId="0D5EC0C2" w14:textId="20F8A74A" w:rsidR="005A789F" w:rsidRPr="009462E4" w:rsidRDefault="005A789F" w:rsidP="005A789F">
            <w:pPr>
              <w:spacing w:after="0" w:line="240" w:lineRule="auto"/>
              <w:jc w:val="right"/>
              <w:rPr>
                <w:rFonts w:ascii="Times New Roman" w:hAnsi="Times New Roman"/>
                <w:color w:val="000000" w:themeColor="text1"/>
                <w:sz w:val="18"/>
                <w:szCs w:val="18"/>
                <w:lang w:eastAsia="sk-SK"/>
              </w:rPr>
            </w:pPr>
            <w:r w:rsidRPr="00C66720">
              <w:rPr>
                <w:rFonts w:ascii="Times New Roman" w:hAnsi="Times New Roman"/>
                <w:sz w:val="18"/>
                <w:szCs w:val="18"/>
                <w:lang w:eastAsia="sk-SK"/>
              </w:rPr>
              <w:t>254 001</w:t>
            </w:r>
          </w:p>
        </w:tc>
      </w:tr>
      <w:tr w:rsidR="005A789F" w:rsidRPr="009462E4" w14:paraId="360634E0" w14:textId="77777777" w:rsidTr="005A789F">
        <w:trPr>
          <w:trHeight w:val="330"/>
          <w:jc w:val="center"/>
        </w:trPr>
        <w:tc>
          <w:tcPr>
            <w:tcW w:w="2853" w:type="pct"/>
            <w:tcBorders>
              <w:top w:val="single" w:sz="4" w:space="0" w:color="auto"/>
              <w:left w:val="nil"/>
              <w:bottom w:val="single" w:sz="4" w:space="0" w:color="000000"/>
              <w:right w:val="nil"/>
            </w:tcBorders>
            <w:shd w:val="clear" w:color="000000" w:fill="FFFFFF"/>
            <w:vAlign w:val="center"/>
          </w:tcPr>
          <w:p w14:paraId="36FFE098" w14:textId="26032F74" w:rsidR="005A789F" w:rsidRPr="009462E4" w:rsidRDefault="005A789F" w:rsidP="005A789F">
            <w:pPr>
              <w:spacing w:after="0" w:line="240" w:lineRule="auto"/>
              <w:rPr>
                <w:rFonts w:ascii="Times New Roman" w:hAnsi="Times New Roman"/>
                <w:b/>
                <w:bCs/>
                <w:color w:val="000000" w:themeColor="text1"/>
                <w:sz w:val="18"/>
                <w:szCs w:val="18"/>
                <w:lang w:eastAsia="sk-SK"/>
              </w:rPr>
            </w:pPr>
            <w:r w:rsidRPr="00C66720">
              <w:rPr>
                <w:rFonts w:ascii="Times New Roman" w:hAnsi="Times New Roman"/>
                <w:b/>
                <w:bCs/>
                <w:sz w:val="18"/>
                <w:szCs w:val="18"/>
                <w:lang w:eastAsia="sk-SK"/>
              </w:rPr>
              <w:t>Spolu</w:t>
            </w:r>
          </w:p>
        </w:tc>
        <w:tc>
          <w:tcPr>
            <w:tcW w:w="662" w:type="pct"/>
            <w:tcBorders>
              <w:top w:val="single" w:sz="4" w:space="0" w:color="auto"/>
              <w:left w:val="nil"/>
              <w:bottom w:val="single" w:sz="4" w:space="0" w:color="000000"/>
              <w:right w:val="nil"/>
            </w:tcBorders>
            <w:shd w:val="clear" w:color="000000" w:fill="FFFFFF"/>
            <w:vAlign w:val="center"/>
          </w:tcPr>
          <w:p w14:paraId="1157F3B9" w14:textId="63404982" w:rsidR="005A789F" w:rsidRPr="009462E4" w:rsidRDefault="005A789F" w:rsidP="005A789F">
            <w:pPr>
              <w:spacing w:after="0" w:line="240" w:lineRule="auto"/>
              <w:jc w:val="right"/>
              <w:rPr>
                <w:rFonts w:ascii="Times New Roman" w:hAnsi="Times New Roman"/>
                <w:b/>
                <w:bCs/>
                <w:color w:val="000000" w:themeColor="text1"/>
                <w:sz w:val="18"/>
                <w:szCs w:val="18"/>
                <w:lang w:eastAsia="sk-SK"/>
              </w:rPr>
            </w:pPr>
            <w:r w:rsidRPr="00C66720">
              <w:rPr>
                <w:rFonts w:ascii="Times New Roman" w:hAnsi="Times New Roman"/>
                <w:b/>
                <w:bCs/>
                <w:sz w:val="18"/>
                <w:szCs w:val="18"/>
                <w:lang w:eastAsia="sk-SK"/>
              </w:rPr>
              <w:t>7 808 495</w:t>
            </w:r>
          </w:p>
        </w:tc>
        <w:tc>
          <w:tcPr>
            <w:tcW w:w="782" w:type="pct"/>
            <w:tcBorders>
              <w:top w:val="single" w:sz="4" w:space="0" w:color="auto"/>
              <w:left w:val="nil"/>
              <w:bottom w:val="single" w:sz="4" w:space="0" w:color="000000"/>
              <w:right w:val="nil"/>
            </w:tcBorders>
            <w:shd w:val="clear" w:color="000000" w:fill="FFFFFF"/>
            <w:vAlign w:val="center"/>
          </w:tcPr>
          <w:p w14:paraId="762DC523" w14:textId="3450EE4C" w:rsidR="005A789F" w:rsidRPr="009462E4" w:rsidRDefault="005A789F" w:rsidP="005A789F">
            <w:pPr>
              <w:spacing w:after="0" w:line="240" w:lineRule="auto"/>
              <w:jc w:val="right"/>
              <w:rPr>
                <w:rFonts w:ascii="Times New Roman" w:hAnsi="Times New Roman"/>
                <w:b/>
                <w:bCs/>
                <w:color w:val="000000" w:themeColor="text1"/>
                <w:sz w:val="18"/>
                <w:szCs w:val="18"/>
                <w:lang w:eastAsia="sk-SK"/>
              </w:rPr>
            </w:pPr>
            <w:r w:rsidRPr="00C66720">
              <w:rPr>
                <w:rFonts w:ascii="Times New Roman" w:hAnsi="Times New Roman"/>
                <w:b/>
                <w:bCs/>
                <w:sz w:val="18"/>
                <w:szCs w:val="18"/>
                <w:lang w:eastAsia="sk-SK"/>
              </w:rPr>
              <w:t>6 580 677</w:t>
            </w:r>
          </w:p>
        </w:tc>
        <w:tc>
          <w:tcPr>
            <w:tcW w:w="703" w:type="pct"/>
            <w:tcBorders>
              <w:top w:val="single" w:sz="4" w:space="0" w:color="auto"/>
              <w:left w:val="nil"/>
              <w:bottom w:val="single" w:sz="4" w:space="0" w:color="000000"/>
              <w:right w:val="nil"/>
            </w:tcBorders>
            <w:shd w:val="clear" w:color="000000" w:fill="FFFFFF"/>
            <w:vAlign w:val="center"/>
          </w:tcPr>
          <w:p w14:paraId="54F0D41D" w14:textId="1FD2ACEF" w:rsidR="005A789F" w:rsidRPr="009462E4" w:rsidRDefault="005A789F" w:rsidP="005A789F">
            <w:pPr>
              <w:spacing w:after="0" w:line="240" w:lineRule="auto"/>
              <w:jc w:val="right"/>
              <w:rPr>
                <w:rFonts w:ascii="Times New Roman" w:hAnsi="Times New Roman"/>
                <w:b/>
                <w:bCs/>
                <w:color w:val="000000" w:themeColor="text1"/>
                <w:sz w:val="18"/>
                <w:szCs w:val="18"/>
                <w:lang w:eastAsia="sk-SK"/>
              </w:rPr>
            </w:pPr>
            <w:r w:rsidRPr="00C66720">
              <w:rPr>
                <w:rFonts w:ascii="Times New Roman" w:hAnsi="Times New Roman"/>
                <w:b/>
                <w:bCs/>
                <w:sz w:val="18"/>
                <w:szCs w:val="18"/>
                <w:lang w:eastAsia="sk-SK"/>
              </w:rPr>
              <w:t>1 227 818</w:t>
            </w:r>
          </w:p>
        </w:tc>
      </w:tr>
    </w:tbl>
    <w:p w14:paraId="27275523" w14:textId="77777777" w:rsidR="005A789F" w:rsidRPr="00D01DB2" w:rsidRDefault="005A789F" w:rsidP="005A789F">
      <w:pPr>
        <w:pStyle w:val="Pismenka"/>
        <w:tabs>
          <w:tab w:val="clear" w:pos="426"/>
        </w:tabs>
        <w:spacing w:after="120"/>
        <w:ind w:left="5240" w:firstLine="424"/>
        <w:jc w:val="left"/>
        <w:rPr>
          <w:b w:val="0"/>
          <w:i/>
          <w:sz w:val="22"/>
          <w:szCs w:val="22"/>
          <w:u w:val="single"/>
        </w:rPr>
      </w:pPr>
      <w:r w:rsidRPr="00D01DB2">
        <w:rPr>
          <w:b w:val="0"/>
        </w:rPr>
        <w:t>Zdroj: MF SR, Centrálny konsolidačný systém</w:t>
      </w:r>
    </w:p>
    <w:p w14:paraId="0FA03708" w14:textId="4C4B288A" w:rsidR="005A629E" w:rsidRPr="00C66720" w:rsidRDefault="005A629E" w:rsidP="00CA157E">
      <w:pPr>
        <w:pStyle w:val="Pismenka"/>
        <w:tabs>
          <w:tab w:val="clear" w:pos="426"/>
        </w:tabs>
        <w:spacing w:before="240"/>
        <w:ind w:left="0" w:firstLine="0"/>
        <w:rPr>
          <w:b w:val="0"/>
          <w:bCs w:val="0"/>
          <w:sz w:val="22"/>
          <w:szCs w:val="22"/>
        </w:rPr>
      </w:pPr>
      <w:r w:rsidRPr="00C66720">
        <w:rPr>
          <w:b w:val="0"/>
          <w:bCs w:val="0"/>
          <w:sz w:val="22"/>
          <w:szCs w:val="22"/>
        </w:rPr>
        <w:t xml:space="preserve">Všeobecná zdravotná poisťovňa, a.s. </w:t>
      </w:r>
      <w:r w:rsidR="004C2CB6">
        <w:rPr>
          <w:b w:val="0"/>
          <w:bCs w:val="0"/>
          <w:sz w:val="22"/>
          <w:szCs w:val="22"/>
        </w:rPr>
        <w:t>vykazuje</w:t>
      </w:r>
      <w:r w:rsidRPr="00C66720">
        <w:rPr>
          <w:b w:val="0"/>
          <w:bCs w:val="0"/>
          <w:sz w:val="22"/>
          <w:szCs w:val="22"/>
        </w:rPr>
        <w:t xml:space="preserve"> </w:t>
      </w:r>
      <w:r w:rsidR="004C2CB6">
        <w:rPr>
          <w:b w:val="0"/>
          <w:bCs w:val="0"/>
          <w:sz w:val="22"/>
          <w:szCs w:val="22"/>
          <w:u w:val="single"/>
        </w:rPr>
        <w:t>n</w:t>
      </w:r>
      <w:r w:rsidRPr="00C66720">
        <w:rPr>
          <w:b w:val="0"/>
          <w:bCs w:val="0"/>
          <w:sz w:val="22"/>
          <w:szCs w:val="22"/>
          <w:u w:val="single"/>
        </w:rPr>
        <w:t>áklady na zdravotnú starostlivosť</w:t>
      </w:r>
      <w:r w:rsidRPr="00C66720">
        <w:rPr>
          <w:b w:val="0"/>
          <w:bCs w:val="0"/>
          <w:sz w:val="22"/>
          <w:szCs w:val="22"/>
        </w:rPr>
        <w:t xml:space="preserve"> v celkovej sume </w:t>
      </w:r>
      <w:r w:rsidR="00B76B0B" w:rsidRPr="00C66720">
        <w:rPr>
          <w:b w:val="0"/>
          <w:bCs w:val="0"/>
          <w:sz w:val="22"/>
          <w:szCs w:val="22"/>
        </w:rPr>
        <w:t>2 686 033</w:t>
      </w:r>
      <w:r w:rsidRPr="00C66720">
        <w:rPr>
          <w:b w:val="0"/>
          <w:bCs w:val="0"/>
          <w:sz w:val="22"/>
          <w:szCs w:val="22"/>
        </w:rPr>
        <w:t xml:space="preserve"> tis. eur. Ide o náklady na poistné plnenia – zdravotnú starostlivosť</w:t>
      </w:r>
      <w:r w:rsidR="00516C39" w:rsidRPr="00C66720">
        <w:rPr>
          <w:b w:val="0"/>
          <w:bCs w:val="0"/>
          <w:sz w:val="22"/>
          <w:szCs w:val="22"/>
        </w:rPr>
        <w:t xml:space="preserve"> pre poistencov v Slovenskej republike i v zahraničí a poistencov EÚ v Slovenskej republike </w:t>
      </w:r>
      <w:r w:rsidRPr="00C66720">
        <w:rPr>
          <w:b w:val="0"/>
          <w:bCs w:val="0"/>
          <w:sz w:val="22"/>
          <w:szCs w:val="22"/>
        </w:rPr>
        <w:t>vrátane centrálneho nákupu liekov. Zvýšené náklady u štátnej zdravotnej poisťovni</w:t>
      </w:r>
      <w:r w:rsidR="00C061F0" w:rsidRPr="00C66720">
        <w:rPr>
          <w:b w:val="0"/>
          <w:bCs w:val="0"/>
          <w:sz w:val="22"/>
          <w:szCs w:val="22"/>
        </w:rPr>
        <w:t xml:space="preserve"> (o </w:t>
      </w:r>
      <w:r w:rsidR="00516C39" w:rsidRPr="00C66720">
        <w:rPr>
          <w:b w:val="0"/>
          <w:bCs w:val="0"/>
          <w:sz w:val="22"/>
          <w:szCs w:val="22"/>
        </w:rPr>
        <w:t>225 193</w:t>
      </w:r>
      <w:r w:rsidRPr="00C66720">
        <w:rPr>
          <w:b w:val="0"/>
          <w:bCs w:val="0"/>
          <w:sz w:val="22"/>
          <w:szCs w:val="22"/>
        </w:rPr>
        <w:t xml:space="preserve"> tis. eur) súvisia s vyššími nákladmi na úhrady poskytovateľom zdravotnej starostlivosti vyplývajúce z platnej legislatívy, pričom toto zvýšenie sa týkalo prevažne úhrad pre zariadenia poskytujúce ústavnú zdravotnú starostlivosť</w:t>
      </w:r>
      <w:r w:rsidR="00C061F0" w:rsidRPr="00C66720">
        <w:rPr>
          <w:b w:val="0"/>
          <w:bCs w:val="0"/>
          <w:sz w:val="22"/>
          <w:szCs w:val="22"/>
        </w:rPr>
        <w:t xml:space="preserve"> resp. starostlivosť v zariadeniach sociálnych služieb</w:t>
      </w:r>
      <w:r w:rsidR="00516C39" w:rsidRPr="00C66720">
        <w:rPr>
          <w:b w:val="0"/>
          <w:bCs w:val="0"/>
          <w:sz w:val="22"/>
          <w:szCs w:val="22"/>
        </w:rPr>
        <w:t>, vyššími nákladmi na nákup liekov a nákladmi na ambulantnú starostlivosť vrátane špecializovanej</w:t>
      </w:r>
      <w:r w:rsidRPr="00C66720">
        <w:rPr>
          <w:b w:val="0"/>
          <w:bCs w:val="0"/>
          <w:sz w:val="22"/>
          <w:szCs w:val="22"/>
        </w:rPr>
        <w:t xml:space="preserve">. </w:t>
      </w:r>
    </w:p>
    <w:p w14:paraId="20B467EB" w14:textId="29873500" w:rsidR="004701D5" w:rsidRPr="00C66720" w:rsidRDefault="004701D5" w:rsidP="004701D5">
      <w:pPr>
        <w:pStyle w:val="Pismenka"/>
        <w:tabs>
          <w:tab w:val="clear" w:pos="426"/>
        </w:tabs>
        <w:spacing w:before="120"/>
        <w:ind w:left="0" w:firstLine="0"/>
        <w:rPr>
          <w:b w:val="0"/>
          <w:bCs w:val="0"/>
          <w:sz w:val="22"/>
          <w:szCs w:val="22"/>
        </w:rPr>
      </w:pPr>
      <w:r w:rsidRPr="00C66720">
        <w:rPr>
          <w:b w:val="0"/>
          <w:bCs w:val="0"/>
          <w:sz w:val="22"/>
          <w:szCs w:val="22"/>
          <w:u w:val="single"/>
        </w:rPr>
        <w:t>Slovenská elektrizačná prenosová sústava, a.s.</w:t>
      </w:r>
      <w:r w:rsidRPr="00C66720">
        <w:rPr>
          <w:b w:val="0"/>
          <w:bCs w:val="0"/>
          <w:sz w:val="22"/>
          <w:szCs w:val="22"/>
        </w:rPr>
        <w:t xml:space="preserve"> vykazuje v rámci služieb v sume </w:t>
      </w:r>
      <w:r w:rsidR="006B12B2" w:rsidRPr="00C66720">
        <w:rPr>
          <w:b w:val="0"/>
          <w:bCs w:val="0"/>
          <w:sz w:val="22"/>
          <w:szCs w:val="22"/>
        </w:rPr>
        <w:br/>
        <w:t>1 370 469</w:t>
      </w:r>
      <w:r w:rsidRPr="00C66720">
        <w:rPr>
          <w:b w:val="0"/>
          <w:bCs w:val="0"/>
          <w:sz w:val="22"/>
          <w:szCs w:val="22"/>
        </w:rPr>
        <w:t xml:space="preserve"> tis. eur </w:t>
      </w:r>
      <w:r w:rsidRPr="00DA360F">
        <w:rPr>
          <w:b w:val="0"/>
          <w:bCs w:val="0"/>
          <w:sz w:val="22"/>
          <w:szCs w:val="22"/>
        </w:rPr>
        <w:t xml:space="preserve">náklady </w:t>
      </w:r>
      <w:r w:rsidRPr="00C66720">
        <w:rPr>
          <w:b w:val="0"/>
          <w:bCs w:val="0"/>
          <w:sz w:val="22"/>
          <w:szCs w:val="22"/>
        </w:rPr>
        <w:t>na nákup podporných služieb potrebných na poskytovanie systémových služieb, náklady na prevádzku systému</w:t>
      </w:r>
      <w:r w:rsidR="00A76666" w:rsidRPr="00C66720">
        <w:rPr>
          <w:b w:val="0"/>
          <w:bCs w:val="0"/>
          <w:sz w:val="22"/>
          <w:szCs w:val="22"/>
        </w:rPr>
        <w:t>,</w:t>
      </w:r>
      <w:r w:rsidRPr="00C66720">
        <w:rPr>
          <w:b w:val="0"/>
          <w:bCs w:val="0"/>
          <w:sz w:val="22"/>
          <w:szCs w:val="22"/>
        </w:rPr>
        <w:t xml:space="preserve"> nákup elektriny</w:t>
      </w:r>
      <w:r w:rsidR="00A76666" w:rsidRPr="00C66720">
        <w:rPr>
          <w:b w:val="0"/>
          <w:bCs w:val="0"/>
          <w:sz w:val="22"/>
          <w:szCs w:val="22"/>
        </w:rPr>
        <w:t xml:space="preserve"> na krytie strát a vlastnej spotreby</w:t>
      </w:r>
      <w:r w:rsidRPr="00C66720">
        <w:rPr>
          <w:b w:val="0"/>
          <w:bCs w:val="0"/>
          <w:sz w:val="22"/>
          <w:szCs w:val="22"/>
        </w:rPr>
        <w:t>, náklady na regulačnú energiu a cezhraničný prenos elektriny, náklady súvisiace s odchýlkami subjektov zúčtovania, náklady súvisiace s elektrinou na dennom trhu</w:t>
      </w:r>
      <w:r w:rsidR="00DA360F">
        <w:rPr>
          <w:b w:val="0"/>
          <w:bCs w:val="0"/>
          <w:sz w:val="22"/>
          <w:szCs w:val="22"/>
        </w:rPr>
        <w:t>.</w:t>
      </w:r>
      <w:r w:rsidRPr="00C66720">
        <w:rPr>
          <w:b w:val="0"/>
          <w:bCs w:val="0"/>
          <w:sz w:val="22"/>
          <w:szCs w:val="22"/>
        </w:rPr>
        <w:t>Tieto náklady boli medziročne vyššie</w:t>
      </w:r>
      <w:r w:rsidR="00DA360F">
        <w:rPr>
          <w:b w:val="0"/>
          <w:bCs w:val="0"/>
          <w:sz w:val="22"/>
          <w:szCs w:val="22"/>
        </w:rPr>
        <w:br/>
      </w:r>
      <w:r w:rsidRPr="00C66720">
        <w:rPr>
          <w:b w:val="0"/>
          <w:bCs w:val="0"/>
          <w:sz w:val="22"/>
          <w:szCs w:val="22"/>
        </w:rPr>
        <w:t>o</w:t>
      </w:r>
      <w:r w:rsidR="003D1FD1" w:rsidRPr="00C66720">
        <w:rPr>
          <w:b w:val="0"/>
          <w:bCs w:val="0"/>
          <w:sz w:val="22"/>
          <w:szCs w:val="22"/>
        </w:rPr>
        <w:t> 719 218</w:t>
      </w:r>
      <w:r w:rsidRPr="00C66720">
        <w:rPr>
          <w:b w:val="0"/>
          <w:bCs w:val="0"/>
          <w:sz w:val="22"/>
          <w:szCs w:val="22"/>
        </w:rPr>
        <w:t xml:space="preserve"> tis. eur najmä z dôvodu nárastu nákladov na aukcie a rozpojenie trhov s elektrinou, ktoré vzrástli hlavne vplyvom nárastu</w:t>
      </w:r>
      <w:r w:rsidR="005511C5" w:rsidRPr="00C66720">
        <w:rPr>
          <w:b w:val="0"/>
          <w:bCs w:val="0"/>
          <w:sz w:val="22"/>
          <w:szCs w:val="22"/>
        </w:rPr>
        <w:t xml:space="preserve"> ceny elektriny koncom roka 2022,</w:t>
      </w:r>
      <w:r w:rsidRPr="00C66720">
        <w:rPr>
          <w:b w:val="0"/>
          <w:bCs w:val="0"/>
          <w:sz w:val="22"/>
          <w:szCs w:val="22"/>
        </w:rPr>
        <w:t xml:space="preserve"> nárastu nákladov na </w:t>
      </w:r>
      <w:r w:rsidR="005511C5" w:rsidRPr="00C66720">
        <w:rPr>
          <w:b w:val="0"/>
          <w:bCs w:val="0"/>
          <w:sz w:val="22"/>
          <w:szCs w:val="22"/>
        </w:rPr>
        <w:t xml:space="preserve">redistribúciu congestion income </w:t>
      </w:r>
      <w:r w:rsidR="0038116B" w:rsidRPr="00C66720">
        <w:rPr>
          <w:b w:val="0"/>
          <w:bCs w:val="0"/>
          <w:sz w:val="22"/>
          <w:szCs w:val="22"/>
        </w:rPr>
        <w:t xml:space="preserve">(prerozdelenie príjmov z preťaženia) </w:t>
      </w:r>
      <w:r w:rsidR="005511C5" w:rsidRPr="00C66720">
        <w:rPr>
          <w:b w:val="0"/>
          <w:bCs w:val="0"/>
          <w:sz w:val="22"/>
          <w:szCs w:val="22"/>
        </w:rPr>
        <w:t>a ostatných nákladov na prevádzkovanie systému.</w:t>
      </w:r>
    </w:p>
    <w:p w14:paraId="6DFB1131" w14:textId="1C064515" w:rsidR="006A2235" w:rsidRPr="00C66720" w:rsidRDefault="005A629E" w:rsidP="006A2235">
      <w:pPr>
        <w:pStyle w:val="Pismenka"/>
        <w:tabs>
          <w:tab w:val="clear" w:pos="426"/>
        </w:tabs>
        <w:spacing w:before="120"/>
        <w:ind w:left="0" w:firstLine="0"/>
        <w:rPr>
          <w:b w:val="0"/>
          <w:bCs w:val="0"/>
          <w:sz w:val="22"/>
          <w:szCs w:val="22"/>
        </w:rPr>
      </w:pPr>
      <w:r w:rsidRPr="00C66720">
        <w:rPr>
          <w:b w:val="0"/>
          <w:bCs w:val="0"/>
          <w:sz w:val="22"/>
          <w:szCs w:val="22"/>
        </w:rPr>
        <w:t xml:space="preserve">V rámci služieb sa vykazujú aj </w:t>
      </w:r>
      <w:r w:rsidRPr="00C66720">
        <w:rPr>
          <w:b w:val="0"/>
          <w:bCs w:val="0"/>
          <w:sz w:val="22"/>
          <w:szCs w:val="22"/>
          <w:u w:val="single"/>
        </w:rPr>
        <w:t>náklady na opravy a udržiavanie majetku</w:t>
      </w:r>
      <w:r w:rsidRPr="00C66720">
        <w:rPr>
          <w:b w:val="0"/>
          <w:bCs w:val="0"/>
          <w:sz w:val="22"/>
          <w:szCs w:val="22"/>
        </w:rPr>
        <w:t xml:space="preserve"> účtovných jednotiek. Spolu dosiahli </w:t>
      </w:r>
      <w:r w:rsidR="00F20D12" w:rsidRPr="00C66720">
        <w:rPr>
          <w:b w:val="0"/>
          <w:bCs w:val="0"/>
          <w:sz w:val="22"/>
          <w:szCs w:val="22"/>
        </w:rPr>
        <w:t>768 592</w:t>
      </w:r>
      <w:r w:rsidRPr="00C66720">
        <w:rPr>
          <w:b w:val="0"/>
          <w:bCs w:val="0"/>
          <w:sz w:val="22"/>
          <w:szCs w:val="22"/>
        </w:rPr>
        <w:t xml:space="preserve"> tis. eur, z toho ústredná správa </w:t>
      </w:r>
      <w:r w:rsidR="00F20D12" w:rsidRPr="00C66720">
        <w:rPr>
          <w:b w:val="0"/>
          <w:bCs w:val="0"/>
          <w:sz w:val="22"/>
          <w:szCs w:val="22"/>
        </w:rPr>
        <w:t>444 327</w:t>
      </w:r>
      <w:r w:rsidRPr="00C66720">
        <w:rPr>
          <w:b w:val="0"/>
          <w:bCs w:val="0"/>
          <w:sz w:val="22"/>
          <w:szCs w:val="22"/>
        </w:rPr>
        <w:t xml:space="preserve"> tis. eur a obce </w:t>
      </w:r>
      <w:r w:rsidR="00F20D12" w:rsidRPr="00C66720">
        <w:rPr>
          <w:b w:val="0"/>
          <w:bCs w:val="0"/>
          <w:sz w:val="22"/>
          <w:szCs w:val="22"/>
        </w:rPr>
        <w:t>229 591</w:t>
      </w:r>
      <w:r w:rsidRPr="00C66720">
        <w:rPr>
          <w:b w:val="0"/>
          <w:bCs w:val="0"/>
          <w:sz w:val="22"/>
          <w:szCs w:val="22"/>
        </w:rPr>
        <w:t xml:space="preserve"> tis. eur. Rozhodujúci podiel týchto subjektov vyplýva z vlastníctva rozsiahleho hmotného a nehmotného majetku. Medziročne tieto náklady </w:t>
      </w:r>
      <w:r w:rsidR="000D5FA7" w:rsidRPr="00C66720">
        <w:rPr>
          <w:b w:val="0"/>
          <w:bCs w:val="0"/>
          <w:sz w:val="22"/>
          <w:szCs w:val="22"/>
        </w:rPr>
        <w:t xml:space="preserve">poklesli </w:t>
      </w:r>
      <w:r w:rsidRPr="00C66720">
        <w:rPr>
          <w:b w:val="0"/>
          <w:bCs w:val="0"/>
          <w:sz w:val="22"/>
          <w:szCs w:val="22"/>
        </w:rPr>
        <w:t>o</w:t>
      </w:r>
      <w:r w:rsidR="000D5FA7" w:rsidRPr="00C66720">
        <w:rPr>
          <w:b w:val="0"/>
          <w:bCs w:val="0"/>
          <w:sz w:val="22"/>
          <w:szCs w:val="22"/>
        </w:rPr>
        <w:t> 40 703</w:t>
      </w:r>
      <w:r w:rsidRPr="00C66720">
        <w:rPr>
          <w:b w:val="0"/>
          <w:bCs w:val="0"/>
          <w:sz w:val="22"/>
          <w:szCs w:val="22"/>
        </w:rPr>
        <w:t xml:space="preserve"> tis. eur. </w:t>
      </w:r>
      <w:r w:rsidR="006A2235" w:rsidRPr="00C66720">
        <w:rPr>
          <w:b w:val="0"/>
          <w:bCs w:val="0"/>
          <w:sz w:val="22"/>
          <w:szCs w:val="22"/>
        </w:rPr>
        <w:t xml:space="preserve">Z ústrednej správy vykazuje najvyššie náklady na opravy a údržbu majetku Ministerstvo vnútra SR (86 763 tis. eur), Slovenská správa ciest </w:t>
      </w:r>
      <w:r w:rsidR="006A2235" w:rsidRPr="00C66720">
        <w:rPr>
          <w:b w:val="0"/>
          <w:bCs w:val="0"/>
          <w:sz w:val="22"/>
          <w:szCs w:val="22"/>
        </w:rPr>
        <w:br/>
      </w:r>
      <w:r w:rsidR="006A2235" w:rsidRPr="00C66720">
        <w:rPr>
          <w:b w:val="0"/>
          <w:bCs w:val="0"/>
          <w:sz w:val="22"/>
          <w:szCs w:val="22"/>
        </w:rPr>
        <w:lastRenderedPageBreak/>
        <w:t xml:space="preserve">(82 551 tis. eur), Železničná spoločnosť Slovensko, a.s. (37 485 tis. eur), Národná diaľničná spoločnosť, a.s. (30 900 tis. eur), Železnice Slovenskej republiky (27 803 tis. eur), Ministerstvo obrany SR </w:t>
      </w:r>
      <w:r w:rsidR="006A2235" w:rsidRPr="00C66720">
        <w:rPr>
          <w:b w:val="0"/>
          <w:bCs w:val="0"/>
          <w:sz w:val="22"/>
          <w:szCs w:val="22"/>
        </w:rPr>
        <w:br/>
        <w:t>(22 200 tis. eur) a Finančné riaditeľstvo SR (19 605 tis. eur). Ide najmä o opravu a údržbu dlhodobého hmotného a nehmotného majetku v podobe budov, stavieb, cestnej infraštruktúry a súvisiaceho vybavenia ciest, mostov, vozového parku a špeciálnej vojenskej techniky, telekomunikačnej a spravodajskej techniky ako aj nehmotného majetku v podobe softvéru. K významnému medziročnému poklesu nákladov došlo na Ministerstve obrany SR (o 38 841 tis. eur) z dôvodu nižších nákladov na servis, údržbu a opravu leteckej techniky, špeciálnych a prevádzkových strojov, prístrojov a</w:t>
      </w:r>
      <w:r w:rsidR="00DA360F">
        <w:rPr>
          <w:b w:val="0"/>
          <w:bCs w:val="0"/>
          <w:sz w:val="22"/>
          <w:szCs w:val="22"/>
        </w:rPr>
        <w:t> </w:t>
      </w:r>
      <w:r w:rsidR="006A2235" w:rsidRPr="00C66720">
        <w:rPr>
          <w:b w:val="0"/>
          <w:bCs w:val="0"/>
          <w:sz w:val="22"/>
          <w:szCs w:val="22"/>
        </w:rPr>
        <w:t>zariadení</w:t>
      </w:r>
      <w:r w:rsidR="00DA360F">
        <w:rPr>
          <w:b w:val="0"/>
          <w:bCs w:val="0"/>
          <w:sz w:val="22"/>
          <w:szCs w:val="22"/>
        </w:rPr>
        <w:t>.</w:t>
      </w:r>
      <w:r w:rsidR="006A2235" w:rsidRPr="00C66720">
        <w:rPr>
          <w:b w:val="0"/>
          <w:bCs w:val="0"/>
          <w:sz w:val="22"/>
          <w:szCs w:val="22"/>
        </w:rPr>
        <w:t xml:space="preserve"> </w:t>
      </w:r>
    </w:p>
    <w:p w14:paraId="0110BAE9" w14:textId="478C1A09" w:rsidR="004701D5" w:rsidRPr="00C66720" w:rsidRDefault="004701D5" w:rsidP="004701D5">
      <w:pPr>
        <w:pStyle w:val="Pismenka"/>
        <w:tabs>
          <w:tab w:val="clear" w:pos="426"/>
        </w:tabs>
        <w:spacing w:before="120"/>
        <w:ind w:left="0" w:firstLine="0"/>
        <w:rPr>
          <w:b w:val="0"/>
          <w:bCs w:val="0"/>
          <w:sz w:val="22"/>
          <w:szCs w:val="22"/>
        </w:rPr>
      </w:pPr>
      <w:r w:rsidRPr="00C66720">
        <w:rPr>
          <w:b w:val="0"/>
          <w:bCs w:val="0"/>
          <w:sz w:val="22"/>
          <w:szCs w:val="22"/>
        </w:rPr>
        <w:t xml:space="preserve">Ministerstvo dopravy SR vykazuje </w:t>
      </w:r>
      <w:r w:rsidRPr="00C66720">
        <w:rPr>
          <w:b w:val="0"/>
          <w:bCs w:val="0"/>
          <w:sz w:val="22"/>
          <w:szCs w:val="22"/>
          <w:u w:val="single"/>
        </w:rPr>
        <w:t>náklady za dostupnosť</w:t>
      </w:r>
      <w:r w:rsidRPr="00C66720">
        <w:rPr>
          <w:b w:val="0"/>
          <w:bCs w:val="0"/>
          <w:sz w:val="22"/>
          <w:szCs w:val="22"/>
        </w:rPr>
        <w:t xml:space="preserve"> úsekov rýchlostných ciest R1 a R7 a diaľnice D4 v objeme 180 499 tis. eur. Uvedené náklady predstavujú hlavne mesačné jednotkové platby v zmysle Koncesnej zmluvy medzi Slovenskou republikou zastúpenou Ministerstvom dopravy SR a spoločnosťou GRANVIA na projektovanie, výstavbu, financovanie, prevádzku a údržbu úsekov rýchlostnej cesty R1 Nitra – Tekovské Nemce a Banská Bystrica – severný obchvat v celkovej sume 128 402 tis. eur a mesačné jednotkové platby v zmysle Koncesnej zmluvy medzi Slovenskou republikou zastúpenou Ministerstvom dopravy SR a spoločnosťou ZeroBypass Limited na projektovanie, výstavbu, financovanie, prevádzku a údržbu úsekov diaľnice D4 Jarovce – Rača a rýchlostnej cesty R7 Bratislava Prievoz – Holice v celkovej sume 52 098 tis. eur. </w:t>
      </w:r>
    </w:p>
    <w:p w14:paraId="333E0F76" w14:textId="0A87E715" w:rsidR="005A629E" w:rsidRPr="00C66720" w:rsidRDefault="005A629E" w:rsidP="00BA7B8E">
      <w:pPr>
        <w:pStyle w:val="Pismenka"/>
        <w:tabs>
          <w:tab w:val="clear" w:pos="426"/>
        </w:tabs>
        <w:spacing w:before="120" w:after="240"/>
        <w:ind w:left="0" w:firstLine="0"/>
        <w:rPr>
          <w:b w:val="0"/>
          <w:bCs w:val="0"/>
          <w:sz w:val="22"/>
          <w:szCs w:val="22"/>
        </w:rPr>
      </w:pPr>
      <w:r w:rsidRPr="00C66720">
        <w:rPr>
          <w:b w:val="0"/>
          <w:bCs w:val="0"/>
          <w:sz w:val="22"/>
          <w:szCs w:val="22"/>
          <w:u w:val="single"/>
        </w:rPr>
        <w:t>Z ostatných služieb</w:t>
      </w:r>
      <w:r w:rsidRPr="00C66720">
        <w:rPr>
          <w:b w:val="0"/>
          <w:bCs w:val="0"/>
          <w:sz w:val="22"/>
          <w:szCs w:val="22"/>
        </w:rPr>
        <w:t xml:space="preserve"> sú ďalej významné náklady Slovenského plynárenského priemyslu, a.s. </w:t>
      </w:r>
      <w:r w:rsidR="00EF4B36" w:rsidRPr="00C66720">
        <w:rPr>
          <w:b w:val="0"/>
          <w:bCs w:val="0"/>
          <w:sz w:val="22"/>
          <w:szCs w:val="22"/>
        </w:rPr>
        <w:br/>
      </w:r>
      <w:r w:rsidRPr="00C66720">
        <w:rPr>
          <w:b w:val="0"/>
          <w:bCs w:val="0"/>
          <w:sz w:val="22"/>
          <w:szCs w:val="22"/>
        </w:rPr>
        <w:t>(</w:t>
      </w:r>
      <w:r w:rsidR="00EB54A1" w:rsidRPr="00C66720">
        <w:rPr>
          <w:b w:val="0"/>
          <w:bCs w:val="0"/>
          <w:sz w:val="22"/>
          <w:szCs w:val="22"/>
        </w:rPr>
        <w:t>177 062</w:t>
      </w:r>
      <w:r w:rsidRPr="00C66720">
        <w:rPr>
          <w:b w:val="0"/>
          <w:bCs w:val="0"/>
          <w:sz w:val="22"/>
          <w:szCs w:val="22"/>
        </w:rPr>
        <w:t xml:space="preserve"> tis. eur), Národnej diaľničnej spoločnosti, a.s. (</w:t>
      </w:r>
      <w:r w:rsidR="00EB54A1" w:rsidRPr="00C66720">
        <w:rPr>
          <w:b w:val="0"/>
          <w:bCs w:val="0"/>
          <w:sz w:val="22"/>
          <w:szCs w:val="22"/>
        </w:rPr>
        <w:t>128 084</w:t>
      </w:r>
      <w:r w:rsidRPr="00C66720">
        <w:rPr>
          <w:b w:val="0"/>
          <w:bCs w:val="0"/>
          <w:sz w:val="22"/>
          <w:szCs w:val="22"/>
        </w:rPr>
        <w:t xml:space="preserve"> tis. eur) a iných obchodných spoločností štátu a štátnych podnikov (</w:t>
      </w:r>
      <w:r w:rsidR="006431BF" w:rsidRPr="00C66720">
        <w:rPr>
          <w:b w:val="0"/>
          <w:bCs w:val="0"/>
          <w:sz w:val="22"/>
          <w:szCs w:val="22"/>
        </w:rPr>
        <w:t>617 678</w:t>
      </w:r>
      <w:r w:rsidRPr="00C66720">
        <w:rPr>
          <w:b w:val="0"/>
          <w:bCs w:val="0"/>
          <w:sz w:val="22"/>
          <w:szCs w:val="22"/>
        </w:rPr>
        <w:t xml:space="preserve"> tis. eur). </w:t>
      </w:r>
    </w:p>
    <w:p w14:paraId="696A1DAD" w14:textId="26817700" w:rsidR="0021240A" w:rsidRPr="00C66720" w:rsidRDefault="0021240A" w:rsidP="00D043B6">
      <w:pPr>
        <w:pStyle w:val="Pismenka"/>
        <w:numPr>
          <w:ilvl w:val="0"/>
          <w:numId w:val="44"/>
        </w:numPr>
        <w:spacing w:before="120" w:after="120"/>
        <w:ind w:left="284" w:hanging="284"/>
        <w:rPr>
          <w:i/>
          <w:sz w:val="22"/>
          <w:szCs w:val="22"/>
          <w:u w:val="single"/>
        </w:rPr>
      </w:pPr>
      <w:bookmarkStart w:id="73" w:name="_Ref86186519"/>
      <w:r w:rsidRPr="00C66720">
        <w:rPr>
          <w:i/>
          <w:sz w:val="22"/>
          <w:szCs w:val="22"/>
          <w:u w:val="single"/>
        </w:rPr>
        <w:t>Spotreba materiálu</w:t>
      </w:r>
      <w:bookmarkEnd w:id="73"/>
    </w:p>
    <w:p w14:paraId="6FDBDD03" w14:textId="22641C65" w:rsidR="004054E4" w:rsidRPr="00C66720" w:rsidRDefault="005A629E" w:rsidP="008A2337">
      <w:pPr>
        <w:pStyle w:val="Pismenka"/>
        <w:tabs>
          <w:tab w:val="clear" w:pos="426"/>
        </w:tabs>
        <w:spacing w:before="120" w:after="240"/>
        <w:ind w:left="0" w:firstLine="0"/>
        <w:rPr>
          <w:b w:val="0"/>
          <w:bCs w:val="0"/>
          <w:sz w:val="22"/>
          <w:szCs w:val="22"/>
        </w:rPr>
      </w:pPr>
      <w:r w:rsidRPr="00C66720">
        <w:rPr>
          <w:b w:val="0"/>
          <w:bCs w:val="0"/>
          <w:sz w:val="22"/>
          <w:szCs w:val="22"/>
          <w:u w:val="single"/>
        </w:rPr>
        <w:t>Zo spotrebovaných nákupov tvorila spotreba materiálu</w:t>
      </w:r>
      <w:r w:rsidRPr="00C66720">
        <w:rPr>
          <w:b w:val="0"/>
          <w:bCs w:val="0"/>
          <w:sz w:val="22"/>
          <w:szCs w:val="22"/>
        </w:rPr>
        <w:t xml:space="preserve"> </w:t>
      </w:r>
      <w:r w:rsidR="001223C5" w:rsidRPr="00C66720">
        <w:rPr>
          <w:b w:val="0"/>
          <w:bCs w:val="0"/>
          <w:sz w:val="22"/>
          <w:szCs w:val="22"/>
        </w:rPr>
        <w:t>8 148 783</w:t>
      </w:r>
      <w:r w:rsidRPr="00C66720">
        <w:rPr>
          <w:b w:val="0"/>
          <w:bCs w:val="0"/>
          <w:sz w:val="22"/>
          <w:szCs w:val="22"/>
        </w:rPr>
        <w:t xml:space="preserve"> tis. eur, a z toho </w:t>
      </w:r>
      <w:r w:rsidR="00EE218C" w:rsidRPr="00C66720">
        <w:rPr>
          <w:b w:val="0"/>
          <w:bCs w:val="0"/>
          <w:sz w:val="22"/>
          <w:szCs w:val="22"/>
        </w:rPr>
        <w:t xml:space="preserve">najvýznamnejší </w:t>
      </w:r>
      <w:r w:rsidRPr="00C66720">
        <w:rPr>
          <w:b w:val="0"/>
          <w:bCs w:val="0"/>
          <w:sz w:val="22"/>
          <w:szCs w:val="22"/>
        </w:rPr>
        <w:t xml:space="preserve">podiel </w:t>
      </w:r>
      <w:r w:rsidR="00EE218C" w:rsidRPr="00C66720">
        <w:rPr>
          <w:b w:val="0"/>
          <w:bCs w:val="0"/>
          <w:sz w:val="22"/>
          <w:szCs w:val="22"/>
        </w:rPr>
        <w:t xml:space="preserve">tvorili náklady </w:t>
      </w:r>
      <w:r w:rsidRPr="00C66720">
        <w:rPr>
          <w:b w:val="0"/>
          <w:bCs w:val="0"/>
          <w:sz w:val="22"/>
          <w:szCs w:val="22"/>
        </w:rPr>
        <w:t xml:space="preserve">SPP, a.s. </w:t>
      </w:r>
      <w:r w:rsidR="00EE218C" w:rsidRPr="00C66720">
        <w:rPr>
          <w:b w:val="0"/>
          <w:bCs w:val="0"/>
          <w:sz w:val="22"/>
          <w:szCs w:val="22"/>
        </w:rPr>
        <w:t>v sume</w:t>
      </w:r>
      <w:r w:rsidRPr="00C66720">
        <w:rPr>
          <w:b w:val="0"/>
          <w:bCs w:val="0"/>
          <w:sz w:val="22"/>
          <w:szCs w:val="22"/>
        </w:rPr>
        <w:t xml:space="preserve"> </w:t>
      </w:r>
      <w:r w:rsidR="00CD7068" w:rsidRPr="00C66720">
        <w:rPr>
          <w:b w:val="0"/>
          <w:bCs w:val="0"/>
          <w:sz w:val="22"/>
          <w:szCs w:val="22"/>
        </w:rPr>
        <w:t>6 318 168</w:t>
      </w:r>
      <w:r w:rsidRPr="00C66720">
        <w:rPr>
          <w:b w:val="0"/>
          <w:bCs w:val="0"/>
          <w:sz w:val="22"/>
          <w:szCs w:val="22"/>
        </w:rPr>
        <w:t xml:space="preserve"> tis. eur</w:t>
      </w:r>
      <w:r w:rsidR="00EE218C" w:rsidRPr="00C66720">
        <w:rPr>
          <w:b w:val="0"/>
          <w:bCs w:val="0"/>
          <w:sz w:val="22"/>
          <w:szCs w:val="22"/>
        </w:rPr>
        <w:t>.</w:t>
      </w:r>
      <w:r w:rsidRPr="00C66720">
        <w:rPr>
          <w:b w:val="0"/>
          <w:bCs w:val="0"/>
          <w:sz w:val="22"/>
          <w:szCs w:val="22"/>
        </w:rPr>
        <w:t xml:space="preserve"> </w:t>
      </w:r>
      <w:r w:rsidR="00EE218C" w:rsidRPr="00C66720">
        <w:rPr>
          <w:b w:val="0"/>
          <w:bCs w:val="0"/>
          <w:sz w:val="22"/>
          <w:szCs w:val="22"/>
        </w:rPr>
        <w:t xml:space="preserve">Ďalej </w:t>
      </w:r>
      <w:r w:rsidR="00D029F2" w:rsidRPr="00C66720">
        <w:rPr>
          <w:b w:val="0"/>
          <w:bCs w:val="0"/>
          <w:sz w:val="22"/>
          <w:szCs w:val="22"/>
        </w:rPr>
        <w:t xml:space="preserve">nasledujú </w:t>
      </w:r>
      <w:r w:rsidR="00EE218C" w:rsidRPr="00C66720">
        <w:rPr>
          <w:b w:val="0"/>
          <w:bCs w:val="0"/>
          <w:sz w:val="22"/>
          <w:szCs w:val="22"/>
        </w:rPr>
        <w:t xml:space="preserve">náklady </w:t>
      </w:r>
      <w:r w:rsidR="00D029F2" w:rsidRPr="00C66720">
        <w:rPr>
          <w:b w:val="0"/>
          <w:bCs w:val="0"/>
          <w:sz w:val="22"/>
          <w:szCs w:val="22"/>
        </w:rPr>
        <w:t xml:space="preserve">nemocníc v ústrednej správe 380 872 tis. eur, </w:t>
      </w:r>
      <w:r w:rsidR="00E51D9B" w:rsidRPr="00C66720">
        <w:rPr>
          <w:b w:val="0"/>
          <w:bCs w:val="0"/>
          <w:sz w:val="22"/>
          <w:szCs w:val="22"/>
        </w:rPr>
        <w:t>Ministerstva obrany SR 73 401 tis. eur</w:t>
      </w:r>
      <w:r w:rsidR="00D029F2" w:rsidRPr="00C66720">
        <w:rPr>
          <w:b w:val="0"/>
          <w:bCs w:val="0"/>
          <w:sz w:val="22"/>
          <w:szCs w:val="22"/>
        </w:rPr>
        <w:t>,</w:t>
      </w:r>
      <w:r w:rsidR="00E51D9B" w:rsidRPr="00C66720">
        <w:rPr>
          <w:b w:val="0"/>
          <w:bCs w:val="0"/>
          <w:sz w:val="22"/>
          <w:szCs w:val="22"/>
        </w:rPr>
        <w:t xml:space="preserve"> Ministerstva vnútra SR 66 252 tis. eur</w:t>
      </w:r>
      <w:r w:rsidR="00D029F2" w:rsidRPr="00C66720">
        <w:rPr>
          <w:b w:val="0"/>
          <w:bCs w:val="0"/>
          <w:sz w:val="22"/>
          <w:szCs w:val="22"/>
        </w:rPr>
        <w:t xml:space="preserve"> a</w:t>
      </w:r>
      <w:r w:rsidR="00E51D9B" w:rsidRPr="00C66720">
        <w:rPr>
          <w:b w:val="0"/>
          <w:bCs w:val="0"/>
          <w:sz w:val="22"/>
          <w:szCs w:val="22"/>
        </w:rPr>
        <w:t xml:space="preserve"> Železničnej spoločnosti Slovensko, a.s. 58 052 tis. eur</w:t>
      </w:r>
      <w:r w:rsidR="00D029F2" w:rsidRPr="00C66720">
        <w:rPr>
          <w:b w:val="0"/>
          <w:bCs w:val="0"/>
          <w:sz w:val="22"/>
          <w:szCs w:val="22"/>
        </w:rPr>
        <w:t>.</w:t>
      </w:r>
      <w:r w:rsidR="00422E8E" w:rsidRPr="00C66720">
        <w:rPr>
          <w:b w:val="0"/>
          <w:bCs w:val="0"/>
          <w:sz w:val="22"/>
          <w:szCs w:val="22"/>
        </w:rPr>
        <w:t xml:space="preserve"> </w:t>
      </w:r>
      <w:r w:rsidRPr="00C66720">
        <w:rPr>
          <w:b w:val="0"/>
          <w:bCs w:val="0"/>
          <w:sz w:val="22"/>
          <w:szCs w:val="22"/>
        </w:rPr>
        <w:t xml:space="preserve">Obce vykázali spotrebu materiálu v hodnote </w:t>
      </w:r>
      <w:r w:rsidR="00422E8E" w:rsidRPr="00C66720">
        <w:rPr>
          <w:b w:val="0"/>
          <w:bCs w:val="0"/>
          <w:sz w:val="22"/>
          <w:szCs w:val="22"/>
        </w:rPr>
        <w:t>458 772</w:t>
      </w:r>
      <w:r w:rsidRPr="00C66720">
        <w:rPr>
          <w:b w:val="0"/>
          <w:bCs w:val="0"/>
          <w:sz w:val="22"/>
          <w:szCs w:val="22"/>
        </w:rPr>
        <w:t xml:space="preserve"> tis. eur a vyššie územné celky </w:t>
      </w:r>
      <w:r w:rsidR="00422E8E" w:rsidRPr="00C66720">
        <w:rPr>
          <w:b w:val="0"/>
          <w:bCs w:val="0"/>
          <w:sz w:val="22"/>
          <w:szCs w:val="22"/>
        </w:rPr>
        <w:t>174 894</w:t>
      </w:r>
      <w:r w:rsidRPr="00C66720">
        <w:rPr>
          <w:b w:val="0"/>
          <w:bCs w:val="0"/>
          <w:sz w:val="22"/>
          <w:szCs w:val="22"/>
        </w:rPr>
        <w:t xml:space="preserve"> tis. eur. Medziročný </w:t>
      </w:r>
      <w:r w:rsidR="00136DCE" w:rsidRPr="00C66720">
        <w:rPr>
          <w:b w:val="0"/>
          <w:bCs w:val="0"/>
          <w:sz w:val="22"/>
          <w:szCs w:val="22"/>
        </w:rPr>
        <w:t>nárast</w:t>
      </w:r>
      <w:r w:rsidR="00114811" w:rsidRPr="00C66720">
        <w:rPr>
          <w:b w:val="0"/>
          <w:bCs w:val="0"/>
          <w:sz w:val="22"/>
          <w:szCs w:val="22"/>
        </w:rPr>
        <w:t xml:space="preserve"> nákladov</w:t>
      </w:r>
      <w:r w:rsidR="00422E8E" w:rsidRPr="00C66720">
        <w:rPr>
          <w:b w:val="0"/>
          <w:bCs w:val="0"/>
          <w:sz w:val="22"/>
          <w:szCs w:val="22"/>
        </w:rPr>
        <w:t xml:space="preserve"> na spotrebu materiálu bol najvýznamnejší najmä</w:t>
      </w:r>
      <w:r w:rsidR="00114811" w:rsidRPr="00C66720">
        <w:rPr>
          <w:b w:val="0"/>
          <w:bCs w:val="0"/>
          <w:sz w:val="22"/>
          <w:szCs w:val="22"/>
        </w:rPr>
        <w:t xml:space="preserve"> </w:t>
      </w:r>
      <w:r w:rsidRPr="00C66720">
        <w:rPr>
          <w:b w:val="0"/>
          <w:bCs w:val="0"/>
          <w:sz w:val="22"/>
          <w:szCs w:val="22"/>
        </w:rPr>
        <w:t>u SPP, a.s. o</w:t>
      </w:r>
      <w:r w:rsidR="00422E8E" w:rsidRPr="00C66720">
        <w:rPr>
          <w:b w:val="0"/>
          <w:bCs w:val="0"/>
          <w:sz w:val="22"/>
          <w:szCs w:val="22"/>
        </w:rPr>
        <w:t> 4 685 379</w:t>
      </w:r>
      <w:r w:rsidRPr="00C66720">
        <w:rPr>
          <w:b w:val="0"/>
          <w:bCs w:val="0"/>
          <w:sz w:val="22"/>
          <w:szCs w:val="22"/>
        </w:rPr>
        <w:t xml:space="preserve"> tis. eur</w:t>
      </w:r>
      <w:r w:rsidR="004054E4" w:rsidRPr="00C66720">
        <w:rPr>
          <w:b w:val="0"/>
          <w:bCs w:val="0"/>
          <w:sz w:val="22"/>
          <w:szCs w:val="22"/>
        </w:rPr>
        <w:t>, ktorý</w:t>
      </w:r>
      <w:r w:rsidRPr="00C66720">
        <w:rPr>
          <w:b w:val="0"/>
          <w:bCs w:val="0"/>
          <w:sz w:val="22"/>
          <w:szCs w:val="22"/>
        </w:rPr>
        <w:t xml:space="preserve"> bol spôsobený </w:t>
      </w:r>
      <w:r w:rsidR="004054E4" w:rsidRPr="00C66720">
        <w:rPr>
          <w:b w:val="0"/>
          <w:bCs w:val="0"/>
          <w:sz w:val="22"/>
          <w:szCs w:val="22"/>
        </w:rPr>
        <w:t>nárastom objemu nákupov zemného plynu podporený skokovým nárasto</w:t>
      </w:r>
      <w:r w:rsidR="0009378A" w:rsidRPr="00C66720">
        <w:rPr>
          <w:b w:val="0"/>
          <w:bCs w:val="0"/>
          <w:sz w:val="22"/>
          <w:szCs w:val="22"/>
        </w:rPr>
        <w:t>m spotových cien tejto komodity</w:t>
      </w:r>
      <w:r w:rsidR="00DA360F">
        <w:rPr>
          <w:b w:val="0"/>
          <w:bCs w:val="0"/>
          <w:sz w:val="22"/>
          <w:szCs w:val="22"/>
        </w:rPr>
        <w:t>.</w:t>
      </w:r>
      <w:r w:rsidR="0009378A" w:rsidRPr="00C66720">
        <w:rPr>
          <w:b w:val="0"/>
          <w:bCs w:val="0"/>
          <w:sz w:val="22"/>
          <w:szCs w:val="22"/>
        </w:rPr>
        <w:t xml:space="preserve"> </w:t>
      </w:r>
      <w:r w:rsidR="00020184" w:rsidRPr="00C66720">
        <w:rPr>
          <w:b w:val="0"/>
          <w:bCs w:val="0"/>
          <w:sz w:val="22"/>
          <w:szCs w:val="22"/>
        </w:rPr>
        <w:t xml:space="preserve">Kapitola Ministerstva zdravotníctva SR pri medziročnom zvýšení nákladov na spotrebu materiálu o 8 368 tis. eur dosiahla hodnotu 564 903 tis. eur. Ide najmä o spotrebu liekov, špeciálneho zdravotníckeho materiálu, diagnostického materiálu, krvi a krvných výrobkov, potravín a ostatného materiálu. </w:t>
      </w:r>
      <w:r w:rsidR="0030307A" w:rsidRPr="00C66720">
        <w:rPr>
          <w:b w:val="0"/>
          <w:bCs w:val="0"/>
          <w:sz w:val="22"/>
          <w:szCs w:val="22"/>
        </w:rPr>
        <w:t xml:space="preserve">V rámci kapitoly Ministerstva obrany SR </w:t>
      </w:r>
      <w:r w:rsidR="00C27AD9" w:rsidRPr="00C66720">
        <w:rPr>
          <w:b w:val="0"/>
          <w:bCs w:val="0"/>
          <w:sz w:val="22"/>
          <w:szCs w:val="22"/>
        </w:rPr>
        <w:t xml:space="preserve">došlo k spotrebe materiálu v celkovej sume </w:t>
      </w:r>
      <w:r w:rsidR="000571BA">
        <w:rPr>
          <w:b w:val="0"/>
          <w:bCs w:val="0"/>
          <w:sz w:val="22"/>
          <w:szCs w:val="22"/>
        </w:rPr>
        <w:br/>
      </w:r>
      <w:r w:rsidR="00C27AD9" w:rsidRPr="00C66720">
        <w:rPr>
          <w:b w:val="0"/>
          <w:bCs w:val="0"/>
          <w:sz w:val="22"/>
          <w:szCs w:val="22"/>
        </w:rPr>
        <w:t>142 748 tis. eur</w:t>
      </w:r>
      <w:r w:rsidR="00D54B5F" w:rsidRPr="00C66720">
        <w:rPr>
          <w:b w:val="0"/>
          <w:bCs w:val="0"/>
          <w:sz w:val="22"/>
          <w:szCs w:val="22"/>
        </w:rPr>
        <w:t xml:space="preserve">, medziročne viac o 17 407 tis. eur. </w:t>
      </w:r>
      <w:r w:rsidR="008D4908" w:rsidRPr="00C66720">
        <w:rPr>
          <w:b w:val="0"/>
          <w:bCs w:val="0"/>
          <w:sz w:val="22"/>
          <w:szCs w:val="22"/>
        </w:rPr>
        <w:t>V rámci kapitoly Ministerstva dopravy SR vykazujú najvyšší objem nákladov na spotrebovaný materiál</w:t>
      </w:r>
      <w:r w:rsidR="00180E5B" w:rsidRPr="00C66720">
        <w:rPr>
          <w:b w:val="0"/>
          <w:bCs w:val="0"/>
          <w:sz w:val="22"/>
          <w:szCs w:val="22"/>
        </w:rPr>
        <w:t xml:space="preserve"> železniční prepravcovia v celkovej sume 111 443 tis. eur vrátane najvyššieho medziročného prírastku o 19 686 tis. eur.</w:t>
      </w:r>
    </w:p>
    <w:p w14:paraId="1F9CF458" w14:textId="78247A55" w:rsidR="00BD7817" w:rsidRPr="00C66720" w:rsidRDefault="00BD7817" w:rsidP="00D043B6">
      <w:pPr>
        <w:pStyle w:val="Pismenka"/>
        <w:numPr>
          <w:ilvl w:val="0"/>
          <w:numId w:val="44"/>
        </w:numPr>
        <w:spacing w:before="120" w:after="120"/>
        <w:ind w:left="284" w:hanging="284"/>
        <w:rPr>
          <w:i/>
          <w:sz w:val="22"/>
          <w:szCs w:val="22"/>
          <w:u w:val="single"/>
        </w:rPr>
      </w:pPr>
      <w:bookmarkStart w:id="74" w:name="_Ref86186528"/>
      <w:r w:rsidRPr="00C66720">
        <w:rPr>
          <w:i/>
          <w:sz w:val="22"/>
          <w:szCs w:val="22"/>
          <w:u w:val="single"/>
        </w:rPr>
        <w:t>Predaný tovar</w:t>
      </w:r>
      <w:bookmarkEnd w:id="74"/>
    </w:p>
    <w:p w14:paraId="39E6D4C8" w14:textId="6A9EE772" w:rsidR="00B94908" w:rsidRPr="00C66720" w:rsidRDefault="005A629E" w:rsidP="000F5743">
      <w:pPr>
        <w:pStyle w:val="Pismenka"/>
        <w:tabs>
          <w:tab w:val="clear" w:pos="426"/>
        </w:tabs>
        <w:spacing w:before="120"/>
        <w:ind w:left="0" w:firstLine="0"/>
        <w:rPr>
          <w:b w:val="0"/>
          <w:bCs w:val="0"/>
          <w:sz w:val="22"/>
          <w:szCs w:val="22"/>
        </w:rPr>
      </w:pPr>
      <w:r w:rsidRPr="00C66720">
        <w:rPr>
          <w:b w:val="0"/>
          <w:bCs w:val="0"/>
          <w:sz w:val="22"/>
          <w:szCs w:val="22"/>
          <w:u w:val="single"/>
        </w:rPr>
        <w:t>Na celkovej hodnote predaného tovaru</w:t>
      </w:r>
      <w:r w:rsidRPr="00C66720">
        <w:rPr>
          <w:b w:val="0"/>
          <w:bCs w:val="0"/>
          <w:sz w:val="22"/>
          <w:szCs w:val="22"/>
        </w:rPr>
        <w:t xml:space="preserve"> sa podieľa ústredná správa </w:t>
      </w:r>
      <w:r w:rsidR="004042DD" w:rsidRPr="00C66720">
        <w:rPr>
          <w:b w:val="0"/>
          <w:bCs w:val="0"/>
          <w:sz w:val="22"/>
          <w:szCs w:val="22"/>
        </w:rPr>
        <w:t>až 99,4</w:t>
      </w:r>
      <w:r w:rsidRPr="00C66720">
        <w:rPr>
          <w:b w:val="0"/>
          <w:bCs w:val="0"/>
          <w:sz w:val="22"/>
          <w:szCs w:val="22"/>
        </w:rPr>
        <w:t xml:space="preserve"> %</w:t>
      </w:r>
      <w:r w:rsidR="004042DD" w:rsidRPr="00C66720">
        <w:rPr>
          <w:b w:val="0"/>
          <w:bCs w:val="0"/>
          <w:sz w:val="22"/>
          <w:szCs w:val="22"/>
        </w:rPr>
        <w:t>-ami</w:t>
      </w:r>
      <w:r w:rsidRPr="00C66720">
        <w:rPr>
          <w:b w:val="0"/>
          <w:bCs w:val="0"/>
          <w:sz w:val="22"/>
          <w:szCs w:val="22"/>
        </w:rPr>
        <w:t xml:space="preserve">, a tvoria ju prakticky dve obchodné spoločnosti. Slovenská elektrizačná prenosová sústava, a. s. sumou </w:t>
      </w:r>
      <w:r w:rsidR="00B424CE" w:rsidRPr="00C66720">
        <w:rPr>
          <w:b w:val="0"/>
          <w:bCs w:val="0"/>
          <w:sz w:val="22"/>
          <w:szCs w:val="22"/>
        </w:rPr>
        <w:t>4 184 166</w:t>
      </w:r>
      <w:r w:rsidRPr="00C66720">
        <w:rPr>
          <w:b w:val="0"/>
          <w:bCs w:val="0"/>
          <w:sz w:val="22"/>
          <w:szCs w:val="22"/>
        </w:rPr>
        <w:t xml:space="preserve"> tis. eur</w:t>
      </w:r>
      <w:r w:rsidRPr="00C66720">
        <w:rPr>
          <w:b w:val="0"/>
          <w:bCs w:val="0"/>
          <w:sz w:val="22"/>
          <w:szCs w:val="22"/>
        </w:rPr>
        <w:br/>
        <w:t xml:space="preserve">a SPP, a.s. sumou </w:t>
      </w:r>
      <w:r w:rsidR="00B424CE" w:rsidRPr="00C66720">
        <w:rPr>
          <w:b w:val="0"/>
          <w:bCs w:val="0"/>
          <w:sz w:val="22"/>
          <w:szCs w:val="22"/>
        </w:rPr>
        <w:t>1 444 670</w:t>
      </w:r>
      <w:r w:rsidRPr="00C66720">
        <w:rPr>
          <w:b w:val="0"/>
          <w:bCs w:val="0"/>
          <w:sz w:val="22"/>
          <w:szCs w:val="22"/>
        </w:rPr>
        <w:t xml:space="preserve"> tis. eur. </w:t>
      </w:r>
      <w:r w:rsidR="00B424CE" w:rsidRPr="00C66720">
        <w:rPr>
          <w:b w:val="0"/>
          <w:bCs w:val="0"/>
          <w:sz w:val="22"/>
          <w:szCs w:val="22"/>
        </w:rPr>
        <w:t>V porovnaní s rokom 2021</w:t>
      </w:r>
      <w:r w:rsidR="00FC09B2" w:rsidRPr="00C66720">
        <w:rPr>
          <w:b w:val="0"/>
          <w:bCs w:val="0"/>
          <w:sz w:val="22"/>
          <w:szCs w:val="22"/>
        </w:rPr>
        <w:t xml:space="preserve"> došlo k nárastu</w:t>
      </w:r>
      <w:r w:rsidRPr="00C66720">
        <w:rPr>
          <w:b w:val="0"/>
          <w:bCs w:val="0"/>
          <w:sz w:val="22"/>
          <w:szCs w:val="22"/>
        </w:rPr>
        <w:t xml:space="preserve"> nákladov na predaný tovar v ústrednej  správe o</w:t>
      </w:r>
      <w:r w:rsidR="00B424CE" w:rsidRPr="00C66720">
        <w:rPr>
          <w:b w:val="0"/>
          <w:bCs w:val="0"/>
          <w:sz w:val="22"/>
          <w:szCs w:val="22"/>
        </w:rPr>
        <w:t> 3 427</w:t>
      </w:r>
      <w:r w:rsidR="002B7F89" w:rsidRPr="00C66720">
        <w:rPr>
          <w:b w:val="0"/>
          <w:bCs w:val="0"/>
          <w:sz w:val="22"/>
          <w:szCs w:val="22"/>
        </w:rPr>
        <w:t> </w:t>
      </w:r>
      <w:r w:rsidR="00B424CE" w:rsidRPr="00C66720">
        <w:rPr>
          <w:b w:val="0"/>
          <w:bCs w:val="0"/>
          <w:sz w:val="22"/>
          <w:szCs w:val="22"/>
        </w:rPr>
        <w:t>039</w:t>
      </w:r>
      <w:r w:rsidR="002B7F89" w:rsidRPr="00C66720">
        <w:rPr>
          <w:b w:val="0"/>
          <w:bCs w:val="0"/>
          <w:sz w:val="22"/>
          <w:szCs w:val="22"/>
        </w:rPr>
        <w:t xml:space="preserve"> </w:t>
      </w:r>
      <w:r w:rsidRPr="00C66720">
        <w:rPr>
          <w:b w:val="0"/>
          <w:bCs w:val="0"/>
          <w:sz w:val="22"/>
          <w:szCs w:val="22"/>
        </w:rPr>
        <w:t xml:space="preserve">tis. eur najmä v dôsledku ich </w:t>
      </w:r>
      <w:r w:rsidR="00FC09B2" w:rsidRPr="00C66720">
        <w:rPr>
          <w:b w:val="0"/>
          <w:bCs w:val="0"/>
          <w:sz w:val="22"/>
          <w:szCs w:val="22"/>
        </w:rPr>
        <w:t>zvýšenia</w:t>
      </w:r>
      <w:r w:rsidRPr="00C66720">
        <w:rPr>
          <w:b w:val="0"/>
          <w:bCs w:val="0"/>
          <w:sz w:val="22"/>
          <w:szCs w:val="22"/>
        </w:rPr>
        <w:t xml:space="preserve"> u Slovenskej elektrizačnej a prenosovej sústavy, a.s. o</w:t>
      </w:r>
      <w:r w:rsidR="00B67B09" w:rsidRPr="00C66720">
        <w:rPr>
          <w:b w:val="0"/>
          <w:bCs w:val="0"/>
          <w:sz w:val="22"/>
          <w:szCs w:val="22"/>
        </w:rPr>
        <w:t> 2 402 873</w:t>
      </w:r>
      <w:r w:rsidRPr="00C66720">
        <w:rPr>
          <w:b w:val="0"/>
          <w:bCs w:val="0"/>
          <w:sz w:val="22"/>
          <w:szCs w:val="22"/>
        </w:rPr>
        <w:t xml:space="preserve"> tis. eur  z dôvodu </w:t>
      </w:r>
      <w:r w:rsidR="00CA2451" w:rsidRPr="00C66720">
        <w:rPr>
          <w:b w:val="0"/>
          <w:bCs w:val="0"/>
          <w:sz w:val="22"/>
          <w:szCs w:val="22"/>
        </w:rPr>
        <w:t xml:space="preserve">nárastu </w:t>
      </w:r>
      <w:r w:rsidR="00B94908" w:rsidRPr="00C66720">
        <w:rPr>
          <w:b w:val="0"/>
          <w:bCs w:val="0"/>
          <w:sz w:val="22"/>
          <w:szCs w:val="22"/>
        </w:rPr>
        <w:t>nákladov na nákup elektriny predávanej na dennom trhu, nákladov v rámci systému IGCC, nákladov na shipper agenta a nákladov na FSKAR (neplánované výmeny elektrickej energie).</w:t>
      </w:r>
      <w:r w:rsidR="00646E7D" w:rsidRPr="00C66720">
        <w:rPr>
          <w:b w:val="0"/>
          <w:bCs w:val="0"/>
          <w:sz w:val="22"/>
          <w:szCs w:val="22"/>
        </w:rPr>
        <w:t xml:space="preserve"> Slovenský plynárenský priemysel, a.s. dosiahol medziročný nárast o 1 002 043 tis. eur, ktorý bol spôsobený najmú nárastom nákladov na tradingové obchody z dôvodu vyššej ceny a objemu nákupu komodít, nárastom nákupu za vykúpenú elektrickú energiu vyrobenú z obnoviteľných zdrojov energie (OZE) a zdrojov s vysokoúčinnou kombinovanou výrobou elektriny a tepla (VÚKVET) od výrobcov.</w:t>
      </w:r>
    </w:p>
    <w:p w14:paraId="7C0FC413" w14:textId="6FD7A62E" w:rsidR="00BD7817" w:rsidRPr="00C66720" w:rsidRDefault="00BD7817" w:rsidP="00D043B6">
      <w:pPr>
        <w:pStyle w:val="Pismenka"/>
        <w:numPr>
          <w:ilvl w:val="0"/>
          <w:numId w:val="44"/>
        </w:numPr>
        <w:spacing w:before="240" w:after="120"/>
        <w:ind w:left="284" w:hanging="284"/>
        <w:rPr>
          <w:i/>
          <w:sz w:val="22"/>
          <w:szCs w:val="22"/>
          <w:u w:val="single"/>
        </w:rPr>
      </w:pPr>
      <w:bookmarkStart w:id="75" w:name="_Ref86186539"/>
      <w:r w:rsidRPr="00C66720">
        <w:rPr>
          <w:i/>
          <w:sz w:val="22"/>
          <w:szCs w:val="22"/>
          <w:u w:val="single"/>
        </w:rPr>
        <w:t>Spotreba energií</w:t>
      </w:r>
      <w:bookmarkEnd w:id="75"/>
    </w:p>
    <w:p w14:paraId="3BEEAAFC" w14:textId="1F9FBC3D" w:rsidR="005A629E" w:rsidRPr="00C66720" w:rsidRDefault="005A629E" w:rsidP="008A2337">
      <w:pPr>
        <w:pStyle w:val="Pismenka"/>
        <w:tabs>
          <w:tab w:val="clear" w:pos="426"/>
        </w:tabs>
        <w:spacing w:before="120" w:after="240"/>
        <w:ind w:left="0" w:firstLine="0"/>
        <w:rPr>
          <w:b w:val="0"/>
          <w:bCs w:val="0"/>
          <w:sz w:val="22"/>
          <w:szCs w:val="22"/>
        </w:rPr>
      </w:pPr>
      <w:r w:rsidRPr="00C66720">
        <w:rPr>
          <w:b w:val="0"/>
          <w:bCs w:val="0"/>
          <w:sz w:val="22"/>
          <w:szCs w:val="22"/>
          <w:u w:val="single"/>
        </w:rPr>
        <w:t>Náklady na spotrebu energií</w:t>
      </w:r>
      <w:r w:rsidRPr="00C66720">
        <w:rPr>
          <w:b w:val="0"/>
          <w:bCs w:val="0"/>
          <w:sz w:val="22"/>
          <w:szCs w:val="22"/>
        </w:rPr>
        <w:t xml:space="preserve"> rôznych druhov boli medziročne vyššie o</w:t>
      </w:r>
      <w:r w:rsidR="00E04899" w:rsidRPr="00C66720">
        <w:rPr>
          <w:b w:val="0"/>
          <w:bCs w:val="0"/>
          <w:sz w:val="22"/>
          <w:szCs w:val="22"/>
        </w:rPr>
        <w:t> 314 621</w:t>
      </w:r>
      <w:r w:rsidRPr="00C66720">
        <w:rPr>
          <w:b w:val="0"/>
          <w:bCs w:val="0"/>
          <w:sz w:val="22"/>
          <w:szCs w:val="22"/>
        </w:rPr>
        <w:t xml:space="preserve"> tis. a dosiahli úroveň </w:t>
      </w:r>
      <w:r w:rsidR="00BD7817" w:rsidRPr="00C66720">
        <w:rPr>
          <w:b w:val="0"/>
          <w:bCs w:val="0"/>
          <w:sz w:val="22"/>
          <w:szCs w:val="22"/>
        </w:rPr>
        <w:br/>
      </w:r>
      <w:r w:rsidR="00E04899" w:rsidRPr="00C66720">
        <w:rPr>
          <w:b w:val="0"/>
          <w:bCs w:val="0"/>
          <w:sz w:val="22"/>
          <w:szCs w:val="22"/>
        </w:rPr>
        <w:t>971 640</w:t>
      </w:r>
      <w:r w:rsidRPr="00C66720">
        <w:rPr>
          <w:b w:val="0"/>
          <w:bCs w:val="0"/>
          <w:sz w:val="22"/>
          <w:szCs w:val="22"/>
        </w:rPr>
        <w:t xml:space="preserve"> tis. eur (v tom územná samospráva </w:t>
      </w:r>
      <w:r w:rsidR="00CE3EF1" w:rsidRPr="00C66720">
        <w:rPr>
          <w:b w:val="0"/>
          <w:bCs w:val="0"/>
          <w:sz w:val="22"/>
          <w:szCs w:val="22"/>
        </w:rPr>
        <w:t>512 151</w:t>
      </w:r>
      <w:r w:rsidRPr="00C66720">
        <w:rPr>
          <w:b w:val="0"/>
          <w:bCs w:val="0"/>
          <w:sz w:val="22"/>
          <w:szCs w:val="22"/>
        </w:rPr>
        <w:t xml:space="preserve"> tis. eur a ústredná správa </w:t>
      </w:r>
      <w:r w:rsidR="00CE3EF1" w:rsidRPr="00C66720">
        <w:rPr>
          <w:b w:val="0"/>
          <w:bCs w:val="0"/>
          <w:sz w:val="22"/>
          <w:szCs w:val="22"/>
        </w:rPr>
        <w:t>404 521</w:t>
      </w:r>
      <w:r w:rsidRPr="00C66720">
        <w:rPr>
          <w:b w:val="0"/>
          <w:bCs w:val="0"/>
          <w:sz w:val="22"/>
          <w:szCs w:val="22"/>
        </w:rPr>
        <w:t xml:space="preserve"> tis. eur).</w:t>
      </w:r>
      <w:r w:rsidR="00794A17">
        <w:rPr>
          <w:b w:val="0"/>
          <w:bCs w:val="0"/>
          <w:sz w:val="22"/>
          <w:szCs w:val="22"/>
        </w:rPr>
        <w:t xml:space="preserve"> Aj na </w:t>
      </w:r>
      <w:r w:rsidR="00794A17">
        <w:rPr>
          <w:b w:val="0"/>
          <w:bCs w:val="0"/>
          <w:sz w:val="22"/>
          <w:szCs w:val="22"/>
        </w:rPr>
        <w:lastRenderedPageBreak/>
        <w:t>spotrebu energií negatívne vplýval cenový vývoj rozhodujúcich komodít na svetových burzách, ktorý sa premietal do cien platených spotrebiteľmi.</w:t>
      </w:r>
    </w:p>
    <w:p w14:paraId="4CB69525" w14:textId="3B8DA6F2" w:rsidR="00760A22" w:rsidRPr="00C66720" w:rsidRDefault="00760A22" w:rsidP="00D043B6">
      <w:pPr>
        <w:pStyle w:val="Pismenka"/>
        <w:numPr>
          <w:ilvl w:val="0"/>
          <w:numId w:val="44"/>
        </w:numPr>
        <w:spacing w:before="120" w:after="120"/>
        <w:ind w:left="284" w:hanging="284"/>
        <w:rPr>
          <w:i/>
          <w:sz w:val="22"/>
          <w:szCs w:val="22"/>
          <w:u w:val="single"/>
        </w:rPr>
      </w:pPr>
      <w:bookmarkStart w:id="76" w:name="_Ref86186547"/>
      <w:r w:rsidRPr="00C66720">
        <w:rPr>
          <w:i/>
          <w:sz w:val="22"/>
          <w:szCs w:val="22"/>
          <w:u w:val="single"/>
        </w:rPr>
        <w:t>Ostatné</w:t>
      </w:r>
      <w:bookmarkEnd w:id="76"/>
    </w:p>
    <w:p w14:paraId="1EDD24D7" w14:textId="2F77F451" w:rsidR="00F3476C" w:rsidRPr="00C66720" w:rsidRDefault="00FD042E" w:rsidP="000062BC">
      <w:pPr>
        <w:pStyle w:val="Pismenka"/>
        <w:tabs>
          <w:tab w:val="clear" w:pos="426"/>
        </w:tabs>
        <w:spacing w:before="120" w:after="120"/>
        <w:ind w:left="0" w:firstLine="0"/>
        <w:rPr>
          <w:szCs w:val="22"/>
        </w:rPr>
      </w:pPr>
      <w:r w:rsidRPr="00C66720">
        <w:rPr>
          <w:b w:val="0"/>
          <w:bCs w:val="0"/>
          <w:sz w:val="22"/>
          <w:szCs w:val="22"/>
        </w:rPr>
        <w:t xml:space="preserve">Ide o náklady na spotrebu ostatných neskladovateľných dodávok v celkovej sume </w:t>
      </w:r>
      <w:r w:rsidR="00373E96" w:rsidRPr="00C66720">
        <w:rPr>
          <w:b w:val="0"/>
          <w:bCs w:val="0"/>
          <w:sz w:val="22"/>
          <w:szCs w:val="22"/>
        </w:rPr>
        <w:t>12 297</w:t>
      </w:r>
      <w:r w:rsidR="005033E9" w:rsidRPr="00C66720">
        <w:rPr>
          <w:b w:val="0"/>
          <w:bCs w:val="0"/>
          <w:sz w:val="22"/>
          <w:szCs w:val="22"/>
        </w:rPr>
        <w:t xml:space="preserve"> tis. eur </w:t>
      </w:r>
      <w:r w:rsidR="00A04B57" w:rsidRPr="00C66720">
        <w:rPr>
          <w:b w:val="0"/>
          <w:bCs w:val="0"/>
          <w:sz w:val="22"/>
          <w:szCs w:val="22"/>
        </w:rPr>
        <w:br/>
      </w:r>
      <w:r w:rsidR="00373E96" w:rsidRPr="00C66720">
        <w:rPr>
          <w:b w:val="0"/>
          <w:bCs w:val="0"/>
          <w:sz w:val="22"/>
          <w:szCs w:val="22"/>
        </w:rPr>
        <w:t>(2021</w:t>
      </w:r>
      <w:r w:rsidRPr="00C66720">
        <w:rPr>
          <w:b w:val="0"/>
          <w:bCs w:val="0"/>
          <w:sz w:val="22"/>
          <w:szCs w:val="22"/>
        </w:rPr>
        <w:t xml:space="preserve">: </w:t>
      </w:r>
      <w:r w:rsidR="00373E96" w:rsidRPr="00C66720">
        <w:rPr>
          <w:b w:val="0"/>
          <w:bCs w:val="0"/>
          <w:sz w:val="22"/>
          <w:szCs w:val="22"/>
        </w:rPr>
        <w:t>9 829</w:t>
      </w:r>
      <w:r w:rsidRPr="00C66720">
        <w:rPr>
          <w:b w:val="0"/>
          <w:bCs w:val="0"/>
          <w:sz w:val="22"/>
          <w:szCs w:val="22"/>
        </w:rPr>
        <w:t xml:space="preserve"> tis. eur). Tvorené sú takmer výlučne subjektami územnej samosprávy úhrnom v sume </w:t>
      </w:r>
      <w:r w:rsidR="00D36AC6" w:rsidRPr="00C66720">
        <w:rPr>
          <w:b w:val="0"/>
          <w:bCs w:val="0"/>
          <w:sz w:val="22"/>
          <w:szCs w:val="22"/>
        </w:rPr>
        <w:br/>
      </w:r>
      <w:r w:rsidR="0079226B" w:rsidRPr="00C66720">
        <w:rPr>
          <w:b w:val="0"/>
          <w:bCs w:val="0"/>
          <w:sz w:val="22"/>
          <w:szCs w:val="22"/>
        </w:rPr>
        <w:t>11 961</w:t>
      </w:r>
      <w:r w:rsidRPr="00C66720">
        <w:rPr>
          <w:b w:val="0"/>
          <w:bCs w:val="0"/>
          <w:sz w:val="22"/>
          <w:szCs w:val="22"/>
        </w:rPr>
        <w:t xml:space="preserve"> tis. eur (v tom obce </w:t>
      </w:r>
      <w:r w:rsidR="0079226B" w:rsidRPr="00C66720">
        <w:rPr>
          <w:b w:val="0"/>
          <w:bCs w:val="0"/>
          <w:sz w:val="22"/>
          <w:szCs w:val="22"/>
        </w:rPr>
        <w:t>11 953</w:t>
      </w:r>
      <w:r w:rsidR="00A82719" w:rsidRPr="00C66720">
        <w:rPr>
          <w:b w:val="0"/>
          <w:bCs w:val="0"/>
          <w:sz w:val="22"/>
          <w:szCs w:val="22"/>
        </w:rPr>
        <w:t xml:space="preserve"> tis. eur).</w:t>
      </w:r>
    </w:p>
    <w:p w14:paraId="4E2261DC" w14:textId="61D15412" w:rsidR="005A629E" w:rsidRDefault="005A629E" w:rsidP="000F5743">
      <w:pPr>
        <w:pStyle w:val="Pismenka"/>
        <w:numPr>
          <w:ilvl w:val="0"/>
          <w:numId w:val="24"/>
        </w:numPr>
        <w:spacing w:before="200" w:after="120"/>
        <w:ind w:left="425" w:hanging="425"/>
        <w:rPr>
          <w:bCs w:val="0"/>
          <w:sz w:val="24"/>
          <w:szCs w:val="24"/>
        </w:rPr>
      </w:pPr>
      <w:bookmarkStart w:id="77" w:name="_Ref86186859"/>
      <w:r w:rsidRPr="00C66720">
        <w:rPr>
          <w:bCs w:val="0"/>
          <w:sz w:val="24"/>
          <w:szCs w:val="24"/>
        </w:rPr>
        <w:t>Osobné náklady</w:t>
      </w:r>
      <w:bookmarkEnd w:id="77"/>
    </w:p>
    <w:p w14:paraId="0270C30F" w14:textId="77777777" w:rsidR="00E8665B" w:rsidRPr="00E8665B" w:rsidRDefault="00E8665B" w:rsidP="00E8665B">
      <w:pPr>
        <w:spacing w:before="200" w:after="0" w:line="240" w:lineRule="auto"/>
        <w:jc w:val="both"/>
        <w:rPr>
          <w:rFonts w:ascii="Times New Roman" w:hAnsi="Times New Roman"/>
          <w:b/>
          <w:bCs/>
          <w:sz w:val="18"/>
          <w:szCs w:val="18"/>
        </w:rPr>
      </w:pPr>
      <w:r w:rsidRPr="00E8665B">
        <w:rPr>
          <w:rFonts w:ascii="Times New Roman" w:hAnsi="Times New Roman"/>
          <w:b/>
          <w:bCs/>
          <w:sz w:val="18"/>
          <w:szCs w:val="18"/>
        </w:rPr>
        <w:t>Tabuľka 24</w:t>
      </w:r>
    </w:p>
    <w:tbl>
      <w:tblPr>
        <w:tblW w:w="5000" w:type="pct"/>
        <w:jc w:val="center"/>
        <w:tblLayout w:type="fixed"/>
        <w:tblCellMar>
          <w:left w:w="70" w:type="dxa"/>
          <w:right w:w="70" w:type="dxa"/>
        </w:tblCellMar>
        <w:tblLook w:val="00A0" w:firstRow="1" w:lastRow="0" w:firstColumn="1" w:lastColumn="0" w:noHBand="0" w:noVBand="0"/>
      </w:tblPr>
      <w:tblGrid>
        <w:gridCol w:w="5176"/>
        <w:gridCol w:w="1201"/>
        <w:gridCol w:w="1419"/>
        <w:gridCol w:w="1275"/>
      </w:tblGrid>
      <w:tr w:rsidR="00E8665B" w:rsidRPr="005773D1" w14:paraId="513D6570"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3AF7D89A" w14:textId="77777777" w:rsidR="00E8665B" w:rsidRPr="005773D1" w:rsidRDefault="00E8665B" w:rsidP="00241F33">
            <w:pPr>
              <w:spacing w:after="0" w:line="240" w:lineRule="auto"/>
              <w:rPr>
                <w:rFonts w:ascii="Times New Roman" w:hAnsi="Times New Roman"/>
                <w:b/>
                <w:bCs/>
                <w:sz w:val="18"/>
                <w:szCs w:val="18"/>
                <w:lang w:eastAsia="sk-SK"/>
              </w:rPr>
            </w:pPr>
            <w:r w:rsidRPr="005773D1">
              <w:rPr>
                <w:rFonts w:ascii="Times New Roman" w:hAnsi="Times New Roman"/>
                <w:b/>
                <w:bCs/>
                <w:sz w:val="18"/>
                <w:szCs w:val="18"/>
                <w:lang w:eastAsia="sk-SK"/>
              </w:rPr>
              <w:t xml:space="preserve">Osobné náklady </w:t>
            </w:r>
            <w:r>
              <w:rPr>
                <w:rFonts w:ascii="Times New Roman" w:hAnsi="Times New Roman"/>
                <w:b/>
                <w:bCs/>
                <w:sz w:val="18"/>
                <w:szCs w:val="18"/>
                <w:lang w:eastAsia="sk-SK"/>
              </w:rPr>
              <w:t>podľa druhu</w:t>
            </w:r>
            <w:r w:rsidRPr="005773D1">
              <w:rPr>
                <w:rFonts w:ascii="Times New Roman" w:hAnsi="Times New Roman"/>
                <w:b/>
                <w:bCs/>
                <w:sz w:val="18"/>
                <w:szCs w:val="18"/>
                <w:lang w:eastAsia="sk-SK"/>
              </w:rPr>
              <w:t xml:space="preserve">                                                                                                                                (v tis. eur) </w:t>
            </w:r>
          </w:p>
        </w:tc>
      </w:tr>
      <w:tr w:rsidR="00E8665B" w:rsidRPr="000033E2" w14:paraId="466E37D9" w14:textId="77777777" w:rsidTr="00241F33">
        <w:trPr>
          <w:trHeight w:val="330"/>
          <w:jc w:val="center"/>
        </w:trPr>
        <w:tc>
          <w:tcPr>
            <w:tcW w:w="2853" w:type="pct"/>
            <w:tcBorders>
              <w:top w:val="nil"/>
              <w:left w:val="nil"/>
              <w:bottom w:val="single" w:sz="4" w:space="0" w:color="auto"/>
              <w:right w:val="nil"/>
            </w:tcBorders>
            <w:shd w:val="clear" w:color="auto" w:fill="BDD7EE"/>
            <w:noWrap/>
            <w:vAlign w:val="center"/>
          </w:tcPr>
          <w:p w14:paraId="3B696D4D" w14:textId="77777777" w:rsidR="00E8665B" w:rsidRPr="000033E2" w:rsidRDefault="00E8665B" w:rsidP="00E8665B">
            <w:pPr>
              <w:spacing w:after="0" w:line="240" w:lineRule="auto"/>
              <w:rPr>
                <w:rFonts w:ascii="Times New Roman" w:hAnsi="Times New Roman"/>
                <w:b/>
                <w:bCs/>
                <w:sz w:val="18"/>
                <w:szCs w:val="18"/>
                <w:lang w:eastAsia="sk-SK"/>
              </w:rPr>
            </w:pPr>
          </w:p>
        </w:tc>
        <w:tc>
          <w:tcPr>
            <w:tcW w:w="662" w:type="pct"/>
            <w:tcBorders>
              <w:top w:val="nil"/>
              <w:left w:val="nil"/>
              <w:bottom w:val="single" w:sz="4" w:space="0" w:color="auto"/>
              <w:right w:val="nil"/>
            </w:tcBorders>
            <w:shd w:val="clear" w:color="auto" w:fill="BDD7EE"/>
            <w:noWrap/>
            <w:vAlign w:val="center"/>
          </w:tcPr>
          <w:p w14:paraId="5693073A" w14:textId="3D9D8E29" w:rsidR="00E8665B" w:rsidRPr="000033E2" w:rsidRDefault="00E8665B" w:rsidP="00E8665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82" w:type="pct"/>
            <w:tcBorders>
              <w:top w:val="nil"/>
              <w:left w:val="nil"/>
              <w:bottom w:val="single" w:sz="4" w:space="0" w:color="auto"/>
              <w:right w:val="nil"/>
            </w:tcBorders>
            <w:shd w:val="clear" w:color="auto" w:fill="BDD7EE"/>
            <w:noWrap/>
            <w:vAlign w:val="center"/>
          </w:tcPr>
          <w:p w14:paraId="61891742" w14:textId="6063A2AB" w:rsidR="00E8665B" w:rsidRPr="000033E2" w:rsidRDefault="00E8665B" w:rsidP="00E8665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3" w:type="pct"/>
            <w:tcBorders>
              <w:top w:val="nil"/>
              <w:left w:val="nil"/>
              <w:bottom w:val="single" w:sz="4" w:space="0" w:color="auto"/>
              <w:right w:val="nil"/>
            </w:tcBorders>
            <w:shd w:val="clear" w:color="auto" w:fill="BDD7EE"/>
            <w:vAlign w:val="center"/>
          </w:tcPr>
          <w:p w14:paraId="634E1AFD" w14:textId="696469E9" w:rsidR="00E8665B" w:rsidRPr="000033E2" w:rsidRDefault="00E8665B" w:rsidP="00E8665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E8665B" w:rsidRPr="000033E2" w14:paraId="348C0936" w14:textId="77777777" w:rsidTr="00241F33">
        <w:trPr>
          <w:trHeight w:val="330"/>
          <w:jc w:val="center"/>
        </w:trPr>
        <w:tc>
          <w:tcPr>
            <w:tcW w:w="2853" w:type="pct"/>
            <w:tcBorders>
              <w:top w:val="nil"/>
              <w:left w:val="nil"/>
              <w:bottom w:val="nil"/>
              <w:right w:val="nil"/>
            </w:tcBorders>
            <w:shd w:val="clear" w:color="000000" w:fill="FFFFFF"/>
            <w:vAlign w:val="center"/>
          </w:tcPr>
          <w:p w14:paraId="0D6154CE" w14:textId="4C401025" w:rsidR="00E8665B" w:rsidRPr="000033E2" w:rsidRDefault="00E8665B" w:rsidP="00E8665B">
            <w:pPr>
              <w:spacing w:before="120" w:after="0" w:line="240" w:lineRule="auto"/>
              <w:rPr>
                <w:rFonts w:ascii="Times New Roman" w:hAnsi="Times New Roman"/>
                <w:sz w:val="18"/>
                <w:szCs w:val="18"/>
                <w:lang w:eastAsia="sk-SK"/>
              </w:rPr>
            </w:pPr>
            <w:r w:rsidRPr="00C66720">
              <w:rPr>
                <w:rFonts w:ascii="Times New Roman" w:hAnsi="Times New Roman"/>
                <w:bCs/>
                <w:sz w:val="18"/>
                <w:szCs w:val="18"/>
                <w:lang w:eastAsia="sk-SK"/>
              </w:rPr>
              <w:t>Mzdové náklady</w:t>
            </w:r>
          </w:p>
        </w:tc>
        <w:tc>
          <w:tcPr>
            <w:tcW w:w="662" w:type="pct"/>
            <w:tcBorders>
              <w:top w:val="nil"/>
              <w:left w:val="nil"/>
              <w:bottom w:val="nil"/>
              <w:right w:val="nil"/>
            </w:tcBorders>
            <w:shd w:val="clear" w:color="000000" w:fill="FFFFFF"/>
            <w:vAlign w:val="center"/>
          </w:tcPr>
          <w:p w14:paraId="69FF158F" w14:textId="50B848FC"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8 863 456</w:t>
            </w:r>
          </w:p>
        </w:tc>
        <w:tc>
          <w:tcPr>
            <w:tcW w:w="782" w:type="pct"/>
            <w:tcBorders>
              <w:top w:val="nil"/>
              <w:left w:val="nil"/>
              <w:bottom w:val="nil"/>
              <w:right w:val="nil"/>
            </w:tcBorders>
            <w:shd w:val="clear" w:color="000000" w:fill="FFFFFF"/>
            <w:vAlign w:val="center"/>
          </w:tcPr>
          <w:p w14:paraId="79EB0E06" w14:textId="48D4DAD1"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8 304 748</w:t>
            </w:r>
          </w:p>
        </w:tc>
        <w:tc>
          <w:tcPr>
            <w:tcW w:w="703" w:type="pct"/>
            <w:tcBorders>
              <w:top w:val="nil"/>
              <w:left w:val="nil"/>
              <w:bottom w:val="nil"/>
              <w:right w:val="nil"/>
            </w:tcBorders>
            <w:shd w:val="clear" w:color="000000" w:fill="FFFFFF"/>
            <w:vAlign w:val="center"/>
          </w:tcPr>
          <w:p w14:paraId="4985FEC8" w14:textId="28DB53A7" w:rsidR="00E8665B" w:rsidRPr="000033E2" w:rsidRDefault="00E8665B" w:rsidP="00E8665B">
            <w:pPr>
              <w:spacing w:after="0" w:line="240" w:lineRule="auto"/>
              <w:jc w:val="right"/>
              <w:rPr>
                <w:rFonts w:ascii="Times New Roman" w:hAnsi="Times New Roman"/>
                <w:color w:val="FF0000"/>
                <w:sz w:val="18"/>
                <w:szCs w:val="18"/>
                <w:lang w:eastAsia="sk-SK"/>
              </w:rPr>
            </w:pPr>
            <w:r w:rsidRPr="00C66720">
              <w:rPr>
                <w:rFonts w:ascii="Times New Roman" w:hAnsi="Times New Roman"/>
                <w:sz w:val="18"/>
                <w:szCs w:val="18"/>
                <w:lang w:eastAsia="sk-SK"/>
              </w:rPr>
              <w:t>558 708</w:t>
            </w:r>
          </w:p>
        </w:tc>
      </w:tr>
      <w:tr w:rsidR="00E8665B" w:rsidRPr="000033E2" w14:paraId="0726FF8F" w14:textId="77777777" w:rsidTr="00241F33">
        <w:trPr>
          <w:trHeight w:val="330"/>
          <w:jc w:val="center"/>
        </w:trPr>
        <w:tc>
          <w:tcPr>
            <w:tcW w:w="2853" w:type="pct"/>
            <w:tcBorders>
              <w:top w:val="nil"/>
              <w:left w:val="nil"/>
              <w:bottom w:val="nil"/>
              <w:right w:val="nil"/>
            </w:tcBorders>
            <w:shd w:val="clear" w:color="000000" w:fill="FFFFFF"/>
            <w:vAlign w:val="center"/>
          </w:tcPr>
          <w:p w14:paraId="7B4A2C30" w14:textId="00650887" w:rsidR="00E8665B" w:rsidRPr="000033E2" w:rsidRDefault="00E8665B" w:rsidP="00E8665B">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Zákonné sociálne poistenie</w:t>
            </w:r>
          </w:p>
        </w:tc>
        <w:tc>
          <w:tcPr>
            <w:tcW w:w="662" w:type="pct"/>
            <w:tcBorders>
              <w:top w:val="nil"/>
              <w:left w:val="nil"/>
              <w:bottom w:val="nil"/>
              <w:right w:val="nil"/>
            </w:tcBorders>
            <w:shd w:val="clear" w:color="000000" w:fill="FFFFFF"/>
            <w:vAlign w:val="center"/>
          </w:tcPr>
          <w:p w14:paraId="678E29E4" w14:textId="3F04E50E"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2 400 217</w:t>
            </w:r>
          </w:p>
        </w:tc>
        <w:tc>
          <w:tcPr>
            <w:tcW w:w="782" w:type="pct"/>
            <w:tcBorders>
              <w:top w:val="nil"/>
              <w:left w:val="nil"/>
              <w:bottom w:val="nil"/>
              <w:right w:val="nil"/>
            </w:tcBorders>
            <w:shd w:val="clear" w:color="000000" w:fill="FFFFFF"/>
            <w:vAlign w:val="center"/>
          </w:tcPr>
          <w:p w14:paraId="53EA04CA" w14:textId="39D43066"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2 251 797</w:t>
            </w:r>
          </w:p>
        </w:tc>
        <w:tc>
          <w:tcPr>
            <w:tcW w:w="703" w:type="pct"/>
            <w:tcBorders>
              <w:top w:val="nil"/>
              <w:left w:val="nil"/>
              <w:bottom w:val="nil"/>
              <w:right w:val="nil"/>
            </w:tcBorders>
            <w:shd w:val="clear" w:color="000000" w:fill="FFFFFF"/>
            <w:vAlign w:val="center"/>
          </w:tcPr>
          <w:p w14:paraId="53C6A7FA" w14:textId="0085CC7B"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 xml:space="preserve"> 148 420</w:t>
            </w:r>
          </w:p>
        </w:tc>
      </w:tr>
      <w:tr w:rsidR="00E8665B" w:rsidRPr="000033E2" w14:paraId="362D0D7D" w14:textId="77777777" w:rsidTr="00241F33">
        <w:trPr>
          <w:trHeight w:val="330"/>
          <w:jc w:val="center"/>
        </w:trPr>
        <w:tc>
          <w:tcPr>
            <w:tcW w:w="2853" w:type="pct"/>
            <w:tcBorders>
              <w:top w:val="nil"/>
              <w:left w:val="nil"/>
              <w:bottom w:val="nil"/>
              <w:right w:val="nil"/>
            </w:tcBorders>
            <w:shd w:val="clear" w:color="000000" w:fill="FFFFFF"/>
            <w:vAlign w:val="center"/>
          </w:tcPr>
          <w:p w14:paraId="7E26CD57" w14:textId="28023159" w:rsidR="00E8665B" w:rsidRPr="000033E2" w:rsidRDefault="00E8665B" w:rsidP="00E8665B">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Zákonné sociálne náklady</w:t>
            </w:r>
          </w:p>
        </w:tc>
        <w:tc>
          <w:tcPr>
            <w:tcW w:w="662" w:type="pct"/>
            <w:tcBorders>
              <w:top w:val="nil"/>
              <w:left w:val="nil"/>
              <w:bottom w:val="nil"/>
              <w:right w:val="nil"/>
            </w:tcBorders>
            <w:shd w:val="clear" w:color="000000" w:fill="FFFFFF"/>
            <w:vAlign w:val="center"/>
          </w:tcPr>
          <w:p w14:paraId="31A06BE2" w14:textId="772BF2AE"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583 454</w:t>
            </w:r>
          </w:p>
        </w:tc>
        <w:tc>
          <w:tcPr>
            <w:tcW w:w="782" w:type="pct"/>
            <w:tcBorders>
              <w:top w:val="nil"/>
              <w:left w:val="nil"/>
              <w:bottom w:val="nil"/>
              <w:right w:val="nil"/>
            </w:tcBorders>
            <w:shd w:val="clear" w:color="000000" w:fill="FFFFFF"/>
            <w:vAlign w:val="center"/>
          </w:tcPr>
          <w:p w14:paraId="72577884" w14:textId="6C09F043"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518 952</w:t>
            </w:r>
          </w:p>
        </w:tc>
        <w:tc>
          <w:tcPr>
            <w:tcW w:w="703" w:type="pct"/>
            <w:tcBorders>
              <w:top w:val="nil"/>
              <w:left w:val="nil"/>
              <w:bottom w:val="nil"/>
              <w:right w:val="nil"/>
            </w:tcBorders>
            <w:shd w:val="clear" w:color="000000" w:fill="FFFFFF"/>
            <w:vAlign w:val="center"/>
          </w:tcPr>
          <w:p w14:paraId="20B761BB" w14:textId="545323EA"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64 502</w:t>
            </w:r>
          </w:p>
        </w:tc>
      </w:tr>
      <w:tr w:rsidR="00E8665B" w:rsidRPr="000033E2" w14:paraId="379E194A" w14:textId="77777777" w:rsidTr="00241F33">
        <w:trPr>
          <w:trHeight w:val="330"/>
          <w:jc w:val="center"/>
        </w:trPr>
        <w:tc>
          <w:tcPr>
            <w:tcW w:w="2853" w:type="pct"/>
            <w:tcBorders>
              <w:top w:val="nil"/>
              <w:left w:val="nil"/>
              <w:bottom w:val="nil"/>
              <w:right w:val="nil"/>
            </w:tcBorders>
            <w:shd w:val="clear" w:color="000000" w:fill="FFFFFF"/>
            <w:vAlign w:val="center"/>
          </w:tcPr>
          <w:p w14:paraId="796B43FB" w14:textId="14959F4D" w:rsidR="00E8665B" w:rsidRPr="000033E2" w:rsidRDefault="00E8665B" w:rsidP="00E8665B">
            <w:pPr>
              <w:spacing w:after="0" w:line="240" w:lineRule="auto"/>
              <w:rPr>
                <w:rFonts w:ascii="Times New Roman" w:hAnsi="Times New Roman"/>
                <w:sz w:val="18"/>
                <w:szCs w:val="18"/>
                <w:lang w:eastAsia="sk-SK"/>
              </w:rPr>
            </w:pPr>
            <w:r w:rsidRPr="00C66720">
              <w:rPr>
                <w:rFonts w:ascii="Times New Roman" w:hAnsi="Times New Roman"/>
                <w:bCs/>
                <w:sz w:val="18"/>
                <w:szCs w:val="18"/>
                <w:lang w:eastAsia="sk-SK"/>
              </w:rPr>
              <w:t>Ostatné sociálne poistenie</w:t>
            </w:r>
          </w:p>
        </w:tc>
        <w:tc>
          <w:tcPr>
            <w:tcW w:w="662" w:type="pct"/>
            <w:tcBorders>
              <w:top w:val="nil"/>
              <w:left w:val="nil"/>
              <w:bottom w:val="nil"/>
              <w:right w:val="nil"/>
            </w:tcBorders>
            <w:shd w:val="clear" w:color="000000" w:fill="FFFFFF"/>
            <w:vAlign w:val="center"/>
          </w:tcPr>
          <w:p w14:paraId="231BF0A4" w14:textId="4B0D17E7"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87 362</w:t>
            </w:r>
          </w:p>
        </w:tc>
        <w:tc>
          <w:tcPr>
            <w:tcW w:w="782" w:type="pct"/>
            <w:tcBorders>
              <w:top w:val="nil"/>
              <w:left w:val="nil"/>
              <w:bottom w:val="nil"/>
              <w:right w:val="nil"/>
            </w:tcBorders>
            <w:shd w:val="clear" w:color="000000" w:fill="FFFFFF"/>
            <w:vAlign w:val="center"/>
          </w:tcPr>
          <w:p w14:paraId="01EB922F" w14:textId="505AC4F8"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80 223</w:t>
            </w:r>
          </w:p>
        </w:tc>
        <w:tc>
          <w:tcPr>
            <w:tcW w:w="703" w:type="pct"/>
            <w:tcBorders>
              <w:top w:val="nil"/>
              <w:left w:val="nil"/>
              <w:bottom w:val="nil"/>
              <w:right w:val="nil"/>
            </w:tcBorders>
            <w:shd w:val="clear" w:color="000000" w:fill="FFFFFF"/>
            <w:vAlign w:val="center"/>
          </w:tcPr>
          <w:p w14:paraId="4553B6F1" w14:textId="40DF2550"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7 139</w:t>
            </w:r>
          </w:p>
        </w:tc>
      </w:tr>
      <w:tr w:rsidR="00E8665B" w:rsidRPr="000033E2" w14:paraId="080B1001" w14:textId="77777777" w:rsidTr="00241F33">
        <w:trPr>
          <w:trHeight w:val="330"/>
          <w:jc w:val="center"/>
        </w:trPr>
        <w:tc>
          <w:tcPr>
            <w:tcW w:w="2853" w:type="pct"/>
            <w:tcBorders>
              <w:top w:val="nil"/>
              <w:left w:val="nil"/>
              <w:bottom w:val="single" w:sz="4" w:space="0" w:color="auto"/>
              <w:right w:val="nil"/>
            </w:tcBorders>
            <w:shd w:val="clear" w:color="000000" w:fill="FFFFFF"/>
            <w:vAlign w:val="center"/>
          </w:tcPr>
          <w:p w14:paraId="473CFF47" w14:textId="4BA74414" w:rsidR="00E8665B" w:rsidRPr="000033E2" w:rsidRDefault="00E8665B" w:rsidP="00E8665B">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 sociálne náklady</w:t>
            </w:r>
          </w:p>
        </w:tc>
        <w:tc>
          <w:tcPr>
            <w:tcW w:w="662" w:type="pct"/>
            <w:tcBorders>
              <w:top w:val="nil"/>
              <w:left w:val="nil"/>
              <w:bottom w:val="single" w:sz="4" w:space="0" w:color="auto"/>
              <w:right w:val="nil"/>
            </w:tcBorders>
            <w:shd w:val="clear" w:color="000000" w:fill="FFFFFF"/>
            <w:vAlign w:val="center"/>
          </w:tcPr>
          <w:p w14:paraId="0A1A2701" w14:textId="6AEBA12F"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43 171</w:t>
            </w:r>
          </w:p>
        </w:tc>
        <w:tc>
          <w:tcPr>
            <w:tcW w:w="782" w:type="pct"/>
            <w:tcBorders>
              <w:top w:val="nil"/>
              <w:left w:val="nil"/>
              <w:bottom w:val="single" w:sz="4" w:space="0" w:color="auto"/>
              <w:right w:val="nil"/>
            </w:tcBorders>
            <w:shd w:val="clear" w:color="000000" w:fill="FFFFFF"/>
            <w:vAlign w:val="center"/>
          </w:tcPr>
          <w:p w14:paraId="28570D88" w14:textId="6C9373D2"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13 190</w:t>
            </w:r>
          </w:p>
        </w:tc>
        <w:tc>
          <w:tcPr>
            <w:tcW w:w="703" w:type="pct"/>
            <w:tcBorders>
              <w:top w:val="nil"/>
              <w:left w:val="nil"/>
              <w:bottom w:val="single" w:sz="4" w:space="0" w:color="auto"/>
              <w:right w:val="nil"/>
            </w:tcBorders>
            <w:shd w:val="clear" w:color="000000" w:fill="FFFFFF"/>
            <w:vAlign w:val="center"/>
          </w:tcPr>
          <w:p w14:paraId="2EAEEEC7" w14:textId="6FCF20EB" w:rsidR="00E8665B" w:rsidRPr="000033E2" w:rsidRDefault="00E8665B" w:rsidP="00E8665B">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29 981</w:t>
            </w:r>
          </w:p>
        </w:tc>
      </w:tr>
      <w:tr w:rsidR="00E8665B" w:rsidRPr="00975467" w14:paraId="612C471F" w14:textId="77777777" w:rsidTr="00241F33">
        <w:trPr>
          <w:trHeight w:val="330"/>
          <w:jc w:val="center"/>
        </w:trPr>
        <w:tc>
          <w:tcPr>
            <w:tcW w:w="2853" w:type="pct"/>
            <w:tcBorders>
              <w:top w:val="single" w:sz="4" w:space="0" w:color="auto"/>
              <w:left w:val="nil"/>
              <w:bottom w:val="single" w:sz="4" w:space="0" w:color="000000"/>
              <w:right w:val="nil"/>
            </w:tcBorders>
            <w:shd w:val="clear" w:color="000000" w:fill="FFFFFF"/>
            <w:vAlign w:val="center"/>
          </w:tcPr>
          <w:p w14:paraId="2B71A352" w14:textId="782ECB48" w:rsidR="00E8665B" w:rsidRPr="000033E2" w:rsidRDefault="00E8665B" w:rsidP="00E8665B">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662" w:type="pct"/>
            <w:tcBorders>
              <w:top w:val="single" w:sz="4" w:space="0" w:color="auto"/>
              <w:left w:val="nil"/>
              <w:bottom w:val="single" w:sz="4" w:space="0" w:color="000000"/>
              <w:right w:val="nil"/>
            </w:tcBorders>
            <w:shd w:val="clear" w:color="000000" w:fill="FFFFFF"/>
            <w:vAlign w:val="center"/>
          </w:tcPr>
          <w:p w14:paraId="41935A07" w14:textId="3639895C" w:rsidR="00E8665B" w:rsidRPr="000033E2" w:rsidRDefault="00E8665B" w:rsidP="00E8665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11 977 660</w:t>
            </w:r>
          </w:p>
        </w:tc>
        <w:tc>
          <w:tcPr>
            <w:tcW w:w="782" w:type="pct"/>
            <w:tcBorders>
              <w:top w:val="single" w:sz="4" w:space="0" w:color="auto"/>
              <w:left w:val="nil"/>
              <w:bottom w:val="single" w:sz="4" w:space="0" w:color="000000"/>
              <w:right w:val="nil"/>
            </w:tcBorders>
            <w:shd w:val="clear" w:color="000000" w:fill="FFFFFF"/>
            <w:vAlign w:val="center"/>
          </w:tcPr>
          <w:p w14:paraId="4CF1A532" w14:textId="5857602B" w:rsidR="00E8665B" w:rsidRPr="000033E2" w:rsidRDefault="00E8665B" w:rsidP="00E8665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11 168 910</w:t>
            </w:r>
          </w:p>
        </w:tc>
        <w:tc>
          <w:tcPr>
            <w:tcW w:w="703" w:type="pct"/>
            <w:tcBorders>
              <w:top w:val="single" w:sz="4" w:space="0" w:color="auto"/>
              <w:left w:val="nil"/>
              <w:bottom w:val="single" w:sz="4" w:space="0" w:color="000000"/>
              <w:right w:val="nil"/>
            </w:tcBorders>
            <w:shd w:val="clear" w:color="000000" w:fill="FFFFFF"/>
            <w:vAlign w:val="center"/>
          </w:tcPr>
          <w:p w14:paraId="6D5B4328" w14:textId="2B1131FB" w:rsidR="00E8665B" w:rsidRPr="000033E2" w:rsidRDefault="00E8665B" w:rsidP="00E8665B">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808 750</w:t>
            </w:r>
          </w:p>
        </w:tc>
      </w:tr>
    </w:tbl>
    <w:p w14:paraId="7AB1582F" w14:textId="77777777" w:rsidR="00E8665B" w:rsidRPr="00D01DB2" w:rsidRDefault="00E8665B" w:rsidP="00E8665B">
      <w:pPr>
        <w:pStyle w:val="Pismenka"/>
        <w:tabs>
          <w:tab w:val="clear" w:pos="426"/>
        </w:tabs>
        <w:spacing w:after="120"/>
        <w:jc w:val="right"/>
        <w:rPr>
          <w:b w:val="0"/>
          <w:i/>
          <w:sz w:val="22"/>
          <w:szCs w:val="22"/>
          <w:u w:val="single"/>
        </w:rPr>
      </w:pPr>
      <w:r w:rsidRPr="00D01DB2">
        <w:rPr>
          <w:b w:val="0"/>
        </w:rPr>
        <w:t>Zdroj: MF SR, Centrálny konsolidačný systém</w:t>
      </w:r>
    </w:p>
    <w:p w14:paraId="1DB5C086" w14:textId="1CABD0DE" w:rsidR="005A629E" w:rsidRPr="00C66720" w:rsidRDefault="005A629E" w:rsidP="00402CF4">
      <w:pPr>
        <w:spacing w:before="240" w:after="120" w:line="240" w:lineRule="auto"/>
        <w:jc w:val="both"/>
        <w:rPr>
          <w:rFonts w:ascii="Times New Roman" w:hAnsi="Times New Roman"/>
          <w:bCs/>
          <w:szCs w:val="22"/>
        </w:rPr>
      </w:pPr>
      <w:r w:rsidRPr="00C66720">
        <w:rPr>
          <w:rFonts w:ascii="Times New Roman" w:hAnsi="Times New Roman"/>
          <w:bCs/>
          <w:szCs w:val="22"/>
        </w:rPr>
        <w:t xml:space="preserve">Osobné náklady tvorili najmä </w:t>
      </w:r>
      <w:r w:rsidRPr="00C66720">
        <w:rPr>
          <w:rFonts w:ascii="Times New Roman" w:hAnsi="Times New Roman"/>
          <w:bCs/>
          <w:szCs w:val="22"/>
          <w:u w:val="single"/>
        </w:rPr>
        <w:t>mzdové náklady</w:t>
      </w:r>
      <w:r w:rsidRPr="00C66720">
        <w:rPr>
          <w:rFonts w:ascii="Times New Roman" w:hAnsi="Times New Roman"/>
          <w:bCs/>
          <w:szCs w:val="22"/>
        </w:rPr>
        <w:t xml:space="preserve"> vo výške </w:t>
      </w:r>
      <w:r w:rsidR="00D1471C" w:rsidRPr="00C66720">
        <w:rPr>
          <w:rFonts w:ascii="Times New Roman" w:hAnsi="Times New Roman"/>
          <w:bCs/>
          <w:szCs w:val="22"/>
        </w:rPr>
        <w:t>8 863 456 tis. eur (2021</w:t>
      </w:r>
      <w:r w:rsidRPr="00C66720">
        <w:rPr>
          <w:rFonts w:ascii="Times New Roman" w:hAnsi="Times New Roman"/>
          <w:bCs/>
          <w:szCs w:val="22"/>
        </w:rPr>
        <w:t xml:space="preserve">: </w:t>
      </w:r>
      <w:r w:rsidR="00D1471C" w:rsidRPr="00C66720">
        <w:rPr>
          <w:rFonts w:ascii="Times New Roman" w:hAnsi="Times New Roman"/>
          <w:bCs/>
          <w:szCs w:val="22"/>
        </w:rPr>
        <w:t xml:space="preserve">8 304 748 </w:t>
      </w:r>
      <w:r w:rsidRPr="00C66720">
        <w:rPr>
          <w:rFonts w:ascii="Times New Roman" w:hAnsi="Times New Roman"/>
          <w:bCs/>
          <w:szCs w:val="22"/>
        </w:rPr>
        <w:t xml:space="preserve">tis. eur), </w:t>
      </w:r>
      <w:r w:rsidRPr="00C66720">
        <w:rPr>
          <w:rFonts w:ascii="Times New Roman" w:hAnsi="Times New Roman"/>
          <w:bCs/>
          <w:szCs w:val="22"/>
          <w:u w:val="single"/>
        </w:rPr>
        <w:t>zákonné sociálne poistenie</w:t>
      </w:r>
      <w:r w:rsidRPr="00C66720">
        <w:rPr>
          <w:rFonts w:ascii="Times New Roman" w:hAnsi="Times New Roman"/>
          <w:bCs/>
          <w:szCs w:val="22"/>
        </w:rPr>
        <w:t xml:space="preserve"> </w:t>
      </w:r>
      <w:r w:rsidR="00613E98" w:rsidRPr="00C66720">
        <w:rPr>
          <w:rFonts w:ascii="Times New Roman" w:hAnsi="Times New Roman"/>
          <w:bCs/>
          <w:szCs w:val="22"/>
        </w:rPr>
        <w:t>2 400 217 tis. eur (2021</w:t>
      </w:r>
      <w:r w:rsidRPr="00C66720">
        <w:rPr>
          <w:rFonts w:ascii="Times New Roman" w:hAnsi="Times New Roman"/>
          <w:bCs/>
          <w:szCs w:val="22"/>
        </w:rPr>
        <w:t xml:space="preserve">: </w:t>
      </w:r>
      <w:r w:rsidR="00613E98" w:rsidRPr="00C66720">
        <w:rPr>
          <w:rFonts w:ascii="Times New Roman" w:hAnsi="Times New Roman"/>
          <w:bCs/>
          <w:szCs w:val="22"/>
        </w:rPr>
        <w:t xml:space="preserve">2 251 797 </w:t>
      </w:r>
      <w:r w:rsidRPr="00C66720">
        <w:rPr>
          <w:rFonts w:ascii="Times New Roman" w:hAnsi="Times New Roman"/>
          <w:bCs/>
          <w:szCs w:val="22"/>
        </w:rPr>
        <w:t xml:space="preserve">tis. eur), </w:t>
      </w:r>
      <w:r w:rsidRPr="00C66720">
        <w:rPr>
          <w:rFonts w:ascii="Times New Roman" w:hAnsi="Times New Roman"/>
          <w:bCs/>
          <w:szCs w:val="22"/>
          <w:u w:val="single"/>
        </w:rPr>
        <w:t>zákonné sociálne náklady</w:t>
      </w:r>
      <w:r w:rsidRPr="00C66720">
        <w:rPr>
          <w:rFonts w:ascii="Times New Roman" w:hAnsi="Times New Roman"/>
          <w:bCs/>
          <w:szCs w:val="22"/>
        </w:rPr>
        <w:t xml:space="preserve"> </w:t>
      </w:r>
      <w:r w:rsidR="00F81D7F" w:rsidRPr="00C66720">
        <w:rPr>
          <w:rFonts w:ascii="Times New Roman" w:hAnsi="Times New Roman"/>
          <w:bCs/>
          <w:szCs w:val="22"/>
        </w:rPr>
        <w:br/>
      </w:r>
      <w:r w:rsidR="00613E98" w:rsidRPr="00C66720">
        <w:rPr>
          <w:rFonts w:ascii="Times New Roman" w:hAnsi="Times New Roman"/>
          <w:bCs/>
          <w:szCs w:val="22"/>
        </w:rPr>
        <w:t>583 454 tis. eur (2021</w:t>
      </w:r>
      <w:r w:rsidRPr="00C66720">
        <w:rPr>
          <w:rFonts w:ascii="Times New Roman" w:hAnsi="Times New Roman"/>
          <w:bCs/>
          <w:szCs w:val="22"/>
        </w:rPr>
        <w:t xml:space="preserve">: </w:t>
      </w:r>
      <w:r w:rsidR="00613E98" w:rsidRPr="00C66720">
        <w:rPr>
          <w:rFonts w:ascii="Times New Roman" w:hAnsi="Times New Roman"/>
          <w:bCs/>
          <w:szCs w:val="22"/>
        </w:rPr>
        <w:t xml:space="preserve">518 953 </w:t>
      </w:r>
      <w:r w:rsidRPr="00C66720">
        <w:rPr>
          <w:rFonts w:ascii="Times New Roman" w:hAnsi="Times New Roman"/>
          <w:bCs/>
          <w:szCs w:val="22"/>
        </w:rPr>
        <w:t>tis. eur) a </w:t>
      </w:r>
      <w:r w:rsidRPr="00C66720">
        <w:rPr>
          <w:rFonts w:ascii="Times New Roman" w:hAnsi="Times New Roman"/>
          <w:bCs/>
          <w:szCs w:val="22"/>
          <w:u w:val="single"/>
        </w:rPr>
        <w:t>ostatné sociálne poistenie a sociálne náklady</w:t>
      </w:r>
      <w:r w:rsidRPr="00C66720">
        <w:rPr>
          <w:rFonts w:ascii="Times New Roman" w:hAnsi="Times New Roman"/>
          <w:bCs/>
          <w:szCs w:val="22"/>
        </w:rPr>
        <w:t xml:space="preserve"> </w:t>
      </w:r>
      <w:r w:rsidR="008E043F" w:rsidRPr="00C66720">
        <w:rPr>
          <w:rFonts w:ascii="Times New Roman" w:hAnsi="Times New Roman"/>
          <w:bCs/>
          <w:szCs w:val="22"/>
        </w:rPr>
        <w:t>130 533</w:t>
      </w:r>
      <w:r w:rsidRPr="00C66720">
        <w:rPr>
          <w:rFonts w:ascii="Times New Roman" w:hAnsi="Times New Roman"/>
          <w:bCs/>
          <w:szCs w:val="22"/>
        </w:rPr>
        <w:t xml:space="preserve"> tis. eur (20</w:t>
      </w:r>
      <w:r w:rsidR="008E043F" w:rsidRPr="00C66720">
        <w:rPr>
          <w:rFonts w:ascii="Times New Roman" w:hAnsi="Times New Roman"/>
          <w:bCs/>
          <w:szCs w:val="22"/>
        </w:rPr>
        <w:t>21</w:t>
      </w:r>
      <w:r w:rsidRPr="00C66720">
        <w:rPr>
          <w:rFonts w:ascii="Times New Roman" w:hAnsi="Times New Roman"/>
          <w:bCs/>
          <w:szCs w:val="22"/>
        </w:rPr>
        <w:t xml:space="preserve">: </w:t>
      </w:r>
      <w:r w:rsidR="008E043F" w:rsidRPr="00C66720">
        <w:rPr>
          <w:rFonts w:ascii="Times New Roman" w:hAnsi="Times New Roman"/>
          <w:bCs/>
          <w:szCs w:val="22"/>
        </w:rPr>
        <w:t xml:space="preserve">93 412 </w:t>
      </w:r>
      <w:r w:rsidRPr="00C66720">
        <w:rPr>
          <w:rFonts w:ascii="Times New Roman" w:hAnsi="Times New Roman"/>
          <w:bCs/>
          <w:szCs w:val="22"/>
        </w:rPr>
        <w:t xml:space="preserve">tis. eur). Všetky zložky osobných nákladov celkovo medziročne vzrástli </w:t>
      </w:r>
      <w:r w:rsidR="007E3DF2" w:rsidRPr="00C66720">
        <w:rPr>
          <w:rFonts w:ascii="Times New Roman" w:hAnsi="Times New Roman"/>
          <w:bCs/>
          <w:szCs w:val="22"/>
        </w:rPr>
        <w:br/>
      </w:r>
      <w:r w:rsidRPr="00C66720">
        <w:rPr>
          <w:rFonts w:ascii="Times New Roman" w:hAnsi="Times New Roman"/>
          <w:bCs/>
          <w:szCs w:val="22"/>
        </w:rPr>
        <w:t>o</w:t>
      </w:r>
      <w:r w:rsidR="007E3DF2" w:rsidRPr="00C66720">
        <w:rPr>
          <w:rFonts w:ascii="Times New Roman" w:hAnsi="Times New Roman"/>
          <w:bCs/>
          <w:szCs w:val="22"/>
        </w:rPr>
        <w:t> </w:t>
      </w:r>
      <w:r w:rsidR="00FE1FC1" w:rsidRPr="00C66720">
        <w:rPr>
          <w:rFonts w:ascii="Times New Roman" w:hAnsi="Times New Roman"/>
          <w:bCs/>
          <w:szCs w:val="22"/>
        </w:rPr>
        <w:t>808 750</w:t>
      </w:r>
      <w:r w:rsidRPr="00C66720">
        <w:rPr>
          <w:rFonts w:ascii="Times New Roman" w:hAnsi="Times New Roman"/>
          <w:bCs/>
          <w:szCs w:val="22"/>
        </w:rPr>
        <w:t xml:space="preserve"> tis. eur.</w:t>
      </w:r>
    </w:p>
    <w:p w14:paraId="60A78562" w14:textId="3B64B7C9" w:rsidR="005A629E" w:rsidRPr="00C66720" w:rsidRDefault="005A629E" w:rsidP="000F5743">
      <w:pPr>
        <w:spacing w:before="120" w:after="120" w:line="240" w:lineRule="auto"/>
        <w:jc w:val="both"/>
        <w:rPr>
          <w:rFonts w:ascii="Times New Roman" w:hAnsi="Times New Roman"/>
          <w:bCs/>
          <w:szCs w:val="22"/>
        </w:rPr>
      </w:pPr>
      <w:r w:rsidRPr="00C66720">
        <w:rPr>
          <w:rFonts w:ascii="Times New Roman" w:hAnsi="Times New Roman"/>
          <w:bCs/>
          <w:szCs w:val="22"/>
        </w:rPr>
        <w:t>Vzhľadom na počet zamestnancov v jednotlivých skupinách subjektov súhrnného celku vykazuje ústredná správa celkové osobné náklady (vrátane zákonného a ostatného poistenia) vo výške</w:t>
      </w:r>
      <w:r w:rsidRPr="00C66720">
        <w:rPr>
          <w:rFonts w:ascii="Times New Roman" w:hAnsi="Times New Roman"/>
          <w:bCs/>
          <w:szCs w:val="22"/>
        </w:rPr>
        <w:br/>
      </w:r>
      <w:r w:rsidR="00451121" w:rsidRPr="00C66720">
        <w:rPr>
          <w:rFonts w:ascii="Times New Roman" w:hAnsi="Times New Roman"/>
          <w:bCs/>
          <w:szCs w:val="22"/>
        </w:rPr>
        <w:t xml:space="preserve">6 418 004 </w:t>
      </w:r>
      <w:r w:rsidRPr="00C66720">
        <w:rPr>
          <w:rFonts w:ascii="Times New Roman" w:hAnsi="Times New Roman"/>
          <w:bCs/>
          <w:szCs w:val="22"/>
        </w:rPr>
        <w:t>tis. eur, čo je medziročne viac o</w:t>
      </w:r>
      <w:r w:rsidR="009C04BB" w:rsidRPr="00C66720">
        <w:rPr>
          <w:rFonts w:ascii="Times New Roman" w:hAnsi="Times New Roman"/>
          <w:bCs/>
          <w:szCs w:val="22"/>
        </w:rPr>
        <w:t> 388 634</w:t>
      </w:r>
      <w:r w:rsidRPr="00C66720">
        <w:rPr>
          <w:rFonts w:ascii="Times New Roman" w:hAnsi="Times New Roman"/>
          <w:bCs/>
          <w:szCs w:val="22"/>
        </w:rPr>
        <w:t xml:space="preserve"> tis. eur, pričom tieto náklady sú vrátane aj všetkých obchodných spoločností štátu.</w:t>
      </w:r>
    </w:p>
    <w:p w14:paraId="568EAE53" w14:textId="6692D3CE" w:rsidR="005A629E" w:rsidRPr="00C66720" w:rsidRDefault="005A629E" w:rsidP="000F5743">
      <w:pPr>
        <w:spacing w:before="120" w:after="120" w:line="240" w:lineRule="auto"/>
        <w:jc w:val="both"/>
        <w:rPr>
          <w:rFonts w:ascii="Times New Roman" w:hAnsi="Times New Roman"/>
          <w:bCs/>
          <w:szCs w:val="22"/>
        </w:rPr>
      </w:pPr>
      <w:r w:rsidRPr="00C66720">
        <w:rPr>
          <w:rFonts w:ascii="Times New Roman" w:hAnsi="Times New Roman"/>
          <w:bCs/>
          <w:szCs w:val="22"/>
        </w:rPr>
        <w:t xml:space="preserve">Osobné náklady štátnych obchodných spoločností a štátnych podnikov medziročne vzrástli </w:t>
      </w:r>
      <w:r w:rsidR="00CA5FA2" w:rsidRPr="00C66720">
        <w:rPr>
          <w:rFonts w:ascii="Times New Roman" w:hAnsi="Times New Roman"/>
          <w:bCs/>
          <w:szCs w:val="22"/>
        </w:rPr>
        <w:br/>
      </w:r>
      <w:r w:rsidRPr="00C66720">
        <w:rPr>
          <w:rFonts w:ascii="Times New Roman" w:hAnsi="Times New Roman"/>
          <w:bCs/>
          <w:szCs w:val="22"/>
        </w:rPr>
        <w:t>o</w:t>
      </w:r>
      <w:r w:rsidR="00FA734C" w:rsidRPr="00C66720">
        <w:rPr>
          <w:rFonts w:ascii="Times New Roman" w:hAnsi="Times New Roman"/>
          <w:bCs/>
          <w:szCs w:val="22"/>
        </w:rPr>
        <w:t> </w:t>
      </w:r>
      <w:r w:rsidR="00DD66F3" w:rsidRPr="00C66720">
        <w:rPr>
          <w:rFonts w:ascii="Times New Roman" w:hAnsi="Times New Roman"/>
          <w:bCs/>
          <w:szCs w:val="22"/>
        </w:rPr>
        <w:t>118 222</w:t>
      </w:r>
      <w:r w:rsidRPr="00C66720">
        <w:rPr>
          <w:rFonts w:ascii="Times New Roman" w:hAnsi="Times New Roman"/>
          <w:bCs/>
          <w:szCs w:val="22"/>
        </w:rPr>
        <w:t xml:space="preserve"> tis. eur a celkovo dosiahli </w:t>
      </w:r>
      <w:r w:rsidR="00DD66F3" w:rsidRPr="00C66720">
        <w:rPr>
          <w:rFonts w:ascii="Times New Roman" w:hAnsi="Times New Roman"/>
          <w:bCs/>
          <w:szCs w:val="22"/>
        </w:rPr>
        <w:t>1 465 748</w:t>
      </w:r>
      <w:r w:rsidRPr="00C66720">
        <w:rPr>
          <w:rFonts w:ascii="Times New Roman" w:hAnsi="Times New Roman"/>
          <w:bCs/>
          <w:szCs w:val="22"/>
        </w:rPr>
        <w:t xml:space="preserve"> tis. eur.</w:t>
      </w:r>
    </w:p>
    <w:p w14:paraId="3AC28CE1" w14:textId="746F29CC" w:rsidR="005A629E" w:rsidRPr="00C66720" w:rsidRDefault="005A629E" w:rsidP="00105C75">
      <w:pPr>
        <w:spacing w:before="120" w:after="240" w:line="240" w:lineRule="auto"/>
        <w:jc w:val="both"/>
        <w:rPr>
          <w:rFonts w:ascii="Times New Roman" w:hAnsi="Times New Roman"/>
          <w:bCs/>
          <w:szCs w:val="22"/>
        </w:rPr>
      </w:pPr>
      <w:r w:rsidRPr="00C66720">
        <w:rPr>
          <w:rFonts w:ascii="Times New Roman" w:hAnsi="Times New Roman"/>
          <w:bCs/>
          <w:szCs w:val="22"/>
        </w:rPr>
        <w:t>Zvyšovanie miezd pracovníkov vo verejnej správe sa dotklo aj územnej samosprávy. Obce a ich rozpočtové</w:t>
      </w:r>
      <w:r w:rsidR="00835348" w:rsidRPr="00C66720">
        <w:rPr>
          <w:rFonts w:ascii="Times New Roman" w:hAnsi="Times New Roman"/>
          <w:bCs/>
          <w:szCs w:val="22"/>
        </w:rPr>
        <w:t>,</w:t>
      </w:r>
      <w:r w:rsidRPr="00C66720">
        <w:rPr>
          <w:rFonts w:ascii="Times New Roman" w:hAnsi="Times New Roman"/>
          <w:bCs/>
          <w:szCs w:val="22"/>
        </w:rPr>
        <w:t xml:space="preserve"> príspevkové organizácie </w:t>
      </w:r>
      <w:r w:rsidR="00835348" w:rsidRPr="00C66720">
        <w:rPr>
          <w:rFonts w:ascii="Times New Roman" w:hAnsi="Times New Roman"/>
          <w:bCs/>
          <w:szCs w:val="22"/>
        </w:rPr>
        <w:t xml:space="preserve">a obchodné spoločnosti </w:t>
      </w:r>
      <w:r w:rsidRPr="00C66720">
        <w:rPr>
          <w:rFonts w:ascii="Times New Roman" w:hAnsi="Times New Roman"/>
          <w:bCs/>
          <w:szCs w:val="22"/>
        </w:rPr>
        <w:t xml:space="preserve">dosiahli osobné náklady vo výške </w:t>
      </w:r>
      <w:r w:rsidR="00E173CB">
        <w:rPr>
          <w:rFonts w:ascii="Times New Roman" w:hAnsi="Times New Roman"/>
          <w:bCs/>
          <w:szCs w:val="22"/>
        </w:rPr>
        <w:br/>
      </w:r>
      <w:r w:rsidR="000217CE" w:rsidRPr="00C66720">
        <w:rPr>
          <w:rFonts w:ascii="Times New Roman" w:hAnsi="Times New Roman"/>
          <w:bCs/>
          <w:szCs w:val="22"/>
        </w:rPr>
        <w:t>3 452 376</w:t>
      </w:r>
      <w:r w:rsidRPr="00C66720">
        <w:rPr>
          <w:rFonts w:ascii="Times New Roman" w:hAnsi="Times New Roman"/>
          <w:bCs/>
          <w:szCs w:val="22"/>
        </w:rPr>
        <w:t xml:space="preserve"> tis. eur, a zaznamenali rast o</w:t>
      </w:r>
      <w:r w:rsidR="000217CE" w:rsidRPr="00C66720">
        <w:rPr>
          <w:rFonts w:ascii="Times New Roman" w:hAnsi="Times New Roman"/>
          <w:bCs/>
          <w:szCs w:val="22"/>
        </w:rPr>
        <w:t> 285 947</w:t>
      </w:r>
      <w:r w:rsidRPr="00C66720">
        <w:rPr>
          <w:rFonts w:ascii="Times New Roman" w:hAnsi="Times New Roman"/>
          <w:bCs/>
          <w:szCs w:val="22"/>
        </w:rPr>
        <w:t xml:space="preserve"> tis. eur.</w:t>
      </w:r>
      <w:r w:rsidR="00835348" w:rsidRPr="00C66720">
        <w:rPr>
          <w:rFonts w:ascii="Times New Roman" w:hAnsi="Times New Roman"/>
          <w:bCs/>
          <w:szCs w:val="22"/>
        </w:rPr>
        <w:t xml:space="preserve"> V prípade vyšších územných celkov to predstavovalo objem osobných nákladov 1 150 757 tis. eur s medziročným nárastom o 55 039 tis. eur.</w:t>
      </w:r>
    </w:p>
    <w:p w14:paraId="193A046F" w14:textId="22E4BA53" w:rsidR="00E631D0" w:rsidRPr="00C66720" w:rsidRDefault="00E631D0" w:rsidP="00D043B6">
      <w:pPr>
        <w:pStyle w:val="Pismenka"/>
        <w:numPr>
          <w:ilvl w:val="0"/>
          <w:numId w:val="44"/>
        </w:numPr>
        <w:spacing w:before="120" w:after="120"/>
        <w:ind w:left="284" w:hanging="284"/>
        <w:rPr>
          <w:i/>
          <w:sz w:val="22"/>
          <w:szCs w:val="22"/>
          <w:u w:val="single"/>
        </w:rPr>
      </w:pPr>
      <w:bookmarkStart w:id="78" w:name="_Ref86186556"/>
      <w:r w:rsidRPr="00C66720">
        <w:rPr>
          <w:i/>
          <w:sz w:val="22"/>
          <w:szCs w:val="22"/>
          <w:u w:val="single"/>
        </w:rPr>
        <w:t>Mzd</w:t>
      </w:r>
      <w:r w:rsidR="001C4081" w:rsidRPr="00C66720">
        <w:rPr>
          <w:i/>
          <w:sz w:val="22"/>
          <w:szCs w:val="22"/>
          <w:u w:val="single"/>
        </w:rPr>
        <w:t>ové náklady</w:t>
      </w:r>
      <w:bookmarkEnd w:id="78"/>
    </w:p>
    <w:p w14:paraId="382A9BB8" w14:textId="7B88B945" w:rsidR="00251F65" w:rsidRPr="00C66720" w:rsidRDefault="00AD4C69" w:rsidP="000F5743">
      <w:pPr>
        <w:spacing w:before="120" w:after="120" w:line="240" w:lineRule="auto"/>
        <w:jc w:val="both"/>
        <w:rPr>
          <w:rFonts w:ascii="Times New Roman" w:hAnsi="Times New Roman"/>
          <w:bCs/>
          <w:szCs w:val="22"/>
        </w:rPr>
      </w:pPr>
      <w:r w:rsidRPr="00C66720">
        <w:rPr>
          <w:rFonts w:ascii="Times New Roman" w:hAnsi="Times New Roman"/>
          <w:bCs/>
          <w:szCs w:val="22"/>
        </w:rPr>
        <w:t xml:space="preserve">Náklady subjektov súhrnného celku na mzdy, platy a iné formy odmeňovania dosiahli </w:t>
      </w:r>
      <w:r w:rsidR="00A23FF9" w:rsidRPr="00C66720">
        <w:rPr>
          <w:rFonts w:ascii="Times New Roman" w:hAnsi="Times New Roman"/>
          <w:bCs/>
          <w:szCs w:val="22"/>
        </w:rPr>
        <w:t>8 863 456</w:t>
      </w:r>
      <w:r w:rsidR="00B809A8" w:rsidRPr="00C66720">
        <w:rPr>
          <w:rFonts w:ascii="Times New Roman" w:hAnsi="Times New Roman"/>
          <w:bCs/>
          <w:szCs w:val="22"/>
        </w:rPr>
        <w:t xml:space="preserve"> tis. eur a boli o</w:t>
      </w:r>
      <w:r w:rsidR="0017664F" w:rsidRPr="00C66720">
        <w:rPr>
          <w:rFonts w:ascii="Times New Roman" w:hAnsi="Times New Roman"/>
          <w:bCs/>
          <w:szCs w:val="22"/>
        </w:rPr>
        <w:t> 558 708 tis. eur vyššie ako v roku 2021</w:t>
      </w:r>
      <w:r w:rsidR="00B809A8" w:rsidRPr="00C66720">
        <w:rPr>
          <w:rFonts w:ascii="Times New Roman" w:hAnsi="Times New Roman"/>
          <w:bCs/>
          <w:szCs w:val="22"/>
        </w:rPr>
        <w:t xml:space="preserve">. </w:t>
      </w:r>
      <w:r w:rsidR="00282444" w:rsidRPr="00C66720">
        <w:rPr>
          <w:rFonts w:ascii="Times New Roman" w:hAnsi="Times New Roman"/>
          <w:bCs/>
          <w:szCs w:val="22"/>
        </w:rPr>
        <w:t>Vzhľadom na celkový počet zamestnancov sú najvyššie v ústrednej správe (</w:t>
      </w:r>
      <w:r w:rsidR="00C4332D" w:rsidRPr="00C66720">
        <w:rPr>
          <w:rFonts w:ascii="Times New Roman" w:hAnsi="Times New Roman"/>
          <w:bCs/>
          <w:szCs w:val="22"/>
        </w:rPr>
        <w:t>4 908 459</w:t>
      </w:r>
      <w:r w:rsidR="00282444" w:rsidRPr="00C66720">
        <w:rPr>
          <w:rFonts w:ascii="Times New Roman" w:hAnsi="Times New Roman"/>
          <w:bCs/>
          <w:szCs w:val="22"/>
        </w:rPr>
        <w:t xml:space="preserve"> tis. eur) a územnej samospráve (obce </w:t>
      </w:r>
      <w:r w:rsidR="00C4332D" w:rsidRPr="00C66720">
        <w:rPr>
          <w:rFonts w:ascii="Times New Roman" w:hAnsi="Times New Roman"/>
          <w:bCs/>
          <w:szCs w:val="22"/>
        </w:rPr>
        <w:t>2 456 929</w:t>
      </w:r>
      <w:r w:rsidR="00B809A8" w:rsidRPr="00C66720">
        <w:rPr>
          <w:rFonts w:ascii="Times New Roman" w:hAnsi="Times New Roman"/>
          <w:bCs/>
          <w:szCs w:val="22"/>
        </w:rPr>
        <w:t xml:space="preserve"> </w:t>
      </w:r>
      <w:r w:rsidR="00282444" w:rsidRPr="00C66720">
        <w:rPr>
          <w:rFonts w:ascii="Times New Roman" w:hAnsi="Times New Roman"/>
          <w:bCs/>
          <w:szCs w:val="22"/>
        </w:rPr>
        <w:t xml:space="preserve">tis. eur, VUC </w:t>
      </w:r>
      <w:r w:rsidR="00CA5FA2" w:rsidRPr="00C66720">
        <w:rPr>
          <w:rFonts w:ascii="Times New Roman" w:hAnsi="Times New Roman"/>
          <w:bCs/>
          <w:color w:val="FF0000"/>
          <w:szCs w:val="22"/>
          <w:highlight w:val="yellow"/>
        </w:rPr>
        <w:br/>
      </w:r>
      <w:r w:rsidR="00C4332D" w:rsidRPr="00C66720">
        <w:rPr>
          <w:rFonts w:ascii="Times New Roman" w:hAnsi="Times New Roman"/>
          <w:bCs/>
          <w:szCs w:val="22"/>
        </w:rPr>
        <w:t>817 690</w:t>
      </w:r>
      <w:r w:rsidR="00282444" w:rsidRPr="00C66720">
        <w:rPr>
          <w:rFonts w:ascii="Times New Roman" w:hAnsi="Times New Roman"/>
          <w:bCs/>
          <w:szCs w:val="22"/>
        </w:rPr>
        <w:t xml:space="preserve"> tis. eur). Ostatné subjekty verejnej správy vykazujú mzdové náklady vo výške </w:t>
      </w:r>
      <w:r w:rsidR="00227005" w:rsidRPr="00C66720">
        <w:rPr>
          <w:rFonts w:ascii="Times New Roman" w:hAnsi="Times New Roman"/>
          <w:bCs/>
          <w:szCs w:val="22"/>
        </w:rPr>
        <w:t>680 377</w:t>
      </w:r>
      <w:r w:rsidR="00282444" w:rsidRPr="00C66720">
        <w:rPr>
          <w:rFonts w:ascii="Times New Roman" w:hAnsi="Times New Roman"/>
          <w:bCs/>
          <w:szCs w:val="22"/>
        </w:rPr>
        <w:t xml:space="preserve"> tis. eur. Najväčší nárast bol zaznamenaný opäť v ústrednej správe (o </w:t>
      </w:r>
      <w:r w:rsidR="00227005" w:rsidRPr="00C66720">
        <w:rPr>
          <w:rFonts w:ascii="Times New Roman" w:hAnsi="Times New Roman"/>
          <w:bCs/>
          <w:szCs w:val="22"/>
        </w:rPr>
        <w:t>272 778</w:t>
      </w:r>
      <w:r w:rsidR="00282444" w:rsidRPr="00C66720">
        <w:rPr>
          <w:rFonts w:ascii="Times New Roman" w:hAnsi="Times New Roman"/>
          <w:bCs/>
          <w:szCs w:val="22"/>
        </w:rPr>
        <w:t xml:space="preserve"> tis. eur), ktorý možno pripísať </w:t>
      </w:r>
      <w:r w:rsidR="003F0373" w:rsidRPr="00C66720">
        <w:rPr>
          <w:rFonts w:ascii="Times New Roman" w:hAnsi="Times New Roman"/>
          <w:bCs/>
          <w:szCs w:val="22"/>
        </w:rPr>
        <w:t>najmä</w:t>
      </w:r>
      <w:r w:rsidR="00CE4B31" w:rsidRPr="00C66720">
        <w:rPr>
          <w:rFonts w:ascii="Times New Roman" w:hAnsi="Times New Roman"/>
          <w:bCs/>
          <w:szCs w:val="22"/>
        </w:rPr>
        <w:t xml:space="preserve"> </w:t>
      </w:r>
      <w:r w:rsidR="00251F65" w:rsidRPr="00C66720">
        <w:rPr>
          <w:rFonts w:ascii="Times New Roman" w:hAnsi="Times New Roman"/>
          <w:bCs/>
          <w:szCs w:val="22"/>
        </w:rPr>
        <w:t xml:space="preserve">plneniu Dodatku č. 1 ku Kolektívne zmluve vyššieho stupňa pre zamestnávateľov, ktorí pri odmeňovaní postupujú podľa zákona č. 553/2003 Z. z. o odmeňovaní niektorých zamestnancov pri výkone práce vo verejnom záujme na rok 2022, v ktorých sa za podmienok ustanovených v predmetných dodatkoch dohodlo vyplatenie odmeny na úrovni 500 eur pre zamestnanca. Zamestnancom rozpočtových organizácií štátneho rozpočtu boli vyplatené 500 eurové odmeny v celkovej výške </w:t>
      </w:r>
      <w:r w:rsidR="002429C3" w:rsidRPr="00C66720">
        <w:rPr>
          <w:rFonts w:ascii="Times New Roman" w:hAnsi="Times New Roman"/>
          <w:bCs/>
          <w:szCs w:val="22"/>
        </w:rPr>
        <w:br/>
      </w:r>
      <w:r w:rsidR="00251F65" w:rsidRPr="00C66720">
        <w:rPr>
          <w:rFonts w:ascii="Times New Roman" w:hAnsi="Times New Roman"/>
          <w:bCs/>
          <w:szCs w:val="22"/>
        </w:rPr>
        <w:t>47 989 tis. eur.</w:t>
      </w:r>
      <w:r w:rsidR="00215B33" w:rsidRPr="00C66720">
        <w:rPr>
          <w:rFonts w:ascii="Times New Roman" w:hAnsi="Times New Roman"/>
          <w:bCs/>
          <w:szCs w:val="22"/>
        </w:rPr>
        <w:t xml:space="preserve"> Z dôvodu personálneho zabezpečenia činností jednotlivých kapitol štátneho rozpočtu boli zvýšené mzdové výdavky o 28 587 tis. eur, z toho napríklad na zvýšenie systematizácie profesionálnych vojakov v kapitole Ministerstva obrany SR v sume 18 778 tis. eur a na zlepšenie </w:t>
      </w:r>
      <w:r w:rsidR="00215B33" w:rsidRPr="00C66720">
        <w:rPr>
          <w:rFonts w:ascii="Times New Roman" w:hAnsi="Times New Roman"/>
          <w:bCs/>
          <w:szCs w:val="22"/>
        </w:rPr>
        <w:lastRenderedPageBreak/>
        <w:t xml:space="preserve">odmeňovania zamestnancov kapitoly Ministerstva práce, sociálnych vecí a rodiny SR v sume </w:t>
      </w:r>
      <w:r w:rsidR="00E173CB">
        <w:rPr>
          <w:rFonts w:ascii="Times New Roman" w:hAnsi="Times New Roman"/>
          <w:bCs/>
          <w:szCs w:val="22"/>
        </w:rPr>
        <w:br/>
      </w:r>
      <w:r w:rsidR="00215B33" w:rsidRPr="00C66720">
        <w:rPr>
          <w:rFonts w:ascii="Times New Roman" w:hAnsi="Times New Roman"/>
          <w:bCs/>
          <w:szCs w:val="22"/>
        </w:rPr>
        <w:t>4 027 tis. eur. V súvislosti s medziročným rastom priemernej mesačnej nominálnej mzdy zamestnanca v národnom hospodárstve boli v kapitolách štátneho rozpočtu vyššie mzdové výdavky o 6 011 tis. eur a z dôvodu zabezpečenia pomoci občanom Ukrajiny utekajúcim pred vypuknutým vojnovým konfliktom o 6 719 tis. eur (napr. na Ministerstve vnútra SR a Ministerstve práce, sociálnych vecí a rodiny SR.</w:t>
      </w:r>
    </w:p>
    <w:p w14:paraId="6B7C945D" w14:textId="29B5C31B" w:rsidR="00912328" w:rsidRPr="00C66720" w:rsidRDefault="00912328" w:rsidP="000F5743">
      <w:pPr>
        <w:spacing w:before="120" w:after="120" w:line="240" w:lineRule="auto"/>
        <w:jc w:val="both"/>
        <w:rPr>
          <w:rFonts w:ascii="Times New Roman" w:hAnsi="Times New Roman"/>
          <w:bCs/>
          <w:szCs w:val="22"/>
        </w:rPr>
      </w:pPr>
      <w:r w:rsidRPr="00C66720">
        <w:rPr>
          <w:rFonts w:ascii="Times New Roman" w:hAnsi="Times New Roman"/>
          <w:bCs/>
          <w:szCs w:val="22"/>
        </w:rPr>
        <w:t xml:space="preserve">Mzdové náklady štátnych obchodných spoločností a štátnych podnikov dosiahli </w:t>
      </w:r>
      <w:r w:rsidR="00227005" w:rsidRPr="00C66720">
        <w:rPr>
          <w:rFonts w:ascii="Times New Roman" w:hAnsi="Times New Roman"/>
          <w:bCs/>
          <w:szCs w:val="22"/>
        </w:rPr>
        <w:t>1 048 275</w:t>
      </w:r>
      <w:r w:rsidRPr="00C66720">
        <w:rPr>
          <w:rFonts w:ascii="Times New Roman" w:hAnsi="Times New Roman"/>
          <w:bCs/>
          <w:szCs w:val="22"/>
        </w:rPr>
        <w:t xml:space="preserve"> tis</w:t>
      </w:r>
      <w:r w:rsidR="00227005" w:rsidRPr="00C66720">
        <w:rPr>
          <w:rFonts w:ascii="Times New Roman" w:hAnsi="Times New Roman"/>
          <w:bCs/>
          <w:szCs w:val="22"/>
        </w:rPr>
        <w:t>. eur a v porovnaní s rokom 2021</w:t>
      </w:r>
      <w:r w:rsidRPr="00C66720">
        <w:rPr>
          <w:rFonts w:ascii="Times New Roman" w:hAnsi="Times New Roman"/>
          <w:bCs/>
          <w:szCs w:val="22"/>
        </w:rPr>
        <w:t xml:space="preserve"> boli vyššie o</w:t>
      </w:r>
      <w:r w:rsidR="00227005" w:rsidRPr="00C66720">
        <w:rPr>
          <w:rFonts w:ascii="Times New Roman" w:hAnsi="Times New Roman"/>
          <w:bCs/>
          <w:szCs w:val="22"/>
        </w:rPr>
        <w:t> 79 865</w:t>
      </w:r>
      <w:r w:rsidRPr="00C66720">
        <w:rPr>
          <w:rFonts w:ascii="Times New Roman" w:hAnsi="Times New Roman"/>
          <w:bCs/>
          <w:szCs w:val="22"/>
        </w:rPr>
        <w:t xml:space="preserve"> tis. eur.</w:t>
      </w:r>
    </w:p>
    <w:p w14:paraId="6166667C" w14:textId="5E29C73B" w:rsidR="009C45A9" w:rsidRPr="00C66720" w:rsidRDefault="009C45A9" w:rsidP="007A01AC">
      <w:pPr>
        <w:spacing w:before="120" w:after="240" w:line="240" w:lineRule="auto"/>
        <w:jc w:val="both"/>
        <w:rPr>
          <w:rFonts w:ascii="Times New Roman" w:hAnsi="Times New Roman"/>
          <w:bCs/>
          <w:szCs w:val="22"/>
        </w:rPr>
      </w:pPr>
      <w:r w:rsidRPr="00C66720">
        <w:rPr>
          <w:rFonts w:ascii="Times New Roman" w:hAnsi="Times New Roman"/>
          <w:bCs/>
          <w:szCs w:val="22"/>
        </w:rPr>
        <w:t>Zvyšovanie miezd pracovníkov vo verejnej správe sa dotklo aj územnej samosprávy. Obce a ich rozpočtové</w:t>
      </w:r>
      <w:r w:rsidR="005F2F86" w:rsidRPr="00C66720">
        <w:rPr>
          <w:rFonts w:ascii="Times New Roman" w:hAnsi="Times New Roman"/>
          <w:bCs/>
          <w:szCs w:val="22"/>
        </w:rPr>
        <w:t>,</w:t>
      </w:r>
      <w:r w:rsidRPr="00C66720">
        <w:rPr>
          <w:rFonts w:ascii="Times New Roman" w:hAnsi="Times New Roman"/>
          <w:bCs/>
          <w:szCs w:val="22"/>
        </w:rPr>
        <w:t> príspevkové</w:t>
      </w:r>
      <w:r w:rsidR="005F2F86" w:rsidRPr="00C66720">
        <w:rPr>
          <w:rFonts w:ascii="Times New Roman" w:hAnsi="Times New Roman"/>
          <w:bCs/>
          <w:szCs w:val="22"/>
        </w:rPr>
        <w:t xml:space="preserve"> </w:t>
      </w:r>
      <w:r w:rsidRPr="00C66720">
        <w:rPr>
          <w:rFonts w:ascii="Times New Roman" w:hAnsi="Times New Roman"/>
          <w:bCs/>
          <w:szCs w:val="22"/>
        </w:rPr>
        <w:t>organizácie</w:t>
      </w:r>
      <w:r w:rsidR="005F2F86" w:rsidRPr="00C66720">
        <w:rPr>
          <w:rFonts w:ascii="Times New Roman" w:hAnsi="Times New Roman"/>
          <w:bCs/>
          <w:szCs w:val="22"/>
        </w:rPr>
        <w:t xml:space="preserve"> a obchodné spoločnosti</w:t>
      </w:r>
      <w:r w:rsidRPr="00C66720">
        <w:rPr>
          <w:rFonts w:ascii="Times New Roman" w:hAnsi="Times New Roman"/>
          <w:bCs/>
          <w:szCs w:val="22"/>
        </w:rPr>
        <w:t xml:space="preserve"> dosiahli nárast miezd o</w:t>
      </w:r>
      <w:r w:rsidR="005F2F86" w:rsidRPr="00C66720">
        <w:rPr>
          <w:rFonts w:ascii="Times New Roman" w:hAnsi="Times New Roman"/>
          <w:bCs/>
          <w:szCs w:val="22"/>
        </w:rPr>
        <w:t> 195 103</w:t>
      </w:r>
      <w:r w:rsidR="00B75389" w:rsidRPr="00C66720">
        <w:rPr>
          <w:rFonts w:ascii="Times New Roman" w:hAnsi="Times New Roman"/>
          <w:bCs/>
          <w:szCs w:val="22"/>
        </w:rPr>
        <w:t xml:space="preserve"> </w:t>
      </w:r>
      <w:r w:rsidRPr="00C66720">
        <w:rPr>
          <w:rFonts w:ascii="Times New Roman" w:hAnsi="Times New Roman"/>
          <w:bCs/>
          <w:szCs w:val="22"/>
        </w:rPr>
        <w:t>tis. eur a boli na úrovni</w:t>
      </w:r>
      <w:r w:rsidR="005F2F86" w:rsidRPr="00C66720">
        <w:rPr>
          <w:rFonts w:ascii="Times New Roman" w:hAnsi="Times New Roman"/>
          <w:bCs/>
          <w:szCs w:val="22"/>
        </w:rPr>
        <w:t xml:space="preserve"> 2 456 929</w:t>
      </w:r>
      <w:r w:rsidRPr="00C66720">
        <w:rPr>
          <w:rFonts w:ascii="Times New Roman" w:hAnsi="Times New Roman"/>
          <w:bCs/>
          <w:szCs w:val="22"/>
        </w:rPr>
        <w:t xml:space="preserve"> tis. eur.</w:t>
      </w:r>
    </w:p>
    <w:p w14:paraId="5B0460CC" w14:textId="0809D7DB" w:rsidR="00D53E1A" w:rsidRPr="00C66720" w:rsidRDefault="00D53E1A" w:rsidP="00D043B6">
      <w:pPr>
        <w:pStyle w:val="Pismenka"/>
        <w:numPr>
          <w:ilvl w:val="0"/>
          <w:numId w:val="44"/>
        </w:numPr>
        <w:spacing w:before="120" w:after="120"/>
        <w:ind w:left="284" w:hanging="284"/>
        <w:rPr>
          <w:i/>
          <w:sz w:val="22"/>
          <w:szCs w:val="22"/>
          <w:u w:val="single"/>
        </w:rPr>
      </w:pPr>
      <w:bookmarkStart w:id="79" w:name="_Ref86186566"/>
      <w:r w:rsidRPr="00C66720">
        <w:rPr>
          <w:i/>
          <w:sz w:val="22"/>
          <w:szCs w:val="22"/>
          <w:u w:val="single"/>
        </w:rPr>
        <w:t>Zdravotné a sociálne odvody</w:t>
      </w:r>
      <w:bookmarkEnd w:id="79"/>
    </w:p>
    <w:p w14:paraId="2A88F146" w14:textId="1760FCCA" w:rsidR="00912328" w:rsidRPr="00C66720" w:rsidRDefault="00D53E1A" w:rsidP="007A01AC">
      <w:pPr>
        <w:spacing w:before="120" w:after="240" w:line="240" w:lineRule="auto"/>
        <w:jc w:val="both"/>
        <w:rPr>
          <w:rFonts w:ascii="Times New Roman" w:hAnsi="Times New Roman"/>
          <w:bCs/>
          <w:szCs w:val="22"/>
        </w:rPr>
      </w:pPr>
      <w:r w:rsidRPr="00C66720">
        <w:rPr>
          <w:rFonts w:ascii="Times New Roman" w:hAnsi="Times New Roman"/>
          <w:bCs/>
          <w:szCs w:val="22"/>
        </w:rPr>
        <w:t xml:space="preserve">Náklady zamestnávateľa na odvody do Sociálnej poisťovne a zdravotných poisťovní dosiahli </w:t>
      </w:r>
      <w:r w:rsidR="00B602F8" w:rsidRPr="00C66720">
        <w:rPr>
          <w:rFonts w:ascii="Times New Roman" w:hAnsi="Times New Roman"/>
          <w:bCs/>
          <w:szCs w:val="22"/>
        </w:rPr>
        <w:br/>
      </w:r>
      <w:r w:rsidR="0032571B" w:rsidRPr="00C66720">
        <w:rPr>
          <w:rFonts w:ascii="Times New Roman" w:hAnsi="Times New Roman"/>
          <w:bCs/>
          <w:szCs w:val="22"/>
        </w:rPr>
        <w:t>2 400 217 tis. eur (2021</w:t>
      </w:r>
      <w:r w:rsidRPr="00C66720">
        <w:rPr>
          <w:rFonts w:ascii="Times New Roman" w:hAnsi="Times New Roman"/>
          <w:bCs/>
          <w:szCs w:val="22"/>
        </w:rPr>
        <w:t xml:space="preserve">: </w:t>
      </w:r>
      <w:r w:rsidR="0032571B" w:rsidRPr="00C66720">
        <w:rPr>
          <w:rFonts w:ascii="Times New Roman" w:hAnsi="Times New Roman"/>
          <w:bCs/>
          <w:szCs w:val="22"/>
        </w:rPr>
        <w:t xml:space="preserve">2 251 797 </w:t>
      </w:r>
      <w:r w:rsidRPr="00C66720">
        <w:rPr>
          <w:rFonts w:ascii="Times New Roman" w:hAnsi="Times New Roman"/>
          <w:bCs/>
          <w:szCs w:val="22"/>
        </w:rPr>
        <w:t xml:space="preserve">tis. eur). Na úrovni súhrnného celku boli eliminované vzájomné náklady na zdravotné poistenie uhrádzané štátnej zdravotnej poisťovni v sume </w:t>
      </w:r>
      <w:r w:rsidR="0032571B" w:rsidRPr="00C66720">
        <w:rPr>
          <w:rFonts w:ascii="Times New Roman" w:hAnsi="Times New Roman"/>
          <w:bCs/>
          <w:szCs w:val="22"/>
        </w:rPr>
        <w:t>231 225</w:t>
      </w:r>
      <w:r w:rsidRPr="00C66720">
        <w:rPr>
          <w:rFonts w:ascii="Times New Roman" w:hAnsi="Times New Roman"/>
          <w:bCs/>
          <w:szCs w:val="22"/>
        </w:rPr>
        <w:t xml:space="preserve"> tis. eur</w:t>
      </w:r>
      <w:r w:rsidR="0032571B" w:rsidRPr="00C66720">
        <w:rPr>
          <w:rFonts w:ascii="Times New Roman" w:hAnsi="Times New Roman"/>
          <w:bCs/>
          <w:szCs w:val="22"/>
        </w:rPr>
        <w:t xml:space="preserve"> a vykonala sa úprava nákladov na poistné v prípade Sociálnej poisťovne o 1 227 tis. eur</w:t>
      </w:r>
      <w:r w:rsidRPr="00C66720">
        <w:rPr>
          <w:rFonts w:ascii="Times New Roman" w:hAnsi="Times New Roman"/>
          <w:bCs/>
          <w:szCs w:val="22"/>
        </w:rPr>
        <w:t>.</w:t>
      </w:r>
      <w:r w:rsidR="00304079" w:rsidRPr="00C66720">
        <w:rPr>
          <w:rFonts w:ascii="Times New Roman" w:hAnsi="Times New Roman"/>
          <w:bCs/>
          <w:szCs w:val="22"/>
        </w:rPr>
        <w:t xml:space="preserve"> Vzhľadom na zložitosť eliminácie vzájomných vzťahov na úrovni súhrnného celku neboli eliminované náklady na sociálne odvody </w:t>
      </w:r>
      <w:r w:rsidR="000F5743" w:rsidRPr="00C66720">
        <w:rPr>
          <w:rFonts w:ascii="Times New Roman" w:hAnsi="Times New Roman"/>
          <w:bCs/>
          <w:szCs w:val="22"/>
        </w:rPr>
        <w:t>hradené</w:t>
      </w:r>
      <w:r w:rsidR="00304079" w:rsidRPr="00C66720">
        <w:rPr>
          <w:rFonts w:ascii="Times New Roman" w:hAnsi="Times New Roman"/>
          <w:bCs/>
          <w:szCs w:val="22"/>
        </w:rPr>
        <w:t xml:space="preserve"> Sociálnej poisťovni.</w:t>
      </w:r>
      <w:r w:rsidR="00573CAC" w:rsidRPr="00C66720">
        <w:rPr>
          <w:rFonts w:ascii="Times New Roman" w:hAnsi="Times New Roman"/>
          <w:bCs/>
          <w:szCs w:val="22"/>
        </w:rPr>
        <w:t xml:space="preserve"> Ústredná správa vykazuje náklady na zákonné sociálne poistenie </w:t>
      </w:r>
      <w:r w:rsidR="00C97158" w:rsidRPr="00C66720">
        <w:rPr>
          <w:rFonts w:ascii="Times New Roman" w:hAnsi="Times New Roman"/>
          <w:bCs/>
          <w:szCs w:val="22"/>
        </w:rPr>
        <w:t>1 267 233</w:t>
      </w:r>
      <w:r w:rsidR="00573CAC" w:rsidRPr="00C66720">
        <w:rPr>
          <w:rFonts w:ascii="Times New Roman" w:hAnsi="Times New Roman"/>
          <w:bCs/>
          <w:szCs w:val="22"/>
        </w:rPr>
        <w:t xml:space="preserve"> tis. eur (v tom obchodné spoločnosti a štátne podniky </w:t>
      </w:r>
      <w:r w:rsidR="00C97158" w:rsidRPr="00C66720">
        <w:rPr>
          <w:rFonts w:ascii="Times New Roman" w:hAnsi="Times New Roman"/>
          <w:bCs/>
          <w:szCs w:val="22"/>
        </w:rPr>
        <w:t>305 080</w:t>
      </w:r>
      <w:r w:rsidR="00573CAC" w:rsidRPr="00C66720">
        <w:rPr>
          <w:rFonts w:ascii="Times New Roman" w:hAnsi="Times New Roman"/>
          <w:bCs/>
          <w:szCs w:val="22"/>
        </w:rPr>
        <w:t xml:space="preserve"> tis. eur). Medziročný nárast o</w:t>
      </w:r>
      <w:r w:rsidR="00C97158" w:rsidRPr="00C66720">
        <w:rPr>
          <w:rFonts w:ascii="Times New Roman" w:hAnsi="Times New Roman"/>
          <w:bCs/>
          <w:szCs w:val="22"/>
        </w:rPr>
        <w:t> 148 420</w:t>
      </w:r>
      <w:r w:rsidR="00573CAC" w:rsidRPr="00C66720">
        <w:rPr>
          <w:rFonts w:ascii="Times New Roman" w:hAnsi="Times New Roman"/>
          <w:bCs/>
          <w:szCs w:val="22"/>
        </w:rPr>
        <w:t xml:space="preserve"> tis. eur priamo súvisí so zvyšovaním vymeriavacieho základu v súvislosti s valorizáciou mzdovej základne a vyššími odmenami.</w:t>
      </w:r>
    </w:p>
    <w:p w14:paraId="7A38CA44" w14:textId="5A08780B" w:rsidR="00E358FE" w:rsidRPr="00C66720" w:rsidRDefault="00E358FE" w:rsidP="00D043B6">
      <w:pPr>
        <w:pStyle w:val="Pismenka"/>
        <w:numPr>
          <w:ilvl w:val="0"/>
          <w:numId w:val="44"/>
        </w:numPr>
        <w:spacing w:before="120" w:after="120"/>
        <w:ind w:left="284" w:hanging="284"/>
        <w:rPr>
          <w:i/>
          <w:sz w:val="22"/>
          <w:szCs w:val="22"/>
          <w:u w:val="single"/>
        </w:rPr>
      </w:pPr>
      <w:bookmarkStart w:id="80" w:name="_Ref86186575"/>
      <w:r w:rsidRPr="00C66720">
        <w:rPr>
          <w:i/>
          <w:sz w:val="22"/>
          <w:szCs w:val="22"/>
          <w:u w:val="single"/>
        </w:rPr>
        <w:t>Ostatné sociálne náklady</w:t>
      </w:r>
      <w:bookmarkEnd w:id="80"/>
    </w:p>
    <w:p w14:paraId="314F5BB8" w14:textId="002EA333" w:rsidR="00573CAC" w:rsidRPr="00C66720" w:rsidRDefault="00E358FE" w:rsidP="000F5743">
      <w:pPr>
        <w:spacing w:before="120" w:after="120" w:line="240" w:lineRule="auto"/>
        <w:jc w:val="both"/>
        <w:rPr>
          <w:rFonts w:ascii="Times New Roman" w:hAnsi="Times New Roman"/>
          <w:bCs/>
          <w:szCs w:val="22"/>
        </w:rPr>
      </w:pPr>
      <w:r w:rsidRPr="00C66720">
        <w:rPr>
          <w:rFonts w:ascii="Times New Roman" w:hAnsi="Times New Roman"/>
          <w:bCs/>
          <w:szCs w:val="22"/>
        </w:rPr>
        <w:t xml:space="preserve">Ostatné sociálne náklady v celkovej sume </w:t>
      </w:r>
      <w:r w:rsidR="00CF3A72" w:rsidRPr="00C66720">
        <w:rPr>
          <w:rFonts w:ascii="Times New Roman" w:hAnsi="Times New Roman"/>
          <w:bCs/>
          <w:szCs w:val="22"/>
        </w:rPr>
        <w:t>713 987</w:t>
      </w:r>
      <w:r w:rsidR="00E3063A" w:rsidRPr="00C66720">
        <w:rPr>
          <w:rFonts w:ascii="Times New Roman" w:hAnsi="Times New Roman"/>
          <w:bCs/>
          <w:szCs w:val="22"/>
        </w:rPr>
        <w:t xml:space="preserve"> tis. eur sú tvorené ostatným sociálnym poistením </w:t>
      </w:r>
      <w:r w:rsidR="00490EBC" w:rsidRPr="00C66720">
        <w:rPr>
          <w:rFonts w:ascii="Times New Roman" w:hAnsi="Times New Roman"/>
          <w:bCs/>
          <w:szCs w:val="22"/>
        </w:rPr>
        <w:br/>
      </w:r>
      <w:r w:rsidR="00E3063A" w:rsidRPr="00C66720">
        <w:rPr>
          <w:rFonts w:ascii="Times New Roman" w:hAnsi="Times New Roman"/>
          <w:bCs/>
          <w:szCs w:val="22"/>
        </w:rPr>
        <w:t>(</w:t>
      </w:r>
      <w:r w:rsidR="00490EBC" w:rsidRPr="00C66720">
        <w:rPr>
          <w:rFonts w:ascii="Times New Roman" w:hAnsi="Times New Roman"/>
          <w:bCs/>
          <w:szCs w:val="22"/>
        </w:rPr>
        <w:t>8</w:t>
      </w:r>
      <w:r w:rsidR="00CF3A72" w:rsidRPr="00C66720">
        <w:rPr>
          <w:rFonts w:ascii="Times New Roman" w:hAnsi="Times New Roman"/>
          <w:bCs/>
          <w:szCs w:val="22"/>
        </w:rPr>
        <w:t>7 362</w:t>
      </w:r>
      <w:r w:rsidR="00E3063A" w:rsidRPr="00C66720">
        <w:rPr>
          <w:rFonts w:ascii="Times New Roman" w:hAnsi="Times New Roman"/>
          <w:bCs/>
          <w:szCs w:val="22"/>
        </w:rPr>
        <w:t xml:space="preserve"> tis. eur), zákonnými sociálnymi nákladmi (</w:t>
      </w:r>
      <w:r w:rsidR="00CF3A72" w:rsidRPr="00C66720">
        <w:rPr>
          <w:rFonts w:ascii="Times New Roman" w:hAnsi="Times New Roman"/>
          <w:bCs/>
          <w:szCs w:val="22"/>
        </w:rPr>
        <w:t>583 454</w:t>
      </w:r>
      <w:r w:rsidR="00E3063A" w:rsidRPr="00C66720">
        <w:rPr>
          <w:rFonts w:ascii="Times New Roman" w:hAnsi="Times New Roman"/>
          <w:bCs/>
          <w:szCs w:val="22"/>
        </w:rPr>
        <w:t xml:space="preserve"> tis. eur) a ostatnými sociálnymi nákladmi (</w:t>
      </w:r>
      <w:r w:rsidR="00CF3A72" w:rsidRPr="00C66720">
        <w:rPr>
          <w:rFonts w:ascii="Times New Roman" w:hAnsi="Times New Roman"/>
          <w:bCs/>
          <w:szCs w:val="22"/>
        </w:rPr>
        <w:t>43 172</w:t>
      </w:r>
      <w:r w:rsidR="00E3063A" w:rsidRPr="00C66720">
        <w:rPr>
          <w:rFonts w:ascii="Times New Roman" w:hAnsi="Times New Roman"/>
          <w:bCs/>
          <w:szCs w:val="22"/>
        </w:rPr>
        <w:t xml:space="preserve"> tis. eur). Tieto sociálne náklady zaznamenali medziročný nárast o</w:t>
      </w:r>
      <w:r w:rsidR="00CA1F44" w:rsidRPr="00C66720">
        <w:rPr>
          <w:rFonts w:ascii="Times New Roman" w:hAnsi="Times New Roman"/>
          <w:bCs/>
          <w:szCs w:val="22"/>
        </w:rPr>
        <w:t> 101 623</w:t>
      </w:r>
      <w:r w:rsidR="00E3063A" w:rsidRPr="00C66720">
        <w:rPr>
          <w:rFonts w:ascii="Times New Roman" w:hAnsi="Times New Roman"/>
          <w:bCs/>
          <w:szCs w:val="22"/>
        </w:rPr>
        <w:t xml:space="preserve"> tis. eur. </w:t>
      </w:r>
    </w:p>
    <w:p w14:paraId="54A36EB3" w14:textId="77777777" w:rsidR="005A629E" w:rsidRPr="00C66720" w:rsidRDefault="005A629E" w:rsidP="000F5743">
      <w:pPr>
        <w:numPr>
          <w:ilvl w:val="0"/>
          <w:numId w:val="24"/>
        </w:numPr>
        <w:spacing w:before="200" w:line="240" w:lineRule="auto"/>
        <w:ind w:left="426" w:hanging="426"/>
        <w:jc w:val="both"/>
        <w:rPr>
          <w:rFonts w:ascii="Times New Roman" w:hAnsi="Times New Roman"/>
          <w:b/>
          <w:bCs/>
          <w:sz w:val="24"/>
          <w:szCs w:val="24"/>
        </w:rPr>
      </w:pPr>
      <w:bookmarkStart w:id="81" w:name="_Ref86186836"/>
      <w:r w:rsidRPr="00C66720">
        <w:rPr>
          <w:rFonts w:ascii="Times New Roman" w:hAnsi="Times New Roman"/>
          <w:b/>
          <w:bCs/>
          <w:sz w:val="24"/>
          <w:szCs w:val="24"/>
        </w:rPr>
        <w:t>Odpisy, rezervy a opravné položky</w:t>
      </w:r>
      <w:bookmarkEnd w:id="81"/>
    </w:p>
    <w:p w14:paraId="1CDAB680" w14:textId="08537304" w:rsidR="005A629E" w:rsidRPr="00C66720" w:rsidRDefault="005A629E" w:rsidP="00151EA6">
      <w:pPr>
        <w:spacing w:after="120" w:line="240" w:lineRule="auto"/>
        <w:jc w:val="both"/>
        <w:rPr>
          <w:rFonts w:ascii="Times New Roman" w:hAnsi="Times New Roman"/>
          <w:bCs/>
          <w:szCs w:val="22"/>
        </w:rPr>
      </w:pPr>
      <w:r w:rsidRPr="00C66720">
        <w:rPr>
          <w:rFonts w:ascii="Times New Roman" w:hAnsi="Times New Roman"/>
          <w:bCs/>
          <w:szCs w:val="22"/>
        </w:rPr>
        <w:t xml:space="preserve">Náklady na odpisy, tvorbu rezerv a opravných položiek dosiahli spolu sumu </w:t>
      </w:r>
      <w:r w:rsidR="00D225B6" w:rsidRPr="00C66720">
        <w:rPr>
          <w:rFonts w:ascii="Times New Roman" w:hAnsi="Times New Roman"/>
          <w:bCs/>
          <w:szCs w:val="22"/>
        </w:rPr>
        <w:t>4 358 485</w:t>
      </w:r>
      <w:r w:rsidRPr="00C66720">
        <w:rPr>
          <w:rFonts w:ascii="Times New Roman" w:hAnsi="Times New Roman"/>
          <w:bCs/>
          <w:szCs w:val="22"/>
        </w:rPr>
        <w:t xml:space="preserve"> tis. eur a</w:t>
      </w:r>
      <w:r w:rsidR="00490EBC" w:rsidRPr="00C66720">
        <w:rPr>
          <w:rFonts w:ascii="Times New Roman" w:hAnsi="Times New Roman"/>
          <w:bCs/>
          <w:szCs w:val="22"/>
        </w:rPr>
        <w:t> medziročne boli vykázané nižšie</w:t>
      </w:r>
      <w:r w:rsidRPr="00C66720">
        <w:rPr>
          <w:rFonts w:ascii="Times New Roman" w:hAnsi="Times New Roman"/>
          <w:bCs/>
          <w:szCs w:val="22"/>
        </w:rPr>
        <w:t xml:space="preserve"> o</w:t>
      </w:r>
      <w:r w:rsidR="00D225B6" w:rsidRPr="00C66720">
        <w:rPr>
          <w:rFonts w:ascii="Times New Roman" w:hAnsi="Times New Roman"/>
          <w:bCs/>
          <w:szCs w:val="22"/>
        </w:rPr>
        <w:t> 2 045 727</w:t>
      </w:r>
      <w:r w:rsidRPr="00C66720">
        <w:rPr>
          <w:rFonts w:ascii="Times New Roman" w:hAnsi="Times New Roman"/>
          <w:bCs/>
          <w:szCs w:val="22"/>
        </w:rPr>
        <w:t xml:space="preserve"> tis. eur. </w:t>
      </w:r>
      <w:r w:rsidR="00C47BF4" w:rsidRPr="00C66720">
        <w:rPr>
          <w:rFonts w:ascii="Times New Roman" w:hAnsi="Times New Roman"/>
          <w:bCs/>
          <w:szCs w:val="22"/>
        </w:rPr>
        <w:t>Toto zníženie je z dôvodu nižšej</w:t>
      </w:r>
      <w:r w:rsidR="00C1427E" w:rsidRPr="00C66720">
        <w:rPr>
          <w:rFonts w:ascii="Times New Roman" w:hAnsi="Times New Roman"/>
          <w:bCs/>
          <w:szCs w:val="22"/>
        </w:rPr>
        <w:t xml:space="preserve"> tvorby rezerv </w:t>
      </w:r>
      <w:r w:rsidR="00855C65" w:rsidRPr="00C66720">
        <w:rPr>
          <w:rFonts w:ascii="Times New Roman" w:hAnsi="Times New Roman"/>
          <w:bCs/>
          <w:szCs w:val="22"/>
        </w:rPr>
        <w:br/>
        <w:t xml:space="preserve">o </w:t>
      </w:r>
      <w:r w:rsidR="000A734B" w:rsidRPr="00C66720">
        <w:rPr>
          <w:rFonts w:ascii="Times New Roman" w:hAnsi="Times New Roman"/>
          <w:bCs/>
          <w:szCs w:val="22"/>
        </w:rPr>
        <w:t>1 887 540</w:t>
      </w:r>
      <w:r w:rsidR="00C1427E" w:rsidRPr="00C66720">
        <w:rPr>
          <w:rFonts w:ascii="Times New Roman" w:hAnsi="Times New Roman"/>
          <w:bCs/>
          <w:szCs w:val="22"/>
        </w:rPr>
        <w:t xml:space="preserve"> tis. eur</w:t>
      </w:r>
      <w:r w:rsidR="000A734B" w:rsidRPr="00C66720">
        <w:rPr>
          <w:rFonts w:ascii="Times New Roman" w:hAnsi="Times New Roman"/>
          <w:bCs/>
          <w:szCs w:val="22"/>
        </w:rPr>
        <w:t>, nižšej</w:t>
      </w:r>
      <w:r w:rsidR="00504902" w:rsidRPr="00C66720">
        <w:rPr>
          <w:rFonts w:ascii="Times New Roman" w:hAnsi="Times New Roman"/>
          <w:bCs/>
          <w:szCs w:val="22"/>
        </w:rPr>
        <w:t xml:space="preserve"> tvorby opravných položiek o</w:t>
      </w:r>
      <w:r w:rsidR="000A734B" w:rsidRPr="00C66720">
        <w:rPr>
          <w:rFonts w:ascii="Times New Roman" w:hAnsi="Times New Roman"/>
          <w:bCs/>
          <w:szCs w:val="22"/>
        </w:rPr>
        <w:t xml:space="preserve"> 175 534 tis. eur a vyšších odpisov </w:t>
      </w:r>
      <w:r w:rsidR="000A734B" w:rsidRPr="00C66720">
        <w:rPr>
          <w:rFonts w:ascii="Times New Roman" w:hAnsi="Times New Roman"/>
          <w:bCs/>
          <w:szCs w:val="22"/>
        </w:rPr>
        <w:br/>
        <w:t>o 17 347 tis. eur.</w:t>
      </w:r>
      <w:r w:rsidR="00504902" w:rsidRPr="00C66720">
        <w:rPr>
          <w:rFonts w:ascii="Times New Roman" w:hAnsi="Times New Roman"/>
          <w:bCs/>
          <w:szCs w:val="22"/>
        </w:rPr>
        <w:t xml:space="preserve"> </w:t>
      </w:r>
      <w:r w:rsidRPr="00C66720">
        <w:rPr>
          <w:rFonts w:ascii="Times New Roman" w:hAnsi="Times New Roman"/>
          <w:bCs/>
          <w:szCs w:val="22"/>
        </w:rPr>
        <w:t>Ministerstvo financií SR v roku 202</w:t>
      </w:r>
      <w:r w:rsidR="00396199" w:rsidRPr="00C66720">
        <w:rPr>
          <w:rFonts w:ascii="Times New Roman" w:hAnsi="Times New Roman"/>
          <w:bCs/>
          <w:szCs w:val="22"/>
        </w:rPr>
        <w:t xml:space="preserve">2 </w:t>
      </w:r>
      <w:r w:rsidR="003C50E1" w:rsidRPr="00C66720">
        <w:rPr>
          <w:rFonts w:ascii="Times New Roman" w:hAnsi="Times New Roman"/>
          <w:bCs/>
          <w:szCs w:val="22"/>
        </w:rPr>
        <w:t>znížilo</w:t>
      </w:r>
      <w:r w:rsidRPr="00C66720">
        <w:rPr>
          <w:rFonts w:ascii="Times New Roman" w:hAnsi="Times New Roman"/>
          <w:bCs/>
          <w:szCs w:val="22"/>
        </w:rPr>
        <w:t xml:space="preserve"> tvorbu rezerv o</w:t>
      </w:r>
      <w:r w:rsidR="00396199" w:rsidRPr="00C66720">
        <w:rPr>
          <w:rFonts w:ascii="Times New Roman" w:hAnsi="Times New Roman"/>
          <w:bCs/>
          <w:szCs w:val="22"/>
        </w:rPr>
        <w:t> 1 995 460</w:t>
      </w:r>
      <w:r w:rsidRPr="00C66720">
        <w:rPr>
          <w:rFonts w:ascii="Times New Roman" w:hAnsi="Times New Roman"/>
          <w:bCs/>
          <w:szCs w:val="22"/>
        </w:rPr>
        <w:t xml:space="preserve"> tis. eur, hlavne na zamestnanecké požitky štátnych rozpočtových a príspevkových organizácií</w:t>
      </w:r>
      <w:r w:rsidR="006A3FAE" w:rsidRPr="00C66720">
        <w:rPr>
          <w:rFonts w:ascii="Times New Roman" w:hAnsi="Times New Roman"/>
          <w:bCs/>
          <w:szCs w:val="22"/>
        </w:rPr>
        <w:t xml:space="preserve"> o 1 858 273 tis. eur</w:t>
      </w:r>
      <w:r w:rsidR="00C87F74" w:rsidRPr="00C66720">
        <w:rPr>
          <w:rFonts w:ascii="Times New Roman" w:hAnsi="Times New Roman"/>
          <w:bCs/>
          <w:szCs w:val="22"/>
        </w:rPr>
        <w:t>.</w:t>
      </w:r>
      <w:r w:rsidRPr="00C66720">
        <w:rPr>
          <w:rFonts w:ascii="Times New Roman" w:hAnsi="Times New Roman"/>
          <w:bCs/>
          <w:szCs w:val="22"/>
        </w:rPr>
        <w:t xml:space="preserve"> </w:t>
      </w:r>
    </w:p>
    <w:p w14:paraId="0192C17A" w14:textId="5BB56D6F" w:rsidR="00151EA6" w:rsidRPr="00C66720" w:rsidRDefault="006D5731" w:rsidP="00C42749">
      <w:pPr>
        <w:spacing w:after="240" w:line="240" w:lineRule="auto"/>
        <w:jc w:val="both"/>
        <w:rPr>
          <w:rFonts w:ascii="Times New Roman" w:hAnsi="Times New Roman"/>
          <w:bCs/>
          <w:szCs w:val="22"/>
        </w:rPr>
      </w:pPr>
      <w:r w:rsidRPr="00C66720">
        <w:rPr>
          <w:rFonts w:ascii="Times New Roman" w:hAnsi="Times New Roman"/>
          <w:bCs/>
          <w:szCs w:val="22"/>
        </w:rPr>
        <w:t xml:space="preserve">Významný medziročný pokles nákladov na tvorbu rezerv o 218 280 tis. eur súvisí </w:t>
      </w:r>
      <w:r w:rsidR="00F17195">
        <w:rPr>
          <w:rFonts w:ascii="Times New Roman" w:hAnsi="Times New Roman"/>
          <w:bCs/>
          <w:szCs w:val="22"/>
        </w:rPr>
        <w:t xml:space="preserve">aj </w:t>
      </w:r>
      <w:r w:rsidRPr="00C66720">
        <w:rPr>
          <w:rFonts w:ascii="Times New Roman" w:hAnsi="Times New Roman"/>
          <w:bCs/>
          <w:szCs w:val="22"/>
        </w:rPr>
        <w:t xml:space="preserve">so zmenou vykazovania tvorby a rozpustenia rezerv </w:t>
      </w:r>
      <w:r w:rsidR="00F17195">
        <w:rPr>
          <w:rFonts w:ascii="Times New Roman" w:hAnsi="Times New Roman"/>
          <w:bCs/>
          <w:szCs w:val="22"/>
        </w:rPr>
        <w:t xml:space="preserve">Sociálnej poisťovne, ktorá upravila vstupné údaje podľa metodiky </w:t>
      </w:r>
      <w:r w:rsidRPr="00C66720">
        <w:rPr>
          <w:rFonts w:ascii="Times New Roman" w:hAnsi="Times New Roman"/>
          <w:bCs/>
          <w:szCs w:val="22"/>
        </w:rPr>
        <w:t xml:space="preserve">postupov účtovania pre </w:t>
      </w:r>
      <w:r w:rsidR="00F17195">
        <w:rPr>
          <w:rFonts w:ascii="Times New Roman" w:hAnsi="Times New Roman"/>
          <w:bCs/>
          <w:szCs w:val="22"/>
        </w:rPr>
        <w:t>rozpočtové organizácie</w:t>
      </w:r>
      <w:r w:rsidRPr="00C66720">
        <w:rPr>
          <w:rFonts w:ascii="Times New Roman" w:hAnsi="Times New Roman"/>
          <w:bCs/>
          <w:szCs w:val="22"/>
        </w:rPr>
        <w:t>.</w:t>
      </w:r>
      <w:r w:rsidR="00054C8F" w:rsidRPr="00C66720">
        <w:rPr>
          <w:rFonts w:ascii="Times New Roman" w:hAnsi="Times New Roman"/>
          <w:bCs/>
          <w:szCs w:val="22"/>
        </w:rPr>
        <w:t xml:space="preserve"> Železnice Slovenskej republiky v porovnaní s rokom 2021 vykazujú vyššie náklady na tvorbu rezerv o 82 518 tis. eur </w:t>
      </w:r>
      <w:r w:rsidR="00F727FA" w:rsidRPr="00C66720">
        <w:rPr>
          <w:rFonts w:ascii="Times New Roman" w:hAnsi="Times New Roman"/>
          <w:bCs/>
          <w:szCs w:val="22"/>
        </w:rPr>
        <w:t xml:space="preserve">najmä </w:t>
      </w:r>
      <w:r w:rsidR="001351B6" w:rsidRPr="00C66720">
        <w:rPr>
          <w:rFonts w:ascii="Times New Roman" w:hAnsi="Times New Roman"/>
          <w:bCs/>
          <w:szCs w:val="22"/>
        </w:rPr>
        <w:t xml:space="preserve">v súvislosti s tvorbou rezervy na environmentálne záťaže </w:t>
      </w:r>
      <w:r w:rsidR="00F727FA" w:rsidRPr="00C66720">
        <w:rPr>
          <w:rFonts w:ascii="Times New Roman" w:hAnsi="Times New Roman"/>
          <w:bCs/>
          <w:szCs w:val="22"/>
        </w:rPr>
        <w:t xml:space="preserve">spôsobených znečistením pôdy a podzemných vôd. </w:t>
      </w:r>
    </w:p>
    <w:p w14:paraId="0E7E00ED" w14:textId="3E60A374" w:rsidR="00CC2DC9" w:rsidRPr="00C66720" w:rsidRDefault="00CC2DC9" w:rsidP="00D043B6">
      <w:pPr>
        <w:pStyle w:val="Pismenka"/>
        <w:numPr>
          <w:ilvl w:val="0"/>
          <w:numId w:val="44"/>
        </w:numPr>
        <w:spacing w:before="120" w:after="120"/>
        <w:ind w:left="284" w:hanging="284"/>
        <w:rPr>
          <w:i/>
          <w:sz w:val="22"/>
          <w:szCs w:val="22"/>
          <w:u w:val="single"/>
        </w:rPr>
      </w:pPr>
      <w:bookmarkStart w:id="82" w:name="_Ref86186615"/>
      <w:r w:rsidRPr="00C66720">
        <w:rPr>
          <w:i/>
          <w:sz w:val="22"/>
          <w:szCs w:val="22"/>
          <w:u w:val="single"/>
        </w:rPr>
        <w:t>Odpisy dlhodobého majetku</w:t>
      </w:r>
      <w:bookmarkEnd w:id="82"/>
    </w:p>
    <w:p w14:paraId="3E9099E7" w14:textId="12A6DB98" w:rsidR="00CC2DC9" w:rsidRPr="00C66720" w:rsidRDefault="00CC2DC9" w:rsidP="00C42749">
      <w:pPr>
        <w:spacing w:before="120" w:after="240" w:line="240" w:lineRule="auto"/>
        <w:jc w:val="both"/>
        <w:rPr>
          <w:rFonts w:ascii="Times New Roman" w:hAnsi="Times New Roman"/>
          <w:bCs/>
          <w:szCs w:val="22"/>
        </w:rPr>
      </w:pPr>
      <w:r w:rsidRPr="00C66720">
        <w:rPr>
          <w:rFonts w:ascii="Times New Roman" w:hAnsi="Times New Roman"/>
          <w:bCs/>
          <w:szCs w:val="22"/>
          <w:u w:val="single"/>
        </w:rPr>
        <w:t>Odpisy dlhodobého majetku</w:t>
      </w:r>
      <w:r w:rsidRPr="00C66720">
        <w:rPr>
          <w:rFonts w:ascii="Times New Roman" w:hAnsi="Times New Roman"/>
          <w:bCs/>
          <w:szCs w:val="22"/>
        </w:rPr>
        <w:t xml:space="preserve"> dosiahli </w:t>
      </w:r>
      <w:r w:rsidR="00B50667" w:rsidRPr="00C66720">
        <w:rPr>
          <w:rFonts w:ascii="Times New Roman" w:hAnsi="Times New Roman"/>
          <w:bCs/>
          <w:szCs w:val="22"/>
        </w:rPr>
        <w:t>2 109 468</w:t>
      </w:r>
      <w:r w:rsidRPr="00C66720">
        <w:rPr>
          <w:rFonts w:ascii="Times New Roman" w:hAnsi="Times New Roman"/>
          <w:bCs/>
          <w:szCs w:val="22"/>
        </w:rPr>
        <w:t xml:space="preserve"> tis. eur a medziročne boli </w:t>
      </w:r>
      <w:r w:rsidR="00D66DCF" w:rsidRPr="00C66720">
        <w:rPr>
          <w:rFonts w:ascii="Times New Roman" w:hAnsi="Times New Roman"/>
          <w:bCs/>
          <w:szCs w:val="22"/>
        </w:rPr>
        <w:t>vyššie</w:t>
      </w:r>
      <w:r w:rsidRPr="00C66720">
        <w:rPr>
          <w:rFonts w:ascii="Times New Roman" w:hAnsi="Times New Roman"/>
          <w:bCs/>
          <w:szCs w:val="22"/>
        </w:rPr>
        <w:t xml:space="preserve"> o</w:t>
      </w:r>
      <w:r w:rsidR="00B50667" w:rsidRPr="00C66720">
        <w:rPr>
          <w:rFonts w:ascii="Times New Roman" w:hAnsi="Times New Roman"/>
          <w:bCs/>
          <w:szCs w:val="22"/>
        </w:rPr>
        <w:t> 17 347</w:t>
      </w:r>
      <w:r w:rsidRPr="00C66720">
        <w:rPr>
          <w:rFonts w:ascii="Times New Roman" w:hAnsi="Times New Roman"/>
          <w:bCs/>
          <w:szCs w:val="22"/>
        </w:rPr>
        <w:t xml:space="preserve"> tis. eur. Rozhodujúci podiel na týchto nákladoch má ústredná správa (</w:t>
      </w:r>
      <w:r w:rsidR="00B50667" w:rsidRPr="00C66720">
        <w:rPr>
          <w:rFonts w:ascii="Times New Roman" w:hAnsi="Times New Roman"/>
          <w:bCs/>
          <w:szCs w:val="22"/>
        </w:rPr>
        <w:t>1 258 160</w:t>
      </w:r>
      <w:r w:rsidRPr="00C66720">
        <w:rPr>
          <w:rFonts w:ascii="Times New Roman" w:hAnsi="Times New Roman"/>
          <w:bCs/>
          <w:szCs w:val="22"/>
        </w:rPr>
        <w:t xml:space="preserve"> tis. eur) a z nej štátne podniky a obchodné spoločnosti (</w:t>
      </w:r>
      <w:r w:rsidR="00CA6E31" w:rsidRPr="00C66720">
        <w:rPr>
          <w:rFonts w:ascii="Times New Roman" w:hAnsi="Times New Roman"/>
          <w:bCs/>
          <w:szCs w:val="22"/>
        </w:rPr>
        <w:t>658 347</w:t>
      </w:r>
      <w:r w:rsidR="00D66DCF" w:rsidRPr="00C66720">
        <w:rPr>
          <w:rFonts w:ascii="Times New Roman" w:hAnsi="Times New Roman"/>
          <w:bCs/>
          <w:szCs w:val="22"/>
        </w:rPr>
        <w:t xml:space="preserve"> tis. eur</w:t>
      </w:r>
      <w:r w:rsidRPr="00C66720">
        <w:rPr>
          <w:rFonts w:ascii="Times New Roman" w:hAnsi="Times New Roman"/>
          <w:bCs/>
          <w:szCs w:val="22"/>
        </w:rPr>
        <w:t>), obce a ich organizácie (</w:t>
      </w:r>
      <w:r w:rsidR="00CA6E31" w:rsidRPr="00C66720">
        <w:rPr>
          <w:rFonts w:ascii="Times New Roman" w:hAnsi="Times New Roman"/>
          <w:bCs/>
          <w:szCs w:val="22"/>
        </w:rPr>
        <w:t>670 392</w:t>
      </w:r>
      <w:r w:rsidRPr="00C66720">
        <w:rPr>
          <w:rFonts w:ascii="Times New Roman" w:hAnsi="Times New Roman"/>
          <w:bCs/>
          <w:szCs w:val="22"/>
        </w:rPr>
        <w:t xml:space="preserve"> tis. eur), </w:t>
      </w:r>
      <w:r w:rsidR="00D66DCF" w:rsidRPr="00C66720">
        <w:rPr>
          <w:rFonts w:ascii="Times New Roman" w:hAnsi="Times New Roman"/>
          <w:bCs/>
          <w:szCs w:val="22"/>
        </w:rPr>
        <w:t>vyššie územné celky (</w:t>
      </w:r>
      <w:r w:rsidR="00CA6E31" w:rsidRPr="00C66720">
        <w:rPr>
          <w:rFonts w:ascii="Times New Roman" w:hAnsi="Times New Roman"/>
          <w:bCs/>
          <w:szCs w:val="22"/>
        </w:rPr>
        <w:t>113 128</w:t>
      </w:r>
      <w:r w:rsidR="00D66DCF" w:rsidRPr="00C66720">
        <w:rPr>
          <w:rFonts w:ascii="Times New Roman" w:hAnsi="Times New Roman"/>
          <w:bCs/>
          <w:szCs w:val="22"/>
        </w:rPr>
        <w:t xml:space="preserve"> tis. eur) a </w:t>
      </w:r>
      <w:r w:rsidRPr="00C66720">
        <w:rPr>
          <w:rFonts w:ascii="Times New Roman" w:hAnsi="Times New Roman"/>
          <w:bCs/>
          <w:szCs w:val="22"/>
        </w:rPr>
        <w:t>ostatné subjekty</w:t>
      </w:r>
      <w:r w:rsidR="00D66DCF" w:rsidRPr="00C66720">
        <w:rPr>
          <w:rFonts w:ascii="Times New Roman" w:hAnsi="Times New Roman"/>
          <w:bCs/>
          <w:szCs w:val="22"/>
        </w:rPr>
        <w:t xml:space="preserve"> verejnej správy </w:t>
      </w:r>
      <w:r w:rsidRPr="00C66720">
        <w:rPr>
          <w:rFonts w:ascii="Times New Roman" w:hAnsi="Times New Roman"/>
          <w:bCs/>
          <w:szCs w:val="22"/>
        </w:rPr>
        <w:t>(</w:t>
      </w:r>
      <w:r w:rsidR="00CA6E31" w:rsidRPr="00C66720">
        <w:rPr>
          <w:rFonts w:ascii="Times New Roman" w:hAnsi="Times New Roman"/>
          <w:bCs/>
          <w:szCs w:val="22"/>
        </w:rPr>
        <w:t>67 788</w:t>
      </w:r>
      <w:r w:rsidRPr="00C66720">
        <w:rPr>
          <w:rFonts w:ascii="Times New Roman" w:hAnsi="Times New Roman"/>
          <w:bCs/>
          <w:szCs w:val="22"/>
        </w:rPr>
        <w:t xml:space="preserve"> tis. eur)</w:t>
      </w:r>
      <w:r w:rsidR="00D66DCF" w:rsidRPr="00C66720">
        <w:rPr>
          <w:rFonts w:ascii="Times New Roman" w:hAnsi="Times New Roman"/>
          <w:bCs/>
          <w:szCs w:val="22"/>
        </w:rPr>
        <w:t>.</w:t>
      </w:r>
    </w:p>
    <w:p w14:paraId="7019D133" w14:textId="0330F484" w:rsidR="00CC1A2A" w:rsidRPr="00C66720" w:rsidRDefault="00CC1A2A" w:rsidP="00D043B6">
      <w:pPr>
        <w:pStyle w:val="Pismenka"/>
        <w:numPr>
          <w:ilvl w:val="0"/>
          <w:numId w:val="44"/>
        </w:numPr>
        <w:spacing w:before="120" w:after="120"/>
        <w:ind w:left="284" w:hanging="284"/>
        <w:rPr>
          <w:i/>
          <w:sz w:val="22"/>
          <w:szCs w:val="22"/>
          <w:u w:val="single"/>
        </w:rPr>
      </w:pPr>
      <w:bookmarkStart w:id="83" w:name="_Ref86186625"/>
      <w:r w:rsidRPr="00C66720">
        <w:rPr>
          <w:i/>
          <w:sz w:val="22"/>
          <w:szCs w:val="22"/>
          <w:u w:val="single"/>
        </w:rPr>
        <w:t>Rezervy</w:t>
      </w:r>
      <w:bookmarkEnd w:id="83"/>
    </w:p>
    <w:p w14:paraId="6602EA62" w14:textId="032F5726" w:rsidR="00DD2E48" w:rsidRPr="00C66720" w:rsidRDefault="005A629E" w:rsidP="000F5743">
      <w:pPr>
        <w:spacing w:after="120" w:line="240" w:lineRule="auto"/>
        <w:jc w:val="both"/>
        <w:rPr>
          <w:rFonts w:ascii="Times New Roman" w:hAnsi="Times New Roman"/>
          <w:bCs/>
          <w:szCs w:val="22"/>
        </w:rPr>
      </w:pPr>
      <w:r w:rsidRPr="00C66720">
        <w:rPr>
          <w:rFonts w:ascii="Times New Roman" w:hAnsi="Times New Roman"/>
          <w:bCs/>
          <w:szCs w:val="22"/>
          <w:u w:val="single"/>
        </w:rPr>
        <w:t>Náklady na rezervy</w:t>
      </w:r>
      <w:r w:rsidRPr="00C66720">
        <w:rPr>
          <w:rFonts w:ascii="Times New Roman" w:hAnsi="Times New Roman"/>
          <w:bCs/>
          <w:szCs w:val="22"/>
        </w:rPr>
        <w:t xml:space="preserve"> </w:t>
      </w:r>
      <w:r w:rsidR="00BD61EB" w:rsidRPr="00C66720">
        <w:rPr>
          <w:rFonts w:ascii="Times New Roman" w:hAnsi="Times New Roman"/>
          <w:bCs/>
          <w:szCs w:val="22"/>
        </w:rPr>
        <w:t>vykazuje v rámci ústrednej správy najmä Ministerstvo financií SR</w:t>
      </w:r>
      <w:r w:rsidRPr="00C66720">
        <w:rPr>
          <w:rFonts w:ascii="Times New Roman" w:hAnsi="Times New Roman"/>
          <w:bCs/>
          <w:szCs w:val="22"/>
        </w:rPr>
        <w:t xml:space="preserve">. Ministerstvo financií SR vykázalo tvorbu rezervy do nákladov úhrnom </w:t>
      </w:r>
      <w:r w:rsidR="008272F4" w:rsidRPr="00C66720">
        <w:rPr>
          <w:rFonts w:ascii="Times New Roman" w:hAnsi="Times New Roman"/>
          <w:bCs/>
          <w:szCs w:val="22"/>
        </w:rPr>
        <w:t>47 003</w:t>
      </w:r>
      <w:r w:rsidRPr="00C66720">
        <w:rPr>
          <w:rFonts w:ascii="Times New Roman" w:hAnsi="Times New Roman"/>
          <w:bCs/>
          <w:szCs w:val="22"/>
        </w:rPr>
        <w:t xml:space="preserve"> tis. eur, z toho rezervu na zamestnanecké požitky zamestnancov štátnych rozpočtových a príspevkových organizácií vo výške </w:t>
      </w:r>
      <w:r w:rsidR="00C61BB7" w:rsidRPr="00C66720">
        <w:rPr>
          <w:rFonts w:ascii="Times New Roman" w:hAnsi="Times New Roman"/>
          <w:bCs/>
          <w:szCs w:val="22"/>
        </w:rPr>
        <w:br/>
        <w:t>13 086</w:t>
      </w:r>
      <w:r w:rsidRPr="00C66720">
        <w:rPr>
          <w:rFonts w:ascii="Times New Roman" w:hAnsi="Times New Roman"/>
          <w:bCs/>
          <w:szCs w:val="22"/>
        </w:rPr>
        <w:t xml:space="preserve"> tis. eur (pozri komentár uvedený v časti B.II Dlhodobé rezervy). </w:t>
      </w:r>
      <w:r w:rsidR="00A5666A" w:rsidRPr="00C66720">
        <w:rPr>
          <w:rFonts w:ascii="Times New Roman" w:hAnsi="Times New Roman"/>
          <w:bCs/>
          <w:szCs w:val="22"/>
        </w:rPr>
        <w:t xml:space="preserve">Oproti minulému roku bol </w:t>
      </w:r>
      <w:r w:rsidR="00A5666A" w:rsidRPr="00C66720">
        <w:rPr>
          <w:rFonts w:ascii="Times New Roman" w:hAnsi="Times New Roman"/>
          <w:bCs/>
          <w:szCs w:val="22"/>
        </w:rPr>
        <w:lastRenderedPageBreak/>
        <w:t>zaznamenaný pokles tvorby rezervy na zamestnanecké požitky o</w:t>
      </w:r>
      <w:r w:rsidR="00C61BB7" w:rsidRPr="00C66720">
        <w:rPr>
          <w:rFonts w:ascii="Times New Roman" w:hAnsi="Times New Roman"/>
          <w:bCs/>
          <w:szCs w:val="22"/>
        </w:rPr>
        <w:t> 1 858 273</w:t>
      </w:r>
      <w:r w:rsidR="00A5666A" w:rsidRPr="00C66720">
        <w:rPr>
          <w:rFonts w:ascii="Times New Roman" w:hAnsi="Times New Roman"/>
          <w:bCs/>
          <w:szCs w:val="22"/>
        </w:rPr>
        <w:t xml:space="preserve"> tis. eur.</w:t>
      </w:r>
      <w:r w:rsidR="00044459" w:rsidRPr="00C66720">
        <w:rPr>
          <w:rFonts w:ascii="Times New Roman" w:hAnsi="Times New Roman"/>
          <w:bCs/>
          <w:szCs w:val="22"/>
        </w:rPr>
        <w:t xml:space="preserve"> </w:t>
      </w:r>
      <w:r w:rsidRPr="00C66720">
        <w:rPr>
          <w:rFonts w:ascii="Times New Roman" w:hAnsi="Times New Roman"/>
          <w:bCs/>
          <w:szCs w:val="22"/>
        </w:rPr>
        <w:t>Pri výpočte rezervy na zamestnanecké požitky za rok</w:t>
      </w:r>
      <w:r w:rsidR="00C61BB7" w:rsidRPr="00C66720">
        <w:rPr>
          <w:rFonts w:ascii="Times New Roman" w:hAnsi="Times New Roman"/>
          <w:bCs/>
          <w:szCs w:val="22"/>
        </w:rPr>
        <w:t xml:space="preserve"> 2022</w:t>
      </w:r>
      <w:r w:rsidRPr="00C66720">
        <w:rPr>
          <w:rFonts w:ascii="Times New Roman" w:hAnsi="Times New Roman"/>
          <w:bCs/>
          <w:szCs w:val="22"/>
        </w:rPr>
        <w:t xml:space="preserve"> </w:t>
      </w:r>
      <w:r w:rsidR="00DD2E48" w:rsidRPr="00C66720">
        <w:rPr>
          <w:rFonts w:ascii="Times New Roman" w:hAnsi="Times New Roman"/>
          <w:bCs/>
          <w:szCs w:val="22"/>
        </w:rPr>
        <w:t xml:space="preserve">boli aktualizované parametre (diskontná sadzba, rast miezd, inflácia) a taktiež vstupné dáta (počet zamestnancov, priemerná mzda, priemerný počet odpracovaných rokov, výška benefitu, typ benefitu a fluktuácia). </w:t>
      </w:r>
    </w:p>
    <w:p w14:paraId="13B7347F" w14:textId="31EB9A30" w:rsidR="00DD2E48" w:rsidRPr="00C66720" w:rsidRDefault="00DD2E48" w:rsidP="00DD2E48">
      <w:pPr>
        <w:spacing w:after="120" w:line="240" w:lineRule="auto"/>
        <w:jc w:val="both"/>
        <w:rPr>
          <w:rFonts w:ascii="Times New Roman" w:hAnsi="Times New Roman"/>
          <w:bCs/>
          <w:szCs w:val="22"/>
        </w:rPr>
      </w:pPr>
      <w:r w:rsidRPr="00C66720">
        <w:rPr>
          <w:rFonts w:ascii="Times New Roman" w:hAnsi="Times New Roman"/>
          <w:bCs/>
          <w:szCs w:val="22"/>
        </w:rPr>
        <w:t xml:space="preserve">Ďalšou významnou rezervou tvorenou Ministerstvom financií SR je rezerva na záväzky voči EK z nezrovnalostí a vrátení prostriedkov tvorenou vo výške </w:t>
      </w:r>
      <w:r w:rsidR="00C61BB7" w:rsidRPr="00C66720">
        <w:rPr>
          <w:rFonts w:ascii="Times New Roman" w:hAnsi="Times New Roman"/>
          <w:bCs/>
          <w:szCs w:val="22"/>
        </w:rPr>
        <w:t>23 554</w:t>
      </w:r>
      <w:r w:rsidRPr="00C66720">
        <w:rPr>
          <w:rFonts w:ascii="Times New Roman" w:hAnsi="Times New Roman"/>
          <w:bCs/>
          <w:szCs w:val="22"/>
        </w:rPr>
        <w:t xml:space="preserve"> tis. eur.</w:t>
      </w:r>
    </w:p>
    <w:p w14:paraId="1D6EB289" w14:textId="1A6263A9" w:rsidR="005A629E" w:rsidRPr="00C66720" w:rsidRDefault="005A629E" w:rsidP="000F5743">
      <w:pPr>
        <w:spacing w:line="240" w:lineRule="auto"/>
        <w:jc w:val="both"/>
        <w:rPr>
          <w:rFonts w:ascii="Times New Roman" w:hAnsi="Times New Roman"/>
          <w:bCs/>
          <w:color w:val="FF0000"/>
          <w:szCs w:val="22"/>
          <w:highlight w:val="yellow"/>
        </w:rPr>
      </w:pPr>
      <w:r w:rsidRPr="00C66720">
        <w:rPr>
          <w:rFonts w:ascii="Times New Roman" w:hAnsi="Times New Roman"/>
          <w:bCs/>
          <w:szCs w:val="22"/>
        </w:rPr>
        <w:t xml:space="preserve">Ďalším subjektom s významnou tvorbou rezerv v hodnote </w:t>
      </w:r>
      <w:r w:rsidR="00F53350" w:rsidRPr="00C66720">
        <w:rPr>
          <w:rFonts w:ascii="Times New Roman" w:hAnsi="Times New Roman"/>
          <w:bCs/>
          <w:szCs w:val="22"/>
        </w:rPr>
        <w:t>221 558</w:t>
      </w:r>
      <w:r w:rsidRPr="00C66720">
        <w:rPr>
          <w:rFonts w:ascii="Times New Roman" w:hAnsi="Times New Roman"/>
          <w:bCs/>
          <w:szCs w:val="22"/>
        </w:rPr>
        <w:t xml:space="preserve"> tis. eur je Všeobecná zdravotná poisťovňa, a. s., pričom ide najmä o technickú rezervu na poistné a úhrady za poskytovanie zdravotnej starostlivosti</w:t>
      </w:r>
      <w:r w:rsidR="002476E7" w:rsidRPr="00C66720">
        <w:rPr>
          <w:rFonts w:ascii="Times New Roman" w:hAnsi="Times New Roman"/>
          <w:bCs/>
          <w:szCs w:val="22"/>
        </w:rPr>
        <w:t xml:space="preserve"> a rezervy na mzdy a odvody na nevyčerpanú riadnu dovolenku</w:t>
      </w:r>
      <w:r w:rsidRPr="00C66720">
        <w:rPr>
          <w:rFonts w:ascii="Times New Roman" w:hAnsi="Times New Roman"/>
          <w:bCs/>
          <w:szCs w:val="22"/>
        </w:rPr>
        <w:t>. Medziročne boli náklady na tvorbu rezervy poisťovne nižšie o</w:t>
      </w:r>
      <w:r w:rsidR="00F53350" w:rsidRPr="00C66720">
        <w:rPr>
          <w:rFonts w:ascii="Times New Roman" w:hAnsi="Times New Roman"/>
          <w:bCs/>
          <w:szCs w:val="22"/>
        </w:rPr>
        <w:t> 6 518</w:t>
      </w:r>
      <w:r w:rsidRPr="00C66720">
        <w:rPr>
          <w:rFonts w:ascii="Times New Roman" w:hAnsi="Times New Roman"/>
          <w:bCs/>
          <w:szCs w:val="22"/>
        </w:rPr>
        <w:t xml:space="preserve"> tis. eur a to z dôvodu </w:t>
      </w:r>
      <w:r w:rsidR="0080220B" w:rsidRPr="00C66720">
        <w:rPr>
          <w:rFonts w:ascii="Times New Roman" w:hAnsi="Times New Roman"/>
          <w:bCs/>
          <w:szCs w:val="22"/>
        </w:rPr>
        <w:t>napr. vyššej eliminácie</w:t>
      </w:r>
      <w:r w:rsidR="004D0BC3" w:rsidRPr="00C66720">
        <w:rPr>
          <w:rFonts w:ascii="Times New Roman" w:hAnsi="Times New Roman"/>
          <w:bCs/>
          <w:szCs w:val="22"/>
        </w:rPr>
        <w:t xml:space="preserve"> tvorby rezervy za poskytnutú</w:t>
      </w:r>
      <w:r w:rsidR="00910E77">
        <w:rPr>
          <w:rFonts w:ascii="Times New Roman" w:hAnsi="Times New Roman"/>
          <w:bCs/>
          <w:szCs w:val="22"/>
        </w:rPr>
        <w:t>,</w:t>
      </w:r>
      <w:r w:rsidR="004D0BC3" w:rsidRPr="00C66720">
        <w:rPr>
          <w:rFonts w:ascii="Times New Roman" w:hAnsi="Times New Roman"/>
          <w:bCs/>
          <w:szCs w:val="22"/>
        </w:rPr>
        <w:t xml:space="preserve"> ale doposiaľ neuhradenú zdravotnú starostlivosť jednotlivým poskytovateľom zdravotnej starostlivosti </w:t>
      </w:r>
      <w:r w:rsidR="0080220B" w:rsidRPr="00C66720">
        <w:rPr>
          <w:rFonts w:ascii="Times New Roman" w:hAnsi="Times New Roman"/>
          <w:bCs/>
          <w:szCs w:val="22"/>
        </w:rPr>
        <w:t xml:space="preserve">v rámci súhrnného celku </w:t>
      </w:r>
      <w:r w:rsidR="004D0BC3" w:rsidRPr="00C66720">
        <w:rPr>
          <w:rFonts w:ascii="Times New Roman" w:hAnsi="Times New Roman"/>
          <w:bCs/>
          <w:szCs w:val="22"/>
        </w:rPr>
        <w:t>vrátane výkonov liečebných kúpeľov a poskytnutú zdravotnú starostlivosť v cudzine.</w:t>
      </w:r>
    </w:p>
    <w:p w14:paraId="1D3FE9E0" w14:textId="24C20714" w:rsidR="00CC1A2A" w:rsidRPr="00C66720" w:rsidRDefault="00CC1A2A" w:rsidP="00D043B6">
      <w:pPr>
        <w:pStyle w:val="Pismenka"/>
        <w:numPr>
          <w:ilvl w:val="0"/>
          <w:numId w:val="44"/>
        </w:numPr>
        <w:spacing w:before="120" w:after="120"/>
        <w:ind w:left="284" w:hanging="284"/>
        <w:rPr>
          <w:i/>
          <w:sz w:val="22"/>
          <w:szCs w:val="22"/>
          <w:u w:val="single"/>
        </w:rPr>
      </w:pPr>
      <w:bookmarkStart w:id="84" w:name="_Ref86186633"/>
      <w:r w:rsidRPr="00C66720">
        <w:rPr>
          <w:i/>
          <w:sz w:val="22"/>
          <w:szCs w:val="22"/>
          <w:u w:val="single"/>
        </w:rPr>
        <w:t>Opravné položky</w:t>
      </w:r>
      <w:bookmarkEnd w:id="84"/>
    </w:p>
    <w:p w14:paraId="760FF774" w14:textId="4F3895FF" w:rsidR="00102C28" w:rsidRPr="00C66720" w:rsidRDefault="005A629E" w:rsidP="00E173CB">
      <w:pPr>
        <w:spacing w:after="0" w:line="240" w:lineRule="auto"/>
        <w:jc w:val="both"/>
        <w:rPr>
          <w:rFonts w:ascii="Times New Roman" w:hAnsi="Times New Roman"/>
          <w:bCs/>
          <w:szCs w:val="22"/>
        </w:rPr>
      </w:pPr>
      <w:r w:rsidRPr="00C66720">
        <w:rPr>
          <w:rFonts w:ascii="Times New Roman" w:hAnsi="Times New Roman"/>
          <w:bCs/>
          <w:szCs w:val="22"/>
          <w:u w:val="single"/>
        </w:rPr>
        <w:t>Náklady na tvorbu opravných položiek</w:t>
      </w:r>
      <w:r w:rsidR="001A2940" w:rsidRPr="00C66720">
        <w:rPr>
          <w:rFonts w:ascii="Times New Roman" w:hAnsi="Times New Roman"/>
          <w:bCs/>
          <w:szCs w:val="22"/>
        </w:rPr>
        <w:t xml:space="preserve"> boli medziročne </w:t>
      </w:r>
      <w:r w:rsidR="00775C6B" w:rsidRPr="00C66720">
        <w:rPr>
          <w:rFonts w:ascii="Times New Roman" w:hAnsi="Times New Roman"/>
          <w:bCs/>
          <w:szCs w:val="22"/>
        </w:rPr>
        <w:t>nižšie</w:t>
      </w:r>
      <w:r w:rsidRPr="00C66720">
        <w:rPr>
          <w:rFonts w:ascii="Times New Roman" w:hAnsi="Times New Roman"/>
          <w:bCs/>
          <w:szCs w:val="22"/>
        </w:rPr>
        <w:t xml:space="preserve"> o</w:t>
      </w:r>
      <w:r w:rsidR="00775C6B" w:rsidRPr="00C66720">
        <w:rPr>
          <w:rFonts w:ascii="Times New Roman" w:hAnsi="Times New Roman"/>
          <w:bCs/>
          <w:szCs w:val="22"/>
        </w:rPr>
        <w:t> 175 534</w:t>
      </w:r>
      <w:r w:rsidRPr="00C66720">
        <w:rPr>
          <w:rFonts w:ascii="Times New Roman" w:hAnsi="Times New Roman"/>
          <w:bCs/>
          <w:szCs w:val="22"/>
        </w:rPr>
        <w:t xml:space="preserve"> tis. eur. Najvýznamnejšie boli u Ministerstva financií SR v sume </w:t>
      </w:r>
      <w:r w:rsidR="00775C6B" w:rsidRPr="00C66720">
        <w:rPr>
          <w:rFonts w:ascii="Times New Roman" w:hAnsi="Times New Roman"/>
          <w:bCs/>
          <w:szCs w:val="22"/>
        </w:rPr>
        <w:t>729 641</w:t>
      </w:r>
      <w:r w:rsidRPr="00C66720">
        <w:rPr>
          <w:rFonts w:ascii="Times New Roman" w:hAnsi="Times New Roman"/>
          <w:bCs/>
          <w:szCs w:val="22"/>
        </w:rPr>
        <w:t xml:space="preserve">  tis. eur, ktoré boli tvorené najmä k pohľadávkam z daňových a colných príjmov po lehote splatnosti, ktoré sú nedobytné resp. neefektívne na vymáhanie </w:t>
      </w:r>
      <w:r w:rsidR="00DE14CB" w:rsidRPr="00C66720">
        <w:rPr>
          <w:rFonts w:ascii="Times New Roman" w:hAnsi="Times New Roman"/>
          <w:bCs/>
          <w:szCs w:val="22"/>
        </w:rPr>
        <w:br/>
      </w:r>
      <w:r w:rsidRPr="00C66720">
        <w:rPr>
          <w:rFonts w:ascii="Times New Roman" w:hAnsi="Times New Roman"/>
          <w:bCs/>
          <w:szCs w:val="22"/>
        </w:rPr>
        <w:t>(</w:t>
      </w:r>
      <w:r w:rsidR="00DE14CB" w:rsidRPr="00C66720">
        <w:rPr>
          <w:rFonts w:ascii="Times New Roman" w:hAnsi="Times New Roman"/>
          <w:bCs/>
          <w:szCs w:val="22"/>
        </w:rPr>
        <w:t>719 786</w:t>
      </w:r>
      <w:r w:rsidR="001A2940" w:rsidRPr="00C66720">
        <w:rPr>
          <w:rFonts w:ascii="Times New Roman" w:hAnsi="Times New Roman"/>
          <w:bCs/>
          <w:szCs w:val="22"/>
        </w:rPr>
        <w:t xml:space="preserve"> tis. eur) a k pohľadávkam zo vzniknutých nezrovnalostí pri poskytovaní prostriedkov z Európskych štrukturálnych a investičných </w:t>
      </w:r>
      <w:r w:rsidR="00FC3065" w:rsidRPr="00C66720">
        <w:rPr>
          <w:rFonts w:ascii="Times New Roman" w:hAnsi="Times New Roman"/>
          <w:bCs/>
          <w:szCs w:val="22"/>
        </w:rPr>
        <w:t>fondov (</w:t>
      </w:r>
      <w:r w:rsidR="00C02359" w:rsidRPr="00C66720">
        <w:rPr>
          <w:rFonts w:ascii="Times New Roman" w:hAnsi="Times New Roman"/>
          <w:bCs/>
          <w:szCs w:val="22"/>
        </w:rPr>
        <w:t>6 800</w:t>
      </w:r>
      <w:r w:rsidR="00FC3065" w:rsidRPr="00C66720">
        <w:rPr>
          <w:rFonts w:ascii="Times New Roman" w:hAnsi="Times New Roman"/>
          <w:bCs/>
          <w:szCs w:val="22"/>
        </w:rPr>
        <w:t xml:space="preserve"> tis. eur)</w:t>
      </w:r>
      <w:r w:rsidR="00C02359" w:rsidRPr="00C66720">
        <w:rPr>
          <w:rFonts w:ascii="Times New Roman" w:hAnsi="Times New Roman"/>
          <w:bCs/>
          <w:szCs w:val="22"/>
        </w:rPr>
        <w:t xml:space="preserve"> v rámci operačných programov programového obdobia 2007-2013 a 2014-2020</w:t>
      </w:r>
      <w:r w:rsidR="001A2940" w:rsidRPr="00C66720">
        <w:rPr>
          <w:rFonts w:ascii="Times New Roman" w:hAnsi="Times New Roman"/>
          <w:bCs/>
          <w:szCs w:val="22"/>
        </w:rPr>
        <w:t xml:space="preserve">. Medziročne sa </w:t>
      </w:r>
      <w:r w:rsidR="00FC3065" w:rsidRPr="00C66720">
        <w:rPr>
          <w:rFonts w:ascii="Times New Roman" w:hAnsi="Times New Roman"/>
          <w:bCs/>
          <w:szCs w:val="22"/>
        </w:rPr>
        <w:t xml:space="preserve">tieto náklady </w:t>
      </w:r>
      <w:r w:rsidR="00DE0D9C" w:rsidRPr="00C66720">
        <w:rPr>
          <w:rFonts w:ascii="Times New Roman" w:hAnsi="Times New Roman"/>
          <w:bCs/>
          <w:szCs w:val="22"/>
        </w:rPr>
        <w:t>znížili</w:t>
      </w:r>
      <w:r w:rsidRPr="00C66720">
        <w:rPr>
          <w:rFonts w:ascii="Times New Roman" w:hAnsi="Times New Roman"/>
          <w:bCs/>
          <w:szCs w:val="22"/>
        </w:rPr>
        <w:t xml:space="preserve"> o</w:t>
      </w:r>
      <w:r w:rsidR="00DE0D9C" w:rsidRPr="00C66720">
        <w:rPr>
          <w:rFonts w:ascii="Times New Roman" w:hAnsi="Times New Roman"/>
          <w:bCs/>
          <w:szCs w:val="22"/>
        </w:rPr>
        <w:t> 329 120</w:t>
      </w:r>
      <w:r w:rsidRPr="00C66720">
        <w:rPr>
          <w:rFonts w:ascii="Times New Roman" w:hAnsi="Times New Roman"/>
          <w:bCs/>
          <w:szCs w:val="22"/>
        </w:rPr>
        <w:t xml:space="preserve"> tis.</w:t>
      </w:r>
      <w:r w:rsidR="00FC3065" w:rsidRPr="00C66720">
        <w:rPr>
          <w:rFonts w:ascii="Times New Roman" w:hAnsi="Times New Roman"/>
          <w:bCs/>
          <w:szCs w:val="22"/>
        </w:rPr>
        <w:t xml:space="preserve"> eur z dôvodu aktualizácie rizika nevymožiteľnosti pohľadávok. </w:t>
      </w:r>
    </w:p>
    <w:p w14:paraId="4CEC3E04" w14:textId="4E15AA07" w:rsidR="005A629E" w:rsidRDefault="005A629E" w:rsidP="000F5743">
      <w:pPr>
        <w:numPr>
          <w:ilvl w:val="0"/>
          <w:numId w:val="24"/>
        </w:numPr>
        <w:spacing w:before="200" w:line="240" w:lineRule="auto"/>
        <w:ind w:left="426" w:hanging="426"/>
        <w:jc w:val="both"/>
        <w:rPr>
          <w:rFonts w:ascii="Times New Roman" w:hAnsi="Times New Roman"/>
          <w:b/>
          <w:bCs/>
          <w:sz w:val="24"/>
          <w:szCs w:val="24"/>
        </w:rPr>
      </w:pPr>
      <w:bookmarkStart w:id="85" w:name="_Ref86186763"/>
      <w:r w:rsidRPr="00C66720">
        <w:rPr>
          <w:rFonts w:ascii="Times New Roman" w:hAnsi="Times New Roman"/>
          <w:b/>
          <w:bCs/>
          <w:sz w:val="24"/>
          <w:szCs w:val="24"/>
        </w:rPr>
        <w:t>Ostatné náklady na prevádzkovú činnosť</w:t>
      </w:r>
      <w:bookmarkEnd w:id="85"/>
    </w:p>
    <w:p w14:paraId="22963874" w14:textId="77777777" w:rsidR="000219EA" w:rsidRPr="000219EA" w:rsidRDefault="000219EA" w:rsidP="000219EA">
      <w:pPr>
        <w:spacing w:before="200" w:after="0" w:line="240" w:lineRule="auto"/>
        <w:jc w:val="both"/>
        <w:rPr>
          <w:rFonts w:ascii="Times New Roman" w:hAnsi="Times New Roman"/>
          <w:b/>
          <w:bCs/>
          <w:sz w:val="18"/>
          <w:szCs w:val="18"/>
        </w:rPr>
      </w:pPr>
      <w:r w:rsidRPr="000219EA">
        <w:rPr>
          <w:rFonts w:ascii="Times New Roman" w:hAnsi="Times New Roman"/>
          <w:b/>
          <w:bCs/>
          <w:sz w:val="18"/>
          <w:szCs w:val="18"/>
        </w:rPr>
        <w:t>Tabuľka 25</w:t>
      </w:r>
    </w:p>
    <w:tbl>
      <w:tblPr>
        <w:tblW w:w="5000" w:type="pct"/>
        <w:jc w:val="center"/>
        <w:tblLayout w:type="fixed"/>
        <w:tblCellMar>
          <w:left w:w="70" w:type="dxa"/>
          <w:right w:w="70" w:type="dxa"/>
        </w:tblCellMar>
        <w:tblLook w:val="00A0" w:firstRow="1" w:lastRow="0" w:firstColumn="1" w:lastColumn="0" w:noHBand="0" w:noVBand="0"/>
      </w:tblPr>
      <w:tblGrid>
        <w:gridCol w:w="5176"/>
        <w:gridCol w:w="1201"/>
        <w:gridCol w:w="1419"/>
        <w:gridCol w:w="1275"/>
      </w:tblGrid>
      <w:tr w:rsidR="000219EA" w:rsidRPr="005773D1" w14:paraId="485C7FD0"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78008E35" w14:textId="77777777" w:rsidR="000219EA" w:rsidRPr="005773D1" w:rsidRDefault="000219EA" w:rsidP="00241F33">
            <w:pPr>
              <w:spacing w:after="0" w:line="240" w:lineRule="auto"/>
              <w:rPr>
                <w:rFonts w:ascii="Times New Roman" w:hAnsi="Times New Roman"/>
                <w:b/>
                <w:bCs/>
                <w:sz w:val="18"/>
                <w:szCs w:val="18"/>
                <w:lang w:eastAsia="sk-SK"/>
              </w:rPr>
            </w:pPr>
            <w:r w:rsidRPr="005773D1">
              <w:rPr>
                <w:rFonts w:ascii="Times New Roman" w:hAnsi="Times New Roman"/>
                <w:b/>
                <w:bCs/>
                <w:sz w:val="18"/>
                <w:szCs w:val="18"/>
                <w:lang w:eastAsia="sk-SK"/>
              </w:rPr>
              <w:t>Ostatné náklady na prevádzkovú činnosť</w:t>
            </w:r>
            <w:r>
              <w:rPr>
                <w:rFonts w:ascii="Times New Roman" w:hAnsi="Times New Roman"/>
                <w:b/>
                <w:bCs/>
                <w:sz w:val="18"/>
                <w:szCs w:val="18"/>
                <w:lang w:eastAsia="sk-SK"/>
              </w:rPr>
              <w:t xml:space="preserve"> podľa druhu</w:t>
            </w:r>
            <w:r w:rsidRPr="005773D1">
              <w:rPr>
                <w:rFonts w:ascii="Times New Roman" w:hAnsi="Times New Roman"/>
                <w:b/>
                <w:bCs/>
                <w:sz w:val="18"/>
                <w:szCs w:val="18"/>
                <w:lang w:eastAsia="sk-SK"/>
              </w:rPr>
              <w:t xml:space="preserve">                                                                                     (v tis. eur) </w:t>
            </w:r>
          </w:p>
        </w:tc>
      </w:tr>
      <w:tr w:rsidR="00677F3E" w:rsidRPr="00697D4D" w14:paraId="42E7773C" w14:textId="77777777" w:rsidTr="00241F33">
        <w:trPr>
          <w:trHeight w:val="330"/>
          <w:jc w:val="center"/>
        </w:trPr>
        <w:tc>
          <w:tcPr>
            <w:tcW w:w="2853" w:type="pct"/>
            <w:tcBorders>
              <w:top w:val="nil"/>
              <w:left w:val="nil"/>
              <w:bottom w:val="single" w:sz="4" w:space="0" w:color="auto"/>
              <w:right w:val="nil"/>
            </w:tcBorders>
            <w:shd w:val="clear" w:color="auto" w:fill="BDD7EE"/>
            <w:noWrap/>
            <w:vAlign w:val="center"/>
          </w:tcPr>
          <w:p w14:paraId="1FA03272" w14:textId="77777777" w:rsidR="00677F3E" w:rsidRPr="00697D4D" w:rsidRDefault="00677F3E" w:rsidP="00677F3E">
            <w:pPr>
              <w:spacing w:after="0" w:line="240" w:lineRule="auto"/>
              <w:rPr>
                <w:rFonts w:ascii="Times New Roman" w:hAnsi="Times New Roman"/>
                <w:b/>
                <w:bCs/>
                <w:sz w:val="18"/>
                <w:szCs w:val="18"/>
                <w:lang w:eastAsia="sk-SK"/>
              </w:rPr>
            </w:pPr>
          </w:p>
        </w:tc>
        <w:tc>
          <w:tcPr>
            <w:tcW w:w="662" w:type="pct"/>
            <w:tcBorders>
              <w:top w:val="nil"/>
              <w:left w:val="nil"/>
              <w:bottom w:val="single" w:sz="4" w:space="0" w:color="auto"/>
              <w:right w:val="nil"/>
            </w:tcBorders>
            <w:shd w:val="clear" w:color="auto" w:fill="BDD7EE"/>
            <w:noWrap/>
            <w:vAlign w:val="center"/>
          </w:tcPr>
          <w:p w14:paraId="5FBBF7C2" w14:textId="364BBD7D" w:rsidR="00677F3E" w:rsidRPr="00697D4D" w:rsidRDefault="00677F3E" w:rsidP="00677F3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82" w:type="pct"/>
            <w:tcBorders>
              <w:top w:val="nil"/>
              <w:left w:val="nil"/>
              <w:bottom w:val="single" w:sz="4" w:space="0" w:color="auto"/>
              <w:right w:val="nil"/>
            </w:tcBorders>
            <w:shd w:val="clear" w:color="auto" w:fill="BDD7EE"/>
            <w:noWrap/>
            <w:vAlign w:val="center"/>
          </w:tcPr>
          <w:p w14:paraId="491CBE18" w14:textId="12B13CC1" w:rsidR="00677F3E" w:rsidRPr="00697D4D" w:rsidRDefault="00677F3E" w:rsidP="00677F3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3" w:type="pct"/>
            <w:tcBorders>
              <w:top w:val="nil"/>
              <w:left w:val="nil"/>
              <w:bottom w:val="single" w:sz="4" w:space="0" w:color="auto"/>
              <w:right w:val="nil"/>
            </w:tcBorders>
            <w:shd w:val="clear" w:color="auto" w:fill="BDD7EE"/>
            <w:vAlign w:val="center"/>
          </w:tcPr>
          <w:p w14:paraId="6EB578C8" w14:textId="34747182" w:rsidR="00677F3E" w:rsidRPr="00697D4D" w:rsidRDefault="00677F3E" w:rsidP="00677F3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677F3E" w:rsidRPr="00697D4D" w14:paraId="7BAA160A" w14:textId="77777777" w:rsidTr="00241F33">
        <w:trPr>
          <w:trHeight w:val="330"/>
          <w:jc w:val="center"/>
        </w:trPr>
        <w:tc>
          <w:tcPr>
            <w:tcW w:w="2853" w:type="pct"/>
            <w:tcBorders>
              <w:top w:val="nil"/>
              <w:left w:val="nil"/>
              <w:bottom w:val="nil"/>
              <w:right w:val="nil"/>
            </w:tcBorders>
            <w:shd w:val="clear" w:color="000000" w:fill="FFFFFF"/>
            <w:vAlign w:val="center"/>
          </w:tcPr>
          <w:p w14:paraId="44D605E6" w14:textId="7233674F"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Náklady na dávky sociálnej pomoci a štátne sociálne dávky</w:t>
            </w:r>
          </w:p>
        </w:tc>
        <w:tc>
          <w:tcPr>
            <w:tcW w:w="662" w:type="pct"/>
            <w:tcBorders>
              <w:top w:val="nil"/>
              <w:left w:val="nil"/>
              <w:bottom w:val="nil"/>
              <w:right w:val="nil"/>
            </w:tcBorders>
            <w:shd w:val="clear" w:color="000000" w:fill="FFFFFF"/>
            <w:vAlign w:val="center"/>
          </w:tcPr>
          <w:p w14:paraId="61AD1EDF" w14:textId="390F2ECC"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1 828 313</w:t>
            </w:r>
          </w:p>
        </w:tc>
        <w:tc>
          <w:tcPr>
            <w:tcW w:w="782" w:type="pct"/>
            <w:tcBorders>
              <w:top w:val="nil"/>
              <w:left w:val="nil"/>
              <w:bottom w:val="nil"/>
              <w:right w:val="nil"/>
            </w:tcBorders>
            <w:shd w:val="clear" w:color="000000" w:fill="FFFFFF"/>
            <w:vAlign w:val="center"/>
          </w:tcPr>
          <w:p w14:paraId="49863471" w14:textId="16830D92"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1 821 720</w:t>
            </w:r>
          </w:p>
        </w:tc>
        <w:tc>
          <w:tcPr>
            <w:tcW w:w="703" w:type="pct"/>
            <w:tcBorders>
              <w:top w:val="nil"/>
              <w:left w:val="nil"/>
              <w:bottom w:val="nil"/>
              <w:right w:val="nil"/>
            </w:tcBorders>
            <w:shd w:val="clear" w:color="000000" w:fill="FFFFFF"/>
            <w:vAlign w:val="center"/>
          </w:tcPr>
          <w:p w14:paraId="3C96AE50" w14:textId="3CAC5C20"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6 593</w:t>
            </w:r>
          </w:p>
        </w:tc>
      </w:tr>
      <w:tr w:rsidR="00677F3E" w:rsidRPr="00697D4D" w14:paraId="28016D73" w14:textId="77777777" w:rsidTr="00241F33">
        <w:trPr>
          <w:trHeight w:val="330"/>
          <w:jc w:val="center"/>
        </w:trPr>
        <w:tc>
          <w:tcPr>
            <w:tcW w:w="2853" w:type="pct"/>
            <w:tcBorders>
              <w:top w:val="nil"/>
              <w:left w:val="nil"/>
              <w:bottom w:val="nil"/>
              <w:right w:val="nil"/>
            </w:tcBorders>
            <w:shd w:val="clear" w:color="000000" w:fill="FFFFFF"/>
            <w:vAlign w:val="center"/>
          </w:tcPr>
          <w:p w14:paraId="471C7BD0" w14:textId="3B571968"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Náklady na výhry TIPOS, a.s.</w:t>
            </w:r>
          </w:p>
        </w:tc>
        <w:tc>
          <w:tcPr>
            <w:tcW w:w="662" w:type="pct"/>
            <w:tcBorders>
              <w:top w:val="nil"/>
              <w:left w:val="nil"/>
              <w:bottom w:val="nil"/>
              <w:right w:val="nil"/>
            </w:tcBorders>
            <w:shd w:val="clear" w:color="000000" w:fill="FFFFFF"/>
            <w:vAlign w:val="center"/>
          </w:tcPr>
          <w:p w14:paraId="2AC6AFE8" w14:textId="17768632"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1 082 201</w:t>
            </w:r>
          </w:p>
        </w:tc>
        <w:tc>
          <w:tcPr>
            <w:tcW w:w="782" w:type="pct"/>
            <w:tcBorders>
              <w:top w:val="nil"/>
              <w:left w:val="nil"/>
              <w:bottom w:val="nil"/>
              <w:right w:val="nil"/>
            </w:tcBorders>
            <w:shd w:val="clear" w:color="000000" w:fill="FFFFFF"/>
            <w:vAlign w:val="center"/>
          </w:tcPr>
          <w:p w14:paraId="23572CDA" w14:textId="3906F6B8"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822 781</w:t>
            </w:r>
          </w:p>
        </w:tc>
        <w:tc>
          <w:tcPr>
            <w:tcW w:w="703" w:type="pct"/>
            <w:tcBorders>
              <w:top w:val="nil"/>
              <w:left w:val="nil"/>
              <w:bottom w:val="nil"/>
              <w:right w:val="nil"/>
            </w:tcBorders>
            <w:shd w:val="clear" w:color="000000" w:fill="FFFFFF"/>
            <w:vAlign w:val="center"/>
          </w:tcPr>
          <w:p w14:paraId="62606B4E" w14:textId="5B33C06B"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259 420</w:t>
            </w:r>
          </w:p>
        </w:tc>
      </w:tr>
      <w:tr w:rsidR="00677F3E" w:rsidRPr="00697D4D" w14:paraId="78424554" w14:textId="77777777" w:rsidTr="00241F33">
        <w:trPr>
          <w:trHeight w:val="330"/>
          <w:jc w:val="center"/>
        </w:trPr>
        <w:tc>
          <w:tcPr>
            <w:tcW w:w="2853" w:type="pct"/>
            <w:tcBorders>
              <w:top w:val="nil"/>
              <w:left w:val="nil"/>
              <w:bottom w:val="nil"/>
              <w:right w:val="nil"/>
            </w:tcBorders>
            <w:shd w:val="clear" w:color="000000" w:fill="FFFFFF"/>
            <w:vAlign w:val="center"/>
          </w:tcPr>
          <w:p w14:paraId="59D08DA6" w14:textId="6B699EF6"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Odpis ostatných pohľadávok</w:t>
            </w:r>
          </w:p>
        </w:tc>
        <w:tc>
          <w:tcPr>
            <w:tcW w:w="662" w:type="pct"/>
            <w:tcBorders>
              <w:top w:val="nil"/>
              <w:left w:val="nil"/>
              <w:bottom w:val="nil"/>
              <w:right w:val="nil"/>
            </w:tcBorders>
            <w:shd w:val="clear" w:color="000000" w:fill="FFFFFF"/>
            <w:vAlign w:val="center"/>
          </w:tcPr>
          <w:p w14:paraId="30D6EDFA" w14:textId="4E043841"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490 245</w:t>
            </w:r>
          </w:p>
        </w:tc>
        <w:tc>
          <w:tcPr>
            <w:tcW w:w="782" w:type="pct"/>
            <w:tcBorders>
              <w:top w:val="nil"/>
              <w:left w:val="nil"/>
              <w:bottom w:val="nil"/>
              <w:right w:val="nil"/>
            </w:tcBorders>
            <w:shd w:val="clear" w:color="000000" w:fill="FFFFFF"/>
            <w:vAlign w:val="center"/>
          </w:tcPr>
          <w:p w14:paraId="40744D09" w14:textId="12EEFD3E"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160 069</w:t>
            </w:r>
          </w:p>
        </w:tc>
        <w:tc>
          <w:tcPr>
            <w:tcW w:w="703" w:type="pct"/>
            <w:tcBorders>
              <w:top w:val="nil"/>
              <w:left w:val="nil"/>
              <w:bottom w:val="nil"/>
              <w:right w:val="nil"/>
            </w:tcBorders>
            <w:shd w:val="clear" w:color="000000" w:fill="FFFFFF"/>
            <w:vAlign w:val="center"/>
          </w:tcPr>
          <w:p w14:paraId="48BC3B78" w14:textId="7575EF03"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330 176</w:t>
            </w:r>
          </w:p>
        </w:tc>
      </w:tr>
      <w:tr w:rsidR="00677F3E" w:rsidRPr="00697D4D" w14:paraId="7ACC970C" w14:textId="77777777" w:rsidTr="00241F33">
        <w:trPr>
          <w:trHeight w:val="330"/>
          <w:jc w:val="center"/>
        </w:trPr>
        <w:tc>
          <w:tcPr>
            <w:tcW w:w="2853" w:type="pct"/>
            <w:tcBorders>
              <w:top w:val="nil"/>
              <w:left w:val="nil"/>
              <w:bottom w:val="nil"/>
              <w:right w:val="nil"/>
            </w:tcBorders>
            <w:shd w:val="clear" w:color="000000" w:fill="FFFFFF"/>
            <w:vAlign w:val="center"/>
          </w:tcPr>
          <w:p w14:paraId="216AA672" w14:textId="485F4ED5"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Špecifické náklady MF SR</w:t>
            </w:r>
          </w:p>
        </w:tc>
        <w:tc>
          <w:tcPr>
            <w:tcW w:w="662" w:type="pct"/>
            <w:tcBorders>
              <w:top w:val="nil"/>
              <w:left w:val="nil"/>
              <w:bottom w:val="nil"/>
              <w:right w:val="nil"/>
            </w:tcBorders>
            <w:shd w:val="clear" w:color="000000" w:fill="FFFFFF"/>
            <w:vAlign w:val="center"/>
          </w:tcPr>
          <w:p w14:paraId="138031DE" w14:textId="0B602E41"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309 589</w:t>
            </w:r>
          </w:p>
        </w:tc>
        <w:tc>
          <w:tcPr>
            <w:tcW w:w="782" w:type="pct"/>
            <w:tcBorders>
              <w:top w:val="nil"/>
              <w:left w:val="nil"/>
              <w:bottom w:val="nil"/>
              <w:right w:val="nil"/>
            </w:tcBorders>
            <w:shd w:val="clear" w:color="000000" w:fill="FFFFFF"/>
            <w:vAlign w:val="center"/>
          </w:tcPr>
          <w:p w14:paraId="3805CBF2" w14:textId="03DB242C"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224 207</w:t>
            </w:r>
          </w:p>
        </w:tc>
        <w:tc>
          <w:tcPr>
            <w:tcW w:w="703" w:type="pct"/>
            <w:tcBorders>
              <w:top w:val="nil"/>
              <w:left w:val="nil"/>
              <w:bottom w:val="nil"/>
              <w:right w:val="nil"/>
            </w:tcBorders>
            <w:shd w:val="clear" w:color="000000" w:fill="FFFFFF"/>
            <w:vAlign w:val="center"/>
          </w:tcPr>
          <w:p w14:paraId="516DC287" w14:textId="09075413"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85 382</w:t>
            </w:r>
          </w:p>
        </w:tc>
      </w:tr>
      <w:tr w:rsidR="00677F3E" w:rsidRPr="00697D4D" w14:paraId="1C1D013D" w14:textId="77777777" w:rsidTr="00241F33">
        <w:trPr>
          <w:trHeight w:val="330"/>
          <w:jc w:val="center"/>
        </w:trPr>
        <w:tc>
          <w:tcPr>
            <w:tcW w:w="2853" w:type="pct"/>
            <w:tcBorders>
              <w:top w:val="nil"/>
              <w:left w:val="nil"/>
              <w:bottom w:val="nil"/>
              <w:right w:val="nil"/>
            </w:tcBorders>
            <w:shd w:val="clear" w:color="000000" w:fill="FFFFFF"/>
            <w:vAlign w:val="center"/>
          </w:tcPr>
          <w:p w14:paraId="15CB97AE" w14:textId="79311732"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Odpis špecifických pohľadávok Ministerstva financií SR</w:t>
            </w:r>
          </w:p>
        </w:tc>
        <w:tc>
          <w:tcPr>
            <w:tcW w:w="662" w:type="pct"/>
            <w:tcBorders>
              <w:top w:val="nil"/>
              <w:left w:val="nil"/>
              <w:bottom w:val="nil"/>
              <w:right w:val="nil"/>
            </w:tcBorders>
            <w:shd w:val="clear" w:color="000000" w:fill="FFFFFF"/>
            <w:vAlign w:val="center"/>
          </w:tcPr>
          <w:p w14:paraId="3E86AC7A" w14:textId="6B53BF24"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267 301</w:t>
            </w:r>
          </w:p>
        </w:tc>
        <w:tc>
          <w:tcPr>
            <w:tcW w:w="782" w:type="pct"/>
            <w:tcBorders>
              <w:top w:val="nil"/>
              <w:left w:val="nil"/>
              <w:bottom w:val="nil"/>
              <w:right w:val="nil"/>
            </w:tcBorders>
            <w:shd w:val="clear" w:color="000000" w:fill="FFFFFF"/>
            <w:vAlign w:val="center"/>
          </w:tcPr>
          <w:p w14:paraId="4F939BFC" w14:textId="06D8AA2A"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306 849</w:t>
            </w:r>
          </w:p>
        </w:tc>
        <w:tc>
          <w:tcPr>
            <w:tcW w:w="703" w:type="pct"/>
            <w:tcBorders>
              <w:top w:val="nil"/>
              <w:left w:val="nil"/>
              <w:bottom w:val="nil"/>
              <w:right w:val="nil"/>
            </w:tcBorders>
            <w:shd w:val="clear" w:color="000000" w:fill="FFFFFF"/>
            <w:vAlign w:val="center"/>
          </w:tcPr>
          <w:p w14:paraId="6CD40050" w14:textId="4104B7E4"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-39 548</w:t>
            </w:r>
          </w:p>
        </w:tc>
      </w:tr>
      <w:tr w:rsidR="00677F3E" w:rsidRPr="00697D4D" w14:paraId="139716DF" w14:textId="77777777" w:rsidTr="00241F33">
        <w:trPr>
          <w:trHeight w:val="330"/>
          <w:jc w:val="center"/>
        </w:trPr>
        <w:tc>
          <w:tcPr>
            <w:tcW w:w="2853" w:type="pct"/>
            <w:tcBorders>
              <w:top w:val="nil"/>
              <w:left w:val="nil"/>
              <w:bottom w:val="nil"/>
              <w:right w:val="nil"/>
            </w:tcBorders>
            <w:shd w:val="clear" w:color="000000" w:fill="FFFFFF"/>
            <w:vAlign w:val="center"/>
          </w:tcPr>
          <w:p w14:paraId="1FC54486" w14:textId="6D0F8D3A"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Pokuty, penále a úroky z omeškania</w:t>
            </w:r>
          </w:p>
        </w:tc>
        <w:tc>
          <w:tcPr>
            <w:tcW w:w="662" w:type="pct"/>
            <w:tcBorders>
              <w:top w:val="nil"/>
              <w:left w:val="nil"/>
              <w:bottom w:val="nil"/>
              <w:right w:val="nil"/>
            </w:tcBorders>
            <w:shd w:val="clear" w:color="000000" w:fill="FFFFFF"/>
            <w:vAlign w:val="center"/>
          </w:tcPr>
          <w:p w14:paraId="6DE28778" w14:textId="08A9DD63"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124 127</w:t>
            </w:r>
          </w:p>
        </w:tc>
        <w:tc>
          <w:tcPr>
            <w:tcW w:w="782" w:type="pct"/>
            <w:tcBorders>
              <w:top w:val="nil"/>
              <w:left w:val="nil"/>
              <w:bottom w:val="nil"/>
              <w:right w:val="nil"/>
            </w:tcBorders>
            <w:shd w:val="clear" w:color="000000" w:fill="FFFFFF"/>
            <w:vAlign w:val="center"/>
          </w:tcPr>
          <w:p w14:paraId="2673E8AD" w14:textId="779EE76B"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88 808</w:t>
            </w:r>
          </w:p>
        </w:tc>
        <w:tc>
          <w:tcPr>
            <w:tcW w:w="703" w:type="pct"/>
            <w:tcBorders>
              <w:top w:val="nil"/>
              <w:left w:val="nil"/>
              <w:bottom w:val="nil"/>
              <w:right w:val="nil"/>
            </w:tcBorders>
            <w:shd w:val="clear" w:color="000000" w:fill="FFFFFF"/>
            <w:vAlign w:val="center"/>
          </w:tcPr>
          <w:p w14:paraId="47B205D8" w14:textId="2620E683"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35 319</w:t>
            </w:r>
          </w:p>
        </w:tc>
      </w:tr>
      <w:tr w:rsidR="00677F3E" w:rsidRPr="00697D4D" w14:paraId="7E04E534" w14:textId="77777777" w:rsidTr="00241F33">
        <w:trPr>
          <w:trHeight w:val="330"/>
          <w:jc w:val="center"/>
        </w:trPr>
        <w:tc>
          <w:tcPr>
            <w:tcW w:w="2853" w:type="pct"/>
            <w:tcBorders>
              <w:top w:val="nil"/>
              <w:left w:val="nil"/>
              <w:bottom w:val="nil"/>
              <w:right w:val="nil"/>
            </w:tcBorders>
            <w:shd w:val="clear" w:color="000000" w:fill="FFFFFF"/>
            <w:vAlign w:val="center"/>
          </w:tcPr>
          <w:p w14:paraId="265535F7" w14:textId="57380622"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Zostatková cena predaného dlhodobého majetku</w:t>
            </w:r>
          </w:p>
        </w:tc>
        <w:tc>
          <w:tcPr>
            <w:tcW w:w="662" w:type="pct"/>
            <w:tcBorders>
              <w:top w:val="nil"/>
              <w:left w:val="nil"/>
              <w:bottom w:val="nil"/>
              <w:right w:val="nil"/>
            </w:tcBorders>
            <w:shd w:val="clear" w:color="000000" w:fill="FFFFFF"/>
            <w:vAlign w:val="center"/>
          </w:tcPr>
          <w:p w14:paraId="2E040D1D" w14:textId="1B501853"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107 409</w:t>
            </w:r>
          </w:p>
        </w:tc>
        <w:tc>
          <w:tcPr>
            <w:tcW w:w="782" w:type="pct"/>
            <w:tcBorders>
              <w:top w:val="nil"/>
              <w:left w:val="nil"/>
              <w:bottom w:val="nil"/>
              <w:right w:val="nil"/>
            </w:tcBorders>
            <w:shd w:val="clear" w:color="000000" w:fill="FFFFFF"/>
            <w:vAlign w:val="center"/>
          </w:tcPr>
          <w:p w14:paraId="6C77D6D7" w14:textId="6AC1F70D"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94 382</w:t>
            </w:r>
          </w:p>
        </w:tc>
        <w:tc>
          <w:tcPr>
            <w:tcW w:w="703" w:type="pct"/>
            <w:tcBorders>
              <w:top w:val="nil"/>
              <w:left w:val="nil"/>
              <w:bottom w:val="nil"/>
              <w:right w:val="nil"/>
            </w:tcBorders>
            <w:shd w:val="clear" w:color="000000" w:fill="FFFFFF"/>
            <w:vAlign w:val="center"/>
          </w:tcPr>
          <w:p w14:paraId="4C79F6FB" w14:textId="2E2F91D4"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13 027</w:t>
            </w:r>
          </w:p>
        </w:tc>
      </w:tr>
      <w:tr w:rsidR="00677F3E" w:rsidRPr="00697D4D" w14:paraId="01406780" w14:textId="77777777" w:rsidTr="00241F33">
        <w:trPr>
          <w:trHeight w:val="330"/>
          <w:jc w:val="center"/>
        </w:trPr>
        <w:tc>
          <w:tcPr>
            <w:tcW w:w="2853" w:type="pct"/>
            <w:tcBorders>
              <w:top w:val="nil"/>
              <w:left w:val="nil"/>
              <w:bottom w:val="nil"/>
              <w:right w:val="nil"/>
            </w:tcBorders>
            <w:shd w:val="clear" w:color="000000" w:fill="FFFFFF"/>
            <w:vAlign w:val="center"/>
          </w:tcPr>
          <w:p w14:paraId="1CD9FCEB" w14:textId="71FA3F44"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Náklady SEPS, a.s. na výkup elektriny</w:t>
            </w:r>
          </w:p>
        </w:tc>
        <w:tc>
          <w:tcPr>
            <w:tcW w:w="662" w:type="pct"/>
            <w:tcBorders>
              <w:top w:val="nil"/>
              <w:left w:val="nil"/>
              <w:bottom w:val="nil"/>
              <w:right w:val="nil"/>
            </w:tcBorders>
            <w:shd w:val="clear" w:color="000000" w:fill="FFFFFF"/>
            <w:vAlign w:val="center"/>
          </w:tcPr>
          <w:p w14:paraId="71C8951D" w14:textId="2859F7F5"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28 141</w:t>
            </w:r>
          </w:p>
        </w:tc>
        <w:tc>
          <w:tcPr>
            <w:tcW w:w="782" w:type="pct"/>
            <w:tcBorders>
              <w:top w:val="nil"/>
              <w:left w:val="nil"/>
              <w:bottom w:val="nil"/>
              <w:right w:val="nil"/>
            </w:tcBorders>
            <w:shd w:val="clear" w:color="000000" w:fill="FFFFFF"/>
            <w:vAlign w:val="center"/>
          </w:tcPr>
          <w:p w14:paraId="370D8042" w14:textId="1E8A4D58"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262 913</w:t>
            </w:r>
          </w:p>
        </w:tc>
        <w:tc>
          <w:tcPr>
            <w:tcW w:w="703" w:type="pct"/>
            <w:tcBorders>
              <w:top w:val="nil"/>
              <w:left w:val="nil"/>
              <w:bottom w:val="nil"/>
              <w:right w:val="nil"/>
            </w:tcBorders>
            <w:shd w:val="clear" w:color="000000" w:fill="FFFFFF"/>
            <w:vAlign w:val="center"/>
          </w:tcPr>
          <w:p w14:paraId="1BFE2E3C" w14:textId="3AC5EC8E"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-234 772</w:t>
            </w:r>
          </w:p>
        </w:tc>
      </w:tr>
      <w:tr w:rsidR="00677F3E" w:rsidRPr="00697D4D" w14:paraId="41D23FBF" w14:textId="77777777" w:rsidTr="00241F33">
        <w:trPr>
          <w:trHeight w:val="330"/>
          <w:jc w:val="center"/>
        </w:trPr>
        <w:tc>
          <w:tcPr>
            <w:tcW w:w="2853" w:type="pct"/>
            <w:tcBorders>
              <w:top w:val="nil"/>
              <w:left w:val="nil"/>
              <w:bottom w:val="nil"/>
              <w:right w:val="nil"/>
            </w:tcBorders>
            <w:shd w:val="clear" w:color="000000" w:fill="FFFFFF"/>
            <w:vAlign w:val="center"/>
          </w:tcPr>
          <w:p w14:paraId="1ECF59B7" w14:textId="5610D748"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Predaný materiál</w:t>
            </w:r>
          </w:p>
        </w:tc>
        <w:tc>
          <w:tcPr>
            <w:tcW w:w="662" w:type="pct"/>
            <w:tcBorders>
              <w:top w:val="nil"/>
              <w:left w:val="nil"/>
              <w:bottom w:val="nil"/>
              <w:right w:val="nil"/>
            </w:tcBorders>
            <w:shd w:val="clear" w:color="000000" w:fill="FFFFFF"/>
            <w:vAlign w:val="center"/>
          </w:tcPr>
          <w:p w14:paraId="13B18E83" w14:textId="5F1FBADF"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19 149</w:t>
            </w:r>
          </w:p>
        </w:tc>
        <w:tc>
          <w:tcPr>
            <w:tcW w:w="782" w:type="pct"/>
            <w:tcBorders>
              <w:top w:val="nil"/>
              <w:left w:val="nil"/>
              <w:bottom w:val="nil"/>
              <w:right w:val="nil"/>
            </w:tcBorders>
            <w:shd w:val="clear" w:color="000000" w:fill="FFFFFF"/>
            <w:vAlign w:val="center"/>
          </w:tcPr>
          <w:p w14:paraId="1DB4EC14" w14:textId="5F50F56B"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15 817</w:t>
            </w:r>
          </w:p>
        </w:tc>
        <w:tc>
          <w:tcPr>
            <w:tcW w:w="703" w:type="pct"/>
            <w:tcBorders>
              <w:top w:val="nil"/>
              <w:left w:val="nil"/>
              <w:bottom w:val="nil"/>
              <w:right w:val="nil"/>
            </w:tcBorders>
            <w:shd w:val="clear" w:color="000000" w:fill="FFFFFF"/>
            <w:vAlign w:val="center"/>
          </w:tcPr>
          <w:p w14:paraId="40D18B1A" w14:textId="3FE4061A"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3 332</w:t>
            </w:r>
          </w:p>
        </w:tc>
      </w:tr>
      <w:tr w:rsidR="00677F3E" w:rsidRPr="00697D4D" w14:paraId="1875BEF3" w14:textId="77777777" w:rsidTr="00241F33">
        <w:trPr>
          <w:trHeight w:val="330"/>
          <w:jc w:val="center"/>
        </w:trPr>
        <w:tc>
          <w:tcPr>
            <w:tcW w:w="2853" w:type="pct"/>
            <w:tcBorders>
              <w:top w:val="nil"/>
              <w:left w:val="nil"/>
              <w:bottom w:val="single" w:sz="4" w:space="0" w:color="auto"/>
              <w:right w:val="nil"/>
            </w:tcBorders>
            <w:shd w:val="clear" w:color="000000" w:fill="FFFFFF"/>
            <w:vAlign w:val="center"/>
          </w:tcPr>
          <w:p w14:paraId="39E455B5" w14:textId="69E99096" w:rsidR="00677F3E" w:rsidRPr="00697D4D" w:rsidRDefault="00677F3E" w:rsidP="00677F3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 náklady na prevádzkovú činnosť</w:t>
            </w:r>
          </w:p>
        </w:tc>
        <w:tc>
          <w:tcPr>
            <w:tcW w:w="662" w:type="pct"/>
            <w:tcBorders>
              <w:top w:val="nil"/>
              <w:left w:val="nil"/>
              <w:bottom w:val="single" w:sz="4" w:space="0" w:color="auto"/>
              <w:right w:val="nil"/>
            </w:tcBorders>
            <w:shd w:val="clear" w:color="000000" w:fill="FFFFFF"/>
            <w:vAlign w:val="center"/>
          </w:tcPr>
          <w:p w14:paraId="07B8D9FF" w14:textId="405CAB3A"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1 167 950</w:t>
            </w:r>
          </w:p>
        </w:tc>
        <w:tc>
          <w:tcPr>
            <w:tcW w:w="782" w:type="pct"/>
            <w:tcBorders>
              <w:top w:val="nil"/>
              <w:left w:val="nil"/>
              <w:bottom w:val="single" w:sz="4" w:space="0" w:color="auto"/>
              <w:right w:val="nil"/>
            </w:tcBorders>
            <w:shd w:val="clear" w:color="000000" w:fill="FFFFFF"/>
            <w:vAlign w:val="center"/>
          </w:tcPr>
          <w:p w14:paraId="598FCBED" w14:textId="3E2196A7"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1 371 465</w:t>
            </w:r>
          </w:p>
        </w:tc>
        <w:tc>
          <w:tcPr>
            <w:tcW w:w="703" w:type="pct"/>
            <w:tcBorders>
              <w:top w:val="nil"/>
              <w:left w:val="nil"/>
              <w:bottom w:val="single" w:sz="4" w:space="0" w:color="auto"/>
              <w:right w:val="nil"/>
            </w:tcBorders>
            <w:shd w:val="clear" w:color="000000" w:fill="FFFFFF"/>
            <w:vAlign w:val="center"/>
          </w:tcPr>
          <w:p w14:paraId="7C8F1717" w14:textId="299D628E" w:rsidR="00677F3E" w:rsidRPr="00697D4D" w:rsidRDefault="00677F3E" w:rsidP="00677F3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-203 515</w:t>
            </w:r>
          </w:p>
        </w:tc>
      </w:tr>
      <w:tr w:rsidR="00677F3E" w:rsidRPr="00697D4D" w14:paraId="423A2391" w14:textId="77777777" w:rsidTr="00241F33">
        <w:trPr>
          <w:trHeight w:val="330"/>
          <w:jc w:val="center"/>
        </w:trPr>
        <w:tc>
          <w:tcPr>
            <w:tcW w:w="2853" w:type="pct"/>
            <w:tcBorders>
              <w:top w:val="single" w:sz="4" w:space="0" w:color="auto"/>
              <w:left w:val="nil"/>
              <w:bottom w:val="single" w:sz="4" w:space="0" w:color="000000"/>
              <w:right w:val="nil"/>
            </w:tcBorders>
            <w:shd w:val="clear" w:color="000000" w:fill="FFFFFF"/>
            <w:vAlign w:val="center"/>
          </w:tcPr>
          <w:p w14:paraId="782B31D6" w14:textId="15DAABEB" w:rsidR="00677F3E" w:rsidRPr="00697D4D" w:rsidRDefault="00677F3E" w:rsidP="00677F3E">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662" w:type="pct"/>
            <w:tcBorders>
              <w:top w:val="single" w:sz="4" w:space="0" w:color="auto"/>
              <w:left w:val="nil"/>
              <w:bottom w:val="single" w:sz="4" w:space="0" w:color="000000"/>
              <w:right w:val="nil"/>
            </w:tcBorders>
            <w:shd w:val="clear" w:color="000000" w:fill="FFFFFF"/>
            <w:vAlign w:val="center"/>
          </w:tcPr>
          <w:p w14:paraId="2C23DC79" w14:textId="0102110B" w:rsidR="00677F3E" w:rsidRPr="00697D4D" w:rsidRDefault="00677F3E" w:rsidP="00677F3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5 424 425</w:t>
            </w:r>
          </w:p>
        </w:tc>
        <w:tc>
          <w:tcPr>
            <w:tcW w:w="782" w:type="pct"/>
            <w:tcBorders>
              <w:top w:val="single" w:sz="4" w:space="0" w:color="auto"/>
              <w:left w:val="nil"/>
              <w:bottom w:val="single" w:sz="4" w:space="0" w:color="000000"/>
              <w:right w:val="nil"/>
            </w:tcBorders>
            <w:shd w:val="clear" w:color="000000" w:fill="FFFFFF"/>
            <w:vAlign w:val="center"/>
          </w:tcPr>
          <w:p w14:paraId="76CDE000" w14:textId="47548F17" w:rsidR="00677F3E" w:rsidRPr="00697D4D" w:rsidRDefault="00677F3E" w:rsidP="00677F3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5 169 011</w:t>
            </w:r>
          </w:p>
        </w:tc>
        <w:tc>
          <w:tcPr>
            <w:tcW w:w="703" w:type="pct"/>
            <w:tcBorders>
              <w:top w:val="single" w:sz="4" w:space="0" w:color="auto"/>
              <w:left w:val="nil"/>
              <w:bottom w:val="single" w:sz="4" w:space="0" w:color="000000"/>
              <w:right w:val="nil"/>
            </w:tcBorders>
            <w:shd w:val="clear" w:color="000000" w:fill="FFFFFF"/>
            <w:vAlign w:val="center"/>
          </w:tcPr>
          <w:p w14:paraId="53175C3B" w14:textId="120232C3" w:rsidR="00677F3E" w:rsidRPr="00697D4D" w:rsidRDefault="00677F3E" w:rsidP="00677F3E">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255 414</w:t>
            </w:r>
          </w:p>
        </w:tc>
      </w:tr>
    </w:tbl>
    <w:p w14:paraId="4B734D3D" w14:textId="77777777" w:rsidR="000219EA" w:rsidRPr="00D01DB2" w:rsidRDefault="000219EA" w:rsidP="000219EA">
      <w:pPr>
        <w:pStyle w:val="Pismenka"/>
        <w:tabs>
          <w:tab w:val="clear" w:pos="426"/>
        </w:tabs>
        <w:spacing w:after="120"/>
        <w:jc w:val="right"/>
        <w:rPr>
          <w:b w:val="0"/>
          <w:i/>
          <w:sz w:val="22"/>
          <w:szCs w:val="22"/>
          <w:u w:val="single"/>
        </w:rPr>
      </w:pPr>
      <w:r w:rsidRPr="00D01DB2">
        <w:rPr>
          <w:b w:val="0"/>
        </w:rPr>
        <w:t>Zdroj: MF SR, Centrálny konsolidačný systém</w:t>
      </w:r>
    </w:p>
    <w:p w14:paraId="4E8E58DC" w14:textId="1ED679BB" w:rsidR="00E707B4" w:rsidRPr="00C66720" w:rsidRDefault="005A629E" w:rsidP="000F5743">
      <w:pPr>
        <w:spacing w:before="240" w:after="120" w:line="240" w:lineRule="auto"/>
        <w:jc w:val="both"/>
        <w:rPr>
          <w:rFonts w:ascii="Times New Roman" w:hAnsi="Times New Roman"/>
          <w:szCs w:val="22"/>
          <w:lang w:eastAsia="sk-SK"/>
        </w:rPr>
      </w:pPr>
      <w:r w:rsidRPr="00C66720">
        <w:rPr>
          <w:rFonts w:ascii="Times New Roman" w:hAnsi="Times New Roman"/>
          <w:szCs w:val="22"/>
          <w:lang w:eastAsia="sk-SK"/>
        </w:rPr>
        <w:t>C</w:t>
      </w:r>
      <w:r w:rsidRPr="00C66720">
        <w:rPr>
          <w:rFonts w:ascii="Times New Roman" w:hAnsi="Times New Roman"/>
          <w:bCs/>
          <w:szCs w:val="22"/>
        </w:rPr>
        <w:t xml:space="preserve">elkovo ostatné náklady </w:t>
      </w:r>
      <w:r w:rsidR="00AD33D2" w:rsidRPr="00C66720">
        <w:rPr>
          <w:rFonts w:ascii="Times New Roman" w:hAnsi="Times New Roman"/>
          <w:bCs/>
          <w:szCs w:val="22"/>
        </w:rPr>
        <w:t>na prevádzkovú činnosť dosiahli 5 424 425</w:t>
      </w:r>
      <w:r w:rsidRPr="00C66720">
        <w:rPr>
          <w:rFonts w:ascii="Times New Roman" w:hAnsi="Times New Roman"/>
          <w:bCs/>
          <w:szCs w:val="22"/>
        </w:rPr>
        <w:t xml:space="preserve"> tis. eur a medziročne </w:t>
      </w:r>
      <w:r w:rsidR="00AD33D2" w:rsidRPr="00C66720">
        <w:rPr>
          <w:rFonts w:ascii="Times New Roman" w:hAnsi="Times New Roman"/>
          <w:bCs/>
          <w:szCs w:val="22"/>
        </w:rPr>
        <w:t>vzrástli</w:t>
      </w:r>
      <w:r w:rsidRPr="00C66720">
        <w:rPr>
          <w:rFonts w:ascii="Times New Roman" w:hAnsi="Times New Roman"/>
          <w:bCs/>
          <w:szCs w:val="22"/>
        </w:rPr>
        <w:t xml:space="preserve"> </w:t>
      </w:r>
      <w:r w:rsidR="009A0430" w:rsidRPr="00C66720">
        <w:rPr>
          <w:rFonts w:ascii="Times New Roman" w:hAnsi="Times New Roman"/>
          <w:bCs/>
          <w:szCs w:val="22"/>
        </w:rPr>
        <w:br/>
      </w:r>
      <w:r w:rsidRPr="00C66720">
        <w:rPr>
          <w:rFonts w:ascii="Times New Roman" w:hAnsi="Times New Roman"/>
          <w:bCs/>
          <w:szCs w:val="22"/>
        </w:rPr>
        <w:t>o</w:t>
      </w:r>
      <w:r w:rsidR="00E707B4" w:rsidRPr="00C66720">
        <w:rPr>
          <w:rFonts w:ascii="Times New Roman" w:hAnsi="Times New Roman"/>
          <w:bCs/>
          <w:szCs w:val="22"/>
        </w:rPr>
        <w:t> </w:t>
      </w:r>
      <w:r w:rsidR="00AD33D2" w:rsidRPr="00C66720">
        <w:rPr>
          <w:rFonts w:ascii="Times New Roman" w:hAnsi="Times New Roman"/>
          <w:bCs/>
          <w:szCs w:val="22"/>
        </w:rPr>
        <w:t>255 414</w:t>
      </w:r>
      <w:r w:rsidRPr="00C66720">
        <w:rPr>
          <w:rFonts w:ascii="Times New Roman" w:hAnsi="Times New Roman"/>
          <w:bCs/>
          <w:szCs w:val="22"/>
        </w:rPr>
        <w:t xml:space="preserve"> tis. eur. </w:t>
      </w:r>
      <w:r w:rsidRPr="00C66720">
        <w:rPr>
          <w:rFonts w:ascii="Times New Roman" w:hAnsi="Times New Roman"/>
          <w:szCs w:val="22"/>
          <w:lang w:eastAsia="sk-SK"/>
        </w:rPr>
        <w:t xml:space="preserve">Z hodnoty ostatných nákladov tvorí ústredná správa </w:t>
      </w:r>
      <w:r w:rsidR="00436B5F" w:rsidRPr="00C66720">
        <w:rPr>
          <w:rFonts w:ascii="Times New Roman" w:hAnsi="Times New Roman"/>
          <w:szCs w:val="22"/>
          <w:lang w:eastAsia="sk-SK"/>
        </w:rPr>
        <w:t>93</w:t>
      </w:r>
      <w:r w:rsidRPr="00C66720">
        <w:rPr>
          <w:rFonts w:ascii="Times New Roman" w:hAnsi="Times New Roman"/>
          <w:szCs w:val="22"/>
          <w:lang w:eastAsia="sk-SK"/>
        </w:rPr>
        <w:t xml:space="preserve"> % resp. </w:t>
      </w:r>
      <w:r w:rsidR="005F5409" w:rsidRPr="00C66720">
        <w:rPr>
          <w:rFonts w:ascii="Times New Roman" w:hAnsi="Times New Roman"/>
          <w:szCs w:val="22"/>
          <w:lang w:eastAsia="sk-SK"/>
        </w:rPr>
        <w:t>4 718 236</w:t>
      </w:r>
      <w:r w:rsidRPr="00C66720">
        <w:rPr>
          <w:rFonts w:ascii="Times New Roman" w:hAnsi="Times New Roman"/>
          <w:szCs w:val="22"/>
          <w:lang w:eastAsia="sk-SK"/>
        </w:rPr>
        <w:t xml:space="preserve"> tis. eur, </w:t>
      </w:r>
      <w:r w:rsidR="00E707B4" w:rsidRPr="00C66720">
        <w:rPr>
          <w:rFonts w:ascii="Times New Roman" w:hAnsi="Times New Roman"/>
          <w:szCs w:val="22"/>
          <w:lang w:eastAsia="sk-SK"/>
        </w:rPr>
        <w:t xml:space="preserve">územná samospráva </w:t>
      </w:r>
      <w:r w:rsidR="005F5409" w:rsidRPr="00C66720">
        <w:rPr>
          <w:rFonts w:ascii="Times New Roman" w:hAnsi="Times New Roman"/>
          <w:szCs w:val="22"/>
          <w:lang w:eastAsia="sk-SK"/>
        </w:rPr>
        <w:t>194 563</w:t>
      </w:r>
      <w:r w:rsidR="00E707B4" w:rsidRPr="00C66720">
        <w:rPr>
          <w:rFonts w:ascii="Times New Roman" w:hAnsi="Times New Roman"/>
          <w:szCs w:val="22"/>
          <w:lang w:eastAsia="sk-SK"/>
        </w:rPr>
        <w:t xml:space="preserve"> tis. eur a ostatné subjekty verejnej správy </w:t>
      </w:r>
      <w:r w:rsidR="005F5409" w:rsidRPr="00C66720">
        <w:rPr>
          <w:rFonts w:ascii="Times New Roman" w:hAnsi="Times New Roman"/>
          <w:szCs w:val="22"/>
          <w:lang w:eastAsia="sk-SK"/>
        </w:rPr>
        <w:t>511 626</w:t>
      </w:r>
      <w:r w:rsidR="00E707B4" w:rsidRPr="00C66720">
        <w:rPr>
          <w:rFonts w:ascii="Times New Roman" w:hAnsi="Times New Roman"/>
          <w:szCs w:val="22"/>
          <w:lang w:eastAsia="sk-SK"/>
        </w:rPr>
        <w:t xml:space="preserve"> tis. eur.</w:t>
      </w:r>
    </w:p>
    <w:p w14:paraId="21594D5C" w14:textId="4B8E32BD" w:rsidR="005A629E" w:rsidRPr="00C66720" w:rsidRDefault="005A629E" w:rsidP="000F5743">
      <w:pPr>
        <w:spacing w:after="120" w:line="240" w:lineRule="auto"/>
        <w:jc w:val="both"/>
        <w:rPr>
          <w:rFonts w:ascii="Times New Roman" w:hAnsi="Times New Roman"/>
          <w:bCs/>
          <w:szCs w:val="22"/>
        </w:rPr>
      </w:pPr>
      <w:r w:rsidRPr="00C66720">
        <w:rPr>
          <w:rFonts w:ascii="Times New Roman" w:hAnsi="Times New Roman"/>
          <w:bCs/>
          <w:szCs w:val="22"/>
        </w:rPr>
        <w:t xml:space="preserve">Ostatné náklady na prevádzkovú činnosť boli tvorené najmä </w:t>
      </w:r>
      <w:r w:rsidR="00D05112" w:rsidRPr="00C66720">
        <w:rPr>
          <w:rFonts w:ascii="Times New Roman" w:hAnsi="Times New Roman"/>
          <w:bCs/>
          <w:szCs w:val="22"/>
          <w:u w:val="single"/>
        </w:rPr>
        <w:t>n</w:t>
      </w:r>
      <w:r w:rsidRPr="00C66720">
        <w:rPr>
          <w:rFonts w:ascii="Times New Roman" w:hAnsi="Times New Roman"/>
          <w:bCs/>
          <w:szCs w:val="22"/>
          <w:u w:val="single"/>
        </w:rPr>
        <w:t>ákladmi na dávky sociálnej pomoci a štátne sociálne dávky</w:t>
      </w:r>
      <w:r w:rsidRPr="00C66720">
        <w:rPr>
          <w:rFonts w:ascii="Times New Roman" w:hAnsi="Times New Roman"/>
          <w:bCs/>
          <w:szCs w:val="22"/>
        </w:rPr>
        <w:t xml:space="preserve"> poskytované Ústredím práce, sociálnych vecí a rodiny v sume </w:t>
      </w:r>
      <w:r w:rsidR="005F5409" w:rsidRPr="00C66720">
        <w:rPr>
          <w:rFonts w:ascii="Times New Roman" w:hAnsi="Times New Roman"/>
          <w:bCs/>
          <w:szCs w:val="22"/>
        </w:rPr>
        <w:t>1 828 313</w:t>
      </w:r>
      <w:r w:rsidRPr="00C66720">
        <w:rPr>
          <w:rFonts w:ascii="Times New Roman" w:hAnsi="Times New Roman"/>
          <w:bCs/>
          <w:szCs w:val="22"/>
        </w:rPr>
        <w:t xml:space="preserve"> tis. eur </w:t>
      </w:r>
      <w:r w:rsidR="005F5409" w:rsidRPr="00C66720">
        <w:rPr>
          <w:rFonts w:ascii="Times New Roman" w:hAnsi="Times New Roman"/>
          <w:bCs/>
          <w:szCs w:val="22"/>
        </w:rPr>
        <w:t>(2021</w:t>
      </w:r>
      <w:r w:rsidRPr="00C66720">
        <w:rPr>
          <w:rFonts w:ascii="Times New Roman" w:hAnsi="Times New Roman"/>
          <w:bCs/>
          <w:szCs w:val="22"/>
        </w:rPr>
        <w:t xml:space="preserve">: </w:t>
      </w:r>
      <w:r w:rsidR="005F5409" w:rsidRPr="00C66720">
        <w:rPr>
          <w:rFonts w:ascii="Times New Roman" w:hAnsi="Times New Roman"/>
          <w:bCs/>
          <w:szCs w:val="22"/>
        </w:rPr>
        <w:t>1 821 720</w:t>
      </w:r>
      <w:r w:rsidRPr="00C66720">
        <w:rPr>
          <w:rFonts w:ascii="Times New Roman" w:hAnsi="Times New Roman"/>
          <w:bCs/>
          <w:szCs w:val="22"/>
        </w:rPr>
        <w:t xml:space="preserve"> tis. eur). Ide napr. o náklady na rodičovský príspevok (</w:t>
      </w:r>
      <w:r w:rsidR="00301080" w:rsidRPr="00C66720">
        <w:rPr>
          <w:rFonts w:ascii="Times New Roman" w:hAnsi="Times New Roman"/>
          <w:bCs/>
          <w:szCs w:val="22"/>
        </w:rPr>
        <w:t>604 737</w:t>
      </w:r>
      <w:r w:rsidRPr="00C66720">
        <w:rPr>
          <w:rFonts w:ascii="Times New Roman" w:hAnsi="Times New Roman"/>
          <w:bCs/>
          <w:szCs w:val="22"/>
        </w:rPr>
        <w:t xml:space="preserve"> tis. eur), prídavok na dieťa (</w:t>
      </w:r>
      <w:r w:rsidR="00301080" w:rsidRPr="00C66720">
        <w:rPr>
          <w:rFonts w:ascii="Times New Roman" w:hAnsi="Times New Roman"/>
          <w:bCs/>
          <w:szCs w:val="22"/>
        </w:rPr>
        <w:t>457 853</w:t>
      </w:r>
      <w:r w:rsidRPr="00C66720">
        <w:rPr>
          <w:rFonts w:ascii="Times New Roman" w:hAnsi="Times New Roman"/>
          <w:bCs/>
          <w:szCs w:val="22"/>
        </w:rPr>
        <w:t xml:space="preserve"> tis. eur), peňažný príspevok na kompenzáciu sociálnych dôsledkov ťažkého zdravotného postihnutia (</w:t>
      </w:r>
      <w:r w:rsidR="00301080" w:rsidRPr="00C66720">
        <w:rPr>
          <w:rFonts w:ascii="Times New Roman" w:hAnsi="Times New Roman"/>
          <w:bCs/>
          <w:szCs w:val="22"/>
        </w:rPr>
        <w:t>539 838</w:t>
      </w:r>
      <w:r w:rsidRPr="00C66720">
        <w:rPr>
          <w:rFonts w:ascii="Times New Roman" w:hAnsi="Times New Roman"/>
          <w:bCs/>
          <w:szCs w:val="22"/>
        </w:rPr>
        <w:t xml:space="preserve"> tis. eur), dávky v hmotnej núdzi a príspevok k dávke (</w:t>
      </w:r>
      <w:r w:rsidR="00F75190" w:rsidRPr="00C66720">
        <w:rPr>
          <w:rFonts w:ascii="Times New Roman" w:hAnsi="Times New Roman"/>
          <w:bCs/>
          <w:szCs w:val="22"/>
        </w:rPr>
        <w:t>121 517</w:t>
      </w:r>
      <w:r w:rsidRPr="00C66720">
        <w:rPr>
          <w:rFonts w:ascii="Times New Roman" w:hAnsi="Times New Roman"/>
          <w:bCs/>
          <w:szCs w:val="22"/>
        </w:rPr>
        <w:t xml:space="preserve"> tis. eur), príspevok pri narodení dieťaťa (</w:t>
      </w:r>
      <w:r w:rsidR="005A157E" w:rsidRPr="00C66720">
        <w:rPr>
          <w:rFonts w:ascii="Times New Roman" w:hAnsi="Times New Roman"/>
          <w:bCs/>
          <w:szCs w:val="22"/>
        </w:rPr>
        <w:t>44 043</w:t>
      </w:r>
      <w:r w:rsidRPr="00C66720">
        <w:rPr>
          <w:rFonts w:ascii="Times New Roman" w:hAnsi="Times New Roman"/>
          <w:bCs/>
          <w:szCs w:val="22"/>
        </w:rPr>
        <w:t xml:space="preserve"> tis. eur), </w:t>
      </w:r>
      <w:r w:rsidR="005A157E" w:rsidRPr="00C66720">
        <w:rPr>
          <w:rFonts w:ascii="Times New Roman" w:hAnsi="Times New Roman"/>
          <w:bCs/>
          <w:szCs w:val="22"/>
        </w:rPr>
        <w:t xml:space="preserve">príspevok na starostlivosť o dieťa (620 tis. eur), </w:t>
      </w:r>
      <w:r w:rsidRPr="00C66720">
        <w:rPr>
          <w:rFonts w:ascii="Times New Roman" w:hAnsi="Times New Roman"/>
          <w:bCs/>
          <w:szCs w:val="22"/>
        </w:rPr>
        <w:t xml:space="preserve">príspevok na </w:t>
      </w:r>
      <w:r w:rsidRPr="00C66720">
        <w:rPr>
          <w:rFonts w:ascii="Times New Roman" w:hAnsi="Times New Roman"/>
          <w:bCs/>
          <w:szCs w:val="22"/>
        </w:rPr>
        <w:lastRenderedPageBreak/>
        <w:t>podporu náhradnej starostlivosti o</w:t>
      </w:r>
      <w:r w:rsidR="005A157E" w:rsidRPr="00C66720">
        <w:rPr>
          <w:rFonts w:ascii="Times New Roman" w:hAnsi="Times New Roman"/>
          <w:bCs/>
          <w:szCs w:val="22"/>
        </w:rPr>
        <w:t> </w:t>
      </w:r>
      <w:r w:rsidRPr="00C66720">
        <w:rPr>
          <w:rFonts w:ascii="Times New Roman" w:hAnsi="Times New Roman"/>
          <w:bCs/>
          <w:szCs w:val="22"/>
        </w:rPr>
        <w:t>dieťa</w:t>
      </w:r>
      <w:r w:rsidR="005A157E" w:rsidRPr="00C66720">
        <w:rPr>
          <w:rFonts w:ascii="Times New Roman" w:hAnsi="Times New Roman"/>
          <w:bCs/>
          <w:szCs w:val="22"/>
        </w:rPr>
        <w:t xml:space="preserve"> a náhradnú rodičovskú starostlivosť </w:t>
      </w:r>
      <w:r w:rsidRPr="00C66720">
        <w:rPr>
          <w:rFonts w:ascii="Times New Roman" w:hAnsi="Times New Roman"/>
          <w:bCs/>
          <w:szCs w:val="22"/>
        </w:rPr>
        <w:t>(</w:t>
      </w:r>
      <w:r w:rsidR="005A157E" w:rsidRPr="00C66720">
        <w:rPr>
          <w:rFonts w:ascii="Times New Roman" w:hAnsi="Times New Roman"/>
          <w:bCs/>
          <w:szCs w:val="22"/>
        </w:rPr>
        <w:t>31 460</w:t>
      </w:r>
      <w:r w:rsidRPr="00C66720">
        <w:rPr>
          <w:rFonts w:ascii="Times New Roman" w:hAnsi="Times New Roman"/>
          <w:bCs/>
          <w:szCs w:val="22"/>
        </w:rPr>
        <w:t xml:space="preserve"> tis. eur), náhradné výživné (</w:t>
      </w:r>
      <w:r w:rsidR="005A157E" w:rsidRPr="00C66720">
        <w:rPr>
          <w:rFonts w:ascii="Times New Roman" w:hAnsi="Times New Roman"/>
          <w:bCs/>
          <w:szCs w:val="22"/>
        </w:rPr>
        <w:t>9 379</w:t>
      </w:r>
      <w:r w:rsidRPr="00C66720">
        <w:rPr>
          <w:rFonts w:ascii="Times New Roman" w:hAnsi="Times New Roman"/>
          <w:bCs/>
          <w:szCs w:val="22"/>
        </w:rPr>
        <w:t xml:space="preserve"> tis. eur)</w:t>
      </w:r>
      <w:r w:rsidR="005A157E" w:rsidRPr="00C66720">
        <w:rPr>
          <w:rFonts w:ascii="Times New Roman" w:hAnsi="Times New Roman"/>
          <w:bCs/>
          <w:szCs w:val="22"/>
        </w:rPr>
        <w:t>, príspevok na pohreb (4 622 tis. eur) a tiež zvýšenie prídavku na dieťa pri nástupe do 1. ročníka Základnej školy (6 258 tis. eur).</w:t>
      </w:r>
      <w:r w:rsidR="007C1F04" w:rsidRPr="00C66720">
        <w:rPr>
          <w:rFonts w:ascii="Times New Roman" w:hAnsi="Times New Roman"/>
          <w:bCs/>
          <w:szCs w:val="22"/>
        </w:rPr>
        <w:t xml:space="preserve"> </w:t>
      </w:r>
      <w:r w:rsidR="00015517" w:rsidRPr="00C66720">
        <w:rPr>
          <w:rFonts w:ascii="Times New Roman" w:hAnsi="Times New Roman"/>
          <w:bCs/>
          <w:szCs w:val="22"/>
        </w:rPr>
        <w:t xml:space="preserve">Medziročný prírastok </w:t>
      </w:r>
      <w:r w:rsidR="007C1F04" w:rsidRPr="00C66720">
        <w:rPr>
          <w:rFonts w:ascii="Times New Roman" w:hAnsi="Times New Roman"/>
          <w:bCs/>
          <w:szCs w:val="22"/>
        </w:rPr>
        <w:t>v</w:t>
      </w:r>
      <w:r w:rsidR="00015517" w:rsidRPr="00C66720">
        <w:rPr>
          <w:rFonts w:ascii="Times New Roman" w:hAnsi="Times New Roman"/>
          <w:bCs/>
          <w:szCs w:val="22"/>
        </w:rPr>
        <w:t xml:space="preserve"> sume </w:t>
      </w:r>
      <w:r w:rsidR="000214FF" w:rsidRPr="00C66720">
        <w:rPr>
          <w:rFonts w:ascii="Times New Roman" w:hAnsi="Times New Roman"/>
          <w:bCs/>
          <w:szCs w:val="22"/>
        </w:rPr>
        <w:br/>
      </w:r>
      <w:r w:rsidR="007C1F04" w:rsidRPr="00C66720">
        <w:rPr>
          <w:rFonts w:ascii="Times New Roman" w:hAnsi="Times New Roman"/>
          <w:bCs/>
          <w:szCs w:val="22"/>
        </w:rPr>
        <w:t>6 593</w:t>
      </w:r>
      <w:r w:rsidR="00015517" w:rsidRPr="00C66720">
        <w:rPr>
          <w:rFonts w:ascii="Times New Roman" w:hAnsi="Times New Roman"/>
          <w:bCs/>
          <w:szCs w:val="22"/>
        </w:rPr>
        <w:t xml:space="preserve"> tis. eur</w:t>
      </w:r>
      <w:r w:rsidR="007C1F04" w:rsidRPr="00C66720">
        <w:rPr>
          <w:rFonts w:ascii="Times New Roman" w:hAnsi="Times New Roman"/>
          <w:bCs/>
          <w:szCs w:val="22"/>
        </w:rPr>
        <w:t>.</w:t>
      </w:r>
      <w:r w:rsidR="00015517" w:rsidRPr="00C66720">
        <w:rPr>
          <w:rFonts w:ascii="Times New Roman" w:hAnsi="Times New Roman"/>
          <w:bCs/>
          <w:szCs w:val="22"/>
        </w:rPr>
        <w:t xml:space="preserve"> bol spôsobený valorizáciou jednotlivých typov dávok</w:t>
      </w:r>
      <w:r w:rsidR="007C1F04" w:rsidRPr="00C66720">
        <w:rPr>
          <w:rFonts w:ascii="Times New Roman" w:hAnsi="Times New Roman"/>
          <w:bCs/>
          <w:szCs w:val="22"/>
        </w:rPr>
        <w:t xml:space="preserve"> ako aj poskytovaním zvýšeného prídavku na dieťa pri nástupe do základnej školy</w:t>
      </w:r>
      <w:r w:rsidR="00015517" w:rsidRPr="00C66720">
        <w:rPr>
          <w:rFonts w:ascii="Times New Roman" w:hAnsi="Times New Roman"/>
          <w:bCs/>
          <w:szCs w:val="22"/>
        </w:rPr>
        <w:t>.</w:t>
      </w:r>
    </w:p>
    <w:p w14:paraId="02D895B6" w14:textId="343B2FBA" w:rsidR="00163878" w:rsidRPr="00C66720" w:rsidRDefault="001E79FB" w:rsidP="00163878">
      <w:pPr>
        <w:spacing w:after="120" w:line="240" w:lineRule="auto"/>
        <w:jc w:val="both"/>
        <w:rPr>
          <w:rFonts w:ascii="Times New Roman" w:hAnsi="Times New Roman"/>
          <w:bCs/>
          <w:szCs w:val="22"/>
        </w:rPr>
      </w:pPr>
      <w:r w:rsidRPr="00C66720">
        <w:rPr>
          <w:rFonts w:ascii="Times New Roman" w:hAnsi="Times New Roman"/>
          <w:bCs/>
          <w:szCs w:val="22"/>
        </w:rPr>
        <w:t>Druhé najväčšie sú</w:t>
      </w:r>
      <w:r w:rsidR="00163878" w:rsidRPr="00C66720">
        <w:rPr>
          <w:rFonts w:ascii="Times New Roman" w:hAnsi="Times New Roman"/>
          <w:bCs/>
          <w:szCs w:val="22"/>
        </w:rPr>
        <w:t xml:space="preserve"> </w:t>
      </w:r>
      <w:r w:rsidR="00163878" w:rsidRPr="00C66720">
        <w:rPr>
          <w:rFonts w:ascii="Times New Roman" w:hAnsi="Times New Roman"/>
          <w:bCs/>
          <w:szCs w:val="22"/>
          <w:u w:val="single"/>
        </w:rPr>
        <w:t>náklady</w:t>
      </w:r>
      <w:r w:rsidR="00163878" w:rsidRPr="00C66720">
        <w:rPr>
          <w:rFonts w:ascii="Times New Roman" w:hAnsi="Times New Roman"/>
          <w:bCs/>
          <w:szCs w:val="22"/>
        </w:rPr>
        <w:t xml:space="preserve"> národnej lotériovej spoločnosti </w:t>
      </w:r>
      <w:r w:rsidR="00163878" w:rsidRPr="00C66720">
        <w:rPr>
          <w:rFonts w:ascii="Times New Roman" w:hAnsi="Times New Roman"/>
          <w:bCs/>
          <w:szCs w:val="22"/>
          <w:u w:val="single"/>
        </w:rPr>
        <w:t>TIPOS, a.s. na vyplatené výhry</w:t>
      </w:r>
      <w:r w:rsidR="00163878" w:rsidRPr="00C66720">
        <w:rPr>
          <w:rFonts w:ascii="Times New Roman" w:hAnsi="Times New Roman"/>
          <w:bCs/>
          <w:szCs w:val="22"/>
        </w:rPr>
        <w:t>, ktoré zaznamenali nárast o</w:t>
      </w:r>
      <w:r w:rsidR="00D033FF" w:rsidRPr="00C66720">
        <w:rPr>
          <w:rFonts w:ascii="Times New Roman" w:hAnsi="Times New Roman"/>
          <w:bCs/>
          <w:szCs w:val="22"/>
        </w:rPr>
        <w:t> 259 420</w:t>
      </w:r>
      <w:r w:rsidR="00163878" w:rsidRPr="00C66720">
        <w:rPr>
          <w:rFonts w:ascii="Times New Roman" w:hAnsi="Times New Roman"/>
          <w:bCs/>
          <w:szCs w:val="22"/>
        </w:rPr>
        <w:t xml:space="preserve"> tis. eur z dôvodu nárastu tržieb z prevádzkovania hazardných hier </w:t>
      </w:r>
      <w:r w:rsidR="00D033FF" w:rsidRPr="00C66720">
        <w:rPr>
          <w:rFonts w:ascii="Times New Roman" w:hAnsi="Times New Roman"/>
          <w:bCs/>
          <w:szCs w:val="22"/>
        </w:rPr>
        <w:t xml:space="preserve">o 30 % </w:t>
      </w:r>
      <w:r w:rsidR="00163878" w:rsidRPr="00C66720">
        <w:rPr>
          <w:rFonts w:ascii="Times New Roman" w:hAnsi="Times New Roman"/>
          <w:bCs/>
          <w:szCs w:val="22"/>
        </w:rPr>
        <w:t xml:space="preserve">a k nim prislúchajúce náklady na výhry. </w:t>
      </w:r>
    </w:p>
    <w:p w14:paraId="5E319770" w14:textId="4E3AEAD5" w:rsidR="003C0DED" w:rsidRPr="00C66720" w:rsidRDefault="00DA2F22" w:rsidP="003C0DED">
      <w:pPr>
        <w:spacing w:after="120" w:line="240" w:lineRule="auto"/>
        <w:jc w:val="both"/>
        <w:rPr>
          <w:rFonts w:ascii="Times New Roman" w:hAnsi="Times New Roman"/>
          <w:bCs/>
          <w:szCs w:val="22"/>
        </w:rPr>
      </w:pPr>
      <w:r w:rsidRPr="00C66720">
        <w:rPr>
          <w:rFonts w:ascii="Times New Roman" w:hAnsi="Times New Roman"/>
          <w:bCs/>
          <w:szCs w:val="22"/>
          <w:u w:val="single"/>
        </w:rPr>
        <w:t>Odpis ostatných pohľadávok</w:t>
      </w:r>
      <w:r w:rsidRPr="00C66720">
        <w:rPr>
          <w:rFonts w:ascii="Times New Roman" w:hAnsi="Times New Roman"/>
          <w:bCs/>
          <w:szCs w:val="22"/>
        </w:rPr>
        <w:t xml:space="preserve"> predstavuje náklady v súvislosti s odpisom nevymožiteľných pohľadávok alebo pohľadávok, ktorých vymáhanie by bolo nerentabilné. Sociálna poisťovňa odpísala pohľadávky v celkovom objeme 370 033 tis. eur</w:t>
      </w:r>
      <w:r w:rsidR="00CB4FFC">
        <w:rPr>
          <w:rFonts w:ascii="Times New Roman" w:hAnsi="Times New Roman"/>
          <w:bCs/>
          <w:szCs w:val="22"/>
        </w:rPr>
        <w:t>, čo súviselo hlavne s odkupom pohľadávok poisťovne spoločnosťou Debitum, a.s. (302 917 tis. eur) na ich následné odpustenie voči zdravotníckym zariadeniam.</w:t>
      </w:r>
      <w:r w:rsidRPr="00C66720">
        <w:rPr>
          <w:rFonts w:ascii="Times New Roman" w:hAnsi="Times New Roman"/>
          <w:bCs/>
          <w:szCs w:val="22"/>
        </w:rPr>
        <w:t xml:space="preserve"> Všeobecná zdravotná poisťovňa, a.s. odpísala pohľadávky vzniknuté najmä z verejného zdravotného poistenia, pohľadávky za regresy a spätné vyňatie a iné pohľadávky z prevádzkovej činnosti v celkovej sume 49 523 tis. eur. </w:t>
      </w:r>
    </w:p>
    <w:p w14:paraId="50098134" w14:textId="351BA4D1" w:rsidR="003C0DED" w:rsidRPr="00C66720" w:rsidRDefault="003C0DED" w:rsidP="003C0DED">
      <w:pPr>
        <w:spacing w:after="120" w:line="240" w:lineRule="auto"/>
        <w:jc w:val="both"/>
        <w:rPr>
          <w:rFonts w:ascii="Times New Roman" w:hAnsi="Times New Roman"/>
          <w:bCs/>
          <w:szCs w:val="22"/>
        </w:rPr>
      </w:pPr>
      <w:r w:rsidRPr="00C66720">
        <w:rPr>
          <w:rFonts w:ascii="Times New Roman" w:hAnsi="Times New Roman"/>
          <w:bCs/>
          <w:szCs w:val="22"/>
        </w:rPr>
        <w:t xml:space="preserve">Nasledujú </w:t>
      </w:r>
      <w:r w:rsidRPr="00C66720">
        <w:rPr>
          <w:rFonts w:ascii="Times New Roman" w:hAnsi="Times New Roman"/>
          <w:bCs/>
          <w:szCs w:val="22"/>
          <w:u w:val="single"/>
        </w:rPr>
        <w:t>špecifické náklady Ministerstva financií SR</w:t>
      </w:r>
      <w:r w:rsidRPr="00CB4FFC">
        <w:rPr>
          <w:rFonts w:ascii="Times New Roman" w:hAnsi="Times New Roman"/>
          <w:bCs/>
          <w:szCs w:val="22"/>
        </w:rPr>
        <w:t xml:space="preserve"> </w:t>
      </w:r>
      <w:r w:rsidRPr="00C66720">
        <w:rPr>
          <w:rFonts w:ascii="Times New Roman" w:hAnsi="Times New Roman"/>
          <w:bCs/>
          <w:szCs w:val="22"/>
        </w:rPr>
        <w:t>vzťahujúce sa na Európske štrukturálne a investičné fondy pre programové obdobie 2014 – 2020 z nezrovnalostí a odpočítaných súm v žiadostiach o platbu na Európsku komisiu v sume 264 151 tis. eur a príspevky SR do Európskeho rozvojového fondu v sume 1 128 tis. eur</w:t>
      </w:r>
      <w:r w:rsidR="00A80464">
        <w:rPr>
          <w:rFonts w:ascii="Times New Roman" w:hAnsi="Times New Roman"/>
          <w:bCs/>
          <w:szCs w:val="22"/>
        </w:rPr>
        <w:t xml:space="preserve"> a boli tu zahrnuté aj náklady súvisiace s pokračujúcou pandémiou COVID-19, v rámci nich aj na podporu očkovania populácie na Slovensku v podobe očkovacej prémie a sprostredkovateľského bonusu, ktoré boli spustené v roku 2021. V roku 2022 boli na tieto motivačné nástroje Ministerstva financií SR </w:t>
      </w:r>
      <w:r w:rsidRPr="00C66720">
        <w:rPr>
          <w:rFonts w:ascii="Times New Roman" w:hAnsi="Times New Roman"/>
          <w:bCs/>
          <w:szCs w:val="22"/>
        </w:rPr>
        <w:t xml:space="preserve">vynaložené náklady vo výške 33 576 tis. eur </w:t>
      </w:r>
      <w:r w:rsidR="00A80464">
        <w:rPr>
          <w:rFonts w:ascii="Times New Roman" w:hAnsi="Times New Roman"/>
          <w:bCs/>
          <w:szCs w:val="22"/>
        </w:rPr>
        <w:br/>
      </w:r>
      <w:r w:rsidRPr="00C66720">
        <w:rPr>
          <w:rFonts w:ascii="Times New Roman" w:hAnsi="Times New Roman"/>
          <w:bCs/>
          <w:szCs w:val="22"/>
        </w:rPr>
        <w:t xml:space="preserve">(2021: 23 871 tis. eur). </w:t>
      </w:r>
    </w:p>
    <w:p w14:paraId="3E7C912E" w14:textId="2DEB54E9" w:rsidR="005A7511" w:rsidRPr="00C66720" w:rsidRDefault="003C0DED" w:rsidP="00163878">
      <w:pPr>
        <w:spacing w:after="120" w:line="240" w:lineRule="auto"/>
        <w:jc w:val="both"/>
        <w:rPr>
          <w:rFonts w:ascii="Times New Roman" w:hAnsi="Times New Roman"/>
          <w:bCs/>
          <w:szCs w:val="22"/>
        </w:rPr>
      </w:pPr>
      <w:r w:rsidRPr="00C66720">
        <w:rPr>
          <w:rFonts w:ascii="Times New Roman" w:hAnsi="Times New Roman"/>
          <w:bCs/>
          <w:szCs w:val="22"/>
        </w:rPr>
        <w:t>Významné (267 301 tis. eur) sú taktiež</w:t>
      </w:r>
      <w:r w:rsidR="00163878" w:rsidRPr="00C66720">
        <w:rPr>
          <w:rFonts w:ascii="Times New Roman" w:hAnsi="Times New Roman"/>
          <w:bCs/>
          <w:szCs w:val="22"/>
        </w:rPr>
        <w:t xml:space="preserve"> </w:t>
      </w:r>
      <w:r w:rsidR="00163878" w:rsidRPr="00C66720">
        <w:rPr>
          <w:rFonts w:ascii="Times New Roman" w:hAnsi="Times New Roman"/>
          <w:bCs/>
          <w:szCs w:val="22"/>
          <w:u w:val="single"/>
        </w:rPr>
        <w:t>náklady Ministerstva financií SR v súvislosti s odpisom</w:t>
      </w:r>
      <w:r w:rsidR="00163878" w:rsidRPr="00C66720">
        <w:rPr>
          <w:rFonts w:ascii="Times New Roman" w:hAnsi="Times New Roman"/>
          <w:bCs/>
          <w:szCs w:val="22"/>
        </w:rPr>
        <w:t xml:space="preserve"> nedobytných daňových a colných</w:t>
      </w:r>
      <w:r w:rsidR="00163878" w:rsidRPr="00C66720">
        <w:rPr>
          <w:rFonts w:ascii="Times New Roman" w:hAnsi="Times New Roman"/>
          <w:bCs/>
          <w:szCs w:val="22"/>
          <w:u w:val="single"/>
        </w:rPr>
        <w:t xml:space="preserve"> pohľadávok</w:t>
      </w:r>
      <w:r w:rsidR="00163878" w:rsidRPr="00C66720">
        <w:rPr>
          <w:rFonts w:ascii="Times New Roman" w:hAnsi="Times New Roman"/>
          <w:bCs/>
          <w:szCs w:val="22"/>
        </w:rPr>
        <w:t xml:space="preserve"> (</w:t>
      </w:r>
      <w:r w:rsidR="005A7511" w:rsidRPr="00C66720">
        <w:rPr>
          <w:rFonts w:ascii="Times New Roman" w:hAnsi="Times New Roman"/>
          <w:bCs/>
          <w:szCs w:val="22"/>
        </w:rPr>
        <w:t>264 780</w:t>
      </w:r>
      <w:r w:rsidR="00163878" w:rsidRPr="00C66720">
        <w:rPr>
          <w:rFonts w:ascii="Times New Roman" w:hAnsi="Times New Roman"/>
          <w:bCs/>
          <w:szCs w:val="22"/>
        </w:rPr>
        <w:t xml:space="preserve"> tis. eur)</w:t>
      </w:r>
      <w:r w:rsidR="002D75E7" w:rsidRPr="00C66720">
        <w:rPr>
          <w:rFonts w:ascii="Times New Roman" w:hAnsi="Times New Roman"/>
          <w:bCs/>
          <w:szCs w:val="22"/>
        </w:rPr>
        <w:t xml:space="preserve">, pohľadávok z odvodov za prevádzkovanie hazardných hier (1 783 tis. eur) a pohľadávok z nezrovnalostí v rámci štrukturálnych fondov, kohézneho fondu a európskeho fondu pre rybné hospodárstvo za programové obdobie </w:t>
      </w:r>
      <w:r w:rsidR="00765AD9">
        <w:rPr>
          <w:rFonts w:ascii="Times New Roman" w:hAnsi="Times New Roman"/>
          <w:bCs/>
          <w:szCs w:val="22"/>
        </w:rPr>
        <w:br/>
      </w:r>
      <w:r w:rsidR="002D75E7" w:rsidRPr="00C66720">
        <w:rPr>
          <w:rFonts w:ascii="Times New Roman" w:hAnsi="Times New Roman"/>
          <w:bCs/>
          <w:szCs w:val="22"/>
        </w:rPr>
        <w:t xml:space="preserve">2004 – 2006 a 2007 – 2013 (581 tis. eur). </w:t>
      </w:r>
    </w:p>
    <w:p w14:paraId="4E5E8CC6" w14:textId="77777777" w:rsidR="00D93184" w:rsidRDefault="00180E34" w:rsidP="00180E34">
      <w:pPr>
        <w:pStyle w:val="Pismenka"/>
        <w:tabs>
          <w:tab w:val="clear" w:pos="426"/>
          <w:tab w:val="num" w:pos="0"/>
        </w:tabs>
        <w:spacing w:after="120"/>
        <w:ind w:left="0" w:firstLine="0"/>
        <w:rPr>
          <w:b w:val="0"/>
          <w:bCs w:val="0"/>
          <w:sz w:val="22"/>
          <w:szCs w:val="22"/>
        </w:rPr>
      </w:pPr>
      <w:r w:rsidRPr="00C66720">
        <w:rPr>
          <w:b w:val="0"/>
          <w:bCs w:val="0"/>
          <w:sz w:val="22"/>
          <w:szCs w:val="22"/>
          <w:u w:val="single"/>
        </w:rPr>
        <w:t>Náklady na pokuty a penále</w:t>
      </w:r>
      <w:r w:rsidRPr="00C66720">
        <w:rPr>
          <w:b w:val="0"/>
          <w:bCs w:val="0"/>
          <w:sz w:val="22"/>
          <w:szCs w:val="22"/>
        </w:rPr>
        <w:t xml:space="preserve"> medziročne vzrástli o 35 319 tis. eur a to najmä v ústrednej správe </w:t>
      </w:r>
      <w:r w:rsidRPr="00C66720">
        <w:rPr>
          <w:b w:val="0"/>
          <w:bCs w:val="0"/>
          <w:sz w:val="22"/>
          <w:szCs w:val="22"/>
        </w:rPr>
        <w:br/>
        <w:t xml:space="preserve">o 30 121 tis. eur a dosiahli celkovú hodnotu 124 127 tis. eur. Tieto náklady vznikajú z dôvodu predpisu sankčných úrokov z omeškania u zdravotníckych zariadení a predpisu nezrovnalostí pri čerpaní z prostriedkov Európskych štrukturálnych a investičných fondov. Ústredná správa vykázala </w:t>
      </w:r>
      <w:r w:rsidRPr="00C66720">
        <w:rPr>
          <w:b w:val="0"/>
          <w:bCs w:val="0"/>
          <w:sz w:val="22"/>
          <w:szCs w:val="22"/>
        </w:rPr>
        <w:br/>
        <w:t>111 798 tis. eur a územná samospráva 11 153 tis. eur.</w:t>
      </w:r>
    </w:p>
    <w:p w14:paraId="3313CCAF" w14:textId="09CEECB8" w:rsidR="00D93184" w:rsidRDefault="00180E34" w:rsidP="00180E34">
      <w:pPr>
        <w:pStyle w:val="Pismenka"/>
        <w:tabs>
          <w:tab w:val="clear" w:pos="426"/>
          <w:tab w:val="num" w:pos="0"/>
        </w:tabs>
        <w:spacing w:after="120"/>
        <w:ind w:left="0" w:firstLine="0"/>
        <w:rPr>
          <w:b w:val="0"/>
          <w:bCs w:val="0"/>
          <w:sz w:val="22"/>
          <w:szCs w:val="22"/>
        </w:rPr>
      </w:pPr>
      <w:r w:rsidRPr="00C66720">
        <w:rPr>
          <w:b w:val="0"/>
          <w:bCs w:val="0"/>
          <w:sz w:val="22"/>
          <w:szCs w:val="22"/>
        </w:rPr>
        <w:t>Sankčné úroky z omeškania, penále a pokuty v prípade zdravotníckych zariadení predstavujú 78 438 tis. eur a</w:t>
      </w:r>
      <w:r w:rsidR="00D93184">
        <w:rPr>
          <w:b w:val="0"/>
          <w:bCs w:val="0"/>
          <w:sz w:val="22"/>
          <w:szCs w:val="22"/>
        </w:rPr>
        <w:t> súviseli s doúčtovaním penálov voči Sociálnej poisťovni z dôvodu prípravy pohľadávok na ich následný odplatný prevod na Debitum,a.s. N</w:t>
      </w:r>
      <w:r w:rsidRPr="00C66720">
        <w:rPr>
          <w:b w:val="0"/>
          <w:bCs w:val="0"/>
          <w:sz w:val="22"/>
          <w:szCs w:val="22"/>
        </w:rPr>
        <w:t>ajvýznamnejšie sú u Univerzitnej nemocnice Bratislava</w:t>
      </w:r>
      <w:r w:rsidR="00D93184">
        <w:rPr>
          <w:b w:val="0"/>
          <w:bCs w:val="0"/>
          <w:sz w:val="22"/>
          <w:szCs w:val="22"/>
        </w:rPr>
        <w:br/>
      </w:r>
      <w:r w:rsidRPr="00C66720">
        <w:rPr>
          <w:b w:val="0"/>
          <w:bCs w:val="0"/>
          <w:sz w:val="22"/>
          <w:szCs w:val="22"/>
        </w:rPr>
        <w:t>(30 973 tis. eur), Univerzitnej nemocnice Martin (10 646 tis. eur), Fakultnej nemocnice s poliklinikou F. D. Roosevelta Banská Bystrica (10 265 tis. eur), Fakultnej nemocnice s poliklinikou J. A. Reimana Prešov (8 062 tis. eur), Fakultnej nemocnice s poliklinikou Žilina (6 221 tis. eur) a Fakultnej nemocnice Trnava (5 819 tis. eur).</w:t>
      </w:r>
    </w:p>
    <w:p w14:paraId="6405BF0A" w14:textId="265B601C" w:rsidR="00110D00" w:rsidRPr="00C66720" w:rsidRDefault="007A62D0" w:rsidP="00163878">
      <w:pPr>
        <w:spacing w:after="120" w:line="240" w:lineRule="auto"/>
        <w:jc w:val="both"/>
        <w:rPr>
          <w:rFonts w:ascii="Times New Roman" w:hAnsi="Times New Roman"/>
          <w:bCs/>
          <w:color w:val="FF0000"/>
          <w:szCs w:val="22"/>
          <w:highlight w:val="yellow"/>
        </w:rPr>
      </w:pPr>
      <w:r>
        <w:rPr>
          <w:rFonts w:ascii="Times New Roman" w:hAnsi="Times New Roman"/>
          <w:bCs/>
          <w:szCs w:val="22"/>
          <w:u w:val="single"/>
        </w:rPr>
        <w:t>N</w:t>
      </w:r>
      <w:r w:rsidR="00163878" w:rsidRPr="00C66720">
        <w:rPr>
          <w:rFonts w:ascii="Times New Roman" w:hAnsi="Times New Roman"/>
          <w:bCs/>
          <w:szCs w:val="22"/>
          <w:u w:val="single"/>
        </w:rPr>
        <w:t>áklady SEPS, a.s.</w:t>
      </w:r>
      <w:r w:rsidR="00455C1E" w:rsidRPr="006967F2">
        <w:rPr>
          <w:rFonts w:ascii="Times New Roman" w:hAnsi="Times New Roman"/>
          <w:bCs/>
          <w:szCs w:val="22"/>
        </w:rPr>
        <w:t xml:space="preserve"> </w:t>
      </w:r>
      <w:r w:rsidR="00455C1E" w:rsidRPr="00C66720">
        <w:rPr>
          <w:rFonts w:ascii="Times New Roman" w:hAnsi="Times New Roman"/>
          <w:bCs/>
          <w:szCs w:val="22"/>
        </w:rPr>
        <w:t>v podobe doplatkov a odmien na činnosť výkupcu v rámci podpory a výroby elektriny z obnoviteľných zdrojov energie a kombinovanej výroby elektriny a</w:t>
      </w:r>
      <w:r>
        <w:rPr>
          <w:rFonts w:ascii="Times New Roman" w:hAnsi="Times New Roman"/>
          <w:bCs/>
          <w:szCs w:val="22"/>
        </w:rPr>
        <w:t> </w:t>
      </w:r>
      <w:r w:rsidR="00455C1E" w:rsidRPr="00C66720">
        <w:rPr>
          <w:rFonts w:ascii="Times New Roman" w:hAnsi="Times New Roman"/>
          <w:bCs/>
          <w:szCs w:val="22"/>
        </w:rPr>
        <w:t>tepla</w:t>
      </w:r>
      <w:r>
        <w:rPr>
          <w:rFonts w:ascii="Times New Roman" w:hAnsi="Times New Roman"/>
          <w:bCs/>
          <w:szCs w:val="22"/>
        </w:rPr>
        <w:t xml:space="preserve"> zaznamenali v</w:t>
      </w:r>
      <w:r w:rsidR="00455C1E" w:rsidRPr="00C66720">
        <w:rPr>
          <w:rFonts w:ascii="Times New Roman" w:hAnsi="Times New Roman"/>
          <w:bCs/>
          <w:szCs w:val="22"/>
        </w:rPr>
        <w:t xml:space="preserve">ýznamný medziročný pokles </w:t>
      </w:r>
      <w:r>
        <w:rPr>
          <w:rFonts w:ascii="Times New Roman" w:hAnsi="Times New Roman"/>
          <w:bCs/>
          <w:szCs w:val="22"/>
        </w:rPr>
        <w:t>z dôvodu</w:t>
      </w:r>
      <w:r w:rsidR="007268F9" w:rsidRPr="00C66720">
        <w:rPr>
          <w:rFonts w:ascii="Times New Roman" w:hAnsi="Times New Roman"/>
          <w:bCs/>
          <w:szCs w:val="22"/>
        </w:rPr>
        <w:t xml:space="preserve"> </w:t>
      </w:r>
      <w:r>
        <w:rPr>
          <w:rFonts w:ascii="Times New Roman" w:hAnsi="Times New Roman"/>
          <w:bCs/>
          <w:szCs w:val="22"/>
        </w:rPr>
        <w:t>rastu</w:t>
      </w:r>
      <w:r w:rsidRPr="00C66720">
        <w:rPr>
          <w:rFonts w:ascii="Times New Roman" w:hAnsi="Times New Roman"/>
          <w:bCs/>
          <w:szCs w:val="22"/>
        </w:rPr>
        <w:t xml:space="preserve"> </w:t>
      </w:r>
      <w:r w:rsidR="007268F9" w:rsidRPr="00C66720">
        <w:rPr>
          <w:rFonts w:ascii="Times New Roman" w:hAnsi="Times New Roman"/>
          <w:bCs/>
          <w:szCs w:val="22"/>
        </w:rPr>
        <w:t xml:space="preserve">cien energií </w:t>
      </w:r>
      <w:r>
        <w:rPr>
          <w:rFonts w:ascii="Times New Roman" w:hAnsi="Times New Roman"/>
          <w:bCs/>
          <w:szCs w:val="22"/>
        </w:rPr>
        <w:t xml:space="preserve">na medzinárodných trhoch, čo </w:t>
      </w:r>
      <w:r w:rsidR="00882F0E">
        <w:rPr>
          <w:rFonts w:ascii="Times New Roman" w:hAnsi="Times New Roman"/>
          <w:bCs/>
          <w:szCs w:val="22"/>
        </w:rPr>
        <w:t>umožnilo</w:t>
      </w:r>
      <w:r w:rsidRPr="00C66720">
        <w:rPr>
          <w:rFonts w:ascii="Times New Roman" w:hAnsi="Times New Roman"/>
          <w:bCs/>
          <w:szCs w:val="22"/>
        </w:rPr>
        <w:t xml:space="preserve"> </w:t>
      </w:r>
      <w:r w:rsidR="007268F9" w:rsidRPr="00C66720">
        <w:rPr>
          <w:rFonts w:ascii="Times New Roman" w:hAnsi="Times New Roman"/>
          <w:bCs/>
          <w:szCs w:val="22"/>
        </w:rPr>
        <w:t xml:space="preserve">nižšie </w:t>
      </w:r>
      <w:r>
        <w:rPr>
          <w:rFonts w:ascii="Times New Roman" w:hAnsi="Times New Roman"/>
          <w:bCs/>
          <w:szCs w:val="22"/>
        </w:rPr>
        <w:t>financovanie podpory</w:t>
      </w:r>
      <w:r w:rsidR="007268F9" w:rsidRPr="00C66720">
        <w:rPr>
          <w:rFonts w:ascii="Times New Roman" w:hAnsi="Times New Roman"/>
          <w:bCs/>
          <w:szCs w:val="22"/>
        </w:rPr>
        <w:t xml:space="preserve"> výroby elektriny</w:t>
      </w:r>
      <w:r>
        <w:rPr>
          <w:rFonts w:ascii="Times New Roman" w:hAnsi="Times New Roman"/>
          <w:bCs/>
          <w:szCs w:val="22"/>
        </w:rPr>
        <w:t xml:space="preserve"> z obnoviteľných zdrojov</w:t>
      </w:r>
      <w:r w:rsidR="00882F0E">
        <w:rPr>
          <w:rFonts w:ascii="Times New Roman" w:hAnsi="Times New Roman"/>
          <w:bCs/>
          <w:szCs w:val="22"/>
        </w:rPr>
        <w:t xml:space="preserve"> doplatkom</w:t>
      </w:r>
      <w:r w:rsidR="007268F9" w:rsidRPr="00C66720">
        <w:rPr>
          <w:rFonts w:ascii="Times New Roman" w:hAnsi="Times New Roman"/>
          <w:bCs/>
          <w:szCs w:val="22"/>
        </w:rPr>
        <w:t>.</w:t>
      </w:r>
    </w:p>
    <w:p w14:paraId="2F66E81A" w14:textId="581DF6D6" w:rsidR="00A027A4" w:rsidRPr="00C66720" w:rsidRDefault="005A629E" w:rsidP="000F5743">
      <w:pPr>
        <w:pStyle w:val="Pismenka"/>
        <w:tabs>
          <w:tab w:val="clear" w:pos="426"/>
          <w:tab w:val="num" w:pos="0"/>
        </w:tabs>
        <w:spacing w:after="120"/>
        <w:ind w:left="0" w:firstLine="0"/>
        <w:rPr>
          <w:b w:val="0"/>
          <w:bCs w:val="0"/>
          <w:sz w:val="22"/>
          <w:szCs w:val="22"/>
        </w:rPr>
      </w:pPr>
      <w:r w:rsidRPr="00C66720">
        <w:rPr>
          <w:b w:val="0"/>
          <w:bCs w:val="0"/>
          <w:sz w:val="22"/>
          <w:szCs w:val="22"/>
        </w:rPr>
        <w:t xml:space="preserve">V rámci </w:t>
      </w:r>
      <w:r w:rsidRPr="00C66720">
        <w:rPr>
          <w:b w:val="0"/>
          <w:bCs w:val="0"/>
          <w:sz w:val="22"/>
          <w:szCs w:val="22"/>
          <w:u w:val="single"/>
        </w:rPr>
        <w:t>ostatných nákladov</w:t>
      </w:r>
      <w:r w:rsidRPr="00C66720">
        <w:rPr>
          <w:b w:val="0"/>
          <w:bCs w:val="0"/>
          <w:sz w:val="22"/>
          <w:szCs w:val="22"/>
        </w:rPr>
        <w:t xml:space="preserve"> sa ďalej vykazujú napríklad náklady sociálneho zabezpečenia policajtov a hasičov na výplatu výsluhových dávok a ostatných dávok </w:t>
      </w:r>
      <w:r w:rsidR="00640B06" w:rsidRPr="00C66720">
        <w:rPr>
          <w:b w:val="0"/>
          <w:bCs w:val="0"/>
          <w:sz w:val="22"/>
          <w:szCs w:val="22"/>
        </w:rPr>
        <w:t xml:space="preserve">(260 079 tis. eur) </w:t>
      </w:r>
      <w:r w:rsidRPr="00C66720">
        <w:rPr>
          <w:b w:val="0"/>
          <w:bCs w:val="0"/>
          <w:sz w:val="22"/>
          <w:szCs w:val="22"/>
        </w:rPr>
        <w:t>a obdobné náklady na úhradu dávok čerpaných z osobitného účtu sociálneho zabezpečenia</w:t>
      </w:r>
      <w:r w:rsidRPr="00C66720">
        <w:rPr>
          <w:bCs w:val="0"/>
          <w:sz w:val="22"/>
          <w:szCs w:val="22"/>
        </w:rPr>
        <w:t xml:space="preserve"> </w:t>
      </w:r>
      <w:r w:rsidRPr="00C66720">
        <w:rPr>
          <w:b w:val="0"/>
          <w:bCs w:val="0"/>
          <w:sz w:val="22"/>
          <w:szCs w:val="22"/>
        </w:rPr>
        <w:t xml:space="preserve">vojakov a policajtov, ktoré realizuje Vojenský úrad sociálneho zabezpečenia pod kapitolou Ministerstva obrany SR </w:t>
      </w:r>
      <w:r w:rsidRPr="00C66720">
        <w:rPr>
          <w:b w:val="0"/>
          <w:bCs w:val="0"/>
          <w:sz w:val="22"/>
          <w:szCs w:val="22"/>
        </w:rPr>
        <w:br/>
        <w:t>(</w:t>
      </w:r>
      <w:r w:rsidR="00640B06" w:rsidRPr="00C66720">
        <w:rPr>
          <w:b w:val="0"/>
          <w:bCs w:val="0"/>
          <w:sz w:val="22"/>
          <w:szCs w:val="22"/>
        </w:rPr>
        <w:t>208 166</w:t>
      </w:r>
      <w:r w:rsidRPr="00C66720">
        <w:rPr>
          <w:b w:val="0"/>
          <w:bCs w:val="0"/>
          <w:sz w:val="22"/>
          <w:szCs w:val="22"/>
        </w:rPr>
        <w:t xml:space="preserve"> tis. eur). </w:t>
      </w:r>
      <w:r w:rsidR="00A027A4" w:rsidRPr="00C66720">
        <w:rPr>
          <w:b w:val="0"/>
          <w:bCs w:val="0"/>
          <w:sz w:val="22"/>
          <w:szCs w:val="22"/>
        </w:rPr>
        <w:t>Verejné vysoké školy vykazujú v rámci ostatných nákladov na prevádzkov</w:t>
      </w:r>
      <w:r w:rsidR="0044407C" w:rsidRPr="00C66720">
        <w:rPr>
          <w:b w:val="0"/>
          <w:bCs w:val="0"/>
          <w:sz w:val="22"/>
          <w:szCs w:val="22"/>
        </w:rPr>
        <w:t xml:space="preserve">ú činnosť v celkovej sume 79 085 tis. eur </w:t>
      </w:r>
      <w:r w:rsidR="008C620B" w:rsidRPr="00C66720">
        <w:rPr>
          <w:b w:val="0"/>
          <w:bCs w:val="0"/>
          <w:sz w:val="22"/>
          <w:szCs w:val="22"/>
        </w:rPr>
        <w:t>najmä náklady na štipendiá študentov doktorantského štúdia, zahraničných študentov vrátane zabezpečenia ich mobility.</w:t>
      </w:r>
    </w:p>
    <w:p w14:paraId="03C227A3" w14:textId="77777777" w:rsidR="005A629E" w:rsidRPr="00C66720" w:rsidRDefault="005A629E" w:rsidP="00215938">
      <w:pPr>
        <w:numPr>
          <w:ilvl w:val="0"/>
          <w:numId w:val="24"/>
        </w:numPr>
        <w:spacing w:before="200" w:line="240" w:lineRule="auto"/>
        <w:ind w:left="426" w:hanging="426"/>
        <w:jc w:val="both"/>
        <w:rPr>
          <w:rFonts w:ascii="Times New Roman" w:hAnsi="Times New Roman"/>
          <w:b/>
          <w:bCs/>
          <w:sz w:val="24"/>
          <w:szCs w:val="24"/>
        </w:rPr>
      </w:pPr>
      <w:bookmarkStart w:id="86" w:name="_Ref86186744"/>
      <w:r w:rsidRPr="00C66720">
        <w:rPr>
          <w:rFonts w:ascii="Times New Roman" w:hAnsi="Times New Roman"/>
          <w:b/>
          <w:bCs/>
          <w:sz w:val="24"/>
          <w:szCs w:val="24"/>
        </w:rPr>
        <w:lastRenderedPageBreak/>
        <w:t>Finančné náklady</w:t>
      </w:r>
      <w:bookmarkEnd w:id="86"/>
    </w:p>
    <w:p w14:paraId="3236476D" w14:textId="28E11344" w:rsidR="002D233A" w:rsidRDefault="002D233A" w:rsidP="00215938">
      <w:pPr>
        <w:spacing w:before="200" w:line="240" w:lineRule="auto"/>
        <w:jc w:val="both"/>
        <w:rPr>
          <w:rFonts w:ascii="Times New Roman" w:hAnsi="Times New Roman"/>
          <w:bCs/>
          <w:szCs w:val="22"/>
        </w:rPr>
      </w:pPr>
      <w:r w:rsidRPr="00C66720">
        <w:rPr>
          <w:rFonts w:ascii="Times New Roman" w:hAnsi="Times New Roman"/>
          <w:bCs/>
          <w:szCs w:val="22"/>
        </w:rPr>
        <w:t xml:space="preserve">Finančné náklady dosiahli hodnotu </w:t>
      </w:r>
      <w:r w:rsidR="007B2482" w:rsidRPr="00C66720">
        <w:rPr>
          <w:rFonts w:ascii="Times New Roman" w:hAnsi="Times New Roman"/>
          <w:bCs/>
          <w:szCs w:val="22"/>
        </w:rPr>
        <w:t>1 643 093</w:t>
      </w:r>
      <w:r w:rsidR="00C84555" w:rsidRPr="00C66720">
        <w:rPr>
          <w:rFonts w:ascii="Times New Roman" w:hAnsi="Times New Roman"/>
          <w:bCs/>
          <w:szCs w:val="22"/>
        </w:rPr>
        <w:t xml:space="preserve"> tis. eur a oproti r</w:t>
      </w:r>
      <w:r w:rsidR="007B2482" w:rsidRPr="00C66720">
        <w:rPr>
          <w:rFonts w:ascii="Times New Roman" w:hAnsi="Times New Roman"/>
          <w:bCs/>
          <w:szCs w:val="22"/>
        </w:rPr>
        <w:t>oku 2021</w:t>
      </w:r>
      <w:r w:rsidRPr="00C66720">
        <w:rPr>
          <w:rFonts w:ascii="Times New Roman" w:hAnsi="Times New Roman"/>
          <w:bCs/>
          <w:szCs w:val="22"/>
        </w:rPr>
        <w:t xml:space="preserve"> sú </w:t>
      </w:r>
      <w:r w:rsidR="007B2482" w:rsidRPr="00C66720">
        <w:rPr>
          <w:rFonts w:ascii="Times New Roman" w:hAnsi="Times New Roman"/>
          <w:bCs/>
          <w:szCs w:val="22"/>
        </w:rPr>
        <w:t>nižšie</w:t>
      </w:r>
      <w:r w:rsidRPr="00C66720">
        <w:rPr>
          <w:rFonts w:ascii="Times New Roman" w:hAnsi="Times New Roman"/>
          <w:bCs/>
          <w:szCs w:val="22"/>
        </w:rPr>
        <w:t xml:space="preserve"> o</w:t>
      </w:r>
      <w:r w:rsidR="007B2482" w:rsidRPr="00C66720">
        <w:rPr>
          <w:rFonts w:ascii="Times New Roman" w:hAnsi="Times New Roman"/>
          <w:bCs/>
          <w:szCs w:val="22"/>
        </w:rPr>
        <w:t> 711 663</w:t>
      </w:r>
      <w:r w:rsidRPr="00C66720">
        <w:rPr>
          <w:rFonts w:ascii="Times New Roman" w:hAnsi="Times New Roman"/>
          <w:bCs/>
          <w:szCs w:val="22"/>
        </w:rPr>
        <w:t xml:space="preserve"> tis. eur.</w:t>
      </w:r>
    </w:p>
    <w:p w14:paraId="171D7ECC" w14:textId="77777777" w:rsidR="00BB14EE" w:rsidRPr="006124AB" w:rsidRDefault="00BB14EE" w:rsidP="00BB14EE">
      <w:pPr>
        <w:spacing w:before="200" w:after="0" w:line="240" w:lineRule="auto"/>
        <w:jc w:val="both"/>
        <w:rPr>
          <w:rFonts w:ascii="Times New Roman" w:hAnsi="Times New Roman"/>
          <w:b/>
          <w:bCs/>
          <w:sz w:val="18"/>
          <w:szCs w:val="18"/>
        </w:rPr>
      </w:pPr>
      <w:r>
        <w:rPr>
          <w:rFonts w:ascii="Times New Roman" w:hAnsi="Times New Roman"/>
          <w:b/>
          <w:bCs/>
          <w:sz w:val="18"/>
          <w:szCs w:val="18"/>
        </w:rPr>
        <w:t>Tabuľka 26</w:t>
      </w:r>
    </w:p>
    <w:tbl>
      <w:tblPr>
        <w:tblW w:w="5000" w:type="pct"/>
        <w:jc w:val="center"/>
        <w:tblLayout w:type="fixed"/>
        <w:tblCellMar>
          <w:left w:w="70" w:type="dxa"/>
          <w:right w:w="70" w:type="dxa"/>
        </w:tblCellMar>
        <w:tblLook w:val="00A0" w:firstRow="1" w:lastRow="0" w:firstColumn="1" w:lastColumn="0" w:noHBand="0" w:noVBand="0"/>
      </w:tblPr>
      <w:tblGrid>
        <w:gridCol w:w="5176"/>
        <w:gridCol w:w="1201"/>
        <w:gridCol w:w="1419"/>
        <w:gridCol w:w="1275"/>
      </w:tblGrid>
      <w:tr w:rsidR="00BB14EE" w:rsidRPr="005773D1" w14:paraId="5610621A" w14:textId="77777777" w:rsidTr="00241F33">
        <w:trPr>
          <w:trHeight w:val="330"/>
          <w:jc w:val="center"/>
        </w:trPr>
        <w:tc>
          <w:tcPr>
            <w:tcW w:w="5000" w:type="pct"/>
            <w:gridSpan w:val="4"/>
            <w:tcBorders>
              <w:top w:val="single" w:sz="4" w:space="0" w:color="auto"/>
              <w:left w:val="nil"/>
              <w:bottom w:val="single" w:sz="4" w:space="0" w:color="auto"/>
              <w:right w:val="nil"/>
            </w:tcBorders>
            <w:shd w:val="clear" w:color="auto" w:fill="F4B084"/>
            <w:noWrap/>
            <w:vAlign w:val="center"/>
          </w:tcPr>
          <w:p w14:paraId="61961780" w14:textId="77777777" w:rsidR="00BB14EE" w:rsidRPr="005773D1" w:rsidRDefault="00BB14EE" w:rsidP="00241F33">
            <w:pPr>
              <w:spacing w:after="0" w:line="240" w:lineRule="auto"/>
              <w:rPr>
                <w:rFonts w:ascii="Times New Roman" w:hAnsi="Times New Roman"/>
                <w:b/>
                <w:bCs/>
                <w:sz w:val="18"/>
                <w:szCs w:val="18"/>
                <w:lang w:eastAsia="sk-SK"/>
              </w:rPr>
            </w:pPr>
            <w:r w:rsidRPr="005773D1">
              <w:rPr>
                <w:rFonts w:ascii="Times New Roman" w:hAnsi="Times New Roman"/>
                <w:b/>
                <w:bCs/>
                <w:sz w:val="18"/>
                <w:szCs w:val="18"/>
                <w:lang w:eastAsia="sk-SK"/>
              </w:rPr>
              <w:t>Finančné náklady</w:t>
            </w:r>
            <w:r>
              <w:rPr>
                <w:rFonts w:ascii="Times New Roman" w:hAnsi="Times New Roman"/>
                <w:b/>
                <w:bCs/>
                <w:sz w:val="18"/>
                <w:szCs w:val="18"/>
                <w:lang w:eastAsia="sk-SK"/>
              </w:rPr>
              <w:t xml:space="preserve"> podľa druhu</w:t>
            </w:r>
            <w:r w:rsidRPr="005773D1">
              <w:rPr>
                <w:rFonts w:ascii="Times New Roman" w:hAnsi="Times New Roman"/>
                <w:b/>
                <w:bCs/>
                <w:sz w:val="18"/>
                <w:szCs w:val="18"/>
                <w:lang w:eastAsia="sk-SK"/>
              </w:rPr>
              <w:t xml:space="preserve">                                                                                                                             (v tis. eur) </w:t>
            </w:r>
          </w:p>
        </w:tc>
      </w:tr>
      <w:tr w:rsidR="00BB14EE" w:rsidRPr="00572478" w14:paraId="0856EC48" w14:textId="77777777" w:rsidTr="00241F33">
        <w:trPr>
          <w:trHeight w:val="330"/>
          <w:jc w:val="center"/>
        </w:trPr>
        <w:tc>
          <w:tcPr>
            <w:tcW w:w="2853" w:type="pct"/>
            <w:tcBorders>
              <w:top w:val="nil"/>
              <w:left w:val="nil"/>
              <w:bottom w:val="single" w:sz="4" w:space="0" w:color="auto"/>
              <w:right w:val="nil"/>
            </w:tcBorders>
            <w:shd w:val="clear" w:color="auto" w:fill="BDD7EE"/>
            <w:noWrap/>
            <w:vAlign w:val="bottom"/>
          </w:tcPr>
          <w:p w14:paraId="4D906473" w14:textId="77777777" w:rsidR="00BB14EE" w:rsidRPr="00572478" w:rsidRDefault="00BB14EE" w:rsidP="00BB14EE">
            <w:pPr>
              <w:spacing w:after="0" w:line="240" w:lineRule="auto"/>
              <w:rPr>
                <w:rFonts w:ascii="Times New Roman" w:hAnsi="Times New Roman"/>
                <w:b/>
                <w:bCs/>
                <w:sz w:val="18"/>
                <w:szCs w:val="18"/>
                <w:lang w:eastAsia="sk-SK"/>
              </w:rPr>
            </w:pPr>
          </w:p>
        </w:tc>
        <w:tc>
          <w:tcPr>
            <w:tcW w:w="662" w:type="pct"/>
            <w:tcBorders>
              <w:top w:val="nil"/>
              <w:left w:val="nil"/>
              <w:bottom w:val="single" w:sz="4" w:space="0" w:color="auto"/>
              <w:right w:val="nil"/>
            </w:tcBorders>
            <w:shd w:val="clear" w:color="auto" w:fill="BDD7EE"/>
            <w:noWrap/>
            <w:vAlign w:val="bottom"/>
          </w:tcPr>
          <w:p w14:paraId="376A63EC" w14:textId="66242D15" w:rsidR="00BB14EE" w:rsidRPr="00572478" w:rsidRDefault="00BB14EE" w:rsidP="00BB14E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2022</w:t>
            </w:r>
          </w:p>
        </w:tc>
        <w:tc>
          <w:tcPr>
            <w:tcW w:w="782" w:type="pct"/>
            <w:tcBorders>
              <w:top w:val="nil"/>
              <w:left w:val="nil"/>
              <w:bottom w:val="single" w:sz="4" w:space="0" w:color="auto"/>
              <w:right w:val="nil"/>
            </w:tcBorders>
            <w:shd w:val="clear" w:color="auto" w:fill="BDD7EE"/>
            <w:noWrap/>
            <w:vAlign w:val="bottom"/>
          </w:tcPr>
          <w:p w14:paraId="07882DE7" w14:textId="14E2594C" w:rsidR="00BB14EE" w:rsidRPr="00572478" w:rsidRDefault="00BB14EE" w:rsidP="00BB14E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2021</w:t>
            </w:r>
          </w:p>
        </w:tc>
        <w:tc>
          <w:tcPr>
            <w:tcW w:w="703" w:type="pct"/>
            <w:tcBorders>
              <w:top w:val="nil"/>
              <w:left w:val="nil"/>
              <w:bottom w:val="single" w:sz="4" w:space="0" w:color="auto"/>
              <w:right w:val="nil"/>
            </w:tcBorders>
            <w:shd w:val="clear" w:color="auto" w:fill="BDD7EE"/>
            <w:vAlign w:val="bottom"/>
          </w:tcPr>
          <w:p w14:paraId="0E55B03E" w14:textId="4A8863D8" w:rsidR="00BB14EE" w:rsidRPr="00572478" w:rsidRDefault="00BB14EE" w:rsidP="00BB14E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Δ 2022-2021</w:t>
            </w:r>
          </w:p>
        </w:tc>
      </w:tr>
      <w:tr w:rsidR="00BB14EE" w:rsidRPr="00572478" w14:paraId="2F6E4828" w14:textId="77777777" w:rsidTr="00BB14EE">
        <w:trPr>
          <w:trHeight w:val="330"/>
          <w:jc w:val="center"/>
        </w:trPr>
        <w:tc>
          <w:tcPr>
            <w:tcW w:w="2853" w:type="pct"/>
            <w:tcBorders>
              <w:top w:val="nil"/>
              <w:left w:val="nil"/>
              <w:bottom w:val="nil"/>
              <w:right w:val="nil"/>
            </w:tcBorders>
            <w:shd w:val="clear" w:color="000000" w:fill="FFFFFF"/>
            <w:vAlign w:val="center"/>
          </w:tcPr>
          <w:p w14:paraId="09B32AA6" w14:textId="6D6B27E3" w:rsidR="00BB14EE" w:rsidRPr="00572478" w:rsidRDefault="00BB14EE" w:rsidP="00BB14EE">
            <w:pPr>
              <w:spacing w:before="120" w:after="0" w:line="240" w:lineRule="auto"/>
              <w:rPr>
                <w:rFonts w:ascii="Times New Roman" w:hAnsi="Times New Roman"/>
                <w:sz w:val="18"/>
                <w:szCs w:val="18"/>
                <w:lang w:eastAsia="sk-SK"/>
              </w:rPr>
            </w:pPr>
            <w:r w:rsidRPr="00C66720">
              <w:rPr>
                <w:rFonts w:ascii="Times New Roman" w:hAnsi="Times New Roman"/>
                <w:bCs/>
                <w:sz w:val="18"/>
                <w:szCs w:val="18"/>
                <w:lang w:eastAsia="sk-SK"/>
              </w:rPr>
              <w:t>Úroky</w:t>
            </w:r>
          </w:p>
        </w:tc>
        <w:tc>
          <w:tcPr>
            <w:tcW w:w="662" w:type="pct"/>
            <w:tcBorders>
              <w:top w:val="nil"/>
              <w:left w:val="nil"/>
              <w:bottom w:val="nil"/>
              <w:right w:val="nil"/>
            </w:tcBorders>
            <w:shd w:val="clear" w:color="000000" w:fill="FFFFFF"/>
            <w:vAlign w:val="center"/>
          </w:tcPr>
          <w:p w14:paraId="3977E764" w14:textId="12A011CE"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1 228 362</w:t>
            </w:r>
          </w:p>
        </w:tc>
        <w:tc>
          <w:tcPr>
            <w:tcW w:w="782" w:type="pct"/>
            <w:tcBorders>
              <w:top w:val="nil"/>
              <w:left w:val="nil"/>
              <w:bottom w:val="nil"/>
              <w:right w:val="nil"/>
            </w:tcBorders>
            <w:shd w:val="clear" w:color="000000" w:fill="FFFFFF"/>
            <w:vAlign w:val="center"/>
          </w:tcPr>
          <w:p w14:paraId="47F4ACF0" w14:textId="21D7BBF1"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1 258 392</w:t>
            </w:r>
          </w:p>
        </w:tc>
        <w:tc>
          <w:tcPr>
            <w:tcW w:w="703" w:type="pct"/>
            <w:tcBorders>
              <w:top w:val="nil"/>
              <w:left w:val="nil"/>
              <w:bottom w:val="nil"/>
              <w:right w:val="nil"/>
            </w:tcBorders>
            <w:shd w:val="clear" w:color="000000" w:fill="FFFFFF"/>
            <w:vAlign w:val="center"/>
          </w:tcPr>
          <w:p w14:paraId="109B4337" w14:textId="6C51D78D"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-30 030</w:t>
            </w:r>
          </w:p>
        </w:tc>
      </w:tr>
      <w:tr w:rsidR="00BB14EE" w:rsidRPr="00572478" w14:paraId="1697E9B3" w14:textId="77777777" w:rsidTr="00241F33">
        <w:trPr>
          <w:trHeight w:val="330"/>
          <w:jc w:val="center"/>
        </w:trPr>
        <w:tc>
          <w:tcPr>
            <w:tcW w:w="2853" w:type="pct"/>
            <w:tcBorders>
              <w:top w:val="nil"/>
              <w:left w:val="nil"/>
              <w:bottom w:val="nil"/>
              <w:right w:val="nil"/>
            </w:tcBorders>
            <w:shd w:val="clear" w:color="000000" w:fill="FFFFFF"/>
            <w:vAlign w:val="center"/>
          </w:tcPr>
          <w:p w14:paraId="34D302B2" w14:textId="772AD367" w:rsidR="00BB14EE" w:rsidRPr="00572478" w:rsidRDefault="00BB14EE" w:rsidP="00BB14E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Kurzové straty</w:t>
            </w:r>
          </w:p>
        </w:tc>
        <w:tc>
          <w:tcPr>
            <w:tcW w:w="662" w:type="pct"/>
            <w:tcBorders>
              <w:top w:val="nil"/>
              <w:left w:val="nil"/>
              <w:bottom w:val="nil"/>
              <w:right w:val="nil"/>
            </w:tcBorders>
            <w:shd w:val="clear" w:color="000000" w:fill="FFFFFF"/>
            <w:vAlign w:val="center"/>
          </w:tcPr>
          <w:p w14:paraId="1E1B2A2D" w14:textId="40FD0F47"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168 481</w:t>
            </w:r>
          </w:p>
        </w:tc>
        <w:tc>
          <w:tcPr>
            <w:tcW w:w="782" w:type="pct"/>
            <w:tcBorders>
              <w:top w:val="nil"/>
              <w:left w:val="nil"/>
              <w:bottom w:val="nil"/>
              <w:right w:val="nil"/>
            </w:tcBorders>
            <w:shd w:val="clear" w:color="000000" w:fill="FFFFFF"/>
            <w:vAlign w:val="center"/>
          </w:tcPr>
          <w:p w14:paraId="132DCD14" w14:textId="473FF02F"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166 760</w:t>
            </w:r>
          </w:p>
        </w:tc>
        <w:tc>
          <w:tcPr>
            <w:tcW w:w="703" w:type="pct"/>
            <w:tcBorders>
              <w:top w:val="nil"/>
              <w:left w:val="nil"/>
              <w:bottom w:val="nil"/>
              <w:right w:val="nil"/>
            </w:tcBorders>
            <w:shd w:val="clear" w:color="000000" w:fill="FFFFFF"/>
            <w:vAlign w:val="center"/>
          </w:tcPr>
          <w:p w14:paraId="5F212BBD" w14:textId="7AEE094C"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1 721</w:t>
            </w:r>
          </w:p>
        </w:tc>
      </w:tr>
      <w:tr w:rsidR="00BB14EE" w:rsidRPr="00572478" w14:paraId="0B50ADCE" w14:textId="77777777" w:rsidTr="00241F33">
        <w:trPr>
          <w:trHeight w:val="330"/>
          <w:jc w:val="center"/>
        </w:trPr>
        <w:tc>
          <w:tcPr>
            <w:tcW w:w="2853" w:type="pct"/>
            <w:tcBorders>
              <w:top w:val="nil"/>
              <w:left w:val="nil"/>
              <w:bottom w:val="nil"/>
              <w:right w:val="nil"/>
            </w:tcBorders>
            <w:shd w:val="clear" w:color="000000" w:fill="FFFFFF"/>
            <w:vAlign w:val="center"/>
          </w:tcPr>
          <w:p w14:paraId="5CED2B0D" w14:textId="18E79ABA" w:rsidR="00BB14EE" w:rsidRPr="00572478" w:rsidRDefault="00BB14EE" w:rsidP="00BB14E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 finančné náklady MH Manažmentu, a.s.</w:t>
            </w:r>
          </w:p>
        </w:tc>
        <w:tc>
          <w:tcPr>
            <w:tcW w:w="662" w:type="pct"/>
            <w:tcBorders>
              <w:top w:val="nil"/>
              <w:left w:val="nil"/>
              <w:bottom w:val="nil"/>
              <w:right w:val="nil"/>
            </w:tcBorders>
            <w:shd w:val="clear" w:color="000000" w:fill="FFFFFF"/>
            <w:vAlign w:val="center"/>
          </w:tcPr>
          <w:p w14:paraId="11998650" w14:textId="08279DA0"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65 528</w:t>
            </w:r>
          </w:p>
        </w:tc>
        <w:tc>
          <w:tcPr>
            <w:tcW w:w="782" w:type="pct"/>
            <w:tcBorders>
              <w:top w:val="nil"/>
              <w:left w:val="nil"/>
              <w:bottom w:val="nil"/>
              <w:right w:val="nil"/>
            </w:tcBorders>
            <w:shd w:val="clear" w:color="000000" w:fill="FFFFFF"/>
            <w:vAlign w:val="center"/>
          </w:tcPr>
          <w:p w14:paraId="49C276D1" w14:textId="72D6C49C"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99</w:t>
            </w:r>
          </w:p>
        </w:tc>
        <w:tc>
          <w:tcPr>
            <w:tcW w:w="703" w:type="pct"/>
            <w:tcBorders>
              <w:top w:val="nil"/>
              <w:left w:val="nil"/>
              <w:bottom w:val="nil"/>
              <w:right w:val="nil"/>
            </w:tcBorders>
            <w:shd w:val="clear" w:color="000000" w:fill="FFFFFF"/>
            <w:vAlign w:val="center"/>
          </w:tcPr>
          <w:p w14:paraId="4454FBE7" w14:textId="34418B6F"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65 429</w:t>
            </w:r>
          </w:p>
        </w:tc>
      </w:tr>
      <w:tr w:rsidR="00BB14EE" w:rsidRPr="00572478" w14:paraId="40EB1F8E" w14:textId="77777777" w:rsidTr="00241F33">
        <w:trPr>
          <w:trHeight w:val="330"/>
          <w:jc w:val="center"/>
        </w:trPr>
        <w:tc>
          <w:tcPr>
            <w:tcW w:w="2853" w:type="pct"/>
            <w:tcBorders>
              <w:top w:val="nil"/>
              <w:left w:val="nil"/>
              <w:bottom w:val="nil"/>
              <w:right w:val="nil"/>
            </w:tcBorders>
            <w:shd w:val="clear" w:color="000000" w:fill="FFFFFF"/>
            <w:vAlign w:val="center"/>
          </w:tcPr>
          <w:p w14:paraId="312865FE" w14:textId="74B69265" w:rsidR="00BB14EE" w:rsidRPr="00572478" w:rsidRDefault="00BB14EE" w:rsidP="00BB14E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Náklady na derivátové operácie</w:t>
            </w:r>
          </w:p>
        </w:tc>
        <w:tc>
          <w:tcPr>
            <w:tcW w:w="662" w:type="pct"/>
            <w:tcBorders>
              <w:top w:val="nil"/>
              <w:left w:val="nil"/>
              <w:bottom w:val="nil"/>
              <w:right w:val="nil"/>
            </w:tcBorders>
            <w:shd w:val="clear" w:color="000000" w:fill="FFFFFF"/>
            <w:vAlign w:val="center"/>
          </w:tcPr>
          <w:p w14:paraId="75DD96EA" w14:textId="1B1B1452"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21 093</w:t>
            </w:r>
          </w:p>
        </w:tc>
        <w:tc>
          <w:tcPr>
            <w:tcW w:w="782" w:type="pct"/>
            <w:tcBorders>
              <w:top w:val="nil"/>
              <w:left w:val="nil"/>
              <w:bottom w:val="nil"/>
              <w:right w:val="nil"/>
            </w:tcBorders>
            <w:shd w:val="clear" w:color="000000" w:fill="FFFFFF"/>
            <w:vAlign w:val="center"/>
          </w:tcPr>
          <w:p w14:paraId="50F38073" w14:textId="78E7495B"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83 501</w:t>
            </w:r>
          </w:p>
        </w:tc>
        <w:tc>
          <w:tcPr>
            <w:tcW w:w="703" w:type="pct"/>
            <w:tcBorders>
              <w:top w:val="nil"/>
              <w:left w:val="nil"/>
              <w:bottom w:val="nil"/>
              <w:right w:val="nil"/>
            </w:tcBorders>
            <w:shd w:val="clear" w:color="000000" w:fill="FFFFFF"/>
            <w:vAlign w:val="center"/>
          </w:tcPr>
          <w:p w14:paraId="289395EB" w14:textId="5BF61168"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-62 408</w:t>
            </w:r>
          </w:p>
        </w:tc>
      </w:tr>
      <w:tr w:rsidR="00BB14EE" w:rsidRPr="00572478" w14:paraId="1B36054C" w14:textId="77777777" w:rsidTr="00241F33">
        <w:trPr>
          <w:trHeight w:val="330"/>
          <w:jc w:val="center"/>
        </w:trPr>
        <w:tc>
          <w:tcPr>
            <w:tcW w:w="2853" w:type="pct"/>
            <w:tcBorders>
              <w:top w:val="nil"/>
              <w:left w:val="nil"/>
              <w:bottom w:val="nil"/>
              <w:right w:val="nil"/>
            </w:tcBorders>
            <w:shd w:val="clear" w:color="000000" w:fill="FFFFFF"/>
            <w:vAlign w:val="center"/>
          </w:tcPr>
          <w:p w14:paraId="1726537E" w14:textId="0A06AB9C" w:rsidR="00BB14EE" w:rsidRPr="00572478" w:rsidRDefault="00BB14EE" w:rsidP="00BB14E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 finančné náklady Ministerstva hospodárstva SR</w:t>
            </w:r>
          </w:p>
        </w:tc>
        <w:tc>
          <w:tcPr>
            <w:tcW w:w="662" w:type="pct"/>
            <w:tcBorders>
              <w:top w:val="nil"/>
              <w:left w:val="nil"/>
              <w:bottom w:val="nil"/>
              <w:right w:val="nil"/>
            </w:tcBorders>
            <w:shd w:val="clear" w:color="000000" w:fill="FFFFFF"/>
            <w:vAlign w:val="center"/>
          </w:tcPr>
          <w:p w14:paraId="345DD880" w14:textId="3CF23792"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17 509</w:t>
            </w:r>
          </w:p>
        </w:tc>
        <w:tc>
          <w:tcPr>
            <w:tcW w:w="782" w:type="pct"/>
            <w:tcBorders>
              <w:top w:val="nil"/>
              <w:left w:val="nil"/>
              <w:bottom w:val="nil"/>
              <w:right w:val="nil"/>
            </w:tcBorders>
            <w:shd w:val="clear" w:color="000000" w:fill="FFFFFF"/>
            <w:vAlign w:val="center"/>
          </w:tcPr>
          <w:p w14:paraId="0F47642B" w14:textId="334AA2D9"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71 215</w:t>
            </w:r>
          </w:p>
        </w:tc>
        <w:tc>
          <w:tcPr>
            <w:tcW w:w="703" w:type="pct"/>
            <w:tcBorders>
              <w:top w:val="nil"/>
              <w:left w:val="nil"/>
              <w:bottom w:val="nil"/>
              <w:right w:val="nil"/>
            </w:tcBorders>
            <w:shd w:val="clear" w:color="000000" w:fill="FFFFFF"/>
            <w:vAlign w:val="center"/>
          </w:tcPr>
          <w:p w14:paraId="40DA8BE7" w14:textId="51562B42"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-53 706</w:t>
            </w:r>
          </w:p>
        </w:tc>
      </w:tr>
      <w:tr w:rsidR="00BB14EE" w:rsidRPr="00572478" w14:paraId="0A54D144" w14:textId="77777777" w:rsidTr="00241F33">
        <w:trPr>
          <w:trHeight w:val="330"/>
          <w:jc w:val="center"/>
        </w:trPr>
        <w:tc>
          <w:tcPr>
            <w:tcW w:w="2853" w:type="pct"/>
            <w:tcBorders>
              <w:top w:val="nil"/>
              <w:left w:val="nil"/>
              <w:bottom w:val="nil"/>
              <w:right w:val="nil"/>
            </w:tcBorders>
            <w:shd w:val="clear" w:color="000000" w:fill="FFFFFF"/>
            <w:vAlign w:val="center"/>
          </w:tcPr>
          <w:p w14:paraId="0275E910" w14:textId="71C6674E" w:rsidR="00BB14EE" w:rsidRPr="00572478" w:rsidRDefault="00BB14EE" w:rsidP="00BB14E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 finančné náklady Slovenského plynárenského priemyslu, a.s.</w:t>
            </w:r>
          </w:p>
        </w:tc>
        <w:tc>
          <w:tcPr>
            <w:tcW w:w="662" w:type="pct"/>
            <w:tcBorders>
              <w:top w:val="nil"/>
              <w:left w:val="nil"/>
              <w:bottom w:val="nil"/>
              <w:right w:val="nil"/>
            </w:tcBorders>
            <w:shd w:val="clear" w:color="000000" w:fill="FFFFFF"/>
            <w:vAlign w:val="center"/>
          </w:tcPr>
          <w:p w14:paraId="007AC3FD" w14:textId="6375FD7D"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14 445</w:t>
            </w:r>
          </w:p>
        </w:tc>
        <w:tc>
          <w:tcPr>
            <w:tcW w:w="782" w:type="pct"/>
            <w:tcBorders>
              <w:top w:val="nil"/>
              <w:left w:val="nil"/>
              <w:bottom w:val="nil"/>
              <w:right w:val="nil"/>
            </w:tcBorders>
            <w:shd w:val="clear" w:color="000000" w:fill="FFFFFF"/>
            <w:vAlign w:val="center"/>
          </w:tcPr>
          <w:p w14:paraId="00BD64BB" w14:textId="408AA2D1"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1 057</w:t>
            </w:r>
          </w:p>
        </w:tc>
        <w:tc>
          <w:tcPr>
            <w:tcW w:w="703" w:type="pct"/>
            <w:tcBorders>
              <w:top w:val="nil"/>
              <w:left w:val="nil"/>
              <w:bottom w:val="nil"/>
              <w:right w:val="nil"/>
            </w:tcBorders>
            <w:shd w:val="clear" w:color="000000" w:fill="FFFFFF"/>
            <w:vAlign w:val="center"/>
          </w:tcPr>
          <w:p w14:paraId="7CCE1DA9" w14:textId="2194EFD0"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13 388</w:t>
            </w:r>
          </w:p>
        </w:tc>
      </w:tr>
      <w:tr w:rsidR="00BB14EE" w:rsidRPr="00572478" w14:paraId="54585F0A" w14:textId="77777777" w:rsidTr="00241F33">
        <w:trPr>
          <w:trHeight w:val="330"/>
          <w:jc w:val="center"/>
        </w:trPr>
        <w:tc>
          <w:tcPr>
            <w:tcW w:w="2853" w:type="pct"/>
            <w:tcBorders>
              <w:top w:val="nil"/>
              <w:left w:val="nil"/>
              <w:bottom w:val="nil"/>
              <w:right w:val="nil"/>
            </w:tcBorders>
            <w:shd w:val="clear" w:color="000000" w:fill="FFFFFF"/>
            <w:vAlign w:val="center"/>
          </w:tcPr>
          <w:p w14:paraId="3496FA94" w14:textId="02348DC3" w:rsidR="00BB14EE" w:rsidRPr="00572478" w:rsidRDefault="00BB14EE" w:rsidP="00BB14E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 finančné náklady Ministerstva financií SR</w:t>
            </w:r>
          </w:p>
        </w:tc>
        <w:tc>
          <w:tcPr>
            <w:tcW w:w="662" w:type="pct"/>
            <w:tcBorders>
              <w:top w:val="nil"/>
              <w:left w:val="nil"/>
              <w:bottom w:val="nil"/>
              <w:right w:val="nil"/>
            </w:tcBorders>
            <w:shd w:val="clear" w:color="000000" w:fill="FFFFFF"/>
            <w:vAlign w:val="center"/>
          </w:tcPr>
          <w:p w14:paraId="1F17C035" w14:textId="352F2B03"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10 135</w:t>
            </w:r>
          </w:p>
        </w:tc>
        <w:tc>
          <w:tcPr>
            <w:tcW w:w="782" w:type="pct"/>
            <w:tcBorders>
              <w:top w:val="nil"/>
              <w:left w:val="nil"/>
              <w:bottom w:val="nil"/>
              <w:right w:val="nil"/>
            </w:tcBorders>
            <w:shd w:val="clear" w:color="000000" w:fill="FFFFFF"/>
            <w:vAlign w:val="center"/>
          </w:tcPr>
          <w:p w14:paraId="6D356CD2" w14:textId="6D91DC45"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9 842</w:t>
            </w:r>
          </w:p>
        </w:tc>
        <w:tc>
          <w:tcPr>
            <w:tcW w:w="703" w:type="pct"/>
            <w:tcBorders>
              <w:top w:val="nil"/>
              <w:left w:val="nil"/>
              <w:bottom w:val="nil"/>
              <w:right w:val="nil"/>
            </w:tcBorders>
            <w:shd w:val="clear" w:color="000000" w:fill="FFFFFF"/>
            <w:vAlign w:val="center"/>
          </w:tcPr>
          <w:p w14:paraId="359C9DA4" w14:textId="0FBC2D2B"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293</w:t>
            </w:r>
          </w:p>
        </w:tc>
      </w:tr>
      <w:tr w:rsidR="00BB14EE" w:rsidRPr="00572478" w14:paraId="3041382E" w14:textId="77777777" w:rsidTr="00241F33">
        <w:trPr>
          <w:trHeight w:val="330"/>
          <w:jc w:val="center"/>
        </w:trPr>
        <w:tc>
          <w:tcPr>
            <w:tcW w:w="2853" w:type="pct"/>
            <w:tcBorders>
              <w:top w:val="nil"/>
              <w:left w:val="nil"/>
              <w:bottom w:val="nil"/>
              <w:right w:val="nil"/>
            </w:tcBorders>
            <w:shd w:val="clear" w:color="000000" w:fill="FFFFFF"/>
            <w:vAlign w:val="center"/>
          </w:tcPr>
          <w:p w14:paraId="25F5DE76" w14:textId="411D85E4" w:rsidR="00BB14EE" w:rsidRPr="00572478" w:rsidRDefault="00BB14EE" w:rsidP="00BB14E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Predané cenné papiere a podiely</w:t>
            </w:r>
          </w:p>
        </w:tc>
        <w:tc>
          <w:tcPr>
            <w:tcW w:w="662" w:type="pct"/>
            <w:tcBorders>
              <w:top w:val="nil"/>
              <w:left w:val="nil"/>
              <w:bottom w:val="nil"/>
              <w:right w:val="nil"/>
            </w:tcBorders>
            <w:shd w:val="clear" w:color="000000" w:fill="FFFFFF"/>
            <w:vAlign w:val="center"/>
          </w:tcPr>
          <w:p w14:paraId="646420FE" w14:textId="24A6494E"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6 028</w:t>
            </w:r>
          </w:p>
        </w:tc>
        <w:tc>
          <w:tcPr>
            <w:tcW w:w="782" w:type="pct"/>
            <w:tcBorders>
              <w:top w:val="nil"/>
              <w:left w:val="nil"/>
              <w:bottom w:val="nil"/>
              <w:right w:val="nil"/>
            </w:tcBorders>
            <w:shd w:val="clear" w:color="000000" w:fill="FFFFFF"/>
            <w:vAlign w:val="center"/>
          </w:tcPr>
          <w:p w14:paraId="70529F17" w14:textId="1A570822"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23 693</w:t>
            </w:r>
          </w:p>
        </w:tc>
        <w:tc>
          <w:tcPr>
            <w:tcW w:w="703" w:type="pct"/>
            <w:tcBorders>
              <w:top w:val="nil"/>
              <w:left w:val="nil"/>
              <w:bottom w:val="nil"/>
              <w:right w:val="nil"/>
            </w:tcBorders>
            <w:shd w:val="clear" w:color="000000" w:fill="FFFFFF"/>
            <w:vAlign w:val="center"/>
          </w:tcPr>
          <w:p w14:paraId="2CAE27FF" w14:textId="17DFCF2E"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-17 665</w:t>
            </w:r>
          </w:p>
        </w:tc>
      </w:tr>
      <w:tr w:rsidR="00BB14EE" w:rsidRPr="00572478" w14:paraId="3810DEB4" w14:textId="77777777" w:rsidTr="00241F33">
        <w:trPr>
          <w:trHeight w:val="330"/>
          <w:jc w:val="center"/>
        </w:trPr>
        <w:tc>
          <w:tcPr>
            <w:tcW w:w="2853" w:type="pct"/>
            <w:tcBorders>
              <w:top w:val="nil"/>
              <w:left w:val="nil"/>
              <w:bottom w:val="nil"/>
              <w:right w:val="nil"/>
            </w:tcBorders>
            <w:shd w:val="clear" w:color="000000" w:fill="FFFFFF"/>
            <w:vAlign w:val="center"/>
          </w:tcPr>
          <w:p w14:paraId="463FA531" w14:textId="001BCE7D" w:rsidR="00BB14EE" w:rsidRPr="00572478" w:rsidRDefault="00BB14EE" w:rsidP="00BB14E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Podiel konsolidujúcej účtovnej jednotky na výsledku hospodárenia pridružených účtovných jednotiek verejnej správy</w:t>
            </w:r>
          </w:p>
        </w:tc>
        <w:tc>
          <w:tcPr>
            <w:tcW w:w="662" w:type="pct"/>
            <w:tcBorders>
              <w:top w:val="nil"/>
              <w:left w:val="nil"/>
              <w:bottom w:val="nil"/>
              <w:right w:val="nil"/>
            </w:tcBorders>
            <w:shd w:val="clear" w:color="000000" w:fill="FFFFFF"/>
            <w:vAlign w:val="center"/>
          </w:tcPr>
          <w:p w14:paraId="12B12ABC" w14:textId="45CD3C6B"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2 718</w:t>
            </w:r>
          </w:p>
        </w:tc>
        <w:tc>
          <w:tcPr>
            <w:tcW w:w="782" w:type="pct"/>
            <w:tcBorders>
              <w:top w:val="nil"/>
              <w:left w:val="nil"/>
              <w:bottom w:val="nil"/>
              <w:right w:val="nil"/>
            </w:tcBorders>
            <w:shd w:val="clear" w:color="000000" w:fill="FFFFFF"/>
            <w:vAlign w:val="center"/>
          </w:tcPr>
          <w:p w14:paraId="31C13149" w14:textId="6D93B8C0"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654 414</w:t>
            </w:r>
          </w:p>
        </w:tc>
        <w:tc>
          <w:tcPr>
            <w:tcW w:w="703" w:type="pct"/>
            <w:tcBorders>
              <w:top w:val="nil"/>
              <w:left w:val="nil"/>
              <w:bottom w:val="nil"/>
              <w:right w:val="nil"/>
            </w:tcBorders>
            <w:shd w:val="clear" w:color="000000" w:fill="FFFFFF"/>
            <w:vAlign w:val="center"/>
          </w:tcPr>
          <w:p w14:paraId="5B8C7FD4" w14:textId="57238AD8"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-651 696</w:t>
            </w:r>
          </w:p>
        </w:tc>
      </w:tr>
      <w:tr w:rsidR="00BB14EE" w:rsidRPr="00572478" w14:paraId="4AC89043" w14:textId="77777777" w:rsidTr="00241F33">
        <w:trPr>
          <w:trHeight w:val="330"/>
          <w:jc w:val="center"/>
        </w:trPr>
        <w:tc>
          <w:tcPr>
            <w:tcW w:w="2853" w:type="pct"/>
            <w:tcBorders>
              <w:top w:val="nil"/>
              <w:left w:val="nil"/>
              <w:bottom w:val="single" w:sz="4" w:space="0" w:color="auto"/>
              <w:right w:val="nil"/>
            </w:tcBorders>
            <w:shd w:val="clear" w:color="000000" w:fill="FFFFFF"/>
            <w:vAlign w:val="center"/>
          </w:tcPr>
          <w:p w14:paraId="72ECE6E8" w14:textId="69C0C7C4" w:rsidR="00BB14EE" w:rsidRPr="00572478" w:rsidRDefault="00BB14EE" w:rsidP="00BB14EE">
            <w:pPr>
              <w:spacing w:after="0" w:line="240" w:lineRule="auto"/>
              <w:rPr>
                <w:rFonts w:ascii="Times New Roman" w:hAnsi="Times New Roman"/>
                <w:bCs/>
                <w:sz w:val="18"/>
                <w:szCs w:val="18"/>
                <w:lang w:eastAsia="sk-SK"/>
              </w:rPr>
            </w:pPr>
            <w:r w:rsidRPr="00C66720">
              <w:rPr>
                <w:rFonts w:ascii="Times New Roman" w:hAnsi="Times New Roman"/>
                <w:bCs/>
                <w:sz w:val="18"/>
                <w:szCs w:val="18"/>
                <w:lang w:eastAsia="sk-SK"/>
              </w:rPr>
              <w:t>Ostatné finančné náklady</w:t>
            </w:r>
          </w:p>
        </w:tc>
        <w:tc>
          <w:tcPr>
            <w:tcW w:w="662" w:type="pct"/>
            <w:tcBorders>
              <w:top w:val="nil"/>
              <w:left w:val="nil"/>
              <w:bottom w:val="single" w:sz="4" w:space="0" w:color="auto"/>
              <w:right w:val="nil"/>
            </w:tcBorders>
            <w:shd w:val="clear" w:color="000000" w:fill="FFFFFF"/>
            <w:vAlign w:val="center"/>
          </w:tcPr>
          <w:p w14:paraId="05633DE2" w14:textId="23BC95CD"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108 794</w:t>
            </w:r>
          </w:p>
        </w:tc>
        <w:tc>
          <w:tcPr>
            <w:tcW w:w="782" w:type="pct"/>
            <w:tcBorders>
              <w:top w:val="nil"/>
              <w:left w:val="nil"/>
              <w:bottom w:val="single" w:sz="4" w:space="0" w:color="auto"/>
              <w:right w:val="nil"/>
            </w:tcBorders>
            <w:shd w:val="clear" w:color="000000" w:fill="FFFFFF"/>
            <w:vAlign w:val="center"/>
          </w:tcPr>
          <w:p w14:paraId="4B49B448" w14:textId="14CBAD05"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85 783</w:t>
            </w:r>
          </w:p>
        </w:tc>
        <w:tc>
          <w:tcPr>
            <w:tcW w:w="703" w:type="pct"/>
            <w:tcBorders>
              <w:top w:val="nil"/>
              <w:left w:val="nil"/>
              <w:bottom w:val="single" w:sz="4" w:space="0" w:color="auto"/>
              <w:right w:val="nil"/>
            </w:tcBorders>
            <w:shd w:val="clear" w:color="000000" w:fill="FFFFFF"/>
            <w:vAlign w:val="center"/>
          </w:tcPr>
          <w:p w14:paraId="65961C4D" w14:textId="64B96099" w:rsidR="00BB14EE" w:rsidRPr="00572478" w:rsidRDefault="00BB14EE" w:rsidP="00BB14EE">
            <w:pPr>
              <w:spacing w:after="0" w:line="240" w:lineRule="auto"/>
              <w:jc w:val="right"/>
              <w:rPr>
                <w:rFonts w:ascii="Times New Roman" w:hAnsi="Times New Roman"/>
                <w:sz w:val="18"/>
                <w:szCs w:val="18"/>
                <w:lang w:eastAsia="sk-SK"/>
              </w:rPr>
            </w:pPr>
            <w:r w:rsidRPr="00C66720">
              <w:rPr>
                <w:rFonts w:ascii="Times New Roman" w:hAnsi="Times New Roman"/>
                <w:sz w:val="18"/>
                <w:szCs w:val="18"/>
                <w:lang w:eastAsia="sk-SK"/>
              </w:rPr>
              <w:t>23 011</w:t>
            </w:r>
          </w:p>
        </w:tc>
      </w:tr>
      <w:tr w:rsidR="00BB14EE" w:rsidRPr="00975467" w14:paraId="246B6A02" w14:textId="77777777" w:rsidTr="00241F33">
        <w:trPr>
          <w:trHeight w:val="330"/>
          <w:jc w:val="center"/>
        </w:trPr>
        <w:tc>
          <w:tcPr>
            <w:tcW w:w="2853" w:type="pct"/>
            <w:tcBorders>
              <w:top w:val="single" w:sz="4" w:space="0" w:color="auto"/>
              <w:left w:val="nil"/>
              <w:bottom w:val="single" w:sz="4" w:space="0" w:color="000000"/>
              <w:right w:val="nil"/>
            </w:tcBorders>
            <w:shd w:val="clear" w:color="000000" w:fill="FFFFFF"/>
            <w:vAlign w:val="center"/>
          </w:tcPr>
          <w:p w14:paraId="0B532F76" w14:textId="36BBA7DF" w:rsidR="00BB14EE" w:rsidRPr="00572478" w:rsidRDefault="00BB14EE" w:rsidP="00BB14EE">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Spolu</w:t>
            </w:r>
          </w:p>
        </w:tc>
        <w:tc>
          <w:tcPr>
            <w:tcW w:w="662" w:type="pct"/>
            <w:tcBorders>
              <w:top w:val="single" w:sz="4" w:space="0" w:color="auto"/>
              <w:left w:val="nil"/>
              <w:bottom w:val="single" w:sz="4" w:space="0" w:color="000000"/>
              <w:right w:val="nil"/>
            </w:tcBorders>
            <w:shd w:val="clear" w:color="000000" w:fill="FFFFFF"/>
            <w:vAlign w:val="center"/>
          </w:tcPr>
          <w:p w14:paraId="11508289" w14:textId="2471C1EE" w:rsidR="00BB14EE" w:rsidRPr="00572478" w:rsidRDefault="00BB14EE" w:rsidP="00BB14E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1 643 093</w:t>
            </w:r>
          </w:p>
        </w:tc>
        <w:tc>
          <w:tcPr>
            <w:tcW w:w="782" w:type="pct"/>
            <w:tcBorders>
              <w:top w:val="single" w:sz="4" w:space="0" w:color="auto"/>
              <w:left w:val="nil"/>
              <w:bottom w:val="single" w:sz="4" w:space="0" w:color="000000"/>
              <w:right w:val="nil"/>
            </w:tcBorders>
            <w:shd w:val="clear" w:color="000000" w:fill="FFFFFF"/>
            <w:vAlign w:val="center"/>
          </w:tcPr>
          <w:p w14:paraId="58AC6BE1" w14:textId="3B297E3C" w:rsidR="00BB14EE" w:rsidRPr="00572478" w:rsidRDefault="00BB14EE" w:rsidP="00BB14EE">
            <w:pPr>
              <w:spacing w:after="0" w:line="240" w:lineRule="auto"/>
              <w:jc w:val="right"/>
              <w:rPr>
                <w:rFonts w:ascii="Times New Roman" w:hAnsi="Times New Roman"/>
                <w:b/>
                <w:bCs/>
                <w:sz w:val="18"/>
                <w:szCs w:val="18"/>
                <w:lang w:eastAsia="sk-SK"/>
              </w:rPr>
            </w:pPr>
            <w:r w:rsidRPr="00C66720">
              <w:rPr>
                <w:rFonts w:ascii="Times New Roman" w:hAnsi="Times New Roman"/>
                <w:b/>
                <w:bCs/>
                <w:sz w:val="18"/>
                <w:szCs w:val="18"/>
                <w:lang w:eastAsia="sk-SK"/>
              </w:rPr>
              <w:t>2 354 756</w:t>
            </w:r>
          </w:p>
        </w:tc>
        <w:tc>
          <w:tcPr>
            <w:tcW w:w="703" w:type="pct"/>
            <w:tcBorders>
              <w:top w:val="single" w:sz="4" w:space="0" w:color="auto"/>
              <w:left w:val="nil"/>
              <w:bottom w:val="single" w:sz="4" w:space="0" w:color="000000"/>
              <w:right w:val="nil"/>
            </w:tcBorders>
            <w:shd w:val="clear" w:color="000000" w:fill="FFFFFF"/>
            <w:vAlign w:val="center"/>
          </w:tcPr>
          <w:p w14:paraId="69B373B9" w14:textId="41DC952B" w:rsidR="00BB14EE" w:rsidRPr="00572478" w:rsidRDefault="00BB14EE" w:rsidP="00BB14EE">
            <w:pPr>
              <w:spacing w:after="0" w:line="240" w:lineRule="auto"/>
              <w:jc w:val="right"/>
              <w:rPr>
                <w:rFonts w:ascii="Times New Roman" w:hAnsi="Times New Roman"/>
                <w:b/>
                <w:sz w:val="18"/>
                <w:szCs w:val="18"/>
                <w:lang w:eastAsia="sk-SK"/>
              </w:rPr>
            </w:pPr>
            <w:r w:rsidRPr="00C66720">
              <w:rPr>
                <w:rFonts w:ascii="Times New Roman" w:hAnsi="Times New Roman"/>
                <w:b/>
                <w:sz w:val="18"/>
                <w:szCs w:val="18"/>
                <w:lang w:eastAsia="sk-SK"/>
              </w:rPr>
              <w:t>-711 663</w:t>
            </w:r>
          </w:p>
        </w:tc>
      </w:tr>
    </w:tbl>
    <w:p w14:paraId="47CE947C" w14:textId="77777777" w:rsidR="00BB14EE" w:rsidRPr="00D01DB2" w:rsidRDefault="00BB14EE" w:rsidP="00BB14EE">
      <w:pPr>
        <w:pStyle w:val="Pismenka"/>
        <w:tabs>
          <w:tab w:val="clear" w:pos="426"/>
        </w:tabs>
        <w:spacing w:after="120"/>
        <w:ind w:left="5240" w:firstLine="424"/>
        <w:jc w:val="left"/>
        <w:rPr>
          <w:b w:val="0"/>
          <w:i/>
          <w:sz w:val="22"/>
          <w:szCs w:val="22"/>
          <w:u w:val="single"/>
        </w:rPr>
      </w:pPr>
      <w:r w:rsidRPr="00D01DB2">
        <w:rPr>
          <w:b w:val="0"/>
        </w:rPr>
        <w:t>Zdroj: MF SR, Centrálny konsolidačný systém</w:t>
      </w:r>
    </w:p>
    <w:p w14:paraId="73B6F44B" w14:textId="33930A4F" w:rsidR="002D233A" w:rsidRPr="00C66720" w:rsidRDefault="002D233A" w:rsidP="00D043B6">
      <w:pPr>
        <w:pStyle w:val="Pismenka"/>
        <w:numPr>
          <w:ilvl w:val="0"/>
          <w:numId w:val="44"/>
        </w:numPr>
        <w:spacing w:before="120" w:after="120"/>
        <w:ind w:left="284" w:hanging="284"/>
        <w:rPr>
          <w:i/>
          <w:sz w:val="22"/>
          <w:szCs w:val="22"/>
          <w:u w:val="single"/>
        </w:rPr>
      </w:pPr>
      <w:bookmarkStart w:id="87" w:name="_Ref86186643"/>
      <w:r w:rsidRPr="00C66720">
        <w:rPr>
          <w:i/>
          <w:sz w:val="22"/>
          <w:szCs w:val="22"/>
          <w:u w:val="single"/>
        </w:rPr>
        <w:t>Úroky</w:t>
      </w:r>
      <w:bookmarkEnd w:id="87"/>
    </w:p>
    <w:p w14:paraId="513556D6" w14:textId="0965766C" w:rsidR="005A629E" w:rsidRPr="00C66720" w:rsidRDefault="005A629E" w:rsidP="00215938">
      <w:pPr>
        <w:spacing w:after="120" w:line="240" w:lineRule="auto"/>
        <w:jc w:val="both"/>
        <w:rPr>
          <w:rFonts w:ascii="Times New Roman" w:hAnsi="Times New Roman"/>
          <w:bCs/>
          <w:szCs w:val="22"/>
        </w:rPr>
      </w:pPr>
      <w:r w:rsidRPr="00C66720">
        <w:rPr>
          <w:rFonts w:ascii="Times New Roman" w:hAnsi="Times New Roman"/>
          <w:bCs/>
          <w:szCs w:val="22"/>
        </w:rPr>
        <w:t xml:space="preserve">Významnú hodnotu tvorili </w:t>
      </w:r>
      <w:r w:rsidRPr="00C66720">
        <w:rPr>
          <w:rFonts w:ascii="Times New Roman" w:hAnsi="Times New Roman"/>
          <w:bCs/>
          <w:szCs w:val="22"/>
          <w:u w:val="single"/>
        </w:rPr>
        <w:t>náklady na úroky</w:t>
      </w:r>
      <w:r w:rsidRPr="00C66720">
        <w:rPr>
          <w:rFonts w:ascii="Times New Roman" w:hAnsi="Times New Roman"/>
          <w:bCs/>
          <w:szCs w:val="22"/>
        </w:rPr>
        <w:t xml:space="preserve"> vo výške </w:t>
      </w:r>
      <w:r w:rsidR="00AE26F4" w:rsidRPr="00C66720">
        <w:rPr>
          <w:rFonts w:ascii="Times New Roman" w:hAnsi="Times New Roman"/>
          <w:bCs/>
          <w:szCs w:val="22"/>
        </w:rPr>
        <w:t xml:space="preserve">1 228 362 </w:t>
      </w:r>
      <w:r w:rsidR="00295122" w:rsidRPr="00C66720">
        <w:rPr>
          <w:rFonts w:ascii="Times New Roman" w:hAnsi="Times New Roman"/>
          <w:bCs/>
          <w:szCs w:val="22"/>
        </w:rPr>
        <w:t>tis. eur</w:t>
      </w:r>
      <w:r w:rsidRPr="00C66720">
        <w:rPr>
          <w:rFonts w:ascii="Times New Roman" w:hAnsi="Times New Roman"/>
          <w:bCs/>
          <w:szCs w:val="22"/>
        </w:rPr>
        <w:t xml:space="preserve">, a to najmä z emitovaných štátnych dlhových cenných papierov </w:t>
      </w:r>
      <w:r w:rsidR="00AE26F4" w:rsidRPr="00C66720">
        <w:rPr>
          <w:rFonts w:ascii="Times New Roman" w:hAnsi="Times New Roman"/>
          <w:bCs/>
          <w:szCs w:val="22"/>
        </w:rPr>
        <w:t>(1 022 009 tis. eur),</w:t>
      </w:r>
      <w:r w:rsidRPr="00C66720">
        <w:rPr>
          <w:rFonts w:ascii="Times New Roman" w:hAnsi="Times New Roman"/>
          <w:bCs/>
          <w:szCs w:val="22"/>
        </w:rPr>
        <w:t xml:space="preserve"> čerpaných úverov Ministerstvom financií SR </w:t>
      </w:r>
      <w:r w:rsidR="00AE26F4" w:rsidRPr="00C66720">
        <w:rPr>
          <w:rFonts w:ascii="Times New Roman" w:hAnsi="Times New Roman"/>
          <w:bCs/>
          <w:szCs w:val="22"/>
        </w:rPr>
        <w:t>od medzinárodných bánk a inštitúcií (61</w:t>
      </w:r>
      <w:r w:rsidR="008D20BA">
        <w:rPr>
          <w:rFonts w:ascii="Times New Roman" w:hAnsi="Times New Roman"/>
          <w:bCs/>
          <w:szCs w:val="22"/>
        </w:rPr>
        <w:t> </w:t>
      </w:r>
      <w:r w:rsidR="00AE26F4" w:rsidRPr="00C66720">
        <w:rPr>
          <w:rFonts w:ascii="Times New Roman" w:hAnsi="Times New Roman"/>
          <w:bCs/>
          <w:szCs w:val="22"/>
        </w:rPr>
        <w:t>554</w:t>
      </w:r>
      <w:r w:rsidR="008D20BA">
        <w:rPr>
          <w:rFonts w:ascii="Times New Roman" w:hAnsi="Times New Roman"/>
          <w:bCs/>
          <w:szCs w:val="22"/>
        </w:rPr>
        <w:t xml:space="preserve"> </w:t>
      </w:r>
      <w:r w:rsidRPr="00C66720">
        <w:rPr>
          <w:rFonts w:ascii="Times New Roman" w:hAnsi="Times New Roman"/>
          <w:bCs/>
          <w:szCs w:val="22"/>
        </w:rPr>
        <w:t>tis. eur),</w:t>
      </w:r>
      <w:r w:rsidR="00AE26F4" w:rsidRPr="00C66720">
        <w:rPr>
          <w:rFonts w:ascii="Times New Roman" w:hAnsi="Times New Roman"/>
          <w:bCs/>
          <w:szCs w:val="22"/>
        </w:rPr>
        <w:t xml:space="preserve"> úrokov zo swapových operá</w:t>
      </w:r>
      <w:r w:rsidR="00320173" w:rsidRPr="00C66720">
        <w:rPr>
          <w:rFonts w:ascii="Times New Roman" w:hAnsi="Times New Roman"/>
          <w:bCs/>
          <w:szCs w:val="22"/>
        </w:rPr>
        <w:t>c</w:t>
      </w:r>
      <w:r w:rsidR="00AE26F4" w:rsidRPr="00C66720">
        <w:rPr>
          <w:rFonts w:ascii="Times New Roman" w:hAnsi="Times New Roman"/>
          <w:bCs/>
          <w:szCs w:val="22"/>
        </w:rPr>
        <w:t>ií (35 818 tis. eur) a diskontu štátnych dlhopisov a cenných papierov (42 508 tis. eur),</w:t>
      </w:r>
      <w:r w:rsidRPr="00C66720">
        <w:rPr>
          <w:rFonts w:ascii="Times New Roman" w:hAnsi="Times New Roman"/>
          <w:bCs/>
          <w:szCs w:val="22"/>
        </w:rPr>
        <w:t xml:space="preserve"> pričom úrokové náklady Ministerstva financií SR sa medziročne z</w:t>
      </w:r>
      <w:r w:rsidR="00FE2864" w:rsidRPr="00C66720">
        <w:rPr>
          <w:rFonts w:ascii="Times New Roman" w:hAnsi="Times New Roman"/>
          <w:bCs/>
          <w:szCs w:val="22"/>
        </w:rPr>
        <w:t>nížili o</w:t>
      </w:r>
      <w:r w:rsidR="00AE26F4" w:rsidRPr="00C66720">
        <w:rPr>
          <w:rFonts w:ascii="Times New Roman" w:hAnsi="Times New Roman"/>
          <w:bCs/>
          <w:szCs w:val="22"/>
        </w:rPr>
        <w:t> 12 129</w:t>
      </w:r>
      <w:r w:rsidRPr="00C66720">
        <w:rPr>
          <w:rFonts w:ascii="Times New Roman" w:hAnsi="Times New Roman"/>
          <w:bCs/>
          <w:szCs w:val="22"/>
        </w:rPr>
        <w:t xml:space="preserve"> tis. eur.</w:t>
      </w:r>
    </w:p>
    <w:p w14:paraId="06512A42" w14:textId="2FB91CC6" w:rsidR="005A629E" w:rsidRPr="00C66720" w:rsidRDefault="005A629E" w:rsidP="00E31624">
      <w:pPr>
        <w:spacing w:after="240" w:line="240" w:lineRule="auto"/>
        <w:jc w:val="both"/>
        <w:rPr>
          <w:rFonts w:ascii="Times New Roman" w:hAnsi="Times New Roman"/>
          <w:bCs/>
          <w:szCs w:val="22"/>
        </w:rPr>
      </w:pPr>
      <w:r w:rsidRPr="00C66720">
        <w:rPr>
          <w:rFonts w:ascii="Times New Roman" w:hAnsi="Times New Roman"/>
          <w:bCs/>
          <w:szCs w:val="22"/>
        </w:rPr>
        <w:t xml:space="preserve">Obce a ich organizácie vykázali úrokové náklady spolu za </w:t>
      </w:r>
      <w:r w:rsidR="00381618" w:rsidRPr="00C66720">
        <w:rPr>
          <w:rFonts w:ascii="Times New Roman" w:hAnsi="Times New Roman"/>
          <w:bCs/>
          <w:szCs w:val="22"/>
        </w:rPr>
        <w:t>17 781</w:t>
      </w:r>
      <w:r w:rsidRPr="00C66720">
        <w:rPr>
          <w:rFonts w:ascii="Times New Roman" w:hAnsi="Times New Roman"/>
          <w:bCs/>
          <w:szCs w:val="22"/>
        </w:rPr>
        <w:t xml:space="preserve"> tis. eur.</w:t>
      </w:r>
    </w:p>
    <w:p w14:paraId="75270752" w14:textId="18DD2274" w:rsidR="002D233A" w:rsidRPr="00C66720" w:rsidRDefault="002D233A" w:rsidP="00D043B6">
      <w:pPr>
        <w:pStyle w:val="Pismenka"/>
        <w:numPr>
          <w:ilvl w:val="0"/>
          <w:numId w:val="44"/>
        </w:numPr>
        <w:spacing w:before="120" w:after="120"/>
        <w:ind w:left="284" w:hanging="284"/>
        <w:rPr>
          <w:i/>
          <w:sz w:val="22"/>
          <w:szCs w:val="22"/>
          <w:u w:val="single"/>
        </w:rPr>
      </w:pPr>
      <w:bookmarkStart w:id="88" w:name="_Ref86186654"/>
      <w:r w:rsidRPr="00C66720">
        <w:rPr>
          <w:i/>
          <w:sz w:val="22"/>
          <w:szCs w:val="22"/>
          <w:u w:val="single"/>
        </w:rPr>
        <w:t>Kurzové straty</w:t>
      </w:r>
      <w:bookmarkEnd w:id="88"/>
    </w:p>
    <w:p w14:paraId="38F9593B" w14:textId="587194B2" w:rsidR="002D233A" w:rsidRPr="00C66720" w:rsidRDefault="002D233A" w:rsidP="00E31624">
      <w:pPr>
        <w:spacing w:after="240" w:line="240" w:lineRule="auto"/>
        <w:jc w:val="both"/>
        <w:rPr>
          <w:rFonts w:ascii="Times New Roman" w:hAnsi="Times New Roman"/>
          <w:bCs/>
          <w:color w:val="FF0000"/>
          <w:szCs w:val="22"/>
          <w:highlight w:val="yellow"/>
        </w:rPr>
      </w:pPr>
      <w:r w:rsidRPr="00C66720">
        <w:rPr>
          <w:rFonts w:ascii="Times New Roman" w:hAnsi="Times New Roman"/>
          <w:bCs/>
          <w:szCs w:val="22"/>
          <w:u w:val="single"/>
        </w:rPr>
        <w:t>Kurzové náklady</w:t>
      </w:r>
      <w:r w:rsidRPr="00C66720">
        <w:rPr>
          <w:rFonts w:ascii="Times New Roman" w:hAnsi="Times New Roman"/>
          <w:bCs/>
          <w:szCs w:val="22"/>
        </w:rPr>
        <w:t xml:space="preserve"> dosiahli </w:t>
      </w:r>
      <w:r w:rsidR="0069375B" w:rsidRPr="00C66720">
        <w:rPr>
          <w:rFonts w:ascii="Times New Roman" w:hAnsi="Times New Roman"/>
          <w:bCs/>
          <w:szCs w:val="22"/>
        </w:rPr>
        <w:t>168 481</w:t>
      </w:r>
      <w:r w:rsidRPr="00C66720">
        <w:rPr>
          <w:rFonts w:ascii="Times New Roman" w:hAnsi="Times New Roman"/>
          <w:bCs/>
          <w:szCs w:val="22"/>
        </w:rPr>
        <w:t xml:space="preserve"> tis. eur, čo predstavuje medziročné</w:t>
      </w:r>
      <w:r w:rsidR="0014450B" w:rsidRPr="00C66720">
        <w:rPr>
          <w:rFonts w:ascii="Times New Roman" w:hAnsi="Times New Roman"/>
          <w:bCs/>
          <w:szCs w:val="22"/>
        </w:rPr>
        <w:t xml:space="preserve"> </w:t>
      </w:r>
      <w:r w:rsidR="0069375B" w:rsidRPr="00C66720">
        <w:rPr>
          <w:rFonts w:ascii="Times New Roman" w:hAnsi="Times New Roman"/>
          <w:bCs/>
          <w:szCs w:val="22"/>
        </w:rPr>
        <w:t>zvýšenie</w:t>
      </w:r>
      <w:r w:rsidRPr="00C66720">
        <w:rPr>
          <w:rFonts w:ascii="Times New Roman" w:hAnsi="Times New Roman"/>
          <w:bCs/>
          <w:szCs w:val="22"/>
        </w:rPr>
        <w:t xml:space="preserve"> o</w:t>
      </w:r>
      <w:r w:rsidR="0069375B" w:rsidRPr="00C66720">
        <w:rPr>
          <w:rFonts w:ascii="Times New Roman" w:hAnsi="Times New Roman"/>
          <w:bCs/>
          <w:szCs w:val="22"/>
        </w:rPr>
        <w:t> 1 721</w:t>
      </w:r>
      <w:r w:rsidRPr="00C66720">
        <w:rPr>
          <w:rFonts w:ascii="Times New Roman" w:hAnsi="Times New Roman"/>
          <w:bCs/>
          <w:szCs w:val="22"/>
        </w:rPr>
        <w:t xml:space="preserve"> tis. eur. Najvyššiu sumu vykazuje Ministerstvo financií SR </w:t>
      </w:r>
      <w:r w:rsidR="007A0541" w:rsidRPr="00C66720">
        <w:rPr>
          <w:rFonts w:ascii="Times New Roman" w:hAnsi="Times New Roman"/>
          <w:bCs/>
          <w:szCs w:val="22"/>
        </w:rPr>
        <w:t>144 973</w:t>
      </w:r>
      <w:r w:rsidRPr="00C66720">
        <w:rPr>
          <w:rFonts w:ascii="Times New Roman" w:hAnsi="Times New Roman"/>
          <w:bCs/>
          <w:szCs w:val="22"/>
        </w:rPr>
        <w:t> tis. eur</w:t>
      </w:r>
      <w:r w:rsidR="005B2AD7" w:rsidRPr="00C66720">
        <w:rPr>
          <w:rFonts w:ascii="Times New Roman" w:hAnsi="Times New Roman"/>
          <w:bCs/>
          <w:szCs w:val="22"/>
        </w:rPr>
        <w:t>,</w:t>
      </w:r>
      <w:r w:rsidRPr="00C66720">
        <w:rPr>
          <w:rFonts w:ascii="Times New Roman" w:hAnsi="Times New Roman"/>
          <w:bCs/>
          <w:szCs w:val="22"/>
        </w:rPr>
        <w:t xml:space="preserve"> Štátna pokladnica </w:t>
      </w:r>
      <w:r w:rsidR="007A0541" w:rsidRPr="00C66720">
        <w:rPr>
          <w:rFonts w:ascii="Times New Roman" w:hAnsi="Times New Roman"/>
          <w:bCs/>
          <w:szCs w:val="22"/>
        </w:rPr>
        <w:t>9 773</w:t>
      </w:r>
      <w:r w:rsidRPr="00C66720">
        <w:rPr>
          <w:rFonts w:ascii="Times New Roman" w:hAnsi="Times New Roman"/>
          <w:bCs/>
          <w:szCs w:val="22"/>
        </w:rPr>
        <w:t> tis. eur</w:t>
      </w:r>
      <w:r w:rsidR="007A0541" w:rsidRPr="00C66720">
        <w:rPr>
          <w:rFonts w:ascii="Times New Roman" w:hAnsi="Times New Roman"/>
          <w:bCs/>
          <w:szCs w:val="22"/>
        </w:rPr>
        <w:t>, Slovenská pošta, a.s. 5 196 tis. eur</w:t>
      </w:r>
      <w:r w:rsidR="005B2AD7" w:rsidRPr="00C66720">
        <w:rPr>
          <w:rFonts w:ascii="Times New Roman" w:hAnsi="Times New Roman"/>
          <w:bCs/>
          <w:szCs w:val="22"/>
        </w:rPr>
        <w:t xml:space="preserve"> a Ministerstvo zahraničných vecí a európskych záležitostí SR </w:t>
      </w:r>
      <w:r w:rsidR="007A0541" w:rsidRPr="00C66720">
        <w:rPr>
          <w:rFonts w:ascii="Times New Roman" w:hAnsi="Times New Roman"/>
          <w:bCs/>
          <w:szCs w:val="22"/>
        </w:rPr>
        <w:br/>
        <w:t>3 543</w:t>
      </w:r>
      <w:r w:rsidR="005B2AD7" w:rsidRPr="00C66720">
        <w:rPr>
          <w:rFonts w:ascii="Times New Roman" w:hAnsi="Times New Roman"/>
          <w:bCs/>
          <w:szCs w:val="22"/>
        </w:rPr>
        <w:t xml:space="preserve"> tis. eur</w:t>
      </w:r>
      <w:r w:rsidRPr="00C66720">
        <w:rPr>
          <w:rFonts w:ascii="Times New Roman" w:hAnsi="Times New Roman"/>
          <w:bCs/>
          <w:szCs w:val="22"/>
        </w:rPr>
        <w:t xml:space="preserve">. Medziročný </w:t>
      </w:r>
      <w:r w:rsidR="00A36B7B" w:rsidRPr="00C66720">
        <w:rPr>
          <w:rFonts w:ascii="Times New Roman" w:hAnsi="Times New Roman"/>
          <w:bCs/>
          <w:szCs w:val="22"/>
        </w:rPr>
        <w:t xml:space="preserve">pokles </w:t>
      </w:r>
      <w:r w:rsidRPr="00C66720">
        <w:rPr>
          <w:rFonts w:ascii="Times New Roman" w:hAnsi="Times New Roman"/>
          <w:bCs/>
          <w:szCs w:val="22"/>
        </w:rPr>
        <w:t>kurzových strát u </w:t>
      </w:r>
      <w:r w:rsidR="00A36B7B" w:rsidRPr="00C66720">
        <w:rPr>
          <w:rFonts w:ascii="Times New Roman" w:hAnsi="Times New Roman"/>
          <w:bCs/>
          <w:szCs w:val="22"/>
        </w:rPr>
        <w:t>M</w:t>
      </w:r>
      <w:r w:rsidRPr="00C66720">
        <w:rPr>
          <w:rFonts w:ascii="Times New Roman" w:hAnsi="Times New Roman"/>
          <w:bCs/>
          <w:szCs w:val="22"/>
        </w:rPr>
        <w:t xml:space="preserve">inisterstva </w:t>
      </w:r>
      <w:r w:rsidR="00A36B7B" w:rsidRPr="00C66720">
        <w:rPr>
          <w:rFonts w:ascii="Times New Roman" w:hAnsi="Times New Roman"/>
          <w:bCs/>
          <w:szCs w:val="22"/>
        </w:rPr>
        <w:t xml:space="preserve">financií SR </w:t>
      </w:r>
      <w:r w:rsidRPr="00C66720">
        <w:rPr>
          <w:rFonts w:ascii="Times New Roman" w:hAnsi="Times New Roman"/>
          <w:bCs/>
          <w:szCs w:val="22"/>
        </w:rPr>
        <w:t xml:space="preserve">bol vo výške </w:t>
      </w:r>
      <w:r w:rsidR="008F42EC" w:rsidRPr="00C66720">
        <w:rPr>
          <w:rFonts w:ascii="Times New Roman" w:hAnsi="Times New Roman"/>
          <w:bCs/>
          <w:szCs w:val="22"/>
        </w:rPr>
        <w:br/>
        <w:t>12 425</w:t>
      </w:r>
      <w:r w:rsidRPr="00C66720">
        <w:rPr>
          <w:rFonts w:ascii="Times New Roman" w:hAnsi="Times New Roman"/>
          <w:bCs/>
          <w:szCs w:val="22"/>
        </w:rPr>
        <w:t xml:space="preserve"> tis. eur, najmä z dôvodu </w:t>
      </w:r>
      <w:r w:rsidR="00807104" w:rsidRPr="00C66720">
        <w:rPr>
          <w:rFonts w:ascii="Times New Roman" w:hAnsi="Times New Roman"/>
          <w:bCs/>
          <w:szCs w:val="22"/>
        </w:rPr>
        <w:t xml:space="preserve">poklesu kurzu cudzích mien pri emitovaných štátnych dlhopisoch. </w:t>
      </w:r>
      <w:r w:rsidRPr="00C66720">
        <w:rPr>
          <w:rFonts w:ascii="Times New Roman" w:hAnsi="Times New Roman"/>
          <w:bCs/>
          <w:szCs w:val="22"/>
        </w:rPr>
        <w:t xml:space="preserve">Štátna pokladnica zaznamenala </w:t>
      </w:r>
      <w:r w:rsidR="000452D4" w:rsidRPr="00C66720">
        <w:rPr>
          <w:rFonts w:ascii="Times New Roman" w:hAnsi="Times New Roman"/>
          <w:bCs/>
          <w:szCs w:val="22"/>
        </w:rPr>
        <w:t>nárast</w:t>
      </w:r>
      <w:r w:rsidRPr="00C66720">
        <w:rPr>
          <w:rFonts w:ascii="Times New Roman" w:hAnsi="Times New Roman"/>
          <w:bCs/>
          <w:szCs w:val="22"/>
        </w:rPr>
        <w:t xml:space="preserve"> kurzových strát o</w:t>
      </w:r>
      <w:r w:rsidR="000452D4" w:rsidRPr="00C66720">
        <w:rPr>
          <w:rFonts w:ascii="Times New Roman" w:hAnsi="Times New Roman"/>
          <w:bCs/>
          <w:szCs w:val="22"/>
        </w:rPr>
        <w:t> 6 315</w:t>
      </w:r>
      <w:r w:rsidRPr="00C66720">
        <w:rPr>
          <w:rFonts w:ascii="Times New Roman" w:hAnsi="Times New Roman"/>
          <w:bCs/>
          <w:szCs w:val="22"/>
        </w:rPr>
        <w:t xml:space="preserve"> tis. eur.</w:t>
      </w:r>
    </w:p>
    <w:p w14:paraId="76932CC6" w14:textId="76176752" w:rsidR="002D233A" w:rsidRPr="00C66720" w:rsidRDefault="002D233A" w:rsidP="00D043B6">
      <w:pPr>
        <w:pStyle w:val="Pismenka"/>
        <w:numPr>
          <w:ilvl w:val="0"/>
          <w:numId w:val="44"/>
        </w:numPr>
        <w:spacing w:before="120" w:after="120"/>
        <w:ind w:left="284" w:hanging="284"/>
        <w:rPr>
          <w:i/>
          <w:sz w:val="22"/>
          <w:szCs w:val="22"/>
          <w:u w:val="single"/>
        </w:rPr>
      </w:pPr>
      <w:bookmarkStart w:id="89" w:name="_Ref86186668"/>
      <w:r w:rsidRPr="00C66720">
        <w:rPr>
          <w:i/>
          <w:sz w:val="22"/>
          <w:szCs w:val="22"/>
          <w:u w:val="single"/>
        </w:rPr>
        <w:t>Podiel na výsledku hospodárenia pridružených ÚJ</w:t>
      </w:r>
      <w:bookmarkEnd w:id="89"/>
    </w:p>
    <w:p w14:paraId="0669BA1C" w14:textId="147CD3BF" w:rsidR="002D233A" w:rsidRPr="00C66720" w:rsidRDefault="002D233A" w:rsidP="00E31624">
      <w:pPr>
        <w:spacing w:before="120" w:after="240" w:line="240" w:lineRule="auto"/>
        <w:jc w:val="both"/>
        <w:rPr>
          <w:rFonts w:ascii="Times New Roman" w:hAnsi="Times New Roman"/>
          <w:bCs/>
          <w:color w:val="FF0000"/>
          <w:szCs w:val="22"/>
          <w:highlight w:val="yellow"/>
        </w:rPr>
      </w:pPr>
      <w:r w:rsidRPr="00C66720">
        <w:rPr>
          <w:rFonts w:ascii="Times New Roman" w:hAnsi="Times New Roman"/>
          <w:bCs/>
          <w:szCs w:val="22"/>
        </w:rPr>
        <w:t xml:space="preserve">Podiel na nákladoch pridružených účtovných jednotiek sa </w:t>
      </w:r>
      <w:r w:rsidR="00C06F22" w:rsidRPr="00C66720">
        <w:rPr>
          <w:rFonts w:ascii="Times New Roman" w:hAnsi="Times New Roman"/>
          <w:bCs/>
          <w:szCs w:val="22"/>
        </w:rPr>
        <w:t>znížil</w:t>
      </w:r>
      <w:r w:rsidRPr="00C66720">
        <w:rPr>
          <w:rFonts w:ascii="Times New Roman" w:hAnsi="Times New Roman"/>
          <w:bCs/>
          <w:szCs w:val="22"/>
        </w:rPr>
        <w:t xml:space="preserve"> z minuloročných </w:t>
      </w:r>
      <w:r w:rsidR="00C06F22" w:rsidRPr="00C66720">
        <w:rPr>
          <w:rFonts w:ascii="Times New Roman" w:hAnsi="Times New Roman"/>
          <w:bCs/>
          <w:szCs w:val="22"/>
        </w:rPr>
        <w:t>654 414</w:t>
      </w:r>
      <w:r w:rsidRPr="00C66720">
        <w:rPr>
          <w:rFonts w:ascii="Times New Roman" w:hAnsi="Times New Roman"/>
          <w:bCs/>
          <w:szCs w:val="22"/>
        </w:rPr>
        <w:t xml:space="preserve"> tis. eur na </w:t>
      </w:r>
      <w:r w:rsidRPr="00C66720">
        <w:rPr>
          <w:rFonts w:ascii="Times New Roman" w:hAnsi="Times New Roman"/>
          <w:bCs/>
          <w:szCs w:val="22"/>
        </w:rPr>
        <w:br/>
      </w:r>
      <w:r w:rsidR="00C06F22" w:rsidRPr="00C66720">
        <w:rPr>
          <w:rFonts w:ascii="Times New Roman" w:hAnsi="Times New Roman"/>
          <w:bCs/>
          <w:szCs w:val="22"/>
        </w:rPr>
        <w:t>2 718</w:t>
      </w:r>
      <w:r w:rsidRPr="00C66720">
        <w:rPr>
          <w:rFonts w:ascii="Times New Roman" w:hAnsi="Times New Roman"/>
          <w:bCs/>
          <w:szCs w:val="22"/>
        </w:rPr>
        <w:t xml:space="preserve"> tis. eur, najmä u Ministerstva hospodárstva SR </w:t>
      </w:r>
      <w:r w:rsidR="001345DD" w:rsidRPr="00C66720">
        <w:rPr>
          <w:rFonts w:ascii="Times New Roman" w:hAnsi="Times New Roman"/>
          <w:bCs/>
          <w:szCs w:val="22"/>
        </w:rPr>
        <w:t xml:space="preserve">(o </w:t>
      </w:r>
      <w:r w:rsidR="008B3627" w:rsidRPr="00C66720">
        <w:rPr>
          <w:rFonts w:ascii="Times New Roman" w:hAnsi="Times New Roman"/>
          <w:bCs/>
          <w:szCs w:val="22"/>
        </w:rPr>
        <w:t>652 525</w:t>
      </w:r>
      <w:r w:rsidR="001345DD" w:rsidRPr="00C66720">
        <w:rPr>
          <w:rFonts w:ascii="Times New Roman" w:hAnsi="Times New Roman"/>
          <w:bCs/>
          <w:szCs w:val="22"/>
        </w:rPr>
        <w:t xml:space="preserve"> tis. eur) </w:t>
      </w:r>
      <w:r w:rsidRPr="00C66720">
        <w:rPr>
          <w:rFonts w:ascii="Times New Roman" w:hAnsi="Times New Roman"/>
          <w:bCs/>
          <w:szCs w:val="22"/>
        </w:rPr>
        <w:t xml:space="preserve">z podielu na </w:t>
      </w:r>
      <w:r w:rsidR="00B30813">
        <w:rPr>
          <w:rFonts w:ascii="Times New Roman" w:hAnsi="Times New Roman"/>
          <w:bCs/>
          <w:szCs w:val="22"/>
        </w:rPr>
        <w:t>výsledku hospodárenia</w:t>
      </w:r>
      <w:r w:rsidR="00B30813" w:rsidRPr="00C66720">
        <w:rPr>
          <w:rFonts w:ascii="Times New Roman" w:hAnsi="Times New Roman"/>
          <w:bCs/>
          <w:szCs w:val="22"/>
        </w:rPr>
        <w:t> </w:t>
      </w:r>
      <w:r w:rsidRPr="00C66720">
        <w:rPr>
          <w:rFonts w:ascii="Times New Roman" w:hAnsi="Times New Roman"/>
          <w:bCs/>
          <w:szCs w:val="22"/>
        </w:rPr>
        <w:t xml:space="preserve">Slovenských elektrární, a.s. </w:t>
      </w:r>
    </w:p>
    <w:p w14:paraId="27819669" w14:textId="2BB66F3A" w:rsidR="00915726" w:rsidRPr="00C66720" w:rsidRDefault="00915726" w:rsidP="00D043B6">
      <w:pPr>
        <w:pStyle w:val="Pismenka"/>
        <w:numPr>
          <w:ilvl w:val="0"/>
          <w:numId w:val="44"/>
        </w:numPr>
        <w:spacing w:before="120" w:after="120"/>
        <w:ind w:left="284" w:hanging="284"/>
        <w:rPr>
          <w:i/>
          <w:sz w:val="22"/>
          <w:szCs w:val="22"/>
          <w:u w:val="single"/>
        </w:rPr>
      </w:pPr>
      <w:bookmarkStart w:id="90" w:name="_Ref86186678"/>
      <w:r w:rsidRPr="00C66720">
        <w:rPr>
          <w:i/>
          <w:sz w:val="22"/>
          <w:szCs w:val="22"/>
          <w:u w:val="single"/>
        </w:rPr>
        <w:t>Ostatné finančné náklady</w:t>
      </w:r>
      <w:bookmarkEnd w:id="90"/>
    </w:p>
    <w:p w14:paraId="08293DDB" w14:textId="742E1F67" w:rsidR="004A78A9" w:rsidRPr="00C66720" w:rsidRDefault="00320173" w:rsidP="00215938">
      <w:pPr>
        <w:spacing w:after="120" w:line="240" w:lineRule="auto"/>
        <w:jc w:val="both"/>
        <w:rPr>
          <w:rFonts w:ascii="Times New Roman" w:hAnsi="Times New Roman"/>
          <w:bCs/>
          <w:szCs w:val="22"/>
        </w:rPr>
      </w:pPr>
      <w:r w:rsidRPr="00C66720">
        <w:rPr>
          <w:rFonts w:ascii="Times New Roman" w:hAnsi="Times New Roman"/>
          <w:bCs/>
          <w:szCs w:val="22"/>
          <w:u w:val="single"/>
        </w:rPr>
        <w:t>MH Manažment, a.s.</w:t>
      </w:r>
      <w:r w:rsidRPr="00C66720">
        <w:rPr>
          <w:rFonts w:ascii="Times New Roman" w:hAnsi="Times New Roman"/>
          <w:bCs/>
          <w:szCs w:val="22"/>
        </w:rPr>
        <w:t xml:space="preserve"> vykazuje </w:t>
      </w:r>
      <w:r w:rsidRPr="00C66720">
        <w:rPr>
          <w:rFonts w:ascii="Times New Roman" w:hAnsi="Times New Roman"/>
          <w:bCs/>
          <w:szCs w:val="22"/>
          <w:u w:val="single"/>
        </w:rPr>
        <w:t>ostatné finančné náklady</w:t>
      </w:r>
      <w:r w:rsidRPr="00C66720">
        <w:rPr>
          <w:rFonts w:ascii="Times New Roman" w:hAnsi="Times New Roman"/>
          <w:bCs/>
          <w:szCs w:val="22"/>
        </w:rPr>
        <w:t xml:space="preserve"> v celkovej sume 65 528 tis. eur, ktoré boli medziročne vyššie o 65 429 tis. eur z dôvodu ex offo výmazu spoločnosti DMD Holding, a.s. z Obchodného registra SR v sume 64 727 tis. eur a následne z účtovnej evidencie spoločnosti.</w:t>
      </w:r>
    </w:p>
    <w:p w14:paraId="72CEE9A2" w14:textId="595AB6F2" w:rsidR="005A629E" w:rsidRPr="00C66720" w:rsidRDefault="005A629E" w:rsidP="00215938">
      <w:pPr>
        <w:spacing w:after="120" w:line="240" w:lineRule="auto"/>
        <w:jc w:val="both"/>
        <w:rPr>
          <w:rFonts w:ascii="Times New Roman" w:hAnsi="Times New Roman"/>
          <w:bCs/>
          <w:szCs w:val="22"/>
        </w:rPr>
      </w:pPr>
      <w:r w:rsidRPr="00C66720">
        <w:rPr>
          <w:rFonts w:ascii="Times New Roman" w:hAnsi="Times New Roman"/>
          <w:bCs/>
          <w:szCs w:val="22"/>
          <w:u w:val="single"/>
        </w:rPr>
        <w:t xml:space="preserve">Náklady na derivátové operácie </w:t>
      </w:r>
      <w:r w:rsidRPr="00C66720">
        <w:rPr>
          <w:rFonts w:ascii="Times New Roman" w:hAnsi="Times New Roman"/>
          <w:bCs/>
          <w:szCs w:val="22"/>
        </w:rPr>
        <w:t xml:space="preserve">sú tvorené nákladmi </w:t>
      </w:r>
      <w:r w:rsidR="00BC3CC8" w:rsidRPr="00C66720">
        <w:rPr>
          <w:rFonts w:ascii="Times New Roman" w:hAnsi="Times New Roman"/>
          <w:bCs/>
          <w:szCs w:val="22"/>
        </w:rPr>
        <w:t xml:space="preserve">Slovenskej elektrizačnej prenosovej sústavy, a.s. </w:t>
      </w:r>
      <w:r w:rsidRPr="00C66720">
        <w:rPr>
          <w:rFonts w:ascii="Times New Roman" w:hAnsi="Times New Roman"/>
          <w:bCs/>
          <w:szCs w:val="22"/>
        </w:rPr>
        <w:t xml:space="preserve">Ide o náklady s obchodmi so zabezpečovacími derivátmi, ktorých cieľom je minimalizovať alebo odstraňovať riziko nepriaznivého pohybu cien komodít, s ktorými </w:t>
      </w:r>
      <w:r w:rsidR="00BC3CC8" w:rsidRPr="00C66720">
        <w:rPr>
          <w:rFonts w:ascii="Times New Roman" w:hAnsi="Times New Roman"/>
          <w:bCs/>
          <w:szCs w:val="22"/>
        </w:rPr>
        <w:t>sa obchoduje,</w:t>
      </w:r>
      <w:r w:rsidRPr="00C66720">
        <w:rPr>
          <w:rFonts w:ascii="Times New Roman" w:hAnsi="Times New Roman"/>
          <w:bCs/>
          <w:szCs w:val="22"/>
        </w:rPr>
        <w:t xml:space="preserve"> úrokových sadzieb a kurzového rizika.</w:t>
      </w:r>
      <w:r w:rsidR="00F37246" w:rsidRPr="00C66720">
        <w:rPr>
          <w:rFonts w:ascii="Times New Roman" w:hAnsi="Times New Roman"/>
          <w:bCs/>
          <w:szCs w:val="22"/>
        </w:rPr>
        <w:t xml:space="preserve"> V prípade Slovenskej elektrizačnej prenosovej sústavy, a.s. ide o future kontrakty </w:t>
      </w:r>
      <w:r w:rsidR="00F37246" w:rsidRPr="00C66720">
        <w:rPr>
          <w:rFonts w:ascii="Times New Roman" w:hAnsi="Times New Roman"/>
          <w:bCs/>
          <w:szCs w:val="22"/>
        </w:rPr>
        <w:lastRenderedPageBreak/>
        <w:t>s podkladovým komoditným nástrojom – elektrina, ktorých cieľom je minimalizovať alebo odstraňovať riziko nepriaznivého vývoja ceny danej komodity. Zabezpečované sú budúce nákupy elektriny, pričom medziročná zmena nákladov (</w:t>
      </w:r>
      <w:r w:rsidR="00385BEA" w:rsidRPr="00C66720">
        <w:rPr>
          <w:rFonts w:ascii="Times New Roman" w:hAnsi="Times New Roman"/>
          <w:bCs/>
          <w:szCs w:val="22"/>
        </w:rPr>
        <w:t>pokles</w:t>
      </w:r>
      <w:r w:rsidR="00F37246" w:rsidRPr="00C66720">
        <w:rPr>
          <w:rFonts w:ascii="Times New Roman" w:hAnsi="Times New Roman"/>
          <w:bCs/>
          <w:szCs w:val="22"/>
        </w:rPr>
        <w:t xml:space="preserve"> o</w:t>
      </w:r>
      <w:r w:rsidR="00385BEA" w:rsidRPr="00C66720">
        <w:rPr>
          <w:rFonts w:ascii="Times New Roman" w:hAnsi="Times New Roman"/>
          <w:bCs/>
          <w:szCs w:val="22"/>
        </w:rPr>
        <w:t> 62 409</w:t>
      </w:r>
      <w:r w:rsidR="00F37246" w:rsidRPr="00C66720">
        <w:rPr>
          <w:rFonts w:ascii="Times New Roman" w:hAnsi="Times New Roman"/>
          <w:bCs/>
          <w:szCs w:val="22"/>
        </w:rPr>
        <w:t xml:space="preserve"> tis. eur) súvisí s vývojom cien elektriny.</w:t>
      </w:r>
    </w:p>
    <w:p w14:paraId="7736E685" w14:textId="65CC6B32" w:rsidR="004F7AC4" w:rsidRPr="00C66720" w:rsidRDefault="005A629E" w:rsidP="00215938">
      <w:pPr>
        <w:spacing w:after="0" w:line="240" w:lineRule="auto"/>
        <w:jc w:val="both"/>
        <w:rPr>
          <w:rFonts w:ascii="Times New Roman" w:hAnsi="Times New Roman"/>
          <w:bCs/>
          <w:color w:val="FF0000"/>
          <w:szCs w:val="22"/>
          <w:highlight w:val="yellow"/>
        </w:rPr>
      </w:pPr>
      <w:r w:rsidRPr="00C66720">
        <w:rPr>
          <w:rFonts w:ascii="Times New Roman" w:hAnsi="Times New Roman"/>
          <w:bCs/>
          <w:szCs w:val="22"/>
          <w:u w:val="single"/>
        </w:rPr>
        <w:t>Ostatné finančné náklady Ministerstva hospodárstva SR</w:t>
      </w:r>
      <w:r w:rsidRPr="00C66720">
        <w:rPr>
          <w:rFonts w:ascii="Times New Roman" w:hAnsi="Times New Roman"/>
          <w:bCs/>
          <w:szCs w:val="22"/>
        </w:rPr>
        <w:t xml:space="preserve"> predstavujú najmä náklady </w:t>
      </w:r>
      <w:r w:rsidR="00807588" w:rsidRPr="00C66720">
        <w:rPr>
          <w:rFonts w:ascii="Times New Roman" w:hAnsi="Times New Roman"/>
          <w:bCs/>
          <w:szCs w:val="22"/>
        </w:rPr>
        <w:t>n</w:t>
      </w:r>
      <w:r w:rsidRPr="00C66720">
        <w:rPr>
          <w:rFonts w:ascii="Times New Roman" w:hAnsi="Times New Roman"/>
          <w:bCs/>
          <w:szCs w:val="22"/>
        </w:rPr>
        <w:t xml:space="preserve">a </w:t>
      </w:r>
      <w:r w:rsidR="00807588" w:rsidRPr="00C66720">
        <w:rPr>
          <w:rFonts w:ascii="Times New Roman" w:hAnsi="Times New Roman"/>
          <w:bCs/>
          <w:szCs w:val="22"/>
        </w:rPr>
        <w:t xml:space="preserve">pokračujúci </w:t>
      </w:r>
      <w:r w:rsidRPr="00C66720">
        <w:rPr>
          <w:rFonts w:ascii="Times New Roman" w:hAnsi="Times New Roman"/>
          <w:bCs/>
          <w:szCs w:val="22"/>
        </w:rPr>
        <w:t xml:space="preserve">odpis majetkového podielu </w:t>
      </w:r>
      <w:r w:rsidR="00923F12" w:rsidRPr="00C66720">
        <w:rPr>
          <w:rFonts w:ascii="Times New Roman" w:hAnsi="Times New Roman"/>
          <w:bCs/>
          <w:szCs w:val="22"/>
        </w:rPr>
        <w:t xml:space="preserve">na kmeňovom imaní štátnych podnikov v likvidácii na základe ich výmazu z Obchodného registra SR v hodnote </w:t>
      </w:r>
      <w:r w:rsidR="00807588" w:rsidRPr="00C66720">
        <w:rPr>
          <w:rFonts w:ascii="Times New Roman" w:hAnsi="Times New Roman"/>
          <w:bCs/>
          <w:szCs w:val="22"/>
        </w:rPr>
        <w:t>17 470</w:t>
      </w:r>
      <w:r w:rsidR="00923F12" w:rsidRPr="00C66720">
        <w:rPr>
          <w:rFonts w:ascii="Times New Roman" w:hAnsi="Times New Roman"/>
          <w:bCs/>
          <w:szCs w:val="22"/>
        </w:rPr>
        <w:t xml:space="preserve"> tis. eur</w:t>
      </w:r>
      <w:r w:rsidR="00807588" w:rsidRPr="00C66720">
        <w:rPr>
          <w:rFonts w:ascii="Times New Roman" w:hAnsi="Times New Roman"/>
          <w:bCs/>
          <w:szCs w:val="22"/>
        </w:rPr>
        <w:t>.</w:t>
      </w:r>
      <w:r w:rsidR="00923F12" w:rsidRPr="00C66720">
        <w:rPr>
          <w:rFonts w:ascii="Times New Roman" w:hAnsi="Times New Roman"/>
          <w:bCs/>
          <w:color w:val="FF0000"/>
          <w:szCs w:val="22"/>
          <w:highlight w:val="yellow"/>
        </w:rPr>
        <w:t xml:space="preserve"> </w:t>
      </w:r>
    </w:p>
    <w:p w14:paraId="6E3950C7" w14:textId="2322C9C1" w:rsidR="007B6503" w:rsidRPr="00C66720" w:rsidRDefault="00221958" w:rsidP="007B6503">
      <w:pPr>
        <w:spacing w:before="120" w:after="0" w:line="240" w:lineRule="auto"/>
        <w:jc w:val="both"/>
        <w:rPr>
          <w:rFonts w:ascii="Times New Roman" w:hAnsi="Times New Roman"/>
          <w:bCs/>
          <w:szCs w:val="22"/>
        </w:rPr>
      </w:pPr>
      <w:r w:rsidRPr="00C66720">
        <w:rPr>
          <w:rFonts w:ascii="Times New Roman" w:hAnsi="Times New Roman"/>
          <w:bCs/>
          <w:szCs w:val="22"/>
          <w:u w:val="single"/>
        </w:rPr>
        <w:t xml:space="preserve">Slovenský plynárenský priemysel, a.s. </w:t>
      </w:r>
      <w:r w:rsidRPr="00DE530D">
        <w:rPr>
          <w:rFonts w:ascii="Times New Roman" w:hAnsi="Times New Roman"/>
          <w:bCs/>
          <w:szCs w:val="22"/>
        </w:rPr>
        <w:t>ako ostatné finančné náklady</w:t>
      </w:r>
      <w:r w:rsidRPr="00C66720">
        <w:rPr>
          <w:rFonts w:ascii="Times New Roman" w:hAnsi="Times New Roman"/>
          <w:bCs/>
          <w:szCs w:val="22"/>
        </w:rPr>
        <w:t xml:space="preserve"> (14 445 tis. eur) vykazuje najmä náklady na vyradenie finančnej investície vo výške obstarávacej ceny podielu v hodnote 11 500 tis. eur.</w:t>
      </w:r>
    </w:p>
    <w:p w14:paraId="3DBD457C" w14:textId="5442FDDC" w:rsidR="005A629E" w:rsidRPr="00C66720" w:rsidRDefault="005A629E" w:rsidP="004F7AC4">
      <w:pPr>
        <w:spacing w:before="120" w:after="0" w:line="240" w:lineRule="auto"/>
        <w:jc w:val="both"/>
        <w:rPr>
          <w:rFonts w:ascii="Times New Roman" w:hAnsi="Times New Roman"/>
          <w:bCs/>
          <w:szCs w:val="22"/>
        </w:rPr>
      </w:pPr>
      <w:r w:rsidRPr="00C66720">
        <w:rPr>
          <w:rFonts w:ascii="Times New Roman" w:hAnsi="Times New Roman"/>
          <w:bCs/>
          <w:szCs w:val="22"/>
        </w:rPr>
        <w:t xml:space="preserve">V prípade </w:t>
      </w:r>
      <w:r w:rsidRPr="00C66720">
        <w:rPr>
          <w:rFonts w:ascii="Times New Roman" w:hAnsi="Times New Roman"/>
          <w:bCs/>
          <w:szCs w:val="22"/>
          <w:u w:val="single"/>
        </w:rPr>
        <w:t>Ministerstva financií SR</w:t>
      </w:r>
      <w:r w:rsidRPr="00C66720">
        <w:rPr>
          <w:rFonts w:ascii="Times New Roman" w:hAnsi="Times New Roman"/>
          <w:bCs/>
          <w:szCs w:val="22"/>
        </w:rPr>
        <w:t xml:space="preserve"> ide o poplatky tuzemským a zahraničným bankám a finančným sprostredkovateľom obchodov so štátnymi cennými papiermi</w:t>
      </w:r>
      <w:r w:rsidR="00E9142B" w:rsidRPr="00C66720">
        <w:rPr>
          <w:rFonts w:ascii="Times New Roman" w:hAnsi="Times New Roman"/>
          <w:bCs/>
          <w:szCs w:val="22"/>
        </w:rPr>
        <w:t>.</w:t>
      </w:r>
      <w:r w:rsidR="005A68FA" w:rsidRPr="00C66720">
        <w:rPr>
          <w:rFonts w:ascii="Times New Roman" w:hAnsi="Times New Roman"/>
          <w:bCs/>
          <w:szCs w:val="22"/>
        </w:rPr>
        <w:t xml:space="preserve"> </w:t>
      </w:r>
    </w:p>
    <w:p w14:paraId="2911BAB0" w14:textId="31FA558A" w:rsidR="00AB1AFF" w:rsidRPr="00C66720" w:rsidRDefault="00AB1AFF" w:rsidP="004F7AC4">
      <w:pPr>
        <w:spacing w:before="120" w:after="0" w:line="240" w:lineRule="auto"/>
        <w:jc w:val="both"/>
        <w:rPr>
          <w:rFonts w:ascii="Times New Roman" w:hAnsi="Times New Roman"/>
          <w:bCs/>
          <w:szCs w:val="22"/>
        </w:rPr>
      </w:pPr>
      <w:r w:rsidRPr="00C66720">
        <w:rPr>
          <w:rFonts w:ascii="Times New Roman" w:hAnsi="Times New Roman"/>
          <w:bCs/>
          <w:szCs w:val="22"/>
          <w:u w:val="single"/>
        </w:rPr>
        <w:t>Náklady na predané cenné papiere a podiely</w:t>
      </w:r>
      <w:r w:rsidRPr="00C66720">
        <w:rPr>
          <w:rFonts w:ascii="Times New Roman" w:hAnsi="Times New Roman"/>
          <w:bCs/>
          <w:szCs w:val="22"/>
        </w:rPr>
        <w:t xml:space="preserve"> dosiahli hodnotu 6 028 tis. eur a boli v porovnaní s rokom 2021 nižšie o 17 665 tis. eur. </w:t>
      </w:r>
      <w:r w:rsidR="00CB6D15" w:rsidRPr="00C66720">
        <w:rPr>
          <w:rFonts w:ascii="Times New Roman" w:hAnsi="Times New Roman"/>
          <w:bCs/>
          <w:szCs w:val="22"/>
        </w:rPr>
        <w:t>Takmer 84 % týchto nákladov sú náklady subjektov ústrednej správy, predovšetkým Slovenského plynárenského priemyslu, a.s. (4 079 tis. eur)</w:t>
      </w:r>
      <w:r w:rsidR="004C4AEE" w:rsidRPr="00C66720">
        <w:rPr>
          <w:rFonts w:ascii="Times New Roman" w:hAnsi="Times New Roman"/>
          <w:bCs/>
          <w:szCs w:val="22"/>
        </w:rPr>
        <w:t>, z odpredaja cenných papierov a majetkových podielov.</w:t>
      </w:r>
      <w:r w:rsidR="00CB6D15" w:rsidRPr="00C66720">
        <w:rPr>
          <w:rFonts w:ascii="Times New Roman" w:hAnsi="Times New Roman"/>
          <w:bCs/>
          <w:szCs w:val="22"/>
        </w:rPr>
        <w:t xml:space="preserve"> </w:t>
      </w:r>
    </w:p>
    <w:p w14:paraId="51740DE2" w14:textId="25CF069D" w:rsidR="00215938" w:rsidRPr="00C66720" w:rsidRDefault="005A629E" w:rsidP="00215938">
      <w:pPr>
        <w:spacing w:before="120" w:after="0" w:line="240" w:lineRule="auto"/>
        <w:jc w:val="both"/>
        <w:rPr>
          <w:rFonts w:ascii="Times New Roman" w:hAnsi="Times New Roman"/>
          <w:bCs/>
          <w:szCs w:val="22"/>
        </w:rPr>
      </w:pPr>
      <w:r w:rsidRPr="00C66720">
        <w:rPr>
          <w:rFonts w:ascii="Times New Roman" w:hAnsi="Times New Roman"/>
          <w:bCs/>
          <w:szCs w:val="22"/>
          <w:u w:val="single"/>
        </w:rPr>
        <w:t>Ostatné finančné náklady</w:t>
      </w:r>
      <w:r w:rsidRPr="00C66720">
        <w:rPr>
          <w:rFonts w:ascii="Times New Roman" w:hAnsi="Times New Roman"/>
          <w:bCs/>
          <w:szCs w:val="22"/>
        </w:rPr>
        <w:t xml:space="preserve"> v hodnote </w:t>
      </w:r>
      <w:r w:rsidR="009449B1" w:rsidRPr="00C66720">
        <w:rPr>
          <w:rFonts w:ascii="Times New Roman" w:hAnsi="Times New Roman"/>
          <w:bCs/>
          <w:szCs w:val="22"/>
        </w:rPr>
        <w:t>108 794</w:t>
      </w:r>
      <w:r w:rsidRPr="00C66720">
        <w:rPr>
          <w:rFonts w:ascii="Times New Roman" w:hAnsi="Times New Roman"/>
          <w:bCs/>
          <w:szCs w:val="22"/>
        </w:rPr>
        <w:t xml:space="preserve"> tis. eur tvoria napr. náklady v podobe poplatkov komerčným bankám za vedenie účtov, rôzne typy poistenia a iné.</w:t>
      </w:r>
    </w:p>
    <w:p w14:paraId="6C458997" w14:textId="62511C52" w:rsidR="005A629E" w:rsidRPr="00C66720" w:rsidRDefault="00262A81" w:rsidP="00CD22C7">
      <w:pPr>
        <w:numPr>
          <w:ilvl w:val="0"/>
          <w:numId w:val="24"/>
        </w:numPr>
        <w:spacing w:before="240" w:line="240" w:lineRule="auto"/>
        <w:ind w:left="425" w:hanging="425"/>
        <w:jc w:val="both"/>
        <w:rPr>
          <w:rFonts w:ascii="Times New Roman" w:hAnsi="Times New Roman"/>
          <w:b/>
          <w:bCs/>
          <w:sz w:val="24"/>
          <w:szCs w:val="24"/>
        </w:rPr>
      </w:pPr>
      <w:bookmarkStart w:id="91" w:name="_Ref86186697"/>
      <w:r w:rsidRPr="00C66720">
        <w:rPr>
          <w:rFonts w:ascii="Times New Roman" w:hAnsi="Times New Roman"/>
          <w:b/>
          <w:bCs/>
          <w:sz w:val="24"/>
          <w:szCs w:val="24"/>
        </w:rPr>
        <w:t xml:space="preserve"> </w:t>
      </w:r>
      <w:r w:rsidR="005A629E" w:rsidRPr="00C66720">
        <w:rPr>
          <w:rFonts w:ascii="Times New Roman" w:hAnsi="Times New Roman"/>
          <w:b/>
          <w:bCs/>
          <w:sz w:val="24"/>
          <w:szCs w:val="24"/>
        </w:rPr>
        <w:t>Dane a poplatky</w:t>
      </w:r>
      <w:bookmarkEnd w:id="91"/>
    </w:p>
    <w:p w14:paraId="48DA4ACB" w14:textId="6568D4CA" w:rsidR="00C54857" w:rsidRDefault="005A629E" w:rsidP="008E461A">
      <w:pPr>
        <w:spacing w:after="0" w:line="240" w:lineRule="auto"/>
        <w:jc w:val="both"/>
        <w:rPr>
          <w:rFonts w:ascii="Times New Roman" w:hAnsi="Times New Roman"/>
          <w:bCs/>
          <w:szCs w:val="22"/>
        </w:rPr>
      </w:pPr>
      <w:r w:rsidRPr="00C66720">
        <w:rPr>
          <w:rFonts w:ascii="Times New Roman" w:hAnsi="Times New Roman"/>
          <w:bCs/>
          <w:szCs w:val="22"/>
        </w:rPr>
        <w:t xml:space="preserve">Dane a poplatky boli vykázané v hodnote </w:t>
      </w:r>
      <w:r w:rsidR="00CD035F" w:rsidRPr="00C66720">
        <w:rPr>
          <w:rFonts w:ascii="Times New Roman" w:hAnsi="Times New Roman"/>
          <w:bCs/>
          <w:szCs w:val="22"/>
        </w:rPr>
        <w:t>23 053</w:t>
      </w:r>
      <w:r w:rsidR="001C0B24" w:rsidRPr="00C66720">
        <w:rPr>
          <w:rFonts w:ascii="Times New Roman" w:hAnsi="Times New Roman"/>
          <w:bCs/>
          <w:szCs w:val="22"/>
        </w:rPr>
        <w:t xml:space="preserve"> tis. eur, oproti roku </w:t>
      </w:r>
      <w:r w:rsidR="00CD035F" w:rsidRPr="00C66720">
        <w:rPr>
          <w:rFonts w:ascii="Times New Roman" w:hAnsi="Times New Roman"/>
          <w:bCs/>
          <w:szCs w:val="22"/>
        </w:rPr>
        <w:t>2021</w:t>
      </w:r>
      <w:r w:rsidRPr="00C66720">
        <w:rPr>
          <w:rFonts w:ascii="Times New Roman" w:hAnsi="Times New Roman"/>
          <w:bCs/>
          <w:szCs w:val="22"/>
        </w:rPr>
        <w:t xml:space="preserve"> sa</w:t>
      </w:r>
      <w:r w:rsidR="001C0B24" w:rsidRPr="00C66720">
        <w:rPr>
          <w:rFonts w:ascii="Times New Roman" w:hAnsi="Times New Roman"/>
          <w:bCs/>
          <w:szCs w:val="22"/>
        </w:rPr>
        <w:t xml:space="preserve"> </w:t>
      </w:r>
      <w:r w:rsidR="00CD035F" w:rsidRPr="00C66720">
        <w:rPr>
          <w:rFonts w:ascii="Times New Roman" w:hAnsi="Times New Roman"/>
          <w:bCs/>
          <w:szCs w:val="22"/>
        </w:rPr>
        <w:t>znížili</w:t>
      </w:r>
      <w:r w:rsidRPr="00C66720">
        <w:rPr>
          <w:rFonts w:ascii="Times New Roman" w:hAnsi="Times New Roman"/>
          <w:bCs/>
          <w:szCs w:val="22"/>
        </w:rPr>
        <w:t xml:space="preserve"> o</w:t>
      </w:r>
      <w:r w:rsidR="00CD035F" w:rsidRPr="00C66720">
        <w:rPr>
          <w:rFonts w:ascii="Times New Roman" w:hAnsi="Times New Roman"/>
          <w:bCs/>
          <w:szCs w:val="22"/>
        </w:rPr>
        <w:t> 39 155</w:t>
      </w:r>
      <w:r w:rsidRPr="00C66720">
        <w:rPr>
          <w:rFonts w:ascii="Times New Roman" w:hAnsi="Times New Roman"/>
          <w:bCs/>
          <w:szCs w:val="22"/>
        </w:rPr>
        <w:t xml:space="preserve"> tis. eur. </w:t>
      </w:r>
      <w:r w:rsidRPr="00C66720">
        <w:rPr>
          <w:rFonts w:ascii="Times New Roman" w:hAnsi="Times New Roman"/>
          <w:bCs/>
          <w:szCs w:val="22"/>
          <w:u w:val="single"/>
        </w:rPr>
        <w:t>Daň z motorových vozidiel</w:t>
      </w:r>
      <w:r w:rsidRPr="00C66720">
        <w:rPr>
          <w:rFonts w:ascii="Times New Roman" w:hAnsi="Times New Roman"/>
          <w:bCs/>
          <w:szCs w:val="22"/>
        </w:rPr>
        <w:t xml:space="preserve"> bola vykázaná v hodnote </w:t>
      </w:r>
      <w:r w:rsidR="001C0B24" w:rsidRPr="00C66720">
        <w:rPr>
          <w:rFonts w:ascii="Times New Roman" w:hAnsi="Times New Roman"/>
          <w:bCs/>
          <w:szCs w:val="22"/>
        </w:rPr>
        <w:t>1 3</w:t>
      </w:r>
      <w:r w:rsidR="003056E9" w:rsidRPr="00C66720">
        <w:rPr>
          <w:rFonts w:ascii="Times New Roman" w:hAnsi="Times New Roman"/>
          <w:bCs/>
          <w:szCs w:val="22"/>
        </w:rPr>
        <w:t>65</w:t>
      </w:r>
      <w:r w:rsidRPr="00C66720">
        <w:rPr>
          <w:rFonts w:ascii="Times New Roman" w:hAnsi="Times New Roman"/>
          <w:bCs/>
          <w:szCs w:val="22"/>
        </w:rPr>
        <w:t xml:space="preserve"> tis. eur ako nekonsolidovaná časť nákladov v rámci súhrnného celku. Daň z nehnuteľností, ktorej príjemcom sú obce SR bola eliminovaná </w:t>
      </w:r>
      <w:r w:rsidR="00765AD9">
        <w:rPr>
          <w:rFonts w:ascii="Times New Roman" w:hAnsi="Times New Roman"/>
          <w:bCs/>
          <w:szCs w:val="22"/>
        </w:rPr>
        <w:br/>
      </w:r>
      <w:r w:rsidRPr="00C66720">
        <w:rPr>
          <w:rFonts w:ascii="Times New Roman" w:hAnsi="Times New Roman"/>
          <w:bCs/>
          <w:szCs w:val="22"/>
        </w:rPr>
        <w:t xml:space="preserve">v identifikovanej výške, a to </w:t>
      </w:r>
      <w:r w:rsidR="00AC14F4" w:rsidRPr="00C66720">
        <w:rPr>
          <w:rFonts w:ascii="Times New Roman" w:hAnsi="Times New Roman"/>
          <w:bCs/>
          <w:szCs w:val="22"/>
        </w:rPr>
        <w:t xml:space="preserve">40 </w:t>
      </w:r>
      <w:r w:rsidR="003056E9" w:rsidRPr="00C66720">
        <w:rPr>
          <w:rFonts w:ascii="Times New Roman" w:hAnsi="Times New Roman"/>
          <w:bCs/>
          <w:szCs w:val="22"/>
        </w:rPr>
        <w:t>40 041</w:t>
      </w:r>
      <w:r w:rsidRPr="00C66720">
        <w:rPr>
          <w:rFonts w:ascii="Times New Roman" w:hAnsi="Times New Roman"/>
          <w:bCs/>
          <w:szCs w:val="22"/>
        </w:rPr>
        <w:t xml:space="preserve"> tis. eur. </w:t>
      </w:r>
      <w:r w:rsidRPr="00C66720">
        <w:rPr>
          <w:rFonts w:ascii="Times New Roman" w:hAnsi="Times New Roman"/>
          <w:bCs/>
          <w:szCs w:val="22"/>
          <w:u w:val="single"/>
        </w:rPr>
        <w:t>Ostatné dane a poplatky</w:t>
      </w:r>
      <w:r w:rsidR="00C54857" w:rsidRPr="00C66720">
        <w:rPr>
          <w:rFonts w:ascii="Times New Roman" w:hAnsi="Times New Roman"/>
          <w:bCs/>
          <w:szCs w:val="22"/>
        </w:rPr>
        <w:t xml:space="preserve"> boli vykázané v hodnote </w:t>
      </w:r>
      <w:r w:rsidR="00C54857">
        <w:rPr>
          <w:rFonts w:ascii="Times New Roman" w:hAnsi="Times New Roman"/>
          <w:bCs/>
          <w:szCs w:val="22"/>
        </w:rPr>
        <w:br/>
      </w:r>
      <w:r w:rsidR="00C54857" w:rsidRPr="00C66720">
        <w:rPr>
          <w:rFonts w:ascii="Times New Roman" w:hAnsi="Times New Roman"/>
          <w:bCs/>
          <w:szCs w:val="22"/>
        </w:rPr>
        <w:t xml:space="preserve">21 688 tis. eur, čo je medziročne menej o 39 217 tis. eur. </w:t>
      </w:r>
      <w:r w:rsidR="00C54857">
        <w:rPr>
          <w:rFonts w:ascii="Times New Roman" w:hAnsi="Times New Roman"/>
          <w:bCs/>
          <w:szCs w:val="22"/>
        </w:rPr>
        <w:t xml:space="preserve">Najväčší pokles (o 39 282 tis. eur) bol </w:t>
      </w:r>
      <w:r w:rsidR="003A3931">
        <w:rPr>
          <w:rFonts w:ascii="Times New Roman" w:hAnsi="Times New Roman"/>
          <w:bCs/>
          <w:szCs w:val="22"/>
        </w:rPr>
        <w:t xml:space="preserve">spôsobený vyššími nákladmi v roku 2021, ktoré predstavovali náhrady škody na základe rozhodnutia </w:t>
      </w:r>
      <w:r w:rsidR="00C54857">
        <w:rPr>
          <w:rFonts w:ascii="Times New Roman" w:hAnsi="Times New Roman"/>
          <w:bCs/>
          <w:szCs w:val="22"/>
        </w:rPr>
        <w:t xml:space="preserve">Medzinárodného arbitrážneho súdu </w:t>
      </w:r>
      <w:r w:rsidR="003A3931">
        <w:rPr>
          <w:rFonts w:ascii="Times New Roman" w:hAnsi="Times New Roman"/>
          <w:bCs/>
          <w:szCs w:val="22"/>
        </w:rPr>
        <w:t xml:space="preserve">súvisiaceho s PPP projektom D4/R7 </w:t>
      </w:r>
      <w:r w:rsidR="00C54857">
        <w:rPr>
          <w:rFonts w:ascii="Times New Roman" w:hAnsi="Times New Roman"/>
          <w:bCs/>
          <w:szCs w:val="22"/>
        </w:rPr>
        <w:t>medzi inými poplatkami. Ostatné dane a poplatky predstavujú najmä miestne dane a poplatky, ktoré neboli predmetom eliminácie.</w:t>
      </w:r>
    </w:p>
    <w:p w14:paraId="14DE5AD1" w14:textId="77777777" w:rsidR="00C54857" w:rsidRDefault="00C54857" w:rsidP="008E461A">
      <w:pPr>
        <w:spacing w:after="0" w:line="240" w:lineRule="auto"/>
        <w:jc w:val="both"/>
        <w:rPr>
          <w:rFonts w:ascii="Times New Roman" w:hAnsi="Times New Roman"/>
          <w:bCs/>
          <w:szCs w:val="22"/>
        </w:rPr>
      </w:pPr>
    </w:p>
    <w:p w14:paraId="5EC32B59" w14:textId="3790318E" w:rsidR="00684111" w:rsidRPr="00C66720" w:rsidRDefault="00684111" w:rsidP="00215938">
      <w:pPr>
        <w:spacing w:before="240" w:line="240" w:lineRule="auto"/>
        <w:jc w:val="center"/>
        <w:rPr>
          <w:rFonts w:ascii="Times New Roman" w:hAnsi="Times New Roman"/>
          <w:b/>
          <w:bCs/>
          <w:sz w:val="24"/>
          <w:szCs w:val="24"/>
        </w:rPr>
      </w:pPr>
      <w:r w:rsidRPr="00C66720">
        <w:rPr>
          <w:rFonts w:ascii="Times New Roman" w:hAnsi="Times New Roman"/>
          <w:b/>
          <w:bCs/>
          <w:sz w:val="24"/>
          <w:szCs w:val="24"/>
        </w:rPr>
        <w:t xml:space="preserve">III. </w:t>
      </w:r>
      <w:r w:rsidRPr="00C66720">
        <w:rPr>
          <w:rFonts w:ascii="Times New Roman" w:hAnsi="Times New Roman"/>
          <w:b/>
          <w:bCs/>
          <w:caps/>
          <w:sz w:val="24"/>
          <w:szCs w:val="24"/>
        </w:rPr>
        <w:t>Informácie o</w:t>
      </w:r>
      <w:r w:rsidR="00E96648" w:rsidRPr="00C66720">
        <w:rPr>
          <w:rFonts w:ascii="Times New Roman" w:hAnsi="Times New Roman"/>
          <w:b/>
          <w:bCs/>
          <w:caps/>
          <w:sz w:val="24"/>
          <w:szCs w:val="24"/>
        </w:rPr>
        <w:t> InÝCH akTÍVACH a INÝCH PASÍVACH</w:t>
      </w:r>
    </w:p>
    <w:p w14:paraId="20FA69CC" w14:textId="77777777" w:rsidR="00A05190" w:rsidRPr="00C66720" w:rsidRDefault="00A05190" w:rsidP="00A05190">
      <w:pPr>
        <w:spacing w:before="120" w:after="0" w:line="240" w:lineRule="auto"/>
        <w:jc w:val="both"/>
        <w:rPr>
          <w:rFonts w:ascii="Times New Roman" w:hAnsi="Times New Roman"/>
          <w:szCs w:val="22"/>
        </w:rPr>
      </w:pPr>
      <w:r w:rsidRPr="00C66720">
        <w:rPr>
          <w:rFonts w:ascii="Times New Roman" w:hAnsi="Times New Roman"/>
          <w:b/>
          <w:szCs w:val="22"/>
          <w:u w:val="single"/>
        </w:rPr>
        <w:t>Iné aktíva</w:t>
      </w:r>
      <w:r w:rsidRPr="00C66720">
        <w:rPr>
          <w:rFonts w:ascii="Times New Roman" w:hAnsi="Times New Roman"/>
          <w:szCs w:val="22"/>
        </w:rPr>
        <w:t xml:space="preserve"> súhrnného celku predstavujú najmä možné príjmy zo súdnych sporov, finančné nároky zo zmlúv, prírodné bohatstvo, historické a kultúrne pamiatky, ktorých hodnota sa však ťažko vyčísluje. Ako iné aktíva sa vykazuje aj hodnota aktív, ktorými sa rozumie možný majetok, ktorý vznikol v dôsledku minulých udalostí, a ktorého existencia alebo ekonomický benefit plynúci z neho závisí od toho, či nastane alebo nenastane jedna alebo viac neistých udalostí v budúcnosti. Vznik týchto udalostí pritom nezávisí od účtovnej jednotky.</w:t>
      </w:r>
    </w:p>
    <w:p w14:paraId="4435FE64" w14:textId="127A6724" w:rsidR="00EF570C" w:rsidRPr="00C66720" w:rsidRDefault="008F5989" w:rsidP="0076505B">
      <w:pPr>
        <w:spacing w:before="120" w:after="120" w:line="240" w:lineRule="auto"/>
        <w:jc w:val="both"/>
        <w:rPr>
          <w:rFonts w:ascii="Times New Roman" w:hAnsi="Times New Roman"/>
          <w:szCs w:val="22"/>
        </w:rPr>
      </w:pPr>
      <w:r w:rsidRPr="00C66720">
        <w:rPr>
          <w:rFonts w:ascii="Times New Roman" w:hAnsi="Times New Roman"/>
          <w:b/>
          <w:szCs w:val="22"/>
        </w:rPr>
        <w:t>K 31.12.2022</w:t>
      </w:r>
      <w:r w:rsidR="00EF570C" w:rsidRPr="00C66720">
        <w:rPr>
          <w:rFonts w:ascii="Times New Roman" w:hAnsi="Times New Roman"/>
          <w:b/>
          <w:szCs w:val="22"/>
        </w:rPr>
        <w:t xml:space="preserve"> vykázali subjekty súhrnného celku iné aktíva na nekonsolidovanej báze v</w:t>
      </w:r>
      <w:r w:rsidRPr="00C66720">
        <w:rPr>
          <w:rFonts w:ascii="Times New Roman" w:hAnsi="Times New Roman"/>
          <w:b/>
          <w:szCs w:val="22"/>
        </w:rPr>
        <w:t> </w:t>
      </w:r>
      <w:r w:rsidR="00EF570C" w:rsidRPr="00C66720">
        <w:rPr>
          <w:rFonts w:ascii="Times New Roman" w:hAnsi="Times New Roman"/>
          <w:b/>
          <w:szCs w:val="22"/>
        </w:rPr>
        <w:t>hodnote</w:t>
      </w:r>
      <w:r w:rsidRPr="00C66720">
        <w:rPr>
          <w:rFonts w:ascii="Times New Roman" w:hAnsi="Times New Roman"/>
          <w:b/>
          <w:szCs w:val="22"/>
        </w:rPr>
        <w:t xml:space="preserve"> 8</w:t>
      </w:r>
      <w:r w:rsidR="00D95F0C">
        <w:rPr>
          <w:rFonts w:ascii="Times New Roman" w:hAnsi="Times New Roman"/>
          <w:b/>
          <w:szCs w:val="22"/>
        </w:rPr>
        <w:t> 473 059</w:t>
      </w:r>
      <w:r w:rsidR="00EF570C" w:rsidRPr="00C66720">
        <w:rPr>
          <w:rFonts w:ascii="Times New Roman" w:hAnsi="Times New Roman"/>
          <w:b/>
          <w:szCs w:val="22"/>
        </w:rPr>
        <w:t xml:space="preserve"> tis. eur (medziročne menej o</w:t>
      </w:r>
      <w:r w:rsidR="00D95F0C">
        <w:rPr>
          <w:rFonts w:ascii="Times New Roman" w:hAnsi="Times New Roman"/>
          <w:b/>
          <w:szCs w:val="22"/>
        </w:rPr>
        <w:t> 181 024</w:t>
      </w:r>
      <w:r w:rsidR="00EF570C" w:rsidRPr="00C66720">
        <w:rPr>
          <w:rFonts w:ascii="Times New Roman" w:hAnsi="Times New Roman"/>
          <w:b/>
          <w:szCs w:val="22"/>
        </w:rPr>
        <w:t xml:space="preserve"> tis. eur )</w:t>
      </w:r>
      <w:r w:rsidR="00EF570C" w:rsidRPr="00C66720">
        <w:rPr>
          <w:rFonts w:ascii="Times New Roman" w:hAnsi="Times New Roman"/>
          <w:szCs w:val="22"/>
        </w:rPr>
        <w:t>. Konsolidácia iných aktív dosiahla</w:t>
      </w:r>
      <w:r w:rsidR="00D95F0C">
        <w:rPr>
          <w:rFonts w:ascii="Times New Roman" w:hAnsi="Times New Roman"/>
          <w:szCs w:val="22"/>
        </w:rPr>
        <w:br/>
      </w:r>
      <w:r w:rsidR="00DF1EDF" w:rsidRPr="00C66720">
        <w:rPr>
          <w:rFonts w:ascii="Times New Roman" w:hAnsi="Times New Roman"/>
          <w:szCs w:val="22"/>
        </w:rPr>
        <w:t>3 526 564</w:t>
      </w:r>
      <w:r w:rsidR="00EF570C" w:rsidRPr="00C66720">
        <w:rPr>
          <w:rFonts w:ascii="Times New Roman" w:hAnsi="Times New Roman"/>
          <w:szCs w:val="22"/>
        </w:rPr>
        <w:t xml:space="preserve"> tis. eur, čo znamená, že iné aktíva po vylúčení vzájomných vzťahov dosiahli potenciálnu hodnotu </w:t>
      </w:r>
      <w:r w:rsidR="00D95F0C">
        <w:rPr>
          <w:rFonts w:ascii="Times New Roman" w:hAnsi="Times New Roman"/>
          <w:szCs w:val="22"/>
        </w:rPr>
        <w:t>4 946 495</w:t>
      </w:r>
      <w:r w:rsidR="00EF570C" w:rsidRPr="00C66720">
        <w:rPr>
          <w:rFonts w:ascii="Times New Roman" w:hAnsi="Times New Roman"/>
          <w:szCs w:val="22"/>
        </w:rPr>
        <w:t xml:space="preserve"> tis. eur (medziročne menej o</w:t>
      </w:r>
      <w:r w:rsidR="00D95F0C">
        <w:rPr>
          <w:rFonts w:ascii="Times New Roman" w:hAnsi="Times New Roman"/>
          <w:szCs w:val="22"/>
        </w:rPr>
        <w:t> 18</w:t>
      </w:r>
      <w:r w:rsidR="00372CE5">
        <w:rPr>
          <w:rFonts w:ascii="Times New Roman" w:hAnsi="Times New Roman"/>
          <w:szCs w:val="22"/>
        </w:rPr>
        <w:t>8</w:t>
      </w:r>
      <w:r w:rsidR="00D95F0C">
        <w:rPr>
          <w:rFonts w:ascii="Times New Roman" w:hAnsi="Times New Roman"/>
          <w:szCs w:val="22"/>
        </w:rPr>
        <w:t xml:space="preserve"> 153</w:t>
      </w:r>
      <w:r w:rsidR="00EF570C" w:rsidRPr="00C66720">
        <w:rPr>
          <w:rFonts w:ascii="Times New Roman" w:hAnsi="Times New Roman"/>
          <w:szCs w:val="22"/>
        </w:rPr>
        <w:t xml:space="preserve"> tis. eur).</w:t>
      </w:r>
    </w:p>
    <w:p w14:paraId="0EDBF03B" w14:textId="7FCBB207" w:rsidR="00C26D5C" w:rsidRPr="00C66720" w:rsidRDefault="00C26D5C" w:rsidP="00EF570C">
      <w:pPr>
        <w:spacing w:before="120" w:line="240" w:lineRule="auto"/>
        <w:jc w:val="both"/>
        <w:rPr>
          <w:rFonts w:ascii="Times New Roman" w:hAnsi="Times New Roman"/>
          <w:szCs w:val="22"/>
        </w:rPr>
      </w:pPr>
      <w:r w:rsidRPr="00C66720">
        <w:rPr>
          <w:rFonts w:ascii="Times New Roman" w:hAnsi="Times New Roman"/>
          <w:szCs w:val="22"/>
        </w:rPr>
        <w:t>Od roku 2017 je súčasťou podmienených aktív aj hodnota lesných porastov uvedená v poznámkach účtovnej závierky štátneho podniku Lesy Slovenskej republiky, š. p., ktorá je pravidelne aktualizovaná znalcom Národného lesníckeho centra. Toto iné aktívum tvorí 45,7 % doteraz identifikovaných mimobilančných aktív verejnej správy. Druhým najväčším podmieneným aktívom – 34 %, sú pohľadávky postúpené z bankových inštitúcií alebo verejných inštitúcií na vymáhanie Slovenskej konsolidačnej, a. s., ktorá ich na základe príslušnej legislatívy vymáha a uplatňuje si z nich exekučné nároky.</w:t>
      </w:r>
    </w:p>
    <w:p w14:paraId="4279513C" w14:textId="77777777" w:rsidR="007A33B2" w:rsidRPr="007A33B2" w:rsidRDefault="007A33B2" w:rsidP="007A33B2">
      <w:pPr>
        <w:spacing w:before="120" w:line="240" w:lineRule="auto"/>
        <w:jc w:val="both"/>
        <w:rPr>
          <w:rFonts w:ascii="Times New Roman" w:hAnsi="Times New Roman"/>
          <w:szCs w:val="22"/>
        </w:rPr>
      </w:pPr>
      <w:r w:rsidRPr="007A33B2">
        <w:rPr>
          <w:rFonts w:ascii="Times New Roman" w:hAnsi="Times New Roman"/>
          <w:szCs w:val="22"/>
        </w:rPr>
        <w:t xml:space="preserve">Medziročná zmena nekonsolidovanej hodnoty iných aktív dosiahla -181 024 tis. eur a bola zaznamenaná najmä v organizáciách ústrednej správy a v štátnych podnikoch (-190 135 tis. eur). Územná samospráva </w:t>
      </w:r>
      <w:r w:rsidRPr="007A33B2">
        <w:rPr>
          <w:rFonts w:ascii="Times New Roman" w:hAnsi="Times New Roman"/>
          <w:szCs w:val="22"/>
        </w:rPr>
        <w:lastRenderedPageBreak/>
        <w:t xml:space="preserve">vykazuje nevýznamné hodnoty v pomere k celkovým iným aktívam. Väčšinou ide o súdne spory, pri ktorých jednotky územnej samosprávy predpokladajú pozitívny výsledok z rozhodnutí súdov v ich prospech. </w:t>
      </w:r>
    </w:p>
    <w:p w14:paraId="6E3B1F07" w14:textId="660C189E" w:rsidR="001419C3" w:rsidRPr="00C66720" w:rsidRDefault="001419C3" w:rsidP="0076505B">
      <w:pPr>
        <w:spacing w:before="120" w:after="120" w:line="240" w:lineRule="auto"/>
        <w:jc w:val="both"/>
        <w:rPr>
          <w:rFonts w:ascii="Times New Roman" w:hAnsi="Times New Roman"/>
          <w:szCs w:val="22"/>
        </w:rPr>
      </w:pPr>
      <w:r w:rsidRPr="00C66720">
        <w:rPr>
          <w:rFonts w:ascii="Times New Roman" w:hAnsi="Times New Roman"/>
          <w:szCs w:val="22"/>
        </w:rPr>
        <w:t xml:space="preserve">V ústrednej správy boli medziročne zaznamenané zníženia ako aj zvýšenia hodnoty iných aktív. Medzi významné zvýšenie hodnoty iných aktív patria napríklad vystavené (bankové) záruky v prospech Slovenskej záručnej a rozvojovej banky, a.s. (o 82 289 tis. eur), záruky materských spoločností klientov SEPS (o 93 399 tis. eur), záruky v prospech SPP (o 28 719 tis. eur). Na druhej strane veľká časť tohto zvýšenia je aj predmetom eliminácie iných aktív v rámci sektora verejnej správy. Tým klesá aj hodnota iných aktív po konsolidácii, ktoré vstupujú do výpočtu čistého bohatstva. </w:t>
      </w:r>
    </w:p>
    <w:p w14:paraId="1F4D2A54" w14:textId="28CF09AD" w:rsidR="001419C3" w:rsidRDefault="001419C3" w:rsidP="00424032">
      <w:pPr>
        <w:spacing w:before="120" w:line="240" w:lineRule="auto"/>
        <w:jc w:val="both"/>
        <w:rPr>
          <w:rFonts w:ascii="Times New Roman" w:hAnsi="Times New Roman"/>
          <w:szCs w:val="22"/>
        </w:rPr>
      </w:pPr>
      <w:r w:rsidRPr="00C66720">
        <w:rPr>
          <w:rFonts w:ascii="Times New Roman" w:hAnsi="Times New Roman"/>
          <w:szCs w:val="22"/>
        </w:rPr>
        <w:t>Medzi zníženia iných aktív, ktoré významne ovplyvnili ich hodnotu k 31.12.2022 patrí napríklad zníženie nominálnej hodnoty pohľadávok, ktoré vymáha Slovenská konsolidačná, a.s. (o 24</w:t>
      </w:r>
      <w:r w:rsidR="007A33B2">
        <w:rPr>
          <w:rFonts w:ascii="Times New Roman" w:hAnsi="Times New Roman"/>
          <w:szCs w:val="22"/>
        </w:rPr>
        <w:t>2 398</w:t>
      </w:r>
      <w:r w:rsidRPr="00C66720">
        <w:rPr>
          <w:rFonts w:ascii="Times New Roman" w:hAnsi="Times New Roman"/>
          <w:szCs w:val="22"/>
        </w:rPr>
        <w:t xml:space="preserve"> tis. eur) z dôvodu trvalého upustenia od ich vymáhania resp. vymožením určitej čiastky, znížením záruk v prospech Exportno-importnej banky, a.s. (ktoré sú zároveň predmetom eliminácie) a zníženie hodnoty zabezpečenia projektov financovaných zo zrušeného Recyklačného fondu, ktorých administrácia prešla v roku 2019 na Environmentálny fond.</w:t>
      </w:r>
    </w:p>
    <w:p w14:paraId="16CDBCE4" w14:textId="77777777" w:rsidR="00C12129" w:rsidRPr="008A3AB6" w:rsidRDefault="00C12129" w:rsidP="00C12129">
      <w:pPr>
        <w:spacing w:before="120" w:after="0" w:line="240" w:lineRule="auto"/>
        <w:jc w:val="both"/>
        <w:rPr>
          <w:rFonts w:ascii="Times New Roman" w:hAnsi="Times New Roman"/>
          <w:b/>
          <w:sz w:val="18"/>
          <w:szCs w:val="18"/>
        </w:rPr>
      </w:pPr>
      <w:r w:rsidRPr="008A3AB6">
        <w:rPr>
          <w:rFonts w:ascii="Times New Roman" w:hAnsi="Times New Roman"/>
          <w:b/>
          <w:sz w:val="18"/>
          <w:szCs w:val="18"/>
        </w:rPr>
        <w:t>Tabuľka 27</w:t>
      </w:r>
    </w:p>
    <w:tbl>
      <w:tblPr>
        <w:tblW w:w="9072" w:type="dxa"/>
        <w:tblLayout w:type="fixed"/>
        <w:tblCellMar>
          <w:left w:w="70" w:type="dxa"/>
          <w:right w:w="70" w:type="dxa"/>
        </w:tblCellMar>
        <w:tblLook w:val="04A0" w:firstRow="1" w:lastRow="0" w:firstColumn="1" w:lastColumn="0" w:noHBand="0" w:noVBand="1"/>
      </w:tblPr>
      <w:tblGrid>
        <w:gridCol w:w="4471"/>
        <w:gridCol w:w="973"/>
        <w:gridCol w:w="1210"/>
        <w:gridCol w:w="1142"/>
        <w:gridCol w:w="1242"/>
        <w:gridCol w:w="34"/>
      </w:tblGrid>
      <w:tr w:rsidR="00584876" w:rsidRPr="00C66720" w14:paraId="09DFF4B8" w14:textId="77777777" w:rsidTr="005A63D6">
        <w:trPr>
          <w:trHeight w:val="300"/>
        </w:trPr>
        <w:tc>
          <w:tcPr>
            <w:tcW w:w="9072" w:type="dxa"/>
            <w:gridSpan w:val="6"/>
            <w:tcBorders>
              <w:top w:val="nil"/>
              <w:left w:val="nil"/>
              <w:bottom w:val="single" w:sz="4" w:space="0" w:color="auto"/>
              <w:right w:val="nil"/>
            </w:tcBorders>
            <w:shd w:val="clear" w:color="auto" w:fill="FABF8F" w:themeFill="accent6" w:themeFillTint="99"/>
            <w:vAlign w:val="center"/>
          </w:tcPr>
          <w:p w14:paraId="46998068" w14:textId="06B64308" w:rsidR="00584876" w:rsidRPr="00C66720" w:rsidRDefault="00584876" w:rsidP="00584876">
            <w:pPr>
              <w:spacing w:after="0" w:line="240" w:lineRule="auto"/>
              <w:rPr>
                <w:rFonts w:ascii="Times New Roman" w:hAnsi="Times New Roman"/>
                <w:b/>
                <w:bCs/>
                <w:sz w:val="18"/>
                <w:szCs w:val="18"/>
                <w:lang w:eastAsia="sk-SK"/>
              </w:rPr>
            </w:pPr>
            <w:r w:rsidRPr="00C66720">
              <w:rPr>
                <w:rFonts w:ascii="Times New Roman" w:hAnsi="Times New Roman"/>
                <w:b/>
                <w:bCs/>
                <w:sz w:val="18"/>
                <w:szCs w:val="18"/>
                <w:lang w:eastAsia="sk-SK"/>
              </w:rPr>
              <w:t xml:space="preserve">Podmienené aktíva podľa zložiek verejného sektora </w:t>
            </w:r>
            <w:r>
              <w:rPr>
                <w:rFonts w:ascii="Times New Roman" w:hAnsi="Times New Roman"/>
                <w:b/>
                <w:bCs/>
                <w:sz w:val="18"/>
                <w:szCs w:val="18"/>
                <w:lang w:eastAsia="sk-SK"/>
              </w:rPr>
              <w:t xml:space="preserve">                                                                                         </w:t>
            </w:r>
            <w:r w:rsidRPr="00C66720">
              <w:rPr>
                <w:rFonts w:ascii="Times New Roman" w:hAnsi="Times New Roman"/>
                <w:b/>
                <w:bCs/>
                <w:sz w:val="18"/>
                <w:szCs w:val="18"/>
                <w:lang w:eastAsia="sk-SK"/>
              </w:rPr>
              <w:t>(v tis. eur)</w:t>
            </w:r>
          </w:p>
        </w:tc>
      </w:tr>
      <w:tr w:rsidR="00584876" w:rsidRPr="00584876" w14:paraId="31634B2C" w14:textId="77777777" w:rsidTr="005A63D6">
        <w:tblPrEx>
          <w:jc w:val="center"/>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4" w:type="dxa"/>
          <w:trHeight w:val="345"/>
          <w:jc w:val="center"/>
        </w:trPr>
        <w:tc>
          <w:tcPr>
            <w:tcW w:w="4471" w:type="dxa"/>
            <w:tcBorders>
              <w:right w:val="nil"/>
            </w:tcBorders>
            <w:shd w:val="clear" w:color="auto" w:fill="B8CCE4" w:themeFill="accent1" w:themeFillTint="66"/>
            <w:vAlign w:val="center"/>
            <w:hideMark/>
          </w:tcPr>
          <w:p w14:paraId="2DE141FC" w14:textId="2FC0EB89" w:rsidR="00584876" w:rsidRPr="00584876" w:rsidRDefault="00584876" w:rsidP="00863ED9">
            <w:pPr>
              <w:spacing w:after="0" w:line="240" w:lineRule="auto"/>
              <w:rPr>
                <w:rFonts w:ascii="Times New Roman" w:hAnsi="Times New Roman"/>
                <w:b/>
                <w:sz w:val="18"/>
                <w:szCs w:val="18"/>
                <w:lang w:eastAsia="sk-SK"/>
              </w:rPr>
            </w:pPr>
          </w:p>
        </w:tc>
        <w:tc>
          <w:tcPr>
            <w:tcW w:w="973" w:type="dxa"/>
            <w:tcBorders>
              <w:left w:val="nil"/>
              <w:right w:val="nil"/>
            </w:tcBorders>
            <w:shd w:val="clear" w:color="auto" w:fill="B8CCE4" w:themeFill="accent1" w:themeFillTint="66"/>
            <w:vAlign w:val="center"/>
          </w:tcPr>
          <w:p w14:paraId="35AD2123" w14:textId="77777777" w:rsidR="00584876" w:rsidRPr="00584876" w:rsidRDefault="00584876" w:rsidP="00863ED9">
            <w:pPr>
              <w:spacing w:after="0" w:line="240" w:lineRule="auto"/>
              <w:jc w:val="right"/>
              <w:rPr>
                <w:rFonts w:ascii="Times New Roman" w:hAnsi="Times New Roman"/>
                <w:b/>
                <w:sz w:val="18"/>
                <w:szCs w:val="18"/>
                <w:lang w:eastAsia="sk-SK"/>
              </w:rPr>
            </w:pPr>
            <w:r w:rsidRPr="00584876">
              <w:rPr>
                <w:rFonts w:ascii="Times New Roman" w:hAnsi="Times New Roman"/>
                <w:b/>
                <w:sz w:val="18"/>
                <w:szCs w:val="18"/>
                <w:lang w:eastAsia="sk-SK"/>
              </w:rPr>
              <w:t>2020</w:t>
            </w:r>
          </w:p>
        </w:tc>
        <w:tc>
          <w:tcPr>
            <w:tcW w:w="1210" w:type="dxa"/>
            <w:tcBorders>
              <w:left w:val="nil"/>
              <w:right w:val="nil"/>
            </w:tcBorders>
            <w:shd w:val="clear" w:color="auto" w:fill="B8CCE4" w:themeFill="accent1" w:themeFillTint="66"/>
            <w:vAlign w:val="center"/>
          </w:tcPr>
          <w:p w14:paraId="4DDD0538" w14:textId="77777777" w:rsidR="00584876" w:rsidRPr="00584876" w:rsidRDefault="00584876" w:rsidP="00863ED9">
            <w:pPr>
              <w:spacing w:after="0" w:line="240" w:lineRule="auto"/>
              <w:jc w:val="right"/>
              <w:rPr>
                <w:rFonts w:ascii="Times New Roman" w:hAnsi="Times New Roman"/>
                <w:b/>
                <w:sz w:val="18"/>
                <w:szCs w:val="18"/>
                <w:lang w:eastAsia="sk-SK"/>
              </w:rPr>
            </w:pPr>
            <w:r w:rsidRPr="00584876">
              <w:rPr>
                <w:rFonts w:ascii="Times New Roman" w:hAnsi="Times New Roman"/>
                <w:b/>
                <w:sz w:val="18"/>
                <w:szCs w:val="18"/>
                <w:lang w:eastAsia="sk-SK"/>
              </w:rPr>
              <w:t>2021</w:t>
            </w:r>
          </w:p>
        </w:tc>
        <w:tc>
          <w:tcPr>
            <w:tcW w:w="1142" w:type="dxa"/>
            <w:tcBorders>
              <w:left w:val="nil"/>
              <w:right w:val="nil"/>
            </w:tcBorders>
            <w:shd w:val="clear" w:color="auto" w:fill="B8CCE4" w:themeFill="accent1" w:themeFillTint="66"/>
            <w:vAlign w:val="center"/>
          </w:tcPr>
          <w:p w14:paraId="331E1674" w14:textId="77777777" w:rsidR="00584876" w:rsidRPr="00584876" w:rsidRDefault="00584876" w:rsidP="00863ED9">
            <w:pPr>
              <w:spacing w:after="0" w:line="240" w:lineRule="auto"/>
              <w:jc w:val="right"/>
              <w:rPr>
                <w:rFonts w:ascii="Times New Roman" w:hAnsi="Times New Roman"/>
                <w:b/>
                <w:sz w:val="18"/>
                <w:szCs w:val="18"/>
                <w:lang w:eastAsia="sk-SK"/>
              </w:rPr>
            </w:pPr>
            <w:r w:rsidRPr="00584876">
              <w:rPr>
                <w:rFonts w:ascii="Times New Roman" w:hAnsi="Times New Roman"/>
                <w:b/>
                <w:sz w:val="18"/>
                <w:szCs w:val="18"/>
                <w:lang w:eastAsia="sk-SK"/>
              </w:rPr>
              <w:t>2022</w:t>
            </w:r>
          </w:p>
        </w:tc>
        <w:tc>
          <w:tcPr>
            <w:tcW w:w="1242" w:type="dxa"/>
            <w:tcBorders>
              <w:left w:val="nil"/>
            </w:tcBorders>
            <w:shd w:val="clear" w:color="auto" w:fill="B8CCE4" w:themeFill="accent1" w:themeFillTint="66"/>
            <w:vAlign w:val="center"/>
          </w:tcPr>
          <w:p w14:paraId="24502334" w14:textId="77777777" w:rsidR="00584876" w:rsidRPr="00584876" w:rsidRDefault="00584876" w:rsidP="00863ED9">
            <w:pPr>
              <w:spacing w:after="0" w:line="240" w:lineRule="auto"/>
              <w:jc w:val="right"/>
              <w:rPr>
                <w:rFonts w:ascii="Times New Roman" w:hAnsi="Times New Roman"/>
                <w:b/>
                <w:bCs/>
                <w:sz w:val="18"/>
                <w:szCs w:val="18"/>
                <w:lang w:eastAsia="sk-SK"/>
              </w:rPr>
            </w:pPr>
            <w:r w:rsidRPr="00584876">
              <w:rPr>
                <w:rFonts w:ascii="Times New Roman" w:hAnsi="Times New Roman"/>
                <w:b/>
                <w:sz w:val="18"/>
                <w:szCs w:val="18"/>
                <w:lang w:eastAsia="sk-SK"/>
              </w:rPr>
              <w:t>Δ 2022-2021</w:t>
            </w:r>
          </w:p>
        </w:tc>
      </w:tr>
      <w:tr w:rsidR="00584876" w:rsidRPr="00584876" w14:paraId="2451CB1E" w14:textId="77777777" w:rsidTr="00584876">
        <w:tblPrEx>
          <w:jc w:val="center"/>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4" w:type="dxa"/>
          <w:trHeight w:val="330"/>
          <w:jc w:val="center"/>
        </w:trPr>
        <w:tc>
          <w:tcPr>
            <w:tcW w:w="4471" w:type="dxa"/>
            <w:tcBorders>
              <w:bottom w:val="nil"/>
              <w:right w:val="nil"/>
            </w:tcBorders>
            <w:vAlign w:val="bottom"/>
          </w:tcPr>
          <w:p w14:paraId="4947A330" w14:textId="77777777" w:rsidR="00584876" w:rsidRPr="00584876" w:rsidRDefault="00584876" w:rsidP="00863ED9">
            <w:pPr>
              <w:spacing w:after="0" w:line="240" w:lineRule="auto"/>
              <w:rPr>
                <w:rFonts w:ascii="Times New Roman" w:hAnsi="Times New Roman"/>
                <w:sz w:val="18"/>
                <w:szCs w:val="18"/>
                <w:lang w:eastAsia="sk-SK"/>
              </w:rPr>
            </w:pPr>
            <w:r w:rsidRPr="00584876">
              <w:rPr>
                <w:rFonts w:ascii="Times New Roman" w:hAnsi="Times New Roman"/>
                <w:sz w:val="18"/>
                <w:szCs w:val="18"/>
                <w:lang w:eastAsia="sk-SK"/>
              </w:rPr>
              <w:t>Ústredná správa a podniky štátnej správy</w:t>
            </w:r>
          </w:p>
        </w:tc>
        <w:tc>
          <w:tcPr>
            <w:tcW w:w="973" w:type="dxa"/>
            <w:tcBorders>
              <w:left w:val="nil"/>
              <w:bottom w:val="nil"/>
              <w:right w:val="nil"/>
            </w:tcBorders>
            <w:vAlign w:val="bottom"/>
          </w:tcPr>
          <w:p w14:paraId="5C4C37DC"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9 916 560</w:t>
            </w:r>
          </w:p>
        </w:tc>
        <w:tc>
          <w:tcPr>
            <w:tcW w:w="1210" w:type="dxa"/>
            <w:tcBorders>
              <w:left w:val="nil"/>
              <w:bottom w:val="nil"/>
              <w:right w:val="nil"/>
            </w:tcBorders>
            <w:vAlign w:val="bottom"/>
          </w:tcPr>
          <w:p w14:paraId="7307E170"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8 605 351</w:t>
            </w:r>
          </w:p>
        </w:tc>
        <w:tc>
          <w:tcPr>
            <w:tcW w:w="1142" w:type="dxa"/>
            <w:tcBorders>
              <w:left w:val="nil"/>
              <w:bottom w:val="nil"/>
              <w:right w:val="nil"/>
            </w:tcBorders>
            <w:vAlign w:val="bottom"/>
          </w:tcPr>
          <w:p w14:paraId="106082D2"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8 415 216</w:t>
            </w:r>
          </w:p>
        </w:tc>
        <w:tc>
          <w:tcPr>
            <w:tcW w:w="1242" w:type="dxa"/>
            <w:tcBorders>
              <w:left w:val="nil"/>
              <w:bottom w:val="nil"/>
            </w:tcBorders>
            <w:vAlign w:val="bottom"/>
          </w:tcPr>
          <w:p w14:paraId="618772F3"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-190 135</w:t>
            </w:r>
          </w:p>
        </w:tc>
      </w:tr>
      <w:tr w:rsidR="00584876" w:rsidRPr="00584876" w14:paraId="0339E4F4" w14:textId="77777777" w:rsidTr="00584876">
        <w:tblPrEx>
          <w:jc w:val="center"/>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4" w:type="dxa"/>
          <w:trHeight w:val="620"/>
          <w:jc w:val="center"/>
        </w:trPr>
        <w:tc>
          <w:tcPr>
            <w:tcW w:w="4471" w:type="dxa"/>
            <w:tcBorders>
              <w:top w:val="nil"/>
              <w:bottom w:val="nil"/>
              <w:right w:val="nil"/>
            </w:tcBorders>
            <w:vAlign w:val="bottom"/>
          </w:tcPr>
          <w:p w14:paraId="70E9F485" w14:textId="77777777" w:rsidR="00584876" w:rsidRPr="00584876" w:rsidRDefault="00584876" w:rsidP="00863ED9">
            <w:pPr>
              <w:spacing w:after="0" w:line="240" w:lineRule="auto"/>
              <w:rPr>
                <w:rFonts w:ascii="Times New Roman" w:hAnsi="Times New Roman"/>
                <w:sz w:val="18"/>
                <w:szCs w:val="18"/>
                <w:lang w:eastAsia="sk-SK"/>
              </w:rPr>
            </w:pPr>
            <w:r w:rsidRPr="00584876">
              <w:rPr>
                <w:rFonts w:ascii="Times New Roman" w:hAnsi="Times New Roman"/>
                <w:sz w:val="18"/>
                <w:szCs w:val="18"/>
                <w:lang w:eastAsia="sk-SK"/>
              </w:rPr>
              <w:t>Obce a ich rozpočtové a príspevkové organizácie a podniky územnej samosprávy</w:t>
            </w:r>
          </w:p>
        </w:tc>
        <w:tc>
          <w:tcPr>
            <w:tcW w:w="973" w:type="dxa"/>
            <w:tcBorders>
              <w:top w:val="nil"/>
              <w:left w:val="nil"/>
              <w:bottom w:val="nil"/>
              <w:right w:val="nil"/>
            </w:tcBorders>
            <w:vAlign w:val="center"/>
          </w:tcPr>
          <w:p w14:paraId="5A567C1D"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40 081</w:t>
            </w:r>
          </w:p>
        </w:tc>
        <w:tc>
          <w:tcPr>
            <w:tcW w:w="1210" w:type="dxa"/>
            <w:tcBorders>
              <w:top w:val="nil"/>
              <w:left w:val="nil"/>
              <w:bottom w:val="nil"/>
              <w:right w:val="nil"/>
            </w:tcBorders>
            <w:vAlign w:val="center"/>
          </w:tcPr>
          <w:p w14:paraId="42E450A8"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40 862</w:t>
            </w:r>
          </w:p>
        </w:tc>
        <w:tc>
          <w:tcPr>
            <w:tcW w:w="1142" w:type="dxa"/>
            <w:tcBorders>
              <w:top w:val="nil"/>
              <w:left w:val="nil"/>
              <w:bottom w:val="nil"/>
              <w:right w:val="nil"/>
            </w:tcBorders>
            <w:vAlign w:val="center"/>
          </w:tcPr>
          <w:p w14:paraId="4BF71AFE"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44 871</w:t>
            </w:r>
          </w:p>
        </w:tc>
        <w:tc>
          <w:tcPr>
            <w:tcW w:w="1242" w:type="dxa"/>
            <w:tcBorders>
              <w:top w:val="nil"/>
              <w:left w:val="nil"/>
              <w:bottom w:val="nil"/>
            </w:tcBorders>
            <w:vAlign w:val="center"/>
          </w:tcPr>
          <w:p w14:paraId="61D35392"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4 009</w:t>
            </w:r>
          </w:p>
        </w:tc>
      </w:tr>
      <w:tr w:rsidR="00584876" w:rsidRPr="00584876" w14:paraId="54BCDBCD" w14:textId="77777777" w:rsidTr="00584876">
        <w:tblPrEx>
          <w:jc w:val="center"/>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4" w:type="dxa"/>
          <w:trHeight w:val="558"/>
          <w:jc w:val="center"/>
        </w:trPr>
        <w:tc>
          <w:tcPr>
            <w:tcW w:w="4471" w:type="dxa"/>
            <w:tcBorders>
              <w:top w:val="nil"/>
              <w:right w:val="nil"/>
            </w:tcBorders>
            <w:vAlign w:val="bottom"/>
          </w:tcPr>
          <w:p w14:paraId="5F11211B" w14:textId="77777777" w:rsidR="00584876" w:rsidRPr="00584876" w:rsidRDefault="00584876" w:rsidP="00863ED9">
            <w:pPr>
              <w:spacing w:after="0" w:line="240" w:lineRule="auto"/>
              <w:rPr>
                <w:rFonts w:ascii="Times New Roman" w:hAnsi="Times New Roman"/>
                <w:sz w:val="18"/>
                <w:szCs w:val="18"/>
                <w:lang w:eastAsia="sk-SK"/>
              </w:rPr>
            </w:pPr>
            <w:r w:rsidRPr="00584876">
              <w:rPr>
                <w:rFonts w:ascii="Times New Roman" w:hAnsi="Times New Roman"/>
                <w:sz w:val="18"/>
                <w:szCs w:val="18"/>
                <w:lang w:eastAsia="sk-SK"/>
              </w:rPr>
              <w:t>Vyššie územné celky a ich rozpočtové a príspevkové organizácie a podniky územnej samosprávy</w:t>
            </w:r>
          </w:p>
        </w:tc>
        <w:tc>
          <w:tcPr>
            <w:tcW w:w="973" w:type="dxa"/>
            <w:tcBorders>
              <w:top w:val="nil"/>
              <w:left w:val="nil"/>
              <w:right w:val="nil"/>
            </w:tcBorders>
            <w:vAlign w:val="center"/>
          </w:tcPr>
          <w:p w14:paraId="2F2FF90E"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6 936</w:t>
            </w:r>
          </w:p>
        </w:tc>
        <w:tc>
          <w:tcPr>
            <w:tcW w:w="1210" w:type="dxa"/>
            <w:tcBorders>
              <w:top w:val="nil"/>
              <w:left w:val="nil"/>
              <w:right w:val="nil"/>
            </w:tcBorders>
            <w:vAlign w:val="center"/>
          </w:tcPr>
          <w:p w14:paraId="5E725C4F"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7 870</w:t>
            </w:r>
          </w:p>
        </w:tc>
        <w:tc>
          <w:tcPr>
            <w:tcW w:w="1142" w:type="dxa"/>
            <w:tcBorders>
              <w:top w:val="nil"/>
              <w:left w:val="nil"/>
              <w:right w:val="nil"/>
            </w:tcBorders>
            <w:vAlign w:val="center"/>
          </w:tcPr>
          <w:p w14:paraId="644C34D0"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12 972</w:t>
            </w:r>
          </w:p>
        </w:tc>
        <w:tc>
          <w:tcPr>
            <w:tcW w:w="1242" w:type="dxa"/>
            <w:tcBorders>
              <w:top w:val="nil"/>
              <w:left w:val="nil"/>
            </w:tcBorders>
            <w:vAlign w:val="center"/>
          </w:tcPr>
          <w:p w14:paraId="5A9301E7" w14:textId="77777777" w:rsidR="00584876" w:rsidRPr="00584876" w:rsidRDefault="00584876" w:rsidP="00863ED9">
            <w:pPr>
              <w:spacing w:after="0" w:line="240" w:lineRule="auto"/>
              <w:jc w:val="right"/>
              <w:rPr>
                <w:rFonts w:ascii="Times New Roman" w:hAnsi="Times New Roman"/>
                <w:sz w:val="18"/>
                <w:szCs w:val="18"/>
                <w:lang w:eastAsia="sk-SK"/>
              </w:rPr>
            </w:pPr>
            <w:r w:rsidRPr="00584876">
              <w:rPr>
                <w:rFonts w:ascii="Times New Roman" w:hAnsi="Times New Roman"/>
                <w:sz w:val="18"/>
                <w:szCs w:val="18"/>
                <w:lang w:eastAsia="sk-SK"/>
              </w:rPr>
              <w:t>5 102</w:t>
            </w:r>
          </w:p>
        </w:tc>
      </w:tr>
      <w:tr w:rsidR="00584876" w:rsidRPr="00584876" w14:paraId="34D64DEA" w14:textId="77777777" w:rsidTr="00584876">
        <w:tblPrEx>
          <w:jc w:val="center"/>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4" w:type="dxa"/>
          <w:trHeight w:hRule="exact" w:val="346"/>
          <w:jc w:val="center"/>
        </w:trPr>
        <w:tc>
          <w:tcPr>
            <w:tcW w:w="4471" w:type="dxa"/>
            <w:tcBorders>
              <w:right w:val="nil"/>
            </w:tcBorders>
            <w:noWrap/>
            <w:vAlign w:val="center"/>
            <w:hideMark/>
          </w:tcPr>
          <w:p w14:paraId="6C491BFD" w14:textId="77777777" w:rsidR="00584876" w:rsidRPr="00584876" w:rsidRDefault="00584876" w:rsidP="00863ED9">
            <w:pPr>
              <w:spacing w:after="0" w:line="240" w:lineRule="auto"/>
              <w:rPr>
                <w:rFonts w:ascii="Times New Roman" w:hAnsi="Times New Roman"/>
                <w:b/>
                <w:bCs/>
                <w:sz w:val="18"/>
                <w:szCs w:val="18"/>
                <w:lang w:eastAsia="sk-SK"/>
              </w:rPr>
            </w:pPr>
            <w:r w:rsidRPr="00584876">
              <w:rPr>
                <w:rFonts w:ascii="Times New Roman" w:hAnsi="Times New Roman"/>
                <w:b/>
                <w:bCs/>
                <w:sz w:val="18"/>
                <w:szCs w:val="18"/>
                <w:lang w:eastAsia="sk-SK"/>
              </w:rPr>
              <w:t>Spolu  (nekonsolidované)</w:t>
            </w:r>
          </w:p>
        </w:tc>
        <w:tc>
          <w:tcPr>
            <w:tcW w:w="973" w:type="dxa"/>
            <w:tcBorders>
              <w:left w:val="nil"/>
              <w:right w:val="nil"/>
            </w:tcBorders>
            <w:vAlign w:val="center"/>
          </w:tcPr>
          <w:p w14:paraId="4BC3B4EB" w14:textId="77777777" w:rsidR="00584876" w:rsidRPr="00584876" w:rsidRDefault="00584876" w:rsidP="00863ED9">
            <w:pPr>
              <w:spacing w:after="0" w:line="240" w:lineRule="auto"/>
              <w:jc w:val="right"/>
              <w:rPr>
                <w:rFonts w:ascii="Times New Roman" w:hAnsi="Times New Roman"/>
                <w:b/>
                <w:bCs/>
                <w:sz w:val="18"/>
                <w:szCs w:val="18"/>
                <w:lang w:eastAsia="sk-SK"/>
              </w:rPr>
            </w:pPr>
            <w:r w:rsidRPr="00584876">
              <w:rPr>
                <w:rFonts w:ascii="Times New Roman" w:hAnsi="Times New Roman"/>
                <w:b/>
                <w:bCs/>
                <w:sz w:val="18"/>
                <w:szCs w:val="18"/>
                <w:lang w:eastAsia="sk-SK"/>
              </w:rPr>
              <w:t>9 963 577</w:t>
            </w:r>
          </w:p>
        </w:tc>
        <w:tc>
          <w:tcPr>
            <w:tcW w:w="1210" w:type="dxa"/>
            <w:tcBorders>
              <w:left w:val="nil"/>
              <w:right w:val="nil"/>
            </w:tcBorders>
            <w:vAlign w:val="center"/>
          </w:tcPr>
          <w:p w14:paraId="2E006687" w14:textId="77777777" w:rsidR="00584876" w:rsidRPr="00584876" w:rsidRDefault="00584876" w:rsidP="00863ED9">
            <w:pPr>
              <w:spacing w:after="0" w:line="240" w:lineRule="auto"/>
              <w:jc w:val="right"/>
              <w:rPr>
                <w:rFonts w:ascii="Times New Roman" w:hAnsi="Times New Roman"/>
                <w:b/>
                <w:bCs/>
                <w:sz w:val="18"/>
                <w:szCs w:val="18"/>
                <w:lang w:eastAsia="sk-SK"/>
              </w:rPr>
            </w:pPr>
            <w:r w:rsidRPr="00584876">
              <w:rPr>
                <w:rFonts w:ascii="Times New Roman" w:hAnsi="Times New Roman"/>
                <w:b/>
                <w:bCs/>
                <w:sz w:val="18"/>
                <w:szCs w:val="18"/>
                <w:lang w:eastAsia="sk-SK"/>
              </w:rPr>
              <w:t>8 654 083</w:t>
            </w:r>
          </w:p>
        </w:tc>
        <w:tc>
          <w:tcPr>
            <w:tcW w:w="1142" w:type="dxa"/>
            <w:tcBorders>
              <w:left w:val="nil"/>
              <w:right w:val="nil"/>
            </w:tcBorders>
            <w:vAlign w:val="center"/>
          </w:tcPr>
          <w:p w14:paraId="606A03A3" w14:textId="77777777" w:rsidR="00584876" w:rsidRPr="00584876" w:rsidRDefault="00584876" w:rsidP="00584876">
            <w:pPr>
              <w:pStyle w:val="Odsekzoznamu"/>
              <w:numPr>
                <w:ilvl w:val="0"/>
                <w:numId w:val="49"/>
              </w:numPr>
              <w:spacing w:after="0" w:line="240" w:lineRule="auto"/>
              <w:ind w:left="139" w:hanging="142"/>
              <w:jc w:val="right"/>
              <w:rPr>
                <w:rFonts w:ascii="Times New Roman" w:hAnsi="Times New Roman"/>
                <w:b/>
                <w:bCs/>
                <w:sz w:val="18"/>
                <w:szCs w:val="18"/>
              </w:rPr>
            </w:pPr>
            <w:r w:rsidRPr="00584876">
              <w:rPr>
                <w:rFonts w:ascii="Times New Roman" w:hAnsi="Times New Roman"/>
                <w:b/>
                <w:bCs/>
                <w:sz w:val="18"/>
                <w:szCs w:val="18"/>
              </w:rPr>
              <w:t> 473 059</w:t>
            </w:r>
          </w:p>
        </w:tc>
        <w:tc>
          <w:tcPr>
            <w:tcW w:w="1242" w:type="dxa"/>
            <w:tcBorders>
              <w:left w:val="nil"/>
            </w:tcBorders>
            <w:vAlign w:val="center"/>
          </w:tcPr>
          <w:p w14:paraId="5E1A5FB3" w14:textId="77777777" w:rsidR="00584876" w:rsidRPr="00584876" w:rsidRDefault="00584876" w:rsidP="00863ED9">
            <w:pPr>
              <w:spacing w:after="0"/>
              <w:jc w:val="right"/>
              <w:rPr>
                <w:rFonts w:ascii="Times New Roman" w:hAnsi="Times New Roman"/>
                <w:b/>
                <w:bCs/>
                <w:sz w:val="18"/>
                <w:szCs w:val="18"/>
                <w:lang w:eastAsia="sk-SK"/>
              </w:rPr>
            </w:pPr>
            <w:r w:rsidRPr="00584876">
              <w:rPr>
                <w:rFonts w:ascii="Times New Roman" w:hAnsi="Times New Roman"/>
                <w:b/>
                <w:bCs/>
                <w:sz w:val="18"/>
                <w:szCs w:val="18"/>
                <w:lang w:eastAsia="sk-SK"/>
              </w:rPr>
              <w:t>-181 024</w:t>
            </w:r>
          </w:p>
        </w:tc>
      </w:tr>
      <w:tr w:rsidR="00584876" w:rsidRPr="00584876" w14:paraId="6D7912DC" w14:textId="77777777" w:rsidTr="00584876">
        <w:tblPrEx>
          <w:jc w:val="center"/>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4" w:type="dxa"/>
          <w:trHeight w:hRule="exact" w:val="346"/>
          <w:jc w:val="center"/>
        </w:trPr>
        <w:tc>
          <w:tcPr>
            <w:tcW w:w="4471" w:type="dxa"/>
            <w:tcBorders>
              <w:right w:val="nil"/>
            </w:tcBorders>
            <w:noWrap/>
            <w:vAlign w:val="center"/>
          </w:tcPr>
          <w:p w14:paraId="1C77D577" w14:textId="77777777" w:rsidR="00584876" w:rsidRPr="00584876" w:rsidRDefault="00584876" w:rsidP="00863ED9">
            <w:pPr>
              <w:spacing w:after="0" w:line="240" w:lineRule="auto"/>
              <w:rPr>
                <w:rFonts w:ascii="Times New Roman" w:hAnsi="Times New Roman"/>
                <w:bCs/>
                <w:sz w:val="18"/>
                <w:szCs w:val="18"/>
                <w:lang w:eastAsia="sk-SK"/>
              </w:rPr>
            </w:pPr>
            <w:r w:rsidRPr="00584876">
              <w:rPr>
                <w:rFonts w:ascii="Times New Roman" w:hAnsi="Times New Roman"/>
                <w:bCs/>
                <w:sz w:val="18"/>
                <w:szCs w:val="18"/>
                <w:lang w:eastAsia="sk-SK"/>
              </w:rPr>
              <w:t>Objem konsolidácie</w:t>
            </w:r>
          </w:p>
        </w:tc>
        <w:tc>
          <w:tcPr>
            <w:tcW w:w="973" w:type="dxa"/>
            <w:tcBorders>
              <w:left w:val="nil"/>
              <w:right w:val="nil"/>
            </w:tcBorders>
            <w:vAlign w:val="center"/>
          </w:tcPr>
          <w:p w14:paraId="3C44E656" w14:textId="77777777" w:rsidR="00584876" w:rsidRPr="00584876" w:rsidRDefault="00584876" w:rsidP="00863ED9">
            <w:pPr>
              <w:spacing w:after="0" w:line="240" w:lineRule="auto"/>
              <w:jc w:val="right"/>
              <w:rPr>
                <w:rFonts w:ascii="Times New Roman" w:hAnsi="Times New Roman"/>
                <w:bCs/>
                <w:sz w:val="18"/>
                <w:szCs w:val="18"/>
                <w:lang w:eastAsia="sk-SK"/>
              </w:rPr>
            </w:pPr>
            <w:r w:rsidRPr="00584876">
              <w:rPr>
                <w:rFonts w:ascii="Times New Roman" w:hAnsi="Times New Roman"/>
                <w:bCs/>
                <w:sz w:val="18"/>
                <w:szCs w:val="18"/>
                <w:lang w:eastAsia="sk-SK"/>
              </w:rPr>
              <w:t>4 014 032</w:t>
            </w:r>
          </w:p>
        </w:tc>
        <w:tc>
          <w:tcPr>
            <w:tcW w:w="1210" w:type="dxa"/>
            <w:tcBorders>
              <w:left w:val="nil"/>
              <w:right w:val="nil"/>
            </w:tcBorders>
            <w:vAlign w:val="center"/>
          </w:tcPr>
          <w:p w14:paraId="3A453C3F" w14:textId="77777777" w:rsidR="00584876" w:rsidRPr="00584876" w:rsidRDefault="00584876" w:rsidP="00863ED9">
            <w:pPr>
              <w:spacing w:after="0" w:line="240" w:lineRule="auto"/>
              <w:jc w:val="right"/>
              <w:rPr>
                <w:rFonts w:ascii="Times New Roman" w:hAnsi="Times New Roman"/>
                <w:bCs/>
                <w:sz w:val="18"/>
                <w:szCs w:val="18"/>
                <w:lang w:eastAsia="sk-SK"/>
              </w:rPr>
            </w:pPr>
            <w:r w:rsidRPr="00584876">
              <w:rPr>
                <w:rFonts w:ascii="Times New Roman" w:hAnsi="Times New Roman"/>
                <w:bCs/>
                <w:sz w:val="18"/>
                <w:szCs w:val="18"/>
                <w:lang w:eastAsia="sk-SK"/>
              </w:rPr>
              <w:t>3 519 435</w:t>
            </w:r>
          </w:p>
        </w:tc>
        <w:tc>
          <w:tcPr>
            <w:tcW w:w="1142" w:type="dxa"/>
            <w:tcBorders>
              <w:left w:val="nil"/>
              <w:right w:val="nil"/>
            </w:tcBorders>
            <w:vAlign w:val="center"/>
          </w:tcPr>
          <w:p w14:paraId="0D250FE9" w14:textId="77777777" w:rsidR="00584876" w:rsidRPr="00584876" w:rsidRDefault="00584876" w:rsidP="00863ED9">
            <w:pPr>
              <w:pStyle w:val="Odsekzoznamu"/>
              <w:ind w:left="139"/>
              <w:jc w:val="center"/>
              <w:rPr>
                <w:rFonts w:ascii="Times New Roman" w:hAnsi="Times New Roman"/>
                <w:bCs/>
                <w:sz w:val="18"/>
                <w:szCs w:val="18"/>
              </w:rPr>
            </w:pPr>
            <w:r w:rsidRPr="00584876">
              <w:rPr>
                <w:rFonts w:ascii="Times New Roman" w:hAnsi="Times New Roman"/>
                <w:bCs/>
                <w:sz w:val="18"/>
                <w:szCs w:val="18"/>
              </w:rPr>
              <w:t>3 526 564</w:t>
            </w:r>
          </w:p>
        </w:tc>
        <w:tc>
          <w:tcPr>
            <w:tcW w:w="1242" w:type="dxa"/>
            <w:tcBorders>
              <w:left w:val="nil"/>
            </w:tcBorders>
            <w:vAlign w:val="center"/>
          </w:tcPr>
          <w:p w14:paraId="61E01B02" w14:textId="77777777" w:rsidR="00584876" w:rsidRPr="00584876" w:rsidRDefault="00584876" w:rsidP="00863ED9">
            <w:pPr>
              <w:spacing w:after="0"/>
              <w:jc w:val="right"/>
              <w:rPr>
                <w:rFonts w:ascii="Times New Roman" w:hAnsi="Times New Roman"/>
                <w:bCs/>
                <w:sz w:val="18"/>
                <w:szCs w:val="18"/>
                <w:lang w:eastAsia="sk-SK"/>
              </w:rPr>
            </w:pPr>
            <w:r w:rsidRPr="00584876">
              <w:rPr>
                <w:rFonts w:ascii="Times New Roman" w:hAnsi="Times New Roman"/>
                <w:bCs/>
                <w:sz w:val="18"/>
                <w:szCs w:val="18"/>
                <w:lang w:eastAsia="sk-SK"/>
              </w:rPr>
              <w:t>7 129</w:t>
            </w:r>
          </w:p>
        </w:tc>
      </w:tr>
      <w:tr w:rsidR="00584876" w:rsidRPr="00584876" w14:paraId="47D0272B" w14:textId="77777777" w:rsidTr="00584876">
        <w:tblPrEx>
          <w:jc w:val="center"/>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4" w:type="dxa"/>
          <w:trHeight w:hRule="exact" w:val="346"/>
          <w:jc w:val="center"/>
        </w:trPr>
        <w:tc>
          <w:tcPr>
            <w:tcW w:w="4471" w:type="dxa"/>
            <w:tcBorders>
              <w:right w:val="nil"/>
            </w:tcBorders>
            <w:noWrap/>
            <w:vAlign w:val="center"/>
            <w:hideMark/>
          </w:tcPr>
          <w:p w14:paraId="58D57AC8" w14:textId="77777777" w:rsidR="00584876" w:rsidRPr="00584876" w:rsidRDefault="00584876" w:rsidP="00863ED9">
            <w:pPr>
              <w:spacing w:after="0" w:line="240" w:lineRule="auto"/>
              <w:rPr>
                <w:rFonts w:ascii="Times New Roman" w:hAnsi="Times New Roman"/>
                <w:b/>
                <w:bCs/>
                <w:sz w:val="18"/>
                <w:szCs w:val="18"/>
                <w:lang w:eastAsia="sk-SK"/>
              </w:rPr>
            </w:pPr>
            <w:r w:rsidRPr="00584876">
              <w:rPr>
                <w:rFonts w:ascii="Times New Roman" w:hAnsi="Times New Roman"/>
                <w:b/>
                <w:bCs/>
                <w:sz w:val="18"/>
                <w:szCs w:val="18"/>
                <w:lang w:eastAsia="sk-SK"/>
              </w:rPr>
              <w:t>Spolu  (konsolidované)</w:t>
            </w:r>
          </w:p>
        </w:tc>
        <w:tc>
          <w:tcPr>
            <w:tcW w:w="973" w:type="dxa"/>
            <w:tcBorders>
              <w:left w:val="nil"/>
              <w:right w:val="nil"/>
            </w:tcBorders>
            <w:vAlign w:val="center"/>
          </w:tcPr>
          <w:p w14:paraId="10D4240D" w14:textId="77777777" w:rsidR="00584876" w:rsidRPr="00584876" w:rsidRDefault="00584876" w:rsidP="00863ED9">
            <w:pPr>
              <w:spacing w:after="0" w:line="240" w:lineRule="auto"/>
              <w:jc w:val="right"/>
              <w:rPr>
                <w:rFonts w:ascii="Times New Roman" w:hAnsi="Times New Roman"/>
                <w:b/>
                <w:bCs/>
                <w:sz w:val="18"/>
                <w:szCs w:val="18"/>
                <w:lang w:eastAsia="sk-SK"/>
              </w:rPr>
            </w:pPr>
            <w:r w:rsidRPr="00584876">
              <w:rPr>
                <w:rFonts w:ascii="Times New Roman" w:hAnsi="Times New Roman"/>
                <w:b/>
                <w:bCs/>
                <w:sz w:val="18"/>
                <w:szCs w:val="18"/>
                <w:lang w:eastAsia="sk-SK"/>
              </w:rPr>
              <w:t>5 949 545</w:t>
            </w:r>
          </w:p>
        </w:tc>
        <w:tc>
          <w:tcPr>
            <w:tcW w:w="1210" w:type="dxa"/>
            <w:tcBorders>
              <w:left w:val="nil"/>
              <w:right w:val="nil"/>
            </w:tcBorders>
            <w:vAlign w:val="center"/>
          </w:tcPr>
          <w:p w14:paraId="3577AE96" w14:textId="77777777" w:rsidR="00584876" w:rsidRPr="00584876" w:rsidRDefault="00584876" w:rsidP="00863ED9">
            <w:pPr>
              <w:spacing w:after="0" w:line="240" w:lineRule="auto"/>
              <w:jc w:val="right"/>
              <w:rPr>
                <w:rFonts w:ascii="Times New Roman" w:hAnsi="Times New Roman"/>
                <w:b/>
                <w:bCs/>
                <w:sz w:val="18"/>
                <w:szCs w:val="18"/>
                <w:lang w:eastAsia="sk-SK"/>
              </w:rPr>
            </w:pPr>
            <w:r w:rsidRPr="00584876">
              <w:rPr>
                <w:rFonts w:ascii="Times New Roman" w:hAnsi="Times New Roman"/>
                <w:b/>
                <w:bCs/>
                <w:sz w:val="18"/>
                <w:szCs w:val="18"/>
                <w:lang w:eastAsia="sk-SK"/>
              </w:rPr>
              <w:t>5 134 648</w:t>
            </w:r>
          </w:p>
        </w:tc>
        <w:tc>
          <w:tcPr>
            <w:tcW w:w="1142" w:type="dxa"/>
            <w:tcBorders>
              <w:left w:val="nil"/>
              <w:right w:val="nil"/>
            </w:tcBorders>
            <w:vAlign w:val="center"/>
          </w:tcPr>
          <w:p w14:paraId="4B717C3F" w14:textId="77777777" w:rsidR="00584876" w:rsidRPr="00584876" w:rsidRDefault="00584876" w:rsidP="00863ED9">
            <w:pPr>
              <w:spacing w:after="0" w:line="240" w:lineRule="auto"/>
              <w:jc w:val="right"/>
              <w:rPr>
                <w:rFonts w:ascii="Times New Roman" w:hAnsi="Times New Roman"/>
                <w:b/>
                <w:bCs/>
                <w:sz w:val="18"/>
                <w:szCs w:val="18"/>
                <w:lang w:eastAsia="sk-SK"/>
              </w:rPr>
            </w:pPr>
            <w:r w:rsidRPr="00584876">
              <w:rPr>
                <w:rFonts w:ascii="Times New Roman" w:hAnsi="Times New Roman"/>
                <w:b/>
                <w:bCs/>
                <w:sz w:val="18"/>
                <w:szCs w:val="18"/>
                <w:lang w:eastAsia="sk-SK"/>
              </w:rPr>
              <w:t>4 946 495</w:t>
            </w:r>
          </w:p>
        </w:tc>
        <w:tc>
          <w:tcPr>
            <w:tcW w:w="1242" w:type="dxa"/>
            <w:tcBorders>
              <w:left w:val="nil"/>
            </w:tcBorders>
            <w:vAlign w:val="center"/>
          </w:tcPr>
          <w:p w14:paraId="5BB848DD" w14:textId="77777777" w:rsidR="00584876" w:rsidRPr="00584876" w:rsidRDefault="00584876" w:rsidP="00863ED9">
            <w:pPr>
              <w:spacing w:after="0"/>
              <w:jc w:val="right"/>
              <w:rPr>
                <w:rFonts w:ascii="Times New Roman" w:hAnsi="Times New Roman"/>
                <w:b/>
                <w:bCs/>
                <w:sz w:val="18"/>
                <w:szCs w:val="18"/>
                <w:lang w:eastAsia="sk-SK"/>
              </w:rPr>
            </w:pPr>
            <w:r w:rsidRPr="00584876">
              <w:rPr>
                <w:rFonts w:ascii="Times New Roman" w:hAnsi="Times New Roman"/>
                <w:b/>
                <w:bCs/>
                <w:sz w:val="18"/>
                <w:szCs w:val="18"/>
                <w:lang w:eastAsia="sk-SK"/>
              </w:rPr>
              <w:t>-188 153</w:t>
            </w:r>
          </w:p>
        </w:tc>
      </w:tr>
    </w:tbl>
    <w:p w14:paraId="545759DE" w14:textId="77777777" w:rsidR="005614A4" w:rsidRPr="00F35F5B" w:rsidRDefault="005614A4" w:rsidP="005614A4">
      <w:pPr>
        <w:spacing w:after="120" w:line="240" w:lineRule="auto"/>
        <w:jc w:val="right"/>
        <w:rPr>
          <w:rFonts w:ascii="Times New Roman" w:hAnsi="Times New Roman"/>
          <w:sz w:val="18"/>
          <w:szCs w:val="18"/>
        </w:rPr>
      </w:pPr>
      <w:r w:rsidRPr="00F35F5B">
        <w:rPr>
          <w:rFonts w:ascii="Times New Roman" w:hAnsi="Times New Roman"/>
          <w:sz w:val="18"/>
          <w:szCs w:val="18"/>
        </w:rPr>
        <w:t>Zdroj: Účtovné závierky subjektov</w:t>
      </w:r>
      <w:r>
        <w:rPr>
          <w:rFonts w:ascii="Times New Roman" w:hAnsi="Times New Roman"/>
          <w:sz w:val="18"/>
          <w:szCs w:val="18"/>
        </w:rPr>
        <w:t>, Centrálny konsolidačný systém</w:t>
      </w:r>
      <w:r w:rsidRPr="00F35F5B">
        <w:rPr>
          <w:rFonts w:ascii="Times New Roman" w:hAnsi="Times New Roman"/>
          <w:sz w:val="18"/>
          <w:szCs w:val="18"/>
        </w:rPr>
        <w:t xml:space="preserve"> a databáza MF SR </w:t>
      </w:r>
    </w:p>
    <w:p w14:paraId="71BB48C5" w14:textId="798A67BB" w:rsidR="00AE6FA3" w:rsidRPr="00C66720" w:rsidRDefault="00AE6FA3" w:rsidP="00424032">
      <w:pPr>
        <w:spacing w:before="200" w:after="0" w:line="240" w:lineRule="auto"/>
        <w:jc w:val="both"/>
        <w:rPr>
          <w:rFonts w:ascii="Times New Roman" w:hAnsi="Times New Roman"/>
          <w:szCs w:val="22"/>
        </w:rPr>
      </w:pPr>
      <w:r w:rsidRPr="00C66720">
        <w:rPr>
          <w:rFonts w:ascii="Times New Roman" w:hAnsi="Times New Roman"/>
          <w:szCs w:val="22"/>
        </w:rPr>
        <w:t xml:space="preserve">Z podmienených aktív vykazuje najvyššiu hodnotu štátny podnik </w:t>
      </w:r>
      <w:r w:rsidRPr="00C66720">
        <w:rPr>
          <w:rFonts w:ascii="Times New Roman" w:hAnsi="Times New Roman"/>
          <w:szCs w:val="22"/>
          <w:u w:val="single"/>
        </w:rPr>
        <w:t>Lesy SR, š. p.</w:t>
      </w:r>
      <w:r w:rsidRPr="00C66720">
        <w:rPr>
          <w:rFonts w:ascii="Times New Roman" w:hAnsi="Times New Roman"/>
          <w:szCs w:val="22"/>
        </w:rPr>
        <w:t xml:space="preserve"> z dôvodu ocenenia lesných porastov, ktoré podnik obhospodaruje na pozemkoch vo vlastníctve štátu, ktoré boli k 1.1.2010 jednotne ocenené podľa vyhlášky MS SR č. 492/2004 Z. z. o stanovení všeobecnej hodnoty podniku. Hodnota lesných porastov bola od 1.1.2010 evidovaná na podsúvahovom účte, pričom každoročne je táto hodnota aktualizovaná spolu so spresňovaním hodnoty lesných porastov vo vlastníctve štátu. Medziročne bola podsúvahová hodnota lesných porastov nižšia o</w:t>
      </w:r>
      <w:r w:rsidR="00A54596" w:rsidRPr="00C66720">
        <w:rPr>
          <w:rFonts w:ascii="Times New Roman" w:hAnsi="Times New Roman"/>
          <w:szCs w:val="22"/>
        </w:rPr>
        <w:t> 309 962</w:t>
      </w:r>
      <w:r w:rsidRPr="00C66720">
        <w:rPr>
          <w:rFonts w:ascii="Times New Roman" w:hAnsi="Times New Roman"/>
          <w:szCs w:val="22"/>
        </w:rPr>
        <w:t xml:space="preserve"> tis. eur. Hlavným dôvodom  a podkladom na zníženie hodnoty porastov je obnova programu starostlivosti o les po spracovaní veternej kalamity na niektorých odštepných závodoch</w:t>
      </w:r>
      <w:r w:rsidR="007A33B2">
        <w:rPr>
          <w:rFonts w:ascii="Times New Roman" w:hAnsi="Times New Roman"/>
          <w:szCs w:val="22"/>
        </w:rPr>
        <w:t>,</w:t>
      </w:r>
      <w:r w:rsidR="00A54596" w:rsidRPr="00C66720">
        <w:rPr>
          <w:rFonts w:ascii="Times New Roman" w:hAnsi="Times New Roman"/>
          <w:szCs w:val="22"/>
        </w:rPr>
        <w:t xml:space="preserve"> ale aj vplyv odovzdania lesných pozemkov s lesnými porastami do správy Správ národných parkov k 1. 4. 2022</w:t>
      </w:r>
      <w:r w:rsidRPr="00C66720">
        <w:rPr>
          <w:rFonts w:ascii="Times New Roman" w:hAnsi="Times New Roman"/>
          <w:szCs w:val="22"/>
        </w:rPr>
        <w:t>.</w:t>
      </w:r>
      <w:r w:rsidR="00C06871" w:rsidRPr="00C66720">
        <w:rPr>
          <w:rFonts w:ascii="Times New Roman" w:hAnsi="Times New Roman"/>
          <w:szCs w:val="22"/>
        </w:rPr>
        <w:t xml:space="preserve"> </w:t>
      </w:r>
      <w:r w:rsidR="007A33B2">
        <w:rPr>
          <w:rFonts w:ascii="Times New Roman" w:hAnsi="Times New Roman"/>
          <w:szCs w:val="22"/>
        </w:rPr>
        <w:t>D</w:t>
      </w:r>
      <w:r w:rsidR="007A33B2" w:rsidRPr="007A33B2">
        <w:rPr>
          <w:rFonts w:ascii="Times New Roman" w:hAnsi="Times New Roman"/>
          <w:szCs w:val="22"/>
        </w:rPr>
        <w:t xml:space="preserve">ve tretiny z tejto sumy prináležala pozemkom, ktoré prešli na novozriadené správy národných parkov. Preto hodnota poklesu iných aktív je len vo výške 116 195 tis. eur.  </w:t>
      </w:r>
    </w:p>
    <w:p w14:paraId="6A90025B" w14:textId="3DFD38F9" w:rsidR="00991076" w:rsidRPr="00C66720" w:rsidRDefault="00991076" w:rsidP="00991076">
      <w:pPr>
        <w:spacing w:before="120" w:after="0" w:line="240" w:lineRule="auto"/>
        <w:jc w:val="both"/>
        <w:rPr>
          <w:rFonts w:ascii="Times New Roman" w:hAnsi="Times New Roman"/>
          <w:szCs w:val="22"/>
        </w:rPr>
      </w:pPr>
      <w:r w:rsidRPr="00C66720">
        <w:rPr>
          <w:rFonts w:ascii="Times New Roman" w:hAnsi="Times New Roman"/>
          <w:szCs w:val="22"/>
          <w:u w:val="single"/>
        </w:rPr>
        <w:t>Slovenská konsolidačná, a. s.</w:t>
      </w:r>
      <w:r w:rsidRPr="00C66720">
        <w:rPr>
          <w:rFonts w:ascii="Times New Roman" w:hAnsi="Times New Roman"/>
          <w:szCs w:val="22"/>
        </w:rPr>
        <w:t xml:space="preserve"> (SKo, a. s.), ktorá je zo zákona č. 374/2014 Z. z. o pohľadávkach štátu a o zmene a doplnení niektorých zákonov poverenou osobou pre konsolidáciu pohľadávok verejného sektora vykazuje druhú najväčšiu hodnotu podmienených aktív v hodnote </w:t>
      </w:r>
      <w:r w:rsidR="007A1E0A" w:rsidRPr="007A33B2">
        <w:rPr>
          <w:rFonts w:ascii="Times New Roman" w:hAnsi="Times New Roman"/>
          <w:szCs w:val="22"/>
        </w:rPr>
        <w:t>2 920 0</w:t>
      </w:r>
      <w:r w:rsidR="007A33B2" w:rsidRPr="007A33B2">
        <w:rPr>
          <w:rFonts w:ascii="Times New Roman" w:hAnsi="Times New Roman"/>
          <w:szCs w:val="22"/>
        </w:rPr>
        <w:t>22</w:t>
      </w:r>
      <w:r w:rsidRPr="00C66720">
        <w:rPr>
          <w:rFonts w:ascii="Times New Roman" w:hAnsi="Times New Roman"/>
          <w:szCs w:val="22"/>
        </w:rPr>
        <w:t xml:space="preserve"> tis. eur. Medziročný pokles nominálnej hodnoty pohľadávok SKo, a.s. je výsledkom odpisu nevymožiteľných pohľadávok. Časť nominálnej hodnoty pohľadávok SKo, a.s. (2</w:t>
      </w:r>
      <w:r w:rsidR="00386C23" w:rsidRPr="00C66720">
        <w:rPr>
          <w:rFonts w:ascii="Times New Roman" w:hAnsi="Times New Roman"/>
          <w:szCs w:val="22"/>
        </w:rPr>
        <w:t> 358 819</w:t>
      </w:r>
      <w:r w:rsidRPr="00C66720">
        <w:rPr>
          <w:rFonts w:ascii="Times New Roman" w:hAnsi="Times New Roman"/>
          <w:szCs w:val="22"/>
        </w:rPr>
        <w:t xml:space="preserve"> tis. eur) je pre účely čistého bohatstva eliminovaná, nakoľko je predmetom účtovnej konsolidácie vo verejnej správe, čo zabezpečuje vykázanie pohľadávok len jednou hodnotou, a to priamo v súvahe spolu s prislúchajúcimi opravnými položkami.</w:t>
      </w:r>
    </w:p>
    <w:p w14:paraId="305AC850" w14:textId="5207290E" w:rsidR="005F0BCF" w:rsidRPr="00C66720" w:rsidRDefault="005F0BCF" w:rsidP="00C34B34">
      <w:pPr>
        <w:spacing w:before="120" w:after="0" w:line="240" w:lineRule="auto"/>
        <w:jc w:val="both"/>
        <w:rPr>
          <w:rFonts w:ascii="Times New Roman" w:hAnsi="Times New Roman"/>
          <w:szCs w:val="22"/>
        </w:rPr>
      </w:pPr>
      <w:r w:rsidRPr="00C66720">
        <w:rPr>
          <w:rFonts w:ascii="Times New Roman" w:hAnsi="Times New Roman"/>
          <w:b/>
          <w:szCs w:val="22"/>
        </w:rPr>
        <w:t>Zo súdnych sporov a iných právnych úkonov</w:t>
      </w:r>
      <w:r w:rsidRPr="00C66720">
        <w:rPr>
          <w:rFonts w:ascii="Times New Roman" w:hAnsi="Times New Roman"/>
          <w:szCs w:val="22"/>
        </w:rPr>
        <w:t xml:space="preserve"> boli významné súdne konania, ktorých účastníkom je </w:t>
      </w:r>
      <w:r w:rsidRPr="00C66720">
        <w:rPr>
          <w:rFonts w:ascii="Times New Roman" w:hAnsi="Times New Roman"/>
          <w:szCs w:val="22"/>
          <w:u w:val="single"/>
        </w:rPr>
        <w:t>Vodohospodárska výstavba, š.p.</w:t>
      </w:r>
      <w:r w:rsidRPr="00C66720">
        <w:rPr>
          <w:rFonts w:ascii="Times New Roman" w:hAnsi="Times New Roman"/>
          <w:szCs w:val="22"/>
        </w:rPr>
        <w:t xml:space="preserve"> </w:t>
      </w:r>
      <w:r w:rsidR="00512813" w:rsidRPr="00C66720">
        <w:rPr>
          <w:rFonts w:ascii="Times New Roman" w:hAnsi="Times New Roman"/>
          <w:szCs w:val="22"/>
        </w:rPr>
        <w:t xml:space="preserve">najmä </w:t>
      </w:r>
      <w:r w:rsidRPr="00C66720">
        <w:rPr>
          <w:rFonts w:ascii="Times New Roman" w:hAnsi="Times New Roman"/>
          <w:szCs w:val="22"/>
        </w:rPr>
        <w:t xml:space="preserve">voči Slovenským elektrárňam, a.s. o bezdôvodné obohatenie v sume </w:t>
      </w:r>
      <w:r w:rsidR="00512813" w:rsidRPr="00C66720">
        <w:rPr>
          <w:rFonts w:ascii="Times New Roman" w:hAnsi="Times New Roman"/>
          <w:szCs w:val="22"/>
        </w:rPr>
        <w:t>407 774</w:t>
      </w:r>
      <w:r w:rsidRPr="00C66720">
        <w:rPr>
          <w:rFonts w:ascii="Times New Roman" w:hAnsi="Times New Roman"/>
          <w:szCs w:val="22"/>
        </w:rPr>
        <w:t xml:space="preserve"> tis. eur. Spor sa týka platieb, ktoré platila Vodohospodárska výstavba, š.p. elektrárňam </w:t>
      </w:r>
      <w:r w:rsidRPr="00C66720">
        <w:rPr>
          <w:rFonts w:ascii="Times New Roman" w:hAnsi="Times New Roman"/>
          <w:szCs w:val="22"/>
        </w:rPr>
        <w:lastRenderedPageBreak/>
        <w:t>od roku 2006 na základe zmlúv na užívanie Vodnej elektrárne Gabčíkovo, ktoré sú podľa štátneho podniku neplatné.</w:t>
      </w:r>
      <w:r w:rsidR="00512813" w:rsidRPr="00C66720">
        <w:rPr>
          <w:rFonts w:ascii="Times New Roman" w:hAnsi="Times New Roman"/>
          <w:szCs w:val="22"/>
        </w:rPr>
        <w:t xml:space="preserve"> Ďalšie aktívne súdne spory sú vedené voči spoločnosti A.En Slovensko v sume </w:t>
      </w:r>
      <w:r w:rsidR="00512813" w:rsidRPr="00C66720">
        <w:rPr>
          <w:rFonts w:ascii="Times New Roman" w:hAnsi="Times New Roman"/>
          <w:szCs w:val="22"/>
        </w:rPr>
        <w:br/>
        <w:t xml:space="preserve">1 802 tis. eur a voči spoločnosti Danubia Invest, a.s. vo veci vymáhania dlžného nájomného v sume </w:t>
      </w:r>
      <w:r w:rsidR="00540032" w:rsidRPr="00C66720">
        <w:rPr>
          <w:rFonts w:ascii="Times New Roman" w:hAnsi="Times New Roman"/>
          <w:szCs w:val="22"/>
        </w:rPr>
        <w:br/>
      </w:r>
      <w:r w:rsidR="00512813" w:rsidRPr="00C66720">
        <w:rPr>
          <w:rFonts w:ascii="Times New Roman" w:hAnsi="Times New Roman"/>
          <w:szCs w:val="22"/>
        </w:rPr>
        <w:t>548 tis. eur.</w:t>
      </w:r>
    </w:p>
    <w:p w14:paraId="25C36C06" w14:textId="593F5640" w:rsidR="005F0BCF" w:rsidRPr="00C66720" w:rsidRDefault="005F0BCF" w:rsidP="005F0BCF">
      <w:pPr>
        <w:spacing w:before="120" w:after="120" w:line="240" w:lineRule="auto"/>
        <w:jc w:val="both"/>
        <w:rPr>
          <w:rFonts w:ascii="Times New Roman" w:hAnsi="Times New Roman"/>
          <w:szCs w:val="22"/>
        </w:rPr>
      </w:pPr>
      <w:r w:rsidRPr="00C66720">
        <w:rPr>
          <w:rFonts w:ascii="Times New Roman" w:hAnsi="Times New Roman"/>
          <w:szCs w:val="22"/>
        </w:rPr>
        <w:t xml:space="preserve">V prípade súdnych sporov vedených v prospech </w:t>
      </w:r>
      <w:r w:rsidRPr="00C66720">
        <w:rPr>
          <w:rFonts w:ascii="Times New Roman" w:hAnsi="Times New Roman"/>
          <w:szCs w:val="22"/>
          <w:u w:val="single"/>
        </w:rPr>
        <w:t>MH Manažmentu, a.s.</w:t>
      </w:r>
      <w:r w:rsidRPr="00C66720">
        <w:rPr>
          <w:rFonts w:ascii="Times New Roman" w:hAnsi="Times New Roman"/>
          <w:szCs w:val="22"/>
        </w:rPr>
        <w:t xml:space="preserve"> bola zaznamenaná medziročne vyššia hodnota o</w:t>
      </w:r>
      <w:r w:rsidR="001D57BE" w:rsidRPr="00C66720">
        <w:rPr>
          <w:rFonts w:ascii="Times New Roman" w:hAnsi="Times New Roman"/>
          <w:szCs w:val="22"/>
        </w:rPr>
        <w:t> 2 445</w:t>
      </w:r>
      <w:r w:rsidRPr="00C66720">
        <w:rPr>
          <w:rFonts w:ascii="Times New Roman" w:hAnsi="Times New Roman"/>
          <w:szCs w:val="22"/>
        </w:rPr>
        <w:t xml:space="preserve"> tis. eur</w:t>
      </w:r>
      <w:r w:rsidR="001D57BE" w:rsidRPr="00C66720">
        <w:rPr>
          <w:rFonts w:ascii="Times New Roman" w:hAnsi="Times New Roman"/>
          <w:szCs w:val="22"/>
        </w:rPr>
        <w:t xml:space="preserve"> vrátane príslušenstva a tým podmienené aktíva zo súdnych sporov z titulu bezdôvodného ob</w:t>
      </w:r>
      <w:r w:rsidR="003244F7" w:rsidRPr="00C66720">
        <w:rPr>
          <w:rFonts w:ascii="Times New Roman" w:hAnsi="Times New Roman"/>
          <w:szCs w:val="22"/>
        </w:rPr>
        <w:t>ohatenia dosiahli hodnotu 43 657</w:t>
      </w:r>
      <w:r w:rsidR="001D57BE" w:rsidRPr="00C66720">
        <w:rPr>
          <w:rFonts w:ascii="Times New Roman" w:hAnsi="Times New Roman"/>
          <w:szCs w:val="22"/>
        </w:rPr>
        <w:t xml:space="preserve"> tis. eur. </w:t>
      </w:r>
    </w:p>
    <w:p w14:paraId="35381B3A" w14:textId="3FEDABD1" w:rsidR="006426AD" w:rsidRPr="00C66720" w:rsidRDefault="006426AD" w:rsidP="005F0BCF">
      <w:pPr>
        <w:spacing w:before="120" w:after="120" w:line="240" w:lineRule="auto"/>
        <w:jc w:val="both"/>
        <w:rPr>
          <w:rFonts w:ascii="Times New Roman" w:hAnsi="Times New Roman"/>
          <w:szCs w:val="22"/>
        </w:rPr>
      </w:pPr>
      <w:r w:rsidRPr="00C66720">
        <w:rPr>
          <w:rFonts w:ascii="Times New Roman" w:hAnsi="Times New Roman"/>
          <w:szCs w:val="22"/>
          <w:u w:val="single"/>
        </w:rPr>
        <w:t>Ministerstvo školstva, vedy, výskumu a športu SR</w:t>
      </w:r>
      <w:r w:rsidR="00A86BCA" w:rsidRPr="00C66720">
        <w:rPr>
          <w:rFonts w:ascii="Times New Roman" w:hAnsi="Times New Roman"/>
          <w:szCs w:val="22"/>
        </w:rPr>
        <w:t xml:space="preserve"> vedie súdny spor voči Národnému futbalovému štadiónu, a.s. o vydanie bezdôvodného obohatenia z prijatej dotácie vo výške 27 200 tis. eur z dôvodu neplatnosti zmluvy o poskytnutí dotácie.</w:t>
      </w:r>
    </w:p>
    <w:p w14:paraId="6B2B8804" w14:textId="34C9E958" w:rsidR="0009551A" w:rsidRPr="00C66720" w:rsidRDefault="0009551A" w:rsidP="005F0BCF">
      <w:pPr>
        <w:spacing w:before="120" w:after="120" w:line="240" w:lineRule="auto"/>
        <w:jc w:val="both"/>
        <w:rPr>
          <w:rFonts w:ascii="Times New Roman" w:hAnsi="Times New Roman"/>
          <w:szCs w:val="22"/>
        </w:rPr>
      </w:pPr>
      <w:r w:rsidRPr="00C66720">
        <w:rPr>
          <w:rFonts w:ascii="Times New Roman" w:hAnsi="Times New Roman"/>
          <w:szCs w:val="22"/>
          <w:u w:val="single"/>
        </w:rPr>
        <w:t>Železničná spoločnosť Slovensko, a.s.</w:t>
      </w:r>
      <w:r w:rsidRPr="00C66720">
        <w:rPr>
          <w:rFonts w:ascii="Times New Roman" w:hAnsi="Times New Roman"/>
          <w:szCs w:val="22"/>
        </w:rPr>
        <w:t xml:space="preserve"> vykazuje aktívne súdne spory v celkovej sume 6 010 tis. eur, v tom 3 691 tis. eur proti žalovanému ŽOS Vrútky, a.s. Predmetom súdneho sporu je nárok Železničnej spoločnosti Slovensko, a.s. na zaplatenie zmluvnej pokuty s príslušenstvom, ako dôsledok porušenia kúpnej zmluvy na dodanie motorových jednotiek. </w:t>
      </w:r>
      <w:r w:rsidR="00BC1816" w:rsidRPr="00C66720">
        <w:rPr>
          <w:rFonts w:ascii="Times New Roman" w:hAnsi="Times New Roman"/>
          <w:szCs w:val="22"/>
        </w:rPr>
        <w:t>Na základe dovolania žalovaného voči rozsudku Krajského súdu v Žiline je konanie vedené na Najvyššom súde SR.</w:t>
      </w:r>
    </w:p>
    <w:p w14:paraId="24863FAE" w14:textId="5709B7B7" w:rsidR="00C464FA" w:rsidRPr="00C66720" w:rsidRDefault="001C35FE" w:rsidP="00C464FA">
      <w:pPr>
        <w:spacing w:before="120" w:after="120" w:line="240" w:lineRule="auto"/>
        <w:jc w:val="both"/>
        <w:rPr>
          <w:rFonts w:ascii="Times New Roman" w:hAnsi="Times New Roman"/>
          <w:szCs w:val="22"/>
        </w:rPr>
      </w:pPr>
      <w:r w:rsidRPr="00C66720">
        <w:rPr>
          <w:rFonts w:ascii="Times New Roman" w:hAnsi="Times New Roman"/>
          <w:szCs w:val="22"/>
          <w:u w:val="single"/>
        </w:rPr>
        <w:t xml:space="preserve">Finančné riaditeľstvo SR </w:t>
      </w:r>
      <w:r w:rsidRPr="00C66720">
        <w:rPr>
          <w:rFonts w:ascii="Times New Roman" w:hAnsi="Times New Roman"/>
          <w:szCs w:val="22"/>
        </w:rPr>
        <w:t>je žalobcom v dvoch súdnych sporoch o náhradu škody</w:t>
      </w:r>
      <w:r w:rsidR="00C464FA" w:rsidRPr="00C66720">
        <w:rPr>
          <w:rFonts w:ascii="Times New Roman" w:hAnsi="Times New Roman"/>
          <w:szCs w:val="22"/>
        </w:rPr>
        <w:t xml:space="preserve">, úhrnom za </w:t>
      </w:r>
      <w:r w:rsidR="00C464FA" w:rsidRPr="00C66720">
        <w:rPr>
          <w:rFonts w:ascii="Times New Roman" w:hAnsi="Times New Roman"/>
          <w:szCs w:val="22"/>
        </w:rPr>
        <w:br/>
        <w:t xml:space="preserve">4 077 tis. eur. </w:t>
      </w:r>
    </w:p>
    <w:p w14:paraId="2AD9CFB5" w14:textId="5C80DF7F" w:rsidR="00832E9E" w:rsidRPr="00C66720" w:rsidRDefault="00832E9E" w:rsidP="00C464FA">
      <w:pPr>
        <w:spacing w:before="120" w:after="120" w:line="240" w:lineRule="auto"/>
        <w:jc w:val="both"/>
        <w:rPr>
          <w:rFonts w:ascii="Times New Roman" w:hAnsi="Times New Roman"/>
          <w:szCs w:val="22"/>
        </w:rPr>
      </w:pPr>
      <w:r w:rsidRPr="00C66720">
        <w:rPr>
          <w:rFonts w:ascii="Times New Roman" w:hAnsi="Times New Roman"/>
          <w:szCs w:val="22"/>
          <w:u w:val="single"/>
        </w:rPr>
        <w:t>Ministerstvo vnútra SR</w:t>
      </w:r>
      <w:r w:rsidR="00A115F7" w:rsidRPr="00C66720">
        <w:rPr>
          <w:rFonts w:ascii="Times New Roman" w:hAnsi="Times New Roman"/>
          <w:szCs w:val="22"/>
        </w:rPr>
        <w:t xml:space="preserve"> vykazuje aktívne súdne spory v celkovej sume 3 939 tis. eur, čo je v porovnaní z bezprostredne predchádzajúcim účtovným obdobím pokles o 617 tis. eur</w:t>
      </w:r>
      <w:r w:rsidR="00693047" w:rsidRPr="00C66720">
        <w:rPr>
          <w:rFonts w:ascii="Times New Roman" w:hAnsi="Times New Roman"/>
          <w:szCs w:val="22"/>
        </w:rPr>
        <w:t>. Predmetom súdnych sporov bolo napr. zaplatenie sumy, vydanie bezdôvodného obohatenia, náhrada škody, vypratanie bytu, vysporiadanie nehnuteľnosti, nárok na regres a iné.</w:t>
      </w:r>
    </w:p>
    <w:p w14:paraId="206F2804" w14:textId="5A559E38" w:rsidR="004B2CD7" w:rsidRDefault="00C464FA" w:rsidP="00116A1B">
      <w:pPr>
        <w:spacing w:before="120" w:after="240" w:line="240" w:lineRule="auto"/>
        <w:jc w:val="both"/>
        <w:rPr>
          <w:rFonts w:ascii="Times New Roman" w:hAnsi="Times New Roman"/>
          <w:szCs w:val="22"/>
        </w:rPr>
      </w:pPr>
      <w:r w:rsidRPr="00C66720">
        <w:rPr>
          <w:rFonts w:ascii="Times New Roman" w:hAnsi="Times New Roman"/>
          <w:szCs w:val="22"/>
          <w:u w:val="single"/>
        </w:rPr>
        <w:t xml:space="preserve">Ministerstvo financií </w:t>
      </w:r>
      <w:r w:rsidR="008B7F91" w:rsidRPr="00C66720">
        <w:rPr>
          <w:rFonts w:ascii="Times New Roman" w:hAnsi="Times New Roman"/>
          <w:szCs w:val="22"/>
          <w:u w:val="single"/>
        </w:rPr>
        <w:t>SR</w:t>
      </w:r>
      <w:r w:rsidR="008B7F91" w:rsidRPr="00C66720">
        <w:rPr>
          <w:rFonts w:ascii="Times New Roman" w:hAnsi="Times New Roman"/>
          <w:szCs w:val="22"/>
        </w:rPr>
        <w:t xml:space="preserve"> </w:t>
      </w:r>
      <w:r w:rsidR="00E62A15" w:rsidRPr="00C66720">
        <w:rPr>
          <w:rFonts w:ascii="Times New Roman" w:hAnsi="Times New Roman"/>
          <w:szCs w:val="22"/>
        </w:rPr>
        <w:t>vystupuje ako žalobca v 6 súdnych sporoch. Hodnota aktívnych súdnych sporov je 3 910 tis. eur a týkajú sa žalôb o náhradu škody spôsobenej orgánmi verejnej moci pri výkone verejnej moci podľa zákona č. 58/1969 Zb. o zodpovednosti za škodu spôsobenú rozhodnutím orgánu štátu alebo jeho nesprávnym úradným postupom resp. zákon č. 514/2003 Z. z. o zodpovednosti za škodu spôsobenú pri výkone verejnej moci a o zmene niektorých zákonov, reštitučné nároky podľa príslušných reštitučných predpisov, žaloby o preskúmanie zákonnosti rozhodnutia orgánu verejnej moci a uplatňovania náhrady škody, ktorá vznikla ministerstvu ako poškodenému v trestnom konaní.</w:t>
      </w:r>
      <w:r w:rsidR="00116A1B" w:rsidRPr="00C66720">
        <w:rPr>
          <w:rFonts w:ascii="Times New Roman" w:hAnsi="Times New Roman"/>
          <w:szCs w:val="22"/>
        </w:rPr>
        <w:t xml:space="preserve"> </w:t>
      </w:r>
    </w:p>
    <w:p w14:paraId="11964602" w14:textId="77777777" w:rsidR="007C49AD" w:rsidRDefault="007C49AD" w:rsidP="007C49AD">
      <w:pPr>
        <w:spacing w:before="120" w:after="0" w:line="240" w:lineRule="auto"/>
        <w:jc w:val="both"/>
        <w:rPr>
          <w:rFonts w:ascii="Times New Roman" w:hAnsi="Times New Roman"/>
          <w:b/>
          <w:sz w:val="18"/>
          <w:szCs w:val="18"/>
        </w:rPr>
      </w:pPr>
      <w:r>
        <w:rPr>
          <w:rFonts w:ascii="Times New Roman" w:hAnsi="Times New Roman"/>
          <w:b/>
          <w:sz w:val="18"/>
          <w:szCs w:val="18"/>
        </w:rPr>
        <w:t>Tabuľka 28</w:t>
      </w:r>
    </w:p>
    <w:tbl>
      <w:tblPr>
        <w:tblW w:w="9073" w:type="dxa"/>
        <w:tblLayout w:type="fixed"/>
        <w:tblCellMar>
          <w:left w:w="70" w:type="dxa"/>
          <w:right w:w="70" w:type="dxa"/>
        </w:tblCellMar>
        <w:tblLook w:val="04A0" w:firstRow="1" w:lastRow="0" w:firstColumn="1" w:lastColumn="0" w:noHBand="0" w:noVBand="1"/>
      </w:tblPr>
      <w:tblGrid>
        <w:gridCol w:w="4395"/>
        <w:gridCol w:w="992"/>
        <w:gridCol w:w="1134"/>
        <w:gridCol w:w="1276"/>
        <w:gridCol w:w="1276"/>
      </w:tblGrid>
      <w:tr w:rsidR="004B2CD7" w:rsidRPr="00C66720" w14:paraId="79A987E3" w14:textId="77777777" w:rsidTr="002D7851">
        <w:trPr>
          <w:trHeight w:val="288"/>
        </w:trPr>
        <w:tc>
          <w:tcPr>
            <w:tcW w:w="9073" w:type="dxa"/>
            <w:gridSpan w:val="5"/>
            <w:tcBorders>
              <w:top w:val="nil"/>
              <w:left w:val="nil"/>
              <w:bottom w:val="nil"/>
              <w:right w:val="nil"/>
            </w:tcBorders>
            <w:shd w:val="clear" w:color="auto" w:fill="FABF8F" w:themeFill="accent6" w:themeFillTint="99"/>
            <w:vAlign w:val="center"/>
          </w:tcPr>
          <w:p w14:paraId="2E89DB29" w14:textId="77777777" w:rsidR="004B2CD7" w:rsidRPr="00C66720" w:rsidRDefault="004B2CD7" w:rsidP="00863ED9">
            <w:pPr>
              <w:spacing w:after="0" w:line="240" w:lineRule="auto"/>
              <w:rPr>
                <w:rFonts w:ascii="Times New Roman" w:hAnsi="Times New Roman"/>
                <w:b/>
                <w:bCs/>
                <w:sz w:val="18"/>
                <w:szCs w:val="18"/>
                <w:lang w:eastAsia="sk-SK"/>
              </w:rPr>
            </w:pPr>
            <w:r w:rsidRPr="00C66720">
              <w:rPr>
                <w:rFonts w:ascii="Times New Roman" w:hAnsi="Times New Roman"/>
                <w:sz w:val="18"/>
                <w:szCs w:val="18"/>
              </w:rPr>
              <w:br w:type="page"/>
            </w:r>
            <w:r w:rsidRPr="00C66720">
              <w:rPr>
                <w:rFonts w:ascii="Times New Roman" w:hAnsi="Times New Roman"/>
                <w:b/>
                <w:bCs/>
                <w:sz w:val="18"/>
                <w:szCs w:val="18"/>
                <w:lang w:eastAsia="sk-SK"/>
              </w:rPr>
              <w:t>Prehľad najväčších podmienených aktív                                                                                                                (v tis. eur)</w:t>
            </w:r>
          </w:p>
        </w:tc>
      </w:tr>
      <w:tr w:rsidR="00472B33" w:rsidRPr="004B2CD7" w14:paraId="59D3CE54" w14:textId="77777777" w:rsidTr="002D7851">
        <w:trPr>
          <w:trHeight w:val="284"/>
        </w:trPr>
        <w:tc>
          <w:tcPr>
            <w:tcW w:w="4395" w:type="dxa"/>
            <w:tcBorders>
              <w:top w:val="single" w:sz="4" w:space="0" w:color="auto"/>
              <w:left w:val="nil"/>
              <w:bottom w:val="single" w:sz="4" w:space="0" w:color="auto"/>
              <w:right w:val="nil"/>
            </w:tcBorders>
            <w:shd w:val="clear" w:color="auto" w:fill="B8CCE4" w:themeFill="accent1" w:themeFillTint="66"/>
            <w:vAlign w:val="center"/>
          </w:tcPr>
          <w:p w14:paraId="01E6D938" w14:textId="77777777" w:rsidR="00472B33" w:rsidRPr="004B2CD7" w:rsidRDefault="00472B33" w:rsidP="00472B33">
            <w:pPr>
              <w:spacing w:after="0" w:line="240" w:lineRule="auto"/>
              <w:rPr>
                <w:rFonts w:ascii="Times New Roman" w:hAnsi="Times New Roman"/>
                <w:sz w:val="18"/>
                <w:szCs w:val="18"/>
                <w:lang w:eastAsia="sk-SK"/>
              </w:rPr>
            </w:pPr>
          </w:p>
        </w:tc>
        <w:tc>
          <w:tcPr>
            <w:tcW w:w="992" w:type="dxa"/>
            <w:tcBorders>
              <w:top w:val="single" w:sz="4" w:space="0" w:color="auto"/>
              <w:left w:val="nil"/>
              <w:bottom w:val="single" w:sz="4" w:space="0" w:color="auto"/>
              <w:right w:val="nil"/>
            </w:tcBorders>
            <w:shd w:val="clear" w:color="auto" w:fill="B8CCE4" w:themeFill="accent1" w:themeFillTint="66"/>
            <w:vAlign w:val="center"/>
          </w:tcPr>
          <w:p w14:paraId="1027DA17" w14:textId="153AF22F" w:rsidR="00472B33" w:rsidRPr="004B2CD7" w:rsidRDefault="00472B33" w:rsidP="00472B33">
            <w:pPr>
              <w:spacing w:after="0" w:line="240" w:lineRule="auto"/>
              <w:jc w:val="center"/>
              <w:rPr>
                <w:rFonts w:ascii="Times New Roman" w:hAnsi="Times New Roman"/>
                <w:b/>
                <w:bCs/>
                <w:sz w:val="18"/>
                <w:szCs w:val="18"/>
                <w:lang w:eastAsia="sk-SK"/>
              </w:rPr>
            </w:pPr>
            <w:r w:rsidRPr="00584876">
              <w:rPr>
                <w:rFonts w:ascii="Times New Roman" w:hAnsi="Times New Roman"/>
                <w:b/>
                <w:sz w:val="18"/>
                <w:szCs w:val="18"/>
                <w:lang w:eastAsia="sk-SK"/>
              </w:rPr>
              <w:t>2020</w:t>
            </w:r>
          </w:p>
        </w:tc>
        <w:tc>
          <w:tcPr>
            <w:tcW w:w="1134" w:type="dxa"/>
            <w:tcBorders>
              <w:top w:val="single" w:sz="4" w:space="0" w:color="auto"/>
              <w:left w:val="nil"/>
              <w:bottom w:val="single" w:sz="4" w:space="0" w:color="auto"/>
              <w:right w:val="nil"/>
            </w:tcBorders>
            <w:shd w:val="clear" w:color="auto" w:fill="B8CCE4" w:themeFill="accent1" w:themeFillTint="66"/>
            <w:vAlign w:val="center"/>
          </w:tcPr>
          <w:p w14:paraId="63E6664B" w14:textId="1169BA3C" w:rsidR="00472B33" w:rsidRPr="004B2CD7" w:rsidRDefault="00472B33" w:rsidP="00472B33">
            <w:pPr>
              <w:spacing w:after="0" w:line="240" w:lineRule="auto"/>
              <w:jc w:val="center"/>
              <w:rPr>
                <w:rFonts w:ascii="Times New Roman" w:hAnsi="Times New Roman"/>
                <w:b/>
                <w:bCs/>
                <w:sz w:val="18"/>
                <w:szCs w:val="18"/>
                <w:lang w:eastAsia="sk-SK"/>
              </w:rPr>
            </w:pPr>
            <w:r w:rsidRPr="00584876">
              <w:rPr>
                <w:rFonts w:ascii="Times New Roman" w:hAnsi="Times New Roman"/>
                <w:b/>
                <w:sz w:val="18"/>
                <w:szCs w:val="18"/>
                <w:lang w:eastAsia="sk-SK"/>
              </w:rPr>
              <w:t>2021</w:t>
            </w:r>
          </w:p>
        </w:tc>
        <w:tc>
          <w:tcPr>
            <w:tcW w:w="1276" w:type="dxa"/>
            <w:tcBorders>
              <w:top w:val="single" w:sz="4" w:space="0" w:color="auto"/>
              <w:left w:val="nil"/>
              <w:bottom w:val="single" w:sz="4" w:space="0" w:color="auto"/>
              <w:right w:val="nil"/>
            </w:tcBorders>
            <w:shd w:val="clear" w:color="auto" w:fill="B8CCE4" w:themeFill="accent1" w:themeFillTint="66"/>
            <w:vAlign w:val="center"/>
          </w:tcPr>
          <w:p w14:paraId="18EF3619" w14:textId="201A5C60" w:rsidR="00472B33" w:rsidRPr="004B2CD7" w:rsidRDefault="00472B33" w:rsidP="00472B33">
            <w:pPr>
              <w:spacing w:after="0" w:line="240" w:lineRule="auto"/>
              <w:jc w:val="center"/>
              <w:rPr>
                <w:rFonts w:ascii="Times New Roman" w:hAnsi="Times New Roman"/>
                <w:b/>
                <w:bCs/>
                <w:sz w:val="18"/>
                <w:szCs w:val="18"/>
                <w:lang w:eastAsia="sk-SK"/>
              </w:rPr>
            </w:pPr>
            <w:r w:rsidRPr="00584876">
              <w:rPr>
                <w:rFonts w:ascii="Times New Roman" w:hAnsi="Times New Roman"/>
                <w:b/>
                <w:sz w:val="18"/>
                <w:szCs w:val="18"/>
                <w:lang w:eastAsia="sk-SK"/>
              </w:rPr>
              <w:t>2022</w:t>
            </w:r>
          </w:p>
        </w:tc>
        <w:tc>
          <w:tcPr>
            <w:tcW w:w="1276" w:type="dxa"/>
            <w:tcBorders>
              <w:top w:val="single" w:sz="4" w:space="0" w:color="auto"/>
              <w:left w:val="nil"/>
              <w:bottom w:val="single" w:sz="4" w:space="0" w:color="auto"/>
              <w:right w:val="nil"/>
            </w:tcBorders>
            <w:shd w:val="clear" w:color="auto" w:fill="B8CCE4" w:themeFill="accent1" w:themeFillTint="66"/>
            <w:vAlign w:val="center"/>
          </w:tcPr>
          <w:p w14:paraId="2BFB114F" w14:textId="2E569AC7" w:rsidR="00472B33" w:rsidRPr="004B2CD7" w:rsidRDefault="00472B33" w:rsidP="00472B33">
            <w:pPr>
              <w:spacing w:after="0" w:line="240" w:lineRule="auto"/>
              <w:jc w:val="right"/>
              <w:rPr>
                <w:rFonts w:ascii="Times New Roman" w:hAnsi="Times New Roman"/>
                <w:b/>
                <w:bCs/>
                <w:sz w:val="18"/>
                <w:szCs w:val="18"/>
                <w:lang w:eastAsia="sk-SK"/>
              </w:rPr>
            </w:pPr>
            <w:r w:rsidRPr="00584876">
              <w:rPr>
                <w:rFonts w:ascii="Times New Roman" w:hAnsi="Times New Roman"/>
                <w:b/>
                <w:sz w:val="18"/>
                <w:szCs w:val="18"/>
                <w:lang w:eastAsia="sk-SK"/>
              </w:rPr>
              <w:t>Δ 2022-2021</w:t>
            </w:r>
          </w:p>
        </w:tc>
      </w:tr>
      <w:tr w:rsidR="00472B33" w:rsidRPr="004B2CD7" w14:paraId="1A1AAE12" w14:textId="77777777" w:rsidTr="00863ED9">
        <w:trPr>
          <w:trHeight w:val="284"/>
        </w:trPr>
        <w:tc>
          <w:tcPr>
            <w:tcW w:w="4395" w:type="dxa"/>
            <w:tcBorders>
              <w:top w:val="nil"/>
              <w:left w:val="nil"/>
              <w:bottom w:val="nil"/>
              <w:right w:val="nil"/>
            </w:tcBorders>
            <w:vAlign w:val="center"/>
          </w:tcPr>
          <w:p w14:paraId="48456E04" w14:textId="77777777" w:rsidR="00472B33" w:rsidRPr="004B2CD7" w:rsidRDefault="00472B33" w:rsidP="00472B33">
            <w:pPr>
              <w:spacing w:after="0" w:line="240" w:lineRule="auto"/>
              <w:rPr>
                <w:rFonts w:ascii="Times New Roman" w:hAnsi="Times New Roman"/>
                <w:b/>
                <w:color w:val="FF0000"/>
                <w:sz w:val="18"/>
                <w:szCs w:val="18"/>
                <w:highlight w:val="yellow"/>
                <w:lang w:eastAsia="sk-SK"/>
              </w:rPr>
            </w:pPr>
            <w:r w:rsidRPr="004B2CD7">
              <w:rPr>
                <w:rFonts w:ascii="Times New Roman" w:hAnsi="Times New Roman"/>
                <w:b/>
                <w:sz w:val="18"/>
                <w:szCs w:val="18"/>
                <w:lang w:eastAsia="sk-SK"/>
              </w:rPr>
              <w:t>Súdne spory a konania</w:t>
            </w:r>
          </w:p>
        </w:tc>
        <w:tc>
          <w:tcPr>
            <w:tcW w:w="992" w:type="dxa"/>
            <w:tcBorders>
              <w:top w:val="nil"/>
              <w:left w:val="nil"/>
              <w:bottom w:val="nil"/>
              <w:right w:val="nil"/>
            </w:tcBorders>
            <w:vAlign w:val="center"/>
          </w:tcPr>
          <w:p w14:paraId="2A9A7415" w14:textId="77777777" w:rsidR="00472B33" w:rsidRPr="004B2CD7" w:rsidRDefault="00472B33" w:rsidP="00472B33">
            <w:pPr>
              <w:spacing w:after="0" w:line="240" w:lineRule="auto"/>
              <w:jc w:val="right"/>
              <w:rPr>
                <w:rFonts w:ascii="Times New Roman" w:hAnsi="Times New Roman"/>
                <w:b/>
                <w:sz w:val="18"/>
                <w:szCs w:val="18"/>
                <w:lang w:eastAsia="sk-SK"/>
              </w:rPr>
            </w:pPr>
            <w:r w:rsidRPr="004B2CD7">
              <w:rPr>
                <w:rFonts w:ascii="Times New Roman" w:hAnsi="Times New Roman"/>
                <w:b/>
                <w:sz w:val="18"/>
                <w:szCs w:val="18"/>
                <w:lang w:eastAsia="sk-SK"/>
              </w:rPr>
              <w:t>442 422</w:t>
            </w:r>
          </w:p>
        </w:tc>
        <w:tc>
          <w:tcPr>
            <w:tcW w:w="1134" w:type="dxa"/>
            <w:tcBorders>
              <w:top w:val="nil"/>
              <w:left w:val="nil"/>
              <w:bottom w:val="nil"/>
              <w:right w:val="nil"/>
            </w:tcBorders>
            <w:vAlign w:val="center"/>
          </w:tcPr>
          <w:p w14:paraId="0264214D" w14:textId="77777777" w:rsidR="00472B33" w:rsidRPr="004B2CD7" w:rsidRDefault="00472B33" w:rsidP="00472B33">
            <w:pPr>
              <w:spacing w:after="0" w:line="240" w:lineRule="auto"/>
              <w:jc w:val="right"/>
              <w:rPr>
                <w:rFonts w:ascii="Times New Roman" w:hAnsi="Times New Roman"/>
                <w:b/>
                <w:sz w:val="18"/>
                <w:szCs w:val="18"/>
                <w:lang w:eastAsia="sk-SK"/>
              </w:rPr>
            </w:pPr>
            <w:r w:rsidRPr="004B2CD7">
              <w:rPr>
                <w:rFonts w:ascii="Times New Roman" w:hAnsi="Times New Roman"/>
                <w:b/>
                <w:sz w:val="18"/>
                <w:szCs w:val="18"/>
                <w:lang w:eastAsia="sk-SK"/>
              </w:rPr>
              <w:t>460 941</w:t>
            </w:r>
          </w:p>
        </w:tc>
        <w:tc>
          <w:tcPr>
            <w:tcW w:w="1276" w:type="dxa"/>
            <w:tcBorders>
              <w:top w:val="nil"/>
              <w:left w:val="nil"/>
              <w:bottom w:val="nil"/>
              <w:right w:val="nil"/>
            </w:tcBorders>
            <w:vAlign w:val="center"/>
          </w:tcPr>
          <w:p w14:paraId="565E2804" w14:textId="77777777" w:rsidR="00472B33" w:rsidRPr="004B2CD7" w:rsidRDefault="00472B33" w:rsidP="00472B33">
            <w:pPr>
              <w:spacing w:after="0" w:line="240" w:lineRule="auto"/>
              <w:jc w:val="right"/>
              <w:rPr>
                <w:rFonts w:ascii="Times New Roman" w:hAnsi="Times New Roman"/>
                <w:b/>
                <w:sz w:val="18"/>
                <w:szCs w:val="18"/>
                <w:lang w:eastAsia="sk-SK"/>
              </w:rPr>
            </w:pPr>
            <w:r w:rsidRPr="004B2CD7">
              <w:rPr>
                <w:rFonts w:ascii="Times New Roman" w:hAnsi="Times New Roman"/>
                <w:b/>
                <w:sz w:val="18"/>
                <w:szCs w:val="18"/>
                <w:lang w:eastAsia="sk-SK"/>
              </w:rPr>
              <w:t>466 082</w:t>
            </w:r>
          </w:p>
        </w:tc>
        <w:tc>
          <w:tcPr>
            <w:tcW w:w="1276" w:type="dxa"/>
            <w:tcBorders>
              <w:top w:val="nil"/>
              <w:left w:val="nil"/>
              <w:bottom w:val="nil"/>
              <w:right w:val="nil"/>
            </w:tcBorders>
            <w:vAlign w:val="center"/>
          </w:tcPr>
          <w:p w14:paraId="7531FF43" w14:textId="77777777" w:rsidR="00472B33" w:rsidRPr="004B2CD7" w:rsidRDefault="00472B33" w:rsidP="00472B33">
            <w:pPr>
              <w:spacing w:after="0" w:line="240" w:lineRule="auto"/>
              <w:jc w:val="right"/>
              <w:rPr>
                <w:rFonts w:ascii="Times New Roman" w:hAnsi="Times New Roman"/>
                <w:b/>
                <w:sz w:val="18"/>
                <w:szCs w:val="18"/>
                <w:lang w:eastAsia="sk-SK"/>
              </w:rPr>
            </w:pPr>
            <w:r w:rsidRPr="004B2CD7">
              <w:rPr>
                <w:rFonts w:ascii="Times New Roman" w:hAnsi="Times New Roman"/>
                <w:b/>
                <w:sz w:val="18"/>
                <w:szCs w:val="18"/>
                <w:lang w:eastAsia="sk-SK"/>
              </w:rPr>
              <w:t>5 141</w:t>
            </w:r>
          </w:p>
        </w:tc>
      </w:tr>
      <w:tr w:rsidR="00472B33" w:rsidRPr="004B2CD7" w14:paraId="4103B1B7" w14:textId="77777777" w:rsidTr="00863ED9">
        <w:trPr>
          <w:trHeight w:val="284"/>
        </w:trPr>
        <w:tc>
          <w:tcPr>
            <w:tcW w:w="4395" w:type="dxa"/>
            <w:tcBorders>
              <w:top w:val="nil"/>
              <w:left w:val="nil"/>
              <w:bottom w:val="nil"/>
              <w:right w:val="nil"/>
            </w:tcBorders>
            <w:vAlign w:val="center"/>
          </w:tcPr>
          <w:p w14:paraId="0C949E6A" w14:textId="77777777" w:rsidR="00472B33" w:rsidRPr="004B2CD7" w:rsidRDefault="00472B33" w:rsidP="00472B33">
            <w:pPr>
              <w:spacing w:after="0" w:line="240" w:lineRule="auto"/>
              <w:ind w:firstLineChars="178" w:firstLine="320"/>
              <w:rPr>
                <w:rFonts w:ascii="Times New Roman" w:hAnsi="Times New Roman"/>
                <w:sz w:val="18"/>
                <w:szCs w:val="18"/>
                <w:lang w:eastAsia="sk-SK"/>
              </w:rPr>
            </w:pPr>
            <w:r w:rsidRPr="004B2CD7">
              <w:rPr>
                <w:rFonts w:ascii="Times New Roman" w:hAnsi="Times New Roman"/>
                <w:sz w:val="18"/>
                <w:szCs w:val="18"/>
                <w:lang w:eastAsia="sk-SK"/>
              </w:rPr>
              <w:t>Vodohospodárska výstavba, š. p.</w:t>
            </w:r>
          </w:p>
        </w:tc>
        <w:tc>
          <w:tcPr>
            <w:tcW w:w="992" w:type="dxa"/>
            <w:tcBorders>
              <w:top w:val="nil"/>
              <w:left w:val="nil"/>
              <w:bottom w:val="nil"/>
              <w:right w:val="nil"/>
            </w:tcBorders>
            <w:vAlign w:val="center"/>
          </w:tcPr>
          <w:p w14:paraId="3C8E12FD"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408 419</w:t>
            </w:r>
          </w:p>
        </w:tc>
        <w:tc>
          <w:tcPr>
            <w:tcW w:w="1134" w:type="dxa"/>
            <w:tcBorders>
              <w:top w:val="nil"/>
              <w:left w:val="nil"/>
              <w:bottom w:val="nil"/>
              <w:right w:val="nil"/>
            </w:tcBorders>
            <w:vAlign w:val="center"/>
          </w:tcPr>
          <w:p w14:paraId="317B3C84"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408 419</w:t>
            </w:r>
          </w:p>
        </w:tc>
        <w:tc>
          <w:tcPr>
            <w:tcW w:w="1276" w:type="dxa"/>
            <w:tcBorders>
              <w:top w:val="nil"/>
              <w:left w:val="nil"/>
              <w:bottom w:val="nil"/>
              <w:right w:val="nil"/>
            </w:tcBorders>
            <w:vAlign w:val="center"/>
          </w:tcPr>
          <w:p w14:paraId="5FCD6E2A"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410 499</w:t>
            </w:r>
          </w:p>
        </w:tc>
        <w:tc>
          <w:tcPr>
            <w:tcW w:w="1276" w:type="dxa"/>
            <w:tcBorders>
              <w:top w:val="nil"/>
              <w:left w:val="nil"/>
              <w:bottom w:val="nil"/>
              <w:right w:val="nil"/>
            </w:tcBorders>
            <w:vAlign w:val="center"/>
          </w:tcPr>
          <w:p w14:paraId="670835C5"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2 080</w:t>
            </w:r>
          </w:p>
        </w:tc>
      </w:tr>
      <w:tr w:rsidR="00472B33" w:rsidRPr="004B2CD7" w14:paraId="3D43A478" w14:textId="77777777" w:rsidTr="00863ED9">
        <w:trPr>
          <w:trHeight w:val="284"/>
        </w:trPr>
        <w:tc>
          <w:tcPr>
            <w:tcW w:w="4395" w:type="dxa"/>
            <w:tcBorders>
              <w:top w:val="nil"/>
              <w:left w:val="nil"/>
              <w:bottom w:val="nil"/>
              <w:right w:val="nil"/>
            </w:tcBorders>
            <w:vAlign w:val="center"/>
          </w:tcPr>
          <w:p w14:paraId="45C58994" w14:textId="77777777" w:rsidR="00472B33" w:rsidRPr="004B2CD7" w:rsidRDefault="00472B33" w:rsidP="00472B33">
            <w:pPr>
              <w:spacing w:after="0" w:line="240" w:lineRule="auto"/>
              <w:ind w:firstLineChars="178" w:firstLine="320"/>
              <w:rPr>
                <w:rFonts w:ascii="Times New Roman" w:hAnsi="Times New Roman"/>
                <w:color w:val="FF0000"/>
                <w:sz w:val="18"/>
                <w:szCs w:val="18"/>
                <w:highlight w:val="yellow"/>
                <w:lang w:eastAsia="sk-SK"/>
              </w:rPr>
            </w:pPr>
            <w:r w:rsidRPr="004B2CD7">
              <w:rPr>
                <w:rFonts w:ascii="Times New Roman" w:hAnsi="Times New Roman"/>
                <w:sz w:val="18"/>
                <w:szCs w:val="18"/>
                <w:lang w:eastAsia="sk-SK"/>
              </w:rPr>
              <w:t xml:space="preserve">MH Manažment, a. s. </w:t>
            </w:r>
          </w:p>
        </w:tc>
        <w:tc>
          <w:tcPr>
            <w:tcW w:w="992" w:type="dxa"/>
            <w:tcBorders>
              <w:top w:val="nil"/>
              <w:left w:val="nil"/>
              <w:bottom w:val="nil"/>
              <w:right w:val="nil"/>
            </w:tcBorders>
            <w:vAlign w:val="center"/>
          </w:tcPr>
          <w:p w14:paraId="463BD346"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26 550</w:t>
            </w:r>
          </w:p>
        </w:tc>
        <w:tc>
          <w:tcPr>
            <w:tcW w:w="1134" w:type="dxa"/>
            <w:tcBorders>
              <w:top w:val="nil"/>
              <w:left w:val="nil"/>
              <w:bottom w:val="nil"/>
              <w:right w:val="nil"/>
            </w:tcBorders>
            <w:vAlign w:val="center"/>
          </w:tcPr>
          <w:p w14:paraId="0024FC7A"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41 213</w:t>
            </w:r>
          </w:p>
        </w:tc>
        <w:tc>
          <w:tcPr>
            <w:tcW w:w="1276" w:type="dxa"/>
            <w:tcBorders>
              <w:top w:val="nil"/>
              <w:left w:val="nil"/>
              <w:bottom w:val="nil"/>
              <w:right w:val="nil"/>
            </w:tcBorders>
            <w:vAlign w:val="center"/>
          </w:tcPr>
          <w:p w14:paraId="25F671D8"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43 657</w:t>
            </w:r>
          </w:p>
        </w:tc>
        <w:tc>
          <w:tcPr>
            <w:tcW w:w="1276" w:type="dxa"/>
            <w:tcBorders>
              <w:top w:val="nil"/>
              <w:left w:val="nil"/>
              <w:bottom w:val="nil"/>
              <w:right w:val="nil"/>
            </w:tcBorders>
            <w:vAlign w:val="center"/>
          </w:tcPr>
          <w:p w14:paraId="7A7A34AC"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2444</w:t>
            </w:r>
          </w:p>
        </w:tc>
      </w:tr>
      <w:tr w:rsidR="00472B33" w:rsidRPr="004B2CD7" w14:paraId="1619D082" w14:textId="77777777" w:rsidTr="00863ED9">
        <w:trPr>
          <w:trHeight w:val="284"/>
        </w:trPr>
        <w:tc>
          <w:tcPr>
            <w:tcW w:w="4395" w:type="dxa"/>
            <w:tcBorders>
              <w:top w:val="nil"/>
              <w:left w:val="nil"/>
              <w:bottom w:val="nil"/>
              <w:right w:val="nil"/>
            </w:tcBorders>
            <w:vAlign w:val="center"/>
          </w:tcPr>
          <w:p w14:paraId="67095E57" w14:textId="77777777" w:rsidR="00472B33" w:rsidRPr="004B2CD7" w:rsidRDefault="00472B33" w:rsidP="00472B33">
            <w:pPr>
              <w:spacing w:after="0" w:line="240" w:lineRule="auto"/>
              <w:ind w:firstLineChars="178" w:firstLine="320"/>
              <w:rPr>
                <w:rFonts w:ascii="Times New Roman" w:hAnsi="Times New Roman"/>
                <w:sz w:val="18"/>
                <w:szCs w:val="18"/>
                <w:highlight w:val="yellow"/>
                <w:lang w:eastAsia="sk-SK"/>
              </w:rPr>
            </w:pPr>
            <w:r w:rsidRPr="004B2CD7">
              <w:rPr>
                <w:rFonts w:ascii="Times New Roman" w:hAnsi="Times New Roman"/>
                <w:sz w:val="18"/>
                <w:szCs w:val="18"/>
                <w:lang w:eastAsia="sk-SK"/>
              </w:rPr>
              <w:t>Ministerstvo financií SR</w:t>
            </w:r>
          </w:p>
        </w:tc>
        <w:tc>
          <w:tcPr>
            <w:tcW w:w="992" w:type="dxa"/>
            <w:tcBorders>
              <w:top w:val="nil"/>
              <w:left w:val="nil"/>
              <w:bottom w:val="nil"/>
              <w:right w:val="nil"/>
            </w:tcBorders>
            <w:vAlign w:val="center"/>
          </w:tcPr>
          <w:p w14:paraId="6D752C22"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3 910</w:t>
            </w:r>
          </w:p>
        </w:tc>
        <w:tc>
          <w:tcPr>
            <w:tcW w:w="1134" w:type="dxa"/>
            <w:tcBorders>
              <w:top w:val="nil"/>
              <w:left w:val="nil"/>
              <w:bottom w:val="nil"/>
              <w:right w:val="nil"/>
            </w:tcBorders>
            <w:vAlign w:val="center"/>
          </w:tcPr>
          <w:p w14:paraId="432B1035"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3 910</w:t>
            </w:r>
          </w:p>
        </w:tc>
        <w:tc>
          <w:tcPr>
            <w:tcW w:w="1276" w:type="dxa"/>
            <w:tcBorders>
              <w:top w:val="nil"/>
              <w:left w:val="nil"/>
              <w:bottom w:val="nil"/>
              <w:right w:val="nil"/>
            </w:tcBorders>
            <w:vAlign w:val="center"/>
          </w:tcPr>
          <w:p w14:paraId="6619A4D5"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3 910</w:t>
            </w:r>
          </w:p>
        </w:tc>
        <w:tc>
          <w:tcPr>
            <w:tcW w:w="1276" w:type="dxa"/>
            <w:tcBorders>
              <w:top w:val="nil"/>
              <w:left w:val="nil"/>
              <w:bottom w:val="nil"/>
              <w:right w:val="nil"/>
            </w:tcBorders>
            <w:vAlign w:val="center"/>
          </w:tcPr>
          <w:p w14:paraId="00D56895"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0</w:t>
            </w:r>
          </w:p>
        </w:tc>
      </w:tr>
      <w:tr w:rsidR="00472B33" w:rsidRPr="004B2CD7" w14:paraId="2FE9DBAF" w14:textId="77777777" w:rsidTr="00863ED9">
        <w:trPr>
          <w:trHeight w:val="284"/>
        </w:trPr>
        <w:tc>
          <w:tcPr>
            <w:tcW w:w="4395" w:type="dxa"/>
            <w:tcBorders>
              <w:top w:val="nil"/>
              <w:left w:val="nil"/>
              <w:bottom w:val="nil"/>
              <w:right w:val="nil"/>
            </w:tcBorders>
            <w:vAlign w:val="center"/>
          </w:tcPr>
          <w:p w14:paraId="7760BD6D" w14:textId="77777777" w:rsidR="00472B33" w:rsidRPr="004B2CD7" w:rsidRDefault="00472B33" w:rsidP="00472B33">
            <w:pPr>
              <w:spacing w:after="0" w:line="240" w:lineRule="auto"/>
              <w:ind w:firstLineChars="178" w:firstLine="320"/>
              <w:rPr>
                <w:rFonts w:ascii="Times New Roman" w:hAnsi="Times New Roman"/>
                <w:color w:val="FF0000"/>
                <w:sz w:val="18"/>
                <w:szCs w:val="18"/>
                <w:highlight w:val="yellow"/>
                <w:lang w:eastAsia="sk-SK"/>
              </w:rPr>
            </w:pPr>
            <w:r w:rsidRPr="004B2CD7">
              <w:rPr>
                <w:rFonts w:ascii="Times New Roman" w:hAnsi="Times New Roman"/>
                <w:sz w:val="18"/>
                <w:szCs w:val="18"/>
                <w:lang w:eastAsia="sk-SK"/>
              </w:rPr>
              <w:t>Ministerstvo vnútra SR</w:t>
            </w:r>
          </w:p>
        </w:tc>
        <w:tc>
          <w:tcPr>
            <w:tcW w:w="992" w:type="dxa"/>
            <w:tcBorders>
              <w:top w:val="nil"/>
              <w:left w:val="nil"/>
              <w:bottom w:val="nil"/>
              <w:right w:val="nil"/>
            </w:tcBorders>
            <w:vAlign w:val="center"/>
          </w:tcPr>
          <w:p w14:paraId="554FFEC3"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3 543</w:t>
            </w:r>
          </w:p>
        </w:tc>
        <w:tc>
          <w:tcPr>
            <w:tcW w:w="1134" w:type="dxa"/>
            <w:tcBorders>
              <w:top w:val="nil"/>
              <w:left w:val="nil"/>
              <w:bottom w:val="nil"/>
              <w:right w:val="nil"/>
            </w:tcBorders>
            <w:vAlign w:val="center"/>
          </w:tcPr>
          <w:p w14:paraId="78ED6052"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3 322</w:t>
            </w:r>
          </w:p>
        </w:tc>
        <w:tc>
          <w:tcPr>
            <w:tcW w:w="1276" w:type="dxa"/>
            <w:tcBorders>
              <w:top w:val="nil"/>
              <w:left w:val="nil"/>
              <w:bottom w:val="nil"/>
              <w:right w:val="nil"/>
            </w:tcBorders>
            <w:vAlign w:val="center"/>
          </w:tcPr>
          <w:p w14:paraId="45950FB1"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3 939</w:t>
            </w:r>
          </w:p>
        </w:tc>
        <w:tc>
          <w:tcPr>
            <w:tcW w:w="1276" w:type="dxa"/>
            <w:tcBorders>
              <w:top w:val="nil"/>
              <w:left w:val="nil"/>
              <w:bottom w:val="nil"/>
              <w:right w:val="nil"/>
            </w:tcBorders>
            <w:vAlign w:val="center"/>
          </w:tcPr>
          <w:p w14:paraId="0287D458"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617</w:t>
            </w:r>
          </w:p>
        </w:tc>
      </w:tr>
      <w:tr w:rsidR="00472B33" w:rsidRPr="004B2CD7" w14:paraId="4FA68431" w14:textId="77777777" w:rsidTr="00863ED9">
        <w:trPr>
          <w:trHeight w:val="284"/>
        </w:trPr>
        <w:tc>
          <w:tcPr>
            <w:tcW w:w="4395" w:type="dxa"/>
            <w:tcBorders>
              <w:top w:val="nil"/>
              <w:left w:val="nil"/>
              <w:bottom w:val="nil"/>
              <w:right w:val="nil"/>
            </w:tcBorders>
            <w:vAlign w:val="center"/>
          </w:tcPr>
          <w:p w14:paraId="399D8665" w14:textId="77777777" w:rsidR="00472B33" w:rsidRPr="004B2CD7" w:rsidRDefault="00472B33" w:rsidP="00472B33">
            <w:pPr>
              <w:spacing w:after="0" w:line="240" w:lineRule="auto"/>
              <w:ind w:firstLineChars="178" w:firstLine="320"/>
              <w:rPr>
                <w:rFonts w:ascii="Times New Roman" w:hAnsi="Times New Roman"/>
                <w:color w:val="FF0000"/>
                <w:sz w:val="18"/>
                <w:szCs w:val="18"/>
                <w:highlight w:val="yellow"/>
                <w:lang w:eastAsia="sk-SK"/>
              </w:rPr>
            </w:pPr>
            <w:r w:rsidRPr="004B2CD7">
              <w:rPr>
                <w:rFonts w:ascii="Times New Roman" w:hAnsi="Times New Roman"/>
                <w:sz w:val="18"/>
                <w:szCs w:val="18"/>
                <w:lang w:eastAsia="sk-SK"/>
              </w:rPr>
              <w:t>Finančné riaditeľstvo SR</w:t>
            </w:r>
          </w:p>
        </w:tc>
        <w:tc>
          <w:tcPr>
            <w:tcW w:w="992" w:type="dxa"/>
            <w:tcBorders>
              <w:top w:val="nil"/>
              <w:left w:val="nil"/>
              <w:bottom w:val="nil"/>
              <w:right w:val="nil"/>
            </w:tcBorders>
            <w:vAlign w:val="center"/>
          </w:tcPr>
          <w:p w14:paraId="6B39958C"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0</w:t>
            </w:r>
          </w:p>
        </w:tc>
        <w:tc>
          <w:tcPr>
            <w:tcW w:w="1134" w:type="dxa"/>
            <w:tcBorders>
              <w:top w:val="nil"/>
              <w:left w:val="nil"/>
              <w:bottom w:val="nil"/>
              <w:right w:val="nil"/>
            </w:tcBorders>
            <w:vAlign w:val="center"/>
          </w:tcPr>
          <w:p w14:paraId="1B2B194B"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4 077</w:t>
            </w:r>
          </w:p>
        </w:tc>
        <w:tc>
          <w:tcPr>
            <w:tcW w:w="1276" w:type="dxa"/>
            <w:tcBorders>
              <w:top w:val="nil"/>
              <w:left w:val="nil"/>
              <w:bottom w:val="nil"/>
              <w:right w:val="nil"/>
            </w:tcBorders>
            <w:vAlign w:val="center"/>
          </w:tcPr>
          <w:p w14:paraId="5F76086B"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4 077</w:t>
            </w:r>
          </w:p>
        </w:tc>
        <w:tc>
          <w:tcPr>
            <w:tcW w:w="1276" w:type="dxa"/>
            <w:tcBorders>
              <w:top w:val="nil"/>
              <w:left w:val="nil"/>
              <w:bottom w:val="nil"/>
              <w:right w:val="nil"/>
            </w:tcBorders>
            <w:vAlign w:val="center"/>
          </w:tcPr>
          <w:p w14:paraId="4E2DD739"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0</w:t>
            </w:r>
          </w:p>
        </w:tc>
      </w:tr>
      <w:tr w:rsidR="00472B33" w:rsidRPr="004B2CD7" w14:paraId="5D7CA65D" w14:textId="77777777" w:rsidTr="00863ED9">
        <w:trPr>
          <w:trHeight w:val="284"/>
        </w:trPr>
        <w:tc>
          <w:tcPr>
            <w:tcW w:w="4395" w:type="dxa"/>
            <w:tcBorders>
              <w:top w:val="nil"/>
              <w:left w:val="nil"/>
              <w:bottom w:val="nil"/>
              <w:right w:val="nil"/>
            </w:tcBorders>
            <w:vAlign w:val="center"/>
          </w:tcPr>
          <w:p w14:paraId="422A2783" w14:textId="77777777" w:rsidR="00472B33" w:rsidRPr="004B2CD7" w:rsidRDefault="00472B33" w:rsidP="00472B33">
            <w:pPr>
              <w:spacing w:after="0" w:line="240" w:lineRule="auto"/>
              <w:rPr>
                <w:rFonts w:ascii="Times New Roman" w:hAnsi="Times New Roman"/>
                <w:b/>
                <w:sz w:val="18"/>
                <w:szCs w:val="18"/>
                <w:highlight w:val="yellow"/>
                <w:lang w:eastAsia="sk-SK"/>
              </w:rPr>
            </w:pPr>
            <w:r w:rsidRPr="004B2CD7">
              <w:rPr>
                <w:rFonts w:ascii="Times New Roman" w:hAnsi="Times New Roman"/>
                <w:b/>
                <w:sz w:val="18"/>
                <w:szCs w:val="18"/>
                <w:lang w:eastAsia="sk-SK"/>
              </w:rPr>
              <w:t>Iné (štátne podniky)</w:t>
            </w:r>
          </w:p>
        </w:tc>
        <w:tc>
          <w:tcPr>
            <w:tcW w:w="992" w:type="dxa"/>
            <w:tcBorders>
              <w:top w:val="nil"/>
              <w:left w:val="nil"/>
              <w:bottom w:val="nil"/>
              <w:right w:val="nil"/>
            </w:tcBorders>
            <w:vAlign w:val="center"/>
          </w:tcPr>
          <w:p w14:paraId="663AB304" w14:textId="77777777" w:rsidR="00472B33" w:rsidRPr="004B2CD7" w:rsidRDefault="00472B33" w:rsidP="00472B33">
            <w:pPr>
              <w:spacing w:after="0" w:line="240" w:lineRule="auto"/>
              <w:jc w:val="right"/>
              <w:rPr>
                <w:rFonts w:ascii="Times New Roman" w:hAnsi="Times New Roman"/>
                <w:b/>
                <w:sz w:val="18"/>
                <w:szCs w:val="18"/>
                <w:lang w:eastAsia="sk-SK"/>
              </w:rPr>
            </w:pPr>
            <w:r w:rsidRPr="004B2CD7">
              <w:rPr>
                <w:rFonts w:ascii="Times New Roman" w:hAnsi="Times New Roman"/>
                <w:b/>
                <w:sz w:val="18"/>
                <w:szCs w:val="18"/>
                <w:lang w:eastAsia="sk-SK"/>
              </w:rPr>
              <w:t>8 849 304</w:t>
            </w:r>
          </w:p>
        </w:tc>
        <w:tc>
          <w:tcPr>
            <w:tcW w:w="1134" w:type="dxa"/>
            <w:tcBorders>
              <w:top w:val="nil"/>
              <w:left w:val="nil"/>
              <w:bottom w:val="nil"/>
              <w:right w:val="nil"/>
            </w:tcBorders>
            <w:vAlign w:val="center"/>
          </w:tcPr>
          <w:p w14:paraId="74F285E7" w14:textId="77777777" w:rsidR="00472B33" w:rsidRPr="004B2CD7" w:rsidRDefault="00472B33" w:rsidP="00472B33">
            <w:pPr>
              <w:spacing w:after="0" w:line="240" w:lineRule="auto"/>
              <w:jc w:val="right"/>
              <w:rPr>
                <w:rFonts w:ascii="Times New Roman" w:hAnsi="Times New Roman"/>
                <w:b/>
                <w:sz w:val="18"/>
                <w:szCs w:val="18"/>
                <w:lang w:eastAsia="sk-SK"/>
              </w:rPr>
            </w:pPr>
            <w:r w:rsidRPr="004B2CD7">
              <w:rPr>
                <w:rFonts w:ascii="Times New Roman" w:hAnsi="Times New Roman"/>
                <w:b/>
                <w:sz w:val="18"/>
                <w:szCs w:val="18"/>
                <w:lang w:eastAsia="sk-SK"/>
              </w:rPr>
              <w:t>8 096 525</w:t>
            </w:r>
          </w:p>
        </w:tc>
        <w:tc>
          <w:tcPr>
            <w:tcW w:w="1276" w:type="dxa"/>
            <w:tcBorders>
              <w:top w:val="nil"/>
              <w:left w:val="nil"/>
              <w:bottom w:val="nil"/>
              <w:right w:val="nil"/>
            </w:tcBorders>
            <w:vAlign w:val="center"/>
          </w:tcPr>
          <w:p w14:paraId="1707ECE0" w14:textId="77777777" w:rsidR="00472B33" w:rsidRPr="004B2CD7" w:rsidRDefault="00472B33" w:rsidP="00472B33">
            <w:pPr>
              <w:spacing w:after="0" w:line="240" w:lineRule="auto"/>
              <w:jc w:val="right"/>
              <w:rPr>
                <w:rFonts w:ascii="Times New Roman" w:hAnsi="Times New Roman"/>
                <w:b/>
                <w:sz w:val="18"/>
                <w:szCs w:val="18"/>
                <w:lang w:eastAsia="sk-SK"/>
              </w:rPr>
            </w:pPr>
            <w:r w:rsidRPr="004B2CD7">
              <w:rPr>
                <w:rFonts w:ascii="Times New Roman" w:hAnsi="Times New Roman"/>
                <w:b/>
                <w:sz w:val="18"/>
                <w:szCs w:val="18"/>
                <w:lang w:eastAsia="sk-SK"/>
              </w:rPr>
              <w:t>7 792 958</w:t>
            </w:r>
          </w:p>
        </w:tc>
        <w:tc>
          <w:tcPr>
            <w:tcW w:w="1276" w:type="dxa"/>
            <w:tcBorders>
              <w:top w:val="nil"/>
              <w:left w:val="nil"/>
              <w:bottom w:val="nil"/>
              <w:right w:val="nil"/>
            </w:tcBorders>
            <w:vAlign w:val="center"/>
          </w:tcPr>
          <w:p w14:paraId="26170DE4" w14:textId="77777777" w:rsidR="00472B33" w:rsidRPr="004B2CD7" w:rsidRDefault="00472B33" w:rsidP="00472B33">
            <w:pPr>
              <w:spacing w:after="0" w:line="240" w:lineRule="auto"/>
              <w:jc w:val="right"/>
              <w:rPr>
                <w:rFonts w:ascii="Times New Roman" w:hAnsi="Times New Roman"/>
                <w:b/>
                <w:sz w:val="18"/>
                <w:szCs w:val="18"/>
                <w:lang w:eastAsia="sk-SK"/>
              </w:rPr>
            </w:pPr>
            <w:r w:rsidRPr="004B2CD7">
              <w:rPr>
                <w:rFonts w:ascii="Times New Roman" w:hAnsi="Times New Roman"/>
                <w:b/>
                <w:sz w:val="18"/>
                <w:szCs w:val="18"/>
                <w:lang w:eastAsia="sk-SK"/>
              </w:rPr>
              <w:t>-303 567</w:t>
            </w:r>
          </w:p>
        </w:tc>
      </w:tr>
      <w:tr w:rsidR="00472B33" w:rsidRPr="004B2CD7" w14:paraId="6EBE0DE8" w14:textId="77777777" w:rsidTr="00863ED9">
        <w:trPr>
          <w:trHeight w:val="284"/>
        </w:trPr>
        <w:tc>
          <w:tcPr>
            <w:tcW w:w="4395" w:type="dxa"/>
            <w:tcBorders>
              <w:top w:val="nil"/>
              <w:left w:val="nil"/>
              <w:bottom w:val="nil"/>
              <w:right w:val="nil"/>
            </w:tcBorders>
            <w:vAlign w:val="center"/>
          </w:tcPr>
          <w:p w14:paraId="12072304" w14:textId="77777777" w:rsidR="00472B33" w:rsidRPr="004B2CD7" w:rsidRDefault="00472B33" w:rsidP="00472B33">
            <w:pPr>
              <w:spacing w:after="0" w:line="240" w:lineRule="auto"/>
              <w:ind w:firstLineChars="178" w:firstLine="320"/>
              <w:rPr>
                <w:rFonts w:ascii="Times New Roman" w:hAnsi="Times New Roman"/>
                <w:color w:val="FF0000"/>
                <w:sz w:val="18"/>
                <w:szCs w:val="18"/>
                <w:lang w:eastAsia="sk-SK"/>
              </w:rPr>
            </w:pPr>
            <w:r w:rsidRPr="004B2CD7">
              <w:rPr>
                <w:rFonts w:ascii="Times New Roman" w:hAnsi="Times New Roman"/>
                <w:sz w:val="18"/>
                <w:szCs w:val="18"/>
                <w:lang w:eastAsia="sk-SK"/>
              </w:rPr>
              <w:t>Lesy SR, š. p. (hodnota lesných porastov)</w:t>
            </w:r>
          </w:p>
        </w:tc>
        <w:tc>
          <w:tcPr>
            <w:tcW w:w="992" w:type="dxa"/>
            <w:tcBorders>
              <w:top w:val="nil"/>
              <w:left w:val="nil"/>
              <w:bottom w:val="nil"/>
              <w:right w:val="nil"/>
            </w:tcBorders>
            <w:vAlign w:val="center"/>
          </w:tcPr>
          <w:p w14:paraId="36D71324"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4 017 128</w:t>
            </w:r>
          </w:p>
        </w:tc>
        <w:tc>
          <w:tcPr>
            <w:tcW w:w="1134" w:type="dxa"/>
            <w:tcBorders>
              <w:top w:val="nil"/>
              <w:left w:val="nil"/>
              <w:bottom w:val="nil"/>
              <w:right w:val="nil"/>
            </w:tcBorders>
            <w:vAlign w:val="center"/>
          </w:tcPr>
          <w:p w14:paraId="740618E0"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3 930 916</w:t>
            </w:r>
          </w:p>
        </w:tc>
        <w:tc>
          <w:tcPr>
            <w:tcW w:w="1276" w:type="dxa"/>
            <w:tcBorders>
              <w:top w:val="nil"/>
              <w:left w:val="nil"/>
              <w:bottom w:val="nil"/>
              <w:right w:val="nil"/>
            </w:tcBorders>
            <w:vAlign w:val="center"/>
          </w:tcPr>
          <w:p w14:paraId="28F5508C"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3 814 721</w:t>
            </w:r>
          </w:p>
        </w:tc>
        <w:tc>
          <w:tcPr>
            <w:tcW w:w="1276" w:type="dxa"/>
            <w:tcBorders>
              <w:top w:val="nil"/>
              <w:left w:val="nil"/>
              <w:bottom w:val="nil"/>
              <w:right w:val="nil"/>
            </w:tcBorders>
            <w:vAlign w:val="center"/>
          </w:tcPr>
          <w:p w14:paraId="661FD868"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-116 195</w:t>
            </w:r>
          </w:p>
        </w:tc>
      </w:tr>
      <w:tr w:rsidR="00472B33" w:rsidRPr="004B2CD7" w14:paraId="07373D13" w14:textId="77777777" w:rsidTr="00863ED9">
        <w:trPr>
          <w:trHeight w:val="284"/>
        </w:trPr>
        <w:tc>
          <w:tcPr>
            <w:tcW w:w="4395" w:type="dxa"/>
            <w:tcBorders>
              <w:top w:val="nil"/>
              <w:left w:val="nil"/>
              <w:bottom w:val="nil"/>
              <w:right w:val="nil"/>
            </w:tcBorders>
            <w:vAlign w:val="center"/>
          </w:tcPr>
          <w:p w14:paraId="0C286E5A" w14:textId="77777777" w:rsidR="00472B33" w:rsidRPr="004B2CD7" w:rsidRDefault="00472B33" w:rsidP="00472B33">
            <w:pPr>
              <w:spacing w:after="0" w:line="240" w:lineRule="auto"/>
              <w:ind w:firstLineChars="178" w:firstLine="320"/>
              <w:rPr>
                <w:rFonts w:ascii="Times New Roman" w:hAnsi="Times New Roman"/>
                <w:sz w:val="18"/>
                <w:szCs w:val="18"/>
                <w:lang w:eastAsia="sk-SK"/>
              </w:rPr>
            </w:pPr>
            <w:r w:rsidRPr="004B2CD7">
              <w:rPr>
                <w:rFonts w:ascii="Times New Roman" w:hAnsi="Times New Roman"/>
                <w:sz w:val="18"/>
                <w:szCs w:val="18"/>
                <w:lang w:eastAsia="sk-SK"/>
              </w:rPr>
              <w:t>SKo, a. s.  (pohľadávky na podsúvahe)</w:t>
            </w:r>
          </w:p>
        </w:tc>
        <w:tc>
          <w:tcPr>
            <w:tcW w:w="992" w:type="dxa"/>
            <w:tcBorders>
              <w:top w:val="nil"/>
              <w:left w:val="nil"/>
              <w:bottom w:val="nil"/>
              <w:right w:val="nil"/>
            </w:tcBorders>
            <w:vAlign w:val="center"/>
          </w:tcPr>
          <w:p w14:paraId="061E29EC"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3 624 879</w:t>
            </w:r>
          </w:p>
        </w:tc>
        <w:tc>
          <w:tcPr>
            <w:tcW w:w="1134" w:type="dxa"/>
            <w:tcBorders>
              <w:top w:val="nil"/>
              <w:left w:val="nil"/>
              <w:bottom w:val="nil"/>
              <w:right w:val="nil"/>
            </w:tcBorders>
            <w:vAlign w:val="center"/>
          </w:tcPr>
          <w:p w14:paraId="4E3AF130"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3 162 420</w:t>
            </w:r>
          </w:p>
        </w:tc>
        <w:tc>
          <w:tcPr>
            <w:tcW w:w="1276" w:type="dxa"/>
            <w:tcBorders>
              <w:top w:val="nil"/>
              <w:left w:val="nil"/>
              <w:bottom w:val="nil"/>
              <w:right w:val="nil"/>
            </w:tcBorders>
            <w:vAlign w:val="center"/>
          </w:tcPr>
          <w:p w14:paraId="4643AFF4"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2 920 022</w:t>
            </w:r>
          </w:p>
        </w:tc>
        <w:tc>
          <w:tcPr>
            <w:tcW w:w="1276" w:type="dxa"/>
            <w:tcBorders>
              <w:top w:val="nil"/>
              <w:left w:val="nil"/>
              <w:bottom w:val="nil"/>
              <w:right w:val="nil"/>
            </w:tcBorders>
            <w:vAlign w:val="center"/>
          </w:tcPr>
          <w:p w14:paraId="2DC20499"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-242 398</w:t>
            </w:r>
          </w:p>
        </w:tc>
      </w:tr>
      <w:tr w:rsidR="00472B33" w:rsidRPr="004B2CD7" w14:paraId="46B62922" w14:textId="77777777" w:rsidTr="00863ED9">
        <w:trPr>
          <w:trHeight w:val="284"/>
        </w:trPr>
        <w:tc>
          <w:tcPr>
            <w:tcW w:w="4395" w:type="dxa"/>
            <w:tcBorders>
              <w:top w:val="nil"/>
              <w:left w:val="nil"/>
              <w:bottom w:val="nil"/>
              <w:right w:val="nil"/>
            </w:tcBorders>
            <w:vAlign w:val="center"/>
          </w:tcPr>
          <w:p w14:paraId="6D2EAD0F" w14:textId="77777777" w:rsidR="00472B33" w:rsidRPr="004B2CD7" w:rsidRDefault="00472B33" w:rsidP="00472B33">
            <w:pPr>
              <w:spacing w:after="0" w:line="240" w:lineRule="auto"/>
              <w:ind w:firstLineChars="178" w:firstLine="320"/>
              <w:rPr>
                <w:rFonts w:ascii="Times New Roman" w:hAnsi="Times New Roman"/>
                <w:sz w:val="18"/>
                <w:szCs w:val="18"/>
                <w:highlight w:val="yellow"/>
                <w:lang w:eastAsia="sk-SK"/>
              </w:rPr>
            </w:pPr>
            <w:r w:rsidRPr="004B2CD7">
              <w:rPr>
                <w:rFonts w:ascii="Times New Roman" w:hAnsi="Times New Roman"/>
                <w:sz w:val="18"/>
                <w:szCs w:val="18"/>
                <w:lang w:eastAsia="sk-SK"/>
              </w:rPr>
              <w:t>Exportno-importná banka (záruky)</w:t>
            </w:r>
          </w:p>
        </w:tc>
        <w:tc>
          <w:tcPr>
            <w:tcW w:w="992" w:type="dxa"/>
            <w:tcBorders>
              <w:top w:val="nil"/>
              <w:left w:val="nil"/>
              <w:bottom w:val="nil"/>
              <w:right w:val="nil"/>
            </w:tcBorders>
            <w:vAlign w:val="center"/>
          </w:tcPr>
          <w:p w14:paraId="32B20A44"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373 493</w:t>
            </w:r>
          </w:p>
        </w:tc>
        <w:tc>
          <w:tcPr>
            <w:tcW w:w="1134" w:type="dxa"/>
            <w:tcBorders>
              <w:top w:val="nil"/>
              <w:left w:val="nil"/>
              <w:bottom w:val="nil"/>
              <w:right w:val="nil"/>
            </w:tcBorders>
            <w:vAlign w:val="center"/>
          </w:tcPr>
          <w:p w14:paraId="7340A93E"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418 023</w:t>
            </w:r>
          </w:p>
        </w:tc>
        <w:tc>
          <w:tcPr>
            <w:tcW w:w="1276" w:type="dxa"/>
            <w:tcBorders>
              <w:top w:val="nil"/>
              <w:left w:val="nil"/>
              <w:bottom w:val="nil"/>
              <w:right w:val="nil"/>
            </w:tcBorders>
            <w:vAlign w:val="center"/>
          </w:tcPr>
          <w:p w14:paraId="12A9A7DD"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369 968</w:t>
            </w:r>
          </w:p>
        </w:tc>
        <w:tc>
          <w:tcPr>
            <w:tcW w:w="1276" w:type="dxa"/>
            <w:tcBorders>
              <w:top w:val="nil"/>
              <w:left w:val="nil"/>
              <w:bottom w:val="nil"/>
              <w:right w:val="nil"/>
            </w:tcBorders>
            <w:vAlign w:val="center"/>
          </w:tcPr>
          <w:p w14:paraId="119971F9"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-48 055</w:t>
            </w:r>
          </w:p>
        </w:tc>
      </w:tr>
      <w:tr w:rsidR="00472B33" w:rsidRPr="004B2CD7" w14:paraId="0CB6518E" w14:textId="77777777" w:rsidTr="00863ED9">
        <w:trPr>
          <w:trHeight w:val="284"/>
        </w:trPr>
        <w:tc>
          <w:tcPr>
            <w:tcW w:w="4395" w:type="dxa"/>
            <w:tcBorders>
              <w:top w:val="nil"/>
              <w:left w:val="nil"/>
              <w:bottom w:val="nil"/>
              <w:right w:val="nil"/>
            </w:tcBorders>
            <w:vAlign w:val="center"/>
          </w:tcPr>
          <w:p w14:paraId="5554E8B9" w14:textId="77777777" w:rsidR="00472B33" w:rsidRPr="004B2CD7" w:rsidRDefault="00472B33" w:rsidP="00472B33">
            <w:pPr>
              <w:spacing w:after="0" w:line="240" w:lineRule="auto"/>
              <w:ind w:firstLineChars="178" w:firstLine="320"/>
              <w:rPr>
                <w:rFonts w:ascii="Times New Roman" w:hAnsi="Times New Roman"/>
                <w:sz w:val="18"/>
                <w:szCs w:val="18"/>
                <w:lang w:eastAsia="sk-SK"/>
              </w:rPr>
            </w:pPr>
            <w:r w:rsidRPr="004B2CD7">
              <w:rPr>
                <w:rFonts w:ascii="Times New Roman" w:hAnsi="Times New Roman"/>
                <w:sz w:val="18"/>
                <w:szCs w:val="18"/>
                <w:lang w:eastAsia="sk-SK"/>
              </w:rPr>
              <w:t xml:space="preserve">Debitum, a. s. </w:t>
            </w:r>
          </w:p>
        </w:tc>
        <w:tc>
          <w:tcPr>
            <w:tcW w:w="992" w:type="dxa"/>
            <w:tcBorders>
              <w:top w:val="nil"/>
              <w:left w:val="nil"/>
              <w:bottom w:val="nil"/>
              <w:right w:val="nil"/>
            </w:tcBorders>
            <w:vAlign w:val="center"/>
          </w:tcPr>
          <w:p w14:paraId="3570E636"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323 820</w:t>
            </w:r>
          </w:p>
        </w:tc>
        <w:tc>
          <w:tcPr>
            <w:tcW w:w="1134" w:type="dxa"/>
            <w:tcBorders>
              <w:top w:val="nil"/>
              <w:left w:val="nil"/>
              <w:bottom w:val="nil"/>
              <w:right w:val="nil"/>
            </w:tcBorders>
            <w:vAlign w:val="center"/>
          </w:tcPr>
          <w:p w14:paraId="473C79C3"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0</w:t>
            </w:r>
          </w:p>
        </w:tc>
        <w:tc>
          <w:tcPr>
            <w:tcW w:w="1276" w:type="dxa"/>
            <w:tcBorders>
              <w:top w:val="nil"/>
              <w:left w:val="nil"/>
              <w:bottom w:val="nil"/>
              <w:right w:val="nil"/>
            </w:tcBorders>
            <w:vAlign w:val="center"/>
          </w:tcPr>
          <w:p w14:paraId="76180700"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0</w:t>
            </w:r>
          </w:p>
        </w:tc>
        <w:tc>
          <w:tcPr>
            <w:tcW w:w="1276" w:type="dxa"/>
            <w:tcBorders>
              <w:top w:val="nil"/>
              <w:left w:val="nil"/>
              <w:bottom w:val="nil"/>
              <w:right w:val="nil"/>
            </w:tcBorders>
            <w:vAlign w:val="center"/>
          </w:tcPr>
          <w:p w14:paraId="12D1910D"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0</w:t>
            </w:r>
          </w:p>
        </w:tc>
      </w:tr>
      <w:tr w:rsidR="00472B33" w:rsidRPr="004B2CD7" w14:paraId="56F114D4" w14:textId="77777777" w:rsidTr="00863ED9">
        <w:trPr>
          <w:trHeight w:val="284"/>
        </w:trPr>
        <w:tc>
          <w:tcPr>
            <w:tcW w:w="4395" w:type="dxa"/>
            <w:tcBorders>
              <w:top w:val="nil"/>
              <w:left w:val="nil"/>
              <w:bottom w:val="nil"/>
              <w:right w:val="nil"/>
            </w:tcBorders>
            <w:vAlign w:val="center"/>
          </w:tcPr>
          <w:p w14:paraId="4963600B" w14:textId="77777777" w:rsidR="00472B33" w:rsidRPr="004B2CD7" w:rsidRDefault="00472B33" w:rsidP="00472B33">
            <w:pPr>
              <w:spacing w:after="0" w:line="240" w:lineRule="auto"/>
              <w:ind w:firstLineChars="178" w:firstLine="320"/>
              <w:rPr>
                <w:rFonts w:ascii="Times New Roman" w:hAnsi="Times New Roman"/>
                <w:sz w:val="18"/>
                <w:szCs w:val="18"/>
                <w:lang w:eastAsia="sk-SK"/>
              </w:rPr>
            </w:pPr>
            <w:r w:rsidRPr="004B2CD7">
              <w:rPr>
                <w:rFonts w:ascii="Times New Roman" w:hAnsi="Times New Roman"/>
                <w:sz w:val="18"/>
                <w:szCs w:val="18"/>
                <w:lang w:eastAsia="sk-SK"/>
              </w:rPr>
              <w:t>Slovenský plynárenský priemysel (záruky)</w:t>
            </w:r>
          </w:p>
        </w:tc>
        <w:tc>
          <w:tcPr>
            <w:tcW w:w="992" w:type="dxa"/>
            <w:tcBorders>
              <w:top w:val="nil"/>
              <w:left w:val="nil"/>
              <w:bottom w:val="nil"/>
              <w:right w:val="nil"/>
            </w:tcBorders>
            <w:vAlign w:val="center"/>
          </w:tcPr>
          <w:p w14:paraId="04686D53"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224 093</w:t>
            </w:r>
          </w:p>
        </w:tc>
        <w:tc>
          <w:tcPr>
            <w:tcW w:w="1134" w:type="dxa"/>
            <w:tcBorders>
              <w:top w:val="nil"/>
              <w:left w:val="nil"/>
              <w:bottom w:val="nil"/>
              <w:right w:val="nil"/>
            </w:tcBorders>
            <w:vAlign w:val="center"/>
          </w:tcPr>
          <w:p w14:paraId="3536CF23"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225 660</w:t>
            </w:r>
          </w:p>
        </w:tc>
        <w:tc>
          <w:tcPr>
            <w:tcW w:w="1276" w:type="dxa"/>
            <w:tcBorders>
              <w:top w:val="nil"/>
              <w:left w:val="nil"/>
              <w:bottom w:val="nil"/>
              <w:right w:val="nil"/>
            </w:tcBorders>
            <w:vAlign w:val="center"/>
          </w:tcPr>
          <w:p w14:paraId="12B53E38"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254 379</w:t>
            </w:r>
          </w:p>
        </w:tc>
        <w:tc>
          <w:tcPr>
            <w:tcW w:w="1276" w:type="dxa"/>
            <w:tcBorders>
              <w:top w:val="nil"/>
              <w:left w:val="nil"/>
              <w:bottom w:val="nil"/>
              <w:right w:val="nil"/>
            </w:tcBorders>
            <w:vAlign w:val="center"/>
          </w:tcPr>
          <w:p w14:paraId="4E20AF47"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28 719</w:t>
            </w:r>
          </w:p>
        </w:tc>
      </w:tr>
      <w:tr w:rsidR="00472B33" w:rsidRPr="004B2CD7" w14:paraId="32E1A0EB" w14:textId="77777777" w:rsidTr="00863ED9">
        <w:trPr>
          <w:trHeight w:val="284"/>
        </w:trPr>
        <w:tc>
          <w:tcPr>
            <w:tcW w:w="4395" w:type="dxa"/>
            <w:tcBorders>
              <w:top w:val="nil"/>
              <w:left w:val="nil"/>
              <w:bottom w:val="nil"/>
              <w:right w:val="nil"/>
            </w:tcBorders>
            <w:vAlign w:val="center"/>
          </w:tcPr>
          <w:p w14:paraId="79B8E147" w14:textId="28A05156" w:rsidR="00472B33" w:rsidRPr="004B2CD7" w:rsidRDefault="00472B33" w:rsidP="00472B33">
            <w:pPr>
              <w:spacing w:after="0" w:line="240" w:lineRule="auto"/>
              <w:ind w:right="-348" w:firstLineChars="178" w:firstLine="320"/>
              <w:rPr>
                <w:rFonts w:ascii="Times New Roman" w:hAnsi="Times New Roman"/>
                <w:sz w:val="18"/>
                <w:szCs w:val="18"/>
                <w:lang w:eastAsia="sk-SK"/>
              </w:rPr>
            </w:pPr>
            <w:r w:rsidRPr="004B2CD7">
              <w:rPr>
                <w:rFonts w:ascii="Times New Roman" w:hAnsi="Times New Roman"/>
                <w:sz w:val="18"/>
                <w:szCs w:val="18"/>
                <w:lang w:eastAsia="sk-SK"/>
              </w:rPr>
              <w:t>Slovenská elektrizačná prenosová sústava, a. s.(záruky)</w:t>
            </w:r>
          </w:p>
        </w:tc>
        <w:tc>
          <w:tcPr>
            <w:tcW w:w="992" w:type="dxa"/>
            <w:tcBorders>
              <w:top w:val="nil"/>
              <w:left w:val="nil"/>
              <w:bottom w:val="nil"/>
              <w:right w:val="nil"/>
            </w:tcBorders>
            <w:vAlign w:val="center"/>
          </w:tcPr>
          <w:p w14:paraId="44A75FF2"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136 493</w:t>
            </w:r>
          </w:p>
        </w:tc>
        <w:tc>
          <w:tcPr>
            <w:tcW w:w="1134" w:type="dxa"/>
            <w:tcBorders>
              <w:top w:val="nil"/>
              <w:left w:val="nil"/>
              <w:bottom w:val="nil"/>
              <w:right w:val="nil"/>
            </w:tcBorders>
            <w:vAlign w:val="center"/>
          </w:tcPr>
          <w:p w14:paraId="6418AA31"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224 513</w:t>
            </w:r>
          </w:p>
        </w:tc>
        <w:tc>
          <w:tcPr>
            <w:tcW w:w="1276" w:type="dxa"/>
            <w:tcBorders>
              <w:top w:val="nil"/>
              <w:left w:val="nil"/>
              <w:bottom w:val="nil"/>
              <w:right w:val="nil"/>
            </w:tcBorders>
            <w:vAlign w:val="center"/>
          </w:tcPr>
          <w:p w14:paraId="21460D7E"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317 912</w:t>
            </w:r>
          </w:p>
        </w:tc>
        <w:tc>
          <w:tcPr>
            <w:tcW w:w="1276" w:type="dxa"/>
            <w:tcBorders>
              <w:top w:val="nil"/>
              <w:left w:val="nil"/>
              <w:bottom w:val="nil"/>
              <w:right w:val="nil"/>
            </w:tcBorders>
            <w:vAlign w:val="center"/>
          </w:tcPr>
          <w:p w14:paraId="17805FA3"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93 399</w:t>
            </w:r>
          </w:p>
        </w:tc>
      </w:tr>
      <w:tr w:rsidR="00472B33" w:rsidRPr="004B2CD7" w14:paraId="45D10ED1" w14:textId="77777777" w:rsidTr="00863ED9">
        <w:trPr>
          <w:trHeight w:val="284"/>
        </w:trPr>
        <w:tc>
          <w:tcPr>
            <w:tcW w:w="4395" w:type="dxa"/>
            <w:tcBorders>
              <w:top w:val="nil"/>
              <w:left w:val="nil"/>
              <w:bottom w:val="nil"/>
              <w:right w:val="nil"/>
            </w:tcBorders>
            <w:vAlign w:val="center"/>
          </w:tcPr>
          <w:p w14:paraId="14E733C3" w14:textId="77777777" w:rsidR="00472B33" w:rsidRPr="004B2CD7" w:rsidRDefault="00472B33" w:rsidP="00472B33">
            <w:pPr>
              <w:spacing w:after="0" w:line="240" w:lineRule="auto"/>
              <w:ind w:firstLineChars="178" w:firstLine="320"/>
              <w:rPr>
                <w:rFonts w:ascii="Times New Roman" w:hAnsi="Times New Roman"/>
                <w:sz w:val="18"/>
                <w:szCs w:val="18"/>
                <w:lang w:eastAsia="sk-SK"/>
              </w:rPr>
            </w:pPr>
            <w:r w:rsidRPr="004B2CD7">
              <w:rPr>
                <w:rFonts w:ascii="Times New Roman" w:hAnsi="Times New Roman"/>
                <w:sz w:val="18"/>
                <w:szCs w:val="18"/>
                <w:lang w:eastAsia="sk-SK"/>
              </w:rPr>
              <w:t>MH Manažment, a. s. (privatizovaný majetok)</w:t>
            </w:r>
          </w:p>
        </w:tc>
        <w:tc>
          <w:tcPr>
            <w:tcW w:w="992" w:type="dxa"/>
            <w:tcBorders>
              <w:top w:val="nil"/>
              <w:left w:val="nil"/>
              <w:bottom w:val="nil"/>
              <w:right w:val="nil"/>
            </w:tcBorders>
            <w:vAlign w:val="center"/>
          </w:tcPr>
          <w:p w14:paraId="04B971E5"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87 983</w:t>
            </w:r>
          </w:p>
        </w:tc>
        <w:tc>
          <w:tcPr>
            <w:tcW w:w="1134" w:type="dxa"/>
            <w:tcBorders>
              <w:top w:val="nil"/>
              <w:left w:val="nil"/>
              <w:bottom w:val="nil"/>
              <w:right w:val="nil"/>
            </w:tcBorders>
            <w:vAlign w:val="center"/>
          </w:tcPr>
          <w:p w14:paraId="59531E8E"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79 689</w:t>
            </w:r>
          </w:p>
        </w:tc>
        <w:tc>
          <w:tcPr>
            <w:tcW w:w="1276" w:type="dxa"/>
            <w:tcBorders>
              <w:top w:val="nil"/>
              <w:left w:val="nil"/>
              <w:bottom w:val="nil"/>
              <w:right w:val="nil"/>
            </w:tcBorders>
            <w:vAlign w:val="center"/>
          </w:tcPr>
          <w:p w14:paraId="64C8088C"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79 689</w:t>
            </w:r>
          </w:p>
        </w:tc>
        <w:tc>
          <w:tcPr>
            <w:tcW w:w="1276" w:type="dxa"/>
            <w:tcBorders>
              <w:top w:val="nil"/>
              <w:left w:val="nil"/>
              <w:bottom w:val="nil"/>
              <w:right w:val="nil"/>
            </w:tcBorders>
            <w:vAlign w:val="center"/>
          </w:tcPr>
          <w:p w14:paraId="68FCD054"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0</w:t>
            </w:r>
          </w:p>
        </w:tc>
      </w:tr>
      <w:tr w:rsidR="00472B33" w:rsidRPr="004B2CD7" w14:paraId="00414A07" w14:textId="77777777" w:rsidTr="00863ED9">
        <w:trPr>
          <w:trHeight w:val="284"/>
        </w:trPr>
        <w:tc>
          <w:tcPr>
            <w:tcW w:w="4395" w:type="dxa"/>
            <w:tcBorders>
              <w:top w:val="nil"/>
              <w:left w:val="nil"/>
              <w:bottom w:val="nil"/>
              <w:right w:val="nil"/>
            </w:tcBorders>
            <w:vAlign w:val="center"/>
          </w:tcPr>
          <w:p w14:paraId="00323BC6" w14:textId="77777777" w:rsidR="00472B33" w:rsidRPr="004B2CD7" w:rsidRDefault="00472B33" w:rsidP="00472B33">
            <w:pPr>
              <w:spacing w:after="0" w:line="240" w:lineRule="auto"/>
              <w:ind w:firstLineChars="178" w:firstLine="320"/>
              <w:rPr>
                <w:rFonts w:ascii="Times New Roman" w:hAnsi="Times New Roman"/>
                <w:sz w:val="18"/>
                <w:szCs w:val="18"/>
                <w:lang w:eastAsia="sk-SK"/>
              </w:rPr>
            </w:pPr>
            <w:r w:rsidRPr="004B2CD7">
              <w:rPr>
                <w:rFonts w:ascii="Times New Roman" w:hAnsi="Times New Roman"/>
                <w:sz w:val="18"/>
                <w:szCs w:val="18"/>
                <w:lang w:eastAsia="sk-SK"/>
              </w:rPr>
              <w:t>Environmentálny fond (záložné zmluvy)</w:t>
            </w:r>
          </w:p>
        </w:tc>
        <w:tc>
          <w:tcPr>
            <w:tcW w:w="992" w:type="dxa"/>
            <w:tcBorders>
              <w:top w:val="nil"/>
              <w:left w:val="nil"/>
              <w:bottom w:val="nil"/>
              <w:right w:val="nil"/>
            </w:tcBorders>
            <w:vAlign w:val="center"/>
          </w:tcPr>
          <w:p w14:paraId="222BD839"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61 415</w:t>
            </w:r>
          </w:p>
        </w:tc>
        <w:tc>
          <w:tcPr>
            <w:tcW w:w="1134" w:type="dxa"/>
            <w:tcBorders>
              <w:top w:val="nil"/>
              <w:left w:val="nil"/>
              <w:bottom w:val="nil"/>
              <w:right w:val="nil"/>
            </w:tcBorders>
            <w:vAlign w:val="center"/>
          </w:tcPr>
          <w:p w14:paraId="0712CC84"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55 304</w:t>
            </w:r>
          </w:p>
        </w:tc>
        <w:tc>
          <w:tcPr>
            <w:tcW w:w="1276" w:type="dxa"/>
            <w:tcBorders>
              <w:top w:val="nil"/>
              <w:left w:val="nil"/>
              <w:bottom w:val="nil"/>
              <w:right w:val="nil"/>
            </w:tcBorders>
            <w:vAlign w:val="center"/>
          </w:tcPr>
          <w:p w14:paraId="773CA297"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36 267</w:t>
            </w:r>
          </w:p>
        </w:tc>
        <w:tc>
          <w:tcPr>
            <w:tcW w:w="1276" w:type="dxa"/>
            <w:tcBorders>
              <w:top w:val="nil"/>
              <w:left w:val="nil"/>
              <w:bottom w:val="nil"/>
              <w:right w:val="nil"/>
            </w:tcBorders>
            <w:vAlign w:val="center"/>
          </w:tcPr>
          <w:p w14:paraId="6C36755C" w14:textId="77777777" w:rsidR="00472B33" w:rsidRPr="004B2CD7" w:rsidRDefault="00472B33" w:rsidP="00472B33">
            <w:pPr>
              <w:spacing w:after="0" w:line="240" w:lineRule="auto"/>
              <w:jc w:val="right"/>
              <w:rPr>
                <w:rFonts w:ascii="Times New Roman" w:hAnsi="Times New Roman"/>
                <w:sz w:val="18"/>
                <w:szCs w:val="18"/>
                <w:lang w:eastAsia="sk-SK"/>
              </w:rPr>
            </w:pPr>
            <w:r w:rsidRPr="004B2CD7">
              <w:rPr>
                <w:rFonts w:ascii="Times New Roman" w:hAnsi="Times New Roman"/>
                <w:sz w:val="18"/>
                <w:szCs w:val="18"/>
                <w:lang w:eastAsia="sk-SK"/>
              </w:rPr>
              <w:t>-19 037</w:t>
            </w:r>
          </w:p>
        </w:tc>
      </w:tr>
      <w:tr w:rsidR="00472B33" w:rsidRPr="004B2CD7" w14:paraId="6CF1BA78" w14:textId="77777777" w:rsidTr="00863ED9">
        <w:trPr>
          <w:trHeight w:val="284"/>
        </w:trPr>
        <w:tc>
          <w:tcPr>
            <w:tcW w:w="4395" w:type="dxa"/>
            <w:tcBorders>
              <w:top w:val="single" w:sz="4" w:space="0" w:color="auto"/>
              <w:left w:val="nil"/>
              <w:bottom w:val="single" w:sz="4" w:space="0" w:color="auto"/>
              <w:right w:val="nil"/>
            </w:tcBorders>
            <w:shd w:val="clear" w:color="auto" w:fill="auto"/>
            <w:noWrap/>
            <w:vAlign w:val="center"/>
            <w:hideMark/>
          </w:tcPr>
          <w:p w14:paraId="63C1AEE8" w14:textId="77777777" w:rsidR="00472B33" w:rsidRPr="004B2CD7" w:rsidRDefault="00472B33" w:rsidP="00472B33">
            <w:pPr>
              <w:spacing w:after="0" w:line="240" w:lineRule="auto"/>
              <w:rPr>
                <w:rFonts w:ascii="Times New Roman" w:hAnsi="Times New Roman"/>
                <w:b/>
                <w:bCs/>
                <w:color w:val="FF0000"/>
                <w:sz w:val="18"/>
                <w:szCs w:val="18"/>
                <w:lang w:eastAsia="sk-SK"/>
              </w:rPr>
            </w:pPr>
            <w:r w:rsidRPr="004B2CD7">
              <w:rPr>
                <w:rFonts w:ascii="Times New Roman" w:hAnsi="Times New Roman"/>
                <w:b/>
                <w:bCs/>
                <w:sz w:val="18"/>
                <w:szCs w:val="18"/>
                <w:lang w:eastAsia="sk-SK"/>
              </w:rPr>
              <w:t>Spolu</w:t>
            </w:r>
          </w:p>
        </w:tc>
        <w:tc>
          <w:tcPr>
            <w:tcW w:w="992" w:type="dxa"/>
            <w:tcBorders>
              <w:top w:val="single" w:sz="4" w:space="0" w:color="auto"/>
              <w:left w:val="nil"/>
              <w:bottom w:val="single" w:sz="4" w:space="0" w:color="auto"/>
              <w:right w:val="nil"/>
            </w:tcBorders>
            <w:vAlign w:val="center"/>
          </w:tcPr>
          <w:p w14:paraId="185FD540" w14:textId="77777777" w:rsidR="00472B33" w:rsidRPr="004B2CD7" w:rsidRDefault="00472B33" w:rsidP="00472B33">
            <w:pPr>
              <w:spacing w:after="0" w:line="240" w:lineRule="auto"/>
              <w:jc w:val="right"/>
              <w:rPr>
                <w:rFonts w:ascii="Times New Roman" w:hAnsi="Times New Roman"/>
                <w:b/>
                <w:bCs/>
                <w:sz w:val="18"/>
                <w:szCs w:val="18"/>
                <w:lang w:eastAsia="sk-SK"/>
              </w:rPr>
            </w:pPr>
            <w:r w:rsidRPr="004B2CD7">
              <w:rPr>
                <w:rFonts w:ascii="Times New Roman" w:hAnsi="Times New Roman"/>
                <w:b/>
                <w:bCs/>
                <w:sz w:val="18"/>
                <w:szCs w:val="18"/>
                <w:lang w:eastAsia="sk-SK"/>
              </w:rPr>
              <w:t>9 291 726</w:t>
            </w:r>
          </w:p>
        </w:tc>
        <w:tc>
          <w:tcPr>
            <w:tcW w:w="1134" w:type="dxa"/>
            <w:tcBorders>
              <w:top w:val="single" w:sz="4" w:space="0" w:color="auto"/>
              <w:left w:val="nil"/>
              <w:bottom w:val="single" w:sz="4" w:space="0" w:color="auto"/>
              <w:right w:val="nil"/>
            </w:tcBorders>
            <w:vAlign w:val="center"/>
          </w:tcPr>
          <w:p w14:paraId="2F84A762" w14:textId="77777777" w:rsidR="00472B33" w:rsidRPr="004B2CD7" w:rsidRDefault="00472B33" w:rsidP="00472B33">
            <w:pPr>
              <w:spacing w:after="0" w:line="240" w:lineRule="auto"/>
              <w:jc w:val="right"/>
              <w:rPr>
                <w:rFonts w:ascii="Times New Roman" w:hAnsi="Times New Roman"/>
                <w:b/>
                <w:bCs/>
                <w:sz w:val="18"/>
                <w:szCs w:val="18"/>
                <w:lang w:eastAsia="sk-SK"/>
              </w:rPr>
            </w:pPr>
            <w:r w:rsidRPr="004B2CD7">
              <w:rPr>
                <w:rFonts w:ascii="Times New Roman" w:hAnsi="Times New Roman"/>
                <w:b/>
                <w:bCs/>
                <w:sz w:val="18"/>
                <w:szCs w:val="18"/>
                <w:lang w:eastAsia="sk-SK"/>
              </w:rPr>
              <w:t>8 557 466</w:t>
            </w:r>
          </w:p>
        </w:tc>
        <w:tc>
          <w:tcPr>
            <w:tcW w:w="1276" w:type="dxa"/>
            <w:tcBorders>
              <w:top w:val="single" w:sz="4" w:space="0" w:color="auto"/>
              <w:left w:val="nil"/>
              <w:bottom w:val="single" w:sz="4" w:space="0" w:color="auto"/>
              <w:right w:val="nil"/>
            </w:tcBorders>
            <w:shd w:val="clear" w:color="auto" w:fill="auto"/>
            <w:vAlign w:val="center"/>
          </w:tcPr>
          <w:p w14:paraId="0F1617BF" w14:textId="77777777" w:rsidR="00472B33" w:rsidRPr="004B2CD7" w:rsidRDefault="00472B33" w:rsidP="00472B33">
            <w:pPr>
              <w:spacing w:after="0" w:line="240" w:lineRule="auto"/>
              <w:jc w:val="right"/>
              <w:rPr>
                <w:rFonts w:ascii="Times New Roman" w:hAnsi="Times New Roman"/>
                <w:b/>
                <w:bCs/>
                <w:sz w:val="18"/>
                <w:szCs w:val="18"/>
                <w:lang w:eastAsia="sk-SK"/>
              </w:rPr>
            </w:pPr>
            <w:r w:rsidRPr="004B2CD7">
              <w:rPr>
                <w:rFonts w:ascii="Times New Roman" w:hAnsi="Times New Roman"/>
                <w:b/>
                <w:bCs/>
                <w:sz w:val="18"/>
                <w:szCs w:val="18"/>
                <w:lang w:eastAsia="sk-SK"/>
              </w:rPr>
              <w:t>8 259 040</w:t>
            </w:r>
          </w:p>
        </w:tc>
        <w:tc>
          <w:tcPr>
            <w:tcW w:w="1276" w:type="dxa"/>
            <w:tcBorders>
              <w:top w:val="single" w:sz="4" w:space="0" w:color="auto"/>
              <w:left w:val="nil"/>
              <w:bottom w:val="single" w:sz="4" w:space="0" w:color="auto"/>
              <w:right w:val="nil"/>
            </w:tcBorders>
            <w:shd w:val="clear" w:color="auto" w:fill="auto"/>
            <w:vAlign w:val="center"/>
          </w:tcPr>
          <w:p w14:paraId="5D99B641" w14:textId="77777777" w:rsidR="00472B33" w:rsidRPr="004B2CD7" w:rsidRDefault="00472B33" w:rsidP="00472B33">
            <w:pPr>
              <w:spacing w:after="0" w:line="240" w:lineRule="auto"/>
              <w:jc w:val="right"/>
              <w:rPr>
                <w:rFonts w:ascii="Times New Roman" w:hAnsi="Times New Roman"/>
                <w:b/>
                <w:bCs/>
                <w:sz w:val="18"/>
                <w:szCs w:val="18"/>
                <w:lang w:eastAsia="sk-SK"/>
              </w:rPr>
            </w:pPr>
            <w:r w:rsidRPr="004B2CD7">
              <w:rPr>
                <w:rFonts w:ascii="Times New Roman" w:hAnsi="Times New Roman"/>
                <w:b/>
                <w:bCs/>
                <w:sz w:val="18"/>
                <w:szCs w:val="18"/>
                <w:lang w:eastAsia="sk-SK"/>
              </w:rPr>
              <w:t>-298 426</w:t>
            </w:r>
          </w:p>
        </w:tc>
      </w:tr>
    </w:tbl>
    <w:p w14:paraId="0FF1AF01" w14:textId="77777777" w:rsidR="007C49AD" w:rsidRPr="00435E61" w:rsidRDefault="007C49AD" w:rsidP="007C49AD">
      <w:pPr>
        <w:spacing w:after="120" w:line="240" w:lineRule="auto"/>
        <w:jc w:val="right"/>
        <w:rPr>
          <w:rFonts w:ascii="Times New Roman" w:hAnsi="Times New Roman"/>
          <w:szCs w:val="22"/>
        </w:rPr>
      </w:pPr>
      <w:r w:rsidRPr="00435E61">
        <w:rPr>
          <w:rFonts w:ascii="Times New Roman" w:hAnsi="Times New Roman"/>
          <w:sz w:val="18"/>
          <w:szCs w:val="18"/>
        </w:rPr>
        <w:t>Zdroj: Účtovné závierky subjektov</w:t>
      </w:r>
      <w:r>
        <w:rPr>
          <w:rFonts w:ascii="Times New Roman" w:hAnsi="Times New Roman"/>
          <w:sz w:val="18"/>
          <w:szCs w:val="18"/>
        </w:rPr>
        <w:t>, Centrálny konsolidačný systém</w:t>
      </w:r>
      <w:r w:rsidRPr="00435E61">
        <w:rPr>
          <w:rFonts w:ascii="Times New Roman" w:hAnsi="Times New Roman"/>
          <w:sz w:val="18"/>
          <w:szCs w:val="18"/>
        </w:rPr>
        <w:t xml:space="preserve"> a databáza MF SR</w:t>
      </w:r>
      <w:r w:rsidRPr="00435E61">
        <w:rPr>
          <w:rFonts w:ascii="Times New Roman" w:hAnsi="Times New Roman"/>
          <w:szCs w:val="22"/>
        </w:rPr>
        <w:t xml:space="preserve"> </w:t>
      </w:r>
    </w:p>
    <w:p w14:paraId="308D1489" w14:textId="7ECADBB7" w:rsidR="00D91C3D" w:rsidRPr="00C66720" w:rsidRDefault="007154B9" w:rsidP="007154B9">
      <w:pPr>
        <w:pStyle w:val="Obyajntext"/>
        <w:spacing w:after="120"/>
        <w:jc w:val="both"/>
        <w:rPr>
          <w:rFonts w:ascii="Times New Roman" w:hAnsi="Times New Roman"/>
        </w:rPr>
      </w:pPr>
      <w:r w:rsidRPr="00C66720">
        <w:rPr>
          <w:rFonts w:ascii="Times New Roman" w:hAnsi="Times New Roman"/>
          <w:b/>
        </w:rPr>
        <w:lastRenderedPageBreak/>
        <w:t>Z ostatných položiek podmienených aktív</w:t>
      </w:r>
      <w:r w:rsidRPr="00C66720">
        <w:rPr>
          <w:rFonts w:ascii="Times New Roman" w:hAnsi="Times New Roman"/>
        </w:rPr>
        <w:t xml:space="preserve"> je významná hodnota zabezpečenia pohľadávok z poskytnutých úverov a poskytnutých záruk </w:t>
      </w:r>
      <w:r w:rsidRPr="00C66720">
        <w:rPr>
          <w:rFonts w:ascii="Times New Roman" w:hAnsi="Times New Roman"/>
          <w:u w:val="single"/>
        </w:rPr>
        <w:t>Exportno-importnej banky, a.s.</w:t>
      </w:r>
      <w:r w:rsidRPr="00C66720">
        <w:rPr>
          <w:rFonts w:ascii="Times New Roman" w:hAnsi="Times New Roman"/>
        </w:rPr>
        <w:t xml:space="preserve"> v hodnote </w:t>
      </w:r>
      <w:r w:rsidR="00D91C3D" w:rsidRPr="00C66720">
        <w:rPr>
          <w:rFonts w:ascii="Times New Roman" w:hAnsi="Times New Roman"/>
        </w:rPr>
        <w:t>369 968</w:t>
      </w:r>
      <w:r w:rsidRPr="00C66720">
        <w:rPr>
          <w:rFonts w:ascii="Times New Roman" w:hAnsi="Times New Roman"/>
        </w:rPr>
        <w:t xml:space="preserve"> tis. eur. Prijaté záruky a ručenie tvorilo </w:t>
      </w:r>
      <w:r w:rsidR="00D91C3D" w:rsidRPr="00C66720">
        <w:rPr>
          <w:rFonts w:ascii="Times New Roman" w:hAnsi="Times New Roman"/>
        </w:rPr>
        <w:t>100 577</w:t>
      </w:r>
      <w:r w:rsidRPr="00C66720">
        <w:rPr>
          <w:rFonts w:ascii="Times New Roman" w:hAnsi="Times New Roman"/>
        </w:rPr>
        <w:t xml:space="preserve"> tis. eur, záruky na nehnuteľnosti </w:t>
      </w:r>
      <w:r w:rsidR="00D91C3D" w:rsidRPr="00C66720">
        <w:rPr>
          <w:rFonts w:ascii="Times New Roman" w:hAnsi="Times New Roman"/>
        </w:rPr>
        <w:t>192 270</w:t>
      </w:r>
      <w:r w:rsidRPr="00C66720">
        <w:rPr>
          <w:rFonts w:ascii="Times New Roman" w:hAnsi="Times New Roman"/>
        </w:rPr>
        <w:t xml:space="preserve"> tis. eur, ostatné záruky </w:t>
      </w:r>
      <w:r w:rsidR="00D91C3D" w:rsidRPr="00C66720">
        <w:rPr>
          <w:rFonts w:ascii="Times New Roman" w:hAnsi="Times New Roman"/>
        </w:rPr>
        <w:t>77 121</w:t>
      </w:r>
      <w:r w:rsidRPr="00C66720">
        <w:rPr>
          <w:rFonts w:ascii="Times New Roman" w:hAnsi="Times New Roman"/>
        </w:rPr>
        <w:t xml:space="preserve"> tis. eur. Medziročný </w:t>
      </w:r>
      <w:r w:rsidR="00D91C3D" w:rsidRPr="00C66720">
        <w:rPr>
          <w:rFonts w:ascii="Times New Roman" w:hAnsi="Times New Roman"/>
        </w:rPr>
        <w:t xml:space="preserve">pokles </w:t>
      </w:r>
      <w:r w:rsidRPr="00C66720">
        <w:rPr>
          <w:rFonts w:ascii="Times New Roman" w:hAnsi="Times New Roman"/>
        </w:rPr>
        <w:t xml:space="preserve">bol spôsobený </w:t>
      </w:r>
      <w:r w:rsidR="00D91C3D" w:rsidRPr="00C66720">
        <w:rPr>
          <w:rFonts w:ascii="Times New Roman" w:hAnsi="Times New Roman"/>
        </w:rPr>
        <w:t>poklesom prijatých záruk a ručenia o 31 903 tis. eur a poklesom zabezpečenia nehnuteľným majetok o 19 828 tis. eur za súčasného nárastu</w:t>
      </w:r>
      <w:r w:rsidR="008755BD" w:rsidRPr="00C66720">
        <w:rPr>
          <w:rFonts w:ascii="Times New Roman" w:hAnsi="Times New Roman"/>
        </w:rPr>
        <w:t xml:space="preserve"> prijatých iných záruk o 3 675 tis. eur.</w:t>
      </w:r>
    </w:p>
    <w:p w14:paraId="65064659" w14:textId="2798AB58" w:rsidR="0051088A" w:rsidRPr="00C66720" w:rsidRDefault="0051088A" w:rsidP="0051088A">
      <w:pPr>
        <w:spacing w:after="120" w:line="240" w:lineRule="auto"/>
        <w:jc w:val="both"/>
        <w:rPr>
          <w:rFonts w:ascii="Times New Roman" w:hAnsi="Times New Roman"/>
          <w:szCs w:val="22"/>
        </w:rPr>
      </w:pPr>
      <w:r w:rsidRPr="00C66720">
        <w:rPr>
          <w:rFonts w:ascii="Times New Roman" w:hAnsi="Times New Roman"/>
          <w:szCs w:val="22"/>
          <w:u w:val="single"/>
        </w:rPr>
        <w:t>Skupina Slovenskej elektrizačnej prenosovej sústavy, a. s. (SEPS, a. s.)</w:t>
      </w:r>
      <w:r w:rsidRPr="00C66720">
        <w:rPr>
          <w:rFonts w:ascii="Times New Roman" w:hAnsi="Times New Roman"/>
          <w:szCs w:val="22"/>
        </w:rPr>
        <w:t xml:space="preserve"> vykázala v konsolidovanej účtovnej závierke ako podmienené aktíva sumu prijatých bankových záruk vo výške 317 912 tis. eur. Bankové záruky sú uzatvárané v prospech skupiny SEPS, a. s. účastníkmi krátkodobého trhu s elektrickou energiou, ktoré chránia skupinu pred ich prípadnou platobnou neschopnosťou.</w:t>
      </w:r>
    </w:p>
    <w:p w14:paraId="26F227C3" w14:textId="60F94E82" w:rsidR="00BA0FD3" w:rsidRPr="00C66720" w:rsidRDefault="00BA0FD3" w:rsidP="0051088A">
      <w:pPr>
        <w:spacing w:after="120" w:line="240" w:lineRule="auto"/>
        <w:jc w:val="both"/>
        <w:rPr>
          <w:rFonts w:ascii="Times New Roman" w:hAnsi="Times New Roman"/>
          <w:szCs w:val="22"/>
        </w:rPr>
      </w:pPr>
      <w:r w:rsidRPr="00477562">
        <w:rPr>
          <w:rFonts w:ascii="Times New Roman" w:hAnsi="Times New Roman"/>
          <w:szCs w:val="22"/>
          <w:u w:val="single"/>
        </w:rPr>
        <w:t>Spoločnosť Debitum, a.s.</w:t>
      </w:r>
      <w:r w:rsidRPr="00C66720">
        <w:rPr>
          <w:rFonts w:ascii="Times New Roman" w:hAnsi="Times New Roman"/>
          <w:szCs w:val="22"/>
        </w:rPr>
        <w:t xml:space="preserve"> vykázala v účtovnej závierke ako podmienené aktívum nominálnu hodnotu pohľadávok odkúpených od Sociálnej poisťovne v celkovej hodnote 303 917 tis. eur, ktoré následne bude započítavať so záväzkami zdravotníckych zariadení na základe koncepcie oddlžovania schválenej vládou uznesením č. 757 z roku 2020.</w:t>
      </w:r>
      <w:r w:rsidR="002E5A4A" w:rsidRPr="00C66720">
        <w:rPr>
          <w:rFonts w:ascii="Times New Roman" w:hAnsi="Times New Roman"/>
          <w:szCs w:val="22"/>
        </w:rPr>
        <w:t xml:space="preserve"> Keďže spoločnosť nebude vyvíjať žiadne aktivity smerom k vymoženiu týchto pohľadávok, nie je možné ich vykazovať ako podmienené aktívum pre účely čistého bohatstva. Následne nie sú ani predmetom vzájomnej konsolidácie.</w:t>
      </w:r>
    </w:p>
    <w:p w14:paraId="512B1943" w14:textId="0E676CEC" w:rsidR="00333318" w:rsidRPr="00C66720" w:rsidRDefault="00333318" w:rsidP="00333318">
      <w:pPr>
        <w:spacing w:after="120" w:line="240" w:lineRule="auto"/>
        <w:jc w:val="both"/>
        <w:rPr>
          <w:rFonts w:ascii="Times New Roman" w:hAnsi="Times New Roman"/>
          <w:szCs w:val="22"/>
        </w:rPr>
      </w:pPr>
      <w:r w:rsidRPr="00C66720">
        <w:rPr>
          <w:rFonts w:ascii="Times New Roman" w:hAnsi="Times New Roman"/>
          <w:szCs w:val="22"/>
          <w:u w:val="single"/>
        </w:rPr>
        <w:t>Slovenský plynárenský priemysel, a. s. (SPP, a. s.)</w:t>
      </w:r>
      <w:r w:rsidRPr="00C66720">
        <w:rPr>
          <w:rFonts w:ascii="Times New Roman" w:hAnsi="Times New Roman"/>
          <w:szCs w:val="22"/>
        </w:rPr>
        <w:t xml:space="preserve"> vykazuje poskytnuté záruky, ktoré vystavili materské spoločnosti zákazníkov. SPP, a.s. si tak v prípade neplnenia povinností zo strany zákazníkov môže uplatňovať plnenie u ich materských spoločností. Tieto záruky zaznamenali medziročný nárast </w:t>
      </w:r>
      <w:r w:rsidRPr="00C66720">
        <w:rPr>
          <w:rFonts w:ascii="Times New Roman" w:hAnsi="Times New Roman"/>
          <w:szCs w:val="22"/>
        </w:rPr>
        <w:br/>
        <w:t>o </w:t>
      </w:r>
      <w:r w:rsidR="006940EF" w:rsidRPr="00C66720">
        <w:rPr>
          <w:rFonts w:ascii="Times New Roman" w:hAnsi="Times New Roman"/>
          <w:szCs w:val="22"/>
        </w:rPr>
        <w:t>28 720</w:t>
      </w:r>
      <w:r w:rsidRPr="00C66720">
        <w:rPr>
          <w:rFonts w:ascii="Times New Roman" w:hAnsi="Times New Roman"/>
          <w:szCs w:val="22"/>
        </w:rPr>
        <w:t xml:space="preserve"> tis. eur.</w:t>
      </w:r>
    </w:p>
    <w:p w14:paraId="26D7CA09" w14:textId="77777777" w:rsidR="008477A2" w:rsidRPr="00C66720" w:rsidRDefault="008477A2" w:rsidP="008477A2">
      <w:pPr>
        <w:spacing w:after="120" w:line="240" w:lineRule="auto"/>
        <w:jc w:val="both"/>
        <w:rPr>
          <w:rFonts w:ascii="Times New Roman" w:hAnsi="Times New Roman"/>
          <w:szCs w:val="22"/>
          <w:u w:val="single"/>
        </w:rPr>
      </w:pPr>
      <w:r w:rsidRPr="00C66720">
        <w:rPr>
          <w:rFonts w:ascii="Times New Roman" w:hAnsi="Times New Roman"/>
          <w:szCs w:val="22"/>
          <w:u w:val="single"/>
        </w:rPr>
        <w:t>MH Manažment, a.s.</w:t>
      </w:r>
      <w:r w:rsidRPr="00C66720">
        <w:rPr>
          <w:rFonts w:ascii="Times New Roman" w:hAnsi="Times New Roman"/>
          <w:szCs w:val="22"/>
        </w:rPr>
        <w:t xml:space="preserve"> vykazuje podmienené aktívum zo zmluvy o predaji štátneho podielu v Slovak Telekom, a.s. Platba vo výške 79 689 tis. eur je uložená a viazaná na účte, pričom vyplatenie týchto prostriedkov závisí od ukončenia Sporu vo veci hlasových služieb a Sporu s Európskou komisiou. </w:t>
      </w:r>
    </w:p>
    <w:p w14:paraId="5D9A949F" w14:textId="77777777" w:rsidR="00483B90" w:rsidRPr="00C66720" w:rsidRDefault="00483B90" w:rsidP="00483B90">
      <w:pPr>
        <w:spacing w:after="120" w:line="240" w:lineRule="auto"/>
        <w:jc w:val="both"/>
        <w:rPr>
          <w:rFonts w:ascii="Times New Roman" w:hAnsi="Times New Roman"/>
          <w:szCs w:val="22"/>
        </w:rPr>
      </w:pPr>
      <w:r w:rsidRPr="00C66720">
        <w:rPr>
          <w:rFonts w:ascii="Times New Roman" w:hAnsi="Times New Roman"/>
          <w:szCs w:val="22"/>
          <w:u w:val="single"/>
        </w:rPr>
        <w:t>Environmentálny fond</w:t>
      </w:r>
      <w:r w:rsidRPr="00C66720">
        <w:rPr>
          <w:rFonts w:ascii="Times New Roman" w:hAnsi="Times New Roman"/>
          <w:szCs w:val="22"/>
        </w:rPr>
        <w:t xml:space="preserve"> eviduje potenciálne plnenie zo záložných zmlúv uzavretých bývalým Recyklačným fondom, ktorého činnosť prešla na Environmentálny fond v decembri 2017. Recyklačný fond poskytoval subjektom dotácie napríklad na separáciu odpadov (plastov, železa a podobne) na viacročné obdobie a v prípade, že subjekt nesplnil podmienky pre dotáciu, bol povinný vrátiť dotáciu aj so zmluvnou pokutou. Vo výške dotácie a možnej pokuty boli uzatvárané záložné zmluvy a ručiteľské vyhlásenia.</w:t>
      </w:r>
    </w:p>
    <w:p w14:paraId="0B5EA30B" w14:textId="77777777" w:rsidR="00477562" w:rsidRPr="00477562" w:rsidRDefault="00477562" w:rsidP="00477562">
      <w:pPr>
        <w:spacing w:after="120" w:line="240" w:lineRule="auto"/>
        <w:jc w:val="both"/>
        <w:rPr>
          <w:rFonts w:ascii="Times New Roman" w:hAnsi="Times New Roman"/>
          <w:szCs w:val="22"/>
        </w:rPr>
      </w:pPr>
      <w:r w:rsidRPr="00477562">
        <w:rPr>
          <w:rFonts w:ascii="Times New Roman" w:hAnsi="Times New Roman"/>
          <w:szCs w:val="22"/>
        </w:rPr>
        <w:t>Pre koncept čistého bohatstva boli celkové podmienené aktíva verejného sektora upravené o nasledovné položky:</w:t>
      </w:r>
    </w:p>
    <w:p w14:paraId="48A19AA9" w14:textId="77777777" w:rsidR="00477562" w:rsidRPr="00477562" w:rsidRDefault="00477562" w:rsidP="00477562">
      <w:pPr>
        <w:spacing w:after="120" w:line="240" w:lineRule="auto"/>
        <w:ind w:left="709"/>
        <w:jc w:val="both"/>
        <w:rPr>
          <w:rFonts w:ascii="Times New Roman" w:hAnsi="Times New Roman"/>
          <w:szCs w:val="22"/>
        </w:rPr>
      </w:pPr>
      <w:r w:rsidRPr="00477562">
        <w:rPr>
          <w:rFonts w:ascii="Times New Roman" w:hAnsi="Times New Roman"/>
          <w:szCs w:val="22"/>
        </w:rPr>
        <w:t xml:space="preserve">-  časť vyčíslenej spornej sumy, o ktorú sa súdi Vodohospodárska výstavby, š. p. so Slovenskými elektrárňami, a. s. (138 643 tis. eur). Táto časť zodpovedá 34 % vlastníckemu podielu štátu v SE, a. s.  Z pohľadu verejného sektora ide o vzájomnú konsolidáciu. </w:t>
      </w:r>
    </w:p>
    <w:p w14:paraId="7AB7320A" w14:textId="77777777" w:rsidR="00477562" w:rsidRPr="00477562" w:rsidRDefault="00477562" w:rsidP="00477562">
      <w:pPr>
        <w:spacing w:after="120" w:line="240" w:lineRule="auto"/>
        <w:ind w:firstLine="709"/>
        <w:jc w:val="both"/>
        <w:rPr>
          <w:rFonts w:ascii="Times New Roman" w:hAnsi="Times New Roman"/>
          <w:szCs w:val="22"/>
        </w:rPr>
      </w:pPr>
      <w:r w:rsidRPr="00477562">
        <w:rPr>
          <w:rFonts w:ascii="Times New Roman" w:hAnsi="Times New Roman"/>
          <w:szCs w:val="22"/>
        </w:rPr>
        <w:t>- záruky v prospech EXIM Banky (369 968 tis. eur)</w:t>
      </w:r>
    </w:p>
    <w:p w14:paraId="61079202" w14:textId="77777777" w:rsidR="00477562" w:rsidRPr="00477562" w:rsidRDefault="00477562" w:rsidP="00477562">
      <w:pPr>
        <w:spacing w:after="120" w:line="240" w:lineRule="auto"/>
        <w:ind w:firstLine="709"/>
        <w:jc w:val="both"/>
        <w:rPr>
          <w:rFonts w:ascii="Times New Roman" w:hAnsi="Times New Roman"/>
          <w:szCs w:val="22"/>
        </w:rPr>
      </w:pPr>
      <w:r w:rsidRPr="00477562">
        <w:rPr>
          <w:rFonts w:ascii="Times New Roman" w:hAnsi="Times New Roman"/>
          <w:szCs w:val="22"/>
        </w:rPr>
        <w:t>- záruky v prospech SEPS, a.s. (317 912 tis. eur)</w:t>
      </w:r>
    </w:p>
    <w:p w14:paraId="7A79319D" w14:textId="77777777" w:rsidR="00477562" w:rsidRPr="00477562" w:rsidRDefault="00477562" w:rsidP="00477562">
      <w:pPr>
        <w:spacing w:after="120" w:line="240" w:lineRule="auto"/>
        <w:ind w:firstLine="709"/>
        <w:jc w:val="both"/>
        <w:rPr>
          <w:rFonts w:ascii="Times New Roman" w:hAnsi="Times New Roman"/>
          <w:szCs w:val="22"/>
        </w:rPr>
      </w:pPr>
      <w:r w:rsidRPr="00477562">
        <w:rPr>
          <w:rFonts w:ascii="Times New Roman" w:hAnsi="Times New Roman"/>
          <w:szCs w:val="22"/>
        </w:rPr>
        <w:t>- záruky v prospech SPP, a.s. (254 379 tis. eur)</w:t>
      </w:r>
    </w:p>
    <w:p w14:paraId="16713A8A" w14:textId="77777777" w:rsidR="00477562" w:rsidRPr="00477562" w:rsidRDefault="00477562" w:rsidP="00477562">
      <w:pPr>
        <w:spacing w:after="120" w:line="240" w:lineRule="auto"/>
        <w:ind w:firstLine="709"/>
        <w:jc w:val="both"/>
        <w:rPr>
          <w:rFonts w:ascii="Times New Roman" w:hAnsi="Times New Roman"/>
          <w:szCs w:val="22"/>
        </w:rPr>
      </w:pPr>
      <w:r w:rsidRPr="00477562">
        <w:rPr>
          <w:rFonts w:ascii="Times New Roman" w:hAnsi="Times New Roman"/>
          <w:szCs w:val="22"/>
        </w:rPr>
        <w:t>- záruky v prospech SZRB, a.s. (86 843 tis. eur)</w:t>
      </w:r>
    </w:p>
    <w:p w14:paraId="10DF8632" w14:textId="77777777" w:rsidR="00477562" w:rsidRPr="00477562" w:rsidRDefault="00477562" w:rsidP="00477562">
      <w:pPr>
        <w:spacing w:after="120" w:line="240" w:lineRule="auto"/>
        <w:jc w:val="both"/>
        <w:rPr>
          <w:rFonts w:ascii="Times New Roman" w:hAnsi="Times New Roman"/>
          <w:szCs w:val="22"/>
        </w:rPr>
      </w:pPr>
      <w:r w:rsidRPr="00477562">
        <w:rPr>
          <w:rFonts w:ascii="Times New Roman" w:hAnsi="Times New Roman"/>
          <w:szCs w:val="22"/>
        </w:rPr>
        <w:t>V týchto prípadoch, ak boli záruky realizované, vlastné imanie a čisté bohatstvo by sa nezmenilo, pretože príjmy z realizovaných záruk by len nahradili existujúce bilančné aktíva (úvery u EXIM banky a obchodné pohľadávky u SEPS a SPP). Tieto podmienené aktíva teda nepredstavujú potenciálny zdroj zvýšenia vlastného imania verejného sektora a tým ani čistého bohatstva.</w:t>
      </w:r>
    </w:p>
    <w:p w14:paraId="6A2BD945" w14:textId="77777777" w:rsidR="00477562" w:rsidRPr="00477562" w:rsidRDefault="00477562" w:rsidP="00477562">
      <w:pPr>
        <w:pStyle w:val="Odsekzoznamu"/>
        <w:numPr>
          <w:ilvl w:val="0"/>
          <w:numId w:val="48"/>
        </w:numPr>
        <w:spacing w:after="120" w:line="240" w:lineRule="auto"/>
        <w:ind w:left="851" w:hanging="142"/>
        <w:jc w:val="both"/>
        <w:rPr>
          <w:rFonts w:ascii="Times New Roman" w:hAnsi="Times New Roman"/>
        </w:rPr>
      </w:pPr>
      <w:r w:rsidRPr="00477562">
        <w:rPr>
          <w:rFonts w:ascii="Times New Roman" w:hAnsi="Times New Roman"/>
        </w:rPr>
        <w:t xml:space="preserve">Pri pohľadávkach v správe Slovenskej konsolidačnej, a. s.  bola upravená výška menovitej hodnoty o pohľadávky, ktoré boli predmetom konsolidačných úprav v rámci ústrednej správy (2 358 819 tis. eur). Prevod splatných pohľadávok, ktoré postupujú resp. odpredávajú organizácie ústrednej správy Slovenskej konsolidačnej, a. s.  sa eliminuje a k pohľadávkam sa tvorí opravná položka. Akt prevodu pohľadávok znamená dôvod na zníženie ich účtovnej hodnoty, čo má negatívny vplyv na vlastné imanie a tým aj čisté bohatstvo. Zároveň tieto precenené pohľadávky nemôžu byť v pôvodnej hodnote na strane podmienených aktív. </w:t>
      </w:r>
    </w:p>
    <w:p w14:paraId="2F3B133E" w14:textId="7E6FDF11" w:rsidR="00477562" w:rsidRPr="00477562" w:rsidRDefault="00477562" w:rsidP="00477562">
      <w:pPr>
        <w:spacing w:after="120" w:line="240" w:lineRule="auto"/>
        <w:jc w:val="both"/>
        <w:rPr>
          <w:rFonts w:ascii="Times New Roman" w:hAnsi="Times New Roman"/>
          <w:b/>
          <w:szCs w:val="22"/>
        </w:rPr>
      </w:pPr>
      <w:r w:rsidRPr="00477562">
        <w:rPr>
          <w:rFonts w:ascii="Times New Roman" w:hAnsi="Times New Roman"/>
          <w:b/>
          <w:szCs w:val="22"/>
        </w:rPr>
        <w:lastRenderedPageBreak/>
        <w:t>Z dôvodu abstrahovania od vzájomných vzťahov v rámci iných aktív (vzájomné súdne spory, vystavené záruky, pohľadávky) je hodnota iných aktív vstupujúcich do čistého bohatstva znížená z hodnoty 8 473 059 tis. eur na hodnotu 4 946 495 tis. eur, čo je medziročne menej o 18</w:t>
      </w:r>
      <w:r w:rsidR="00DD6DF1">
        <w:rPr>
          <w:rFonts w:ascii="Times New Roman" w:hAnsi="Times New Roman"/>
          <w:b/>
          <w:szCs w:val="22"/>
        </w:rPr>
        <w:t>8</w:t>
      </w:r>
      <w:r w:rsidRPr="00477562">
        <w:rPr>
          <w:rFonts w:ascii="Times New Roman" w:hAnsi="Times New Roman"/>
          <w:b/>
          <w:szCs w:val="22"/>
        </w:rPr>
        <w:t xml:space="preserve"> </w:t>
      </w:r>
      <w:r w:rsidR="00DD6DF1">
        <w:rPr>
          <w:rFonts w:ascii="Times New Roman" w:hAnsi="Times New Roman"/>
          <w:b/>
          <w:szCs w:val="22"/>
        </w:rPr>
        <w:t>153</w:t>
      </w:r>
      <w:r w:rsidRPr="00477562">
        <w:rPr>
          <w:rFonts w:ascii="Times New Roman" w:hAnsi="Times New Roman"/>
          <w:b/>
          <w:szCs w:val="22"/>
        </w:rPr>
        <w:t xml:space="preserve"> tis. eur.</w:t>
      </w:r>
    </w:p>
    <w:p w14:paraId="03FAD80D" w14:textId="55A33EE3" w:rsidR="00A52B2F" w:rsidRPr="00C66720" w:rsidRDefault="00A52B2F" w:rsidP="00A52B2F">
      <w:pPr>
        <w:spacing w:before="120" w:after="120" w:line="240" w:lineRule="auto"/>
        <w:jc w:val="both"/>
        <w:rPr>
          <w:rFonts w:ascii="Times New Roman" w:hAnsi="Times New Roman"/>
          <w:szCs w:val="22"/>
        </w:rPr>
      </w:pPr>
      <w:r w:rsidRPr="00C66720">
        <w:rPr>
          <w:rFonts w:ascii="Times New Roman" w:hAnsi="Times New Roman"/>
          <w:b/>
          <w:szCs w:val="22"/>
          <w:u w:val="single"/>
        </w:rPr>
        <w:t>Iné pasíva</w:t>
      </w:r>
      <w:r w:rsidRPr="00C66720">
        <w:rPr>
          <w:rFonts w:ascii="Times New Roman" w:hAnsi="Times New Roman"/>
          <w:szCs w:val="22"/>
        </w:rPr>
        <w:t xml:space="preserve"> vo verejnej správe predstavujú podmienené záväzky z poskytnutých záruk, hroziacich alebo už prebiehajúcich súdnych sporov, záväzky zo všeobecne platných právnych predpisov, ručenia, iné finančné povinnosti a podobne.</w:t>
      </w:r>
    </w:p>
    <w:p w14:paraId="68FE03DB" w14:textId="77777777" w:rsidR="000D0306" w:rsidRPr="00C66720" w:rsidRDefault="000D0306" w:rsidP="000D0306">
      <w:pPr>
        <w:spacing w:after="120" w:line="240" w:lineRule="auto"/>
        <w:jc w:val="both"/>
        <w:rPr>
          <w:rFonts w:ascii="Times New Roman" w:hAnsi="Times New Roman"/>
          <w:szCs w:val="22"/>
        </w:rPr>
      </w:pPr>
      <w:r w:rsidRPr="00C66720">
        <w:rPr>
          <w:rFonts w:ascii="Times New Roman" w:hAnsi="Times New Roman"/>
          <w:szCs w:val="22"/>
        </w:rPr>
        <w:t xml:space="preserve">Podmienené záväzky predstavujú položku iných pasív, ktoré za určitých okolností môžu negatívne ovplyvniť finančnú situáciu verejnej správy (konkrétne štátu či územnej samosprávy). Tieto záväzky nie sú vykazované na súvahových položkách pasív, pretože nie sú splnené podmienky pre ich zaúčtovanie (výška takéhoto ,,neistého“ záväzku sa nedá spoľahlivo oceniť, obdobie, ku ktorému sa povinnosť viaže nie je určené alebo úbytok ekonomických úžitkov v budúcnosti nie je istý). Z tohto dôvodu nie je možné jednoznačne odhadnúť vplyv na verejné financie z pohľadu času a už vôbec nie je možné stotožňovať hodnotu vyčíslených podmienených záväzkov v danom roku s aktuálnou potrebou peňažných prostriedkov na plnenie takýchto neistých povinností. </w:t>
      </w:r>
    </w:p>
    <w:p w14:paraId="124E3269" w14:textId="08B0BF36" w:rsidR="000D0306" w:rsidRPr="00C66720" w:rsidRDefault="00704307" w:rsidP="000008B5">
      <w:pPr>
        <w:spacing w:before="120" w:after="120" w:line="240" w:lineRule="auto"/>
        <w:jc w:val="both"/>
        <w:rPr>
          <w:rFonts w:ascii="Times New Roman" w:hAnsi="Times New Roman"/>
          <w:szCs w:val="22"/>
        </w:rPr>
      </w:pPr>
      <w:r w:rsidRPr="00C66720">
        <w:rPr>
          <w:rFonts w:ascii="Times New Roman" w:hAnsi="Times New Roman"/>
          <w:b/>
          <w:szCs w:val="22"/>
        </w:rPr>
        <w:t xml:space="preserve">Hodnota </w:t>
      </w:r>
      <w:r w:rsidR="000D0306" w:rsidRPr="00C66720">
        <w:rPr>
          <w:rFonts w:ascii="Times New Roman" w:hAnsi="Times New Roman"/>
          <w:b/>
          <w:szCs w:val="22"/>
        </w:rPr>
        <w:t>podmienených záväzkov k 31.12.2022</w:t>
      </w:r>
      <w:r w:rsidRPr="00C66720">
        <w:rPr>
          <w:rFonts w:ascii="Times New Roman" w:hAnsi="Times New Roman"/>
          <w:b/>
          <w:szCs w:val="22"/>
        </w:rPr>
        <w:t xml:space="preserve"> dosiahla </w:t>
      </w:r>
      <w:r w:rsidR="000D0306" w:rsidRPr="00C66720">
        <w:rPr>
          <w:rFonts w:ascii="Times New Roman" w:hAnsi="Times New Roman"/>
          <w:b/>
          <w:szCs w:val="22"/>
        </w:rPr>
        <w:t>20 592 719</w:t>
      </w:r>
      <w:r w:rsidRPr="00C66720">
        <w:rPr>
          <w:rFonts w:ascii="Times New Roman" w:hAnsi="Times New Roman"/>
          <w:b/>
          <w:szCs w:val="22"/>
        </w:rPr>
        <w:t xml:space="preserve"> tis. eur</w:t>
      </w:r>
      <w:r w:rsidRPr="00C66720">
        <w:rPr>
          <w:rFonts w:ascii="Times New Roman" w:hAnsi="Times New Roman"/>
          <w:szCs w:val="22"/>
        </w:rPr>
        <w:t xml:space="preserve"> (v konsolidovanej hodnote </w:t>
      </w:r>
      <w:r w:rsidR="000D0306" w:rsidRPr="00C66720">
        <w:rPr>
          <w:rFonts w:ascii="Times New Roman" w:hAnsi="Times New Roman"/>
          <w:szCs w:val="22"/>
        </w:rPr>
        <w:t>20 245 585</w:t>
      </w:r>
      <w:r w:rsidRPr="00C66720">
        <w:rPr>
          <w:rFonts w:ascii="Times New Roman" w:hAnsi="Times New Roman"/>
          <w:szCs w:val="22"/>
        </w:rPr>
        <w:t xml:space="preserve"> tis. eur) </w:t>
      </w:r>
      <w:r w:rsidRPr="00C66720">
        <w:rPr>
          <w:rFonts w:ascii="Times New Roman" w:hAnsi="Times New Roman"/>
          <w:b/>
          <w:szCs w:val="22"/>
        </w:rPr>
        <w:t>a medziročne sa zvýšila o</w:t>
      </w:r>
      <w:r w:rsidR="000D0306" w:rsidRPr="00C66720">
        <w:rPr>
          <w:rFonts w:ascii="Times New Roman" w:hAnsi="Times New Roman"/>
          <w:b/>
          <w:szCs w:val="22"/>
        </w:rPr>
        <w:t> 383 654</w:t>
      </w:r>
      <w:r w:rsidRPr="00C66720">
        <w:rPr>
          <w:rFonts w:ascii="Times New Roman" w:hAnsi="Times New Roman"/>
          <w:b/>
          <w:szCs w:val="22"/>
        </w:rPr>
        <w:t> tis. eur</w:t>
      </w:r>
      <w:r w:rsidRPr="00C66720">
        <w:rPr>
          <w:rFonts w:ascii="Times New Roman" w:hAnsi="Times New Roman"/>
          <w:szCs w:val="22"/>
        </w:rPr>
        <w:t xml:space="preserve"> (resp. </w:t>
      </w:r>
      <w:r w:rsidR="000D0306" w:rsidRPr="00C66720">
        <w:rPr>
          <w:rFonts w:ascii="Times New Roman" w:hAnsi="Times New Roman"/>
          <w:szCs w:val="22"/>
        </w:rPr>
        <w:t>57 695</w:t>
      </w:r>
      <w:r w:rsidRPr="00C66720">
        <w:rPr>
          <w:rFonts w:ascii="Times New Roman" w:hAnsi="Times New Roman"/>
          <w:szCs w:val="22"/>
        </w:rPr>
        <w:t xml:space="preserve"> tis. eur po konsolidácii)</w:t>
      </w:r>
      <w:r w:rsidR="000D0306" w:rsidRPr="00C66720">
        <w:rPr>
          <w:rFonts w:ascii="Times New Roman" w:hAnsi="Times New Roman"/>
          <w:szCs w:val="22"/>
        </w:rPr>
        <w:t>. Hodnotu konsolidácie predstavujú napríklad potenciálne úhrady z konaní jedného subjektu verejnej správy voči inému subjektu verejnej správy, vzájomné súdne spory či poskytnuté záruky, z ktorých by plnenie predstavovalo len presun prostriedkov v rámci verejnej správy. Výsledný nárast podmienených záväzkov je zložený z položiek, ktoré medziročne poklesli a z položiek, ktoré boli zachytené v prehľade prvý krát resp. zaznamenali medziročný nárast.</w:t>
      </w:r>
    </w:p>
    <w:p w14:paraId="2ECABD1B" w14:textId="77777777" w:rsidR="002F251C" w:rsidRDefault="000008B5" w:rsidP="00EC0F55">
      <w:pPr>
        <w:spacing w:before="120" w:after="120" w:line="240" w:lineRule="auto"/>
        <w:jc w:val="both"/>
        <w:rPr>
          <w:rFonts w:ascii="Times New Roman" w:hAnsi="Times New Roman"/>
          <w:szCs w:val="22"/>
        </w:rPr>
      </w:pPr>
      <w:r w:rsidRPr="00C66720">
        <w:rPr>
          <w:rFonts w:ascii="Times New Roman" w:hAnsi="Times New Roman"/>
          <w:szCs w:val="22"/>
        </w:rPr>
        <w:t xml:space="preserve">Úrad pre dohľad nad zdravotnou starostlivosťou vykázal hodnotu sporu so súkromnou spoločnosťou z dôvodu nezákonného rozhodnutia úradu pri registrácii novej súkromnej zdravotnej poisťovni, v ktorom spoločnosť požaduje zaplatiť 280 000 tis. eur. Úrad požaduje zamietnuť žalobu v celom rozsahu. Slovenský plynárenský priemysel, a.s.  vykázal medziročne vyššie záruky poskytnuté v rámci skupiny v prospech tretích strán o 114 000 tis. eur, Agentúra pre núdzové zásoby ropy a ropných výrobkov zvýšila odhad záruk vystavených v prospech obchodných partnerov o 41 067 tis. eur a Ministerstvo financií SR zvýšilo podsúvahový záväzok z kapitálových vkladov na požiadanie v niektorých medzinárodných finančných inštitúciách o 69 430 tis. eur. Naopak k významnému poklesu došlo medziročne napr. u Kancelárie národnej rady z dôvodu prehodnotenia potenciálneho negatívneho vplyvu zo súdnych sporov vzniknutých v minulosti, o 179 340 tis. eur.  </w:t>
      </w:r>
    </w:p>
    <w:p w14:paraId="08B6F2F4" w14:textId="1B422390" w:rsidR="000008B5" w:rsidRPr="00C66720" w:rsidRDefault="002F251C" w:rsidP="002F251C">
      <w:pPr>
        <w:spacing w:before="120" w:after="0" w:line="240" w:lineRule="auto"/>
        <w:ind w:firstLine="142"/>
        <w:jc w:val="both"/>
        <w:rPr>
          <w:rFonts w:ascii="Times New Roman" w:hAnsi="Times New Roman"/>
          <w:szCs w:val="22"/>
        </w:rPr>
      </w:pPr>
      <w:r>
        <w:rPr>
          <w:rFonts w:ascii="Times New Roman" w:hAnsi="Times New Roman"/>
          <w:b/>
          <w:sz w:val="18"/>
          <w:szCs w:val="18"/>
        </w:rPr>
        <w:t>Tabuľka 29</w:t>
      </w:r>
    </w:p>
    <w:tbl>
      <w:tblPr>
        <w:tblW w:w="888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226"/>
        <w:gridCol w:w="883"/>
        <w:gridCol w:w="172"/>
        <w:gridCol w:w="1016"/>
        <w:gridCol w:w="114"/>
        <w:gridCol w:w="1061"/>
        <w:gridCol w:w="1160"/>
      </w:tblGrid>
      <w:tr w:rsidR="00CB723D" w:rsidRPr="002A443C" w14:paraId="13DC9D57" w14:textId="77777777" w:rsidTr="004822D7">
        <w:trPr>
          <w:trHeight w:val="345"/>
          <w:jc w:val="center"/>
        </w:trPr>
        <w:tc>
          <w:tcPr>
            <w:tcW w:w="5359" w:type="dxa"/>
            <w:gridSpan w:val="3"/>
            <w:tcBorders>
              <w:right w:val="nil"/>
            </w:tcBorders>
            <w:shd w:val="clear" w:color="auto" w:fill="FABF8F" w:themeFill="accent6" w:themeFillTint="99"/>
            <w:vAlign w:val="center"/>
          </w:tcPr>
          <w:p w14:paraId="1C167050" w14:textId="6EF9B503" w:rsidR="00CB723D" w:rsidRPr="002A443C" w:rsidRDefault="00CB723D" w:rsidP="00CB723D">
            <w:pPr>
              <w:spacing w:after="0" w:line="240" w:lineRule="auto"/>
              <w:rPr>
                <w:rFonts w:ascii="Times New Roman" w:hAnsi="Times New Roman"/>
                <w:b/>
                <w:sz w:val="18"/>
                <w:szCs w:val="18"/>
                <w:lang w:eastAsia="sk-SK"/>
              </w:rPr>
            </w:pPr>
            <w:r w:rsidRPr="002A443C">
              <w:rPr>
                <w:rFonts w:ascii="Times New Roman" w:hAnsi="Times New Roman"/>
                <w:b/>
                <w:bCs/>
                <w:sz w:val="18"/>
                <w:szCs w:val="18"/>
                <w:lang w:eastAsia="sk-SK"/>
              </w:rPr>
              <w:t>Podmienené záväzky po</w:t>
            </w:r>
            <w:r>
              <w:rPr>
                <w:rFonts w:ascii="Times New Roman" w:hAnsi="Times New Roman"/>
                <w:b/>
                <w:bCs/>
                <w:sz w:val="18"/>
                <w:szCs w:val="18"/>
                <w:lang w:eastAsia="sk-SK"/>
              </w:rPr>
              <w:t>dľa zložiek verejného sektora</w:t>
            </w:r>
          </w:p>
        </w:tc>
        <w:tc>
          <w:tcPr>
            <w:tcW w:w="1188" w:type="dxa"/>
            <w:gridSpan w:val="2"/>
            <w:tcBorders>
              <w:left w:val="nil"/>
              <w:right w:val="nil"/>
            </w:tcBorders>
            <w:shd w:val="clear" w:color="auto" w:fill="FABF8F" w:themeFill="accent6" w:themeFillTint="99"/>
            <w:vAlign w:val="center"/>
          </w:tcPr>
          <w:p w14:paraId="23DF71EC" w14:textId="77777777" w:rsidR="00CB723D" w:rsidRPr="002A443C" w:rsidRDefault="00CB723D" w:rsidP="00863ED9">
            <w:pPr>
              <w:spacing w:after="0" w:line="240" w:lineRule="auto"/>
              <w:jc w:val="right"/>
              <w:rPr>
                <w:rFonts w:ascii="Times New Roman" w:hAnsi="Times New Roman"/>
                <w:b/>
                <w:sz w:val="18"/>
                <w:szCs w:val="18"/>
                <w:lang w:eastAsia="sk-SK"/>
              </w:rPr>
            </w:pPr>
          </w:p>
        </w:tc>
        <w:tc>
          <w:tcPr>
            <w:tcW w:w="1175" w:type="dxa"/>
            <w:gridSpan w:val="2"/>
            <w:tcBorders>
              <w:left w:val="nil"/>
              <w:right w:val="nil"/>
            </w:tcBorders>
            <w:shd w:val="clear" w:color="auto" w:fill="FABF8F" w:themeFill="accent6" w:themeFillTint="99"/>
            <w:vAlign w:val="center"/>
          </w:tcPr>
          <w:p w14:paraId="4E2241CD" w14:textId="77777777" w:rsidR="00CB723D" w:rsidRPr="002A443C" w:rsidRDefault="00CB723D" w:rsidP="00863ED9">
            <w:pPr>
              <w:spacing w:after="0" w:line="240" w:lineRule="auto"/>
              <w:jc w:val="right"/>
              <w:rPr>
                <w:rFonts w:ascii="Times New Roman" w:hAnsi="Times New Roman"/>
                <w:b/>
                <w:sz w:val="18"/>
                <w:szCs w:val="18"/>
                <w:lang w:eastAsia="sk-SK"/>
              </w:rPr>
            </w:pPr>
          </w:p>
        </w:tc>
        <w:tc>
          <w:tcPr>
            <w:tcW w:w="1160" w:type="dxa"/>
            <w:tcBorders>
              <w:left w:val="nil"/>
            </w:tcBorders>
            <w:shd w:val="clear" w:color="auto" w:fill="FABF8F" w:themeFill="accent6" w:themeFillTint="99"/>
            <w:vAlign w:val="center"/>
          </w:tcPr>
          <w:p w14:paraId="134331DD" w14:textId="182BFE73" w:rsidR="00CB723D" w:rsidRPr="002A443C" w:rsidRDefault="00FC189E" w:rsidP="00863ED9">
            <w:pPr>
              <w:spacing w:after="0" w:line="240" w:lineRule="auto"/>
              <w:jc w:val="right"/>
              <w:rPr>
                <w:rFonts w:ascii="Times New Roman" w:hAnsi="Times New Roman"/>
                <w:b/>
                <w:sz w:val="18"/>
                <w:szCs w:val="18"/>
                <w:lang w:eastAsia="sk-SK"/>
              </w:rPr>
            </w:pPr>
            <w:r>
              <w:rPr>
                <w:rFonts w:ascii="Times New Roman" w:hAnsi="Times New Roman"/>
                <w:b/>
                <w:sz w:val="18"/>
                <w:szCs w:val="18"/>
                <w:lang w:eastAsia="sk-SK"/>
              </w:rPr>
              <w:t>(</w:t>
            </w:r>
            <w:r w:rsidR="00CB723D">
              <w:rPr>
                <w:rFonts w:ascii="Times New Roman" w:hAnsi="Times New Roman"/>
                <w:b/>
                <w:sz w:val="18"/>
                <w:szCs w:val="18"/>
                <w:lang w:eastAsia="sk-SK"/>
              </w:rPr>
              <w:t>v tis. eur</w:t>
            </w:r>
            <w:r>
              <w:rPr>
                <w:rFonts w:ascii="Times New Roman" w:hAnsi="Times New Roman"/>
                <w:b/>
                <w:sz w:val="18"/>
                <w:szCs w:val="18"/>
                <w:lang w:eastAsia="sk-SK"/>
              </w:rPr>
              <w:t>)</w:t>
            </w:r>
          </w:p>
        </w:tc>
      </w:tr>
      <w:tr w:rsidR="00730378" w:rsidRPr="002A443C" w14:paraId="2B5CF438" w14:textId="77777777" w:rsidTr="004822D7">
        <w:trPr>
          <w:trHeight w:val="345"/>
          <w:jc w:val="center"/>
        </w:trPr>
        <w:tc>
          <w:tcPr>
            <w:tcW w:w="4250" w:type="dxa"/>
            <w:tcBorders>
              <w:right w:val="nil"/>
            </w:tcBorders>
            <w:shd w:val="clear" w:color="auto" w:fill="B8CCE4" w:themeFill="accent1" w:themeFillTint="66"/>
            <w:vAlign w:val="center"/>
            <w:hideMark/>
          </w:tcPr>
          <w:p w14:paraId="28E961F8" w14:textId="77777777" w:rsidR="00730378" w:rsidRPr="002A443C" w:rsidRDefault="00730378" w:rsidP="00863ED9">
            <w:pPr>
              <w:spacing w:after="0" w:line="240" w:lineRule="auto"/>
              <w:rPr>
                <w:rFonts w:ascii="Times New Roman" w:hAnsi="Times New Roman"/>
                <w:b/>
                <w:sz w:val="18"/>
                <w:szCs w:val="18"/>
                <w:lang w:eastAsia="sk-SK"/>
              </w:rPr>
            </w:pPr>
            <w:r w:rsidRPr="002A443C">
              <w:rPr>
                <w:rFonts w:ascii="Times New Roman" w:hAnsi="Times New Roman"/>
                <w:b/>
                <w:sz w:val="18"/>
                <w:szCs w:val="18"/>
                <w:lang w:eastAsia="sk-SK"/>
              </w:rPr>
              <w:t>Subjekty (v tis. eur)</w:t>
            </w:r>
          </w:p>
        </w:tc>
        <w:tc>
          <w:tcPr>
            <w:tcW w:w="1109" w:type="dxa"/>
            <w:gridSpan w:val="2"/>
            <w:tcBorders>
              <w:left w:val="nil"/>
              <w:right w:val="nil"/>
            </w:tcBorders>
            <w:shd w:val="clear" w:color="auto" w:fill="B8CCE4" w:themeFill="accent1" w:themeFillTint="66"/>
            <w:vAlign w:val="center"/>
          </w:tcPr>
          <w:p w14:paraId="1C603745" w14:textId="77777777" w:rsidR="00730378" w:rsidRPr="002A443C" w:rsidRDefault="00730378" w:rsidP="00863ED9">
            <w:pPr>
              <w:spacing w:after="0" w:line="240" w:lineRule="auto"/>
              <w:jc w:val="right"/>
              <w:rPr>
                <w:rFonts w:ascii="Times New Roman" w:hAnsi="Times New Roman"/>
                <w:b/>
                <w:sz w:val="18"/>
                <w:szCs w:val="18"/>
                <w:lang w:eastAsia="sk-SK"/>
              </w:rPr>
            </w:pPr>
            <w:r w:rsidRPr="002A443C">
              <w:rPr>
                <w:rFonts w:ascii="Times New Roman" w:hAnsi="Times New Roman"/>
                <w:b/>
                <w:sz w:val="18"/>
                <w:szCs w:val="18"/>
                <w:lang w:eastAsia="sk-SK"/>
              </w:rPr>
              <w:t>2020</w:t>
            </w:r>
          </w:p>
        </w:tc>
        <w:tc>
          <w:tcPr>
            <w:tcW w:w="1188" w:type="dxa"/>
            <w:gridSpan w:val="2"/>
            <w:tcBorders>
              <w:left w:val="nil"/>
              <w:right w:val="nil"/>
            </w:tcBorders>
            <w:shd w:val="clear" w:color="auto" w:fill="B8CCE4" w:themeFill="accent1" w:themeFillTint="66"/>
            <w:vAlign w:val="center"/>
          </w:tcPr>
          <w:p w14:paraId="3235132E" w14:textId="77777777" w:rsidR="00730378" w:rsidRPr="002A443C" w:rsidRDefault="00730378" w:rsidP="00863ED9">
            <w:pPr>
              <w:spacing w:after="0" w:line="240" w:lineRule="auto"/>
              <w:jc w:val="right"/>
              <w:rPr>
                <w:rFonts w:ascii="Times New Roman" w:hAnsi="Times New Roman"/>
                <w:b/>
                <w:sz w:val="18"/>
                <w:szCs w:val="18"/>
                <w:lang w:eastAsia="sk-SK"/>
              </w:rPr>
            </w:pPr>
            <w:r w:rsidRPr="002A443C">
              <w:rPr>
                <w:rFonts w:ascii="Times New Roman" w:hAnsi="Times New Roman"/>
                <w:b/>
                <w:sz w:val="18"/>
                <w:szCs w:val="18"/>
                <w:lang w:eastAsia="sk-SK"/>
              </w:rPr>
              <w:t>2021</w:t>
            </w:r>
          </w:p>
        </w:tc>
        <w:tc>
          <w:tcPr>
            <w:tcW w:w="1175" w:type="dxa"/>
            <w:gridSpan w:val="2"/>
            <w:tcBorders>
              <w:left w:val="nil"/>
              <w:right w:val="nil"/>
            </w:tcBorders>
            <w:shd w:val="clear" w:color="auto" w:fill="B8CCE4" w:themeFill="accent1" w:themeFillTint="66"/>
            <w:vAlign w:val="center"/>
          </w:tcPr>
          <w:p w14:paraId="392D9FA2" w14:textId="77777777" w:rsidR="00730378" w:rsidRPr="002A443C" w:rsidRDefault="00730378" w:rsidP="00863ED9">
            <w:pPr>
              <w:spacing w:after="0" w:line="240" w:lineRule="auto"/>
              <w:jc w:val="right"/>
              <w:rPr>
                <w:rFonts w:ascii="Times New Roman" w:hAnsi="Times New Roman"/>
                <w:b/>
                <w:sz w:val="18"/>
                <w:szCs w:val="18"/>
                <w:lang w:eastAsia="sk-SK"/>
              </w:rPr>
            </w:pPr>
            <w:r w:rsidRPr="002A443C">
              <w:rPr>
                <w:rFonts w:ascii="Times New Roman" w:hAnsi="Times New Roman"/>
                <w:b/>
                <w:sz w:val="18"/>
                <w:szCs w:val="18"/>
                <w:lang w:eastAsia="sk-SK"/>
              </w:rPr>
              <w:t>2022</w:t>
            </w:r>
          </w:p>
        </w:tc>
        <w:tc>
          <w:tcPr>
            <w:tcW w:w="1160" w:type="dxa"/>
            <w:tcBorders>
              <w:left w:val="nil"/>
            </w:tcBorders>
            <w:shd w:val="clear" w:color="auto" w:fill="B8CCE4" w:themeFill="accent1" w:themeFillTint="66"/>
            <w:vAlign w:val="center"/>
          </w:tcPr>
          <w:p w14:paraId="2651CE1D" w14:textId="77777777" w:rsidR="00730378" w:rsidRPr="002A443C" w:rsidRDefault="00730378" w:rsidP="00863ED9">
            <w:pPr>
              <w:spacing w:after="0" w:line="240" w:lineRule="auto"/>
              <w:jc w:val="right"/>
              <w:rPr>
                <w:rFonts w:ascii="Times New Roman" w:hAnsi="Times New Roman"/>
                <w:b/>
                <w:bCs/>
                <w:sz w:val="18"/>
                <w:szCs w:val="18"/>
                <w:lang w:eastAsia="sk-SK"/>
              </w:rPr>
            </w:pPr>
            <w:r w:rsidRPr="002A443C">
              <w:rPr>
                <w:rFonts w:ascii="Times New Roman" w:hAnsi="Times New Roman"/>
                <w:b/>
                <w:sz w:val="18"/>
                <w:szCs w:val="18"/>
                <w:lang w:eastAsia="sk-SK"/>
              </w:rPr>
              <w:t>Δ 2022-2021</w:t>
            </w:r>
          </w:p>
        </w:tc>
      </w:tr>
      <w:tr w:rsidR="00730378" w:rsidRPr="002A443C" w14:paraId="03C8F013" w14:textId="77777777" w:rsidTr="00CB723D">
        <w:trPr>
          <w:trHeight w:val="330"/>
          <w:jc w:val="center"/>
        </w:trPr>
        <w:tc>
          <w:tcPr>
            <w:tcW w:w="4250" w:type="dxa"/>
            <w:tcBorders>
              <w:bottom w:val="nil"/>
              <w:right w:val="nil"/>
            </w:tcBorders>
            <w:vAlign w:val="bottom"/>
          </w:tcPr>
          <w:p w14:paraId="2811DF56" w14:textId="77777777" w:rsidR="00730378" w:rsidRPr="002A443C" w:rsidRDefault="00730378" w:rsidP="00863ED9">
            <w:pPr>
              <w:spacing w:after="0" w:line="240" w:lineRule="auto"/>
              <w:rPr>
                <w:rFonts w:ascii="Times New Roman" w:hAnsi="Times New Roman"/>
                <w:sz w:val="18"/>
                <w:szCs w:val="18"/>
                <w:lang w:eastAsia="sk-SK"/>
              </w:rPr>
            </w:pPr>
            <w:r w:rsidRPr="002A443C">
              <w:rPr>
                <w:rFonts w:ascii="Times New Roman" w:hAnsi="Times New Roman"/>
                <w:sz w:val="18"/>
                <w:szCs w:val="18"/>
                <w:lang w:eastAsia="sk-SK"/>
              </w:rPr>
              <w:t>Ústredná správa a podniky štátnej správy</w:t>
            </w:r>
          </w:p>
        </w:tc>
        <w:tc>
          <w:tcPr>
            <w:tcW w:w="1109" w:type="dxa"/>
            <w:gridSpan w:val="2"/>
            <w:tcBorders>
              <w:left w:val="nil"/>
              <w:bottom w:val="nil"/>
              <w:right w:val="nil"/>
            </w:tcBorders>
            <w:vAlign w:val="bottom"/>
          </w:tcPr>
          <w:p w14:paraId="50B1BBA9" w14:textId="77777777" w:rsidR="00730378" w:rsidRPr="002A443C" w:rsidRDefault="00730378" w:rsidP="00863ED9">
            <w:pPr>
              <w:spacing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19 661 268</w:t>
            </w:r>
          </w:p>
        </w:tc>
        <w:tc>
          <w:tcPr>
            <w:tcW w:w="1188" w:type="dxa"/>
            <w:gridSpan w:val="2"/>
            <w:tcBorders>
              <w:left w:val="nil"/>
              <w:bottom w:val="nil"/>
              <w:right w:val="nil"/>
            </w:tcBorders>
            <w:vAlign w:val="bottom"/>
          </w:tcPr>
          <w:p w14:paraId="4D791EEE" w14:textId="77777777" w:rsidR="00730378" w:rsidRPr="002A443C" w:rsidRDefault="00730378" w:rsidP="00863ED9">
            <w:pPr>
              <w:spacing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20 094 669</w:t>
            </w:r>
          </w:p>
        </w:tc>
        <w:tc>
          <w:tcPr>
            <w:tcW w:w="1175" w:type="dxa"/>
            <w:gridSpan w:val="2"/>
            <w:tcBorders>
              <w:left w:val="nil"/>
              <w:bottom w:val="nil"/>
              <w:right w:val="nil"/>
            </w:tcBorders>
            <w:vAlign w:val="bottom"/>
          </w:tcPr>
          <w:p w14:paraId="3AA476D0" w14:textId="77777777" w:rsidR="00730378" w:rsidRPr="002A443C" w:rsidRDefault="00730378" w:rsidP="00863ED9">
            <w:pPr>
              <w:spacing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20 508 703</w:t>
            </w:r>
          </w:p>
        </w:tc>
        <w:tc>
          <w:tcPr>
            <w:tcW w:w="1160" w:type="dxa"/>
            <w:tcBorders>
              <w:left w:val="nil"/>
              <w:bottom w:val="nil"/>
            </w:tcBorders>
            <w:vAlign w:val="bottom"/>
          </w:tcPr>
          <w:p w14:paraId="526EE80C" w14:textId="77777777" w:rsidR="00730378" w:rsidRPr="002A443C" w:rsidRDefault="00730378" w:rsidP="00863ED9">
            <w:pPr>
              <w:spacing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414 034</w:t>
            </w:r>
          </w:p>
        </w:tc>
      </w:tr>
      <w:tr w:rsidR="00730378" w:rsidRPr="002A443C" w14:paraId="35817F17" w14:textId="77777777" w:rsidTr="00CB723D">
        <w:trPr>
          <w:trHeight w:val="330"/>
          <w:jc w:val="center"/>
        </w:trPr>
        <w:tc>
          <w:tcPr>
            <w:tcW w:w="4250" w:type="dxa"/>
            <w:tcBorders>
              <w:top w:val="nil"/>
              <w:bottom w:val="nil"/>
              <w:right w:val="nil"/>
            </w:tcBorders>
            <w:vAlign w:val="bottom"/>
          </w:tcPr>
          <w:p w14:paraId="4EAEC8F7" w14:textId="77777777" w:rsidR="00730378" w:rsidRPr="002A443C" w:rsidRDefault="00730378" w:rsidP="00863ED9">
            <w:pPr>
              <w:spacing w:before="120" w:after="0" w:line="240" w:lineRule="auto"/>
              <w:rPr>
                <w:rFonts w:ascii="Times New Roman" w:hAnsi="Times New Roman"/>
                <w:sz w:val="18"/>
                <w:szCs w:val="18"/>
                <w:lang w:eastAsia="sk-SK"/>
              </w:rPr>
            </w:pPr>
            <w:r w:rsidRPr="002A443C">
              <w:rPr>
                <w:rFonts w:ascii="Times New Roman" w:hAnsi="Times New Roman"/>
                <w:sz w:val="18"/>
                <w:szCs w:val="18"/>
                <w:lang w:eastAsia="sk-SK"/>
              </w:rPr>
              <w:t>Obce a ich rozpočtové a príspevkové organizácie a podniky územnej samosprávy</w:t>
            </w:r>
          </w:p>
        </w:tc>
        <w:tc>
          <w:tcPr>
            <w:tcW w:w="1109" w:type="dxa"/>
            <w:gridSpan w:val="2"/>
            <w:tcBorders>
              <w:top w:val="nil"/>
              <w:left w:val="nil"/>
              <w:bottom w:val="nil"/>
              <w:right w:val="nil"/>
            </w:tcBorders>
            <w:vAlign w:val="bottom"/>
          </w:tcPr>
          <w:p w14:paraId="2260912F" w14:textId="77777777" w:rsidR="00730378" w:rsidRPr="002A443C" w:rsidRDefault="00730378" w:rsidP="00863ED9">
            <w:pPr>
              <w:spacing w:before="120"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67 691</w:t>
            </w:r>
          </w:p>
        </w:tc>
        <w:tc>
          <w:tcPr>
            <w:tcW w:w="1188" w:type="dxa"/>
            <w:gridSpan w:val="2"/>
            <w:tcBorders>
              <w:top w:val="nil"/>
              <w:left w:val="nil"/>
              <w:bottom w:val="nil"/>
              <w:right w:val="nil"/>
            </w:tcBorders>
            <w:vAlign w:val="bottom"/>
          </w:tcPr>
          <w:p w14:paraId="6DAE8FAA" w14:textId="77777777" w:rsidR="00730378" w:rsidRPr="002A443C" w:rsidRDefault="00730378" w:rsidP="00863ED9">
            <w:pPr>
              <w:spacing w:before="120"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113 245</w:t>
            </w:r>
          </w:p>
        </w:tc>
        <w:tc>
          <w:tcPr>
            <w:tcW w:w="1175" w:type="dxa"/>
            <w:gridSpan w:val="2"/>
            <w:tcBorders>
              <w:top w:val="nil"/>
              <w:left w:val="nil"/>
              <w:bottom w:val="nil"/>
              <w:right w:val="nil"/>
            </w:tcBorders>
            <w:vAlign w:val="bottom"/>
          </w:tcPr>
          <w:p w14:paraId="5CCA538F" w14:textId="77777777" w:rsidR="00730378" w:rsidRPr="002A443C" w:rsidRDefault="00730378" w:rsidP="00863ED9">
            <w:pPr>
              <w:spacing w:before="120"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83 935</w:t>
            </w:r>
          </w:p>
        </w:tc>
        <w:tc>
          <w:tcPr>
            <w:tcW w:w="1160" w:type="dxa"/>
            <w:tcBorders>
              <w:top w:val="nil"/>
              <w:left w:val="nil"/>
              <w:bottom w:val="nil"/>
            </w:tcBorders>
            <w:vAlign w:val="bottom"/>
          </w:tcPr>
          <w:p w14:paraId="58F476E1" w14:textId="77777777" w:rsidR="00730378" w:rsidRPr="002A443C" w:rsidRDefault="00730378" w:rsidP="00863ED9">
            <w:pPr>
              <w:spacing w:before="120"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-29 310</w:t>
            </w:r>
          </w:p>
        </w:tc>
      </w:tr>
      <w:tr w:rsidR="00730378" w:rsidRPr="002A443C" w14:paraId="7DCA8DAB" w14:textId="77777777" w:rsidTr="00CB723D">
        <w:trPr>
          <w:trHeight w:val="330"/>
          <w:jc w:val="center"/>
        </w:trPr>
        <w:tc>
          <w:tcPr>
            <w:tcW w:w="4250" w:type="dxa"/>
            <w:tcBorders>
              <w:top w:val="nil"/>
              <w:right w:val="nil"/>
            </w:tcBorders>
            <w:vAlign w:val="bottom"/>
          </w:tcPr>
          <w:p w14:paraId="43F557AB" w14:textId="77777777" w:rsidR="00730378" w:rsidRPr="002A443C" w:rsidRDefault="00730378" w:rsidP="00863ED9">
            <w:pPr>
              <w:spacing w:before="120" w:after="0" w:line="240" w:lineRule="auto"/>
              <w:rPr>
                <w:rFonts w:ascii="Times New Roman" w:hAnsi="Times New Roman"/>
                <w:sz w:val="18"/>
                <w:szCs w:val="18"/>
                <w:lang w:eastAsia="sk-SK"/>
              </w:rPr>
            </w:pPr>
            <w:r w:rsidRPr="002A443C">
              <w:rPr>
                <w:rFonts w:ascii="Times New Roman" w:hAnsi="Times New Roman"/>
                <w:sz w:val="18"/>
                <w:szCs w:val="18"/>
                <w:lang w:eastAsia="sk-SK"/>
              </w:rPr>
              <w:t>Vyššie územné celky a ich rozpočtové a príspevkové organizácie a podniky územnej samosprávy</w:t>
            </w:r>
          </w:p>
        </w:tc>
        <w:tc>
          <w:tcPr>
            <w:tcW w:w="1109" w:type="dxa"/>
            <w:gridSpan w:val="2"/>
            <w:tcBorders>
              <w:top w:val="nil"/>
              <w:left w:val="nil"/>
              <w:right w:val="nil"/>
            </w:tcBorders>
            <w:vAlign w:val="bottom"/>
          </w:tcPr>
          <w:p w14:paraId="36310B72" w14:textId="77777777" w:rsidR="00730378" w:rsidRPr="002A443C" w:rsidRDefault="00730378" w:rsidP="00863ED9">
            <w:pPr>
              <w:spacing w:before="120"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529</w:t>
            </w:r>
          </w:p>
        </w:tc>
        <w:tc>
          <w:tcPr>
            <w:tcW w:w="1188" w:type="dxa"/>
            <w:gridSpan w:val="2"/>
            <w:tcBorders>
              <w:top w:val="nil"/>
              <w:left w:val="nil"/>
              <w:right w:val="nil"/>
            </w:tcBorders>
            <w:vAlign w:val="bottom"/>
          </w:tcPr>
          <w:p w14:paraId="1290E377" w14:textId="77777777" w:rsidR="00730378" w:rsidRPr="002A443C" w:rsidRDefault="00730378" w:rsidP="00863ED9">
            <w:pPr>
              <w:spacing w:before="120"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1 151</w:t>
            </w:r>
          </w:p>
        </w:tc>
        <w:tc>
          <w:tcPr>
            <w:tcW w:w="1175" w:type="dxa"/>
            <w:gridSpan w:val="2"/>
            <w:tcBorders>
              <w:top w:val="nil"/>
              <w:left w:val="nil"/>
              <w:right w:val="nil"/>
            </w:tcBorders>
            <w:vAlign w:val="bottom"/>
          </w:tcPr>
          <w:p w14:paraId="5B7317E8" w14:textId="77777777" w:rsidR="00730378" w:rsidRPr="002A443C" w:rsidRDefault="00730378" w:rsidP="00863ED9">
            <w:pPr>
              <w:spacing w:before="120"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81</w:t>
            </w:r>
          </w:p>
        </w:tc>
        <w:tc>
          <w:tcPr>
            <w:tcW w:w="1160" w:type="dxa"/>
            <w:tcBorders>
              <w:top w:val="nil"/>
              <w:left w:val="nil"/>
            </w:tcBorders>
            <w:vAlign w:val="bottom"/>
          </w:tcPr>
          <w:p w14:paraId="69690AA7" w14:textId="77777777" w:rsidR="00730378" w:rsidRPr="002A443C" w:rsidRDefault="00730378" w:rsidP="00863ED9">
            <w:pPr>
              <w:spacing w:before="120" w:after="0" w:line="240" w:lineRule="auto"/>
              <w:jc w:val="right"/>
              <w:rPr>
                <w:rFonts w:ascii="Times New Roman" w:hAnsi="Times New Roman"/>
                <w:sz w:val="18"/>
                <w:szCs w:val="18"/>
                <w:lang w:eastAsia="sk-SK"/>
              </w:rPr>
            </w:pPr>
            <w:r w:rsidRPr="002A443C">
              <w:rPr>
                <w:rFonts w:ascii="Times New Roman" w:hAnsi="Times New Roman"/>
                <w:sz w:val="18"/>
                <w:szCs w:val="18"/>
                <w:lang w:eastAsia="sk-SK"/>
              </w:rPr>
              <w:t>-1 070</w:t>
            </w:r>
          </w:p>
        </w:tc>
      </w:tr>
      <w:tr w:rsidR="00730378" w:rsidRPr="002A443C" w14:paraId="0DE21554" w14:textId="77777777" w:rsidTr="00CB723D">
        <w:trPr>
          <w:trHeight w:hRule="exact" w:val="346"/>
          <w:jc w:val="center"/>
        </w:trPr>
        <w:tc>
          <w:tcPr>
            <w:tcW w:w="4476" w:type="dxa"/>
            <w:gridSpan w:val="2"/>
            <w:tcBorders>
              <w:right w:val="nil"/>
            </w:tcBorders>
            <w:noWrap/>
            <w:vAlign w:val="center"/>
            <w:hideMark/>
          </w:tcPr>
          <w:p w14:paraId="5EA9D3A1" w14:textId="77777777" w:rsidR="00730378" w:rsidRPr="002A443C" w:rsidRDefault="00730378" w:rsidP="00863ED9">
            <w:pPr>
              <w:spacing w:after="0" w:line="240" w:lineRule="auto"/>
              <w:rPr>
                <w:rFonts w:ascii="Times New Roman" w:hAnsi="Times New Roman"/>
                <w:b/>
                <w:bCs/>
                <w:sz w:val="18"/>
                <w:szCs w:val="18"/>
                <w:lang w:eastAsia="sk-SK"/>
              </w:rPr>
            </w:pPr>
            <w:r w:rsidRPr="002A443C">
              <w:rPr>
                <w:rFonts w:ascii="Times New Roman" w:hAnsi="Times New Roman"/>
                <w:b/>
                <w:bCs/>
                <w:sz w:val="18"/>
                <w:szCs w:val="18"/>
                <w:lang w:eastAsia="sk-SK"/>
              </w:rPr>
              <w:t>Spolu  (nekonsolidované)</w:t>
            </w:r>
          </w:p>
        </w:tc>
        <w:tc>
          <w:tcPr>
            <w:tcW w:w="1055" w:type="dxa"/>
            <w:gridSpan w:val="2"/>
            <w:tcBorders>
              <w:left w:val="nil"/>
              <w:right w:val="nil"/>
            </w:tcBorders>
            <w:vAlign w:val="center"/>
          </w:tcPr>
          <w:p w14:paraId="3428A0BB" w14:textId="77777777" w:rsidR="00730378" w:rsidRPr="002A443C" w:rsidRDefault="00730378" w:rsidP="00863ED9">
            <w:pPr>
              <w:spacing w:after="0" w:line="240" w:lineRule="auto"/>
              <w:ind w:left="-195" w:right="175"/>
              <w:jc w:val="right"/>
              <w:rPr>
                <w:rFonts w:ascii="Times New Roman" w:hAnsi="Times New Roman"/>
                <w:b/>
                <w:bCs/>
                <w:sz w:val="18"/>
                <w:szCs w:val="18"/>
                <w:lang w:eastAsia="sk-SK"/>
              </w:rPr>
            </w:pPr>
            <w:r w:rsidRPr="002A443C">
              <w:rPr>
                <w:rFonts w:ascii="Times New Roman" w:hAnsi="Times New Roman"/>
                <w:b/>
                <w:bCs/>
                <w:sz w:val="18"/>
                <w:szCs w:val="18"/>
                <w:lang w:eastAsia="sk-SK"/>
              </w:rPr>
              <w:t>19 729 488</w:t>
            </w:r>
          </w:p>
        </w:tc>
        <w:tc>
          <w:tcPr>
            <w:tcW w:w="1130" w:type="dxa"/>
            <w:gridSpan w:val="2"/>
            <w:tcBorders>
              <w:left w:val="nil"/>
              <w:right w:val="nil"/>
            </w:tcBorders>
            <w:vAlign w:val="center"/>
          </w:tcPr>
          <w:p w14:paraId="15AAE63A" w14:textId="77777777" w:rsidR="00730378" w:rsidRPr="002A443C" w:rsidRDefault="00730378" w:rsidP="00863ED9">
            <w:pPr>
              <w:spacing w:after="0" w:line="240" w:lineRule="auto"/>
              <w:ind w:left="-111" w:right="171"/>
              <w:jc w:val="right"/>
              <w:rPr>
                <w:rFonts w:ascii="Times New Roman" w:hAnsi="Times New Roman"/>
                <w:b/>
                <w:bCs/>
                <w:sz w:val="18"/>
                <w:szCs w:val="18"/>
                <w:lang w:eastAsia="sk-SK"/>
              </w:rPr>
            </w:pPr>
            <w:r w:rsidRPr="002A443C">
              <w:rPr>
                <w:rFonts w:ascii="Times New Roman" w:hAnsi="Times New Roman"/>
                <w:b/>
                <w:bCs/>
                <w:sz w:val="18"/>
                <w:szCs w:val="18"/>
                <w:lang w:eastAsia="sk-SK"/>
              </w:rPr>
              <w:t>20 209 065</w:t>
            </w:r>
          </w:p>
        </w:tc>
        <w:tc>
          <w:tcPr>
            <w:tcW w:w="1061" w:type="dxa"/>
            <w:tcBorders>
              <w:left w:val="nil"/>
              <w:right w:val="nil"/>
            </w:tcBorders>
            <w:vAlign w:val="center"/>
          </w:tcPr>
          <w:p w14:paraId="584EECB3" w14:textId="77777777" w:rsidR="00730378" w:rsidRPr="002A443C" w:rsidRDefault="00730378" w:rsidP="00863ED9">
            <w:pPr>
              <w:spacing w:after="0" w:line="240" w:lineRule="auto"/>
              <w:jc w:val="right"/>
              <w:rPr>
                <w:rFonts w:ascii="Times New Roman" w:hAnsi="Times New Roman"/>
                <w:b/>
                <w:bCs/>
                <w:sz w:val="18"/>
                <w:szCs w:val="18"/>
                <w:lang w:eastAsia="sk-SK"/>
              </w:rPr>
            </w:pPr>
            <w:r w:rsidRPr="002A443C">
              <w:rPr>
                <w:rFonts w:ascii="Times New Roman" w:hAnsi="Times New Roman"/>
                <w:b/>
                <w:bCs/>
                <w:sz w:val="18"/>
                <w:szCs w:val="18"/>
                <w:lang w:eastAsia="sk-SK"/>
              </w:rPr>
              <w:t>20 592 719</w:t>
            </w:r>
          </w:p>
        </w:tc>
        <w:tc>
          <w:tcPr>
            <w:tcW w:w="1160" w:type="dxa"/>
            <w:tcBorders>
              <w:left w:val="nil"/>
            </w:tcBorders>
            <w:vAlign w:val="center"/>
          </w:tcPr>
          <w:p w14:paraId="66DB809E" w14:textId="77777777" w:rsidR="00730378" w:rsidRPr="002A443C" w:rsidRDefault="00730378" w:rsidP="00863ED9">
            <w:pPr>
              <w:spacing w:after="0"/>
              <w:jc w:val="right"/>
              <w:rPr>
                <w:rFonts w:ascii="Times New Roman" w:hAnsi="Times New Roman"/>
                <w:b/>
                <w:bCs/>
                <w:sz w:val="18"/>
                <w:szCs w:val="18"/>
                <w:lang w:eastAsia="sk-SK"/>
              </w:rPr>
            </w:pPr>
            <w:r w:rsidRPr="002A443C">
              <w:rPr>
                <w:rFonts w:ascii="Times New Roman" w:hAnsi="Times New Roman"/>
                <w:b/>
                <w:bCs/>
                <w:sz w:val="18"/>
                <w:szCs w:val="18"/>
                <w:lang w:eastAsia="sk-SK"/>
              </w:rPr>
              <w:t>383 654</w:t>
            </w:r>
          </w:p>
        </w:tc>
      </w:tr>
      <w:tr w:rsidR="00730378" w:rsidRPr="002A443C" w14:paraId="6EB84A1C" w14:textId="77777777" w:rsidTr="00CB723D">
        <w:trPr>
          <w:trHeight w:hRule="exact" w:val="346"/>
          <w:jc w:val="center"/>
        </w:trPr>
        <w:tc>
          <w:tcPr>
            <w:tcW w:w="4476" w:type="dxa"/>
            <w:gridSpan w:val="2"/>
            <w:tcBorders>
              <w:right w:val="nil"/>
            </w:tcBorders>
            <w:noWrap/>
            <w:vAlign w:val="center"/>
          </w:tcPr>
          <w:p w14:paraId="3558E885" w14:textId="77777777" w:rsidR="00730378" w:rsidRPr="002A443C" w:rsidRDefault="00730378" w:rsidP="00863ED9">
            <w:pPr>
              <w:spacing w:after="0" w:line="240" w:lineRule="auto"/>
              <w:rPr>
                <w:rFonts w:ascii="Times New Roman" w:hAnsi="Times New Roman"/>
                <w:bCs/>
                <w:sz w:val="18"/>
                <w:szCs w:val="18"/>
                <w:lang w:eastAsia="sk-SK"/>
              </w:rPr>
            </w:pPr>
            <w:r w:rsidRPr="002A443C">
              <w:rPr>
                <w:rFonts w:ascii="Times New Roman" w:hAnsi="Times New Roman"/>
                <w:bCs/>
                <w:sz w:val="18"/>
                <w:szCs w:val="18"/>
                <w:lang w:eastAsia="sk-SK"/>
              </w:rPr>
              <w:t>Objem konsolidácie</w:t>
            </w:r>
          </w:p>
        </w:tc>
        <w:tc>
          <w:tcPr>
            <w:tcW w:w="1055" w:type="dxa"/>
            <w:gridSpan w:val="2"/>
            <w:tcBorders>
              <w:left w:val="nil"/>
              <w:right w:val="nil"/>
            </w:tcBorders>
            <w:vAlign w:val="center"/>
          </w:tcPr>
          <w:p w14:paraId="2EDD0837" w14:textId="77777777" w:rsidR="00730378" w:rsidRPr="002A443C" w:rsidRDefault="00730378" w:rsidP="00863ED9">
            <w:pPr>
              <w:spacing w:after="0" w:line="240" w:lineRule="auto"/>
              <w:ind w:left="-195" w:right="175"/>
              <w:jc w:val="right"/>
              <w:rPr>
                <w:rFonts w:ascii="Times New Roman" w:hAnsi="Times New Roman"/>
                <w:bCs/>
                <w:sz w:val="18"/>
                <w:szCs w:val="18"/>
                <w:lang w:eastAsia="sk-SK"/>
              </w:rPr>
            </w:pPr>
            <w:r w:rsidRPr="002A443C">
              <w:rPr>
                <w:rFonts w:ascii="Times New Roman" w:hAnsi="Times New Roman"/>
                <w:bCs/>
                <w:sz w:val="18"/>
                <w:szCs w:val="18"/>
                <w:lang w:eastAsia="sk-SK"/>
              </w:rPr>
              <w:t>19 402</w:t>
            </w:r>
          </w:p>
        </w:tc>
        <w:tc>
          <w:tcPr>
            <w:tcW w:w="1130" w:type="dxa"/>
            <w:gridSpan w:val="2"/>
            <w:tcBorders>
              <w:left w:val="nil"/>
              <w:right w:val="nil"/>
            </w:tcBorders>
            <w:vAlign w:val="center"/>
          </w:tcPr>
          <w:p w14:paraId="7090EDE9" w14:textId="77777777" w:rsidR="00730378" w:rsidRPr="002A443C" w:rsidRDefault="00730378" w:rsidP="00863ED9">
            <w:pPr>
              <w:spacing w:after="0" w:line="240" w:lineRule="auto"/>
              <w:ind w:left="-111" w:right="171"/>
              <w:jc w:val="right"/>
              <w:rPr>
                <w:rFonts w:ascii="Times New Roman" w:hAnsi="Times New Roman"/>
                <w:bCs/>
                <w:sz w:val="18"/>
                <w:szCs w:val="18"/>
                <w:lang w:eastAsia="sk-SK"/>
              </w:rPr>
            </w:pPr>
            <w:r w:rsidRPr="002A443C">
              <w:rPr>
                <w:rFonts w:ascii="Times New Roman" w:hAnsi="Times New Roman"/>
                <w:bCs/>
                <w:sz w:val="18"/>
                <w:szCs w:val="18"/>
                <w:lang w:eastAsia="sk-SK"/>
              </w:rPr>
              <w:t>21 175</w:t>
            </w:r>
          </w:p>
        </w:tc>
        <w:tc>
          <w:tcPr>
            <w:tcW w:w="1061" w:type="dxa"/>
            <w:tcBorders>
              <w:left w:val="nil"/>
              <w:right w:val="nil"/>
            </w:tcBorders>
            <w:vAlign w:val="center"/>
          </w:tcPr>
          <w:p w14:paraId="0303EBE0" w14:textId="77777777" w:rsidR="00730378" w:rsidRPr="002A443C" w:rsidRDefault="00730378" w:rsidP="00863ED9">
            <w:pPr>
              <w:pStyle w:val="Odsekzoznamu"/>
              <w:ind w:left="139"/>
              <w:jc w:val="right"/>
              <w:rPr>
                <w:rFonts w:ascii="Times New Roman" w:hAnsi="Times New Roman"/>
                <w:bCs/>
                <w:sz w:val="18"/>
                <w:szCs w:val="18"/>
              </w:rPr>
            </w:pPr>
            <w:r w:rsidRPr="002A443C">
              <w:rPr>
                <w:rFonts w:ascii="Times New Roman" w:hAnsi="Times New Roman"/>
                <w:bCs/>
                <w:sz w:val="18"/>
                <w:szCs w:val="18"/>
              </w:rPr>
              <w:t>347 134</w:t>
            </w:r>
          </w:p>
        </w:tc>
        <w:tc>
          <w:tcPr>
            <w:tcW w:w="1160" w:type="dxa"/>
            <w:tcBorders>
              <w:left w:val="nil"/>
            </w:tcBorders>
            <w:vAlign w:val="center"/>
          </w:tcPr>
          <w:p w14:paraId="487C96F6" w14:textId="77777777" w:rsidR="00730378" w:rsidRPr="002A443C" w:rsidRDefault="00730378" w:rsidP="00863ED9">
            <w:pPr>
              <w:spacing w:after="0"/>
              <w:jc w:val="right"/>
              <w:rPr>
                <w:rFonts w:ascii="Times New Roman" w:hAnsi="Times New Roman"/>
                <w:bCs/>
                <w:sz w:val="18"/>
                <w:szCs w:val="18"/>
                <w:lang w:eastAsia="sk-SK"/>
              </w:rPr>
            </w:pPr>
            <w:r w:rsidRPr="002A443C">
              <w:rPr>
                <w:rFonts w:ascii="Times New Roman" w:hAnsi="Times New Roman"/>
                <w:bCs/>
                <w:sz w:val="18"/>
                <w:szCs w:val="18"/>
                <w:lang w:eastAsia="sk-SK"/>
              </w:rPr>
              <w:t>325 959</w:t>
            </w:r>
          </w:p>
        </w:tc>
      </w:tr>
      <w:tr w:rsidR="00730378" w:rsidRPr="002A443C" w14:paraId="7DD3F1CA" w14:textId="77777777" w:rsidTr="00CB723D">
        <w:trPr>
          <w:trHeight w:val="273"/>
          <w:jc w:val="center"/>
        </w:trPr>
        <w:tc>
          <w:tcPr>
            <w:tcW w:w="4250" w:type="dxa"/>
            <w:tcBorders>
              <w:right w:val="nil"/>
            </w:tcBorders>
            <w:noWrap/>
            <w:vAlign w:val="bottom"/>
            <w:hideMark/>
          </w:tcPr>
          <w:p w14:paraId="2F0016D9" w14:textId="77777777" w:rsidR="00730378" w:rsidRPr="002A443C" w:rsidRDefault="00730378" w:rsidP="00863ED9">
            <w:pPr>
              <w:spacing w:after="0" w:line="240" w:lineRule="auto"/>
              <w:rPr>
                <w:rFonts w:ascii="Times New Roman" w:hAnsi="Times New Roman"/>
                <w:b/>
                <w:bCs/>
                <w:sz w:val="18"/>
                <w:szCs w:val="18"/>
                <w:lang w:eastAsia="sk-SK"/>
              </w:rPr>
            </w:pPr>
            <w:r w:rsidRPr="002A443C">
              <w:rPr>
                <w:rFonts w:ascii="Times New Roman" w:hAnsi="Times New Roman"/>
                <w:b/>
                <w:bCs/>
                <w:sz w:val="18"/>
                <w:szCs w:val="18"/>
                <w:lang w:eastAsia="sk-SK"/>
              </w:rPr>
              <w:t>Spolu  (konsolidované)</w:t>
            </w:r>
          </w:p>
        </w:tc>
        <w:tc>
          <w:tcPr>
            <w:tcW w:w="1109" w:type="dxa"/>
            <w:gridSpan w:val="2"/>
            <w:tcBorders>
              <w:left w:val="nil"/>
              <w:right w:val="nil"/>
            </w:tcBorders>
            <w:vAlign w:val="bottom"/>
          </w:tcPr>
          <w:p w14:paraId="31795448" w14:textId="77777777" w:rsidR="00730378" w:rsidRPr="002A443C" w:rsidRDefault="00730378" w:rsidP="00863ED9">
            <w:pPr>
              <w:spacing w:after="0" w:line="240" w:lineRule="auto"/>
              <w:ind w:left="-107"/>
              <w:jc w:val="right"/>
              <w:rPr>
                <w:rFonts w:ascii="Times New Roman" w:hAnsi="Times New Roman"/>
                <w:b/>
                <w:bCs/>
                <w:sz w:val="18"/>
                <w:szCs w:val="18"/>
                <w:lang w:eastAsia="sk-SK"/>
              </w:rPr>
            </w:pPr>
            <w:r w:rsidRPr="002A443C">
              <w:rPr>
                <w:rFonts w:ascii="Times New Roman" w:hAnsi="Times New Roman"/>
                <w:b/>
                <w:bCs/>
                <w:sz w:val="18"/>
                <w:szCs w:val="18"/>
                <w:lang w:eastAsia="sk-SK"/>
              </w:rPr>
              <w:t>19 710 086</w:t>
            </w:r>
          </w:p>
        </w:tc>
        <w:tc>
          <w:tcPr>
            <w:tcW w:w="1188" w:type="dxa"/>
            <w:gridSpan w:val="2"/>
            <w:tcBorders>
              <w:left w:val="nil"/>
              <w:right w:val="nil"/>
            </w:tcBorders>
            <w:vAlign w:val="bottom"/>
          </w:tcPr>
          <w:p w14:paraId="16A312A5" w14:textId="77777777" w:rsidR="00730378" w:rsidRPr="002A443C" w:rsidRDefault="00730378" w:rsidP="00863ED9">
            <w:pPr>
              <w:spacing w:after="0" w:line="240" w:lineRule="auto"/>
              <w:jc w:val="right"/>
              <w:rPr>
                <w:rFonts w:ascii="Times New Roman" w:hAnsi="Times New Roman"/>
                <w:b/>
                <w:bCs/>
                <w:sz w:val="18"/>
                <w:szCs w:val="18"/>
                <w:lang w:eastAsia="sk-SK"/>
              </w:rPr>
            </w:pPr>
            <w:r w:rsidRPr="002A443C">
              <w:rPr>
                <w:rFonts w:ascii="Times New Roman" w:hAnsi="Times New Roman"/>
                <w:b/>
                <w:bCs/>
                <w:sz w:val="18"/>
                <w:szCs w:val="18"/>
                <w:lang w:eastAsia="sk-SK"/>
              </w:rPr>
              <w:t>20 187 890</w:t>
            </w:r>
          </w:p>
        </w:tc>
        <w:tc>
          <w:tcPr>
            <w:tcW w:w="1175" w:type="dxa"/>
            <w:gridSpan w:val="2"/>
            <w:tcBorders>
              <w:left w:val="nil"/>
              <w:right w:val="nil"/>
            </w:tcBorders>
            <w:vAlign w:val="bottom"/>
          </w:tcPr>
          <w:p w14:paraId="090EF82C" w14:textId="77777777" w:rsidR="00730378" w:rsidRPr="002A443C" w:rsidRDefault="00730378" w:rsidP="00863ED9">
            <w:pPr>
              <w:spacing w:after="0" w:line="240" w:lineRule="auto"/>
              <w:ind w:left="13"/>
              <w:jc w:val="right"/>
              <w:rPr>
                <w:rFonts w:ascii="Times New Roman" w:hAnsi="Times New Roman"/>
                <w:b/>
                <w:bCs/>
                <w:sz w:val="18"/>
                <w:szCs w:val="18"/>
                <w:lang w:eastAsia="sk-SK"/>
              </w:rPr>
            </w:pPr>
            <w:r w:rsidRPr="002A443C">
              <w:rPr>
                <w:rFonts w:ascii="Times New Roman" w:hAnsi="Times New Roman"/>
                <w:b/>
                <w:bCs/>
                <w:sz w:val="18"/>
                <w:szCs w:val="18"/>
                <w:lang w:eastAsia="sk-SK"/>
              </w:rPr>
              <w:t>20 245 585</w:t>
            </w:r>
          </w:p>
        </w:tc>
        <w:tc>
          <w:tcPr>
            <w:tcW w:w="1160" w:type="dxa"/>
            <w:tcBorders>
              <w:left w:val="nil"/>
            </w:tcBorders>
            <w:vAlign w:val="bottom"/>
          </w:tcPr>
          <w:p w14:paraId="1E535441" w14:textId="77777777" w:rsidR="00730378" w:rsidRPr="002A443C" w:rsidRDefault="00730378" w:rsidP="00863ED9">
            <w:pPr>
              <w:spacing w:after="0" w:line="240" w:lineRule="auto"/>
              <w:jc w:val="right"/>
              <w:rPr>
                <w:rFonts w:ascii="Times New Roman" w:hAnsi="Times New Roman"/>
                <w:b/>
                <w:bCs/>
                <w:sz w:val="18"/>
                <w:szCs w:val="18"/>
                <w:lang w:eastAsia="sk-SK"/>
              </w:rPr>
            </w:pPr>
            <w:r w:rsidRPr="002A443C">
              <w:rPr>
                <w:rFonts w:ascii="Times New Roman" w:hAnsi="Times New Roman"/>
                <w:b/>
                <w:bCs/>
                <w:sz w:val="18"/>
                <w:szCs w:val="18"/>
                <w:lang w:eastAsia="sk-SK"/>
              </w:rPr>
              <w:t>57 695</w:t>
            </w:r>
          </w:p>
        </w:tc>
      </w:tr>
    </w:tbl>
    <w:p w14:paraId="3B12AEE5" w14:textId="77777777" w:rsidR="002F251C" w:rsidRPr="00BD741B" w:rsidRDefault="002F251C" w:rsidP="004822D7">
      <w:pPr>
        <w:spacing w:after="120" w:line="240" w:lineRule="auto"/>
        <w:ind w:right="140"/>
        <w:jc w:val="right"/>
        <w:rPr>
          <w:rFonts w:ascii="Times New Roman" w:hAnsi="Times New Roman"/>
          <w:szCs w:val="22"/>
        </w:rPr>
      </w:pPr>
      <w:r w:rsidRPr="00BD741B">
        <w:rPr>
          <w:rFonts w:ascii="Times New Roman" w:hAnsi="Times New Roman"/>
          <w:sz w:val="18"/>
          <w:szCs w:val="18"/>
        </w:rPr>
        <w:t>Zdroj: Účtovné závierky subjektov</w:t>
      </w:r>
      <w:r>
        <w:rPr>
          <w:rFonts w:ascii="Times New Roman" w:hAnsi="Times New Roman"/>
          <w:sz w:val="18"/>
          <w:szCs w:val="18"/>
        </w:rPr>
        <w:t>, Centrálny konsolidačný systém</w:t>
      </w:r>
      <w:r w:rsidRPr="00BD741B">
        <w:rPr>
          <w:rFonts w:ascii="Times New Roman" w:hAnsi="Times New Roman"/>
          <w:sz w:val="18"/>
          <w:szCs w:val="18"/>
        </w:rPr>
        <w:t xml:space="preserve"> a databáza MF SR</w:t>
      </w:r>
      <w:r w:rsidRPr="00BD741B">
        <w:rPr>
          <w:rFonts w:ascii="Times New Roman" w:hAnsi="Times New Roman"/>
          <w:szCs w:val="22"/>
        </w:rPr>
        <w:t xml:space="preserve"> </w:t>
      </w:r>
    </w:p>
    <w:p w14:paraId="6BB41210" w14:textId="05B7D4B9" w:rsidR="000D30ED" w:rsidRDefault="000D30ED" w:rsidP="005D4A36">
      <w:pPr>
        <w:spacing w:before="240" w:line="240" w:lineRule="auto"/>
        <w:jc w:val="both"/>
        <w:rPr>
          <w:rFonts w:ascii="Times New Roman" w:hAnsi="Times New Roman"/>
          <w:szCs w:val="22"/>
          <w:lang w:eastAsia="cs-CZ"/>
        </w:rPr>
      </w:pPr>
      <w:r w:rsidRPr="00C66720">
        <w:rPr>
          <w:rFonts w:ascii="Times New Roman" w:hAnsi="Times New Roman"/>
          <w:szCs w:val="22"/>
        </w:rPr>
        <w:t xml:space="preserve">Medzi najvýznamnejšie podmienené záväzky patrí účasť SR na Európskom nástroji finančnej stability (EFSF) a Európskom mechanizme pre stabilitu (ESM). Ďalej sú to hroziace alebo už prebiehajúce súdne spory voči štátnym orgánom alebo podnikom štátnej správy, medzinárodné arbitráže, zabezpečovacie operácie Slovenského plynárenského priemyslu, záložné právo na majetok Slovenských elektrární a ďalšie. </w:t>
      </w:r>
      <w:r w:rsidRPr="000D30ED">
        <w:rPr>
          <w:rFonts w:ascii="Times New Roman" w:hAnsi="Times New Roman"/>
          <w:szCs w:val="22"/>
          <w:lang w:eastAsia="cs-CZ"/>
        </w:rPr>
        <w:t>Vybrané podmienené záväzky podľa subjektov na nekonsolidovanej báze sú uvedené v nasledovnom prehľade:</w:t>
      </w:r>
    </w:p>
    <w:p w14:paraId="6E2EFFC6" w14:textId="77777777" w:rsidR="00FC189E" w:rsidRDefault="00FC189E" w:rsidP="00FC189E">
      <w:pPr>
        <w:spacing w:after="0" w:line="240" w:lineRule="auto"/>
        <w:ind w:hanging="284"/>
        <w:rPr>
          <w:rFonts w:ascii="Times New Roman" w:hAnsi="Times New Roman"/>
          <w:szCs w:val="22"/>
        </w:rPr>
      </w:pPr>
      <w:r>
        <w:rPr>
          <w:rFonts w:ascii="Times New Roman" w:hAnsi="Times New Roman"/>
          <w:b/>
          <w:sz w:val="18"/>
          <w:szCs w:val="18"/>
        </w:rPr>
        <w:lastRenderedPageBreak/>
        <w:t>Tabuľka 30</w:t>
      </w:r>
    </w:p>
    <w:tbl>
      <w:tblPr>
        <w:tblW w:w="9604"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1176"/>
        <w:gridCol w:w="1176"/>
        <w:gridCol w:w="1176"/>
        <w:gridCol w:w="1236"/>
      </w:tblGrid>
      <w:tr w:rsidR="000D30ED" w:rsidRPr="000D30ED" w14:paraId="712CD2A6" w14:textId="77777777" w:rsidTr="00FC189E">
        <w:trPr>
          <w:trHeight w:val="276"/>
          <w:jc w:val="center"/>
        </w:trPr>
        <w:tc>
          <w:tcPr>
            <w:tcW w:w="9604" w:type="dxa"/>
            <w:gridSpan w:val="5"/>
            <w:shd w:val="clear" w:color="auto" w:fill="FABF8F" w:themeFill="accent6" w:themeFillTint="99"/>
            <w:vAlign w:val="center"/>
            <w:hideMark/>
          </w:tcPr>
          <w:p w14:paraId="378E8263" w14:textId="184DFC5D" w:rsidR="000D30ED" w:rsidRPr="00FC189E" w:rsidRDefault="000D30ED" w:rsidP="000D30ED">
            <w:pPr>
              <w:spacing w:after="0" w:line="240" w:lineRule="auto"/>
              <w:rPr>
                <w:rFonts w:ascii="Times New Roman" w:hAnsi="Times New Roman"/>
                <w:b/>
                <w:bCs/>
                <w:sz w:val="18"/>
                <w:szCs w:val="18"/>
                <w:lang w:eastAsia="sk-SK"/>
              </w:rPr>
            </w:pPr>
            <w:r w:rsidRPr="00FC189E">
              <w:rPr>
                <w:rFonts w:ascii="Times New Roman" w:hAnsi="Times New Roman"/>
                <w:sz w:val="18"/>
                <w:szCs w:val="18"/>
                <w:lang w:eastAsia="sk-SK"/>
              </w:rPr>
              <w:t> </w:t>
            </w:r>
            <w:r w:rsidRPr="00FC189E">
              <w:rPr>
                <w:rFonts w:ascii="Times New Roman" w:hAnsi="Times New Roman"/>
                <w:b/>
                <w:iCs/>
                <w:sz w:val="18"/>
                <w:szCs w:val="18"/>
              </w:rPr>
              <w:t xml:space="preserve">Prehľad najväčších podmienených záväzkov na nekonsolidovanej báze                                                   </w:t>
            </w:r>
            <w:r w:rsidR="00FC189E">
              <w:rPr>
                <w:rFonts w:ascii="Times New Roman" w:hAnsi="Times New Roman"/>
                <w:b/>
                <w:iCs/>
                <w:sz w:val="18"/>
                <w:szCs w:val="18"/>
              </w:rPr>
              <w:t xml:space="preserve">                   </w:t>
            </w:r>
            <w:r w:rsidRPr="00FC189E">
              <w:rPr>
                <w:rFonts w:ascii="Times New Roman" w:hAnsi="Times New Roman"/>
                <w:b/>
                <w:iCs/>
                <w:sz w:val="18"/>
                <w:szCs w:val="18"/>
              </w:rPr>
              <w:t xml:space="preserve"> </w:t>
            </w:r>
            <w:r w:rsidR="00FC189E">
              <w:rPr>
                <w:rFonts w:ascii="Times New Roman" w:hAnsi="Times New Roman"/>
                <w:b/>
                <w:iCs/>
                <w:sz w:val="18"/>
                <w:szCs w:val="18"/>
              </w:rPr>
              <w:t>(</w:t>
            </w:r>
            <w:r w:rsidRPr="00FC189E">
              <w:rPr>
                <w:rFonts w:ascii="Times New Roman" w:hAnsi="Times New Roman"/>
                <w:b/>
                <w:iCs/>
                <w:sz w:val="18"/>
                <w:szCs w:val="18"/>
              </w:rPr>
              <w:t xml:space="preserve">v tis. </w:t>
            </w:r>
            <w:r w:rsidR="00FC189E" w:rsidRPr="00FC189E">
              <w:rPr>
                <w:rFonts w:ascii="Times New Roman" w:hAnsi="Times New Roman"/>
                <w:b/>
                <w:iCs/>
                <w:sz w:val="18"/>
                <w:szCs w:val="18"/>
              </w:rPr>
              <w:t>eur</w:t>
            </w:r>
            <w:r w:rsidR="00FC189E">
              <w:rPr>
                <w:rFonts w:ascii="Times New Roman" w:hAnsi="Times New Roman"/>
                <w:b/>
                <w:iCs/>
                <w:sz w:val="18"/>
                <w:szCs w:val="18"/>
              </w:rPr>
              <w:t>)</w:t>
            </w:r>
          </w:p>
        </w:tc>
      </w:tr>
      <w:tr w:rsidR="000D30ED" w:rsidRPr="000D30ED" w14:paraId="408F6200" w14:textId="77777777" w:rsidTr="00FC189E">
        <w:trPr>
          <w:trHeight w:val="276"/>
          <w:jc w:val="center"/>
        </w:trPr>
        <w:tc>
          <w:tcPr>
            <w:tcW w:w="4840" w:type="dxa"/>
            <w:tcBorders>
              <w:right w:val="nil"/>
            </w:tcBorders>
            <w:shd w:val="clear" w:color="auto" w:fill="B8CCE4" w:themeFill="accent1" w:themeFillTint="66"/>
            <w:vAlign w:val="center"/>
          </w:tcPr>
          <w:p w14:paraId="6A2CE3F3" w14:textId="77777777" w:rsidR="000D30ED" w:rsidRPr="000D30ED" w:rsidRDefault="000D30ED" w:rsidP="000D30ED">
            <w:pPr>
              <w:spacing w:after="0" w:line="240" w:lineRule="auto"/>
              <w:rPr>
                <w:rFonts w:ascii="Times New Roman" w:hAnsi="Times New Roman"/>
                <w:color w:val="000000"/>
                <w:sz w:val="16"/>
                <w:szCs w:val="16"/>
                <w:lang w:eastAsia="sk-SK"/>
              </w:rPr>
            </w:pPr>
          </w:p>
        </w:tc>
        <w:tc>
          <w:tcPr>
            <w:tcW w:w="1176" w:type="dxa"/>
            <w:tcBorders>
              <w:left w:val="nil"/>
              <w:right w:val="nil"/>
            </w:tcBorders>
            <w:shd w:val="clear" w:color="auto" w:fill="B8CCE4" w:themeFill="accent1" w:themeFillTint="66"/>
            <w:vAlign w:val="bottom"/>
          </w:tcPr>
          <w:p w14:paraId="5731CB86" w14:textId="6EE5B182" w:rsidR="000D30ED" w:rsidRPr="000D30ED" w:rsidRDefault="000D30ED" w:rsidP="000D30ED">
            <w:pPr>
              <w:spacing w:after="0" w:line="240" w:lineRule="auto"/>
              <w:jc w:val="right"/>
              <w:rPr>
                <w:rFonts w:ascii="Times New Roman" w:hAnsi="Times New Roman"/>
                <w:b/>
                <w:bCs/>
                <w:sz w:val="16"/>
                <w:szCs w:val="16"/>
                <w:lang w:eastAsia="sk-SK"/>
              </w:rPr>
            </w:pPr>
            <w:r w:rsidRPr="000D30ED">
              <w:rPr>
                <w:rFonts w:ascii="Times New Roman" w:hAnsi="Times New Roman"/>
                <w:b/>
                <w:bCs/>
                <w:sz w:val="16"/>
                <w:szCs w:val="16"/>
                <w:lang w:eastAsia="sk-SK"/>
              </w:rPr>
              <w:t>2020</w:t>
            </w:r>
          </w:p>
        </w:tc>
        <w:tc>
          <w:tcPr>
            <w:tcW w:w="1176" w:type="dxa"/>
            <w:tcBorders>
              <w:left w:val="nil"/>
              <w:right w:val="nil"/>
            </w:tcBorders>
            <w:shd w:val="clear" w:color="auto" w:fill="B8CCE4" w:themeFill="accent1" w:themeFillTint="66"/>
            <w:vAlign w:val="bottom"/>
          </w:tcPr>
          <w:p w14:paraId="2C59C340" w14:textId="7CD7B4B8" w:rsidR="000D30ED" w:rsidRPr="000D30ED" w:rsidRDefault="000D30ED" w:rsidP="000D30ED">
            <w:pPr>
              <w:spacing w:after="0" w:line="240" w:lineRule="auto"/>
              <w:jc w:val="right"/>
              <w:rPr>
                <w:rFonts w:ascii="Times New Roman" w:hAnsi="Times New Roman"/>
                <w:b/>
                <w:bCs/>
                <w:sz w:val="16"/>
                <w:szCs w:val="16"/>
                <w:lang w:eastAsia="sk-SK"/>
              </w:rPr>
            </w:pPr>
            <w:r w:rsidRPr="000D30ED">
              <w:rPr>
                <w:rFonts w:ascii="Times New Roman" w:hAnsi="Times New Roman"/>
                <w:b/>
                <w:bCs/>
                <w:sz w:val="16"/>
                <w:szCs w:val="16"/>
                <w:lang w:eastAsia="sk-SK"/>
              </w:rPr>
              <w:t>2021</w:t>
            </w:r>
          </w:p>
        </w:tc>
        <w:tc>
          <w:tcPr>
            <w:tcW w:w="1176" w:type="dxa"/>
            <w:tcBorders>
              <w:left w:val="nil"/>
              <w:right w:val="nil"/>
            </w:tcBorders>
            <w:shd w:val="clear" w:color="auto" w:fill="B8CCE4" w:themeFill="accent1" w:themeFillTint="66"/>
            <w:vAlign w:val="bottom"/>
          </w:tcPr>
          <w:p w14:paraId="0AA4337D" w14:textId="7A3CF7A4" w:rsidR="000D30ED" w:rsidRPr="000D30ED" w:rsidRDefault="000D30ED" w:rsidP="000D30ED">
            <w:pPr>
              <w:spacing w:after="0" w:line="240" w:lineRule="auto"/>
              <w:jc w:val="right"/>
              <w:rPr>
                <w:rFonts w:ascii="Times New Roman" w:hAnsi="Times New Roman"/>
                <w:b/>
                <w:bCs/>
                <w:sz w:val="16"/>
                <w:szCs w:val="16"/>
                <w:lang w:eastAsia="sk-SK"/>
              </w:rPr>
            </w:pPr>
            <w:r w:rsidRPr="000D30ED">
              <w:rPr>
                <w:rFonts w:ascii="Times New Roman" w:hAnsi="Times New Roman"/>
                <w:b/>
                <w:bCs/>
                <w:sz w:val="16"/>
                <w:szCs w:val="16"/>
                <w:lang w:eastAsia="sk-SK"/>
              </w:rPr>
              <w:t>2022</w:t>
            </w:r>
          </w:p>
        </w:tc>
        <w:tc>
          <w:tcPr>
            <w:tcW w:w="1236" w:type="dxa"/>
            <w:tcBorders>
              <w:left w:val="nil"/>
            </w:tcBorders>
            <w:shd w:val="clear" w:color="auto" w:fill="B8CCE4" w:themeFill="accent1" w:themeFillTint="66"/>
            <w:vAlign w:val="bottom"/>
          </w:tcPr>
          <w:p w14:paraId="5857EF97" w14:textId="0FF55813" w:rsidR="000D30ED" w:rsidRPr="000D30ED" w:rsidRDefault="000D30ED" w:rsidP="000D30ED">
            <w:pPr>
              <w:spacing w:after="0" w:line="240" w:lineRule="auto"/>
              <w:jc w:val="right"/>
              <w:rPr>
                <w:rFonts w:ascii="Times New Roman" w:hAnsi="Times New Roman"/>
                <w:b/>
                <w:bCs/>
                <w:sz w:val="16"/>
                <w:szCs w:val="16"/>
                <w:lang w:eastAsia="sk-SK"/>
              </w:rPr>
            </w:pPr>
            <w:r w:rsidRPr="000D30ED">
              <w:rPr>
                <w:rFonts w:ascii="Times New Roman" w:hAnsi="Times New Roman"/>
                <w:b/>
                <w:bCs/>
                <w:sz w:val="16"/>
                <w:szCs w:val="16"/>
                <w:lang w:eastAsia="sk-SK"/>
              </w:rPr>
              <w:t>Δ2022-2021</w:t>
            </w:r>
          </w:p>
        </w:tc>
      </w:tr>
      <w:tr w:rsidR="000D30ED" w:rsidRPr="000D30ED" w14:paraId="124636CB" w14:textId="77777777" w:rsidTr="00863ED9">
        <w:trPr>
          <w:trHeight w:val="276"/>
          <w:jc w:val="center"/>
        </w:trPr>
        <w:tc>
          <w:tcPr>
            <w:tcW w:w="4840" w:type="dxa"/>
            <w:tcBorders>
              <w:right w:val="nil"/>
            </w:tcBorders>
            <w:noWrap/>
            <w:vAlign w:val="bottom"/>
            <w:hideMark/>
          </w:tcPr>
          <w:p w14:paraId="5F9A1D78" w14:textId="77777777" w:rsidR="000D30ED" w:rsidRPr="000D30ED" w:rsidRDefault="000D30ED" w:rsidP="000D30ED">
            <w:pPr>
              <w:spacing w:after="0" w:line="240" w:lineRule="auto"/>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 xml:space="preserve">Kapitál na požiadanie a záruky </w:t>
            </w:r>
          </w:p>
          <w:p w14:paraId="3669657A" w14:textId="77777777" w:rsidR="000D30ED" w:rsidRPr="000D30ED" w:rsidRDefault="000D30ED" w:rsidP="000D30ED">
            <w:pPr>
              <w:spacing w:after="0" w:line="240" w:lineRule="auto"/>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v medzinárodných finančných inštitúciách</w:t>
            </w:r>
          </w:p>
        </w:tc>
        <w:tc>
          <w:tcPr>
            <w:tcW w:w="1176" w:type="dxa"/>
            <w:tcBorders>
              <w:left w:val="nil"/>
              <w:right w:val="nil"/>
            </w:tcBorders>
            <w:vAlign w:val="center"/>
            <w:hideMark/>
          </w:tcPr>
          <w:p w14:paraId="0466CDD8"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9 775 515</w:t>
            </w:r>
          </w:p>
        </w:tc>
        <w:tc>
          <w:tcPr>
            <w:tcW w:w="1176" w:type="dxa"/>
            <w:tcBorders>
              <w:left w:val="nil"/>
              <w:right w:val="nil"/>
            </w:tcBorders>
            <w:vAlign w:val="center"/>
            <w:hideMark/>
          </w:tcPr>
          <w:p w14:paraId="76F386BF"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9 810 129</w:t>
            </w:r>
          </w:p>
        </w:tc>
        <w:tc>
          <w:tcPr>
            <w:tcW w:w="1176" w:type="dxa"/>
            <w:tcBorders>
              <w:left w:val="nil"/>
              <w:right w:val="nil"/>
            </w:tcBorders>
            <w:vAlign w:val="center"/>
          </w:tcPr>
          <w:p w14:paraId="77853ED3"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9 879 746</w:t>
            </w:r>
          </w:p>
        </w:tc>
        <w:tc>
          <w:tcPr>
            <w:tcW w:w="1236" w:type="dxa"/>
            <w:tcBorders>
              <w:left w:val="nil"/>
            </w:tcBorders>
            <w:vAlign w:val="center"/>
            <w:hideMark/>
          </w:tcPr>
          <w:p w14:paraId="4DC82527"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69 617</w:t>
            </w:r>
          </w:p>
        </w:tc>
      </w:tr>
      <w:tr w:rsidR="000D30ED" w:rsidRPr="000D30ED" w14:paraId="268E3C38" w14:textId="77777777" w:rsidTr="00863ED9">
        <w:trPr>
          <w:trHeight w:val="276"/>
          <w:jc w:val="center"/>
        </w:trPr>
        <w:tc>
          <w:tcPr>
            <w:tcW w:w="4840" w:type="dxa"/>
            <w:tcBorders>
              <w:bottom w:val="nil"/>
              <w:right w:val="nil"/>
            </w:tcBorders>
            <w:vAlign w:val="center"/>
            <w:hideMark/>
          </w:tcPr>
          <w:p w14:paraId="2AB0B342"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Európsky mechanizmus pre stabilitu (ESM)</w:t>
            </w:r>
          </w:p>
        </w:tc>
        <w:tc>
          <w:tcPr>
            <w:tcW w:w="1176" w:type="dxa"/>
            <w:tcBorders>
              <w:left w:val="nil"/>
              <w:bottom w:val="nil"/>
              <w:right w:val="nil"/>
            </w:tcBorders>
            <w:vAlign w:val="center"/>
            <w:hideMark/>
          </w:tcPr>
          <w:p w14:paraId="57D9B69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6 148 450</w:t>
            </w:r>
          </w:p>
        </w:tc>
        <w:tc>
          <w:tcPr>
            <w:tcW w:w="1176" w:type="dxa"/>
            <w:tcBorders>
              <w:left w:val="nil"/>
              <w:bottom w:val="nil"/>
              <w:right w:val="nil"/>
            </w:tcBorders>
            <w:vAlign w:val="center"/>
            <w:hideMark/>
          </w:tcPr>
          <w:p w14:paraId="563E302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6 148 450</w:t>
            </w:r>
          </w:p>
        </w:tc>
        <w:tc>
          <w:tcPr>
            <w:tcW w:w="1176" w:type="dxa"/>
            <w:tcBorders>
              <w:left w:val="nil"/>
              <w:bottom w:val="nil"/>
              <w:right w:val="nil"/>
            </w:tcBorders>
            <w:vAlign w:val="center"/>
          </w:tcPr>
          <w:p w14:paraId="2ACACAB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6 1448 450</w:t>
            </w:r>
          </w:p>
        </w:tc>
        <w:tc>
          <w:tcPr>
            <w:tcW w:w="1236" w:type="dxa"/>
            <w:tcBorders>
              <w:left w:val="nil"/>
              <w:bottom w:val="nil"/>
            </w:tcBorders>
            <w:vAlign w:val="center"/>
            <w:hideMark/>
          </w:tcPr>
          <w:p w14:paraId="40D0D52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45C63843" w14:textId="77777777" w:rsidTr="00863ED9">
        <w:trPr>
          <w:trHeight w:val="276"/>
          <w:jc w:val="center"/>
        </w:trPr>
        <w:tc>
          <w:tcPr>
            <w:tcW w:w="4840" w:type="dxa"/>
            <w:tcBorders>
              <w:top w:val="nil"/>
              <w:bottom w:val="nil"/>
              <w:right w:val="nil"/>
            </w:tcBorders>
            <w:vAlign w:val="center"/>
            <w:hideMark/>
          </w:tcPr>
          <w:p w14:paraId="39A8FE45"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Európsky nástroj finančnej stability (EFSF)</w:t>
            </w:r>
          </w:p>
        </w:tc>
        <w:tc>
          <w:tcPr>
            <w:tcW w:w="1176" w:type="dxa"/>
            <w:tcBorders>
              <w:top w:val="nil"/>
              <w:left w:val="nil"/>
              <w:bottom w:val="nil"/>
              <w:right w:val="nil"/>
            </w:tcBorders>
            <w:vAlign w:val="center"/>
            <w:hideMark/>
          </w:tcPr>
          <w:p w14:paraId="232F7350"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2 372 001</w:t>
            </w:r>
          </w:p>
        </w:tc>
        <w:tc>
          <w:tcPr>
            <w:tcW w:w="1176" w:type="dxa"/>
            <w:tcBorders>
              <w:top w:val="nil"/>
              <w:left w:val="nil"/>
              <w:bottom w:val="nil"/>
              <w:right w:val="nil"/>
            </w:tcBorders>
            <w:vAlign w:val="center"/>
            <w:hideMark/>
          </w:tcPr>
          <w:p w14:paraId="6E677A2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2 288 850</w:t>
            </w:r>
          </w:p>
        </w:tc>
        <w:tc>
          <w:tcPr>
            <w:tcW w:w="1176" w:type="dxa"/>
            <w:tcBorders>
              <w:top w:val="nil"/>
              <w:left w:val="nil"/>
              <w:bottom w:val="nil"/>
              <w:right w:val="nil"/>
            </w:tcBorders>
            <w:vAlign w:val="center"/>
          </w:tcPr>
          <w:p w14:paraId="12C6564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2 316 757</w:t>
            </w:r>
          </w:p>
        </w:tc>
        <w:tc>
          <w:tcPr>
            <w:tcW w:w="1236" w:type="dxa"/>
            <w:tcBorders>
              <w:top w:val="nil"/>
              <w:left w:val="nil"/>
              <w:bottom w:val="nil"/>
            </w:tcBorders>
            <w:vAlign w:val="center"/>
            <w:hideMark/>
          </w:tcPr>
          <w:p w14:paraId="5DE8C47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27 907</w:t>
            </w:r>
          </w:p>
        </w:tc>
      </w:tr>
      <w:tr w:rsidR="000D30ED" w:rsidRPr="000D30ED" w14:paraId="3C28449F" w14:textId="77777777" w:rsidTr="00863ED9">
        <w:trPr>
          <w:trHeight w:val="276"/>
          <w:jc w:val="center"/>
        </w:trPr>
        <w:tc>
          <w:tcPr>
            <w:tcW w:w="4840" w:type="dxa"/>
            <w:tcBorders>
              <w:top w:val="nil"/>
              <w:bottom w:val="nil"/>
              <w:right w:val="nil"/>
            </w:tcBorders>
            <w:noWrap/>
            <w:vAlign w:val="bottom"/>
            <w:hideMark/>
          </w:tcPr>
          <w:p w14:paraId="6069482A"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 xml:space="preserve">Európska investičná banka </w:t>
            </w:r>
          </w:p>
        </w:tc>
        <w:tc>
          <w:tcPr>
            <w:tcW w:w="1176" w:type="dxa"/>
            <w:tcBorders>
              <w:top w:val="nil"/>
              <w:left w:val="nil"/>
              <w:bottom w:val="nil"/>
              <w:right w:val="nil"/>
            </w:tcBorders>
            <w:vAlign w:val="center"/>
            <w:hideMark/>
          </w:tcPr>
          <w:p w14:paraId="42026DB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684 231</w:t>
            </w:r>
          </w:p>
        </w:tc>
        <w:tc>
          <w:tcPr>
            <w:tcW w:w="1176" w:type="dxa"/>
            <w:tcBorders>
              <w:top w:val="nil"/>
              <w:left w:val="nil"/>
              <w:bottom w:val="nil"/>
              <w:right w:val="nil"/>
            </w:tcBorders>
            <w:vAlign w:val="center"/>
            <w:hideMark/>
          </w:tcPr>
          <w:p w14:paraId="7236F17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684 231</w:t>
            </w:r>
          </w:p>
        </w:tc>
        <w:tc>
          <w:tcPr>
            <w:tcW w:w="1176" w:type="dxa"/>
            <w:tcBorders>
              <w:top w:val="nil"/>
              <w:left w:val="nil"/>
              <w:bottom w:val="nil"/>
              <w:right w:val="nil"/>
            </w:tcBorders>
            <w:vAlign w:val="center"/>
          </w:tcPr>
          <w:p w14:paraId="40DB78F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684 231</w:t>
            </w:r>
          </w:p>
        </w:tc>
        <w:tc>
          <w:tcPr>
            <w:tcW w:w="1236" w:type="dxa"/>
            <w:tcBorders>
              <w:top w:val="nil"/>
              <w:left w:val="nil"/>
              <w:bottom w:val="nil"/>
            </w:tcBorders>
            <w:vAlign w:val="center"/>
            <w:hideMark/>
          </w:tcPr>
          <w:p w14:paraId="3EBB8D4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60DBE2C3" w14:textId="77777777" w:rsidTr="00863ED9">
        <w:trPr>
          <w:trHeight w:val="276"/>
          <w:jc w:val="center"/>
        </w:trPr>
        <w:tc>
          <w:tcPr>
            <w:tcW w:w="4840" w:type="dxa"/>
            <w:tcBorders>
              <w:top w:val="nil"/>
              <w:bottom w:val="nil"/>
              <w:right w:val="nil"/>
            </w:tcBorders>
            <w:vAlign w:val="center"/>
            <w:hideMark/>
          </w:tcPr>
          <w:p w14:paraId="6FDD6173"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 xml:space="preserve">Medzinárodná banka pre obnovu a rozvoj </w:t>
            </w:r>
          </w:p>
        </w:tc>
        <w:tc>
          <w:tcPr>
            <w:tcW w:w="1176" w:type="dxa"/>
            <w:tcBorders>
              <w:top w:val="nil"/>
              <w:left w:val="nil"/>
              <w:bottom w:val="nil"/>
              <w:right w:val="nil"/>
            </w:tcBorders>
            <w:vAlign w:val="center"/>
            <w:hideMark/>
          </w:tcPr>
          <w:p w14:paraId="1AF062E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400 805</w:t>
            </w:r>
          </w:p>
        </w:tc>
        <w:tc>
          <w:tcPr>
            <w:tcW w:w="1176" w:type="dxa"/>
            <w:tcBorders>
              <w:top w:val="nil"/>
              <w:left w:val="nil"/>
              <w:bottom w:val="nil"/>
              <w:right w:val="nil"/>
            </w:tcBorders>
            <w:vAlign w:val="center"/>
            <w:hideMark/>
          </w:tcPr>
          <w:p w14:paraId="130E0D0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447 286</w:t>
            </w:r>
          </w:p>
        </w:tc>
        <w:tc>
          <w:tcPr>
            <w:tcW w:w="1176" w:type="dxa"/>
            <w:tcBorders>
              <w:top w:val="nil"/>
              <w:left w:val="nil"/>
              <w:bottom w:val="nil"/>
              <w:right w:val="nil"/>
            </w:tcBorders>
            <w:vAlign w:val="center"/>
          </w:tcPr>
          <w:p w14:paraId="1D15D33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488 809</w:t>
            </w:r>
          </w:p>
        </w:tc>
        <w:tc>
          <w:tcPr>
            <w:tcW w:w="1236" w:type="dxa"/>
            <w:tcBorders>
              <w:top w:val="nil"/>
              <w:left w:val="nil"/>
              <w:bottom w:val="nil"/>
            </w:tcBorders>
            <w:vAlign w:val="center"/>
            <w:hideMark/>
          </w:tcPr>
          <w:p w14:paraId="695444A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41 523</w:t>
            </w:r>
          </w:p>
        </w:tc>
      </w:tr>
      <w:tr w:rsidR="000D30ED" w:rsidRPr="000D30ED" w14:paraId="4895FA1F" w14:textId="77777777" w:rsidTr="00863ED9">
        <w:trPr>
          <w:trHeight w:val="276"/>
          <w:jc w:val="center"/>
        </w:trPr>
        <w:tc>
          <w:tcPr>
            <w:tcW w:w="4840" w:type="dxa"/>
            <w:tcBorders>
              <w:top w:val="nil"/>
              <w:bottom w:val="nil"/>
              <w:right w:val="nil"/>
            </w:tcBorders>
            <w:vAlign w:val="center"/>
            <w:hideMark/>
          </w:tcPr>
          <w:p w14:paraId="6E972FF9"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Európska banka pre obnovu a rozvoj</w:t>
            </w:r>
          </w:p>
        </w:tc>
        <w:tc>
          <w:tcPr>
            <w:tcW w:w="1176" w:type="dxa"/>
            <w:tcBorders>
              <w:top w:val="nil"/>
              <w:left w:val="nil"/>
              <w:bottom w:val="nil"/>
              <w:right w:val="nil"/>
            </w:tcBorders>
            <w:vAlign w:val="center"/>
            <w:hideMark/>
          </w:tcPr>
          <w:p w14:paraId="39185B3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101 359</w:t>
            </w:r>
          </w:p>
        </w:tc>
        <w:tc>
          <w:tcPr>
            <w:tcW w:w="1176" w:type="dxa"/>
            <w:tcBorders>
              <w:top w:val="nil"/>
              <w:left w:val="nil"/>
              <w:bottom w:val="nil"/>
              <w:right w:val="nil"/>
            </w:tcBorders>
            <w:vAlign w:val="center"/>
            <w:hideMark/>
          </w:tcPr>
          <w:p w14:paraId="766F4AD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101 359</w:t>
            </w:r>
          </w:p>
        </w:tc>
        <w:tc>
          <w:tcPr>
            <w:tcW w:w="1176" w:type="dxa"/>
            <w:tcBorders>
              <w:top w:val="nil"/>
              <w:left w:val="nil"/>
              <w:bottom w:val="nil"/>
              <w:right w:val="nil"/>
            </w:tcBorders>
            <w:vAlign w:val="center"/>
          </w:tcPr>
          <w:p w14:paraId="269693AA"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101 359</w:t>
            </w:r>
          </w:p>
        </w:tc>
        <w:tc>
          <w:tcPr>
            <w:tcW w:w="1236" w:type="dxa"/>
            <w:tcBorders>
              <w:top w:val="nil"/>
              <w:left w:val="nil"/>
              <w:bottom w:val="nil"/>
            </w:tcBorders>
            <w:vAlign w:val="center"/>
            <w:hideMark/>
          </w:tcPr>
          <w:p w14:paraId="79ABA2E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0A8EC526" w14:textId="77777777" w:rsidTr="00863ED9">
        <w:trPr>
          <w:trHeight w:val="276"/>
          <w:jc w:val="center"/>
        </w:trPr>
        <w:tc>
          <w:tcPr>
            <w:tcW w:w="4840" w:type="dxa"/>
            <w:tcBorders>
              <w:top w:val="nil"/>
              <w:bottom w:val="nil"/>
              <w:right w:val="nil"/>
            </w:tcBorders>
            <w:vAlign w:val="center"/>
            <w:hideMark/>
          </w:tcPr>
          <w:p w14:paraId="3CA94EB4"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Rozvojová banka rady Európy</w:t>
            </w:r>
          </w:p>
        </w:tc>
        <w:tc>
          <w:tcPr>
            <w:tcW w:w="1176" w:type="dxa"/>
            <w:tcBorders>
              <w:top w:val="nil"/>
              <w:left w:val="nil"/>
              <w:bottom w:val="nil"/>
              <w:right w:val="nil"/>
            </w:tcBorders>
            <w:vAlign w:val="center"/>
            <w:hideMark/>
          </w:tcPr>
          <w:p w14:paraId="463D284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16 854</w:t>
            </w:r>
          </w:p>
        </w:tc>
        <w:tc>
          <w:tcPr>
            <w:tcW w:w="1176" w:type="dxa"/>
            <w:tcBorders>
              <w:top w:val="nil"/>
              <w:left w:val="nil"/>
              <w:bottom w:val="nil"/>
              <w:right w:val="nil"/>
            </w:tcBorders>
            <w:vAlign w:val="center"/>
            <w:hideMark/>
          </w:tcPr>
          <w:p w14:paraId="333E2FCA"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16 854</w:t>
            </w:r>
          </w:p>
        </w:tc>
        <w:tc>
          <w:tcPr>
            <w:tcW w:w="1176" w:type="dxa"/>
            <w:tcBorders>
              <w:top w:val="nil"/>
              <w:left w:val="nil"/>
              <w:bottom w:val="nil"/>
              <w:right w:val="nil"/>
            </w:tcBorders>
            <w:vAlign w:val="center"/>
          </w:tcPr>
          <w:p w14:paraId="73BC1A9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16 854</w:t>
            </w:r>
          </w:p>
        </w:tc>
        <w:tc>
          <w:tcPr>
            <w:tcW w:w="1236" w:type="dxa"/>
            <w:tcBorders>
              <w:top w:val="nil"/>
              <w:left w:val="nil"/>
              <w:bottom w:val="nil"/>
            </w:tcBorders>
            <w:vAlign w:val="center"/>
            <w:hideMark/>
          </w:tcPr>
          <w:p w14:paraId="12560F1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5F5D7042" w14:textId="77777777" w:rsidTr="00863ED9">
        <w:trPr>
          <w:trHeight w:val="276"/>
          <w:jc w:val="center"/>
        </w:trPr>
        <w:tc>
          <w:tcPr>
            <w:tcW w:w="4840" w:type="dxa"/>
            <w:tcBorders>
              <w:top w:val="nil"/>
              <w:bottom w:val="nil"/>
              <w:right w:val="nil"/>
            </w:tcBorders>
            <w:vAlign w:val="center"/>
            <w:hideMark/>
          </w:tcPr>
          <w:p w14:paraId="222DEEB7"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Medzinárodná banka pre hospodársku spoluprácu</w:t>
            </w:r>
          </w:p>
        </w:tc>
        <w:tc>
          <w:tcPr>
            <w:tcW w:w="1176" w:type="dxa"/>
            <w:tcBorders>
              <w:top w:val="nil"/>
              <w:left w:val="nil"/>
              <w:bottom w:val="nil"/>
              <w:right w:val="nil"/>
            </w:tcBorders>
            <w:noWrap/>
            <w:vAlign w:val="bottom"/>
            <w:hideMark/>
          </w:tcPr>
          <w:p w14:paraId="572BA6E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10 658</w:t>
            </w:r>
          </w:p>
        </w:tc>
        <w:tc>
          <w:tcPr>
            <w:tcW w:w="1176" w:type="dxa"/>
            <w:tcBorders>
              <w:top w:val="nil"/>
              <w:left w:val="nil"/>
              <w:bottom w:val="nil"/>
              <w:right w:val="nil"/>
            </w:tcBorders>
            <w:noWrap/>
            <w:vAlign w:val="center"/>
            <w:hideMark/>
          </w:tcPr>
          <w:p w14:paraId="40AE4C73"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10 658</w:t>
            </w:r>
          </w:p>
        </w:tc>
        <w:tc>
          <w:tcPr>
            <w:tcW w:w="1176" w:type="dxa"/>
            <w:tcBorders>
              <w:top w:val="nil"/>
              <w:left w:val="nil"/>
              <w:bottom w:val="nil"/>
              <w:right w:val="nil"/>
            </w:tcBorders>
            <w:vAlign w:val="center"/>
          </w:tcPr>
          <w:p w14:paraId="79B7A68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10 658</w:t>
            </w:r>
          </w:p>
        </w:tc>
        <w:tc>
          <w:tcPr>
            <w:tcW w:w="1236" w:type="dxa"/>
            <w:tcBorders>
              <w:top w:val="nil"/>
              <w:left w:val="nil"/>
              <w:bottom w:val="nil"/>
            </w:tcBorders>
            <w:vAlign w:val="center"/>
            <w:hideMark/>
          </w:tcPr>
          <w:p w14:paraId="157C5F37"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3AD44EE5" w14:textId="77777777" w:rsidTr="00863ED9">
        <w:trPr>
          <w:trHeight w:val="276"/>
          <w:jc w:val="center"/>
        </w:trPr>
        <w:tc>
          <w:tcPr>
            <w:tcW w:w="4840" w:type="dxa"/>
            <w:tcBorders>
              <w:top w:val="nil"/>
              <w:bottom w:val="nil"/>
              <w:right w:val="nil"/>
            </w:tcBorders>
            <w:noWrap/>
            <w:vAlign w:val="bottom"/>
            <w:hideMark/>
          </w:tcPr>
          <w:p w14:paraId="1EA8856C"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 xml:space="preserve">Mnohostranná agentúra pre investičné záruky </w:t>
            </w:r>
          </w:p>
        </w:tc>
        <w:tc>
          <w:tcPr>
            <w:tcW w:w="1176" w:type="dxa"/>
            <w:tcBorders>
              <w:top w:val="nil"/>
              <w:left w:val="nil"/>
              <w:bottom w:val="nil"/>
              <w:right w:val="nil"/>
            </w:tcBorders>
            <w:vAlign w:val="center"/>
            <w:hideMark/>
          </w:tcPr>
          <w:p w14:paraId="421333D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2 793</w:t>
            </w:r>
          </w:p>
        </w:tc>
        <w:tc>
          <w:tcPr>
            <w:tcW w:w="1176" w:type="dxa"/>
            <w:tcBorders>
              <w:top w:val="nil"/>
              <w:left w:val="nil"/>
              <w:bottom w:val="nil"/>
              <w:right w:val="nil"/>
            </w:tcBorders>
            <w:vAlign w:val="center"/>
            <w:hideMark/>
          </w:tcPr>
          <w:p w14:paraId="75B95E87"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3 026</w:t>
            </w:r>
          </w:p>
        </w:tc>
        <w:tc>
          <w:tcPr>
            <w:tcW w:w="1176" w:type="dxa"/>
            <w:tcBorders>
              <w:top w:val="nil"/>
              <w:left w:val="nil"/>
              <w:bottom w:val="nil"/>
              <w:right w:val="nil"/>
            </w:tcBorders>
            <w:vAlign w:val="center"/>
          </w:tcPr>
          <w:p w14:paraId="636C588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3 213</w:t>
            </w:r>
          </w:p>
        </w:tc>
        <w:tc>
          <w:tcPr>
            <w:tcW w:w="1236" w:type="dxa"/>
            <w:tcBorders>
              <w:top w:val="nil"/>
              <w:left w:val="nil"/>
              <w:bottom w:val="nil"/>
            </w:tcBorders>
            <w:vAlign w:val="center"/>
            <w:hideMark/>
          </w:tcPr>
          <w:p w14:paraId="4E8E0EA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187</w:t>
            </w:r>
          </w:p>
        </w:tc>
      </w:tr>
      <w:tr w:rsidR="000D30ED" w:rsidRPr="000D30ED" w14:paraId="181FA16C" w14:textId="77777777" w:rsidTr="00863ED9">
        <w:trPr>
          <w:trHeight w:val="276"/>
          <w:jc w:val="center"/>
        </w:trPr>
        <w:tc>
          <w:tcPr>
            <w:tcW w:w="4840" w:type="dxa"/>
            <w:tcBorders>
              <w:top w:val="nil"/>
              <w:bottom w:val="nil"/>
              <w:right w:val="nil"/>
            </w:tcBorders>
            <w:noWrap/>
            <w:vAlign w:val="bottom"/>
            <w:hideMark/>
          </w:tcPr>
          <w:p w14:paraId="7DE36C32"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 xml:space="preserve">Medzinárodná investičná banka </w:t>
            </w:r>
          </w:p>
        </w:tc>
        <w:tc>
          <w:tcPr>
            <w:tcW w:w="1176" w:type="dxa"/>
            <w:tcBorders>
              <w:top w:val="nil"/>
              <w:left w:val="nil"/>
              <w:bottom w:val="nil"/>
              <w:right w:val="nil"/>
            </w:tcBorders>
            <w:vAlign w:val="center"/>
            <w:hideMark/>
          </w:tcPr>
          <w:p w14:paraId="18BAC58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38 364</w:t>
            </w:r>
          </w:p>
        </w:tc>
        <w:tc>
          <w:tcPr>
            <w:tcW w:w="1176" w:type="dxa"/>
            <w:tcBorders>
              <w:top w:val="nil"/>
              <w:left w:val="nil"/>
              <w:bottom w:val="nil"/>
              <w:right w:val="nil"/>
            </w:tcBorders>
            <w:vAlign w:val="center"/>
            <w:hideMark/>
          </w:tcPr>
          <w:p w14:paraId="5038C68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33 931</w:t>
            </w:r>
          </w:p>
        </w:tc>
        <w:tc>
          <w:tcPr>
            <w:tcW w:w="1176" w:type="dxa"/>
            <w:tcBorders>
              <w:top w:val="nil"/>
              <w:left w:val="nil"/>
              <w:bottom w:val="nil"/>
              <w:right w:val="nil"/>
            </w:tcBorders>
            <w:vAlign w:val="center"/>
          </w:tcPr>
          <w:p w14:paraId="2D25E86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33 931</w:t>
            </w:r>
          </w:p>
        </w:tc>
        <w:tc>
          <w:tcPr>
            <w:tcW w:w="1236" w:type="dxa"/>
            <w:tcBorders>
              <w:top w:val="nil"/>
              <w:left w:val="nil"/>
              <w:bottom w:val="nil"/>
            </w:tcBorders>
            <w:vAlign w:val="center"/>
            <w:hideMark/>
          </w:tcPr>
          <w:p w14:paraId="2250FDA7"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6AD3C34E" w14:textId="77777777" w:rsidTr="00863ED9">
        <w:trPr>
          <w:trHeight w:val="276"/>
          <w:jc w:val="center"/>
        </w:trPr>
        <w:tc>
          <w:tcPr>
            <w:tcW w:w="4840" w:type="dxa"/>
            <w:tcBorders>
              <w:top w:val="nil"/>
              <w:bottom w:val="nil"/>
              <w:right w:val="nil"/>
            </w:tcBorders>
            <w:noWrap/>
            <w:vAlign w:val="bottom"/>
            <w:hideMark/>
          </w:tcPr>
          <w:p w14:paraId="10807717"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Paneurópsky garančný fond</w:t>
            </w:r>
          </w:p>
        </w:tc>
        <w:tc>
          <w:tcPr>
            <w:tcW w:w="1176" w:type="dxa"/>
            <w:tcBorders>
              <w:top w:val="nil"/>
              <w:left w:val="nil"/>
              <w:bottom w:val="nil"/>
              <w:right w:val="nil"/>
            </w:tcBorders>
            <w:vAlign w:val="center"/>
            <w:hideMark/>
          </w:tcPr>
          <w:p w14:paraId="2B65727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176" w:type="dxa"/>
            <w:tcBorders>
              <w:top w:val="nil"/>
              <w:left w:val="nil"/>
              <w:bottom w:val="nil"/>
              <w:right w:val="nil"/>
            </w:tcBorders>
            <w:vAlign w:val="center"/>
            <w:hideMark/>
          </w:tcPr>
          <w:p w14:paraId="6DE41EA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75 484</w:t>
            </w:r>
          </w:p>
        </w:tc>
        <w:tc>
          <w:tcPr>
            <w:tcW w:w="1176" w:type="dxa"/>
            <w:tcBorders>
              <w:top w:val="nil"/>
              <w:left w:val="nil"/>
              <w:bottom w:val="nil"/>
              <w:right w:val="nil"/>
            </w:tcBorders>
            <w:vAlign w:val="center"/>
          </w:tcPr>
          <w:p w14:paraId="6379096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75 484</w:t>
            </w:r>
          </w:p>
        </w:tc>
        <w:tc>
          <w:tcPr>
            <w:tcW w:w="1236" w:type="dxa"/>
            <w:tcBorders>
              <w:top w:val="nil"/>
              <w:left w:val="nil"/>
              <w:bottom w:val="nil"/>
            </w:tcBorders>
            <w:vAlign w:val="center"/>
            <w:hideMark/>
          </w:tcPr>
          <w:p w14:paraId="356B276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285DBD04" w14:textId="77777777" w:rsidTr="00863ED9">
        <w:trPr>
          <w:trHeight w:val="276"/>
          <w:jc w:val="center"/>
        </w:trPr>
        <w:tc>
          <w:tcPr>
            <w:tcW w:w="4840" w:type="dxa"/>
            <w:tcBorders>
              <w:top w:val="nil"/>
              <w:bottom w:val="nil"/>
              <w:right w:val="nil"/>
            </w:tcBorders>
            <w:vAlign w:val="center"/>
            <w:hideMark/>
          </w:tcPr>
          <w:p w14:paraId="58F87135" w14:textId="77777777" w:rsidR="000D30ED" w:rsidRPr="000D30ED" w:rsidRDefault="000D30ED" w:rsidP="000D30ED">
            <w:pPr>
              <w:spacing w:after="0" w:line="240" w:lineRule="auto"/>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Medzinárodné investičné arbitráže</w:t>
            </w:r>
          </w:p>
        </w:tc>
        <w:tc>
          <w:tcPr>
            <w:tcW w:w="1176" w:type="dxa"/>
            <w:tcBorders>
              <w:top w:val="nil"/>
              <w:left w:val="nil"/>
              <w:bottom w:val="nil"/>
              <w:right w:val="nil"/>
            </w:tcBorders>
            <w:noWrap/>
            <w:vAlign w:val="bottom"/>
            <w:hideMark/>
          </w:tcPr>
          <w:p w14:paraId="4E1BF16B"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28 692</w:t>
            </w:r>
          </w:p>
        </w:tc>
        <w:tc>
          <w:tcPr>
            <w:tcW w:w="1176" w:type="dxa"/>
            <w:tcBorders>
              <w:top w:val="nil"/>
              <w:left w:val="nil"/>
              <w:bottom w:val="nil"/>
              <w:right w:val="nil"/>
            </w:tcBorders>
            <w:noWrap/>
            <w:vAlign w:val="bottom"/>
            <w:hideMark/>
          </w:tcPr>
          <w:p w14:paraId="210976AE"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28 692</w:t>
            </w:r>
          </w:p>
        </w:tc>
        <w:tc>
          <w:tcPr>
            <w:tcW w:w="1176" w:type="dxa"/>
            <w:tcBorders>
              <w:top w:val="nil"/>
              <w:left w:val="nil"/>
              <w:bottom w:val="nil"/>
              <w:right w:val="nil"/>
            </w:tcBorders>
            <w:noWrap/>
            <w:vAlign w:val="bottom"/>
          </w:tcPr>
          <w:p w14:paraId="031ABEC4"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28 692</w:t>
            </w:r>
          </w:p>
        </w:tc>
        <w:tc>
          <w:tcPr>
            <w:tcW w:w="1236" w:type="dxa"/>
            <w:tcBorders>
              <w:top w:val="nil"/>
              <w:left w:val="nil"/>
              <w:bottom w:val="nil"/>
            </w:tcBorders>
            <w:noWrap/>
            <w:vAlign w:val="bottom"/>
            <w:hideMark/>
          </w:tcPr>
          <w:p w14:paraId="3415189B"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0</w:t>
            </w:r>
          </w:p>
        </w:tc>
      </w:tr>
      <w:tr w:rsidR="000D30ED" w:rsidRPr="000D30ED" w14:paraId="5EDB7508" w14:textId="77777777" w:rsidTr="00863ED9">
        <w:trPr>
          <w:trHeight w:val="276"/>
          <w:jc w:val="center"/>
        </w:trPr>
        <w:tc>
          <w:tcPr>
            <w:tcW w:w="4840" w:type="dxa"/>
            <w:tcBorders>
              <w:top w:val="nil"/>
              <w:bottom w:val="nil"/>
              <w:right w:val="nil"/>
            </w:tcBorders>
            <w:vAlign w:val="center"/>
            <w:hideMark/>
          </w:tcPr>
          <w:p w14:paraId="2F29109B"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 xml:space="preserve">Zdravotná poisťovňa Union, a.s. </w:t>
            </w:r>
          </w:p>
        </w:tc>
        <w:tc>
          <w:tcPr>
            <w:tcW w:w="1176" w:type="dxa"/>
            <w:tcBorders>
              <w:top w:val="nil"/>
              <w:left w:val="nil"/>
              <w:bottom w:val="nil"/>
              <w:right w:val="nil"/>
            </w:tcBorders>
            <w:vAlign w:val="center"/>
            <w:hideMark/>
          </w:tcPr>
          <w:p w14:paraId="556ECF17"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28 692</w:t>
            </w:r>
          </w:p>
        </w:tc>
        <w:tc>
          <w:tcPr>
            <w:tcW w:w="1176" w:type="dxa"/>
            <w:tcBorders>
              <w:top w:val="nil"/>
              <w:left w:val="nil"/>
              <w:bottom w:val="nil"/>
              <w:right w:val="nil"/>
            </w:tcBorders>
            <w:vAlign w:val="center"/>
            <w:hideMark/>
          </w:tcPr>
          <w:p w14:paraId="170B9BD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28 692</w:t>
            </w:r>
          </w:p>
        </w:tc>
        <w:tc>
          <w:tcPr>
            <w:tcW w:w="1176" w:type="dxa"/>
            <w:tcBorders>
              <w:top w:val="nil"/>
              <w:left w:val="nil"/>
              <w:bottom w:val="nil"/>
              <w:right w:val="nil"/>
            </w:tcBorders>
            <w:vAlign w:val="center"/>
          </w:tcPr>
          <w:p w14:paraId="3365816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28 692</w:t>
            </w:r>
          </w:p>
        </w:tc>
        <w:tc>
          <w:tcPr>
            <w:tcW w:w="1236" w:type="dxa"/>
            <w:tcBorders>
              <w:top w:val="nil"/>
              <w:left w:val="nil"/>
              <w:bottom w:val="nil"/>
            </w:tcBorders>
            <w:noWrap/>
            <w:vAlign w:val="bottom"/>
            <w:hideMark/>
          </w:tcPr>
          <w:p w14:paraId="5823575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42E23DB2" w14:textId="77777777" w:rsidTr="00863ED9">
        <w:trPr>
          <w:trHeight w:val="276"/>
          <w:jc w:val="center"/>
        </w:trPr>
        <w:tc>
          <w:tcPr>
            <w:tcW w:w="4840" w:type="dxa"/>
            <w:tcBorders>
              <w:top w:val="nil"/>
              <w:bottom w:val="nil"/>
              <w:right w:val="nil"/>
            </w:tcBorders>
            <w:vAlign w:val="center"/>
            <w:hideMark/>
          </w:tcPr>
          <w:p w14:paraId="2425A37A" w14:textId="77777777" w:rsidR="000D30ED" w:rsidRPr="000D30ED" w:rsidRDefault="000D30ED" w:rsidP="000D30ED">
            <w:pPr>
              <w:spacing w:after="0" w:line="240" w:lineRule="auto"/>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Hroziace alebo prebiehajúce súdne spory</w:t>
            </w:r>
          </w:p>
        </w:tc>
        <w:tc>
          <w:tcPr>
            <w:tcW w:w="1176" w:type="dxa"/>
            <w:tcBorders>
              <w:top w:val="nil"/>
              <w:left w:val="nil"/>
              <w:bottom w:val="nil"/>
              <w:right w:val="nil"/>
            </w:tcBorders>
            <w:vAlign w:val="center"/>
            <w:hideMark/>
          </w:tcPr>
          <w:p w14:paraId="52FD448E"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4 153 954</w:t>
            </w:r>
          </w:p>
        </w:tc>
        <w:tc>
          <w:tcPr>
            <w:tcW w:w="1176" w:type="dxa"/>
            <w:tcBorders>
              <w:top w:val="nil"/>
              <w:left w:val="nil"/>
              <w:bottom w:val="nil"/>
              <w:right w:val="nil"/>
            </w:tcBorders>
            <w:vAlign w:val="center"/>
            <w:hideMark/>
          </w:tcPr>
          <w:p w14:paraId="593BCF21"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4 009 975</w:t>
            </w:r>
          </w:p>
        </w:tc>
        <w:tc>
          <w:tcPr>
            <w:tcW w:w="1176" w:type="dxa"/>
            <w:tcBorders>
              <w:top w:val="nil"/>
              <w:left w:val="nil"/>
              <w:bottom w:val="nil"/>
              <w:right w:val="nil"/>
            </w:tcBorders>
            <w:vAlign w:val="center"/>
          </w:tcPr>
          <w:p w14:paraId="66861321"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4 040 590</w:t>
            </w:r>
          </w:p>
        </w:tc>
        <w:tc>
          <w:tcPr>
            <w:tcW w:w="1236" w:type="dxa"/>
            <w:tcBorders>
              <w:top w:val="nil"/>
              <w:left w:val="nil"/>
              <w:bottom w:val="nil"/>
            </w:tcBorders>
            <w:vAlign w:val="center"/>
            <w:hideMark/>
          </w:tcPr>
          <w:p w14:paraId="4098D9A4"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30 615</w:t>
            </w:r>
          </w:p>
        </w:tc>
      </w:tr>
      <w:tr w:rsidR="000D30ED" w:rsidRPr="000D30ED" w14:paraId="0BF6CB5F" w14:textId="77777777" w:rsidTr="00863ED9">
        <w:trPr>
          <w:trHeight w:val="276"/>
          <w:jc w:val="center"/>
        </w:trPr>
        <w:tc>
          <w:tcPr>
            <w:tcW w:w="4840" w:type="dxa"/>
            <w:tcBorders>
              <w:top w:val="nil"/>
              <w:bottom w:val="nil"/>
              <w:right w:val="nil"/>
            </w:tcBorders>
            <w:vAlign w:val="center"/>
            <w:hideMark/>
          </w:tcPr>
          <w:p w14:paraId="7C65BCB0"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Ministerstvo financií SR</w:t>
            </w:r>
          </w:p>
        </w:tc>
        <w:tc>
          <w:tcPr>
            <w:tcW w:w="1176" w:type="dxa"/>
            <w:tcBorders>
              <w:top w:val="nil"/>
              <w:left w:val="nil"/>
              <w:bottom w:val="nil"/>
              <w:right w:val="nil"/>
            </w:tcBorders>
            <w:vAlign w:val="center"/>
            <w:hideMark/>
          </w:tcPr>
          <w:p w14:paraId="6604A2C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1 433 565</w:t>
            </w:r>
          </w:p>
        </w:tc>
        <w:tc>
          <w:tcPr>
            <w:tcW w:w="1176" w:type="dxa"/>
            <w:tcBorders>
              <w:top w:val="nil"/>
              <w:left w:val="nil"/>
              <w:bottom w:val="nil"/>
              <w:right w:val="nil"/>
            </w:tcBorders>
            <w:vAlign w:val="center"/>
            <w:hideMark/>
          </w:tcPr>
          <w:p w14:paraId="5AE56310"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1 435 530</w:t>
            </w:r>
          </w:p>
        </w:tc>
        <w:tc>
          <w:tcPr>
            <w:tcW w:w="1176" w:type="dxa"/>
            <w:tcBorders>
              <w:top w:val="nil"/>
              <w:left w:val="nil"/>
              <w:bottom w:val="nil"/>
              <w:right w:val="nil"/>
            </w:tcBorders>
            <w:vAlign w:val="center"/>
          </w:tcPr>
          <w:p w14:paraId="2D16548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1 435 571</w:t>
            </w:r>
          </w:p>
        </w:tc>
        <w:tc>
          <w:tcPr>
            <w:tcW w:w="1236" w:type="dxa"/>
            <w:tcBorders>
              <w:top w:val="nil"/>
              <w:left w:val="nil"/>
              <w:bottom w:val="nil"/>
            </w:tcBorders>
            <w:vAlign w:val="center"/>
          </w:tcPr>
          <w:p w14:paraId="4CB662B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41</w:t>
            </w:r>
          </w:p>
        </w:tc>
      </w:tr>
      <w:tr w:rsidR="000D30ED" w:rsidRPr="000D30ED" w14:paraId="38F934DC" w14:textId="77777777" w:rsidTr="00863ED9">
        <w:trPr>
          <w:trHeight w:val="276"/>
          <w:jc w:val="center"/>
        </w:trPr>
        <w:tc>
          <w:tcPr>
            <w:tcW w:w="4840" w:type="dxa"/>
            <w:tcBorders>
              <w:top w:val="nil"/>
              <w:bottom w:val="nil"/>
              <w:right w:val="nil"/>
            </w:tcBorders>
            <w:vAlign w:val="center"/>
            <w:hideMark/>
          </w:tcPr>
          <w:p w14:paraId="15E4C5C5"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Ministerstvo vnútra SR</w:t>
            </w:r>
          </w:p>
        </w:tc>
        <w:tc>
          <w:tcPr>
            <w:tcW w:w="1176" w:type="dxa"/>
            <w:tcBorders>
              <w:top w:val="nil"/>
              <w:left w:val="nil"/>
              <w:bottom w:val="nil"/>
              <w:right w:val="nil"/>
            </w:tcBorders>
            <w:vAlign w:val="center"/>
            <w:hideMark/>
          </w:tcPr>
          <w:p w14:paraId="0483CA4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1 140 340</w:t>
            </w:r>
          </w:p>
        </w:tc>
        <w:tc>
          <w:tcPr>
            <w:tcW w:w="1176" w:type="dxa"/>
            <w:tcBorders>
              <w:top w:val="nil"/>
              <w:left w:val="nil"/>
              <w:bottom w:val="nil"/>
              <w:right w:val="nil"/>
            </w:tcBorders>
            <w:vAlign w:val="center"/>
            <w:hideMark/>
          </w:tcPr>
          <w:p w14:paraId="4EF3794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1 140 308</w:t>
            </w:r>
          </w:p>
        </w:tc>
        <w:tc>
          <w:tcPr>
            <w:tcW w:w="1176" w:type="dxa"/>
            <w:tcBorders>
              <w:top w:val="nil"/>
              <w:left w:val="nil"/>
              <w:bottom w:val="nil"/>
              <w:right w:val="nil"/>
            </w:tcBorders>
            <w:vAlign w:val="center"/>
          </w:tcPr>
          <w:p w14:paraId="6D808C2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1 095 485</w:t>
            </w:r>
          </w:p>
        </w:tc>
        <w:tc>
          <w:tcPr>
            <w:tcW w:w="1236" w:type="dxa"/>
            <w:tcBorders>
              <w:top w:val="nil"/>
              <w:left w:val="nil"/>
              <w:bottom w:val="nil"/>
            </w:tcBorders>
            <w:vAlign w:val="center"/>
          </w:tcPr>
          <w:p w14:paraId="778EB66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-44 823</w:t>
            </w:r>
          </w:p>
        </w:tc>
      </w:tr>
      <w:tr w:rsidR="000D30ED" w:rsidRPr="000D30ED" w14:paraId="5C16A86D" w14:textId="77777777" w:rsidTr="00863ED9">
        <w:trPr>
          <w:trHeight w:val="276"/>
          <w:jc w:val="center"/>
        </w:trPr>
        <w:tc>
          <w:tcPr>
            <w:tcW w:w="4840" w:type="dxa"/>
            <w:tcBorders>
              <w:top w:val="nil"/>
              <w:bottom w:val="nil"/>
              <w:right w:val="nil"/>
            </w:tcBorders>
            <w:vAlign w:val="center"/>
            <w:hideMark/>
          </w:tcPr>
          <w:p w14:paraId="4B6DBDDA"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Ministerstvo práce, sociálnych vecí a rodiny SR</w:t>
            </w:r>
          </w:p>
        </w:tc>
        <w:tc>
          <w:tcPr>
            <w:tcW w:w="1176" w:type="dxa"/>
            <w:tcBorders>
              <w:top w:val="nil"/>
              <w:left w:val="nil"/>
              <w:bottom w:val="nil"/>
              <w:right w:val="nil"/>
            </w:tcBorders>
            <w:vAlign w:val="center"/>
            <w:hideMark/>
          </w:tcPr>
          <w:p w14:paraId="4C193D8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452 469</w:t>
            </w:r>
          </w:p>
        </w:tc>
        <w:tc>
          <w:tcPr>
            <w:tcW w:w="1176" w:type="dxa"/>
            <w:tcBorders>
              <w:top w:val="nil"/>
              <w:left w:val="nil"/>
              <w:bottom w:val="nil"/>
              <w:right w:val="nil"/>
            </w:tcBorders>
            <w:vAlign w:val="center"/>
            <w:hideMark/>
          </w:tcPr>
          <w:p w14:paraId="7F5AE62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451 102</w:t>
            </w:r>
          </w:p>
        </w:tc>
        <w:tc>
          <w:tcPr>
            <w:tcW w:w="1176" w:type="dxa"/>
            <w:tcBorders>
              <w:top w:val="nil"/>
              <w:left w:val="nil"/>
              <w:bottom w:val="nil"/>
              <w:right w:val="nil"/>
            </w:tcBorders>
            <w:vAlign w:val="center"/>
          </w:tcPr>
          <w:p w14:paraId="5D3CF64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450 804</w:t>
            </w:r>
          </w:p>
        </w:tc>
        <w:tc>
          <w:tcPr>
            <w:tcW w:w="1236" w:type="dxa"/>
            <w:tcBorders>
              <w:top w:val="nil"/>
              <w:left w:val="nil"/>
              <w:bottom w:val="nil"/>
            </w:tcBorders>
            <w:vAlign w:val="center"/>
          </w:tcPr>
          <w:p w14:paraId="06C203C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-298</w:t>
            </w:r>
          </w:p>
        </w:tc>
      </w:tr>
      <w:tr w:rsidR="000D30ED" w:rsidRPr="000D30ED" w14:paraId="7086AFCC" w14:textId="77777777" w:rsidTr="00863ED9">
        <w:trPr>
          <w:trHeight w:val="276"/>
          <w:jc w:val="center"/>
        </w:trPr>
        <w:tc>
          <w:tcPr>
            <w:tcW w:w="4840" w:type="dxa"/>
            <w:tcBorders>
              <w:top w:val="nil"/>
              <w:bottom w:val="nil"/>
              <w:right w:val="nil"/>
            </w:tcBorders>
            <w:vAlign w:val="center"/>
          </w:tcPr>
          <w:p w14:paraId="6C4848F8"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Úrad pre dohľad nad zdravotnou starostlivosťou SR</w:t>
            </w:r>
          </w:p>
        </w:tc>
        <w:tc>
          <w:tcPr>
            <w:tcW w:w="1176" w:type="dxa"/>
            <w:tcBorders>
              <w:top w:val="nil"/>
              <w:left w:val="nil"/>
              <w:bottom w:val="nil"/>
              <w:right w:val="nil"/>
            </w:tcBorders>
            <w:vAlign w:val="center"/>
          </w:tcPr>
          <w:p w14:paraId="2C24371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14:paraId="04628E3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14:paraId="53F7203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280 000</w:t>
            </w:r>
          </w:p>
        </w:tc>
        <w:tc>
          <w:tcPr>
            <w:tcW w:w="1236" w:type="dxa"/>
            <w:tcBorders>
              <w:top w:val="nil"/>
              <w:left w:val="nil"/>
              <w:bottom w:val="nil"/>
            </w:tcBorders>
            <w:vAlign w:val="center"/>
          </w:tcPr>
          <w:p w14:paraId="4A9C7D7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280 000</w:t>
            </w:r>
          </w:p>
        </w:tc>
      </w:tr>
      <w:tr w:rsidR="000D30ED" w:rsidRPr="000D30ED" w14:paraId="16E5225B" w14:textId="77777777" w:rsidTr="00863ED9">
        <w:trPr>
          <w:trHeight w:val="276"/>
          <w:jc w:val="center"/>
        </w:trPr>
        <w:tc>
          <w:tcPr>
            <w:tcW w:w="4840" w:type="dxa"/>
            <w:tcBorders>
              <w:top w:val="nil"/>
              <w:bottom w:val="nil"/>
              <w:right w:val="nil"/>
            </w:tcBorders>
            <w:vAlign w:val="center"/>
            <w:hideMark/>
          </w:tcPr>
          <w:p w14:paraId="7A131653"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Kancelária národnej rady SR</w:t>
            </w:r>
          </w:p>
        </w:tc>
        <w:tc>
          <w:tcPr>
            <w:tcW w:w="1176" w:type="dxa"/>
            <w:tcBorders>
              <w:top w:val="nil"/>
              <w:left w:val="nil"/>
              <w:bottom w:val="nil"/>
              <w:right w:val="nil"/>
            </w:tcBorders>
            <w:vAlign w:val="center"/>
            <w:hideMark/>
          </w:tcPr>
          <w:p w14:paraId="494C59A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615 625</w:t>
            </w:r>
          </w:p>
        </w:tc>
        <w:tc>
          <w:tcPr>
            <w:tcW w:w="1176" w:type="dxa"/>
            <w:tcBorders>
              <w:top w:val="nil"/>
              <w:left w:val="nil"/>
              <w:bottom w:val="nil"/>
              <w:right w:val="nil"/>
            </w:tcBorders>
            <w:vAlign w:val="center"/>
            <w:hideMark/>
          </w:tcPr>
          <w:p w14:paraId="11190E8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405 115</w:t>
            </w:r>
          </w:p>
        </w:tc>
        <w:tc>
          <w:tcPr>
            <w:tcW w:w="1176" w:type="dxa"/>
            <w:tcBorders>
              <w:top w:val="nil"/>
              <w:left w:val="nil"/>
              <w:bottom w:val="nil"/>
              <w:right w:val="nil"/>
            </w:tcBorders>
            <w:vAlign w:val="center"/>
          </w:tcPr>
          <w:p w14:paraId="094E1760"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225 775</w:t>
            </w:r>
          </w:p>
        </w:tc>
        <w:tc>
          <w:tcPr>
            <w:tcW w:w="1236" w:type="dxa"/>
            <w:tcBorders>
              <w:top w:val="nil"/>
              <w:left w:val="nil"/>
              <w:bottom w:val="nil"/>
            </w:tcBorders>
            <w:vAlign w:val="center"/>
          </w:tcPr>
          <w:p w14:paraId="13E36D4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-179 340</w:t>
            </w:r>
          </w:p>
        </w:tc>
      </w:tr>
      <w:tr w:rsidR="000D30ED" w:rsidRPr="000D30ED" w14:paraId="73DD666B" w14:textId="77777777" w:rsidTr="00863ED9">
        <w:trPr>
          <w:trHeight w:val="276"/>
          <w:jc w:val="center"/>
        </w:trPr>
        <w:tc>
          <w:tcPr>
            <w:tcW w:w="4840" w:type="dxa"/>
            <w:tcBorders>
              <w:top w:val="nil"/>
              <w:bottom w:val="nil"/>
              <w:right w:val="nil"/>
            </w:tcBorders>
            <w:vAlign w:val="center"/>
            <w:hideMark/>
          </w:tcPr>
          <w:p w14:paraId="6F63A871"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MH Manažment, a.s.</w:t>
            </w:r>
          </w:p>
        </w:tc>
        <w:tc>
          <w:tcPr>
            <w:tcW w:w="1176" w:type="dxa"/>
            <w:tcBorders>
              <w:top w:val="nil"/>
              <w:left w:val="nil"/>
              <w:bottom w:val="nil"/>
              <w:right w:val="nil"/>
            </w:tcBorders>
            <w:vAlign w:val="center"/>
            <w:hideMark/>
          </w:tcPr>
          <w:p w14:paraId="5D41D76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191 563</w:t>
            </w:r>
          </w:p>
        </w:tc>
        <w:tc>
          <w:tcPr>
            <w:tcW w:w="1176" w:type="dxa"/>
            <w:tcBorders>
              <w:top w:val="nil"/>
              <w:left w:val="nil"/>
              <w:bottom w:val="nil"/>
              <w:right w:val="nil"/>
            </w:tcBorders>
            <w:vAlign w:val="center"/>
            <w:hideMark/>
          </w:tcPr>
          <w:p w14:paraId="41F1A16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202 232</w:t>
            </w:r>
          </w:p>
        </w:tc>
        <w:tc>
          <w:tcPr>
            <w:tcW w:w="1176" w:type="dxa"/>
            <w:tcBorders>
              <w:top w:val="nil"/>
              <w:left w:val="nil"/>
              <w:bottom w:val="nil"/>
              <w:right w:val="nil"/>
            </w:tcBorders>
            <w:vAlign w:val="center"/>
          </w:tcPr>
          <w:p w14:paraId="6DC9A01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168 185</w:t>
            </w:r>
          </w:p>
        </w:tc>
        <w:tc>
          <w:tcPr>
            <w:tcW w:w="1236" w:type="dxa"/>
            <w:tcBorders>
              <w:top w:val="nil"/>
              <w:left w:val="nil"/>
              <w:bottom w:val="nil"/>
            </w:tcBorders>
            <w:vAlign w:val="center"/>
          </w:tcPr>
          <w:p w14:paraId="6B10857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-34 047</w:t>
            </w:r>
          </w:p>
        </w:tc>
      </w:tr>
      <w:tr w:rsidR="000D30ED" w:rsidRPr="000D30ED" w14:paraId="7D911744" w14:textId="77777777" w:rsidTr="00863ED9">
        <w:trPr>
          <w:trHeight w:val="276"/>
          <w:jc w:val="center"/>
        </w:trPr>
        <w:tc>
          <w:tcPr>
            <w:tcW w:w="4840" w:type="dxa"/>
            <w:tcBorders>
              <w:top w:val="nil"/>
              <w:bottom w:val="nil"/>
              <w:right w:val="nil"/>
            </w:tcBorders>
            <w:vAlign w:val="center"/>
            <w:hideMark/>
          </w:tcPr>
          <w:p w14:paraId="0FAF13A1"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Ministerstvo hospodárstva SR</w:t>
            </w:r>
          </w:p>
        </w:tc>
        <w:tc>
          <w:tcPr>
            <w:tcW w:w="1176" w:type="dxa"/>
            <w:tcBorders>
              <w:top w:val="nil"/>
              <w:left w:val="nil"/>
              <w:bottom w:val="nil"/>
              <w:right w:val="nil"/>
            </w:tcBorders>
            <w:vAlign w:val="center"/>
            <w:hideMark/>
          </w:tcPr>
          <w:p w14:paraId="4A90CB9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119 155</w:t>
            </w:r>
          </w:p>
        </w:tc>
        <w:tc>
          <w:tcPr>
            <w:tcW w:w="1176" w:type="dxa"/>
            <w:tcBorders>
              <w:top w:val="nil"/>
              <w:left w:val="nil"/>
              <w:bottom w:val="nil"/>
              <w:right w:val="nil"/>
            </w:tcBorders>
            <w:vAlign w:val="center"/>
            <w:hideMark/>
          </w:tcPr>
          <w:p w14:paraId="2FDF8AB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83 935</w:t>
            </w:r>
          </w:p>
        </w:tc>
        <w:tc>
          <w:tcPr>
            <w:tcW w:w="1176" w:type="dxa"/>
            <w:tcBorders>
              <w:top w:val="nil"/>
              <w:left w:val="nil"/>
              <w:bottom w:val="nil"/>
              <w:right w:val="nil"/>
            </w:tcBorders>
            <w:vAlign w:val="center"/>
          </w:tcPr>
          <w:p w14:paraId="2DD8878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79 086</w:t>
            </w:r>
          </w:p>
        </w:tc>
        <w:tc>
          <w:tcPr>
            <w:tcW w:w="1236" w:type="dxa"/>
            <w:tcBorders>
              <w:top w:val="nil"/>
              <w:left w:val="nil"/>
              <w:bottom w:val="nil"/>
            </w:tcBorders>
            <w:vAlign w:val="center"/>
          </w:tcPr>
          <w:p w14:paraId="66D46770"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-4 849</w:t>
            </w:r>
          </w:p>
        </w:tc>
      </w:tr>
      <w:tr w:rsidR="000D30ED" w:rsidRPr="000D30ED" w14:paraId="65A79E82" w14:textId="77777777" w:rsidTr="00863ED9">
        <w:trPr>
          <w:trHeight w:val="276"/>
          <w:jc w:val="center"/>
        </w:trPr>
        <w:tc>
          <w:tcPr>
            <w:tcW w:w="4840" w:type="dxa"/>
            <w:tcBorders>
              <w:top w:val="nil"/>
              <w:bottom w:val="nil"/>
              <w:right w:val="nil"/>
            </w:tcBorders>
            <w:vAlign w:val="center"/>
          </w:tcPr>
          <w:p w14:paraId="423674E7"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Úrad geodézie, kartografie a katastra Slovenskej republiky</w:t>
            </w:r>
          </w:p>
        </w:tc>
        <w:tc>
          <w:tcPr>
            <w:tcW w:w="1176" w:type="dxa"/>
            <w:tcBorders>
              <w:top w:val="nil"/>
              <w:left w:val="nil"/>
              <w:bottom w:val="nil"/>
              <w:right w:val="nil"/>
            </w:tcBorders>
            <w:vAlign w:val="center"/>
          </w:tcPr>
          <w:p w14:paraId="3E2F9CA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14:paraId="4399B19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49 032</w:t>
            </w:r>
          </w:p>
        </w:tc>
        <w:tc>
          <w:tcPr>
            <w:tcW w:w="1176" w:type="dxa"/>
            <w:tcBorders>
              <w:top w:val="nil"/>
              <w:left w:val="nil"/>
              <w:bottom w:val="nil"/>
              <w:right w:val="nil"/>
            </w:tcBorders>
            <w:vAlign w:val="center"/>
          </w:tcPr>
          <w:p w14:paraId="7A3F08E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46 076</w:t>
            </w:r>
          </w:p>
        </w:tc>
        <w:tc>
          <w:tcPr>
            <w:tcW w:w="1236" w:type="dxa"/>
            <w:tcBorders>
              <w:top w:val="nil"/>
              <w:left w:val="nil"/>
              <w:bottom w:val="nil"/>
            </w:tcBorders>
            <w:vAlign w:val="center"/>
          </w:tcPr>
          <w:p w14:paraId="5F4498D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-2 956</w:t>
            </w:r>
          </w:p>
        </w:tc>
      </w:tr>
      <w:tr w:rsidR="000D30ED" w:rsidRPr="000D30ED" w14:paraId="0E9B7FA2" w14:textId="77777777" w:rsidTr="00863ED9">
        <w:trPr>
          <w:trHeight w:val="276"/>
          <w:jc w:val="center"/>
        </w:trPr>
        <w:tc>
          <w:tcPr>
            <w:tcW w:w="4840" w:type="dxa"/>
            <w:tcBorders>
              <w:top w:val="nil"/>
              <w:bottom w:val="nil"/>
              <w:right w:val="nil"/>
            </w:tcBorders>
            <w:vAlign w:val="center"/>
          </w:tcPr>
          <w:p w14:paraId="6A78C27B"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Ministerstvo životného prostredia Slovenskej republiky</w:t>
            </w:r>
          </w:p>
        </w:tc>
        <w:tc>
          <w:tcPr>
            <w:tcW w:w="1176" w:type="dxa"/>
            <w:tcBorders>
              <w:top w:val="nil"/>
              <w:left w:val="nil"/>
              <w:bottom w:val="nil"/>
              <w:right w:val="nil"/>
            </w:tcBorders>
            <w:vAlign w:val="center"/>
          </w:tcPr>
          <w:p w14:paraId="35C9E00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14:paraId="1CA4ED6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47 721</w:t>
            </w:r>
          </w:p>
        </w:tc>
        <w:tc>
          <w:tcPr>
            <w:tcW w:w="1176" w:type="dxa"/>
            <w:tcBorders>
              <w:top w:val="nil"/>
              <w:left w:val="nil"/>
              <w:bottom w:val="nil"/>
              <w:right w:val="nil"/>
            </w:tcBorders>
            <w:vAlign w:val="center"/>
          </w:tcPr>
          <w:p w14:paraId="7E342F0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43 131</w:t>
            </w:r>
          </w:p>
        </w:tc>
        <w:tc>
          <w:tcPr>
            <w:tcW w:w="1236" w:type="dxa"/>
            <w:tcBorders>
              <w:top w:val="nil"/>
              <w:left w:val="nil"/>
              <w:bottom w:val="nil"/>
            </w:tcBorders>
            <w:vAlign w:val="center"/>
          </w:tcPr>
          <w:p w14:paraId="32FC281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-4 590</w:t>
            </w:r>
          </w:p>
        </w:tc>
      </w:tr>
      <w:tr w:rsidR="000D30ED" w:rsidRPr="000D30ED" w14:paraId="765C7C9E" w14:textId="77777777" w:rsidTr="00863ED9">
        <w:trPr>
          <w:trHeight w:val="276"/>
          <w:jc w:val="center"/>
        </w:trPr>
        <w:tc>
          <w:tcPr>
            <w:tcW w:w="4840" w:type="dxa"/>
            <w:tcBorders>
              <w:top w:val="nil"/>
              <w:bottom w:val="nil"/>
              <w:right w:val="nil"/>
            </w:tcBorders>
            <w:vAlign w:val="center"/>
          </w:tcPr>
          <w:p w14:paraId="7E7C2BEF"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Úrad vlády Slovenskej republiky</w:t>
            </w:r>
          </w:p>
        </w:tc>
        <w:tc>
          <w:tcPr>
            <w:tcW w:w="1176" w:type="dxa"/>
            <w:tcBorders>
              <w:top w:val="nil"/>
              <w:left w:val="nil"/>
              <w:bottom w:val="nil"/>
              <w:right w:val="nil"/>
            </w:tcBorders>
            <w:vAlign w:val="center"/>
          </w:tcPr>
          <w:p w14:paraId="7CAE77F7"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14:paraId="4C3D409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16 060</w:t>
            </w:r>
          </w:p>
        </w:tc>
        <w:tc>
          <w:tcPr>
            <w:tcW w:w="1176" w:type="dxa"/>
            <w:tcBorders>
              <w:top w:val="nil"/>
              <w:left w:val="nil"/>
              <w:bottom w:val="nil"/>
              <w:right w:val="nil"/>
            </w:tcBorders>
            <w:vAlign w:val="center"/>
          </w:tcPr>
          <w:p w14:paraId="64E365B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15 985</w:t>
            </w:r>
          </w:p>
        </w:tc>
        <w:tc>
          <w:tcPr>
            <w:tcW w:w="1236" w:type="dxa"/>
            <w:tcBorders>
              <w:top w:val="nil"/>
              <w:left w:val="nil"/>
              <w:bottom w:val="nil"/>
            </w:tcBorders>
            <w:vAlign w:val="center"/>
          </w:tcPr>
          <w:p w14:paraId="02C262F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-75</w:t>
            </w:r>
          </w:p>
        </w:tc>
      </w:tr>
      <w:tr w:rsidR="000D30ED" w:rsidRPr="000D30ED" w14:paraId="0AAC8D49" w14:textId="77777777" w:rsidTr="00863ED9">
        <w:trPr>
          <w:trHeight w:val="276"/>
          <w:jc w:val="center"/>
        </w:trPr>
        <w:tc>
          <w:tcPr>
            <w:tcW w:w="4840" w:type="dxa"/>
            <w:tcBorders>
              <w:top w:val="nil"/>
              <w:bottom w:val="nil"/>
              <w:right w:val="nil"/>
            </w:tcBorders>
            <w:vAlign w:val="center"/>
          </w:tcPr>
          <w:p w14:paraId="5525AB24"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Geodetický a kartografický ústav Bratislava</w:t>
            </w:r>
          </w:p>
        </w:tc>
        <w:tc>
          <w:tcPr>
            <w:tcW w:w="1176" w:type="dxa"/>
            <w:tcBorders>
              <w:top w:val="nil"/>
              <w:left w:val="nil"/>
              <w:bottom w:val="nil"/>
              <w:right w:val="nil"/>
            </w:tcBorders>
            <w:vAlign w:val="center"/>
          </w:tcPr>
          <w:p w14:paraId="21236AA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14:paraId="66BF7C0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14 518</w:t>
            </w:r>
          </w:p>
        </w:tc>
        <w:tc>
          <w:tcPr>
            <w:tcW w:w="1176" w:type="dxa"/>
            <w:tcBorders>
              <w:top w:val="nil"/>
              <w:left w:val="nil"/>
              <w:bottom w:val="nil"/>
              <w:right w:val="nil"/>
            </w:tcBorders>
            <w:vAlign w:val="center"/>
          </w:tcPr>
          <w:p w14:paraId="5B071AC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14 518</w:t>
            </w:r>
          </w:p>
        </w:tc>
        <w:tc>
          <w:tcPr>
            <w:tcW w:w="1236" w:type="dxa"/>
            <w:tcBorders>
              <w:top w:val="nil"/>
              <w:left w:val="nil"/>
              <w:bottom w:val="nil"/>
            </w:tcBorders>
            <w:vAlign w:val="center"/>
          </w:tcPr>
          <w:p w14:paraId="3A9BEBA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2B7BAFEC" w14:textId="77777777" w:rsidTr="00863ED9">
        <w:trPr>
          <w:trHeight w:val="276"/>
          <w:jc w:val="center"/>
        </w:trPr>
        <w:tc>
          <w:tcPr>
            <w:tcW w:w="4840" w:type="dxa"/>
            <w:tcBorders>
              <w:top w:val="nil"/>
              <w:bottom w:val="nil"/>
              <w:right w:val="nil"/>
            </w:tcBorders>
            <w:vAlign w:val="center"/>
          </w:tcPr>
          <w:p w14:paraId="18B4E9A9"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Ministerstvo dopravy Slovenskej republiky</w:t>
            </w:r>
          </w:p>
        </w:tc>
        <w:tc>
          <w:tcPr>
            <w:tcW w:w="1176" w:type="dxa"/>
            <w:tcBorders>
              <w:top w:val="nil"/>
              <w:left w:val="nil"/>
              <w:bottom w:val="nil"/>
              <w:right w:val="nil"/>
            </w:tcBorders>
            <w:vAlign w:val="center"/>
          </w:tcPr>
          <w:p w14:paraId="6F74BE73"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14:paraId="6CBB3B9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901</w:t>
            </w:r>
          </w:p>
        </w:tc>
        <w:tc>
          <w:tcPr>
            <w:tcW w:w="1176" w:type="dxa"/>
            <w:tcBorders>
              <w:top w:val="nil"/>
              <w:left w:val="nil"/>
              <w:bottom w:val="nil"/>
              <w:right w:val="nil"/>
            </w:tcBorders>
            <w:vAlign w:val="center"/>
          </w:tcPr>
          <w:p w14:paraId="65EAB6F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10 518</w:t>
            </w:r>
          </w:p>
        </w:tc>
        <w:tc>
          <w:tcPr>
            <w:tcW w:w="1236" w:type="dxa"/>
            <w:tcBorders>
              <w:top w:val="nil"/>
              <w:left w:val="nil"/>
              <w:bottom w:val="nil"/>
            </w:tcBorders>
            <w:vAlign w:val="center"/>
          </w:tcPr>
          <w:p w14:paraId="787B410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9 617</w:t>
            </w:r>
          </w:p>
        </w:tc>
      </w:tr>
      <w:tr w:rsidR="000D30ED" w:rsidRPr="000D30ED" w14:paraId="4E5EAE28" w14:textId="77777777" w:rsidTr="00863ED9">
        <w:trPr>
          <w:trHeight w:val="276"/>
          <w:jc w:val="center"/>
        </w:trPr>
        <w:tc>
          <w:tcPr>
            <w:tcW w:w="4840" w:type="dxa"/>
            <w:tcBorders>
              <w:top w:val="nil"/>
              <w:bottom w:val="nil"/>
              <w:right w:val="nil"/>
            </w:tcBorders>
            <w:vAlign w:val="center"/>
            <w:hideMark/>
          </w:tcPr>
          <w:p w14:paraId="4318B1B3"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Slovenský pozemkový fond</w:t>
            </w:r>
          </w:p>
        </w:tc>
        <w:tc>
          <w:tcPr>
            <w:tcW w:w="1176" w:type="dxa"/>
            <w:tcBorders>
              <w:top w:val="nil"/>
              <w:left w:val="nil"/>
              <w:bottom w:val="nil"/>
              <w:right w:val="nil"/>
            </w:tcBorders>
            <w:vAlign w:val="center"/>
            <w:hideMark/>
          </w:tcPr>
          <w:p w14:paraId="2565E603"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79 942</w:t>
            </w:r>
          </w:p>
        </w:tc>
        <w:tc>
          <w:tcPr>
            <w:tcW w:w="1176" w:type="dxa"/>
            <w:tcBorders>
              <w:top w:val="nil"/>
              <w:left w:val="nil"/>
              <w:bottom w:val="nil"/>
              <w:right w:val="nil"/>
            </w:tcBorders>
            <w:vAlign w:val="center"/>
            <w:hideMark/>
          </w:tcPr>
          <w:p w14:paraId="5135CD97"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66 124</w:t>
            </w:r>
          </w:p>
        </w:tc>
        <w:tc>
          <w:tcPr>
            <w:tcW w:w="1176" w:type="dxa"/>
            <w:tcBorders>
              <w:top w:val="nil"/>
              <w:left w:val="nil"/>
              <w:bottom w:val="nil"/>
              <w:right w:val="nil"/>
            </w:tcBorders>
            <w:vAlign w:val="center"/>
          </w:tcPr>
          <w:p w14:paraId="181D052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64 448</w:t>
            </w:r>
          </w:p>
        </w:tc>
        <w:tc>
          <w:tcPr>
            <w:tcW w:w="1236" w:type="dxa"/>
            <w:tcBorders>
              <w:top w:val="nil"/>
              <w:left w:val="nil"/>
              <w:bottom w:val="nil"/>
            </w:tcBorders>
            <w:vAlign w:val="center"/>
          </w:tcPr>
          <w:p w14:paraId="2C5B8734" w14:textId="00E09D4C"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w:t>
            </w:r>
            <w:r w:rsidR="00FC189E">
              <w:rPr>
                <w:rFonts w:ascii="Times New Roman" w:hAnsi="Times New Roman"/>
                <w:color w:val="000000"/>
                <w:sz w:val="16"/>
                <w:szCs w:val="16"/>
                <w:lang w:eastAsia="sk-SK"/>
              </w:rPr>
              <w:t> </w:t>
            </w:r>
            <w:r w:rsidRPr="000D30ED">
              <w:rPr>
                <w:rFonts w:ascii="Times New Roman" w:hAnsi="Times New Roman"/>
                <w:color w:val="000000"/>
                <w:sz w:val="16"/>
                <w:szCs w:val="16"/>
                <w:lang w:eastAsia="sk-SK"/>
              </w:rPr>
              <w:t>676</w:t>
            </w:r>
          </w:p>
        </w:tc>
      </w:tr>
      <w:tr w:rsidR="000D30ED" w:rsidRPr="000D30ED" w14:paraId="6793C827" w14:textId="77777777" w:rsidTr="00863ED9">
        <w:trPr>
          <w:trHeight w:val="276"/>
          <w:jc w:val="center"/>
        </w:trPr>
        <w:tc>
          <w:tcPr>
            <w:tcW w:w="4840" w:type="dxa"/>
            <w:tcBorders>
              <w:top w:val="nil"/>
              <w:bottom w:val="nil"/>
              <w:right w:val="nil"/>
            </w:tcBorders>
            <w:vAlign w:val="center"/>
            <w:hideMark/>
          </w:tcPr>
          <w:p w14:paraId="214C0D53"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Vodohospodárska výstavba, š.p.</w:t>
            </w:r>
          </w:p>
        </w:tc>
        <w:tc>
          <w:tcPr>
            <w:tcW w:w="1176" w:type="dxa"/>
            <w:tcBorders>
              <w:top w:val="nil"/>
              <w:left w:val="nil"/>
              <w:bottom w:val="nil"/>
              <w:right w:val="nil"/>
            </w:tcBorders>
            <w:vAlign w:val="center"/>
            <w:hideMark/>
          </w:tcPr>
          <w:p w14:paraId="7DA7E5F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59 856</w:t>
            </w:r>
          </w:p>
        </w:tc>
        <w:tc>
          <w:tcPr>
            <w:tcW w:w="1176" w:type="dxa"/>
            <w:tcBorders>
              <w:top w:val="nil"/>
              <w:left w:val="nil"/>
              <w:bottom w:val="nil"/>
              <w:right w:val="nil"/>
            </w:tcBorders>
            <w:vAlign w:val="center"/>
            <w:hideMark/>
          </w:tcPr>
          <w:p w14:paraId="2D2F2DF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27 809</w:t>
            </w:r>
          </w:p>
        </w:tc>
        <w:tc>
          <w:tcPr>
            <w:tcW w:w="1176" w:type="dxa"/>
            <w:tcBorders>
              <w:top w:val="nil"/>
              <w:left w:val="nil"/>
              <w:bottom w:val="nil"/>
              <w:right w:val="nil"/>
            </w:tcBorders>
            <w:vAlign w:val="center"/>
          </w:tcPr>
          <w:p w14:paraId="060458B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40 098</w:t>
            </w:r>
          </w:p>
        </w:tc>
        <w:tc>
          <w:tcPr>
            <w:tcW w:w="1236" w:type="dxa"/>
            <w:tcBorders>
              <w:top w:val="nil"/>
              <w:left w:val="nil"/>
              <w:bottom w:val="nil"/>
            </w:tcBorders>
            <w:vAlign w:val="center"/>
          </w:tcPr>
          <w:p w14:paraId="6FCB5BF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12 289</w:t>
            </w:r>
          </w:p>
        </w:tc>
      </w:tr>
      <w:tr w:rsidR="000D30ED" w:rsidRPr="000D30ED" w14:paraId="585CFA15" w14:textId="77777777" w:rsidTr="00863ED9">
        <w:trPr>
          <w:trHeight w:val="276"/>
          <w:jc w:val="center"/>
        </w:trPr>
        <w:tc>
          <w:tcPr>
            <w:tcW w:w="4840" w:type="dxa"/>
            <w:tcBorders>
              <w:top w:val="nil"/>
              <w:bottom w:val="nil"/>
              <w:right w:val="nil"/>
            </w:tcBorders>
            <w:vAlign w:val="center"/>
            <w:hideMark/>
          </w:tcPr>
          <w:p w14:paraId="2B726DA4"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Železnice SR</w:t>
            </w:r>
          </w:p>
        </w:tc>
        <w:tc>
          <w:tcPr>
            <w:tcW w:w="1176" w:type="dxa"/>
            <w:tcBorders>
              <w:top w:val="nil"/>
              <w:left w:val="nil"/>
              <w:bottom w:val="nil"/>
              <w:right w:val="nil"/>
            </w:tcBorders>
            <w:vAlign w:val="center"/>
            <w:hideMark/>
          </w:tcPr>
          <w:p w14:paraId="5FE4EE83"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52 757</w:t>
            </w:r>
          </w:p>
        </w:tc>
        <w:tc>
          <w:tcPr>
            <w:tcW w:w="1176" w:type="dxa"/>
            <w:tcBorders>
              <w:top w:val="nil"/>
              <w:left w:val="nil"/>
              <w:bottom w:val="nil"/>
              <w:right w:val="nil"/>
            </w:tcBorders>
            <w:vAlign w:val="center"/>
            <w:hideMark/>
          </w:tcPr>
          <w:p w14:paraId="6C9F11C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53 166</w:t>
            </w:r>
          </w:p>
        </w:tc>
        <w:tc>
          <w:tcPr>
            <w:tcW w:w="1176" w:type="dxa"/>
            <w:tcBorders>
              <w:top w:val="nil"/>
              <w:left w:val="nil"/>
              <w:bottom w:val="nil"/>
              <w:right w:val="nil"/>
            </w:tcBorders>
            <w:vAlign w:val="center"/>
          </w:tcPr>
          <w:p w14:paraId="2D7AA2C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54 503</w:t>
            </w:r>
          </w:p>
        </w:tc>
        <w:tc>
          <w:tcPr>
            <w:tcW w:w="1236" w:type="dxa"/>
            <w:tcBorders>
              <w:top w:val="nil"/>
              <w:left w:val="nil"/>
              <w:bottom w:val="nil"/>
            </w:tcBorders>
            <w:vAlign w:val="center"/>
          </w:tcPr>
          <w:p w14:paraId="54C3032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1 337</w:t>
            </w:r>
          </w:p>
        </w:tc>
      </w:tr>
      <w:tr w:rsidR="000D30ED" w:rsidRPr="000D30ED" w14:paraId="5EC6EB0B" w14:textId="77777777" w:rsidTr="00863ED9">
        <w:trPr>
          <w:trHeight w:val="276"/>
          <w:jc w:val="center"/>
        </w:trPr>
        <w:tc>
          <w:tcPr>
            <w:tcW w:w="4840" w:type="dxa"/>
            <w:tcBorders>
              <w:top w:val="nil"/>
              <w:bottom w:val="nil"/>
              <w:right w:val="nil"/>
            </w:tcBorders>
            <w:vAlign w:val="center"/>
            <w:hideMark/>
          </w:tcPr>
          <w:p w14:paraId="01F2EEB2"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Národná diaľničná spoločnosť, a.s.</w:t>
            </w:r>
          </w:p>
        </w:tc>
        <w:tc>
          <w:tcPr>
            <w:tcW w:w="1176" w:type="dxa"/>
            <w:tcBorders>
              <w:top w:val="nil"/>
              <w:left w:val="nil"/>
              <w:bottom w:val="nil"/>
              <w:right w:val="nil"/>
            </w:tcBorders>
            <w:vAlign w:val="center"/>
            <w:hideMark/>
          </w:tcPr>
          <w:p w14:paraId="5FBBC7D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8 682</w:t>
            </w:r>
          </w:p>
        </w:tc>
        <w:tc>
          <w:tcPr>
            <w:tcW w:w="1176" w:type="dxa"/>
            <w:tcBorders>
              <w:top w:val="nil"/>
              <w:left w:val="nil"/>
              <w:bottom w:val="nil"/>
              <w:right w:val="nil"/>
            </w:tcBorders>
            <w:vAlign w:val="center"/>
            <w:hideMark/>
          </w:tcPr>
          <w:p w14:paraId="41EDED7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16 422</w:t>
            </w:r>
          </w:p>
        </w:tc>
        <w:tc>
          <w:tcPr>
            <w:tcW w:w="1176" w:type="dxa"/>
            <w:tcBorders>
              <w:top w:val="nil"/>
              <w:left w:val="nil"/>
              <w:bottom w:val="nil"/>
              <w:right w:val="nil"/>
            </w:tcBorders>
            <w:vAlign w:val="center"/>
          </w:tcPr>
          <w:p w14:paraId="5FBB590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16 408</w:t>
            </w:r>
          </w:p>
        </w:tc>
        <w:tc>
          <w:tcPr>
            <w:tcW w:w="1236" w:type="dxa"/>
            <w:tcBorders>
              <w:top w:val="nil"/>
              <w:left w:val="nil"/>
              <w:bottom w:val="nil"/>
            </w:tcBorders>
            <w:vAlign w:val="center"/>
          </w:tcPr>
          <w:p w14:paraId="31532BE0"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-14</w:t>
            </w:r>
          </w:p>
        </w:tc>
      </w:tr>
      <w:tr w:rsidR="000D30ED" w:rsidRPr="000D30ED" w14:paraId="466A775D" w14:textId="77777777" w:rsidTr="00863ED9">
        <w:trPr>
          <w:trHeight w:val="276"/>
          <w:jc w:val="center"/>
        </w:trPr>
        <w:tc>
          <w:tcPr>
            <w:tcW w:w="4840" w:type="dxa"/>
            <w:tcBorders>
              <w:top w:val="nil"/>
              <w:bottom w:val="nil"/>
              <w:right w:val="nil"/>
            </w:tcBorders>
            <w:vAlign w:val="center"/>
          </w:tcPr>
          <w:p w14:paraId="1033E775" w14:textId="77777777" w:rsidR="000D30ED" w:rsidRPr="000D30ED" w:rsidRDefault="000D30ED" w:rsidP="000D30ED">
            <w:pPr>
              <w:spacing w:after="0" w:line="240" w:lineRule="auto"/>
              <w:ind w:firstLineChars="33" w:firstLine="53"/>
              <w:rPr>
                <w:rFonts w:ascii="Times New Roman" w:hAnsi="Times New Roman"/>
                <w:color w:val="000000"/>
                <w:sz w:val="16"/>
                <w:szCs w:val="16"/>
                <w:lang w:eastAsia="sk-SK"/>
              </w:rPr>
            </w:pPr>
            <w:r w:rsidRPr="000D30ED">
              <w:rPr>
                <w:rFonts w:ascii="Times New Roman" w:hAnsi="Times New Roman"/>
                <w:b/>
                <w:bCs/>
                <w:color w:val="000000"/>
                <w:sz w:val="16"/>
                <w:szCs w:val="16"/>
                <w:lang w:eastAsia="sk-SK"/>
              </w:rPr>
              <w:t>Vystavené alebo poskytnuté záruky</w:t>
            </w:r>
          </w:p>
        </w:tc>
        <w:tc>
          <w:tcPr>
            <w:tcW w:w="1176" w:type="dxa"/>
            <w:tcBorders>
              <w:top w:val="nil"/>
              <w:left w:val="nil"/>
              <w:bottom w:val="nil"/>
              <w:right w:val="nil"/>
            </w:tcBorders>
            <w:vAlign w:val="center"/>
          </w:tcPr>
          <w:p w14:paraId="32431A8B" w14:textId="77777777" w:rsidR="000D30ED" w:rsidRPr="000D30ED" w:rsidRDefault="000D30ED" w:rsidP="000D30ED">
            <w:pPr>
              <w:spacing w:after="0" w:line="240" w:lineRule="auto"/>
              <w:jc w:val="right"/>
              <w:rPr>
                <w:rFonts w:ascii="Times New Roman" w:hAnsi="Times New Roman"/>
                <w:b/>
                <w:color w:val="000000"/>
                <w:sz w:val="16"/>
                <w:szCs w:val="16"/>
                <w:lang w:eastAsia="sk-SK"/>
              </w:rPr>
            </w:pPr>
            <w:r w:rsidRPr="000D30ED">
              <w:rPr>
                <w:rFonts w:ascii="Times New Roman" w:hAnsi="Times New Roman"/>
                <w:b/>
                <w:color w:val="000000"/>
                <w:sz w:val="16"/>
                <w:szCs w:val="16"/>
                <w:lang w:eastAsia="sk-SK"/>
              </w:rPr>
              <w:t>722 115</w:t>
            </w:r>
          </w:p>
        </w:tc>
        <w:tc>
          <w:tcPr>
            <w:tcW w:w="1176" w:type="dxa"/>
            <w:tcBorders>
              <w:top w:val="nil"/>
              <w:left w:val="nil"/>
              <w:bottom w:val="nil"/>
              <w:right w:val="nil"/>
            </w:tcBorders>
            <w:vAlign w:val="center"/>
          </w:tcPr>
          <w:p w14:paraId="535E1253" w14:textId="77777777" w:rsidR="000D30ED" w:rsidRPr="000D30ED" w:rsidRDefault="000D30ED" w:rsidP="000D30ED">
            <w:pPr>
              <w:spacing w:after="0" w:line="240" w:lineRule="auto"/>
              <w:jc w:val="right"/>
              <w:rPr>
                <w:rFonts w:ascii="Times New Roman" w:hAnsi="Times New Roman"/>
                <w:b/>
                <w:color w:val="000000"/>
                <w:sz w:val="16"/>
                <w:szCs w:val="16"/>
                <w:lang w:eastAsia="sk-SK"/>
              </w:rPr>
            </w:pPr>
            <w:r w:rsidRPr="000D30ED">
              <w:rPr>
                <w:rFonts w:ascii="Times New Roman" w:hAnsi="Times New Roman"/>
                <w:b/>
                <w:color w:val="000000"/>
                <w:sz w:val="16"/>
                <w:szCs w:val="16"/>
                <w:lang w:eastAsia="sk-SK"/>
              </w:rPr>
              <w:t>967 880</w:t>
            </w:r>
          </w:p>
        </w:tc>
        <w:tc>
          <w:tcPr>
            <w:tcW w:w="1176" w:type="dxa"/>
            <w:tcBorders>
              <w:top w:val="nil"/>
              <w:left w:val="nil"/>
              <w:bottom w:val="nil"/>
              <w:right w:val="nil"/>
            </w:tcBorders>
            <w:vAlign w:val="center"/>
          </w:tcPr>
          <w:p w14:paraId="5AF1CD19" w14:textId="77777777" w:rsidR="000D30ED" w:rsidRPr="000D30ED" w:rsidRDefault="000D30ED" w:rsidP="000D30ED">
            <w:pPr>
              <w:spacing w:after="0" w:line="240" w:lineRule="auto"/>
              <w:jc w:val="right"/>
              <w:rPr>
                <w:rFonts w:ascii="Times New Roman" w:hAnsi="Times New Roman"/>
                <w:b/>
                <w:color w:val="000000"/>
                <w:sz w:val="16"/>
                <w:szCs w:val="16"/>
                <w:lang w:eastAsia="sk-SK"/>
              </w:rPr>
            </w:pPr>
            <w:r w:rsidRPr="000D30ED">
              <w:rPr>
                <w:rFonts w:ascii="Times New Roman" w:hAnsi="Times New Roman"/>
                <w:b/>
                <w:color w:val="000000"/>
                <w:sz w:val="16"/>
                <w:szCs w:val="16"/>
                <w:lang w:eastAsia="sk-SK"/>
              </w:rPr>
              <w:t>868 361</w:t>
            </w:r>
          </w:p>
        </w:tc>
        <w:tc>
          <w:tcPr>
            <w:tcW w:w="1236" w:type="dxa"/>
            <w:tcBorders>
              <w:top w:val="nil"/>
              <w:left w:val="nil"/>
              <w:bottom w:val="nil"/>
            </w:tcBorders>
            <w:vAlign w:val="center"/>
          </w:tcPr>
          <w:p w14:paraId="095614D9" w14:textId="77777777" w:rsidR="000D30ED" w:rsidRPr="000D30ED" w:rsidRDefault="000D30ED" w:rsidP="000D30ED">
            <w:pPr>
              <w:spacing w:after="0" w:line="240" w:lineRule="auto"/>
              <w:jc w:val="right"/>
              <w:rPr>
                <w:rFonts w:ascii="Times New Roman" w:hAnsi="Times New Roman"/>
                <w:b/>
                <w:color w:val="000000"/>
                <w:sz w:val="16"/>
                <w:szCs w:val="16"/>
                <w:lang w:eastAsia="sk-SK"/>
              </w:rPr>
            </w:pPr>
            <w:r w:rsidRPr="000D30ED">
              <w:rPr>
                <w:rFonts w:ascii="Times New Roman" w:hAnsi="Times New Roman"/>
                <w:b/>
                <w:color w:val="000000"/>
                <w:sz w:val="16"/>
                <w:szCs w:val="16"/>
                <w:lang w:eastAsia="sk-SK"/>
              </w:rPr>
              <w:t>-99 519</w:t>
            </w:r>
          </w:p>
        </w:tc>
      </w:tr>
      <w:tr w:rsidR="000D30ED" w:rsidRPr="000D30ED" w14:paraId="623721F8" w14:textId="77777777" w:rsidTr="00863ED9">
        <w:trPr>
          <w:trHeight w:val="276"/>
          <w:jc w:val="center"/>
        </w:trPr>
        <w:tc>
          <w:tcPr>
            <w:tcW w:w="4840" w:type="dxa"/>
            <w:tcBorders>
              <w:top w:val="nil"/>
              <w:bottom w:val="nil"/>
              <w:right w:val="nil"/>
            </w:tcBorders>
            <w:vAlign w:val="center"/>
          </w:tcPr>
          <w:p w14:paraId="7D71FCE7"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National Development Fund II, a.s.</w:t>
            </w:r>
          </w:p>
        </w:tc>
        <w:tc>
          <w:tcPr>
            <w:tcW w:w="1176" w:type="dxa"/>
            <w:tcBorders>
              <w:top w:val="nil"/>
              <w:left w:val="nil"/>
              <w:bottom w:val="nil"/>
              <w:right w:val="nil"/>
            </w:tcBorders>
            <w:vAlign w:val="center"/>
          </w:tcPr>
          <w:p w14:paraId="19002D1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310 683</w:t>
            </w:r>
          </w:p>
        </w:tc>
        <w:tc>
          <w:tcPr>
            <w:tcW w:w="1176" w:type="dxa"/>
            <w:tcBorders>
              <w:top w:val="nil"/>
              <w:left w:val="nil"/>
              <w:bottom w:val="nil"/>
              <w:right w:val="nil"/>
            </w:tcBorders>
            <w:vAlign w:val="center"/>
          </w:tcPr>
          <w:p w14:paraId="36CFB3D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381 410</w:t>
            </w:r>
          </w:p>
        </w:tc>
        <w:tc>
          <w:tcPr>
            <w:tcW w:w="1176" w:type="dxa"/>
            <w:tcBorders>
              <w:top w:val="nil"/>
              <w:left w:val="nil"/>
              <w:bottom w:val="nil"/>
              <w:right w:val="nil"/>
            </w:tcBorders>
            <w:vAlign w:val="center"/>
          </w:tcPr>
          <w:p w14:paraId="5932EDB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369 026</w:t>
            </w:r>
          </w:p>
        </w:tc>
        <w:tc>
          <w:tcPr>
            <w:tcW w:w="1236" w:type="dxa"/>
            <w:tcBorders>
              <w:top w:val="nil"/>
              <w:left w:val="nil"/>
              <w:bottom w:val="nil"/>
            </w:tcBorders>
            <w:vAlign w:val="center"/>
          </w:tcPr>
          <w:p w14:paraId="11D6383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-12 384</w:t>
            </w:r>
          </w:p>
        </w:tc>
      </w:tr>
      <w:tr w:rsidR="000D30ED" w:rsidRPr="000D30ED" w14:paraId="3B9253AE" w14:textId="77777777" w:rsidTr="00863ED9">
        <w:trPr>
          <w:trHeight w:val="276"/>
          <w:jc w:val="center"/>
        </w:trPr>
        <w:tc>
          <w:tcPr>
            <w:tcW w:w="4840" w:type="dxa"/>
            <w:tcBorders>
              <w:top w:val="nil"/>
              <w:bottom w:val="nil"/>
              <w:right w:val="nil"/>
            </w:tcBorders>
            <w:vAlign w:val="center"/>
          </w:tcPr>
          <w:p w14:paraId="781F0354"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Záruky MF SR</w:t>
            </w:r>
          </w:p>
        </w:tc>
        <w:tc>
          <w:tcPr>
            <w:tcW w:w="1176" w:type="dxa"/>
            <w:tcBorders>
              <w:top w:val="nil"/>
              <w:left w:val="nil"/>
              <w:bottom w:val="nil"/>
              <w:right w:val="nil"/>
            </w:tcBorders>
            <w:vAlign w:val="center"/>
          </w:tcPr>
          <w:p w14:paraId="58CF9E5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221 195</w:t>
            </w:r>
          </w:p>
        </w:tc>
        <w:tc>
          <w:tcPr>
            <w:tcW w:w="1176" w:type="dxa"/>
            <w:tcBorders>
              <w:top w:val="nil"/>
              <w:left w:val="nil"/>
              <w:bottom w:val="nil"/>
              <w:right w:val="nil"/>
            </w:tcBorders>
            <w:vAlign w:val="center"/>
          </w:tcPr>
          <w:p w14:paraId="2FFAF82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419 147</w:t>
            </w:r>
          </w:p>
        </w:tc>
        <w:tc>
          <w:tcPr>
            <w:tcW w:w="1176" w:type="dxa"/>
            <w:tcBorders>
              <w:top w:val="nil"/>
              <w:left w:val="nil"/>
              <w:bottom w:val="nil"/>
              <w:right w:val="nil"/>
            </w:tcBorders>
            <w:vAlign w:val="center"/>
          </w:tcPr>
          <w:p w14:paraId="4A0FBE7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321 411</w:t>
            </w:r>
          </w:p>
        </w:tc>
        <w:tc>
          <w:tcPr>
            <w:tcW w:w="1236" w:type="dxa"/>
            <w:tcBorders>
              <w:top w:val="nil"/>
              <w:left w:val="nil"/>
              <w:bottom w:val="nil"/>
            </w:tcBorders>
            <w:vAlign w:val="center"/>
          </w:tcPr>
          <w:p w14:paraId="590BFA6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-97 736</w:t>
            </w:r>
          </w:p>
        </w:tc>
      </w:tr>
      <w:tr w:rsidR="000D30ED" w:rsidRPr="000D30ED" w14:paraId="716F904A" w14:textId="77777777" w:rsidTr="00863ED9">
        <w:trPr>
          <w:trHeight w:val="276"/>
          <w:jc w:val="center"/>
        </w:trPr>
        <w:tc>
          <w:tcPr>
            <w:tcW w:w="4840" w:type="dxa"/>
            <w:tcBorders>
              <w:top w:val="nil"/>
              <w:bottom w:val="nil"/>
              <w:right w:val="nil"/>
            </w:tcBorders>
            <w:vAlign w:val="center"/>
          </w:tcPr>
          <w:p w14:paraId="77A10343"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Exportno-importná banka Slovenska</w:t>
            </w:r>
          </w:p>
        </w:tc>
        <w:tc>
          <w:tcPr>
            <w:tcW w:w="1176" w:type="dxa"/>
            <w:tcBorders>
              <w:top w:val="nil"/>
              <w:left w:val="nil"/>
              <w:bottom w:val="nil"/>
              <w:right w:val="nil"/>
            </w:tcBorders>
            <w:vAlign w:val="center"/>
          </w:tcPr>
          <w:p w14:paraId="7707255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190 237</w:t>
            </w:r>
          </w:p>
        </w:tc>
        <w:tc>
          <w:tcPr>
            <w:tcW w:w="1176" w:type="dxa"/>
            <w:tcBorders>
              <w:top w:val="nil"/>
              <w:left w:val="nil"/>
              <w:bottom w:val="nil"/>
              <w:right w:val="nil"/>
            </w:tcBorders>
            <w:vAlign w:val="center"/>
          </w:tcPr>
          <w:p w14:paraId="68313CB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167 323</w:t>
            </w:r>
          </w:p>
        </w:tc>
        <w:tc>
          <w:tcPr>
            <w:tcW w:w="1176" w:type="dxa"/>
            <w:tcBorders>
              <w:top w:val="nil"/>
              <w:left w:val="nil"/>
              <w:bottom w:val="nil"/>
              <w:right w:val="nil"/>
            </w:tcBorders>
            <w:vAlign w:val="center"/>
          </w:tcPr>
          <w:p w14:paraId="43F35A40"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177 924</w:t>
            </w:r>
          </w:p>
        </w:tc>
        <w:tc>
          <w:tcPr>
            <w:tcW w:w="1236" w:type="dxa"/>
            <w:tcBorders>
              <w:top w:val="nil"/>
              <w:left w:val="nil"/>
              <w:bottom w:val="nil"/>
            </w:tcBorders>
            <w:vAlign w:val="center"/>
          </w:tcPr>
          <w:p w14:paraId="69DA294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10 601</w:t>
            </w:r>
          </w:p>
        </w:tc>
      </w:tr>
      <w:tr w:rsidR="000D30ED" w:rsidRPr="000D30ED" w14:paraId="6A3E37E8" w14:textId="77777777" w:rsidTr="00863ED9">
        <w:trPr>
          <w:trHeight w:val="276"/>
          <w:jc w:val="center"/>
        </w:trPr>
        <w:tc>
          <w:tcPr>
            <w:tcW w:w="4840" w:type="dxa"/>
            <w:tcBorders>
              <w:top w:val="nil"/>
              <w:bottom w:val="nil"/>
              <w:right w:val="nil"/>
            </w:tcBorders>
            <w:vAlign w:val="center"/>
            <w:hideMark/>
          </w:tcPr>
          <w:p w14:paraId="5FFF69DB" w14:textId="77777777" w:rsidR="000D30ED" w:rsidRPr="000D30ED" w:rsidRDefault="000D30ED" w:rsidP="000D30ED">
            <w:pPr>
              <w:spacing w:after="0" w:line="240" w:lineRule="auto"/>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Iné podmienené záväzky</w:t>
            </w:r>
          </w:p>
        </w:tc>
        <w:tc>
          <w:tcPr>
            <w:tcW w:w="1176" w:type="dxa"/>
            <w:tcBorders>
              <w:top w:val="nil"/>
              <w:left w:val="nil"/>
              <w:bottom w:val="nil"/>
              <w:right w:val="nil"/>
            </w:tcBorders>
            <w:vAlign w:val="center"/>
          </w:tcPr>
          <w:p w14:paraId="648CE3E1"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4 792 356</w:t>
            </w:r>
          </w:p>
        </w:tc>
        <w:tc>
          <w:tcPr>
            <w:tcW w:w="1176" w:type="dxa"/>
            <w:tcBorders>
              <w:top w:val="nil"/>
              <w:left w:val="nil"/>
              <w:bottom w:val="nil"/>
              <w:right w:val="nil"/>
            </w:tcBorders>
            <w:vAlign w:val="center"/>
          </w:tcPr>
          <w:p w14:paraId="0C0F091B"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5 236 088</w:t>
            </w:r>
          </w:p>
        </w:tc>
        <w:tc>
          <w:tcPr>
            <w:tcW w:w="1176" w:type="dxa"/>
            <w:tcBorders>
              <w:top w:val="nil"/>
              <w:left w:val="nil"/>
              <w:bottom w:val="nil"/>
              <w:right w:val="nil"/>
            </w:tcBorders>
            <w:vAlign w:val="center"/>
          </w:tcPr>
          <w:p w14:paraId="37DD0688"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5 306 135</w:t>
            </w:r>
          </w:p>
        </w:tc>
        <w:tc>
          <w:tcPr>
            <w:tcW w:w="1236" w:type="dxa"/>
            <w:tcBorders>
              <w:top w:val="nil"/>
              <w:left w:val="nil"/>
              <w:bottom w:val="nil"/>
            </w:tcBorders>
            <w:vAlign w:val="center"/>
            <w:hideMark/>
          </w:tcPr>
          <w:p w14:paraId="35507250"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70 047</w:t>
            </w:r>
          </w:p>
        </w:tc>
      </w:tr>
      <w:tr w:rsidR="000D30ED" w:rsidRPr="000D30ED" w14:paraId="2C7EB65D" w14:textId="77777777" w:rsidTr="00863ED9">
        <w:trPr>
          <w:trHeight w:val="276"/>
          <w:jc w:val="center"/>
        </w:trPr>
        <w:tc>
          <w:tcPr>
            <w:tcW w:w="4840" w:type="dxa"/>
            <w:tcBorders>
              <w:top w:val="nil"/>
              <w:bottom w:val="nil"/>
              <w:right w:val="nil"/>
            </w:tcBorders>
            <w:vAlign w:val="center"/>
            <w:hideMark/>
          </w:tcPr>
          <w:p w14:paraId="6FF3BF1B"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Slovenské elektrárne, a.s.</w:t>
            </w:r>
          </w:p>
        </w:tc>
        <w:tc>
          <w:tcPr>
            <w:tcW w:w="1176" w:type="dxa"/>
            <w:tcBorders>
              <w:top w:val="nil"/>
              <w:left w:val="nil"/>
              <w:bottom w:val="nil"/>
              <w:right w:val="nil"/>
            </w:tcBorders>
            <w:vAlign w:val="center"/>
            <w:hideMark/>
          </w:tcPr>
          <w:p w14:paraId="74F76A5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3 177 596</w:t>
            </w:r>
          </w:p>
        </w:tc>
        <w:tc>
          <w:tcPr>
            <w:tcW w:w="1176" w:type="dxa"/>
            <w:tcBorders>
              <w:top w:val="nil"/>
              <w:left w:val="nil"/>
              <w:bottom w:val="nil"/>
              <w:right w:val="nil"/>
            </w:tcBorders>
            <w:vAlign w:val="center"/>
            <w:hideMark/>
          </w:tcPr>
          <w:p w14:paraId="52B85FD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3 246 429</w:t>
            </w:r>
          </w:p>
        </w:tc>
        <w:tc>
          <w:tcPr>
            <w:tcW w:w="1176" w:type="dxa"/>
            <w:tcBorders>
              <w:top w:val="nil"/>
              <w:left w:val="nil"/>
              <w:bottom w:val="nil"/>
              <w:right w:val="nil"/>
            </w:tcBorders>
            <w:vAlign w:val="center"/>
          </w:tcPr>
          <w:p w14:paraId="064227F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3 341 242</w:t>
            </w:r>
          </w:p>
        </w:tc>
        <w:tc>
          <w:tcPr>
            <w:tcW w:w="1236" w:type="dxa"/>
            <w:tcBorders>
              <w:top w:val="nil"/>
              <w:left w:val="nil"/>
              <w:bottom w:val="nil"/>
            </w:tcBorders>
            <w:vAlign w:val="center"/>
          </w:tcPr>
          <w:p w14:paraId="33039BDA"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94 813</w:t>
            </w:r>
          </w:p>
        </w:tc>
      </w:tr>
      <w:tr w:rsidR="000D30ED" w:rsidRPr="000D30ED" w14:paraId="0110CFF7" w14:textId="77777777" w:rsidTr="00863ED9">
        <w:trPr>
          <w:trHeight w:val="276"/>
          <w:jc w:val="center"/>
        </w:trPr>
        <w:tc>
          <w:tcPr>
            <w:tcW w:w="4840" w:type="dxa"/>
            <w:tcBorders>
              <w:top w:val="nil"/>
              <w:bottom w:val="nil"/>
              <w:right w:val="nil"/>
            </w:tcBorders>
            <w:vAlign w:val="center"/>
            <w:hideMark/>
          </w:tcPr>
          <w:p w14:paraId="1426E228"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 xml:space="preserve">MH Manažment, a.s. </w:t>
            </w:r>
          </w:p>
        </w:tc>
        <w:tc>
          <w:tcPr>
            <w:tcW w:w="1176" w:type="dxa"/>
            <w:tcBorders>
              <w:top w:val="nil"/>
              <w:left w:val="nil"/>
              <w:bottom w:val="nil"/>
              <w:right w:val="nil"/>
            </w:tcBorders>
            <w:vAlign w:val="center"/>
            <w:hideMark/>
          </w:tcPr>
          <w:p w14:paraId="32BEE03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976 822</w:t>
            </w:r>
          </w:p>
        </w:tc>
        <w:tc>
          <w:tcPr>
            <w:tcW w:w="1176" w:type="dxa"/>
            <w:tcBorders>
              <w:top w:val="nil"/>
              <w:left w:val="nil"/>
              <w:bottom w:val="nil"/>
              <w:right w:val="nil"/>
            </w:tcBorders>
            <w:vAlign w:val="center"/>
            <w:hideMark/>
          </w:tcPr>
          <w:p w14:paraId="5FAD577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976 822</w:t>
            </w:r>
          </w:p>
        </w:tc>
        <w:tc>
          <w:tcPr>
            <w:tcW w:w="1176" w:type="dxa"/>
            <w:tcBorders>
              <w:top w:val="nil"/>
              <w:left w:val="nil"/>
              <w:bottom w:val="nil"/>
              <w:right w:val="nil"/>
            </w:tcBorders>
            <w:vAlign w:val="center"/>
          </w:tcPr>
          <w:p w14:paraId="1801E2E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970 650</w:t>
            </w:r>
          </w:p>
        </w:tc>
        <w:tc>
          <w:tcPr>
            <w:tcW w:w="1236" w:type="dxa"/>
            <w:tcBorders>
              <w:top w:val="nil"/>
              <w:left w:val="nil"/>
              <w:bottom w:val="nil"/>
            </w:tcBorders>
            <w:vAlign w:val="center"/>
          </w:tcPr>
          <w:p w14:paraId="1B6B5E6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-6 172</w:t>
            </w:r>
          </w:p>
        </w:tc>
      </w:tr>
      <w:tr w:rsidR="000D30ED" w:rsidRPr="000D30ED" w14:paraId="2F174CBF" w14:textId="77777777" w:rsidTr="00863ED9">
        <w:trPr>
          <w:trHeight w:val="276"/>
          <w:jc w:val="center"/>
        </w:trPr>
        <w:tc>
          <w:tcPr>
            <w:tcW w:w="4840" w:type="dxa"/>
            <w:tcBorders>
              <w:top w:val="nil"/>
              <w:bottom w:val="nil"/>
              <w:right w:val="nil"/>
            </w:tcBorders>
            <w:vAlign w:val="center"/>
            <w:hideMark/>
          </w:tcPr>
          <w:p w14:paraId="7D06DB97"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Slovenský plynárenský priemysel, a.s.</w:t>
            </w:r>
          </w:p>
        </w:tc>
        <w:tc>
          <w:tcPr>
            <w:tcW w:w="1176" w:type="dxa"/>
            <w:tcBorders>
              <w:top w:val="nil"/>
              <w:left w:val="nil"/>
              <w:bottom w:val="nil"/>
              <w:right w:val="nil"/>
            </w:tcBorders>
            <w:vAlign w:val="center"/>
            <w:hideMark/>
          </w:tcPr>
          <w:p w14:paraId="0B233E2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347 233</w:t>
            </w:r>
          </w:p>
        </w:tc>
        <w:tc>
          <w:tcPr>
            <w:tcW w:w="1176" w:type="dxa"/>
            <w:tcBorders>
              <w:top w:val="nil"/>
              <w:left w:val="nil"/>
              <w:bottom w:val="nil"/>
              <w:right w:val="nil"/>
            </w:tcBorders>
            <w:vAlign w:val="center"/>
            <w:hideMark/>
          </w:tcPr>
          <w:p w14:paraId="6213F46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803 347</w:t>
            </w:r>
          </w:p>
        </w:tc>
        <w:tc>
          <w:tcPr>
            <w:tcW w:w="1176" w:type="dxa"/>
            <w:tcBorders>
              <w:top w:val="nil"/>
              <w:left w:val="nil"/>
              <w:bottom w:val="nil"/>
              <w:right w:val="nil"/>
            </w:tcBorders>
            <w:vAlign w:val="center"/>
          </w:tcPr>
          <w:p w14:paraId="3294AB0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767 827</w:t>
            </w:r>
          </w:p>
        </w:tc>
        <w:tc>
          <w:tcPr>
            <w:tcW w:w="1236" w:type="dxa"/>
            <w:tcBorders>
              <w:top w:val="nil"/>
              <w:left w:val="nil"/>
              <w:bottom w:val="nil"/>
            </w:tcBorders>
            <w:vAlign w:val="center"/>
          </w:tcPr>
          <w:p w14:paraId="0C72E71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-35 520</w:t>
            </w:r>
          </w:p>
        </w:tc>
      </w:tr>
      <w:tr w:rsidR="000D30ED" w:rsidRPr="000D30ED" w14:paraId="04A8D2E0" w14:textId="77777777" w:rsidTr="00863ED9">
        <w:trPr>
          <w:trHeight w:val="276"/>
          <w:jc w:val="center"/>
        </w:trPr>
        <w:tc>
          <w:tcPr>
            <w:tcW w:w="4840" w:type="dxa"/>
            <w:tcBorders>
              <w:top w:val="nil"/>
              <w:bottom w:val="nil"/>
              <w:right w:val="nil"/>
            </w:tcBorders>
            <w:vAlign w:val="center"/>
            <w:hideMark/>
          </w:tcPr>
          <w:p w14:paraId="2BE7FF80"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Východoslovenská energetika, a.s.</w:t>
            </w:r>
          </w:p>
        </w:tc>
        <w:tc>
          <w:tcPr>
            <w:tcW w:w="1176" w:type="dxa"/>
            <w:tcBorders>
              <w:top w:val="nil"/>
              <w:left w:val="nil"/>
              <w:bottom w:val="nil"/>
              <w:right w:val="nil"/>
            </w:tcBorders>
            <w:vAlign w:val="center"/>
            <w:hideMark/>
          </w:tcPr>
          <w:p w14:paraId="7E41893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112 200</w:t>
            </w:r>
          </w:p>
        </w:tc>
        <w:tc>
          <w:tcPr>
            <w:tcW w:w="1176" w:type="dxa"/>
            <w:tcBorders>
              <w:top w:val="nil"/>
              <w:left w:val="nil"/>
              <w:bottom w:val="nil"/>
              <w:right w:val="nil"/>
            </w:tcBorders>
            <w:vAlign w:val="center"/>
            <w:hideMark/>
          </w:tcPr>
          <w:p w14:paraId="333B151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134 609</w:t>
            </w:r>
          </w:p>
        </w:tc>
        <w:tc>
          <w:tcPr>
            <w:tcW w:w="1176" w:type="dxa"/>
            <w:tcBorders>
              <w:top w:val="nil"/>
              <w:left w:val="nil"/>
              <w:bottom w:val="nil"/>
              <w:right w:val="nil"/>
            </w:tcBorders>
            <w:vAlign w:val="center"/>
          </w:tcPr>
          <w:p w14:paraId="7CA61B01"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146 527</w:t>
            </w:r>
          </w:p>
        </w:tc>
        <w:tc>
          <w:tcPr>
            <w:tcW w:w="1236" w:type="dxa"/>
            <w:tcBorders>
              <w:top w:val="nil"/>
              <w:left w:val="nil"/>
              <w:bottom w:val="nil"/>
            </w:tcBorders>
            <w:vAlign w:val="center"/>
          </w:tcPr>
          <w:p w14:paraId="0B66DFEA"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11 918</w:t>
            </w:r>
          </w:p>
        </w:tc>
      </w:tr>
      <w:tr w:rsidR="000D30ED" w:rsidRPr="000D30ED" w14:paraId="4A243AB4" w14:textId="77777777" w:rsidTr="00863ED9">
        <w:trPr>
          <w:trHeight w:val="276"/>
          <w:jc w:val="center"/>
        </w:trPr>
        <w:tc>
          <w:tcPr>
            <w:tcW w:w="4840" w:type="dxa"/>
            <w:tcBorders>
              <w:top w:val="nil"/>
              <w:bottom w:val="nil"/>
              <w:right w:val="nil"/>
            </w:tcBorders>
            <w:vAlign w:val="center"/>
            <w:hideMark/>
          </w:tcPr>
          <w:p w14:paraId="5BAE9E0F"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Slovenská záručná a rozvojová banka, a.s.</w:t>
            </w:r>
          </w:p>
        </w:tc>
        <w:tc>
          <w:tcPr>
            <w:tcW w:w="1176" w:type="dxa"/>
            <w:tcBorders>
              <w:top w:val="nil"/>
              <w:left w:val="nil"/>
              <w:bottom w:val="nil"/>
              <w:right w:val="nil"/>
            </w:tcBorders>
            <w:vAlign w:val="center"/>
            <w:hideMark/>
          </w:tcPr>
          <w:p w14:paraId="54F2989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89 215</w:t>
            </w:r>
          </w:p>
        </w:tc>
        <w:tc>
          <w:tcPr>
            <w:tcW w:w="1176" w:type="dxa"/>
            <w:tcBorders>
              <w:top w:val="nil"/>
              <w:left w:val="nil"/>
              <w:bottom w:val="nil"/>
              <w:right w:val="nil"/>
            </w:tcBorders>
            <w:vAlign w:val="center"/>
            <w:hideMark/>
          </w:tcPr>
          <w:p w14:paraId="79D59FD7"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59 095</w:t>
            </w:r>
          </w:p>
        </w:tc>
        <w:tc>
          <w:tcPr>
            <w:tcW w:w="1176" w:type="dxa"/>
            <w:tcBorders>
              <w:top w:val="nil"/>
              <w:left w:val="nil"/>
              <w:bottom w:val="nil"/>
              <w:right w:val="nil"/>
            </w:tcBorders>
            <w:vAlign w:val="center"/>
          </w:tcPr>
          <w:p w14:paraId="1361EF0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59 754</w:t>
            </w:r>
          </w:p>
        </w:tc>
        <w:tc>
          <w:tcPr>
            <w:tcW w:w="1236" w:type="dxa"/>
            <w:tcBorders>
              <w:top w:val="nil"/>
              <w:left w:val="nil"/>
              <w:bottom w:val="nil"/>
            </w:tcBorders>
            <w:vAlign w:val="center"/>
          </w:tcPr>
          <w:p w14:paraId="2F1B6CA8"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659</w:t>
            </w:r>
          </w:p>
        </w:tc>
      </w:tr>
      <w:tr w:rsidR="000D30ED" w:rsidRPr="000D30ED" w14:paraId="69B7EF2F" w14:textId="77777777" w:rsidTr="00863ED9">
        <w:trPr>
          <w:trHeight w:val="276"/>
          <w:jc w:val="center"/>
        </w:trPr>
        <w:tc>
          <w:tcPr>
            <w:tcW w:w="4840" w:type="dxa"/>
            <w:tcBorders>
              <w:top w:val="nil"/>
              <w:bottom w:val="nil"/>
              <w:right w:val="nil"/>
            </w:tcBorders>
            <w:vAlign w:val="center"/>
            <w:hideMark/>
          </w:tcPr>
          <w:p w14:paraId="6AECE4C7"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Lesy SR, š.p.</w:t>
            </w:r>
          </w:p>
        </w:tc>
        <w:tc>
          <w:tcPr>
            <w:tcW w:w="1176" w:type="dxa"/>
            <w:tcBorders>
              <w:top w:val="nil"/>
              <w:left w:val="nil"/>
              <w:bottom w:val="nil"/>
              <w:right w:val="nil"/>
            </w:tcBorders>
            <w:vAlign w:val="center"/>
            <w:hideMark/>
          </w:tcPr>
          <w:p w14:paraId="1D119AE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15 486</w:t>
            </w:r>
          </w:p>
        </w:tc>
        <w:tc>
          <w:tcPr>
            <w:tcW w:w="1176" w:type="dxa"/>
            <w:tcBorders>
              <w:top w:val="nil"/>
              <w:left w:val="nil"/>
              <w:bottom w:val="nil"/>
              <w:right w:val="nil"/>
            </w:tcBorders>
            <w:vAlign w:val="center"/>
            <w:hideMark/>
          </w:tcPr>
          <w:p w14:paraId="476F9BD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13 894</w:t>
            </w:r>
          </w:p>
        </w:tc>
        <w:tc>
          <w:tcPr>
            <w:tcW w:w="1176" w:type="dxa"/>
            <w:tcBorders>
              <w:top w:val="nil"/>
              <w:left w:val="nil"/>
              <w:bottom w:val="nil"/>
              <w:right w:val="nil"/>
            </w:tcBorders>
            <w:vAlign w:val="center"/>
          </w:tcPr>
          <w:p w14:paraId="1FBAEC8A"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13 894</w:t>
            </w:r>
          </w:p>
        </w:tc>
        <w:tc>
          <w:tcPr>
            <w:tcW w:w="1236" w:type="dxa"/>
            <w:tcBorders>
              <w:top w:val="nil"/>
              <w:left w:val="nil"/>
              <w:bottom w:val="nil"/>
            </w:tcBorders>
            <w:vAlign w:val="center"/>
          </w:tcPr>
          <w:p w14:paraId="611124A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723C3DF9" w14:textId="77777777" w:rsidTr="00863ED9">
        <w:trPr>
          <w:trHeight w:val="276"/>
          <w:jc w:val="center"/>
        </w:trPr>
        <w:tc>
          <w:tcPr>
            <w:tcW w:w="4840" w:type="dxa"/>
            <w:tcBorders>
              <w:top w:val="nil"/>
              <w:bottom w:val="nil"/>
              <w:right w:val="nil"/>
            </w:tcBorders>
            <w:vAlign w:val="center"/>
            <w:hideMark/>
          </w:tcPr>
          <w:p w14:paraId="505FDA14"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Jadrová a vyraďovacia spoločnosť, a.s.</w:t>
            </w:r>
          </w:p>
        </w:tc>
        <w:tc>
          <w:tcPr>
            <w:tcW w:w="1176" w:type="dxa"/>
            <w:tcBorders>
              <w:top w:val="nil"/>
              <w:left w:val="nil"/>
              <w:bottom w:val="nil"/>
              <w:right w:val="nil"/>
            </w:tcBorders>
            <w:vAlign w:val="center"/>
            <w:hideMark/>
          </w:tcPr>
          <w:p w14:paraId="083E22B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71 912</w:t>
            </w:r>
          </w:p>
        </w:tc>
        <w:tc>
          <w:tcPr>
            <w:tcW w:w="1176" w:type="dxa"/>
            <w:tcBorders>
              <w:top w:val="nil"/>
              <w:left w:val="nil"/>
              <w:bottom w:val="nil"/>
              <w:right w:val="nil"/>
            </w:tcBorders>
            <w:vAlign w:val="center"/>
            <w:hideMark/>
          </w:tcPr>
          <w:p w14:paraId="52C653B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14:paraId="1D877FA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c>
          <w:tcPr>
            <w:tcW w:w="1236" w:type="dxa"/>
            <w:tcBorders>
              <w:top w:val="nil"/>
              <w:left w:val="nil"/>
              <w:bottom w:val="nil"/>
            </w:tcBorders>
            <w:vAlign w:val="center"/>
          </w:tcPr>
          <w:p w14:paraId="72383AF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0</w:t>
            </w:r>
          </w:p>
        </w:tc>
      </w:tr>
      <w:tr w:rsidR="000D30ED" w:rsidRPr="000D30ED" w14:paraId="5B445C07" w14:textId="77777777" w:rsidTr="00863ED9">
        <w:trPr>
          <w:trHeight w:val="276"/>
          <w:jc w:val="center"/>
        </w:trPr>
        <w:tc>
          <w:tcPr>
            <w:tcW w:w="4840" w:type="dxa"/>
            <w:tcBorders>
              <w:top w:val="nil"/>
              <w:right w:val="nil"/>
            </w:tcBorders>
            <w:vAlign w:val="center"/>
            <w:hideMark/>
          </w:tcPr>
          <w:p w14:paraId="0C2264AF"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MH Invest, s.r.o</w:t>
            </w:r>
          </w:p>
        </w:tc>
        <w:tc>
          <w:tcPr>
            <w:tcW w:w="1176" w:type="dxa"/>
            <w:tcBorders>
              <w:top w:val="nil"/>
              <w:left w:val="nil"/>
              <w:right w:val="nil"/>
            </w:tcBorders>
            <w:vAlign w:val="center"/>
            <w:hideMark/>
          </w:tcPr>
          <w:p w14:paraId="1E7D3E5B"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1 892</w:t>
            </w:r>
          </w:p>
        </w:tc>
        <w:tc>
          <w:tcPr>
            <w:tcW w:w="1176" w:type="dxa"/>
            <w:tcBorders>
              <w:top w:val="nil"/>
              <w:left w:val="nil"/>
              <w:right w:val="nil"/>
            </w:tcBorders>
            <w:vAlign w:val="center"/>
            <w:hideMark/>
          </w:tcPr>
          <w:p w14:paraId="45CDE60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1 892</w:t>
            </w:r>
          </w:p>
        </w:tc>
        <w:tc>
          <w:tcPr>
            <w:tcW w:w="1176" w:type="dxa"/>
            <w:tcBorders>
              <w:top w:val="nil"/>
              <w:left w:val="nil"/>
              <w:right w:val="nil"/>
            </w:tcBorders>
            <w:vAlign w:val="center"/>
          </w:tcPr>
          <w:p w14:paraId="06FF550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6 241</w:t>
            </w:r>
          </w:p>
        </w:tc>
        <w:tc>
          <w:tcPr>
            <w:tcW w:w="1236" w:type="dxa"/>
            <w:tcBorders>
              <w:top w:val="nil"/>
              <w:left w:val="nil"/>
            </w:tcBorders>
            <w:vAlign w:val="center"/>
          </w:tcPr>
          <w:p w14:paraId="0C6D618F"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4 349</w:t>
            </w:r>
          </w:p>
        </w:tc>
      </w:tr>
      <w:tr w:rsidR="000D30ED" w:rsidRPr="000D30ED" w14:paraId="2A41CBF3" w14:textId="77777777" w:rsidTr="00863ED9">
        <w:trPr>
          <w:trHeight w:val="276"/>
          <w:jc w:val="center"/>
        </w:trPr>
        <w:tc>
          <w:tcPr>
            <w:tcW w:w="4840" w:type="dxa"/>
            <w:tcBorders>
              <w:right w:val="nil"/>
            </w:tcBorders>
            <w:noWrap/>
            <w:vAlign w:val="center"/>
            <w:hideMark/>
          </w:tcPr>
          <w:p w14:paraId="688B5168" w14:textId="77777777" w:rsidR="000D30ED" w:rsidRPr="000D30ED" w:rsidRDefault="000D30ED" w:rsidP="000D30ED">
            <w:pPr>
              <w:spacing w:after="0" w:line="240" w:lineRule="auto"/>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 xml:space="preserve">Spolu  </w:t>
            </w:r>
          </w:p>
        </w:tc>
        <w:tc>
          <w:tcPr>
            <w:tcW w:w="1176" w:type="dxa"/>
            <w:tcBorders>
              <w:left w:val="nil"/>
              <w:right w:val="nil"/>
            </w:tcBorders>
            <w:vAlign w:val="center"/>
            <w:hideMark/>
          </w:tcPr>
          <w:p w14:paraId="43BEECF4"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19 472 632</w:t>
            </w:r>
          </w:p>
        </w:tc>
        <w:tc>
          <w:tcPr>
            <w:tcW w:w="1176" w:type="dxa"/>
            <w:tcBorders>
              <w:left w:val="nil"/>
              <w:right w:val="nil"/>
            </w:tcBorders>
            <w:vAlign w:val="center"/>
          </w:tcPr>
          <w:p w14:paraId="0E95353E"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20 052 764</w:t>
            </w:r>
          </w:p>
        </w:tc>
        <w:tc>
          <w:tcPr>
            <w:tcW w:w="1176" w:type="dxa"/>
            <w:tcBorders>
              <w:left w:val="nil"/>
              <w:right w:val="nil"/>
            </w:tcBorders>
            <w:vAlign w:val="center"/>
          </w:tcPr>
          <w:p w14:paraId="0D2854E2"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20 123 524</w:t>
            </w:r>
          </w:p>
        </w:tc>
        <w:tc>
          <w:tcPr>
            <w:tcW w:w="1236" w:type="dxa"/>
            <w:tcBorders>
              <w:left w:val="nil"/>
            </w:tcBorders>
            <w:vAlign w:val="center"/>
          </w:tcPr>
          <w:p w14:paraId="5F4D0EE8"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70 760</w:t>
            </w:r>
          </w:p>
        </w:tc>
      </w:tr>
    </w:tbl>
    <w:p w14:paraId="3939F1CF" w14:textId="77777777" w:rsidR="000D30ED" w:rsidRPr="000D30ED" w:rsidRDefault="000D30ED" w:rsidP="00FC189E">
      <w:pPr>
        <w:spacing w:after="0"/>
        <w:ind w:left="709" w:right="-285" w:hanging="709"/>
        <w:jc w:val="right"/>
        <w:rPr>
          <w:rFonts w:ascii="Times New Roman" w:hAnsi="Times New Roman"/>
          <w:sz w:val="16"/>
          <w:szCs w:val="16"/>
        </w:rPr>
      </w:pPr>
      <w:r w:rsidRPr="000D30ED">
        <w:rPr>
          <w:rFonts w:ascii="Times New Roman" w:hAnsi="Times New Roman"/>
          <w:sz w:val="16"/>
          <w:szCs w:val="16"/>
        </w:rPr>
        <w:t xml:space="preserve">Zdroj: Účtovné závierky subjektov k 31.12.2022 a k 31.12.2021 zverejnené v registri </w:t>
      </w:r>
      <w:hyperlink r:id="rId12" w:history="1">
        <w:r w:rsidRPr="000D30ED">
          <w:rPr>
            <w:rFonts w:ascii="Times New Roman" w:hAnsi="Times New Roman"/>
            <w:sz w:val="16"/>
            <w:szCs w:val="16"/>
            <w:u w:val="single"/>
          </w:rPr>
          <w:t>www.registeruz.sk</w:t>
        </w:r>
      </w:hyperlink>
      <w:r w:rsidRPr="000D30ED">
        <w:rPr>
          <w:rFonts w:ascii="Times New Roman" w:hAnsi="Times New Roman"/>
          <w:sz w:val="16"/>
          <w:szCs w:val="16"/>
        </w:rPr>
        <w:t xml:space="preserve"> a databáza MF SR</w:t>
      </w:r>
    </w:p>
    <w:p w14:paraId="008698B1" w14:textId="77777777" w:rsidR="000D30ED" w:rsidRPr="000D30ED" w:rsidRDefault="000D30ED" w:rsidP="000D30ED">
      <w:pPr>
        <w:spacing w:after="0" w:line="240" w:lineRule="auto"/>
        <w:jc w:val="both"/>
        <w:rPr>
          <w:rFonts w:ascii="Times New Roman" w:hAnsi="Times New Roman"/>
          <w:b/>
        </w:rPr>
      </w:pPr>
    </w:p>
    <w:p w14:paraId="779555B1" w14:textId="77777777" w:rsidR="000D30ED" w:rsidRPr="000D30ED" w:rsidRDefault="000D30ED" w:rsidP="000D30ED">
      <w:pPr>
        <w:keepNext/>
        <w:spacing w:after="0" w:line="240" w:lineRule="auto"/>
        <w:jc w:val="both"/>
        <w:rPr>
          <w:rFonts w:ascii="Times New Roman" w:hAnsi="Times New Roman"/>
          <w:b/>
          <w:bCs/>
          <w:szCs w:val="22"/>
          <w:lang w:eastAsia="sk-SK"/>
        </w:rPr>
      </w:pPr>
      <w:r w:rsidRPr="000D30ED">
        <w:rPr>
          <w:rFonts w:ascii="Times New Roman" w:hAnsi="Times New Roman"/>
          <w:b/>
          <w:bCs/>
          <w:szCs w:val="22"/>
          <w:lang w:eastAsia="sk-SK"/>
        </w:rPr>
        <w:lastRenderedPageBreak/>
        <w:t>Účasť Slovenskej republiky na európskych záchranných mechanizmoch a členstve v medzinárodných finančných inštitúciách</w:t>
      </w:r>
    </w:p>
    <w:p w14:paraId="37055FA3" w14:textId="77777777" w:rsidR="000D30ED" w:rsidRPr="000D30ED" w:rsidRDefault="000D30ED" w:rsidP="000D30ED">
      <w:pPr>
        <w:spacing w:before="120" w:after="0" w:line="240" w:lineRule="auto"/>
        <w:jc w:val="both"/>
        <w:rPr>
          <w:rFonts w:ascii="Times New Roman" w:hAnsi="Times New Roman"/>
          <w:szCs w:val="22"/>
        </w:rPr>
      </w:pPr>
      <w:r w:rsidRPr="000D30ED">
        <w:rPr>
          <w:rFonts w:ascii="Times New Roman" w:hAnsi="Times New Roman"/>
          <w:b/>
          <w:szCs w:val="22"/>
        </w:rPr>
        <w:t>Európsky mechanizmus pre stabilitu</w:t>
      </w:r>
      <w:r w:rsidRPr="000D30ED">
        <w:rPr>
          <w:rFonts w:ascii="Times New Roman" w:hAnsi="Times New Roman"/>
          <w:szCs w:val="22"/>
        </w:rPr>
        <w:t xml:space="preserve"> (ďalej len „ESM“) tvorí súčasť druhej vlny balíka opatrení určených na poskytovanie pomoci členským štátom eurozóny ocitávajúcich sa vo vážnych finančných problémoch s cieľom zabezpečiť stabilitu eurozóny samotnej. Európsky mechanizmus pre stabilitu (ESM) je nasledovníkom EFSF, ktorý bol vytvorený na dobu určitú, t. j. do júna 2013. ESM bol založený ako medzivládna organizácia založená na základe medzivládnej zmluvy. Na rozdiel od EFSF, ktorý funguje na báze záruk za dlhopisy emitované EFSF, sa do ESM prispieva priamo, a to formou upisovania akcií na základnom imaní spoločnosti. Slovenská republika splatila svoj podiel na vlastnom imaní vo výške 793 350 tis. eur v šiestich splátkach. Slovenskej republike vypršala výnimka na kľúči na určenie príspevkov do ESM k 1.1.2021, ktorá bola udelená na obdobie dvanástich rokov od vstupu do eurozóny pre všetky krajiny, ktoré v čase vzniku ESM mali hodnotu HDP na obyvateľa nižšiu, ako je 75 % priemeru Európskej únie.</w:t>
      </w:r>
    </w:p>
    <w:p w14:paraId="6432BF43" w14:textId="3ABE2871" w:rsidR="000D30ED" w:rsidRPr="000D30ED" w:rsidRDefault="000D30ED" w:rsidP="000D30ED">
      <w:pPr>
        <w:spacing w:before="120" w:after="0" w:line="240" w:lineRule="auto"/>
        <w:jc w:val="both"/>
        <w:rPr>
          <w:rFonts w:ascii="Times New Roman" w:hAnsi="Times New Roman"/>
          <w:szCs w:val="22"/>
        </w:rPr>
      </w:pPr>
      <w:r w:rsidRPr="000D30ED">
        <w:rPr>
          <w:rFonts w:ascii="Times New Roman" w:hAnsi="Times New Roman"/>
          <w:szCs w:val="22"/>
        </w:rPr>
        <w:t xml:space="preserve">Slovenská republika preto uhradila 134 150 tis. eur v decembri 2020, čo upravilo kľúč na určenie príspevkov do ESM pre Slovenskú republiku na hodnotu 0,985 %. Navýšenie splatného kapitálu bolo schválené Národnou radou SR dňa 5.11. 2020. Slovenská republika sa zároveň zaviazala, že v prípade, ak úroveň splateného imania klesne pod schválených 80 mld. eur absorbovaním strát ESM, Správna rada ESM vyzve akcionárov ESM na jeho splatenie (proces sa týka iba poklesu splateného imania, ktorý by mal v prípade jeho nedoplnenia za následok stratu „AAA“ ratingu ESM) alebo ak je potrebné zabrániť omeškaniu ESM v platení povinností voči svojim veriteľom, má generálny riaditeľ ESM právo vyzvať na úhradu upísaného základného imania prostredníctvom výzvy. Súčet výziev Správnej rady ESM a/alebo generálneho riaditeľa ESM nemôže v prípade Slovenskej republiky presiahnuť sumu </w:t>
      </w:r>
      <w:r w:rsidR="00C608B0">
        <w:rPr>
          <w:rFonts w:ascii="Times New Roman" w:hAnsi="Times New Roman"/>
          <w:szCs w:val="22"/>
        </w:rPr>
        <w:br/>
      </w:r>
      <w:r w:rsidRPr="000D30ED">
        <w:rPr>
          <w:rFonts w:ascii="Times New Roman" w:hAnsi="Times New Roman"/>
          <w:szCs w:val="22"/>
        </w:rPr>
        <w:t>6 148 450 tis. eur.</w:t>
      </w:r>
    </w:p>
    <w:p w14:paraId="7FB7F79B" w14:textId="77777777" w:rsidR="000D30ED" w:rsidRPr="000D30ED" w:rsidRDefault="000D30ED" w:rsidP="00592D93">
      <w:pPr>
        <w:widowControl w:val="0"/>
        <w:spacing w:before="120" w:after="0" w:line="240" w:lineRule="auto"/>
        <w:jc w:val="both"/>
        <w:rPr>
          <w:rFonts w:ascii="Times New Roman" w:hAnsi="Times New Roman"/>
          <w:szCs w:val="22"/>
        </w:rPr>
      </w:pPr>
      <w:r w:rsidRPr="000D30ED">
        <w:rPr>
          <w:rFonts w:ascii="Times New Roman" w:hAnsi="Times New Roman"/>
          <w:szCs w:val="22"/>
        </w:rPr>
        <w:t xml:space="preserve">Slovenská republika sa zaviazala poskytovať záruky za dlhové finančné inštrumenty vydávané </w:t>
      </w:r>
      <w:r w:rsidRPr="000D30ED">
        <w:rPr>
          <w:rFonts w:ascii="Times New Roman" w:hAnsi="Times New Roman"/>
          <w:b/>
          <w:szCs w:val="22"/>
        </w:rPr>
        <w:t>Európskym nástrojom finančnej stability</w:t>
      </w:r>
      <w:r w:rsidRPr="000D30ED">
        <w:rPr>
          <w:rFonts w:ascii="Times New Roman" w:hAnsi="Times New Roman"/>
          <w:szCs w:val="22"/>
        </w:rPr>
        <w:t xml:space="preserve"> (EFSF) v prípade žiadosti členského štátu eurozóny o finančnú podporu. V zmysle platnej a účinnej legislatívy (§ 5 zákona č. 381/2010 Z. z. o špecifických štátnych zárukách a o zmene a doplnení niektorých zákonov v znení neskorších predpisov) sa Slovenská republika musí podieľať na celkovej výške záruk podielom 7,72 mld. eur. Zároveň sa musí podieľať na ďalších záručných mechanizmoch potrebných na získanie AAA ratingu pre EFSF, napríklad aj poskytnutím dodatočných záruk EFSF do výšky 165 % svojho podielu na zárukách pre každú emisiu. K 31.12.2022 bol stav záruk vystavených Slovenskou republikou vo výške 2 316 757 tis. eur.</w:t>
      </w:r>
    </w:p>
    <w:p w14:paraId="4FA300AD" w14:textId="77777777" w:rsidR="000D30ED" w:rsidRPr="000D30ED" w:rsidRDefault="000D30ED" w:rsidP="000D30ED">
      <w:pPr>
        <w:widowControl w:val="0"/>
        <w:spacing w:after="0" w:line="240" w:lineRule="auto"/>
        <w:jc w:val="both"/>
        <w:rPr>
          <w:rFonts w:ascii="Times New Roman" w:hAnsi="Times New Roman"/>
          <w:szCs w:val="22"/>
        </w:rPr>
      </w:pPr>
    </w:p>
    <w:p w14:paraId="3B5DC0FE" w14:textId="77777777" w:rsidR="000D30ED" w:rsidRPr="000D30ED" w:rsidRDefault="000D30ED" w:rsidP="000D30ED">
      <w:pPr>
        <w:spacing w:after="0" w:line="240" w:lineRule="auto"/>
        <w:jc w:val="both"/>
        <w:rPr>
          <w:rFonts w:ascii="Times New Roman" w:hAnsi="Times New Roman"/>
          <w:szCs w:val="22"/>
        </w:rPr>
      </w:pPr>
      <w:r w:rsidRPr="000D30ED">
        <w:rPr>
          <w:rFonts w:ascii="Times New Roman" w:hAnsi="Times New Roman"/>
          <w:szCs w:val="22"/>
        </w:rPr>
        <w:t xml:space="preserve">Kapitálová účasť v </w:t>
      </w:r>
      <w:r w:rsidRPr="000D30ED">
        <w:rPr>
          <w:rFonts w:ascii="Times New Roman" w:hAnsi="Times New Roman"/>
          <w:b/>
          <w:szCs w:val="22"/>
        </w:rPr>
        <w:t>Medzinárodnej banke pre obnovu a rozvoj</w:t>
      </w:r>
      <w:r w:rsidRPr="000D30ED">
        <w:rPr>
          <w:rFonts w:ascii="Times New Roman" w:hAnsi="Times New Roman"/>
          <w:szCs w:val="22"/>
        </w:rPr>
        <w:t xml:space="preserve"> (IBRD) sa zvýšila o 41 523 tis. eur z dôvodu zvýšenia účasti SR na základnom imaní o 13 846 tis. eur a o 27 677 tis. eur z dôvodu kurzových rozdielov k 31.12.2022.</w:t>
      </w:r>
    </w:p>
    <w:p w14:paraId="1E8E0D60" w14:textId="77777777" w:rsidR="000D30ED" w:rsidRPr="000D30ED" w:rsidRDefault="000D30ED" w:rsidP="003B5347">
      <w:pPr>
        <w:spacing w:before="120" w:after="0" w:line="240" w:lineRule="auto"/>
        <w:jc w:val="both"/>
        <w:rPr>
          <w:rFonts w:ascii="Times New Roman" w:hAnsi="Times New Roman"/>
          <w:szCs w:val="22"/>
        </w:rPr>
      </w:pPr>
      <w:r w:rsidRPr="000D30ED">
        <w:rPr>
          <w:rFonts w:ascii="Times New Roman" w:hAnsi="Times New Roman"/>
          <w:b/>
          <w:szCs w:val="22"/>
        </w:rPr>
        <w:t>Paneurópsky garančný fond</w:t>
      </w:r>
      <w:r w:rsidRPr="000D30ED">
        <w:rPr>
          <w:rFonts w:ascii="Times New Roman" w:hAnsi="Times New Roman"/>
          <w:szCs w:val="22"/>
        </w:rPr>
        <w:t xml:space="preserve"> vytvorila Európska investičná banka na základe výzvy Rady Európskej únie z 23.4.2020, podporenej ministrami financií členských štátov EÚ. Celková výška fondu je 25 miliárd eur v rámci schémy v reakcii na COVID-19, ktorý by mal zmobilizovať dodatočné investície v celkovej výške približne 200 miliárd eur. Pomoc sa v rámci tejto schémy poskytuje prostredníctvom vykonávateľov, s ktorými uzatvára zmluvy EIB. Vykonávateľmi môžu byť finančné inštitúcie, ktoré spĺňajú dané kritériá. Vykonávatelia následne financujú súkromný sektor formou úverov, pričom EGF na tieto operácie poskytuje najmä záruky.</w:t>
      </w:r>
    </w:p>
    <w:p w14:paraId="4AA3CDA1" w14:textId="77777777" w:rsidR="000D30ED" w:rsidRPr="000D30ED" w:rsidRDefault="000D30ED" w:rsidP="000D30ED">
      <w:pPr>
        <w:spacing w:after="0" w:line="240" w:lineRule="auto"/>
        <w:jc w:val="both"/>
        <w:rPr>
          <w:rFonts w:ascii="Times New Roman" w:hAnsi="Times New Roman"/>
          <w:sz w:val="24"/>
          <w:szCs w:val="24"/>
          <w:u w:val="single"/>
        </w:rPr>
      </w:pPr>
    </w:p>
    <w:p w14:paraId="09146458" w14:textId="77777777" w:rsidR="000D30ED" w:rsidRPr="000D30ED" w:rsidRDefault="000D30ED" w:rsidP="000D30ED">
      <w:pPr>
        <w:keepNext/>
        <w:spacing w:after="120" w:line="240" w:lineRule="auto"/>
        <w:rPr>
          <w:rFonts w:ascii="Times New Roman" w:hAnsi="Times New Roman"/>
          <w:b/>
          <w:bCs/>
          <w:szCs w:val="22"/>
          <w:lang w:eastAsia="sk-SK"/>
        </w:rPr>
      </w:pPr>
      <w:r w:rsidRPr="000D30ED">
        <w:rPr>
          <w:rFonts w:ascii="Times New Roman" w:hAnsi="Times New Roman"/>
          <w:b/>
          <w:bCs/>
          <w:szCs w:val="22"/>
          <w:lang w:eastAsia="sk-SK"/>
        </w:rPr>
        <w:t>Arbitrážne konania</w:t>
      </w:r>
    </w:p>
    <w:p w14:paraId="6E5A490D" w14:textId="77777777" w:rsidR="000D30ED" w:rsidRPr="000D30ED" w:rsidRDefault="000D30ED" w:rsidP="000D30ED">
      <w:pPr>
        <w:spacing w:before="120" w:after="120" w:line="240" w:lineRule="auto"/>
        <w:contextualSpacing/>
        <w:jc w:val="both"/>
        <w:rPr>
          <w:rFonts w:ascii="Times New Roman" w:hAnsi="Times New Roman"/>
          <w:szCs w:val="22"/>
          <w:lang w:eastAsia="sk-SK"/>
        </w:rPr>
      </w:pPr>
      <w:r w:rsidRPr="000D30ED">
        <w:rPr>
          <w:rFonts w:ascii="Times New Roman" w:hAnsi="Times New Roman"/>
          <w:szCs w:val="22"/>
          <w:lang w:eastAsia="sk-SK"/>
        </w:rPr>
        <w:t xml:space="preserve">Arbitráž je vedená so spoločnosťou Achmea B.V. z dôvodu zákazu zisku zdravotných poisťovní v roku 2007. V tejto arbitráži, vedenej podľa bilaterálnej investičnej dohody medzi SR a Holandským kráľovstvom, bol v decembri 2012 vydaný rozsudok, ktorým arbitrážny tribunál nariadil SR zaplatiť žalobcovi  odškodnenie vo výške cca 25 200 tis. eur plus úroky vo výške 2 900 tis. eur. Konanie o zrušení tohto rozsudku ako aj jurisdikčného rozhodnutia v tomto spore na Nemeckom spolkovom súde, pred ktorým SR napadla tieto rozhodnutia, je v súčasnosti prerušené do rozhodnutia Súdneho dvora EÚ o predbežnej otázke. Súdny dvor EÚ rozhodol dňa 6.3.2018 o predbežnej otázke vo veci neaplikovateľnosti arbitrážnej doložky v bilaterálnej investičnej zmluve medzi SR a Holandskom. </w:t>
      </w:r>
      <w:r w:rsidRPr="000D30ED">
        <w:rPr>
          <w:rFonts w:ascii="Times New Roman" w:hAnsi="Times New Roman"/>
          <w:szCs w:val="22"/>
          <w:lang w:eastAsia="sk-SK"/>
        </w:rPr>
        <w:lastRenderedPageBreak/>
        <w:t>Nakoľko arbitrážny rozsudok, na výkon ktorého sa vedie exekučné konanie pred súdmi v Luxemburgu bol zrušený, SR žiada o uvoľnenie zablokovaného majetku. Achmea sa v konaní pred Luxemburskými súdmi bráni tým, že podala pred nemeckým Ústavným súdom voči rozhodnutiu Najvyššieho spolkového súdu v Nemecku ústavné sťažnosti, o ktorých prípustnosti zatiaľ nebolo rozhodnuté. Luxemburský súd v novembri 2019 rozhodol, že konanie je pozastavené do rozhodnutia nemeckého Ústavného súdu o ústavných sťažnostiach.</w:t>
      </w:r>
    </w:p>
    <w:p w14:paraId="18B163B2" w14:textId="77777777" w:rsidR="000D30ED" w:rsidRPr="000D30ED" w:rsidRDefault="000D30ED" w:rsidP="000D30ED">
      <w:pPr>
        <w:spacing w:after="120" w:line="240" w:lineRule="auto"/>
        <w:contextualSpacing/>
        <w:jc w:val="both"/>
        <w:rPr>
          <w:rFonts w:ascii="Times New Roman" w:hAnsi="Times New Roman"/>
          <w:szCs w:val="22"/>
          <w:lang w:eastAsia="sk-SK"/>
        </w:rPr>
      </w:pPr>
    </w:p>
    <w:p w14:paraId="684A73C3" w14:textId="77777777" w:rsidR="000D30ED" w:rsidRPr="000D30ED" w:rsidRDefault="000D30ED" w:rsidP="000D30ED">
      <w:pPr>
        <w:keepNext/>
        <w:spacing w:after="120" w:line="240" w:lineRule="auto"/>
        <w:rPr>
          <w:rFonts w:ascii="Times New Roman" w:hAnsi="Times New Roman"/>
          <w:b/>
          <w:bCs/>
          <w:szCs w:val="22"/>
          <w:lang w:eastAsia="sk-SK"/>
        </w:rPr>
      </w:pPr>
      <w:r w:rsidRPr="000D30ED">
        <w:rPr>
          <w:rFonts w:ascii="Times New Roman" w:hAnsi="Times New Roman"/>
          <w:b/>
          <w:bCs/>
          <w:szCs w:val="22"/>
          <w:lang w:eastAsia="sk-SK"/>
        </w:rPr>
        <w:t>Hroziace alebo prebiehajúce súdne spory</w:t>
      </w:r>
    </w:p>
    <w:p w14:paraId="0B47E05A" w14:textId="77777777" w:rsidR="000D30ED" w:rsidRPr="000D30ED" w:rsidRDefault="000D30ED" w:rsidP="000D30ED">
      <w:pPr>
        <w:spacing w:after="120" w:line="240" w:lineRule="auto"/>
        <w:contextualSpacing/>
        <w:jc w:val="both"/>
        <w:rPr>
          <w:rFonts w:ascii="Times New Roman" w:hAnsi="Times New Roman"/>
          <w:szCs w:val="22"/>
          <w:lang w:eastAsia="sk-SK"/>
        </w:rPr>
      </w:pPr>
      <w:r w:rsidRPr="000D30ED">
        <w:rPr>
          <w:rFonts w:ascii="Times New Roman" w:hAnsi="Times New Roman"/>
          <w:szCs w:val="22"/>
          <w:lang w:eastAsia="sk-SK"/>
        </w:rPr>
        <w:t xml:space="preserve">Žaloby, ktoré rieši </w:t>
      </w:r>
      <w:r w:rsidRPr="000D30ED">
        <w:rPr>
          <w:rFonts w:ascii="Times New Roman" w:hAnsi="Times New Roman"/>
          <w:b/>
          <w:szCs w:val="22"/>
          <w:lang w:eastAsia="sk-SK"/>
        </w:rPr>
        <w:t xml:space="preserve">Ministerstvo financií SR </w:t>
      </w:r>
      <w:r w:rsidRPr="000D30ED">
        <w:rPr>
          <w:rFonts w:ascii="Times New Roman" w:hAnsi="Times New Roman"/>
          <w:szCs w:val="22"/>
          <w:lang w:eastAsia="sk-SK"/>
        </w:rPr>
        <w:t xml:space="preserve">v úhrnnej hodnote 1 433 530 tis. eur sú najmä o náhradu škody uplatňovanej podľa zákona č. 514/2003 Z. z. o zodpovednosti za škodu spôsobenú pri výkone verejnej moci a o zmene niektorých zákonov, v ktorých Ministerstvo financií SR zastupuje pred súdom aj iné orgány verejnej moci. </w:t>
      </w:r>
    </w:p>
    <w:p w14:paraId="5F768E5F" w14:textId="77777777" w:rsidR="000D30ED" w:rsidRPr="000D30ED" w:rsidRDefault="000D30ED" w:rsidP="000D30ED">
      <w:pPr>
        <w:spacing w:after="120" w:line="240" w:lineRule="auto"/>
        <w:contextualSpacing/>
        <w:jc w:val="both"/>
        <w:rPr>
          <w:rFonts w:ascii="Times New Roman" w:hAnsi="Times New Roman"/>
          <w:szCs w:val="22"/>
          <w:lang w:eastAsia="sk-SK"/>
        </w:rPr>
      </w:pPr>
    </w:p>
    <w:p w14:paraId="6240BCC2"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b/>
          <w:szCs w:val="22"/>
          <w:lang w:eastAsia="sk-SK"/>
        </w:rPr>
        <w:t xml:space="preserve">Ministerstvo vnútra SR </w:t>
      </w:r>
      <w:r w:rsidRPr="000D30ED">
        <w:rPr>
          <w:rFonts w:ascii="Times New Roman" w:hAnsi="Times New Roman"/>
          <w:szCs w:val="22"/>
          <w:lang w:eastAsia="sk-SK"/>
        </w:rPr>
        <w:t>vykazuje podmienené pasíva zo súdnych sporov najmä z titulu náhrady škody spôsobenej pri výkone verejnej moci.</w:t>
      </w:r>
    </w:p>
    <w:p w14:paraId="68964E0B" w14:textId="77777777" w:rsidR="000D30ED" w:rsidRPr="000D30ED" w:rsidRDefault="000D30ED" w:rsidP="000D30ED">
      <w:pPr>
        <w:spacing w:after="0" w:line="240" w:lineRule="auto"/>
        <w:ind w:firstLine="360"/>
        <w:contextualSpacing/>
        <w:jc w:val="both"/>
        <w:rPr>
          <w:rFonts w:ascii="Times New Roman" w:hAnsi="Times New Roman"/>
          <w:szCs w:val="22"/>
          <w:lang w:eastAsia="sk-SK"/>
        </w:rPr>
      </w:pPr>
    </w:p>
    <w:p w14:paraId="693CE797" w14:textId="77777777" w:rsidR="000D30ED" w:rsidRPr="000D30ED" w:rsidRDefault="000D30ED" w:rsidP="000D30ED">
      <w:pPr>
        <w:spacing w:after="0" w:line="240" w:lineRule="auto"/>
        <w:jc w:val="both"/>
        <w:rPr>
          <w:rFonts w:ascii="Times New Roman" w:hAnsi="Times New Roman"/>
          <w:bCs/>
          <w:color w:val="FF0000"/>
          <w:szCs w:val="22"/>
        </w:rPr>
      </w:pPr>
      <w:r w:rsidRPr="000D30ED">
        <w:rPr>
          <w:rFonts w:ascii="Times New Roman" w:hAnsi="Times New Roman"/>
          <w:b/>
          <w:bCs/>
          <w:szCs w:val="22"/>
        </w:rPr>
        <w:t>Kancelária Národnej rady SR</w:t>
      </w:r>
      <w:r w:rsidRPr="000D30ED">
        <w:rPr>
          <w:rFonts w:ascii="Times New Roman" w:hAnsi="Times New Roman"/>
          <w:bCs/>
          <w:szCs w:val="22"/>
        </w:rPr>
        <w:t xml:space="preserve"> eviduje podmienené záväzky z existujúcich alebo hroziacich súdnych sporov, z čoho podstatnú časť tvoria žaloby o náhradu škody spôsobenú legislatívnou činnosťou NR SR vrátane troch súdnych sporov o ,,zákaz zisku“ zdravotných poisťovní. Medziročné zníženie žalovanej sumy vychádza zo súdnych uznesení o výške žalovanej sumy a zo späťvzatí niektorých žalôb.</w:t>
      </w:r>
    </w:p>
    <w:p w14:paraId="608D85C3" w14:textId="77777777" w:rsidR="000D30ED" w:rsidRPr="000D30ED" w:rsidRDefault="000D30ED" w:rsidP="000D30ED">
      <w:pPr>
        <w:spacing w:after="0" w:line="240" w:lineRule="auto"/>
        <w:ind w:firstLine="360"/>
        <w:jc w:val="both"/>
        <w:rPr>
          <w:rFonts w:ascii="Times New Roman" w:hAnsi="Times New Roman"/>
          <w:bCs/>
          <w:szCs w:val="22"/>
        </w:rPr>
      </w:pPr>
    </w:p>
    <w:p w14:paraId="305177FC"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b/>
          <w:szCs w:val="22"/>
          <w:lang w:eastAsia="sk-SK"/>
        </w:rPr>
        <w:t xml:space="preserve">Ministerstvo práce, sociálnych vecí a rodiny SR </w:t>
      </w:r>
      <w:r w:rsidRPr="000D30ED">
        <w:rPr>
          <w:rFonts w:ascii="Times New Roman" w:hAnsi="Times New Roman"/>
          <w:szCs w:val="22"/>
          <w:lang w:eastAsia="sk-SK"/>
        </w:rPr>
        <w:t>eviduje najvýznamnejší spor s fyzickou osobou o náhradu škody vo výške 450 000 tis. eur, ktorá mala byť spôsobená údajnou nečinnosťou a nesprávnym úradným postupom.</w:t>
      </w:r>
    </w:p>
    <w:p w14:paraId="4074D8D6" w14:textId="77777777" w:rsidR="000D30ED" w:rsidRPr="000D30ED" w:rsidRDefault="000D30ED" w:rsidP="000D30ED">
      <w:pPr>
        <w:spacing w:after="0" w:line="240" w:lineRule="auto"/>
        <w:contextualSpacing/>
        <w:jc w:val="both"/>
        <w:rPr>
          <w:rFonts w:ascii="Times New Roman" w:hAnsi="Times New Roman"/>
          <w:b/>
          <w:szCs w:val="22"/>
          <w:lang w:eastAsia="sk-SK"/>
        </w:rPr>
      </w:pPr>
    </w:p>
    <w:p w14:paraId="5DAF5EDC"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b/>
          <w:szCs w:val="22"/>
          <w:lang w:eastAsia="sk-SK"/>
        </w:rPr>
        <w:t xml:space="preserve">MH Manažment, a. s. </w:t>
      </w:r>
      <w:r w:rsidRPr="000D30ED">
        <w:rPr>
          <w:rFonts w:ascii="Times New Roman" w:hAnsi="Times New Roman"/>
          <w:szCs w:val="22"/>
          <w:lang w:eastAsia="sk-SK"/>
        </w:rPr>
        <w:t>je v súčasnosti účastníkom rôznych súdnych sporov, ktoré voči nemu vedú tretie osoby, uplatňujúce si nároky voči MH Manažment, a. s. Na základe vyjadrení právnych zástupcov v príslušných sporoch spoločnosť MH Manažment, a. s. eviduje podmienené záväzky na súdne spory v celkovej sume 168 185 tis. eur.</w:t>
      </w:r>
    </w:p>
    <w:p w14:paraId="2BD704F3" w14:textId="77777777" w:rsidR="000D30ED" w:rsidRPr="000D30ED" w:rsidRDefault="000D30ED" w:rsidP="000D30ED">
      <w:pPr>
        <w:spacing w:after="0" w:line="240" w:lineRule="auto"/>
        <w:ind w:firstLine="360"/>
        <w:contextualSpacing/>
        <w:jc w:val="both"/>
        <w:rPr>
          <w:rFonts w:ascii="Times New Roman" w:hAnsi="Times New Roman"/>
          <w:b/>
          <w:szCs w:val="22"/>
          <w:lang w:eastAsia="sk-SK"/>
        </w:rPr>
      </w:pPr>
    </w:p>
    <w:p w14:paraId="72E5AEBF"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b/>
          <w:szCs w:val="22"/>
          <w:lang w:eastAsia="sk-SK"/>
        </w:rPr>
        <w:t>Slovenský pozemkový fond</w:t>
      </w:r>
      <w:r w:rsidRPr="000D30ED">
        <w:rPr>
          <w:rFonts w:ascii="Times New Roman" w:hAnsi="Times New Roman"/>
          <w:szCs w:val="22"/>
          <w:lang w:eastAsia="sk-SK"/>
        </w:rPr>
        <w:t xml:space="preserve"> čelí viacerým súdnym žalobám a konaniam. Hodnotovo najväčší súdny spor (60 409 tis. eur), kde je žalovaný Slovenský pozemkový fond je z titulu údajne zmarenej investície z dôvodu, že fond vydal pozemky (na ktorých sa mal projekt realizovať).</w:t>
      </w:r>
    </w:p>
    <w:p w14:paraId="706DD8BC" w14:textId="77777777" w:rsidR="000D30ED" w:rsidRPr="000D30ED" w:rsidRDefault="000D30ED" w:rsidP="000D30ED">
      <w:pPr>
        <w:spacing w:after="0" w:line="240" w:lineRule="auto"/>
        <w:ind w:firstLine="360"/>
        <w:contextualSpacing/>
        <w:jc w:val="both"/>
        <w:rPr>
          <w:rFonts w:ascii="Times New Roman" w:hAnsi="Times New Roman"/>
          <w:b/>
          <w:szCs w:val="22"/>
          <w:lang w:eastAsia="sk-SK"/>
        </w:rPr>
      </w:pPr>
    </w:p>
    <w:p w14:paraId="41208E2C" w14:textId="77777777" w:rsidR="000D30ED" w:rsidRPr="000D30ED" w:rsidRDefault="000D30ED" w:rsidP="000D30ED">
      <w:pPr>
        <w:spacing w:after="0" w:line="240" w:lineRule="auto"/>
        <w:contextualSpacing/>
        <w:jc w:val="both"/>
        <w:rPr>
          <w:rFonts w:ascii="Times New Roman" w:hAnsi="Times New Roman"/>
          <w:b/>
          <w:szCs w:val="22"/>
          <w:lang w:eastAsia="sk-SK"/>
        </w:rPr>
      </w:pPr>
      <w:r w:rsidRPr="000D30ED">
        <w:rPr>
          <w:rFonts w:ascii="Times New Roman" w:hAnsi="Times New Roman"/>
          <w:b/>
          <w:szCs w:val="22"/>
          <w:lang w:eastAsia="sk-SK"/>
        </w:rPr>
        <w:t>Vodohospodárska výstavba, š. p.</w:t>
      </w:r>
      <w:r w:rsidRPr="000D30ED">
        <w:rPr>
          <w:rFonts w:ascii="Times New Roman" w:hAnsi="Times New Roman"/>
          <w:szCs w:val="22"/>
          <w:lang w:eastAsia="sk-SK"/>
        </w:rPr>
        <w:t xml:space="preserve"> eviduje viaceré súdne spory, pričom väčšinu  z uvedenej sumy tvorí spor o náhradu škody z dôvodu údajného porušenia nájomnej zmluvy a spory so Slovenskými elektrárňami o úhradu platieb podľa zmluvy o prevádzke Vodnej elektrárne Gabčíkovo. Vodohospodárska výstavba, š. p. vykazuje voči Slovenským elektrárňam aj podmienené aktíva, z titulu bezdôvodného obohatenia, ktoré malo vzniknúť úhradou platieb Slovenským elektrárňam, a.s. podľa neplatnej zmluvy o prevádzke Vodnej elektrárne Gabčíkovo. V súdnych sporoch sa naďalej pokračuje.</w:t>
      </w:r>
    </w:p>
    <w:p w14:paraId="18FAFACA" w14:textId="77777777" w:rsidR="000D30ED" w:rsidRPr="000D30ED" w:rsidRDefault="000D30ED" w:rsidP="000D30ED">
      <w:pPr>
        <w:spacing w:after="0" w:line="240" w:lineRule="auto"/>
        <w:ind w:firstLine="360"/>
        <w:contextualSpacing/>
        <w:jc w:val="both"/>
        <w:rPr>
          <w:rFonts w:ascii="Times New Roman" w:hAnsi="Times New Roman"/>
          <w:szCs w:val="22"/>
          <w:lang w:eastAsia="sk-SK"/>
        </w:rPr>
      </w:pPr>
    </w:p>
    <w:p w14:paraId="6F73D1D3" w14:textId="77777777" w:rsidR="000D30ED" w:rsidRPr="000D30ED" w:rsidRDefault="000D30ED" w:rsidP="000D30ED">
      <w:pPr>
        <w:keepNext/>
        <w:spacing w:after="120" w:line="240" w:lineRule="auto"/>
        <w:rPr>
          <w:rFonts w:ascii="Times New Roman" w:hAnsi="Times New Roman"/>
          <w:b/>
          <w:bCs/>
          <w:szCs w:val="22"/>
          <w:lang w:eastAsia="sk-SK"/>
        </w:rPr>
      </w:pPr>
      <w:r w:rsidRPr="000D30ED">
        <w:rPr>
          <w:rFonts w:ascii="Times New Roman" w:hAnsi="Times New Roman"/>
          <w:b/>
          <w:bCs/>
          <w:szCs w:val="22"/>
          <w:lang w:eastAsia="sk-SK"/>
        </w:rPr>
        <w:t>Iné podmienené záväzky</w:t>
      </w:r>
    </w:p>
    <w:p w14:paraId="49457F91"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szCs w:val="22"/>
          <w:lang w:eastAsia="sk-SK"/>
        </w:rPr>
        <w:t>Do podmienených záväzkov bola zaradená aj hodnota založeného majetku</w:t>
      </w:r>
      <w:r w:rsidRPr="000D30ED">
        <w:rPr>
          <w:rFonts w:ascii="Times New Roman" w:hAnsi="Times New Roman"/>
          <w:b/>
          <w:szCs w:val="22"/>
          <w:lang w:eastAsia="sk-SK"/>
        </w:rPr>
        <w:t xml:space="preserve"> Slovenských elektrární, a. s.</w:t>
      </w:r>
      <w:r w:rsidRPr="000D30ED">
        <w:rPr>
          <w:rFonts w:ascii="Times New Roman" w:hAnsi="Times New Roman"/>
          <w:szCs w:val="22"/>
          <w:lang w:eastAsia="sk-SK"/>
        </w:rPr>
        <w:t xml:space="preserve"> v prospech banky. Hodnota záložného práva sa medziročne zvýšila o 94 813 tis. eur. Hodnota podmienených pasív reprezentuje 34%-tný podiel štátu na základnom imaní spoločnosti. </w:t>
      </w:r>
    </w:p>
    <w:p w14:paraId="0A3BB785" w14:textId="77777777" w:rsidR="000D30ED" w:rsidRPr="000D30ED" w:rsidRDefault="000D30ED" w:rsidP="000D30ED">
      <w:pPr>
        <w:spacing w:after="0" w:line="240" w:lineRule="auto"/>
        <w:ind w:firstLine="360"/>
        <w:contextualSpacing/>
        <w:jc w:val="both"/>
        <w:rPr>
          <w:rFonts w:ascii="Times New Roman" w:hAnsi="Times New Roman"/>
          <w:szCs w:val="22"/>
          <w:highlight w:val="yellow"/>
          <w:lang w:eastAsia="sk-SK"/>
        </w:rPr>
      </w:pPr>
    </w:p>
    <w:p w14:paraId="2FFC14A0"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b/>
          <w:szCs w:val="22"/>
          <w:lang w:eastAsia="sk-SK"/>
        </w:rPr>
        <w:t xml:space="preserve">MH Manažment, a.s. </w:t>
      </w:r>
      <w:r w:rsidRPr="000D30ED">
        <w:rPr>
          <w:rFonts w:ascii="Times New Roman" w:hAnsi="Times New Roman"/>
          <w:szCs w:val="22"/>
          <w:lang w:eastAsia="sk-SK"/>
        </w:rPr>
        <w:t xml:space="preserve">eviduje významnú hodnotu podmienených záväzkov z ručenia za splnenie záväzkov vyplývajúcich z niektorých privatizačných zmlúv uzavretých bývalým  Fondom národného majetku. FNM sa zaviazal uhradiť nadobúdateľom privatizovaných spoločností určité straty na majetku, ktoré im môžu v budúcnosti vzniknúť v dôsledku </w:t>
      </w:r>
      <w:r w:rsidRPr="000D30ED">
        <w:rPr>
          <w:rFonts w:ascii="Times New Roman" w:hAnsi="Times New Roman"/>
          <w:bCs/>
          <w:iCs/>
          <w:szCs w:val="22"/>
          <w:lang w:eastAsia="sk-SK"/>
        </w:rPr>
        <w:t>určitých rizík definovaných v privatizačných zmluvách</w:t>
      </w:r>
      <w:r w:rsidRPr="000D30ED">
        <w:rPr>
          <w:rFonts w:ascii="Times New Roman" w:hAnsi="Times New Roman"/>
          <w:szCs w:val="22"/>
          <w:lang w:eastAsia="sk-SK"/>
        </w:rPr>
        <w:t>. Spoločnosť zároveň opätovne prehodnotila súdne spory a riziko plnenia z nich.</w:t>
      </w:r>
    </w:p>
    <w:p w14:paraId="74B01783" w14:textId="77777777" w:rsidR="000D30ED" w:rsidRPr="000D30ED" w:rsidRDefault="000D30ED" w:rsidP="000D30ED">
      <w:pPr>
        <w:spacing w:after="0" w:line="240" w:lineRule="auto"/>
        <w:ind w:firstLine="360"/>
        <w:contextualSpacing/>
        <w:jc w:val="both"/>
        <w:rPr>
          <w:rFonts w:ascii="Times New Roman" w:hAnsi="Times New Roman"/>
          <w:szCs w:val="22"/>
          <w:lang w:eastAsia="sk-SK"/>
        </w:rPr>
      </w:pPr>
    </w:p>
    <w:p w14:paraId="2282F12E" w14:textId="77777777" w:rsidR="000D30ED" w:rsidRPr="000D30ED" w:rsidRDefault="000D30ED" w:rsidP="000D30ED">
      <w:pPr>
        <w:spacing w:after="0" w:line="240" w:lineRule="auto"/>
        <w:contextualSpacing/>
        <w:jc w:val="both"/>
        <w:rPr>
          <w:rFonts w:ascii="Times New Roman" w:hAnsi="Times New Roman"/>
          <w:color w:val="FF0000"/>
          <w:szCs w:val="22"/>
          <w:lang w:eastAsia="sk-SK"/>
        </w:rPr>
      </w:pPr>
      <w:r w:rsidRPr="000D30ED">
        <w:rPr>
          <w:rFonts w:ascii="Times New Roman" w:hAnsi="Times New Roman"/>
          <w:b/>
          <w:szCs w:val="22"/>
          <w:lang w:eastAsia="sk-SK"/>
        </w:rPr>
        <w:lastRenderedPageBreak/>
        <w:t xml:space="preserve">Slovenský plynárenský priemysel, a.s. </w:t>
      </w:r>
      <w:r w:rsidRPr="000D30ED">
        <w:rPr>
          <w:rFonts w:ascii="Times New Roman" w:hAnsi="Times New Roman"/>
          <w:szCs w:val="22"/>
          <w:lang w:eastAsia="sk-SK"/>
        </w:rPr>
        <w:t>vykazuje podmienené pasíva v podobe finančných derivátov, využívajúcich sa pri kontrahovaní zemného plynu na komoditných burzách. Zmena hodnoty súvisí so zmenou ceny zemného plynu a elektrickej energie, na ktoré sa viažu komoditné deriváty.</w:t>
      </w:r>
      <w:r w:rsidRPr="000D30ED">
        <w:rPr>
          <w:rFonts w:ascii="Times New Roman" w:hAnsi="Times New Roman"/>
          <w:color w:val="FF0000"/>
          <w:szCs w:val="22"/>
          <w:lang w:eastAsia="sk-SK"/>
        </w:rPr>
        <w:t xml:space="preserve"> </w:t>
      </w:r>
    </w:p>
    <w:p w14:paraId="146B3D77" w14:textId="77777777" w:rsidR="000D30ED" w:rsidRPr="000D30ED" w:rsidRDefault="000D30ED" w:rsidP="000D30ED">
      <w:pPr>
        <w:spacing w:after="0" w:line="240" w:lineRule="auto"/>
        <w:ind w:firstLine="360"/>
        <w:contextualSpacing/>
        <w:jc w:val="both"/>
        <w:rPr>
          <w:rFonts w:ascii="Times New Roman" w:hAnsi="Times New Roman"/>
          <w:szCs w:val="22"/>
          <w:highlight w:val="yellow"/>
          <w:lang w:eastAsia="sk-SK"/>
        </w:rPr>
      </w:pPr>
    </w:p>
    <w:p w14:paraId="7121CA35"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szCs w:val="22"/>
          <w:lang w:eastAsia="sk-SK"/>
        </w:rPr>
        <w:t xml:space="preserve">Poskytnuté záruky </w:t>
      </w:r>
      <w:r w:rsidRPr="000D30ED">
        <w:rPr>
          <w:rFonts w:ascii="Times New Roman" w:hAnsi="Times New Roman"/>
          <w:b/>
          <w:szCs w:val="22"/>
          <w:lang w:eastAsia="sk-SK"/>
        </w:rPr>
        <w:t>Ministerstvom financií SR</w:t>
      </w:r>
      <w:r w:rsidRPr="000D30ED">
        <w:rPr>
          <w:rFonts w:ascii="Times New Roman" w:hAnsi="Times New Roman"/>
          <w:szCs w:val="22"/>
          <w:lang w:eastAsia="sk-SK"/>
        </w:rPr>
        <w:t xml:space="preserve"> boli vykázané vo výške 321 411 tis. eur, a medziročne sa znížili o 97 736 tis. eur. Zníženie spôsobili realizované  záruky podľa zákona</w:t>
      </w:r>
      <w:r w:rsidRPr="000D30ED">
        <w:rPr>
          <w:rFonts w:ascii="Times New Roman" w:hAnsi="Times New Roman"/>
          <w:szCs w:val="22"/>
          <w:lang w:eastAsia="sk-SK"/>
        </w:rPr>
        <w:br/>
        <w:t>č. 67/2020 Z. z. o niektorých mimoriadnych opatreniach vo finančnej oblasti v súvislosti so šírením nebezpečnej nákazlivej ľudskej choroby  COVID-19 v platnom znení, v prospech finančných inštitúcií (SZRB, Eximbanka a NDF I), ktoré poskytli úvery resp. záruky za úvery na podporu podnikateľom v čase pandémie COVID-19. V roku 2022 bolo ministerstvom uhradených 12 040 tis. eur z doteraz poskytnutých záruk. V roku 2021 to bolo 39 tis. eur, v roku 2020 neboli preplatené žiadne záruky. Ďalšie zníženie záruk ministerstva v objeme 84 781 tis. eur bolo na základe aktualizácie pozície poskytovateľov pomoci (SZRB, EXIMBANKA, NDF I), na základe odsúhlasených zmien aj zo strany komerčných bánk. Okrem záruk spoločnosti NDF II. sú všetky ostatné záruky predmetom konsolidácie pri výpočte čistého bohatstva.</w:t>
      </w:r>
    </w:p>
    <w:p w14:paraId="38573423" w14:textId="77777777" w:rsidR="000D30ED" w:rsidRPr="000D30ED" w:rsidRDefault="000D30ED" w:rsidP="000D30ED">
      <w:pPr>
        <w:spacing w:after="0" w:line="240" w:lineRule="auto"/>
        <w:ind w:firstLine="360"/>
        <w:jc w:val="both"/>
        <w:rPr>
          <w:rFonts w:ascii="Times New Roman" w:hAnsi="Times New Roman"/>
          <w:b/>
          <w:bCs/>
          <w:szCs w:val="22"/>
        </w:rPr>
      </w:pPr>
    </w:p>
    <w:p w14:paraId="0477F750"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b/>
          <w:szCs w:val="22"/>
          <w:lang w:eastAsia="sk-SK"/>
        </w:rPr>
        <w:t xml:space="preserve">National Development Fund II, a.s. </w:t>
      </w:r>
      <w:r w:rsidRPr="000D30ED">
        <w:rPr>
          <w:rFonts w:ascii="Times New Roman" w:hAnsi="Times New Roman"/>
          <w:szCs w:val="22"/>
          <w:lang w:eastAsia="sk-SK"/>
        </w:rPr>
        <w:t>vykazuje portfóliové záruky za úvery komerčných bánk poskytované v rámci opatrení na zmiernenie dopadov pandémie COVID-19 na podnikateľský sektor. Krytie týchto záruk je najmä z prostriedkov rozpočtu EÚ. Medziročná zmena je spôsobená primárne vplyvom postupného splácania úverov bankám zo strany konečných dlžníkov, čím klesá aj báza úverov, za ktoré ručí NDF II. Tempo poskytovania nových úverov so zárukou spoločnosti bolo nižšie ako tempo splácania už poskytnutých úverov so zárukou.</w:t>
      </w:r>
    </w:p>
    <w:p w14:paraId="7A2FBA04" w14:textId="759286DE" w:rsidR="000D30ED" w:rsidRPr="000D30ED" w:rsidRDefault="000D30ED" w:rsidP="000D30ED">
      <w:pPr>
        <w:spacing w:after="0" w:line="240" w:lineRule="auto"/>
        <w:contextualSpacing/>
        <w:jc w:val="both"/>
        <w:rPr>
          <w:rFonts w:ascii="Times New Roman" w:hAnsi="Times New Roman"/>
          <w:b/>
          <w:iCs/>
          <w:sz w:val="20"/>
          <w:szCs w:val="20"/>
        </w:rPr>
      </w:pPr>
    </w:p>
    <w:tbl>
      <w:tblPr>
        <w:tblW w:w="8931"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830"/>
        <w:gridCol w:w="993"/>
        <w:gridCol w:w="992"/>
        <w:gridCol w:w="1276"/>
      </w:tblGrid>
      <w:tr w:rsidR="000D30ED" w:rsidRPr="00A40944" w14:paraId="5DD1429E" w14:textId="77777777" w:rsidTr="00A40944">
        <w:trPr>
          <w:trHeight w:val="276"/>
          <w:jc w:val="center"/>
        </w:trPr>
        <w:tc>
          <w:tcPr>
            <w:tcW w:w="8931" w:type="dxa"/>
            <w:gridSpan w:val="5"/>
            <w:shd w:val="clear" w:color="auto" w:fill="FABF8F" w:themeFill="accent6" w:themeFillTint="99"/>
            <w:vAlign w:val="center"/>
            <w:hideMark/>
          </w:tcPr>
          <w:p w14:paraId="44070ED8" w14:textId="6DE6F766" w:rsidR="000D30ED" w:rsidRPr="00A40944" w:rsidRDefault="000D30ED" w:rsidP="000D30ED">
            <w:pPr>
              <w:spacing w:after="0" w:line="240" w:lineRule="auto"/>
              <w:rPr>
                <w:rFonts w:ascii="Times New Roman" w:hAnsi="Times New Roman"/>
                <w:b/>
                <w:sz w:val="18"/>
                <w:szCs w:val="18"/>
                <w:lang w:eastAsia="sk-SK"/>
              </w:rPr>
            </w:pPr>
            <w:r w:rsidRPr="00A40944">
              <w:rPr>
                <w:rFonts w:ascii="Times New Roman" w:hAnsi="Times New Roman"/>
                <w:b/>
                <w:sz w:val="18"/>
                <w:szCs w:val="18"/>
                <w:lang w:eastAsia="sk-SK"/>
              </w:rPr>
              <w:t> Prehľad vystavených covid záruk na základe zákona č. 67/2020 Z. z.</w:t>
            </w:r>
            <w:r w:rsidR="00F211B3" w:rsidRPr="00A40944">
              <w:rPr>
                <w:rFonts w:ascii="Times New Roman" w:hAnsi="Times New Roman"/>
                <w:b/>
                <w:sz w:val="18"/>
                <w:szCs w:val="18"/>
                <w:lang w:eastAsia="sk-SK"/>
              </w:rPr>
              <w:t xml:space="preserve">                                                            </w:t>
            </w:r>
            <w:r w:rsidR="00854843" w:rsidRPr="00A40944">
              <w:rPr>
                <w:rFonts w:ascii="Times New Roman" w:hAnsi="Times New Roman"/>
                <w:b/>
                <w:sz w:val="18"/>
                <w:szCs w:val="18"/>
                <w:lang w:eastAsia="sk-SK"/>
              </w:rPr>
              <w:t>(</w:t>
            </w:r>
            <w:r w:rsidR="00F211B3" w:rsidRPr="00A40944">
              <w:rPr>
                <w:rFonts w:ascii="Times New Roman" w:hAnsi="Times New Roman"/>
                <w:b/>
                <w:sz w:val="18"/>
                <w:szCs w:val="18"/>
                <w:lang w:eastAsia="sk-SK"/>
              </w:rPr>
              <w:t>v tis. eur</w:t>
            </w:r>
            <w:r w:rsidR="00854843" w:rsidRPr="00A40944">
              <w:rPr>
                <w:rFonts w:ascii="Times New Roman" w:hAnsi="Times New Roman"/>
                <w:b/>
                <w:sz w:val="18"/>
                <w:szCs w:val="18"/>
                <w:lang w:eastAsia="sk-SK"/>
              </w:rPr>
              <w:t>)</w:t>
            </w:r>
          </w:p>
        </w:tc>
      </w:tr>
      <w:tr w:rsidR="000D30ED" w:rsidRPr="000D30ED" w14:paraId="0EC12BF3" w14:textId="77777777" w:rsidTr="00854843">
        <w:trPr>
          <w:trHeight w:val="276"/>
          <w:jc w:val="center"/>
        </w:trPr>
        <w:tc>
          <w:tcPr>
            <w:tcW w:w="4840" w:type="dxa"/>
            <w:tcBorders>
              <w:right w:val="nil"/>
            </w:tcBorders>
            <w:shd w:val="clear" w:color="auto" w:fill="B8CCE4" w:themeFill="accent1" w:themeFillTint="66"/>
            <w:vAlign w:val="center"/>
          </w:tcPr>
          <w:p w14:paraId="1554B7BD" w14:textId="77777777" w:rsidR="000D30ED" w:rsidRPr="000D30ED" w:rsidRDefault="000D30ED" w:rsidP="000D30ED">
            <w:pPr>
              <w:spacing w:after="0" w:line="240" w:lineRule="auto"/>
              <w:rPr>
                <w:rFonts w:ascii="Times New Roman" w:hAnsi="Times New Roman"/>
                <w:color w:val="000000"/>
                <w:sz w:val="16"/>
                <w:szCs w:val="16"/>
                <w:lang w:eastAsia="sk-SK"/>
              </w:rPr>
            </w:pPr>
          </w:p>
        </w:tc>
        <w:tc>
          <w:tcPr>
            <w:tcW w:w="830" w:type="dxa"/>
            <w:tcBorders>
              <w:left w:val="nil"/>
              <w:right w:val="nil"/>
            </w:tcBorders>
            <w:shd w:val="clear" w:color="auto" w:fill="B8CCE4" w:themeFill="accent1" w:themeFillTint="66"/>
            <w:vAlign w:val="bottom"/>
          </w:tcPr>
          <w:p w14:paraId="6E1994FD" w14:textId="12410ACC" w:rsidR="000D30ED" w:rsidRPr="000D30ED" w:rsidRDefault="000D30ED" w:rsidP="000D30ED">
            <w:pPr>
              <w:spacing w:after="0" w:line="240" w:lineRule="auto"/>
              <w:jc w:val="right"/>
              <w:rPr>
                <w:rFonts w:ascii="Times New Roman" w:hAnsi="Times New Roman"/>
                <w:b/>
                <w:bCs/>
                <w:sz w:val="16"/>
                <w:szCs w:val="16"/>
                <w:lang w:eastAsia="sk-SK"/>
              </w:rPr>
            </w:pPr>
            <w:r w:rsidRPr="000D30ED">
              <w:rPr>
                <w:rFonts w:ascii="Times New Roman" w:hAnsi="Times New Roman"/>
                <w:b/>
                <w:bCs/>
                <w:sz w:val="16"/>
                <w:szCs w:val="16"/>
                <w:lang w:eastAsia="sk-SK"/>
              </w:rPr>
              <w:t>2020</w:t>
            </w:r>
          </w:p>
        </w:tc>
        <w:tc>
          <w:tcPr>
            <w:tcW w:w="993" w:type="dxa"/>
            <w:tcBorders>
              <w:left w:val="nil"/>
              <w:right w:val="nil"/>
            </w:tcBorders>
            <w:shd w:val="clear" w:color="auto" w:fill="B8CCE4" w:themeFill="accent1" w:themeFillTint="66"/>
            <w:vAlign w:val="bottom"/>
          </w:tcPr>
          <w:p w14:paraId="6675AB1D" w14:textId="6447FFC9" w:rsidR="000D30ED" w:rsidRPr="000D30ED" w:rsidRDefault="000D30ED" w:rsidP="000D30ED">
            <w:pPr>
              <w:spacing w:after="0" w:line="240" w:lineRule="auto"/>
              <w:jc w:val="right"/>
              <w:rPr>
                <w:rFonts w:ascii="Times New Roman" w:hAnsi="Times New Roman"/>
                <w:b/>
                <w:bCs/>
                <w:sz w:val="16"/>
                <w:szCs w:val="16"/>
                <w:lang w:eastAsia="sk-SK"/>
              </w:rPr>
            </w:pPr>
            <w:r w:rsidRPr="000D30ED">
              <w:rPr>
                <w:rFonts w:ascii="Times New Roman" w:hAnsi="Times New Roman"/>
                <w:b/>
                <w:bCs/>
                <w:sz w:val="16"/>
                <w:szCs w:val="16"/>
                <w:lang w:eastAsia="sk-SK"/>
              </w:rPr>
              <w:t>2021</w:t>
            </w:r>
          </w:p>
        </w:tc>
        <w:tc>
          <w:tcPr>
            <w:tcW w:w="992" w:type="dxa"/>
            <w:tcBorders>
              <w:left w:val="nil"/>
              <w:right w:val="nil"/>
            </w:tcBorders>
            <w:shd w:val="clear" w:color="auto" w:fill="B8CCE4" w:themeFill="accent1" w:themeFillTint="66"/>
            <w:vAlign w:val="bottom"/>
          </w:tcPr>
          <w:p w14:paraId="4B326574" w14:textId="392CAD64" w:rsidR="000D30ED" w:rsidRPr="000D30ED" w:rsidRDefault="000D30ED" w:rsidP="000D30ED">
            <w:pPr>
              <w:spacing w:after="0" w:line="240" w:lineRule="auto"/>
              <w:jc w:val="right"/>
              <w:rPr>
                <w:rFonts w:ascii="Times New Roman" w:hAnsi="Times New Roman"/>
                <w:b/>
                <w:bCs/>
                <w:sz w:val="16"/>
                <w:szCs w:val="16"/>
                <w:lang w:eastAsia="sk-SK"/>
              </w:rPr>
            </w:pPr>
            <w:r w:rsidRPr="000D30ED">
              <w:rPr>
                <w:rFonts w:ascii="Times New Roman" w:hAnsi="Times New Roman"/>
                <w:b/>
                <w:bCs/>
                <w:sz w:val="16"/>
                <w:szCs w:val="16"/>
                <w:lang w:eastAsia="sk-SK"/>
              </w:rPr>
              <w:t>2022</w:t>
            </w:r>
          </w:p>
        </w:tc>
        <w:tc>
          <w:tcPr>
            <w:tcW w:w="1276" w:type="dxa"/>
            <w:tcBorders>
              <w:left w:val="nil"/>
            </w:tcBorders>
            <w:shd w:val="clear" w:color="auto" w:fill="B8CCE4" w:themeFill="accent1" w:themeFillTint="66"/>
            <w:vAlign w:val="bottom"/>
          </w:tcPr>
          <w:p w14:paraId="676AFEE3" w14:textId="0204BA56" w:rsidR="000D30ED" w:rsidRPr="000D30ED" w:rsidRDefault="000D30ED" w:rsidP="000D30ED">
            <w:pPr>
              <w:spacing w:after="0" w:line="240" w:lineRule="auto"/>
              <w:jc w:val="right"/>
              <w:rPr>
                <w:rFonts w:ascii="Times New Roman" w:hAnsi="Times New Roman"/>
                <w:b/>
                <w:bCs/>
                <w:sz w:val="16"/>
                <w:szCs w:val="16"/>
                <w:lang w:eastAsia="sk-SK"/>
              </w:rPr>
            </w:pPr>
            <w:r w:rsidRPr="000D30ED">
              <w:rPr>
                <w:rFonts w:ascii="Times New Roman" w:hAnsi="Times New Roman"/>
                <w:b/>
                <w:bCs/>
                <w:sz w:val="16"/>
                <w:szCs w:val="16"/>
                <w:lang w:eastAsia="sk-SK"/>
              </w:rPr>
              <w:t>Δ2022-2021</w:t>
            </w:r>
          </w:p>
        </w:tc>
      </w:tr>
      <w:tr w:rsidR="000D30ED" w:rsidRPr="000D30ED" w14:paraId="074CA5BD" w14:textId="77777777" w:rsidTr="000D30ED">
        <w:trPr>
          <w:trHeight w:val="276"/>
          <w:jc w:val="center"/>
        </w:trPr>
        <w:tc>
          <w:tcPr>
            <w:tcW w:w="4840" w:type="dxa"/>
            <w:tcBorders>
              <w:bottom w:val="nil"/>
              <w:right w:val="nil"/>
            </w:tcBorders>
            <w:vAlign w:val="center"/>
          </w:tcPr>
          <w:p w14:paraId="3FF5928C"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MF SR v prospech SZRB, a.s. (§5)</w:t>
            </w:r>
          </w:p>
        </w:tc>
        <w:tc>
          <w:tcPr>
            <w:tcW w:w="830" w:type="dxa"/>
            <w:tcBorders>
              <w:left w:val="nil"/>
              <w:bottom w:val="nil"/>
              <w:right w:val="nil"/>
            </w:tcBorders>
            <w:vAlign w:val="center"/>
          </w:tcPr>
          <w:p w14:paraId="4B03D4F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23 432</w:t>
            </w:r>
          </w:p>
        </w:tc>
        <w:tc>
          <w:tcPr>
            <w:tcW w:w="993" w:type="dxa"/>
            <w:tcBorders>
              <w:left w:val="nil"/>
              <w:bottom w:val="nil"/>
              <w:right w:val="nil"/>
            </w:tcBorders>
            <w:vAlign w:val="center"/>
          </w:tcPr>
          <w:p w14:paraId="6D0D9B8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25 661</w:t>
            </w:r>
          </w:p>
        </w:tc>
        <w:tc>
          <w:tcPr>
            <w:tcW w:w="992" w:type="dxa"/>
            <w:tcBorders>
              <w:left w:val="nil"/>
              <w:bottom w:val="nil"/>
              <w:right w:val="nil"/>
            </w:tcBorders>
            <w:vAlign w:val="center"/>
          </w:tcPr>
          <w:p w14:paraId="3E13C8A2"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25 919</w:t>
            </w:r>
          </w:p>
        </w:tc>
        <w:tc>
          <w:tcPr>
            <w:tcW w:w="1276" w:type="dxa"/>
            <w:tcBorders>
              <w:left w:val="nil"/>
              <w:bottom w:val="nil"/>
            </w:tcBorders>
            <w:vAlign w:val="center"/>
          </w:tcPr>
          <w:p w14:paraId="1804B2D0"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258</w:t>
            </w:r>
          </w:p>
        </w:tc>
      </w:tr>
      <w:tr w:rsidR="000D30ED" w:rsidRPr="000D30ED" w14:paraId="4E286F45" w14:textId="77777777" w:rsidTr="000D30ED">
        <w:trPr>
          <w:trHeight w:val="276"/>
          <w:jc w:val="center"/>
        </w:trPr>
        <w:tc>
          <w:tcPr>
            <w:tcW w:w="4840" w:type="dxa"/>
            <w:tcBorders>
              <w:top w:val="nil"/>
              <w:bottom w:val="nil"/>
              <w:right w:val="nil"/>
            </w:tcBorders>
            <w:vAlign w:val="center"/>
          </w:tcPr>
          <w:p w14:paraId="227F04C6"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MF SR v prospech EXIMBANKY (§25)</w:t>
            </w:r>
          </w:p>
        </w:tc>
        <w:tc>
          <w:tcPr>
            <w:tcW w:w="830" w:type="dxa"/>
            <w:tcBorders>
              <w:top w:val="nil"/>
              <w:left w:val="nil"/>
              <w:bottom w:val="nil"/>
              <w:right w:val="nil"/>
            </w:tcBorders>
            <w:vAlign w:val="center"/>
          </w:tcPr>
          <w:p w14:paraId="7DE6F3D9"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24 000</w:t>
            </w:r>
          </w:p>
        </w:tc>
        <w:tc>
          <w:tcPr>
            <w:tcW w:w="993" w:type="dxa"/>
            <w:tcBorders>
              <w:top w:val="nil"/>
              <w:left w:val="nil"/>
              <w:bottom w:val="nil"/>
              <w:right w:val="nil"/>
            </w:tcBorders>
            <w:vAlign w:val="center"/>
          </w:tcPr>
          <w:p w14:paraId="2025B67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24 000</w:t>
            </w:r>
          </w:p>
        </w:tc>
        <w:tc>
          <w:tcPr>
            <w:tcW w:w="992" w:type="dxa"/>
            <w:tcBorders>
              <w:top w:val="nil"/>
              <w:left w:val="nil"/>
              <w:bottom w:val="nil"/>
              <w:right w:val="nil"/>
            </w:tcBorders>
            <w:vAlign w:val="center"/>
          </w:tcPr>
          <w:p w14:paraId="61D56C43"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21 760</w:t>
            </w:r>
          </w:p>
        </w:tc>
        <w:tc>
          <w:tcPr>
            <w:tcW w:w="1276" w:type="dxa"/>
            <w:tcBorders>
              <w:top w:val="nil"/>
              <w:left w:val="nil"/>
              <w:bottom w:val="nil"/>
            </w:tcBorders>
            <w:vAlign w:val="center"/>
          </w:tcPr>
          <w:p w14:paraId="53A7244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-2 240</w:t>
            </w:r>
          </w:p>
        </w:tc>
      </w:tr>
      <w:tr w:rsidR="000D30ED" w:rsidRPr="000D30ED" w14:paraId="13C1ABF7" w14:textId="77777777" w:rsidTr="000D30ED">
        <w:trPr>
          <w:trHeight w:val="276"/>
          <w:jc w:val="center"/>
        </w:trPr>
        <w:tc>
          <w:tcPr>
            <w:tcW w:w="4840" w:type="dxa"/>
            <w:tcBorders>
              <w:top w:val="nil"/>
              <w:bottom w:val="nil"/>
              <w:right w:val="nil"/>
            </w:tcBorders>
            <w:noWrap/>
            <w:vAlign w:val="center"/>
          </w:tcPr>
          <w:p w14:paraId="004186FB"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MF SR v prospech EXIMBANKY (§25a)</w:t>
            </w:r>
          </w:p>
        </w:tc>
        <w:tc>
          <w:tcPr>
            <w:tcW w:w="830" w:type="dxa"/>
            <w:tcBorders>
              <w:top w:val="nil"/>
              <w:left w:val="nil"/>
              <w:bottom w:val="nil"/>
              <w:right w:val="nil"/>
            </w:tcBorders>
            <w:vAlign w:val="center"/>
          </w:tcPr>
          <w:p w14:paraId="6CE407A6"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22 649</w:t>
            </w:r>
          </w:p>
        </w:tc>
        <w:tc>
          <w:tcPr>
            <w:tcW w:w="993" w:type="dxa"/>
            <w:tcBorders>
              <w:top w:val="nil"/>
              <w:left w:val="nil"/>
              <w:bottom w:val="nil"/>
              <w:right w:val="nil"/>
            </w:tcBorders>
            <w:vAlign w:val="center"/>
          </w:tcPr>
          <w:p w14:paraId="03065B8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40 879</w:t>
            </w:r>
          </w:p>
        </w:tc>
        <w:tc>
          <w:tcPr>
            <w:tcW w:w="992" w:type="dxa"/>
            <w:tcBorders>
              <w:top w:val="nil"/>
              <w:left w:val="nil"/>
              <w:bottom w:val="nil"/>
              <w:right w:val="nil"/>
            </w:tcBorders>
            <w:vAlign w:val="center"/>
          </w:tcPr>
          <w:p w14:paraId="25F2F5D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30 116</w:t>
            </w:r>
          </w:p>
        </w:tc>
        <w:tc>
          <w:tcPr>
            <w:tcW w:w="1276" w:type="dxa"/>
            <w:tcBorders>
              <w:top w:val="nil"/>
              <w:left w:val="nil"/>
              <w:bottom w:val="nil"/>
            </w:tcBorders>
            <w:vAlign w:val="center"/>
          </w:tcPr>
          <w:p w14:paraId="74CDBC67"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-10 763</w:t>
            </w:r>
          </w:p>
        </w:tc>
      </w:tr>
      <w:tr w:rsidR="000D30ED" w:rsidRPr="000D30ED" w14:paraId="32EC9A32" w14:textId="77777777" w:rsidTr="000D30ED">
        <w:trPr>
          <w:trHeight w:val="276"/>
          <w:jc w:val="center"/>
        </w:trPr>
        <w:tc>
          <w:tcPr>
            <w:tcW w:w="4840" w:type="dxa"/>
            <w:tcBorders>
              <w:top w:val="nil"/>
              <w:bottom w:val="nil"/>
              <w:right w:val="nil"/>
            </w:tcBorders>
            <w:vAlign w:val="center"/>
          </w:tcPr>
          <w:p w14:paraId="07EECF9E"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MF SR v prospech NDF I (§25a)</w:t>
            </w:r>
          </w:p>
        </w:tc>
        <w:tc>
          <w:tcPr>
            <w:tcW w:w="830" w:type="dxa"/>
            <w:tcBorders>
              <w:top w:val="nil"/>
              <w:left w:val="nil"/>
              <w:bottom w:val="nil"/>
              <w:right w:val="nil"/>
            </w:tcBorders>
            <w:vAlign w:val="center"/>
          </w:tcPr>
          <w:p w14:paraId="6F9F8C4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143 393</w:t>
            </w:r>
          </w:p>
        </w:tc>
        <w:tc>
          <w:tcPr>
            <w:tcW w:w="993" w:type="dxa"/>
            <w:tcBorders>
              <w:top w:val="nil"/>
              <w:left w:val="nil"/>
              <w:bottom w:val="nil"/>
              <w:right w:val="nil"/>
            </w:tcBorders>
            <w:vAlign w:val="center"/>
          </w:tcPr>
          <w:p w14:paraId="56D6771C"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322 582</w:t>
            </w:r>
          </w:p>
        </w:tc>
        <w:tc>
          <w:tcPr>
            <w:tcW w:w="992" w:type="dxa"/>
            <w:tcBorders>
              <w:top w:val="nil"/>
              <w:left w:val="nil"/>
              <w:bottom w:val="nil"/>
              <w:right w:val="nil"/>
            </w:tcBorders>
            <w:vAlign w:val="center"/>
          </w:tcPr>
          <w:p w14:paraId="7CA440DD"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238 506</w:t>
            </w:r>
          </w:p>
        </w:tc>
        <w:tc>
          <w:tcPr>
            <w:tcW w:w="1276" w:type="dxa"/>
            <w:tcBorders>
              <w:top w:val="nil"/>
              <w:left w:val="nil"/>
              <w:bottom w:val="nil"/>
            </w:tcBorders>
            <w:vAlign w:val="center"/>
          </w:tcPr>
          <w:p w14:paraId="44595A5E"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-84 076</w:t>
            </w:r>
          </w:p>
        </w:tc>
      </w:tr>
      <w:tr w:rsidR="000D30ED" w:rsidRPr="000D30ED" w14:paraId="2C8F59E4" w14:textId="77777777" w:rsidTr="000D30ED">
        <w:trPr>
          <w:trHeight w:val="276"/>
          <w:jc w:val="center"/>
        </w:trPr>
        <w:tc>
          <w:tcPr>
            <w:tcW w:w="4840" w:type="dxa"/>
            <w:tcBorders>
              <w:top w:val="nil"/>
              <w:right w:val="nil"/>
            </w:tcBorders>
            <w:vAlign w:val="center"/>
          </w:tcPr>
          <w:p w14:paraId="39E44608" w14:textId="77777777" w:rsidR="000D30ED" w:rsidRPr="000D30ED" w:rsidRDefault="000D30ED" w:rsidP="000D30ED">
            <w:pPr>
              <w:spacing w:after="0" w:line="240" w:lineRule="auto"/>
              <w:ind w:firstLineChars="300" w:firstLine="480"/>
              <w:rPr>
                <w:rFonts w:ascii="Times New Roman" w:hAnsi="Times New Roman"/>
                <w:color w:val="000000"/>
                <w:sz w:val="16"/>
                <w:szCs w:val="16"/>
                <w:lang w:eastAsia="sk-SK"/>
              </w:rPr>
            </w:pPr>
            <w:r w:rsidRPr="000D30ED">
              <w:rPr>
                <w:rFonts w:ascii="Times New Roman" w:hAnsi="Times New Roman"/>
                <w:color w:val="000000"/>
                <w:sz w:val="16"/>
                <w:szCs w:val="16"/>
                <w:lang w:eastAsia="sk-SK"/>
              </w:rPr>
              <w:t>NDF II v prospech tretích strán (§25a)</w:t>
            </w:r>
          </w:p>
        </w:tc>
        <w:tc>
          <w:tcPr>
            <w:tcW w:w="830" w:type="dxa"/>
            <w:tcBorders>
              <w:top w:val="nil"/>
              <w:left w:val="nil"/>
              <w:right w:val="nil"/>
            </w:tcBorders>
            <w:vAlign w:val="center"/>
          </w:tcPr>
          <w:p w14:paraId="055F80E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310 683</w:t>
            </w:r>
          </w:p>
        </w:tc>
        <w:tc>
          <w:tcPr>
            <w:tcW w:w="993" w:type="dxa"/>
            <w:tcBorders>
              <w:top w:val="nil"/>
              <w:left w:val="nil"/>
              <w:right w:val="nil"/>
            </w:tcBorders>
            <w:vAlign w:val="center"/>
          </w:tcPr>
          <w:p w14:paraId="3BE07874"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381 410</w:t>
            </w:r>
          </w:p>
        </w:tc>
        <w:tc>
          <w:tcPr>
            <w:tcW w:w="992" w:type="dxa"/>
            <w:tcBorders>
              <w:top w:val="nil"/>
              <w:left w:val="nil"/>
              <w:right w:val="nil"/>
            </w:tcBorders>
            <w:vAlign w:val="center"/>
          </w:tcPr>
          <w:p w14:paraId="2D79DAE0"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365 392</w:t>
            </w:r>
          </w:p>
        </w:tc>
        <w:tc>
          <w:tcPr>
            <w:tcW w:w="1276" w:type="dxa"/>
            <w:tcBorders>
              <w:top w:val="nil"/>
              <w:left w:val="nil"/>
            </w:tcBorders>
            <w:vAlign w:val="center"/>
          </w:tcPr>
          <w:p w14:paraId="36CE89F5" w14:textId="77777777" w:rsidR="000D30ED" w:rsidRPr="000D30ED" w:rsidRDefault="000D30ED" w:rsidP="000D30ED">
            <w:pPr>
              <w:spacing w:after="0" w:line="240" w:lineRule="auto"/>
              <w:jc w:val="right"/>
              <w:rPr>
                <w:rFonts w:ascii="Times New Roman" w:hAnsi="Times New Roman"/>
                <w:color w:val="000000"/>
                <w:sz w:val="16"/>
                <w:szCs w:val="16"/>
                <w:lang w:eastAsia="sk-SK"/>
              </w:rPr>
            </w:pPr>
            <w:r w:rsidRPr="000D30ED">
              <w:rPr>
                <w:rFonts w:ascii="Times New Roman" w:hAnsi="Times New Roman"/>
                <w:color w:val="000000"/>
                <w:sz w:val="16"/>
                <w:szCs w:val="16"/>
                <w:lang w:eastAsia="sk-SK"/>
              </w:rPr>
              <w:t>-16 018</w:t>
            </w:r>
          </w:p>
        </w:tc>
      </w:tr>
      <w:tr w:rsidR="000D30ED" w:rsidRPr="000D30ED" w14:paraId="2B2A72AE" w14:textId="77777777" w:rsidTr="000D30ED">
        <w:trPr>
          <w:trHeight w:val="276"/>
          <w:jc w:val="center"/>
        </w:trPr>
        <w:tc>
          <w:tcPr>
            <w:tcW w:w="4840" w:type="dxa"/>
            <w:tcBorders>
              <w:right w:val="nil"/>
            </w:tcBorders>
            <w:vAlign w:val="center"/>
          </w:tcPr>
          <w:p w14:paraId="12784A29" w14:textId="77777777" w:rsidR="000D30ED" w:rsidRPr="000D30ED" w:rsidRDefault="000D30ED" w:rsidP="000D30ED">
            <w:pPr>
              <w:spacing w:after="0" w:line="240" w:lineRule="auto"/>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 xml:space="preserve">Spolu  </w:t>
            </w:r>
          </w:p>
        </w:tc>
        <w:tc>
          <w:tcPr>
            <w:tcW w:w="830" w:type="dxa"/>
            <w:tcBorders>
              <w:left w:val="nil"/>
              <w:right w:val="nil"/>
            </w:tcBorders>
            <w:vAlign w:val="center"/>
          </w:tcPr>
          <w:p w14:paraId="2BC1C191" w14:textId="77777777" w:rsidR="000D30ED" w:rsidRPr="000D30ED" w:rsidRDefault="000D30ED" w:rsidP="000D30ED">
            <w:pPr>
              <w:spacing w:after="0" w:line="240" w:lineRule="auto"/>
              <w:jc w:val="right"/>
              <w:rPr>
                <w:rFonts w:ascii="Times New Roman" w:hAnsi="Times New Roman"/>
                <w:b/>
                <w:color w:val="000000"/>
                <w:sz w:val="16"/>
                <w:szCs w:val="16"/>
                <w:lang w:eastAsia="sk-SK"/>
              </w:rPr>
            </w:pPr>
            <w:r w:rsidRPr="000D30ED">
              <w:rPr>
                <w:rFonts w:ascii="Times New Roman" w:hAnsi="Times New Roman"/>
                <w:b/>
                <w:color w:val="000000"/>
                <w:sz w:val="16"/>
                <w:szCs w:val="16"/>
                <w:lang w:eastAsia="sk-SK"/>
              </w:rPr>
              <w:t>524 157</w:t>
            </w:r>
          </w:p>
        </w:tc>
        <w:tc>
          <w:tcPr>
            <w:tcW w:w="993" w:type="dxa"/>
            <w:tcBorders>
              <w:left w:val="nil"/>
              <w:right w:val="nil"/>
            </w:tcBorders>
            <w:vAlign w:val="center"/>
          </w:tcPr>
          <w:p w14:paraId="432B93C5"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794 532</w:t>
            </w:r>
          </w:p>
        </w:tc>
        <w:tc>
          <w:tcPr>
            <w:tcW w:w="992" w:type="dxa"/>
            <w:tcBorders>
              <w:left w:val="nil"/>
              <w:right w:val="nil"/>
            </w:tcBorders>
            <w:vAlign w:val="center"/>
          </w:tcPr>
          <w:p w14:paraId="79D0B9F7"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681 693</w:t>
            </w:r>
          </w:p>
        </w:tc>
        <w:tc>
          <w:tcPr>
            <w:tcW w:w="1276" w:type="dxa"/>
            <w:tcBorders>
              <w:left w:val="nil"/>
            </w:tcBorders>
            <w:vAlign w:val="center"/>
          </w:tcPr>
          <w:p w14:paraId="577B2AEC" w14:textId="77777777" w:rsidR="000D30ED" w:rsidRPr="000D30ED" w:rsidRDefault="000D30ED" w:rsidP="000D30ED">
            <w:pPr>
              <w:spacing w:after="0" w:line="240" w:lineRule="auto"/>
              <w:jc w:val="right"/>
              <w:rPr>
                <w:rFonts w:ascii="Times New Roman" w:hAnsi="Times New Roman"/>
                <w:b/>
                <w:bCs/>
                <w:color w:val="000000"/>
                <w:sz w:val="16"/>
                <w:szCs w:val="16"/>
                <w:lang w:eastAsia="sk-SK"/>
              </w:rPr>
            </w:pPr>
            <w:r w:rsidRPr="000D30ED">
              <w:rPr>
                <w:rFonts w:ascii="Times New Roman" w:hAnsi="Times New Roman"/>
                <w:b/>
                <w:bCs/>
                <w:color w:val="000000"/>
                <w:sz w:val="16"/>
                <w:szCs w:val="16"/>
                <w:lang w:eastAsia="sk-SK"/>
              </w:rPr>
              <w:t>-112 839</w:t>
            </w:r>
          </w:p>
        </w:tc>
      </w:tr>
    </w:tbl>
    <w:p w14:paraId="084E7A5B" w14:textId="77777777" w:rsidR="000D30ED" w:rsidRPr="000D30ED" w:rsidRDefault="000D30ED" w:rsidP="00ED2779">
      <w:pPr>
        <w:spacing w:before="240" w:after="0" w:line="240" w:lineRule="auto"/>
        <w:jc w:val="both"/>
        <w:rPr>
          <w:rFonts w:ascii="Times New Roman" w:hAnsi="Times New Roman"/>
          <w:bCs/>
          <w:szCs w:val="22"/>
        </w:rPr>
      </w:pPr>
      <w:r w:rsidRPr="000D30ED">
        <w:rPr>
          <w:rFonts w:ascii="Times New Roman" w:hAnsi="Times New Roman"/>
          <w:bCs/>
          <w:szCs w:val="22"/>
        </w:rPr>
        <w:t>Po abstrahovaní záruk vystavených Ministerstvom financií SR v prospech iných subjektov verejnej správy (Eximbanka a NDF I) je hodnota covid záruk k 31.12.2022 na úrovni 391 311 tis. eur.</w:t>
      </w:r>
    </w:p>
    <w:p w14:paraId="45B8A0D1" w14:textId="77777777" w:rsidR="000D30ED" w:rsidRPr="000D30ED" w:rsidRDefault="000D30ED" w:rsidP="000D30ED">
      <w:pPr>
        <w:spacing w:after="0" w:line="240" w:lineRule="auto"/>
        <w:jc w:val="both"/>
        <w:rPr>
          <w:rFonts w:ascii="Times New Roman" w:hAnsi="Times New Roman"/>
          <w:bCs/>
          <w:szCs w:val="22"/>
        </w:rPr>
      </w:pPr>
      <w:r w:rsidRPr="000D30ED">
        <w:rPr>
          <w:rFonts w:ascii="Times New Roman" w:hAnsi="Times New Roman"/>
          <w:bCs/>
          <w:szCs w:val="22"/>
        </w:rPr>
        <w:t xml:space="preserve"> </w:t>
      </w:r>
    </w:p>
    <w:p w14:paraId="56FE4EC3"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szCs w:val="22"/>
          <w:lang w:eastAsia="sk-SK"/>
        </w:rPr>
        <w:t>Obdobne aj</w:t>
      </w:r>
      <w:r w:rsidRPr="000D30ED">
        <w:rPr>
          <w:rFonts w:ascii="Times New Roman" w:hAnsi="Times New Roman"/>
          <w:b/>
          <w:szCs w:val="22"/>
          <w:lang w:eastAsia="sk-SK"/>
        </w:rPr>
        <w:t xml:space="preserve"> Exportno-importná banka Slovenska</w:t>
      </w:r>
      <w:r w:rsidRPr="000D30ED">
        <w:rPr>
          <w:rFonts w:ascii="Times New Roman" w:hAnsi="Times New Roman"/>
          <w:szCs w:val="22"/>
          <w:lang w:eastAsia="sk-SK"/>
        </w:rPr>
        <w:t xml:space="preserve"> vykazuje v iných pasívach hodnotu poskytnutých záruk 141 430 tis. eur a neodvolateľné úverové prísľuby 36 494 tis. eur.</w:t>
      </w:r>
    </w:p>
    <w:p w14:paraId="75206AB3" w14:textId="77777777" w:rsidR="000D30ED" w:rsidRPr="000D30ED" w:rsidRDefault="000D30ED" w:rsidP="000D30ED">
      <w:pPr>
        <w:spacing w:after="0" w:line="240" w:lineRule="auto"/>
        <w:contextualSpacing/>
        <w:jc w:val="both"/>
        <w:rPr>
          <w:rFonts w:ascii="Times New Roman" w:hAnsi="Times New Roman"/>
          <w:b/>
          <w:szCs w:val="22"/>
          <w:lang w:eastAsia="sk-SK"/>
        </w:rPr>
      </w:pPr>
    </w:p>
    <w:p w14:paraId="77AA4963"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b/>
          <w:szCs w:val="22"/>
          <w:lang w:eastAsia="sk-SK"/>
        </w:rPr>
        <w:t>Východoslovenská energetika Holding, a.s.</w:t>
      </w:r>
      <w:r w:rsidRPr="000D30ED">
        <w:rPr>
          <w:rFonts w:ascii="Times New Roman" w:hAnsi="Times New Roman"/>
          <w:szCs w:val="22"/>
          <w:lang w:eastAsia="sk-SK"/>
        </w:rPr>
        <w:t xml:space="preserve"> vykazuje podmienené pasívum v podobe bankových záruk v prospech skupiny. Podiel štátu na týchto potenciálnych záväzkoch bol prepočítaný na hodnotu podielu na základnom imaní spoločnosti (51 % ).</w:t>
      </w:r>
    </w:p>
    <w:p w14:paraId="5ACE5E9D" w14:textId="77777777" w:rsidR="000D30ED" w:rsidRPr="000D30ED" w:rsidRDefault="000D30ED" w:rsidP="000D30ED">
      <w:pPr>
        <w:spacing w:after="0" w:line="240" w:lineRule="auto"/>
        <w:contextualSpacing/>
        <w:jc w:val="both"/>
        <w:rPr>
          <w:rFonts w:ascii="Times New Roman" w:hAnsi="Times New Roman"/>
          <w:b/>
          <w:szCs w:val="22"/>
          <w:lang w:eastAsia="sk-SK"/>
        </w:rPr>
      </w:pPr>
    </w:p>
    <w:p w14:paraId="3A108C6B"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b/>
          <w:szCs w:val="22"/>
          <w:lang w:eastAsia="sk-SK"/>
        </w:rPr>
        <w:t>Slovenská záručná a rozvojová banka Slovenska, a.s.</w:t>
      </w:r>
      <w:r w:rsidRPr="000D30ED">
        <w:rPr>
          <w:rFonts w:ascii="Times New Roman" w:hAnsi="Times New Roman"/>
          <w:szCs w:val="22"/>
          <w:lang w:eastAsia="sk-SK"/>
        </w:rPr>
        <w:t xml:space="preserve"> vykazuje podmienené záväzky z titulu poskytnutých záruk v hodnote 23 178 tis. eur a úverových prísľubov vo výške 36 575 tis. eur.</w:t>
      </w:r>
    </w:p>
    <w:p w14:paraId="27E7C77B" w14:textId="77777777" w:rsidR="000D30ED" w:rsidRPr="000D30ED" w:rsidRDefault="000D30ED" w:rsidP="000D30ED">
      <w:pPr>
        <w:spacing w:after="0" w:line="240" w:lineRule="auto"/>
        <w:ind w:firstLine="360"/>
        <w:contextualSpacing/>
        <w:jc w:val="both"/>
        <w:rPr>
          <w:rFonts w:ascii="Times New Roman" w:hAnsi="Times New Roman"/>
          <w:szCs w:val="22"/>
          <w:lang w:eastAsia="sk-SK"/>
        </w:rPr>
      </w:pPr>
    </w:p>
    <w:p w14:paraId="01DC6EA9" w14:textId="77777777" w:rsidR="000D30ED" w:rsidRPr="000D30ED" w:rsidRDefault="000D30ED" w:rsidP="000D30ED">
      <w:pPr>
        <w:spacing w:after="0" w:line="240" w:lineRule="auto"/>
        <w:contextualSpacing/>
        <w:jc w:val="both"/>
        <w:rPr>
          <w:rFonts w:ascii="Times New Roman" w:hAnsi="Times New Roman"/>
          <w:szCs w:val="22"/>
          <w:lang w:eastAsia="sk-SK"/>
        </w:rPr>
      </w:pPr>
      <w:r w:rsidRPr="000D30ED">
        <w:rPr>
          <w:rFonts w:ascii="Times New Roman" w:hAnsi="Times New Roman"/>
          <w:b/>
          <w:szCs w:val="22"/>
          <w:lang w:eastAsia="sk-SK"/>
        </w:rPr>
        <w:t>Lesy Slovenskej republiky, š. p.</w:t>
      </w:r>
      <w:r w:rsidRPr="000D30ED">
        <w:rPr>
          <w:rFonts w:ascii="Times New Roman" w:hAnsi="Times New Roman"/>
          <w:szCs w:val="22"/>
          <w:lang w:eastAsia="sk-SK"/>
        </w:rPr>
        <w:t xml:space="preserve"> dlhodobo vykazujú hodnotu majetku, ktorá je právne nevysporiadaná (napr. pozemky a stavby), a ktoré môžu byť predmetom vrátenia pôvodným vlastníkom. </w:t>
      </w:r>
    </w:p>
    <w:p w14:paraId="038DDCA7" w14:textId="77777777" w:rsidR="000D30ED" w:rsidRDefault="000D30ED">
      <w:pPr>
        <w:spacing w:after="0" w:line="240" w:lineRule="auto"/>
        <w:rPr>
          <w:rFonts w:ascii="Times New Roman" w:hAnsi="Times New Roman"/>
          <w:b/>
          <w:bCs/>
          <w:caps/>
          <w:sz w:val="24"/>
          <w:szCs w:val="24"/>
        </w:rPr>
      </w:pPr>
      <w:r>
        <w:rPr>
          <w:rFonts w:ascii="Times New Roman" w:hAnsi="Times New Roman"/>
          <w:b/>
          <w:bCs/>
          <w:caps/>
          <w:sz w:val="24"/>
          <w:szCs w:val="24"/>
        </w:rPr>
        <w:br w:type="page"/>
      </w:r>
    </w:p>
    <w:p w14:paraId="5550E3F4" w14:textId="6C408DD4" w:rsidR="00735003" w:rsidRPr="006F3378" w:rsidRDefault="00735003" w:rsidP="008F097E">
      <w:pPr>
        <w:spacing w:after="0" w:line="240" w:lineRule="auto"/>
        <w:jc w:val="center"/>
        <w:rPr>
          <w:rFonts w:ascii="Times New Roman" w:hAnsi="Times New Roman"/>
          <w:b/>
          <w:bCs/>
          <w:caps/>
          <w:sz w:val="24"/>
          <w:szCs w:val="24"/>
        </w:rPr>
      </w:pPr>
      <w:r w:rsidRPr="006F3378">
        <w:rPr>
          <w:rFonts w:ascii="Times New Roman" w:hAnsi="Times New Roman"/>
          <w:b/>
          <w:bCs/>
          <w:caps/>
          <w:sz w:val="24"/>
          <w:szCs w:val="24"/>
        </w:rPr>
        <w:lastRenderedPageBreak/>
        <w:t>IV. SKUTOČNOSTI, KTORÉ NASTALI PO DNI, KU KTORÉMU SA ZOSTAVUJE ÚČTOVNÁ ZÁVIERKA, DO DŇA JEJ ZOSTAVENIA</w:t>
      </w:r>
    </w:p>
    <w:p w14:paraId="1B45E920" w14:textId="77777777" w:rsidR="00000899" w:rsidRPr="006F3378" w:rsidRDefault="00000899" w:rsidP="00503DB5">
      <w:pPr>
        <w:spacing w:after="0" w:line="240" w:lineRule="auto"/>
        <w:jc w:val="both"/>
        <w:rPr>
          <w:rFonts w:ascii="Times New Roman" w:hAnsi="Times New Roman"/>
          <w:szCs w:val="22"/>
          <w:highlight w:val="yellow"/>
          <w:lang w:eastAsia="sk-SK"/>
        </w:rPr>
      </w:pPr>
    </w:p>
    <w:p w14:paraId="199CB392" w14:textId="77777777" w:rsidR="00801142" w:rsidRDefault="00E3079B" w:rsidP="00E3079B">
      <w:pPr>
        <w:spacing w:after="120" w:line="240" w:lineRule="auto"/>
        <w:jc w:val="both"/>
        <w:rPr>
          <w:rFonts w:ascii="Times New Roman" w:hAnsi="Times New Roman"/>
          <w:szCs w:val="22"/>
          <w:lang w:eastAsia="sk-SK"/>
        </w:rPr>
      </w:pPr>
      <w:r w:rsidRPr="00B6702F">
        <w:rPr>
          <w:rFonts w:ascii="Times New Roman" w:hAnsi="Times New Roman"/>
          <w:szCs w:val="22"/>
          <w:lang w:eastAsia="sk-SK"/>
        </w:rPr>
        <w:t>V súvislosti s prebiehajúcim vojenským konfliktom na Ukrajine, ktorý začal 24. februára 2022 inváziou ozbrojených síl Ruskej federácie na Ukrajinu prijala vláda SR viaceré opatrenia. V prvých týždňoch a mesiacoch boli vynaložené prostriedky štátneho rozpočtu a rozpočtu ostatných subjektov verejnej správy na pomoc utečencom prichádzajúcim na Slovensko alebo tranzitujúcim cez Slovensko do ostatných krajín Európy. Slovenská republika poskytla Ukrajine aj vojenský materiál, muníciu, palivo a vojenské zariadenia. Konflikt v nasledujúcich mesiacoch prispel k zvyšovaniu cien energií a pohonných hmôt, a Slovensko č</w:t>
      </w:r>
      <w:r w:rsidR="00801142">
        <w:rPr>
          <w:rFonts w:ascii="Times New Roman" w:hAnsi="Times New Roman"/>
          <w:szCs w:val="22"/>
          <w:lang w:eastAsia="sk-SK"/>
        </w:rPr>
        <w:t>elí novej - energetickej kríze.</w:t>
      </w:r>
    </w:p>
    <w:p w14:paraId="748FAF7A" w14:textId="6233F2D3" w:rsidR="00E3079B" w:rsidRPr="00B6702F" w:rsidRDefault="00E3079B" w:rsidP="00E3079B">
      <w:pPr>
        <w:spacing w:after="120" w:line="240" w:lineRule="auto"/>
        <w:jc w:val="both"/>
        <w:rPr>
          <w:rFonts w:ascii="Times New Roman" w:hAnsi="Times New Roman"/>
          <w:szCs w:val="22"/>
          <w:lang w:eastAsia="sk-SK"/>
        </w:rPr>
      </w:pPr>
      <w:r w:rsidRPr="00B6702F">
        <w:rPr>
          <w:rFonts w:ascii="Times New Roman" w:hAnsi="Times New Roman"/>
          <w:szCs w:val="22"/>
          <w:lang w:eastAsia="sk-SK"/>
        </w:rPr>
        <w:t xml:space="preserve">Už počas roka 2022 sa negatívne vplyvy odzrkadlili v raste inflácie a následne aj vo zvyšovaní úrokových sadzieb. </w:t>
      </w:r>
      <w:r w:rsidR="00801142">
        <w:rPr>
          <w:rFonts w:ascii="Times New Roman" w:hAnsi="Times New Roman"/>
          <w:szCs w:val="22"/>
          <w:lang w:eastAsia="sk-SK"/>
        </w:rPr>
        <w:t>U</w:t>
      </w:r>
      <w:r w:rsidRPr="00B6702F">
        <w:rPr>
          <w:rFonts w:ascii="Times New Roman" w:hAnsi="Times New Roman"/>
          <w:szCs w:val="22"/>
          <w:lang w:eastAsia="sk-SK"/>
        </w:rPr>
        <w:t xml:space="preserve">vedené faktory </w:t>
      </w:r>
      <w:r w:rsidR="00801142">
        <w:rPr>
          <w:rFonts w:ascii="Times New Roman" w:hAnsi="Times New Roman"/>
          <w:szCs w:val="22"/>
          <w:lang w:eastAsia="sk-SK"/>
        </w:rPr>
        <w:t>mali</w:t>
      </w:r>
      <w:r w:rsidRPr="00B6702F">
        <w:rPr>
          <w:rFonts w:ascii="Times New Roman" w:hAnsi="Times New Roman"/>
          <w:szCs w:val="22"/>
          <w:lang w:eastAsia="sk-SK"/>
        </w:rPr>
        <w:t xml:space="preserve"> negatívny dopad na rast hospodárstva SR v nasledujúcom účtovnom období, na verejné financie a na subjekty súhrnného celku.  </w:t>
      </w:r>
    </w:p>
    <w:p w14:paraId="47D86828" w14:textId="77777777" w:rsidR="005033B6" w:rsidRDefault="005033B6" w:rsidP="005033B6">
      <w:pPr>
        <w:spacing w:before="120" w:after="0"/>
        <w:jc w:val="both"/>
      </w:pPr>
      <w:r>
        <w:rPr>
          <w:rFonts w:ascii="Times New Roman" w:hAnsi="Times New Roman"/>
          <w:szCs w:val="22"/>
          <w:lang w:eastAsia="sk-SK"/>
        </w:rPr>
        <w:t>Po 31.decembri 2021 nenastali ďalšie udalosti, ktoré by mali významný vplyv na súhrnnú účtovnú závierku.</w:t>
      </w:r>
    </w:p>
    <w:p w14:paraId="3887EFC9" w14:textId="77777777" w:rsidR="004267B8" w:rsidRPr="00C66720" w:rsidRDefault="004267B8" w:rsidP="00374FE1">
      <w:pPr>
        <w:spacing w:after="120" w:line="240" w:lineRule="auto"/>
        <w:jc w:val="both"/>
        <w:rPr>
          <w:rFonts w:ascii="Times New Roman" w:hAnsi="Times New Roman"/>
          <w:szCs w:val="22"/>
          <w:lang w:eastAsia="sk-SK"/>
        </w:rPr>
      </w:pPr>
    </w:p>
    <w:p w14:paraId="3BC6CD47" w14:textId="77777777" w:rsidR="00374FE1" w:rsidRPr="00C66720" w:rsidRDefault="00374FE1" w:rsidP="00E3079B">
      <w:pPr>
        <w:spacing w:before="120" w:after="0"/>
        <w:rPr>
          <w:rFonts w:ascii="Times New Roman" w:hAnsi="Times New Roman"/>
          <w:color w:val="FF0000"/>
          <w:highlight w:val="yellow"/>
        </w:rPr>
      </w:pPr>
    </w:p>
    <w:p w14:paraId="68FD964B" w14:textId="77777777" w:rsidR="00501D2D" w:rsidRPr="00C66720" w:rsidRDefault="00501D2D" w:rsidP="008F097E">
      <w:pPr>
        <w:spacing w:after="0" w:line="240" w:lineRule="auto"/>
        <w:rPr>
          <w:rFonts w:ascii="Times New Roman" w:hAnsi="Times New Roman"/>
          <w:color w:val="FF0000"/>
          <w:szCs w:val="22"/>
          <w:highlight w:val="yellow"/>
          <w:lang w:eastAsia="sk-SK"/>
        </w:rPr>
      </w:pPr>
      <w:r w:rsidRPr="00C66720">
        <w:rPr>
          <w:rFonts w:ascii="Times New Roman" w:hAnsi="Times New Roman"/>
          <w:color w:val="FF0000"/>
          <w:szCs w:val="22"/>
          <w:highlight w:val="yellow"/>
          <w:lang w:eastAsia="sk-SK"/>
        </w:rPr>
        <w:br w:type="page"/>
      </w:r>
    </w:p>
    <w:p w14:paraId="637BAFAF" w14:textId="0AFBA322" w:rsidR="00601B45" w:rsidRPr="007B541D" w:rsidRDefault="003B1020" w:rsidP="00503DB5">
      <w:pPr>
        <w:spacing w:after="0" w:line="240" w:lineRule="auto"/>
        <w:jc w:val="both"/>
        <w:rPr>
          <w:rFonts w:ascii="Times New Roman" w:hAnsi="Times New Roman"/>
          <w:b/>
          <w:szCs w:val="22"/>
        </w:rPr>
      </w:pPr>
      <w:r w:rsidRPr="007B541D">
        <w:rPr>
          <w:rFonts w:ascii="Times New Roman" w:hAnsi="Times New Roman"/>
          <w:b/>
          <w:szCs w:val="22"/>
          <w:lang w:eastAsia="sk-SK"/>
        </w:rPr>
        <w:lastRenderedPageBreak/>
        <w:t xml:space="preserve"> </w:t>
      </w:r>
      <w:r w:rsidR="00601B45" w:rsidRPr="007B541D">
        <w:rPr>
          <w:rFonts w:ascii="Times New Roman" w:hAnsi="Times New Roman"/>
          <w:b/>
          <w:szCs w:val="22"/>
        </w:rPr>
        <w:t>Príloha č. 1</w:t>
      </w:r>
      <w:r w:rsidR="00B85616" w:rsidRPr="007B541D">
        <w:rPr>
          <w:rFonts w:ascii="Times New Roman" w:hAnsi="Times New Roman"/>
          <w:b/>
          <w:szCs w:val="22"/>
        </w:rPr>
        <w:t>:</w:t>
      </w:r>
      <w:r w:rsidR="00601B45" w:rsidRPr="007B541D">
        <w:rPr>
          <w:rFonts w:ascii="Times New Roman" w:hAnsi="Times New Roman"/>
          <w:b/>
          <w:szCs w:val="22"/>
        </w:rPr>
        <w:t xml:space="preserve"> Prehľad o subjektoch </w:t>
      </w:r>
      <w:r w:rsidR="009A6DDA" w:rsidRPr="007B541D">
        <w:rPr>
          <w:rFonts w:ascii="Times New Roman" w:hAnsi="Times New Roman"/>
          <w:b/>
          <w:szCs w:val="22"/>
        </w:rPr>
        <w:t>tvoriacich súhrnný celok</w:t>
      </w:r>
      <w:r w:rsidR="00601B45" w:rsidRPr="007B541D">
        <w:rPr>
          <w:rFonts w:ascii="Times New Roman" w:hAnsi="Times New Roman"/>
          <w:b/>
          <w:szCs w:val="22"/>
        </w:rPr>
        <w:t xml:space="preserve"> </w:t>
      </w:r>
      <w:r w:rsidR="00C628B9" w:rsidRPr="007B541D">
        <w:rPr>
          <w:rFonts w:ascii="Times New Roman" w:hAnsi="Times New Roman"/>
          <w:b/>
          <w:szCs w:val="22"/>
        </w:rPr>
        <w:t>za ro</w:t>
      </w:r>
      <w:r w:rsidR="002D4B72" w:rsidRPr="007B541D">
        <w:rPr>
          <w:rFonts w:ascii="Times New Roman" w:hAnsi="Times New Roman"/>
          <w:b/>
          <w:szCs w:val="22"/>
        </w:rPr>
        <w:t>k 2022</w:t>
      </w:r>
    </w:p>
    <w:tbl>
      <w:tblPr>
        <w:tblW w:w="9558" w:type="dxa"/>
        <w:tblCellMar>
          <w:left w:w="70" w:type="dxa"/>
          <w:right w:w="70" w:type="dxa"/>
        </w:tblCellMar>
        <w:tblLook w:val="04A0" w:firstRow="1" w:lastRow="0" w:firstColumn="1" w:lastColumn="0" w:noHBand="0" w:noVBand="1"/>
      </w:tblPr>
      <w:tblGrid>
        <w:gridCol w:w="4810"/>
        <w:gridCol w:w="850"/>
        <w:gridCol w:w="709"/>
        <w:gridCol w:w="709"/>
        <w:gridCol w:w="709"/>
        <w:gridCol w:w="637"/>
        <w:gridCol w:w="567"/>
        <w:gridCol w:w="567"/>
      </w:tblGrid>
      <w:tr w:rsidR="009A6DDA" w:rsidRPr="00C66720" w14:paraId="0CA8B352" w14:textId="77777777" w:rsidTr="007B541D">
        <w:trPr>
          <w:trHeight w:val="312"/>
        </w:trPr>
        <w:tc>
          <w:tcPr>
            <w:tcW w:w="4810" w:type="dxa"/>
            <w:vMerge w:val="restart"/>
            <w:tcBorders>
              <w:top w:val="double" w:sz="6" w:space="0" w:color="auto"/>
              <w:left w:val="single" w:sz="8" w:space="0" w:color="auto"/>
              <w:bottom w:val="single" w:sz="8" w:space="0" w:color="000000"/>
              <w:right w:val="single" w:sz="8" w:space="0" w:color="auto"/>
            </w:tcBorders>
            <w:shd w:val="clear" w:color="auto" w:fill="FABF8F" w:themeFill="accent6" w:themeFillTint="99"/>
            <w:vAlign w:val="center"/>
            <w:hideMark/>
          </w:tcPr>
          <w:p w14:paraId="4F981142"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Názov subjektu</w:t>
            </w:r>
          </w:p>
        </w:tc>
        <w:tc>
          <w:tcPr>
            <w:tcW w:w="850" w:type="dxa"/>
            <w:vMerge w:val="restart"/>
            <w:tcBorders>
              <w:top w:val="double" w:sz="6" w:space="0" w:color="auto"/>
              <w:left w:val="single" w:sz="8" w:space="0" w:color="auto"/>
              <w:bottom w:val="single" w:sz="8" w:space="0" w:color="000000"/>
              <w:right w:val="single" w:sz="8" w:space="0" w:color="auto"/>
            </w:tcBorders>
            <w:shd w:val="clear" w:color="auto" w:fill="FABF8F" w:themeFill="accent6" w:themeFillTint="99"/>
            <w:vAlign w:val="center"/>
            <w:hideMark/>
          </w:tcPr>
          <w:p w14:paraId="17DAEB45"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Počet ÚJ spolu</w:t>
            </w:r>
          </w:p>
        </w:tc>
        <w:tc>
          <w:tcPr>
            <w:tcW w:w="3898" w:type="dxa"/>
            <w:gridSpan w:val="6"/>
            <w:tcBorders>
              <w:top w:val="double" w:sz="6" w:space="0" w:color="auto"/>
              <w:left w:val="nil"/>
              <w:bottom w:val="single" w:sz="8" w:space="0" w:color="auto"/>
              <w:right w:val="single" w:sz="8" w:space="0" w:color="000000"/>
            </w:tcBorders>
            <w:shd w:val="clear" w:color="auto" w:fill="FABF8F" w:themeFill="accent6" w:themeFillTint="99"/>
            <w:vAlign w:val="center"/>
            <w:hideMark/>
          </w:tcPr>
          <w:p w14:paraId="448064D2"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z toho</w:t>
            </w:r>
          </w:p>
        </w:tc>
      </w:tr>
      <w:tr w:rsidR="009A6DDA" w:rsidRPr="00C66720" w14:paraId="3D1BDAA6" w14:textId="77777777" w:rsidTr="007B541D">
        <w:trPr>
          <w:trHeight w:val="300"/>
        </w:trPr>
        <w:tc>
          <w:tcPr>
            <w:tcW w:w="4810" w:type="dxa"/>
            <w:vMerge/>
            <w:tcBorders>
              <w:top w:val="double" w:sz="6" w:space="0" w:color="auto"/>
              <w:left w:val="single" w:sz="8" w:space="0" w:color="auto"/>
              <w:bottom w:val="single" w:sz="8" w:space="0" w:color="000000"/>
              <w:right w:val="single" w:sz="8" w:space="0" w:color="auto"/>
            </w:tcBorders>
            <w:shd w:val="clear" w:color="auto" w:fill="FABF8F" w:themeFill="accent6" w:themeFillTint="99"/>
            <w:vAlign w:val="center"/>
            <w:hideMark/>
          </w:tcPr>
          <w:p w14:paraId="3EF3FAE6" w14:textId="77777777" w:rsidR="009A6DDA" w:rsidRPr="00C66720" w:rsidRDefault="009A6DDA" w:rsidP="006B7E4E">
            <w:pPr>
              <w:spacing w:after="0" w:line="240" w:lineRule="auto"/>
              <w:rPr>
                <w:rFonts w:ascii="Times New Roman" w:hAnsi="Times New Roman"/>
                <w:b/>
                <w:bCs/>
                <w:color w:val="000000"/>
                <w:sz w:val="18"/>
                <w:szCs w:val="18"/>
                <w:lang w:eastAsia="sk-SK"/>
              </w:rPr>
            </w:pPr>
          </w:p>
        </w:tc>
        <w:tc>
          <w:tcPr>
            <w:tcW w:w="850" w:type="dxa"/>
            <w:vMerge/>
            <w:tcBorders>
              <w:top w:val="double" w:sz="6" w:space="0" w:color="auto"/>
              <w:left w:val="single" w:sz="8" w:space="0" w:color="auto"/>
              <w:bottom w:val="single" w:sz="8" w:space="0" w:color="000000"/>
              <w:right w:val="single" w:sz="8" w:space="0" w:color="auto"/>
            </w:tcBorders>
            <w:shd w:val="clear" w:color="auto" w:fill="FABF8F" w:themeFill="accent6" w:themeFillTint="99"/>
            <w:vAlign w:val="center"/>
            <w:hideMark/>
          </w:tcPr>
          <w:p w14:paraId="30ED268B" w14:textId="77777777" w:rsidR="009A6DDA" w:rsidRPr="00C66720" w:rsidRDefault="009A6DDA" w:rsidP="006B7E4E">
            <w:pPr>
              <w:spacing w:after="0" w:line="240" w:lineRule="auto"/>
              <w:rPr>
                <w:rFonts w:ascii="Times New Roman" w:hAnsi="Times New Roman"/>
                <w:b/>
                <w:bCs/>
                <w:color w:val="000000"/>
                <w:sz w:val="18"/>
                <w:szCs w:val="18"/>
                <w:lang w:eastAsia="sk-SK"/>
              </w:rPr>
            </w:pPr>
          </w:p>
        </w:tc>
        <w:tc>
          <w:tcPr>
            <w:tcW w:w="709" w:type="dxa"/>
            <w:tcBorders>
              <w:top w:val="nil"/>
              <w:left w:val="nil"/>
              <w:bottom w:val="single" w:sz="8" w:space="0" w:color="auto"/>
              <w:right w:val="single" w:sz="8" w:space="0" w:color="auto"/>
            </w:tcBorders>
            <w:shd w:val="clear" w:color="auto" w:fill="FABF8F" w:themeFill="accent6" w:themeFillTint="99"/>
            <w:vAlign w:val="center"/>
            <w:hideMark/>
          </w:tcPr>
          <w:p w14:paraId="14EC65EF"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RO</w:t>
            </w:r>
          </w:p>
        </w:tc>
        <w:tc>
          <w:tcPr>
            <w:tcW w:w="709" w:type="dxa"/>
            <w:tcBorders>
              <w:top w:val="nil"/>
              <w:left w:val="nil"/>
              <w:bottom w:val="single" w:sz="8" w:space="0" w:color="auto"/>
              <w:right w:val="single" w:sz="8" w:space="0" w:color="auto"/>
            </w:tcBorders>
            <w:shd w:val="clear" w:color="auto" w:fill="FABF8F" w:themeFill="accent6" w:themeFillTint="99"/>
            <w:vAlign w:val="center"/>
            <w:hideMark/>
          </w:tcPr>
          <w:p w14:paraId="4C0F4795"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PO</w:t>
            </w:r>
          </w:p>
        </w:tc>
        <w:tc>
          <w:tcPr>
            <w:tcW w:w="709" w:type="dxa"/>
            <w:tcBorders>
              <w:top w:val="nil"/>
              <w:left w:val="nil"/>
              <w:bottom w:val="single" w:sz="8" w:space="0" w:color="auto"/>
              <w:right w:val="single" w:sz="8" w:space="0" w:color="auto"/>
            </w:tcBorders>
            <w:shd w:val="clear" w:color="auto" w:fill="FABF8F" w:themeFill="accent6" w:themeFillTint="99"/>
            <w:vAlign w:val="center"/>
            <w:hideMark/>
          </w:tcPr>
          <w:p w14:paraId="0139FD18"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v.v.i.</w:t>
            </w:r>
          </w:p>
        </w:tc>
        <w:tc>
          <w:tcPr>
            <w:tcW w:w="637" w:type="dxa"/>
            <w:tcBorders>
              <w:top w:val="nil"/>
              <w:left w:val="nil"/>
              <w:bottom w:val="single" w:sz="8" w:space="0" w:color="auto"/>
              <w:right w:val="single" w:sz="8" w:space="0" w:color="auto"/>
            </w:tcBorders>
            <w:shd w:val="clear" w:color="auto" w:fill="FABF8F" w:themeFill="accent6" w:themeFillTint="99"/>
            <w:vAlign w:val="center"/>
            <w:hideMark/>
          </w:tcPr>
          <w:p w14:paraId="28AF2CA8"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OS</w:t>
            </w:r>
          </w:p>
        </w:tc>
        <w:tc>
          <w:tcPr>
            <w:tcW w:w="567" w:type="dxa"/>
            <w:tcBorders>
              <w:top w:val="nil"/>
              <w:left w:val="nil"/>
              <w:bottom w:val="single" w:sz="8" w:space="0" w:color="auto"/>
              <w:right w:val="single" w:sz="8" w:space="0" w:color="auto"/>
            </w:tcBorders>
            <w:shd w:val="clear" w:color="auto" w:fill="FABF8F" w:themeFill="accent6" w:themeFillTint="99"/>
            <w:vAlign w:val="center"/>
            <w:hideMark/>
          </w:tcPr>
          <w:p w14:paraId="6350DF94"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š.p.</w:t>
            </w:r>
          </w:p>
        </w:tc>
        <w:tc>
          <w:tcPr>
            <w:tcW w:w="567" w:type="dxa"/>
            <w:tcBorders>
              <w:top w:val="nil"/>
              <w:left w:val="nil"/>
              <w:bottom w:val="single" w:sz="8" w:space="0" w:color="auto"/>
              <w:right w:val="single" w:sz="8" w:space="0" w:color="auto"/>
            </w:tcBorders>
            <w:shd w:val="clear" w:color="auto" w:fill="FABF8F" w:themeFill="accent6" w:themeFillTint="99"/>
            <w:vAlign w:val="center"/>
            <w:hideMark/>
          </w:tcPr>
          <w:p w14:paraId="309E1F19"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ŠF</w:t>
            </w:r>
          </w:p>
        </w:tc>
      </w:tr>
      <w:tr w:rsidR="009A6DDA" w:rsidRPr="00C66720" w14:paraId="1DDB22B4"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09FE09A"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vnútra SR</w:t>
            </w:r>
          </w:p>
        </w:tc>
        <w:tc>
          <w:tcPr>
            <w:tcW w:w="850" w:type="dxa"/>
            <w:tcBorders>
              <w:top w:val="nil"/>
              <w:left w:val="nil"/>
              <w:bottom w:val="single" w:sz="8" w:space="0" w:color="auto"/>
              <w:right w:val="single" w:sz="8" w:space="0" w:color="auto"/>
            </w:tcBorders>
            <w:shd w:val="clear" w:color="auto" w:fill="auto"/>
            <w:vAlign w:val="center"/>
            <w:hideMark/>
          </w:tcPr>
          <w:p w14:paraId="40786D0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12</w:t>
            </w:r>
          </w:p>
        </w:tc>
        <w:tc>
          <w:tcPr>
            <w:tcW w:w="709" w:type="dxa"/>
            <w:tcBorders>
              <w:top w:val="nil"/>
              <w:left w:val="nil"/>
              <w:bottom w:val="single" w:sz="8" w:space="0" w:color="auto"/>
              <w:right w:val="single" w:sz="8" w:space="0" w:color="auto"/>
            </w:tcBorders>
            <w:shd w:val="clear" w:color="auto" w:fill="auto"/>
            <w:vAlign w:val="center"/>
            <w:hideMark/>
          </w:tcPr>
          <w:p w14:paraId="66FB93C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w:t>
            </w:r>
          </w:p>
        </w:tc>
        <w:tc>
          <w:tcPr>
            <w:tcW w:w="709" w:type="dxa"/>
            <w:tcBorders>
              <w:top w:val="nil"/>
              <w:left w:val="nil"/>
              <w:bottom w:val="single" w:sz="8" w:space="0" w:color="auto"/>
              <w:right w:val="single" w:sz="8" w:space="0" w:color="auto"/>
            </w:tcBorders>
            <w:shd w:val="clear" w:color="auto" w:fill="auto"/>
            <w:vAlign w:val="center"/>
            <w:hideMark/>
          </w:tcPr>
          <w:p w14:paraId="5C60811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6</w:t>
            </w:r>
          </w:p>
        </w:tc>
        <w:tc>
          <w:tcPr>
            <w:tcW w:w="709" w:type="dxa"/>
            <w:tcBorders>
              <w:top w:val="nil"/>
              <w:left w:val="nil"/>
              <w:bottom w:val="single" w:sz="8" w:space="0" w:color="auto"/>
              <w:right w:val="single" w:sz="8" w:space="0" w:color="auto"/>
            </w:tcBorders>
            <w:shd w:val="clear" w:color="auto" w:fill="auto"/>
            <w:vAlign w:val="center"/>
            <w:hideMark/>
          </w:tcPr>
          <w:p w14:paraId="7D456D1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6B767FA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567" w:type="dxa"/>
            <w:tcBorders>
              <w:top w:val="nil"/>
              <w:left w:val="nil"/>
              <w:bottom w:val="single" w:sz="8" w:space="0" w:color="auto"/>
              <w:right w:val="single" w:sz="8" w:space="0" w:color="auto"/>
            </w:tcBorders>
            <w:shd w:val="clear" w:color="auto" w:fill="auto"/>
            <w:vAlign w:val="center"/>
            <w:hideMark/>
          </w:tcPr>
          <w:p w14:paraId="3C0C901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48FFF15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0B84FEA8"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ACF036B"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zdravotníctva SR</w:t>
            </w:r>
          </w:p>
        </w:tc>
        <w:tc>
          <w:tcPr>
            <w:tcW w:w="850" w:type="dxa"/>
            <w:tcBorders>
              <w:top w:val="nil"/>
              <w:left w:val="nil"/>
              <w:bottom w:val="single" w:sz="8" w:space="0" w:color="auto"/>
              <w:right w:val="single" w:sz="8" w:space="0" w:color="auto"/>
            </w:tcBorders>
            <w:shd w:val="clear" w:color="auto" w:fill="auto"/>
            <w:vAlign w:val="center"/>
            <w:hideMark/>
          </w:tcPr>
          <w:p w14:paraId="72C30A4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87</w:t>
            </w:r>
          </w:p>
        </w:tc>
        <w:tc>
          <w:tcPr>
            <w:tcW w:w="709" w:type="dxa"/>
            <w:tcBorders>
              <w:top w:val="nil"/>
              <w:left w:val="nil"/>
              <w:bottom w:val="single" w:sz="8" w:space="0" w:color="auto"/>
              <w:right w:val="single" w:sz="8" w:space="0" w:color="auto"/>
            </w:tcBorders>
            <w:shd w:val="clear" w:color="auto" w:fill="auto"/>
            <w:vAlign w:val="center"/>
            <w:hideMark/>
          </w:tcPr>
          <w:p w14:paraId="3F6DD03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40</w:t>
            </w:r>
          </w:p>
        </w:tc>
        <w:tc>
          <w:tcPr>
            <w:tcW w:w="709" w:type="dxa"/>
            <w:tcBorders>
              <w:top w:val="nil"/>
              <w:left w:val="nil"/>
              <w:bottom w:val="single" w:sz="8" w:space="0" w:color="auto"/>
              <w:right w:val="single" w:sz="8" w:space="0" w:color="auto"/>
            </w:tcBorders>
            <w:shd w:val="clear" w:color="auto" w:fill="auto"/>
            <w:vAlign w:val="center"/>
            <w:hideMark/>
          </w:tcPr>
          <w:p w14:paraId="72D964A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37</w:t>
            </w:r>
          </w:p>
        </w:tc>
        <w:tc>
          <w:tcPr>
            <w:tcW w:w="709" w:type="dxa"/>
            <w:tcBorders>
              <w:top w:val="nil"/>
              <w:left w:val="nil"/>
              <w:bottom w:val="single" w:sz="8" w:space="0" w:color="auto"/>
              <w:right w:val="single" w:sz="8" w:space="0" w:color="auto"/>
            </w:tcBorders>
            <w:shd w:val="clear" w:color="auto" w:fill="auto"/>
            <w:vAlign w:val="center"/>
            <w:hideMark/>
          </w:tcPr>
          <w:p w14:paraId="18F868D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0CDABCE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w:t>
            </w:r>
          </w:p>
        </w:tc>
        <w:tc>
          <w:tcPr>
            <w:tcW w:w="567" w:type="dxa"/>
            <w:tcBorders>
              <w:top w:val="nil"/>
              <w:left w:val="nil"/>
              <w:bottom w:val="single" w:sz="8" w:space="0" w:color="auto"/>
              <w:right w:val="single" w:sz="8" w:space="0" w:color="auto"/>
            </w:tcBorders>
            <w:shd w:val="clear" w:color="auto" w:fill="auto"/>
            <w:vAlign w:val="center"/>
            <w:hideMark/>
          </w:tcPr>
          <w:p w14:paraId="3E8C9CC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567" w:type="dxa"/>
            <w:tcBorders>
              <w:top w:val="nil"/>
              <w:left w:val="nil"/>
              <w:bottom w:val="single" w:sz="8" w:space="0" w:color="auto"/>
              <w:right w:val="single" w:sz="8" w:space="0" w:color="auto"/>
            </w:tcBorders>
            <w:shd w:val="clear" w:color="auto" w:fill="auto"/>
            <w:vAlign w:val="center"/>
            <w:hideMark/>
          </w:tcPr>
          <w:p w14:paraId="3366D84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70AF924D"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082A301A"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práce, sociálnych vecí a rodiny SR</w:t>
            </w:r>
          </w:p>
        </w:tc>
        <w:tc>
          <w:tcPr>
            <w:tcW w:w="850" w:type="dxa"/>
            <w:tcBorders>
              <w:top w:val="nil"/>
              <w:left w:val="nil"/>
              <w:bottom w:val="single" w:sz="8" w:space="0" w:color="auto"/>
              <w:right w:val="single" w:sz="8" w:space="0" w:color="auto"/>
            </w:tcBorders>
            <w:shd w:val="clear" w:color="auto" w:fill="auto"/>
            <w:vAlign w:val="center"/>
            <w:hideMark/>
          </w:tcPr>
          <w:p w14:paraId="55840A5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86</w:t>
            </w:r>
          </w:p>
        </w:tc>
        <w:tc>
          <w:tcPr>
            <w:tcW w:w="709" w:type="dxa"/>
            <w:tcBorders>
              <w:top w:val="nil"/>
              <w:left w:val="nil"/>
              <w:bottom w:val="single" w:sz="8" w:space="0" w:color="auto"/>
              <w:right w:val="single" w:sz="8" w:space="0" w:color="auto"/>
            </w:tcBorders>
            <w:shd w:val="clear" w:color="auto" w:fill="auto"/>
            <w:vAlign w:val="center"/>
            <w:hideMark/>
          </w:tcPr>
          <w:p w14:paraId="458DB4F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83</w:t>
            </w:r>
          </w:p>
        </w:tc>
        <w:tc>
          <w:tcPr>
            <w:tcW w:w="709" w:type="dxa"/>
            <w:tcBorders>
              <w:top w:val="nil"/>
              <w:left w:val="nil"/>
              <w:bottom w:val="single" w:sz="8" w:space="0" w:color="auto"/>
              <w:right w:val="single" w:sz="8" w:space="0" w:color="auto"/>
            </w:tcBorders>
            <w:shd w:val="clear" w:color="auto" w:fill="auto"/>
            <w:vAlign w:val="center"/>
            <w:hideMark/>
          </w:tcPr>
          <w:p w14:paraId="6863A61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51E7BC1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4226876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567" w:type="dxa"/>
            <w:tcBorders>
              <w:top w:val="nil"/>
              <w:left w:val="nil"/>
              <w:bottom w:val="single" w:sz="8" w:space="0" w:color="auto"/>
              <w:right w:val="single" w:sz="8" w:space="0" w:color="auto"/>
            </w:tcBorders>
            <w:shd w:val="clear" w:color="auto" w:fill="auto"/>
            <w:vAlign w:val="center"/>
            <w:hideMark/>
          </w:tcPr>
          <w:p w14:paraId="5B247EB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221DEA3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277AC06A"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A8C8F02"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spravodlivosti SR</w:t>
            </w:r>
          </w:p>
        </w:tc>
        <w:tc>
          <w:tcPr>
            <w:tcW w:w="850" w:type="dxa"/>
            <w:tcBorders>
              <w:top w:val="nil"/>
              <w:left w:val="nil"/>
              <w:bottom w:val="single" w:sz="8" w:space="0" w:color="auto"/>
              <w:right w:val="single" w:sz="8" w:space="0" w:color="auto"/>
            </w:tcBorders>
            <w:shd w:val="clear" w:color="auto" w:fill="auto"/>
            <w:vAlign w:val="center"/>
            <w:hideMark/>
          </w:tcPr>
          <w:p w14:paraId="1D56FD1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89</w:t>
            </w:r>
          </w:p>
        </w:tc>
        <w:tc>
          <w:tcPr>
            <w:tcW w:w="709" w:type="dxa"/>
            <w:tcBorders>
              <w:top w:val="nil"/>
              <w:left w:val="nil"/>
              <w:bottom w:val="single" w:sz="8" w:space="0" w:color="auto"/>
              <w:right w:val="single" w:sz="8" w:space="0" w:color="auto"/>
            </w:tcBorders>
            <w:shd w:val="clear" w:color="auto" w:fill="auto"/>
            <w:vAlign w:val="center"/>
            <w:hideMark/>
          </w:tcPr>
          <w:p w14:paraId="2D38527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89</w:t>
            </w:r>
          </w:p>
        </w:tc>
        <w:tc>
          <w:tcPr>
            <w:tcW w:w="709" w:type="dxa"/>
            <w:tcBorders>
              <w:top w:val="nil"/>
              <w:left w:val="nil"/>
              <w:bottom w:val="single" w:sz="8" w:space="0" w:color="auto"/>
              <w:right w:val="single" w:sz="8" w:space="0" w:color="auto"/>
            </w:tcBorders>
            <w:shd w:val="clear" w:color="auto" w:fill="auto"/>
            <w:vAlign w:val="center"/>
            <w:hideMark/>
          </w:tcPr>
          <w:p w14:paraId="64C17E4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E15F66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5B99D4D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3787CBD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6FA4FC9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7DFF865"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B3465B8"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pôdohospodárstva a rozvoja vidieka SR</w:t>
            </w:r>
          </w:p>
        </w:tc>
        <w:tc>
          <w:tcPr>
            <w:tcW w:w="850" w:type="dxa"/>
            <w:tcBorders>
              <w:top w:val="nil"/>
              <w:left w:val="nil"/>
              <w:bottom w:val="single" w:sz="8" w:space="0" w:color="auto"/>
              <w:right w:val="single" w:sz="8" w:space="0" w:color="auto"/>
            </w:tcBorders>
            <w:shd w:val="clear" w:color="auto" w:fill="auto"/>
            <w:vAlign w:val="center"/>
            <w:hideMark/>
          </w:tcPr>
          <w:p w14:paraId="142F1B1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61</w:t>
            </w:r>
          </w:p>
        </w:tc>
        <w:tc>
          <w:tcPr>
            <w:tcW w:w="709" w:type="dxa"/>
            <w:tcBorders>
              <w:top w:val="nil"/>
              <w:left w:val="nil"/>
              <w:bottom w:val="single" w:sz="8" w:space="0" w:color="auto"/>
              <w:right w:val="single" w:sz="8" w:space="0" w:color="auto"/>
            </w:tcBorders>
            <w:shd w:val="clear" w:color="auto" w:fill="auto"/>
            <w:vAlign w:val="center"/>
            <w:hideMark/>
          </w:tcPr>
          <w:p w14:paraId="6E2DF8C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46</w:t>
            </w:r>
          </w:p>
        </w:tc>
        <w:tc>
          <w:tcPr>
            <w:tcW w:w="709" w:type="dxa"/>
            <w:tcBorders>
              <w:top w:val="nil"/>
              <w:left w:val="nil"/>
              <w:bottom w:val="single" w:sz="8" w:space="0" w:color="auto"/>
              <w:right w:val="single" w:sz="8" w:space="0" w:color="auto"/>
            </w:tcBorders>
            <w:shd w:val="clear" w:color="auto" w:fill="auto"/>
            <w:vAlign w:val="center"/>
            <w:hideMark/>
          </w:tcPr>
          <w:p w14:paraId="74AD941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7</w:t>
            </w:r>
          </w:p>
        </w:tc>
        <w:tc>
          <w:tcPr>
            <w:tcW w:w="709" w:type="dxa"/>
            <w:tcBorders>
              <w:top w:val="nil"/>
              <w:left w:val="nil"/>
              <w:bottom w:val="single" w:sz="8" w:space="0" w:color="auto"/>
              <w:right w:val="single" w:sz="8" w:space="0" w:color="auto"/>
            </w:tcBorders>
            <w:shd w:val="clear" w:color="auto" w:fill="auto"/>
            <w:vAlign w:val="center"/>
            <w:hideMark/>
          </w:tcPr>
          <w:p w14:paraId="4217911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1D25417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394D81F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w:t>
            </w:r>
          </w:p>
        </w:tc>
        <w:tc>
          <w:tcPr>
            <w:tcW w:w="567" w:type="dxa"/>
            <w:tcBorders>
              <w:top w:val="nil"/>
              <w:left w:val="nil"/>
              <w:bottom w:val="single" w:sz="8" w:space="0" w:color="auto"/>
              <w:right w:val="single" w:sz="8" w:space="0" w:color="auto"/>
            </w:tcBorders>
            <w:shd w:val="clear" w:color="auto" w:fill="auto"/>
            <w:vAlign w:val="center"/>
            <w:hideMark/>
          </w:tcPr>
          <w:p w14:paraId="6D7EE33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125A2B12"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64909BE"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 xml:space="preserve">Slovenská akadémia vied </w:t>
            </w:r>
          </w:p>
        </w:tc>
        <w:tc>
          <w:tcPr>
            <w:tcW w:w="850" w:type="dxa"/>
            <w:tcBorders>
              <w:top w:val="nil"/>
              <w:left w:val="nil"/>
              <w:bottom w:val="single" w:sz="8" w:space="0" w:color="auto"/>
              <w:right w:val="single" w:sz="8" w:space="0" w:color="auto"/>
            </w:tcBorders>
            <w:shd w:val="clear" w:color="auto" w:fill="auto"/>
            <w:vAlign w:val="center"/>
            <w:hideMark/>
          </w:tcPr>
          <w:p w14:paraId="5B0789B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48</w:t>
            </w:r>
          </w:p>
        </w:tc>
        <w:tc>
          <w:tcPr>
            <w:tcW w:w="709" w:type="dxa"/>
            <w:tcBorders>
              <w:top w:val="nil"/>
              <w:left w:val="nil"/>
              <w:bottom w:val="single" w:sz="8" w:space="0" w:color="auto"/>
              <w:right w:val="single" w:sz="8" w:space="0" w:color="auto"/>
            </w:tcBorders>
            <w:shd w:val="clear" w:color="auto" w:fill="auto"/>
            <w:vAlign w:val="center"/>
            <w:hideMark/>
          </w:tcPr>
          <w:p w14:paraId="4B3A836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1ECFC50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0</w:t>
            </w:r>
          </w:p>
        </w:tc>
        <w:tc>
          <w:tcPr>
            <w:tcW w:w="709" w:type="dxa"/>
            <w:tcBorders>
              <w:top w:val="nil"/>
              <w:left w:val="nil"/>
              <w:bottom w:val="single" w:sz="8" w:space="0" w:color="auto"/>
              <w:right w:val="single" w:sz="8" w:space="0" w:color="auto"/>
            </w:tcBorders>
            <w:shd w:val="clear" w:color="auto" w:fill="auto"/>
            <w:vAlign w:val="center"/>
            <w:hideMark/>
          </w:tcPr>
          <w:p w14:paraId="23C7A49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47</w:t>
            </w:r>
          </w:p>
        </w:tc>
        <w:tc>
          <w:tcPr>
            <w:tcW w:w="637" w:type="dxa"/>
            <w:tcBorders>
              <w:top w:val="nil"/>
              <w:left w:val="nil"/>
              <w:bottom w:val="single" w:sz="8" w:space="0" w:color="auto"/>
              <w:right w:val="single" w:sz="8" w:space="0" w:color="auto"/>
            </w:tcBorders>
            <w:shd w:val="clear" w:color="auto" w:fill="auto"/>
            <w:vAlign w:val="center"/>
            <w:hideMark/>
          </w:tcPr>
          <w:p w14:paraId="3D02346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18A0734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5E738FA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5A073E6E"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83316A0"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kultúry SR</w:t>
            </w:r>
          </w:p>
        </w:tc>
        <w:tc>
          <w:tcPr>
            <w:tcW w:w="850" w:type="dxa"/>
            <w:tcBorders>
              <w:top w:val="nil"/>
              <w:left w:val="nil"/>
              <w:bottom w:val="single" w:sz="8" w:space="0" w:color="auto"/>
              <w:right w:val="single" w:sz="8" w:space="0" w:color="auto"/>
            </w:tcBorders>
            <w:shd w:val="clear" w:color="auto" w:fill="auto"/>
            <w:vAlign w:val="center"/>
            <w:hideMark/>
          </w:tcPr>
          <w:p w14:paraId="4AF7BDB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31</w:t>
            </w:r>
          </w:p>
        </w:tc>
        <w:tc>
          <w:tcPr>
            <w:tcW w:w="709" w:type="dxa"/>
            <w:tcBorders>
              <w:top w:val="nil"/>
              <w:left w:val="nil"/>
              <w:bottom w:val="single" w:sz="8" w:space="0" w:color="auto"/>
              <w:right w:val="single" w:sz="8" w:space="0" w:color="auto"/>
            </w:tcBorders>
            <w:shd w:val="clear" w:color="auto" w:fill="auto"/>
            <w:vAlign w:val="center"/>
            <w:hideMark/>
          </w:tcPr>
          <w:p w14:paraId="1D36A55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7</w:t>
            </w:r>
          </w:p>
        </w:tc>
        <w:tc>
          <w:tcPr>
            <w:tcW w:w="709" w:type="dxa"/>
            <w:tcBorders>
              <w:top w:val="nil"/>
              <w:left w:val="nil"/>
              <w:bottom w:val="single" w:sz="8" w:space="0" w:color="auto"/>
              <w:right w:val="single" w:sz="8" w:space="0" w:color="auto"/>
            </w:tcBorders>
            <w:shd w:val="clear" w:color="auto" w:fill="auto"/>
            <w:vAlign w:val="center"/>
            <w:hideMark/>
          </w:tcPr>
          <w:p w14:paraId="5471145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24</w:t>
            </w:r>
          </w:p>
        </w:tc>
        <w:tc>
          <w:tcPr>
            <w:tcW w:w="709" w:type="dxa"/>
            <w:tcBorders>
              <w:top w:val="nil"/>
              <w:left w:val="nil"/>
              <w:bottom w:val="single" w:sz="8" w:space="0" w:color="auto"/>
              <w:right w:val="single" w:sz="8" w:space="0" w:color="auto"/>
            </w:tcBorders>
            <w:shd w:val="clear" w:color="auto" w:fill="auto"/>
            <w:vAlign w:val="center"/>
            <w:hideMark/>
          </w:tcPr>
          <w:p w14:paraId="1125B6A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6EDDF4B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540229E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720F8FA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E0D6128"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62F2DB80" w14:textId="36CA7ABB" w:rsidR="009A6DDA" w:rsidRPr="00C66720" w:rsidRDefault="009A6DDA" w:rsidP="008C5E69">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dopravy SR</w:t>
            </w:r>
          </w:p>
        </w:tc>
        <w:tc>
          <w:tcPr>
            <w:tcW w:w="850" w:type="dxa"/>
            <w:tcBorders>
              <w:top w:val="nil"/>
              <w:left w:val="nil"/>
              <w:bottom w:val="single" w:sz="8" w:space="0" w:color="auto"/>
              <w:right w:val="single" w:sz="8" w:space="0" w:color="auto"/>
            </w:tcBorders>
            <w:shd w:val="clear" w:color="auto" w:fill="auto"/>
            <w:vAlign w:val="center"/>
            <w:hideMark/>
          </w:tcPr>
          <w:p w14:paraId="19DB99A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25</w:t>
            </w:r>
          </w:p>
        </w:tc>
        <w:tc>
          <w:tcPr>
            <w:tcW w:w="709" w:type="dxa"/>
            <w:tcBorders>
              <w:top w:val="nil"/>
              <w:left w:val="nil"/>
              <w:bottom w:val="single" w:sz="8" w:space="0" w:color="auto"/>
              <w:right w:val="single" w:sz="8" w:space="0" w:color="auto"/>
            </w:tcBorders>
            <w:shd w:val="clear" w:color="auto" w:fill="auto"/>
            <w:vAlign w:val="center"/>
            <w:hideMark/>
          </w:tcPr>
          <w:p w14:paraId="18A2D24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6</w:t>
            </w:r>
          </w:p>
        </w:tc>
        <w:tc>
          <w:tcPr>
            <w:tcW w:w="709" w:type="dxa"/>
            <w:tcBorders>
              <w:top w:val="nil"/>
              <w:left w:val="nil"/>
              <w:bottom w:val="single" w:sz="8" w:space="0" w:color="auto"/>
              <w:right w:val="single" w:sz="8" w:space="0" w:color="auto"/>
            </w:tcBorders>
            <w:shd w:val="clear" w:color="auto" w:fill="auto"/>
            <w:vAlign w:val="center"/>
            <w:hideMark/>
          </w:tcPr>
          <w:p w14:paraId="39696DC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1CA5DE9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2258F22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16</w:t>
            </w:r>
          </w:p>
        </w:tc>
        <w:tc>
          <w:tcPr>
            <w:tcW w:w="567" w:type="dxa"/>
            <w:tcBorders>
              <w:top w:val="nil"/>
              <w:left w:val="nil"/>
              <w:bottom w:val="single" w:sz="8" w:space="0" w:color="auto"/>
              <w:right w:val="single" w:sz="8" w:space="0" w:color="auto"/>
            </w:tcBorders>
            <w:shd w:val="clear" w:color="auto" w:fill="auto"/>
            <w:vAlign w:val="center"/>
            <w:hideMark/>
          </w:tcPr>
          <w:p w14:paraId="494F0EA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567" w:type="dxa"/>
            <w:tcBorders>
              <w:top w:val="nil"/>
              <w:left w:val="nil"/>
              <w:bottom w:val="single" w:sz="8" w:space="0" w:color="auto"/>
              <w:right w:val="single" w:sz="8" w:space="0" w:color="auto"/>
            </w:tcBorders>
            <w:shd w:val="clear" w:color="auto" w:fill="auto"/>
            <w:vAlign w:val="center"/>
            <w:hideMark/>
          </w:tcPr>
          <w:p w14:paraId="78F1C48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r>
      <w:tr w:rsidR="009A6DDA" w:rsidRPr="00C66720" w14:paraId="30B277C8"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2552DF3"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hospodárstva SR</w:t>
            </w:r>
          </w:p>
        </w:tc>
        <w:tc>
          <w:tcPr>
            <w:tcW w:w="850" w:type="dxa"/>
            <w:tcBorders>
              <w:top w:val="nil"/>
              <w:left w:val="nil"/>
              <w:bottom w:val="single" w:sz="8" w:space="0" w:color="auto"/>
              <w:right w:val="single" w:sz="8" w:space="0" w:color="auto"/>
            </w:tcBorders>
            <w:shd w:val="clear" w:color="auto" w:fill="auto"/>
            <w:vAlign w:val="center"/>
            <w:hideMark/>
          </w:tcPr>
          <w:p w14:paraId="68D084D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21</w:t>
            </w:r>
          </w:p>
        </w:tc>
        <w:tc>
          <w:tcPr>
            <w:tcW w:w="709" w:type="dxa"/>
            <w:tcBorders>
              <w:top w:val="nil"/>
              <w:left w:val="nil"/>
              <w:bottom w:val="single" w:sz="8" w:space="0" w:color="auto"/>
              <w:right w:val="single" w:sz="8" w:space="0" w:color="auto"/>
            </w:tcBorders>
            <w:shd w:val="clear" w:color="auto" w:fill="auto"/>
            <w:vAlign w:val="center"/>
            <w:hideMark/>
          </w:tcPr>
          <w:p w14:paraId="2285037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w:t>
            </w:r>
          </w:p>
        </w:tc>
        <w:tc>
          <w:tcPr>
            <w:tcW w:w="709" w:type="dxa"/>
            <w:tcBorders>
              <w:top w:val="nil"/>
              <w:left w:val="nil"/>
              <w:bottom w:val="single" w:sz="8" w:space="0" w:color="auto"/>
              <w:right w:val="single" w:sz="8" w:space="0" w:color="auto"/>
            </w:tcBorders>
            <w:shd w:val="clear" w:color="auto" w:fill="auto"/>
            <w:vAlign w:val="center"/>
            <w:hideMark/>
          </w:tcPr>
          <w:p w14:paraId="63E30AD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w:t>
            </w:r>
          </w:p>
        </w:tc>
        <w:tc>
          <w:tcPr>
            <w:tcW w:w="709" w:type="dxa"/>
            <w:tcBorders>
              <w:top w:val="nil"/>
              <w:left w:val="nil"/>
              <w:bottom w:val="single" w:sz="8" w:space="0" w:color="auto"/>
              <w:right w:val="single" w:sz="8" w:space="0" w:color="auto"/>
            </w:tcBorders>
            <w:shd w:val="clear" w:color="auto" w:fill="auto"/>
            <w:vAlign w:val="center"/>
            <w:hideMark/>
          </w:tcPr>
          <w:p w14:paraId="18243B7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410B12A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12</w:t>
            </w:r>
          </w:p>
        </w:tc>
        <w:tc>
          <w:tcPr>
            <w:tcW w:w="567" w:type="dxa"/>
            <w:tcBorders>
              <w:top w:val="nil"/>
              <w:left w:val="nil"/>
              <w:bottom w:val="single" w:sz="8" w:space="0" w:color="auto"/>
              <w:right w:val="single" w:sz="8" w:space="0" w:color="auto"/>
            </w:tcBorders>
            <w:shd w:val="clear" w:color="auto" w:fill="auto"/>
            <w:vAlign w:val="center"/>
            <w:hideMark/>
          </w:tcPr>
          <w:p w14:paraId="60D6C41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567" w:type="dxa"/>
            <w:tcBorders>
              <w:top w:val="nil"/>
              <w:left w:val="nil"/>
              <w:bottom w:val="single" w:sz="8" w:space="0" w:color="auto"/>
              <w:right w:val="single" w:sz="8" w:space="0" w:color="auto"/>
            </w:tcBorders>
            <w:shd w:val="clear" w:color="auto" w:fill="auto"/>
            <w:vAlign w:val="center"/>
            <w:hideMark/>
          </w:tcPr>
          <w:p w14:paraId="2A2D8E2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r>
      <w:tr w:rsidR="009A6DDA" w:rsidRPr="00C66720" w14:paraId="30FDE05C"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49AA0DCB"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obrany SR</w:t>
            </w:r>
          </w:p>
        </w:tc>
        <w:tc>
          <w:tcPr>
            <w:tcW w:w="850" w:type="dxa"/>
            <w:tcBorders>
              <w:top w:val="nil"/>
              <w:left w:val="nil"/>
              <w:bottom w:val="single" w:sz="8" w:space="0" w:color="auto"/>
              <w:right w:val="single" w:sz="8" w:space="0" w:color="auto"/>
            </w:tcBorders>
            <w:shd w:val="clear" w:color="auto" w:fill="auto"/>
            <w:vAlign w:val="center"/>
            <w:hideMark/>
          </w:tcPr>
          <w:p w14:paraId="1BE0124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22</w:t>
            </w:r>
          </w:p>
        </w:tc>
        <w:tc>
          <w:tcPr>
            <w:tcW w:w="709" w:type="dxa"/>
            <w:tcBorders>
              <w:top w:val="nil"/>
              <w:left w:val="nil"/>
              <w:bottom w:val="single" w:sz="8" w:space="0" w:color="auto"/>
              <w:right w:val="single" w:sz="8" w:space="0" w:color="auto"/>
            </w:tcBorders>
            <w:shd w:val="clear" w:color="auto" w:fill="auto"/>
            <w:vAlign w:val="center"/>
            <w:hideMark/>
          </w:tcPr>
          <w:p w14:paraId="7E2A902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11</w:t>
            </w:r>
          </w:p>
        </w:tc>
        <w:tc>
          <w:tcPr>
            <w:tcW w:w="709" w:type="dxa"/>
            <w:tcBorders>
              <w:top w:val="nil"/>
              <w:left w:val="nil"/>
              <w:bottom w:val="single" w:sz="8" w:space="0" w:color="auto"/>
              <w:right w:val="single" w:sz="8" w:space="0" w:color="auto"/>
            </w:tcBorders>
            <w:shd w:val="clear" w:color="auto" w:fill="auto"/>
            <w:vAlign w:val="center"/>
            <w:hideMark/>
          </w:tcPr>
          <w:p w14:paraId="41E8F7E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709" w:type="dxa"/>
            <w:tcBorders>
              <w:top w:val="nil"/>
              <w:left w:val="nil"/>
              <w:bottom w:val="single" w:sz="8" w:space="0" w:color="auto"/>
              <w:right w:val="single" w:sz="8" w:space="0" w:color="auto"/>
            </w:tcBorders>
            <w:shd w:val="clear" w:color="auto" w:fill="auto"/>
            <w:vAlign w:val="center"/>
            <w:hideMark/>
          </w:tcPr>
          <w:p w14:paraId="217AC9D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7E9EC33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w:t>
            </w:r>
          </w:p>
        </w:tc>
        <w:tc>
          <w:tcPr>
            <w:tcW w:w="567" w:type="dxa"/>
            <w:tcBorders>
              <w:top w:val="nil"/>
              <w:left w:val="nil"/>
              <w:bottom w:val="single" w:sz="8" w:space="0" w:color="auto"/>
              <w:right w:val="single" w:sz="8" w:space="0" w:color="auto"/>
            </w:tcBorders>
            <w:shd w:val="clear" w:color="auto" w:fill="auto"/>
            <w:vAlign w:val="center"/>
            <w:hideMark/>
          </w:tcPr>
          <w:p w14:paraId="2BB38A4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567" w:type="dxa"/>
            <w:tcBorders>
              <w:top w:val="nil"/>
              <w:left w:val="nil"/>
              <w:bottom w:val="single" w:sz="8" w:space="0" w:color="auto"/>
              <w:right w:val="single" w:sz="8" w:space="0" w:color="auto"/>
            </w:tcBorders>
            <w:shd w:val="clear" w:color="auto" w:fill="auto"/>
            <w:vAlign w:val="center"/>
            <w:hideMark/>
          </w:tcPr>
          <w:p w14:paraId="21CC2D9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7E28461A"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694EF7C"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školstva, vedy, výskumu a športu SR</w:t>
            </w:r>
          </w:p>
        </w:tc>
        <w:tc>
          <w:tcPr>
            <w:tcW w:w="850" w:type="dxa"/>
            <w:tcBorders>
              <w:top w:val="nil"/>
              <w:left w:val="nil"/>
              <w:bottom w:val="single" w:sz="8" w:space="0" w:color="auto"/>
              <w:right w:val="single" w:sz="8" w:space="0" w:color="auto"/>
            </w:tcBorders>
            <w:shd w:val="clear" w:color="auto" w:fill="auto"/>
            <w:vAlign w:val="center"/>
            <w:hideMark/>
          </w:tcPr>
          <w:p w14:paraId="6AB4152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340</w:t>
            </w:r>
          </w:p>
        </w:tc>
        <w:tc>
          <w:tcPr>
            <w:tcW w:w="709" w:type="dxa"/>
            <w:tcBorders>
              <w:top w:val="nil"/>
              <w:left w:val="nil"/>
              <w:bottom w:val="single" w:sz="8" w:space="0" w:color="auto"/>
              <w:right w:val="single" w:sz="8" w:space="0" w:color="auto"/>
            </w:tcBorders>
            <w:shd w:val="clear" w:color="auto" w:fill="auto"/>
            <w:vAlign w:val="center"/>
            <w:hideMark/>
          </w:tcPr>
          <w:p w14:paraId="199C605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327</w:t>
            </w:r>
          </w:p>
        </w:tc>
        <w:tc>
          <w:tcPr>
            <w:tcW w:w="709" w:type="dxa"/>
            <w:tcBorders>
              <w:top w:val="nil"/>
              <w:left w:val="nil"/>
              <w:bottom w:val="single" w:sz="8" w:space="0" w:color="auto"/>
              <w:right w:val="single" w:sz="8" w:space="0" w:color="auto"/>
            </w:tcBorders>
            <w:shd w:val="clear" w:color="auto" w:fill="auto"/>
            <w:vAlign w:val="center"/>
            <w:hideMark/>
          </w:tcPr>
          <w:p w14:paraId="1F28EE6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11</w:t>
            </w:r>
          </w:p>
        </w:tc>
        <w:tc>
          <w:tcPr>
            <w:tcW w:w="709" w:type="dxa"/>
            <w:tcBorders>
              <w:top w:val="nil"/>
              <w:left w:val="nil"/>
              <w:bottom w:val="single" w:sz="8" w:space="0" w:color="auto"/>
              <w:right w:val="single" w:sz="8" w:space="0" w:color="auto"/>
            </w:tcBorders>
            <w:shd w:val="clear" w:color="auto" w:fill="auto"/>
            <w:vAlign w:val="center"/>
            <w:hideMark/>
          </w:tcPr>
          <w:p w14:paraId="004DD3F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44CA2EB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567" w:type="dxa"/>
            <w:tcBorders>
              <w:top w:val="nil"/>
              <w:left w:val="nil"/>
              <w:bottom w:val="single" w:sz="8" w:space="0" w:color="auto"/>
              <w:right w:val="single" w:sz="8" w:space="0" w:color="auto"/>
            </w:tcBorders>
            <w:shd w:val="clear" w:color="auto" w:fill="auto"/>
            <w:vAlign w:val="center"/>
            <w:hideMark/>
          </w:tcPr>
          <w:p w14:paraId="1B6FA10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2480D99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290FB4A"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6A1641E3"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financií SR</w:t>
            </w:r>
          </w:p>
        </w:tc>
        <w:tc>
          <w:tcPr>
            <w:tcW w:w="850" w:type="dxa"/>
            <w:tcBorders>
              <w:top w:val="nil"/>
              <w:left w:val="nil"/>
              <w:bottom w:val="single" w:sz="8" w:space="0" w:color="auto"/>
              <w:right w:val="single" w:sz="8" w:space="0" w:color="auto"/>
            </w:tcBorders>
            <w:shd w:val="clear" w:color="auto" w:fill="auto"/>
            <w:vAlign w:val="center"/>
            <w:hideMark/>
          </w:tcPr>
          <w:p w14:paraId="72EA97C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19</w:t>
            </w:r>
          </w:p>
        </w:tc>
        <w:tc>
          <w:tcPr>
            <w:tcW w:w="709" w:type="dxa"/>
            <w:tcBorders>
              <w:top w:val="nil"/>
              <w:left w:val="nil"/>
              <w:bottom w:val="single" w:sz="8" w:space="0" w:color="auto"/>
              <w:right w:val="single" w:sz="8" w:space="0" w:color="auto"/>
            </w:tcBorders>
            <w:shd w:val="clear" w:color="auto" w:fill="auto"/>
            <w:vAlign w:val="center"/>
            <w:hideMark/>
          </w:tcPr>
          <w:p w14:paraId="2CCD7FD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w:t>
            </w:r>
          </w:p>
        </w:tc>
        <w:tc>
          <w:tcPr>
            <w:tcW w:w="709" w:type="dxa"/>
            <w:tcBorders>
              <w:top w:val="nil"/>
              <w:left w:val="nil"/>
              <w:bottom w:val="single" w:sz="8" w:space="0" w:color="auto"/>
              <w:right w:val="single" w:sz="8" w:space="0" w:color="auto"/>
            </w:tcBorders>
            <w:shd w:val="clear" w:color="auto" w:fill="auto"/>
            <w:vAlign w:val="center"/>
            <w:hideMark/>
          </w:tcPr>
          <w:p w14:paraId="62AF21B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73AD60E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5D6BDF6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10</w:t>
            </w:r>
          </w:p>
        </w:tc>
        <w:tc>
          <w:tcPr>
            <w:tcW w:w="567" w:type="dxa"/>
            <w:tcBorders>
              <w:top w:val="nil"/>
              <w:left w:val="nil"/>
              <w:bottom w:val="single" w:sz="8" w:space="0" w:color="auto"/>
              <w:right w:val="single" w:sz="8" w:space="0" w:color="auto"/>
            </w:tcBorders>
            <w:shd w:val="clear" w:color="auto" w:fill="auto"/>
            <w:vAlign w:val="center"/>
            <w:hideMark/>
          </w:tcPr>
          <w:p w14:paraId="0E65552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567" w:type="dxa"/>
            <w:tcBorders>
              <w:top w:val="nil"/>
              <w:left w:val="nil"/>
              <w:bottom w:val="single" w:sz="8" w:space="0" w:color="auto"/>
              <w:right w:val="single" w:sz="8" w:space="0" w:color="auto"/>
            </w:tcBorders>
            <w:shd w:val="clear" w:color="auto" w:fill="auto"/>
            <w:vAlign w:val="center"/>
            <w:hideMark/>
          </w:tcPr>
          <w:p w14:paraId="60803C2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7E1D8999"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F050C29"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životného prostredia SR</w:t>
            </w:r>
          </w:p>
        </w:tc>
        <w:tc>
          <w:tcPr>
            <w:tcW w:w="850" w:type="dxa"/>
            <w:tcBorders>
              <w:top w:val="nil"/>
              <w:left w:val="nil"/>
              <w:bottom w:val="single" w:sz="8" w:space="0" w:color="auto"/>
              <w:right w:val="single" w:sz="8" w:space="0" w:color="auto"/>
            </w:tcBorders>
            <w:shd w:val="clear" w:color="auto" w:fill="auto"/>
            <w:vAlign w:val="center"/>
            <w:hideMark/>
          </w:tcPr>
          <w:p w14:paraId="7FB08FA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22</w:t>
            </w:r>
          </w:p>
        </w:tc>
        <w:tc>
          <w:tcPr>
            <w:tcW w:w="709" w:type="dxa"/>
            <w:tcBorders>
              <w:top w:val="nil"/>
              <w:left w:val="nil"/>
              <w:bottom w:val="single" w:sz="8" w:space="0" w:color="auto"/>
              <w:right w:val="single" w:sz="8" w:space="0" w:color="auto"/>
            </w:tcBorders>
            <w:shd w:val="clear" w:color="auto" w:fill="auto"/>
            <w:vAlign w:val="center"/>
            <w:hideMark/>
          </w:tcPr>
          <w:p w14:paraId="338314B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709" w:type="dxa"/>
            <w:tcBorders>
              <w:top w:val="nil"/>
              <w:left w:val="nil"/>
              <w:bottom w:val="single" w:sz="8" w:space="0" w:color="auto"/>
              <w:right w:val="single" w:sz="8" w:space="0" w:color="auto"/>
            </w:tcBorders>
            <w:shd w:val="clear" w:color="auto" w:fill="auto"/>
            <w:vAlign w:val="center"/>
            <w:hideMark/>
          </w:tcPr>
          <w:p w14:paraId="46BF7D3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17</w:t>
            </w:r>
          </w:p>
        </w:tc>
        <w:tc>
          <w:tcPr>
            <w:tcW w:w="709" w:type="dxa"/>
            <w:tcBorders>
              <w:top w:val="nil"/>
              <w:left w:val="nil"/>
              <w:bottom w:val="single" w:sz="8" w:space="0" w:color="auto"/>
              <w:right w:val="single" w:sz="8" w:space="0" w:color="auto"/>
            </w:tcBorders>
            <w:shd w:val="clear" w:color="auto" w:fill="auto"/>
            <w:vAlign w:val="center"/>
            <w:hideMark/>
          </w:tcPr>
          <w:p w14:paraId="3B345A3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6274B2C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31FBB09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567" w:type="dxa"/>
            <w:tcBorders>
              <w:top w:val="nil"/>
              <w:left w:val="nil"/>
              <w:bottom w:val="single" w:sz="8" w:space="0" w:color="auto"/>
              <w:right w:val="single" w:sz="8" w:space="0" w:color="auto"/>
            </w:tcBorders>
            <w:shd w:val="clear" w:color="auto" w:fill="auto"/>
            <w:vAlign w:val="center"/>
            <w:hideMark/>
          </w:tcPr>
          <w:p w14:paraId="1FB1ABE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r>
      <w:tr w:rsidR="009A6DDA" w:rsidRPr="00C66720" w14:paraId="2C72E906"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4E349F01"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Generálna prokuratúra SR</w:t>
            </w:r>
          </w:p>
        </w:tc>
        <w:tc>
          <w:tcPr>
            <w:tcW w:w="850" w:type="dxa"/>
            <w:tcBorders>
              <w:top w:val="nil"/>
              <w:left w:val="nil"/>
              <w:bottom w:val="single" w:sz="8" w:space="0" w:color="auto"/>
              <w:right w:val="single" w:sz="8" w:space="0" w:color="auto"/>
            </w:tcBorders>
            <w:shd w:val="clear" w:color="auto" w:fill="auto"/>
            <w:vAlign w:val="center"/>
            <w:hideMark/>
          </w:tcPr>
          <w:p w14:paraId="53C4BCE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9</w:t>
            </w:r>
          </w:p>
        </w:tc>
        <w:tc>
          <w:tcPr>
            <w:tcW w:w="709" w:type="dxa"/>
            <w:tcBorders>
              <w:top w:val="nil"/>
              <w:left w:val="nil"/>
              <w:bottom w:val="single" w:sz="8" w:space="0" w:color="auto"/>
              <w:right w:val="single" w:sz="8" w:space="0" w:color="auto"/>
            </w:tcBorders>
            <w:shd w:val="clear" w:color="auto" w:fill="auto"/>
            <w:vAlign w:val="center"/>
            <w:hideMark/>
          </w:tcPr>
          <w:p w14:paraId="3D8FFE6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9</w:t>
            </w:r>
          </w:p>
        </w:tc>
        <w:tc>
          <w:tcPr>
            <w:tcW w:w="709" w:type="dxa"/>
            <w:tcBorders>
              <w:top w:val="nil"/>
              <w:left w:val="nil"/>
              <w:bottom w:val="single" w:sz="8" w:space="0" w:color="auto"/>
              <w:right w:val="single" w:sz="8" w:space="0" w:color="auto"/>
            </w:tcBorders>
            <w:shd w:val="clear" w:color="auto" w:fill="auto"/>
            <w:vAlign w:val="center"/>
            <w:hideMark/>
          </w:tcPr>
          <w:p w14:paraId="582075E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70575A9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623AED2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09A8E81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2FDC2B3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1916471D"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4F625150"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zahraničných vecí a európskych záležitostí SR</w:t>
            </w:r>
          </w:p>
        </w:tc>
        <w:tc>
          <w:tcPr>
            <w:tcW w:w="850" w:type="dxa"/>
            <w:tcBorders>
              <w:top w:val="nil"/>
              <w:left w:val="nil"/>
              <w:bottom w:val="single" w:sz="8" w:space="0" w:color="auto"/>
              <w:right w:val="single" w:sz="8" w:space="0" w:color="auto"/>
            </w:tcBorders>
            <w:shd w:val="clear" w:color="auto" w:fill="auto"/>
            <w:vAlign w:val="center"/>
            <w:hideMark/>
          </w:tcPr>
          <w:p w14:paraId="09D6448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5</w:t>
            </w:r>
          </w:p>
        </w:tc>
        <w:tc>
          <w:tcPr>
            <w:tcW w:w="709" w:type="dxa"/>
            <w:tcBorders>
              <w:top w:val="nil"/>
              <w:left w:val="nil"/>
              <w:bottom w:val="single" w:sz="8" w:space="0" w:color="auto"/>
              <w:right w:val="single" w:sz="8" w:space="0" w:color="auto"/>
            </w:tcBorders>
            <w:shd w:val="clear" w:color="auto" w:fill="auto"/>
            <w:vAlign w:val="center"/>
            <w:hideMark/>
          </w:tcPr>
          <w:p w14:paraId="7C0EC58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w:t>
            </w:r>
          </w:p>
        </w:tc>
        <w:tc>
          <w:tcPr>
            <w:tcW w:w="709" w:type="dxa"/>
            <w:tcBorders>
              <w:top w:val="nil"/>
              <w:left w:val="nil"/>
              <w:bottom w:val="single" w:sz="8" w:space="0" w:color="auto"/>
              <w:right w:val="single" w:sz="8" w:space="0" w:color="auto"/>
            </w:tcBorders>
            <w:shd w:val="clear" w:color="auto" w:fill="auto"/>
            <w:vAlign w:val="center"/>
            <w:hideMark/>
          </w:tcPr>
          <w:p w14:paraId="5DBDB75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523088C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2AFD4A1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567" w:type="dxa"/>
            <w:tcBorders>
              <w:top w:val="nil"/>
              <w:left w:val="nil"/>
              <w:bottom w:val="single" w:sz="8" w:space="0" w:color="auto"/>
              <w:right w:val="single" w:sz="8" w:space="0" w:color="auto"/>
            </w:tcBorders>
            <w:shd w:val="clear" w:color="auto" w:fill="auto"/>
            <w:vAlign w:val="center"/>
            <w:hideMark/>
          </w:tcPr>
          <w:p w14:paraId="5210F70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6FE0AB3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0BF82D7"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06B2D212"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pre normalizáciu, metrológiu a skúšobníctvo SR</w:t>
            </w:r>
          </w:p>
        </w:tc>
        <w:tc>
          <w:tcPr>
            <w:tcW w:w="850" w:type="dxa"/>
            <w:tcBorders>
              <w:top w:val="nil"/>
              <w:left w:val="nil"/>
              <w:bottom w:val="single" w:sz="8" w:space="0" w:color="auto"/>
              <w:right w:val="single" w:sz="8" w:space="0" w:color="auto"/>
            </w:tcBorders>
            <w:shd w:val="clear" w:color="auto" w:fill="auto"/>
            <w:vAlign w:val="center"/>
            <w:hideMark/>
          </w:tcPr>
          <w:p w14:paraId="1531A84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w:t>
            </w:r>
          </w:p>
        </w:tc>
        <w:tc>
          <w:tcPr>
            <w:tcW w:w="709" w:type="dxa"/>
            <w:tcBorders>
              <w:top w:val="nil"/>
              <w:left w:val="nil"/>
              <w:bottom w:val="single" w:sz="8" w:space="0" w:color="auto"/>
              <w:right w:val="single" w:sz="8" w:space="0" w:color="auto"/>
            </w:tcBorders>
            <w:shd w:val="clear" w:color="auto" w:fill="auto"/>
            <w:vAlign w:val="center"/>
            <w:hideMark/>
          </w:tcPr>
          <w:p w14:paraId="2D12487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709" w:type="dxa"/>
            <w:tcBorders>
              <w:top w:val="nil"/>
              <w:left w:val="nil"/>
              <w:bottom w:val="single" w:sz="8" w:space="0" w:color="auto"/>
              <w:right w:val="single" w:sz="8" w:space="0" w:color="auto"/>
            </w:tcBorders>
            <w:shd w:val="clear" w:color="auto" w:fill="auto"/>
            <w:vAlign w:val="center"/>
            <w:hideMark/>
          </w:tcPr>
          <w:p w14:paraId="3172194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014086C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237FF6F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7F31ED5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567" w:type="dxa"/>
            <w:tcBorders>
              <w:top w:val="nil"/>
              <w:left w:val="nil"/>
              <w:bottom w:val="single" w:sz="8" w:space="0" w:color="auto"/>
              <w:right w:val="single" w:sz="8" w:space="0" w:color="auto"/>
            </w:tcBorders>
            <w:shd w:val="clear" w:color="auto" w:fill="auto"/>
            <w:vAlign w:val="center"/>
            <w:hideMark/>
          </w:tcPr>
          <w:p w14:paraId="396B343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532353C"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E0B4FEB"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geodézie, kartografie a katastra SR</w:t>
            </w:r>
          </w:p>
        </w:tc>
        <w:tc>
          <w:tcPr>
            <w:tcW w:w="850" w:type="dxa"/>
            <w:tcBorders>
              <w:top w:val="nil"/>
              <w:left w:val="nil"/>
              <w:bottom w:val="single" w:sz="8" w:space="0" w:color="auto"/>
              <w:right w:val="single" w:sz="8" w:space="0" w:color="auto"/>
            </w:tcBorders>
            <w:shd w:val="clear" w:color="auto" w:fill="auto"/>
            <w:vAlign w:val="center"/>
            <w:hideMark/>
          </w:tcPr>
          <w:p w14:paraId="0305ADB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w:t>
            </w:r>
          </w:p>
        </w:tc>
        <w:tc>
          <w:tcPr>
            <w:tcW w:w="709" w:type="dxa"/>
            <w:tcBorders>
              <w:top w:val="nil"/>
              <w:left w:val="nil"/>
              <w:bottom w:val="single" w:sz="8" w:space="0" w:color="auto"/>
              <w:right w:val="single" w:sz="8" w:space="0" w:color="auto"/>
            </w:tcBorders>
            <w:shd w:val="clear" w:color="auto" w:fill="auto"/>
            <w:vAlign w:val="center"/>
            <w:hideMark/>
          </w:tcPr>
          <w:p w14:paraId="0BE6C41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709" w:type="dxa"/>
            <w:tcBorders>
              <w:top w:val="nil"/>
              <w:left w:val="nil"/>
              <w:bottom w:val="single" w:sz="8" w:space="0" w:color="auto"/>
              <w:right w:val="single" w:sz="8" w:space="0" w:color="auto"/>
            </w:tcBorders>
            <w:shd w:val="clear" w:color="auto" w:fill="auto"/>
            <w:vAlign w:val="center"/>
            <w:hideMark/>
          </w:tcPr>
          <w:p w14:paraId="2EFD621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49A85AD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5AB0F26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5150664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1470C49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29F792F4"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323125F9"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Správa štátnych hmotných rezerv SR</w:t>
            </w:r>
          </w:p>
        </w:tc>
        <w:tc>
          <w:tcPr>
            <w:tcW w:w="850" w:type="dxa"/>
            <w:tcBorders>
              <w:top w:val="nil"/>
              <w:left w:val="nil"/>
              <w:bottom w:val="single" w:sz="8" w:space="0" w:color="auto"/>
              <w:right w:val="single" w:sz="8" w:space="0" w:color="auto"/>
            </w:tcBorders>
            <w:shd w:val="clear" w:color="auto" w:fill="auto"/>
            <w:vAlign w:val="center"/>
            <w:hideMark/>
          </w:tcPr>
          <w:p w14:paraId="228A9FD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709" w:type="dxa"/>
            <w:tcBorders>
              <w:top w:val="nil"/>
              <w:left w:val="nil"/>
              <w:bottom w:val="single" w:sz="8" w:space="0" w:color="auto"/>
              <w:right w:val="single" w:sz="8" w:space="0" w:color="auto"/>
            </w:tcBorders>
            <w:shd w:val="clear" w:color="auto" w:fill="auto"/>
            <w:vAlign w:val="center"/>
            <w:hideMark/>
          </w:tcPr>
          <w:p w14:paraId="3B23DC6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69CAD2E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2508C07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5BCBFD4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567" w:type="dxa"/>
            <w:tcBorders>
              <w:top w:val="nil"/>
              <w:left w:val="nil"/>
              <w:bottom w:val="single" w:sz="8" w:space="0" w:color="auto"/>
              <w:right w:val="single" w:sz="8" w:space="0" w:color="auto"/>
            </w:tcBorders>
            <w:shd w:val="clear" w:color="auto" w:fill="auto"/>
            <w:vAlign w:val="center"/>
            <w:hideMark/>
          </w:tcPr>
          <w:p w14:paraId="3BBF7BA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3BF7BC1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1701244"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9CD50E4"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Štatistický úrad SR</w:t>
            </w:r>
          </w:p>
        </w:tc>
        <w:tc>
          <w:tcPr>
            <w:tcW w:w="850" w:type="dxa"/>
            <w:tcBorders>
              <w:top w:val="nil"/>
              <w:left w:val="nil"/>
              <w:bottom w:val="single" w:sz="8" w:space="0" w:color="auto"/>
              <w:right w:val="single" w:sz="8" w:space="0" w:color="auto"/>
            </w:tcBorders>
            <w:shd w:val="clear" w:color="auto" w:fill="auto"/>
            <w:vAlign w:val="center"/>
            <w:hideMark/>
          </w:tcPr>
          <w:p w14:paraId="74A501C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709" w:type="dxa"/>
            <w:tcBorders>
              <w:top w:val="nil"/>
              <w:left w:val="nil"/>
              <w:bottom w:val="single" w:sz="8" w:space="0" w:color="auto"/>
              <w:right w:val="single" w:sz="8" w:space="0" w:color="auto"/>
            </w:tcBorders>
            <w:shd w:val="clear" w:color="auto" w:fill="auto"/>
            <w:vAlign w:val="center"/>
            <w:hideMark/>
          </w:tcPr>
          <w:p w14:paraId="7942566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00F8C9D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636407A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0F86ADF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3CCCE4A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1B6CA12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6BA42AE"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33798927"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Ministerstvo investícií, regionálneho rozvoja a informatizácie</w:t>
            </w:r>
          </w:p>
        </w:tc>
        <w:tc>
          <w:tcPr>
            <w:tcW w:w="850" w:type="dxa"/>
            <w:tcBorders>
              <w:top w:val="nil"/>
              <w:left w:val="nil"/>
              <w:bottom w:val="single" w:sz="8" w:space="0" w:color="auto"/>
              <w:right w:val="single" w:sz="8" w:space="0" w:color="auto"/>
            </w:tcBorders>
            <w:shd w:val="clear" w:color="auto" w:fill="auto"/>
            <w:vAlign w:val="center"/>
            <w:hideMark/>
          </w:tcPr>
          <w:p w14:paraId="588F7DD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w:t>
            </w:r>
          </w:p>
        </w:tc>
        <w:tc>
          <w:tcPr>
            <w:tcW w:w="709" w:type="dxa"/>
            <w:tcBorders>
              <w:top w:val="nil"/>
              <w:left w:val="nil"/>
              <w:bottom w:val="single" w:sz="8" w:space="0" w:color="auto"/>
              <w:right w:val="single" w:sz="8" w:space="0" w:color="auto"/>
            </w:tcBorders>
            <w:shd w:val="clear" w:color="auto" w:fill="auto"/>
            <w:vAlign w:val="center"/>
            <w:hideMark/>
          </w:tcPr>
          <w:p w14:paraId="13DAEDA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50DB1B7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00BAA11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12C2D3E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567" w:type="dxa"/>
            <w:tcBorders>
              <w:top w:val="nil"/>
              <w:left w:val="nil"/>
              <w:bottom w:val="single" w:sz="8" w:space="0" w:color="auto"/>
              <w:right w:val="single" w:sz="8" w:space="0" w:color="auto"/>
            </w:tcBorders>
            <w:shd w:val="clear" w:color="auto" w:fill="auto"/>
            <w:vAlign w:val="center"/>
            <w:hideMark/>
          </w:tcPr>
          <w:p w14:paraId="5748625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0EF1A10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0B7DD7FA"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29D0A92"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Národný bezpečnostný úrad SR</w:t>
            </w:r>
          </w:p>
        </w:tc>
        <w:tc>
          <w:tcPr>
            <w:tcW w:w="850" w:type="dxa"/>
            <w:tcBorders>
              <w:top w:val="nil"/>
              <w:left w:val="nil"/>
              <w:bottom w:val="single" w:sz="8" w:space="0" w:color="auto"/>
              <w:right w:val="single" w:sz="8" w:space="0" w:color="auto"/>
            </w:tcBorders>
            <w:shd w:val="clear" w:color="auto" w:fill="auto"/>
            <w:vAlign w:val="center"/>
            <w:hideMark/>
          </w:tcPr>
          <w:p w14:paraId="2DAB321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w:t>
            </w:r>
          </w:p>
        </w:tc>
        <w:tc>
          <w:tcPr>
            <w:tcW w:w="709" w:type="dxa"/>
            <w:tcBorders>
              <w:top w:val="nil"/>
              <w:left w:val="nil"/>
              <w:bottom w:val="single" w:sz="8" w:space="0" w:color="auto"/>
              <w:right w:val="single" w:sz="8" w:space="0" w:color="auto"/>
            </w:tcBorders>
            <w:shd w:val="clear" w:color="auto" w:fill="auto"/>
            <w:vAlign w:val="center"/>
            <w:hideMark/>
          </w:tcPr>
          <w:p w14:paraId="1BAD9F4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6EC366F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5951F03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377949C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430FD19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50E8BBE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16D2E407"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5D34EBC"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vlády SR</w:t>
            </w:r>
          </w:p>
        </w:tc>
        <w:tc>
          <w:tcPr>
            <w:tcW w:w="850" w:type="dxa"/>
            <w:tcBorders>
              <w:top w:val="nil"/>
              <w:left w:val="nil"/>
              <w:bottom w:val="single" w:sz="8" w:space="0" w:color="auto"/>
              <w:right w:val="single" w:sz="8" w:space="0" w:color="auto"/>
            </w:tcBorders>
            <w:shd w:val="clear" w:color="auto" w:fill="auto"/>
            <w:vAlign w:val="center"/>
            <w:hideMark/>
          </w:tcPr>
          <w:p w14:paraId="468075F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493B2FC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7EA46FA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055B763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20D3DAA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7A77FFF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68A4D6D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F859D40"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3382A5ED"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Kancelária Národnej rady SR</w:t>
            </w:r>
          </w:p>
        </w:tc>
        <w:tc>
          <w:tcPr>
            <w:tcW w:w="850" w:type="dxa"/>
            <w:tcBorders>
              <w:top w:val="nil"/>
              <w:left w:val="nil"/>
              <w:bottom w:val="single" w:sz="8" w:space="0" w:color="auto"/>
              <w:right w:val="single" w:sz="8" w:space="0" w:color="auto"/>
            </w:tcBorders>
            <w:shd w:val="clear" w:color="auto" w:fill="auto"/>
            <w:vAlign w:val="center"/>
            <w:hideMark/>
          </w:tcPr>
          <w:p w14:paraId="3624569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2B1A51A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2BBBE82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2C63AF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69D1204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16CFF1A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42764D7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AE60F6F"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53EE78BD"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Kancelária prezidenta SR</w:t>
            </w:r>
          </w:p>
        </w:tc>
        <w:tc>
          <w:tcPr>
            <w:tcW w:w="850" w:type="dxa"/>
            <w:tcBorders>
              <w:top w:val="nil"/>
              <w:left w:val="nil"/>
              <w:bottom w:val="single" w:sz="8" w:space="0" w:color="auto"/>
              <w:right w:val="single" w:sz="8" w:space="0" w:color="auto"/>
            </w:tcBorders>
            <w:shd w:val="clear" w:color="auto" w:fill="auto"/>
            <w:vAlign w:val="center"/>
            <w:hideMark/>
          </w:tcPr>
          <w:p w14:paraId="7E9AD85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156AF1E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42CEF27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1838F7B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5C8395D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3F1971E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4E33F90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DB57A73"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6EAF981"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Kancelária Ústavného súdu SR</w:t>
            </w:r>
          </w:p>
        </w:tc>
        <w:tc>
          <w:tcPr>
            <w:tcW w:w="850" w:type="dxa"/>
            <w:tcBorders>
              <w:top w:val="nil"/>
              <w:left w:val="nil"/>
              <w:bottom w:val="single" w:sz="8" w:space="0" w:color="auto"/>
              <w:right w:val="single" w:sz="8" w:space="0" w:color="auto"/>
            </w:tcBorders>
            <w:shd w:val="clear" w:color="auto" w:fill="auto"/>
            <w:vAlign w:val="center"/>
            <w:hideMark/>
          </w:tcPr>
          <w:p w14:paraId="1F729E1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0B276BC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025DF36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94F8EE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2C2A47F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6D182FA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53E9718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17D2EA1F"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62753E8"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Kancelária Súdnej rady</w:t>
            </w:r>
          </w:p>
        </w:tc>
        <w:tc>
          <w:tcPr>
            <w:tcW w:w="850" w:type="dxa"/>
            <w:tcBorders>
              <w:top w:val="nil"/>
              <w:left w:val="nil"/>
              <w:bottom w:val="single" w:sz="8" w:space="0" w:color="auto"/>
              <w:right w:val="single" w:sz="8" w:space="0" w:color="auto"/>
            </w:tcBorders>
            <w:shd w:val="clear" w:color="auto" w:fill="auto"/>
            <w:vAlign w:val="center"/>
            <w:hideMark/>
          </w:tcPr>
          <w:p w14:paraId="5DCAEC1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4CCFC4C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59BC2C3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22F9A08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5D907E1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0B41F56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7C710B7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504F68B"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16C58CB"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Kancelária Najvyššieho súdu SR</w:t>
            </w:r>
          </w:p>
        </w:tc>
        <w:tc>
          <w:tcPr>
            <w:tcW w:w="850" w:type="dxa"/>
            <w:tcBorders>
              <w:top w:val="nil"/>
              <w:left w:val="nil"/>
              <w:bottom w:val="single" w:sz="8" w:space="0" w:color="auto"/>
              <w:right w:val="single" w:sz="8" w:space="0" w:color="auto"/>
            </w:tcBorders>
            <w:shd w:val="clear" w:color="auto" w:fill="auto"/>
            <w:vAlign w:val="center"/>
            <w:hideMark/>
          </w:tcPr>
          <w:p w14:paraId="049719B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33C1931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2435840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34168E6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6061F66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2936F0B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3BBC61E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06B10D0"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6A731699"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Kancelária Najvyššieho správneho súdu SR</w:t>
            </w:r>
          </w:p>
        </w:tc>
        <w:tc>
          <w:tcPr>
            <w:tcW w:w="850" w:type="dxa"/>
            <w:tcBorders>
              <w:top w:val="nil"/>
              <w:left w:val="nil"/>
              <w:bottom w:val="single" w:sz="8" w:space="0" w:color="auto"/>
              <w:right w:val="single" w:sz="8" w:space="0" w:color="auto"/>
            </w:tcBorders>
            <w:shd w:val="clear" w:color="auto" w:fill="auto"/>
            <w:vAlign w:val="center"/>
            <w:hideMark/>
          </w:tcPr>
          <w:p w14:paraId="5C36DF3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401D656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42C8950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240B3C7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E1B56C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 </w:t>
            </w:r>
          </w:p>
        </w:tc>
        <w:tc>
          <w:tcPr>
            <w:tcW w:w="567" w:type="dxa"/>
            <w:tcBorders>
              <w:top w:val="nil"/>
              <w:left w:val="nil"/>
              <w:bottom w:val="single" w:sz="8" w:space="0" w:color="auto"/>
              <w:right w:val="single" w:sz="8" w:space="0" w:color="auto"/>
            </w:tcBorders>
            <w:shd w:val="clear" w:color="auto" w:fill="auto"/>
            <w:noWrap/>
            <w:vAlign w:val="center"/>
            <w:hideMark/>
          </w:tcPr>
          <w:p w14:paraId="59DDF1C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29244E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75DE203"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670D7CD"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Najvyšší kontrolný úrad SR</w:t>
            </w:r>
          </w:p>
        </w:tc>
        <w:tc>
          <w:tcPr>
            <w:tcW w:w="850" w:type="dxa"/>
            <w:tcBorders>
              <w:top w:val="nil"/>
              <w:left w:val="nil"/>
              <w:bottom w:val="single" w:sz="8" w:space="0" w:color="auto"/>
              <w:right w:val="single" w:sz="8" w:space="0" w:color="auto"/>
            </w:tcBorders>
            <w:shd w:val="clear" w:color="auto" w:fill="auto"/>
            <w:vAlign w:val="center"/>
            <w:hideMark/>
          </w:tcPr>
          <w:p w14:paraId="02139DF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459F623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0E88E51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34C9FB9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43C5FEA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1DC790A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0C0643A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2E668AFE"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7B47B76"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Protimonopolný úrad SR</w:t>
            </w:r>
          </w:p>
        </w:tc>
        <w:tc>
          <w:tcPr>
            <w:tcW w:w="850" w:type="dxa"/>
            <w:tcBorders>
              <w:top w:val="nil"/>
              <w:left w:val="nil"/>
              <w:bottom w:val="single" w:sz="8" w:space="0" w:color="auto"/>
              <w:right w:val="single" w:sz="8" w:space="0" w:color="auto"/>
            </w:tcBorders>
            <w:shd w:val="clear" w:color="auto" w:fill="auto"/>
            <w:vAlign w:val="center"/>
            <w:hideMark/>
          </w:tcPr>
          <w:p w14:paraId="01F126B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1B6669C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42F505C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4CECB31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2FA01C0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2C5F1C3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57CB541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68EEA4A"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EEEFD6E"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Slovenská informačná služba</w:t>
            </w:r>
          </w:p>
        </w:tc>
        <w:tc>
          <w:tcPr>
            <w:tcW w:w="850" w:type="dxa"/>
            <w:tcBorders>
              <w:top w:val="nil"/>
              <w:left w:val="nil"/>
              <w:bottom w:val="single" w:sz="8" w:space="0" w:color="auto"/>
              <w:right w:val="single" w:sz="8" w:space="0" w:color="auto"/>
            </w:tcBorders>
            <w:shd w:val="clear" w:color="auto" w:fill="auto"/>
            <w:vAlign w:val="center"/>
            <w:hideMark/>
          </w:tcPr>
          <w:p w14:paraId="217D1F8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5830661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53C8B86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5657F90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07FA3E3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2630A8C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33C8B9D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51F6BC9A"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3BEE9A8"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jadrového dozoru SR</w:t>
            </w:r>
          </w:p>
        </w:tc>
        <w:tc>
          <w:tcPr>
            <w:tcW w:w="850" w:type="dxa"/>
            <w:tcBorders>
              <w:top w:val="nil"/>
              <w:left w:val="nil"/>
              <w:bottom w:val="single" w:sz="8" w:space="0" w:color="auto"/>
              <w:right w:val="single" w:sz="8" w:space="0" w:color="auto"/>
            </w:tcBorders>
            <w:shd w:val="clear" w:color="auto" w:fill="auto"/>
            <w:vAlign w:val="center"/>
            <w:hideMark/>
          </w:tcPr>
          <w:p w14:paraId="6E16A48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75B2A85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61F198A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0C7B1B2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69CDC67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1643A38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3BE4C21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9ACCA83"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01AE4E65"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pre reguláciu sieťových odvetví SR</w:t>
            </w:r>
          </w:p>
        </w:tc>
        <w:tc>
          <w:tcPr>
            <w:tcW w:w="850" w:type="dxa"/>
            <w:tcBorders>
              <w:top w:val="nil"/>
              <w:left w:val="nil"/>
              <w:bottom w:val="single" w:sz="8" w:space="0" w:color="auto"/>
              <w:right w:val="single" w:sz="8" w:space="0" w:color="auto"/>
            </w:tcBorders>
            <w:shd w:val="clear" w:color="auto" w:fill="auto"/>
            <w:vAlign w:val="center"/>
            <w:hideMark/>
          </w:tcPr>
          <w:p w14:paraId="1702222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47E410A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135EA34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30AB2D9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31FFEBC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4205959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6B48FA0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80A6C1D"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4E1FA0E"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pre verejné obstarávanie SR</w:t>
            </w:r>
          </w:p>
        </w:tc>
        <w:tc>
          <w:tcPr>
            <w:tcW w:w="850" w:type="dxa"/>
            <w:tcBorders>
              <w:top w:val="nil"/>
              <w:left w:val="nil"/>
              <w:bottom w:val="single" w:sz="8" w:space="0" w:color="auto"/>
              <w:right w:val="single" w:sz="8" w:space="0" w:color="auto"/>
            </w:tcBorders>
            <w:shd w:val="clear" w:color="auto" w:fill="auto"/>
            <w:vAlign w:val="center"/>
            <w:hideMark/>
          </w:tcPr>
          <w:p w14:paraId="0C42A53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73C9A07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191E2C3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3592B69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587451D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017496C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70C8F27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26F1EACA"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2E2726B"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priemyselného vlastníctva SR</w:t>
            </w:r>
          </w:p>
        </w:tc>
        <w:tc>
          <w:tcPr>
            <w:tcW w:w="850" w:type="dxa"/>
            <w:tcBorders>
              <w:top w:val="nil"/>
              <w:left w:val="nil"/>
              <w:bottom w:val="single" w:sz="8" w:space="0" w:color="auto"/>
              <w:right w:val="single" w:sz="8" w:space="0" w:color="auto"/>
            </w:tcBorders>
            <w:shd w:val="clear" w:color="auto" w:fill="auto"/>
            <w:vAlign w:val="center"/>
            <w:hideMark/>
          </w:tcPr>
          <w:p w14:paraId="744C638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31946C5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vAlign w:val="center"/>
            <w:hideMark/>
          </w:tcPr>
          <w:p w14:paraId="260D4E8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78958D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vAlign w:val="center"/>
            <w:hideMark/>
          </w:tcPr>
          <w:p w14:paraId="1B232AB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2F2AA82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vAlign w:val="center"/>
            <w:hideMark/>
          </w:tcPr>
          <w:p w14:paraId="12822C8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7E556BC7"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9C91B61"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pre územné plánovanie a výstavbu SR</w:t>
            </w:r>
          </w:p>
        </w:tc>
        <w:tc>
          <w:tcPr>
            <w:tcW w:w="850" w:type="dxa"/>
            <w:tcBorders>
              <w:top w:val="nil"/>
              <w:left w:val="nil"/>
              <w:bottom w:val="single" w:sz="8" w:space="0" w:color="auto"/>
              <w:right w:val="single" w:sz="8" w:space="0" w:color="auto"/>
            </w:tcBorders>
            <w:shd w:val="clear" w:color="auto" w:fill="auto"/>
            <w:vAlign w:val="center"/>
            <w:hideMark/>
          </w:tcPr>
          <w:p w14:paraId="232C237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6F59742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55C9F9E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4084BE9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3F90EFD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64CDE8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E026E7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1C78EC57"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E149E3D"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Agentúra pre núdzové zásoby ropy a ropných produktov</w:t>
            </w:r>
          </w:p>
        </w:tc>
        <w:tc>
          <w:tcPr>
            <w:tcW w:w="850" w:type="dxa"/>
            <w:tcBorders>
              <w:top w:val="nil"/>
              <w:left w:val="nil"/>
              <w:bottom w:val="single" w:sz="8" w:space="0" w:color="auto"/>
              <w:right w:val="single" w:sz="8" w:space="0" w:color="auto"/>
            </w:tcBorders>
            <w:shd w:val="clear" w:color="auto" w:fill="auto"/>
            <w:vAlign w:val="center"/>
            <w:hideMark/>
          </w:tcPr>
          <w:p w14:paraId="6807683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7F351E6D"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33DD3AC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4923BB0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7ACAEF3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64895A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9A2252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6941110"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660F99E6"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Agentúra štátom podporovaného nájomného bývania</w:t>
            </w:r>
          </w:p>
        </w:tc>
        <w:tc>
          <w:tcPr>
            <w:tcW w:w="850" w:type="dxa"/>
            <w:tcBorders>
              <w:top w:val="nil"/>
              <w:left w:val="nil"/>
              <w:bottom w:val="single" w:sz="8" w:space="0" w:color="auto"/>
              <w:right w:val="single" w:sz="8" w:space="0" w:color="auto"/>
            </w:tcBorders>
            <w:shd w:val="clear" w:color="auto" w:fill="auto"/>
            <w:vAlign w:val="center"/>
            <w:hideMark/>
          </w:tcPr>
          <w:p w14:paraId="7F8FF3A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50834B79"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57F339E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2900F75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251D5C5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26CFF2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A854AD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CFC23E9"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95F642F"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Audiovizuálny fond</w:t>
            </w:r>
          </w:p>
        </w:tc>
        <w:tc>
          <w:tcPr>
            <w:tcW w:w="850" w:type="dxa"/>
            <w:tcBorders>
              <w:top w:val="nil"/>
              <w:left w:val="nil"/>
              <w:bottom w:val="single" w:sz="8" w:space="0" w:color="auto"/>
              <w:right w:val="single" w:sz="8" w:space="0" w:color="auto"/>
            </w:tcBorders>
            <w:shd w:val="clear" w:color="auto" w:fill="auto"/>
            <w:vAlign w:val="center"/>
            <w:hideMark/>
          </w:tcPr>
          <w:p w14:paraId="1B9342F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7B7C6959"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6EE26BF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7F54236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9DF872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6F4FCCE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6375E5C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26A0710"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FFA72B8"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Danubiana, Centrum moderného umenia, n.o.</w:t>
            </w:r>
          </w:p>
        </w:tc>
        <w:tc>
          <w:tcPr>
            <w:tcW w:w="850" w:type="dxa"/>
            <w:tcBorders>
              <w:top w:val="nil"/>
              <w:left w:val="nil"/>
              <w:bottom w:val="single" w:sz="8" w:space="0" w:color="auto"/>
              <w:right w:val="single" w:sz="8" w:space="0" w:color="auto"/>
            </w:tcBorders>
            <w:shd w:val="clear" w:color="auto" w:fill="auto"/>
            <w:vAlign w:val="center"/>
            <w:hideMark/>
          </w:tcPr>
          <w:p w14:paraId="360FC4D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15FFA807"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0BDDDD4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597F94C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0E7AC2C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168E054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616D8A9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12C27633"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89DCC99"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lastRenderedPageBreak/>
              <w:t>Datacentrum elektronizácie územnej samosprávy Slovenska</w:t>
            </w:r>
          </w:p>
        </w:tc>
        <w:tc>
          <w:tcPr>
            <w:tcW w:w="850" w:type="dxa"/>
            <w:tcBorders>
              <w:top w:val="nil"/>
              <w:left w:val="nil"/>
              <w:bottom w:val="single" w:sz="8" w:space="0" w:color="auto"/>
              <w:right w:val="single" w:sz="8" w:space="0" w:color="auto"/>
            </w:tcBorders>
            <w:shd w:val="clear" w:color="auto" w:fill="auto"/>
            <w:vAlign w:val="center"/>
            <w:hideMark/>
          </w:tcPr>
          <w:p w14:paraId="58BEF6F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3115B627"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28F9CE2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1265D1A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6728012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4C2069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2282E61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98E84E5"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93D3494"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 xml:space="preserve">Fond na podporu umenia </w:t>
            </w:r>
          </w:p>
        </w:tc>
        <w:tc>
          <w:tcPr>
            <w:tcW w:w="850" w:type="dxa"/>
            <w:tcBorders>
              <w:top w:val="nil"/>
              <w:left w:val="nil"/>
              <w:bottom w:val="single" w:sz="8" w:space="0" w:color="auto"/>
              <w:right w:val="single" w:sz="8" w:space="0" w:color="auto"/>
            </w:tcBorders>
            <w:shd w:val="clear" w:color="auto" w:fill="auto"/>
            <w:vAlign w:val="center"/>
            <w:hideMark/>
          </w:tcPr>
          <w:p w14:paraId="4C16F87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2847D4BD"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66B91DC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6B7D08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34C6B8B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46A8DB6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6F614F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016742E3"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B8D1E22"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Fond na podporu vzdelávania</w:t>
            </w:r>
          </w:p>
        </w:tc>
        <w:tc>
          <w:tcPr>
            <w:tcW w:w="850" w:type="dxa"/>
            <w:tcBorders>
              <w:top w:val="nil"/>
              <w:left w:val="nil"/>
              <w:bottom w:val="single" w:sz="8" w:space="0" w:color="auto"/>
              <w:right w:val="single" w:sz="8" w:space="0" w:color="auto"/>
            </w:tcBorders>
            <w:shd w:val="clear" w:color="auto" w:fill="auto"/>
            <w:vAlign w:val="center"/>
            <w:hideMark/>
          </w:tcPr>
          <w:p w14:paraId="5FC9C92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5B35DB7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3C31545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4B7CC3C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0C706C8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0008E2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405B15F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38E1A76"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17DA5E0"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Fond na podporu športu</w:t>
            </w:r>
          </w:p>
        </w:tc>
        <w:tc>
          <w:tcPr>
            <w:tcW w:w="850" w:type="dxa"/>
            <w:tcBorders>
              <w:top w:val="nil"/>
              <w:left w:val="nil"/>
              <w:bottom w:val="single" w:sz="8" w:space="0" w:color="auto"/>
              <w:right w:val="single" w:sz="8" w:space="0" w:color="auto"/>
            </w:tcBorders>
            <w:shd w:val="clear" w:color="auto" w:fill="auto"/>
            <w:vAlign w:val="center"/>
            <w:hideMark/>
          </w:tcPr>
          <w:p w14:paraId="7C51710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5B6AA350"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250818B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42A815F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455F928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E84164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2C58BE6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1D016138"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D9A09EA"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Fond na podporu kultúry národnostných menšín</w:t>
            </w:r>
          </w:p>
        </w:tc>
        <w:tc>
          <w:tcPr>
            <w:tcW w:w="850" w:type="dxa"/>
            <w:tcBorders>
              <w:top w:val="nil"/>
              <w:left w:val="nil"/>
              <w:bottom w:val="single" w:sz="8" w:space="0" w:color="auto"/>
              <w:right w:val="single" w:sz="8" w:space="0" w:color="auto"/>
            </w:tcBorders>
            <w:shd w:val="clear" w:color="auto" w:fill="auto"/>
            <w:vAlign w:val="center"/>
            <w:hideMark/>
          </w:tcPr>
          <w:p w14:paraId="797B492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09B2FDCC"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32BF224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993975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E23089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10CF34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68DDB8A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7EDC845E"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8FB6707"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Fond ochrany vkladov</w:t>
            </w:r>
          </w:p>
        </w:tc>
        <w:tc>
          <w:tcPr>
            <w:tcW w:w="850" w:type="dxa"/>
            <w:tcBorders>
              <w:top w:val="nil"/>
              <w:left w:val="nil"/>
              <w:bottom w:val="single" w:sz="8" w:space="0" w:color="auto"/>
              <w:right w:val="single" w:sz="8" w:space="0" w:color="auto"/>
            </w:tcBorders>
            <w:shd w:val="clear" w:color="auto" w:fill="auto"/>
            <w:vAlign w:val="center"/>
            <w:hideMark/>
          </w:tcPr>
          <w:p w14:paraId="3FAC4E8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504DB330"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4FE014F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2917AC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022135B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4F15564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09C14F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FFD71DE"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CCEFF09"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Garančný fond investícií</w:t>
            </w:r>
          </w:p>
        </w:tc>
        <w:tc>
          <w:tcPr>
            <w:tcW w:w="850" w:type="dxa"/>
            <w:tcBorders>
              <w:top w:val="nil"/>
              <w:left w:val="nil"/>
              <w:bottom w:val="single" w:sz="8" w:space="0" w:color="auto"/>
              <w:right w:val="single" w:sz="8" w:space="0" w:color="auto"/>
            </w:tcBorders>
            <w:shd w:val="clear" w:color="auto" w:fill="auto"/>
            <w:vAlign w:val="center"/>
            <w:hideMark/>
          </w:tcPr>
          <w:p w14:paraId="5C1AEF6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10605636"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5AD803C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2C15989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38B0A7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181DEAA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4EC0A81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0B0D0DC3"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906209F"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Kancelária rady pre rozpočtovú zodpovednosť</w:t>
            </w:r>
          </w:p>
        </w:tc>
        <w:tc>
          <w:tcPr>
            <w:tcW w:w="850" w:type="dxa"/>
            <w:tcBorders>
              <w:top w:val="nil"/>
              <w:left w:val="nil"/>
              <w:bottom w:val="single" w:sz="8" w:space="0" w:color="auto"/>
              <w:right w:val="single" w:sz="8" w:space="0" w:color="auto"/>
            </w:tcBorders>
            <w:shd w:val="clear" w:color="auto" w:fill="auto"/>
            <w:vAlign w:val="center"/>
            <w:hideMark/>
          </w:tcPr>
          <w:p w14:paraId="0B1E5ED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272900E0"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6B134FA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5EE31E3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4A0C1E7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4DF8C0C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B09339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53DE5100"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ED5A685"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Kancelária verejného ochrancu práv</w:t>
            </w:r>
          </w:p>
        </w:tc>
        <w:tc>
          <w:tcPr>
            <w:tcW w:w="850" w:type="dxa"/>
            <w:tcBorders>
              <w:top w:val="nil"/>
              <w:left w:val="nil"/>
              <w:bottom w:val="single" w:sz="8" w:space="0" w:color="auto"/>
              <w:right w:val="single" w:sz="8" w:space="0" w:color="auto"/>
            </w:tcBorders>
            <w:shd w:val="clear" w:color="auto" w:fill="auto"/>
            <w:vAlign w:val="center"/>
            <w:hideMark/>
          </w:tcPr>
          <w:p w14:paraId="3561E40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0775C4BA"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4C08C16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06F152B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72FFAB7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562FFA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1F58AE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94006C7"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2D656BA"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Národný inštitút pre hodnotu a technológie v zdravotníctve</w:t>
            </w:r>
          </w:p>
        </w:tc>
        <w:tc>
          <w:tcPr>
            <w:tcW w:w="850" w:type="dxa"/>
            <w:tcBorders>
              <w:top w:val="nil"/>
              <w:left w:val="nil"/>
              <w:bottom w:val="single" w:sz="8" w:space="0" w:color="auto"/>
              <w:right w:val="single" w:sz="8" w:space="0" w:color="auto"/>
            </w:tcBorders>
            <w:shd w:val="clear" w:color="auto" w:fill="auto"/>
            <w:vAlign w:val="center"/>
            <w:hideMark/>
          </w:tcPr>
          <w:p w14:paraId="43C9DC5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3217978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4E1C00C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2356FF7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B92D63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2B30C3F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8DB89B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52121731"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850E871"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Národné centrum pre kvantové technológie</w:t>
            </w:r>
          </w:p>
        </w:tc>
        <w:tc>
          <w:tcPr>
            <w:tcW w:w="850" w:type="dxa"/>
            <w:tcBorders>
              <w:top w:val="nil"/>
              <w:left w:val="nil"/>
              <w:bottom w:val="single" w:sz="8" w:space="0" w:color="auto"/>
              <w:right w:val="single" w:sz="8" w:space="0" w:color="auto"/>
            </w:tcBorders>
            <w:shd w:val="clear" w:color="auto" w:fill="auto"/>
            <w:vAlign w:val="center"/>
            <w:hideMark/>
          </w:tcPr>
          <w:p w14:paraId="32F2235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0E41ECB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1221E4F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395AC1E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69CEC99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D19531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F94948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28DD91F7"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B109615"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Rozhlas a televízia Slovenska</w:t>
            </w:r>
          </w:p>
        </w:tc>
        <w:tc>
          <w:tcPr>
            <w:tcW w:w="850" w:type="dxa"/>
            <w:tcBorders>
              <w:top w:val="nil"/>
              <w:left w:val="nil"/>
              <w:bottom w:val="single" w:sz="8" w:space="0" w:color="auto"/>
              <w:right w:val="single" w:sz="8" w:space="0" w:color="auto"/>
            </w:tcBorders>
            <w:shd w:val="clear" w:color="auto" w:fill="auto"/>
            <w:vAlign w:val="center"/>
            <w:hideMark/>
          </w:tcPr>
          <w:p w14:paraId="665A70F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36AC2BD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061B945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B171D1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70C3870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182097B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5696F3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207AE461"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7356E8C"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Rada pre riešenie krízových situácií na fin. trhu</w:t>
            </w:r>
          </w:p>
        </w:tc>
        <w:tc>
          <w:tcPr>
            <w:tcW w:w="850" w:type="dxa"/>
            <w:tcBorders>
              <w:top w:val="nil"/>
              <w:left w:val="nil"/>
              <w:bottom w:val="single" w:sz="8" w:space="0" w:color="auto"/>
              <w:right w:val="single" w:sz="8" w:space="0" w:color="auto"/>
            </w:tcBorders>
            <w:shd w:val="clear" w:color="auto" w:fill="auto"/>
            <w:vAlign w:val="center"/>
            <w:hideMark/>
          </w:tcPr>
          <w:p w14:paraId="37DEC51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783B7065" w14:textId="77777777" w:rsidR="009A6DDA" w:rsidRPr="00C66720" w:rsidRDefault="009A6DDA" w:rsidP="006B7E4E">
            <w:pPr>
              <w:spacing w:after="0" w:line="240" w:lineRule="auto"/>
              <w:jc w:val="center"/>
              <w:rPr>
                <w:rFonts w:ascii="Times New Roman" w:hAnsi="Times New Roman"/>
                <w:color w:val="000000"/>
                <w:sz w:val="20"/>
                <w:szCs w:val="20"/>
                <w:lang w:eastAsia="sk-SK"/>
              </w:rPr>
            </w:pPr>
            <w:r w:rsidRPr="00C66720">
              <w:rPr>
                <w:rFonts w:ascii="Times New Roman" w:hAnsi="Times New Roman"/>
                <w:color w:val="000000"/>
                <w:sz w:val="20"/>
                <w:szCs w:val="20"/>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1B53D49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7A108A0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678C76E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12BA4AA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FCF584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0E7CE57A"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5981A62"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Rada pre mediálne služby</w:t>
            </w:r>
          </w:p>
        </w:tc>
        <w:tc>
          <w:tcPr>
            <w:tcW w:w="850" w:type="dxa"/>
            <w:tcBorders>
              <w:top w:val="nil"/>
              <w:left w:val="nil"/>
              <w:bottom w:val="single" w:sz="8" w:space="0" w:color="auto"/>
              <w:right w:val="single" w:sz="8" w:space="0" w:color="auto"/>
            </w:tcBorders>
            <w:shd w:val="clear" w:color="auto" w:fill="auto"/>
            <w:vAlign w:val="center"/>
            <w:hideMark/>
          </w:tcPr>
          <w:p w14:paraId="5738DD7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3B95237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 </w:t>
            </w:r>
          </w:p>
        </w:tc>
        <w:tc>
          <w:tcPr>
            <w:tcW w:w="709" w:type="dxa"/>
            <w:tcBorders>
              <w:top w:val="nil"/>
              <w:left w:val="nil"/>
              <w:bottom w:val="single" w:sz="8" w:space="0" w:color="auto"/>
              <w:right w:val="single" w:sz="8" w:space="0" w:color="auto"/>
            </w:tcBorders>
            <w:shd w:val="clear" w:color="auto" w:fill="auto"/>
            <w:noWrap/>
            <w:vAlign w:val="center"/>
            <w:hideMark/>
          </w:tcPr>
          <w:p w14:paraId="637DF15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 </w:t>
            </w:r>
          </w:p>
        </w:tc>
        <w:tc>
          <w:tcPr>
            <w:tcW w:w="709" w:type="dxa"/>
            <w:tcBorders>
              <w:top w:val="nil"/>
              <w:left w:val="nil"/>
              <w:bottom w:val="single" w:sz="8" w:space="0" w:color="auto"/>
              <w:right w:val="single" w:sz="8" w:space="0" w:color="auto"/>
            </w:tcBorders>
            <w:shd w:val="clear" w:color="auto" w:fill="auto"/>
            <w:vAlign w:val="center"/>
            <w:hideMark/>
          </w:tcPr>
          <w:p w14:paraId="71A01BB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2653895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 </w:t>
            </w:r>
          </w:p>
        </w:tc>
        <w:tc>
          <w:tcPr>
            <w:tcW w:w="567" w:type="dxa"/>
            <w:tcBorders>
              <w:top w:val="nil"/>
              <w:left w:val="nil"/>
              <w:bottom w:val="single" w:sz="8" w:space="0" w:color="auto"/>
              <w:right w:val="single" w:sz="8" w:space="0" w:color="auto"/>
            </w:tcBorders>
            <w:shd w:val="clear" w:color="auto" w:fill="auto"/>
            <w:noWrap/>
            <w:vAlign w:val="center"/>
            <w:hideMark/>
          </w:tcPr>
          <w:p w14:paraId="6DC92E1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 </w:t>
            </w:r>
          </w:p>
        </w:tc>
        <w:tc>
          <w:tcPr>
            <w:tcW w:w="567" w:type="dxa"/>
            <w:tcBorders>
              <w:top w:val="nil"/>
              <w:left w:val="nil"/>
              <w:bottom w:val="single" w:sz="8" w:space="0" w:color="auto"/>
              <w:right w:val="single" w:sz="8" w:space="0" w:color="auto"/>
            </w:tcBorders>
            <w:shd w:val="clear" w:color="auto" w:fill="auto"/>
            <w:noWrap/>
            <w:vAlign w:val="center"/>
            <w:hideMark/>
          </w:tcPr>
          <w:p w14:paraId="59FB085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 </w:t>
            </w:r>
          </w:p>
        </w:tc>
      </w:tr>
      <w:tr w:rsidR="009A6DDA" w:rsidRPr="00C66720" w14:paraId="289D803E"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87C3F4D"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Sociálna poisťovňa</w:t>
            </w:r>
          </w:p>
        </w:tc>
        <w:tc>
          <w:tcPr>
            <w:tcW w:w="850" w:type="dxa"/>
            <w:tcBorders>
              <w:top w:val="nil"/>
              <w:left w:val="nil"/>
              <w:bottom w:val="single" w:sz="8" w:space="0" w:color="auto"/>
              <w:right w:val="single" w:sz="8" w:space="0" w:color="auto"/>
            </w:tcBorders>
            <w:shd w:val="clear" w:color="auto" w:fill="auto"/>
            <w:vAlign w:val="center"/>
            <w:hideMark/>
          </w:tcPr>
          <w:p w14:paraId="01955FD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5A8A800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0E5EDDA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86ACCD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644197F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436FD79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4AE952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4400F2C"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D4D9A66"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Slovenský pozemkový fond</w:t>
            </w:r>
          </w:p>
        </w:tc>
        <w:tc>
          <w:tcPr>
            <w:tcW w:w="850" w:type="dxa"/>
            <w:tcBorders>
              <w:top w:val="nil"/>
              <w:left w:val="nil"/>
              <w:bottom w:val="single" w:sz="8" w:space="0" w:color="auto"/>
              <w:right w:val="single" w:sz="8" w:space="0" w:color="auto"/>
            </w:tcBorders>
            <w:shd w:val="clear" w:color="auto" w:fill="auto"/>
            <w:vAlign w:val="center"/>
            <w:hideMark/>
          </w:tcPr>
          <w:p w14:paraId="652906A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71F13F6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4F1B6E7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A69059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A09886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AC33AA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6EAED57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5462D8F"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892D5D6"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Slovenské národné stredisko pre ľudské práva</w:t>
            </w:r>
          </w:p>
        </w:tc>
        <w:tc>
          <w:tcPr>
            <w:tcW w:w="850" w:type="dxa"/>
            <w:tcBorders>
              <w:top w:val="nil"/>
              <w:left w:val="nil"/>
              <w:bottom w:val="single" w:sz="8" w:space="0" w:color="auto"/>
              <w:right w:val="single" w:sz="8" w:space="0" w:color="auto"/>
            </w:tcBorders>
            <w:shd w:val="clear" w:color="auto" w:fill="auto"/>
            <w:vAlign w:val="center"/>
            <w:hideMark/>
          </w:tcPr>
          <w:p w14:paraId="64225E3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1584436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0E1AE32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3889C22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17EA7B0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197FB1F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2DAF71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370226CD"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04E989F"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Slovenská akreditačná agentúra pre vysoké školstvo</w:t>
            </w:r>
          </w:p>
        </w:tc>
        <w:tc>
          <w:tcPr>
            <w:tcW w:w="850" w:type="dxa"/>
            <w:tcBorders>
              <w:top w:val="nil"/>
              <w:left w:val="nil"/>
              <w:bottom w:val="single" w:sz="8" w:space="0" w:color="auto"/>
              <w:right w:val="single" w:sz="8" w:space="0" w:color="auto"/>
            </w:tcBorders>
            <w:shd w:val="clear" w:color="auto" w:fill="auto"/>
            <w:vAlign w:val="center"/>
            <w:hideMark/>
          </w:tcPr>
          <w:p w14:paraId="4241E52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7500D76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3C54097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7EFB267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03FF8B1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D87752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0A7234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D018FAC"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8975A8A"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Slovak Business Agency</w:t>
            </w:r>
          </w:p>
        </w:tc>
        <w:tc>
          <w:tcPr>
            <w:tcW w:w="850" w:type="dxa"/>
            <w:tcBorders>
              <w:top w:val="nil"/>
              <w:left w:val="nil"/>
              <w:bottom w:val="single" w:sz="8" w:space="0" w:color="auto"/>
              <w:right w:val="single" w:sz="8" w:space="0" w:color="auto"/>
            </w:tcBorders>
            <w:shd w:val="clear" w:color="auto" w:fill="auto"/>
            <w:vAlign w:val="center"/>
            <w:hideMark/>
          </w:tcPr>
          <w:p w14:paraId="117958B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774C621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485C7D8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1F4958A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BDB9F2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13750E0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CA9111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5CEAF6F0"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FF19E0A"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Tlačová agentúra Slovenskej republiky</w:t>
            </w:r>
          </w:p>
        </w:tc>
        <w:tc>
          <w:tcPr>
            <w:tcW w:w="850" w:type="dxa"/>
            <w:tcBorders>
              <w:top w:val="nil"/>
              <w:left w:val="nil"/>
              <w:bottom w:val="single" w:sz="8" w:space="0" w:color="auto"/>
              <w:right w:val="single" w:sz="8" w:space="0" w:color="auto"/>
            </w:tcBorders>
            <w:shd w:val="clear" w:color="auto" w:fill="auto"/>
            <w:vAlign w:val="center"/>
            <w:hideMark/>
          </w:tcPr>
          <w:p w14:paraId="0348B65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1787A66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4A07C13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268C5F3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722E24C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6F452DD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4BFDA68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2FEE22BC"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D104A3A"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pre dohľad nad výkonom auditu</w:t>
            </w:r>
          </w:p>
        </w:tc>
        <w:tc>
          <w:tcPr>
            <w:tcW w:w="850" w:type="dxa"/>
            <w:tcBorders>
              <w:top w:val="nil"/>
              <w:left w:val="nil"/>
              <w:bottom w:val="single" w:sz="8" w:space="0" w:color="auto"/>
              <w:right w:val="single" w:sz="8" w:space="0" w:color="auto"/>
            </w:tcBorders>
            <w:shd w:val="clear" w:color="auto" w:fill="auto"/>
            <w:vAlign w:val="center"/>
            <w:hideMark/>
          </w:tcPr>
          <w:p w14:paraId="34FC624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5152CAA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7036585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FE7E75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2EA381A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1B287D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491118B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B413948"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DB7629B"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pre dohľad nad zdravotnou starostlivosťou</w:t>
            </w:r>
          </w:p>
        </w:tc>
        <w:tc>
          <w:tcPr>
            <w:tcW w:w="850" w:type="dxa"/>
            <w:tcBorders>
              <w:top w:val="nil"/>
              <w:left w:val="nil"/>
              <w:bottom w:val="single" w:sz="8" w:space="0" w:color="auto"/>
              <w:right w:val="single" w:sz="8" w:space="0" w:color="auto"/>
            </w:tcBorders>
            <w:shd w:val="clear" w:color="auto" w:fill="auto"/>
            <w:vAlign w:val="center"/>
            <w:hideMark/>
          </w:tcPr>
          <w:p w14:paraId="5F4ECC1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6CF985B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3B8CCAF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2353A38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AB5293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2FA0AA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D7777F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2955DF6"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03F6C2D"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komisára pre deti</w:t>
            </w:r>
          </w:p>
        </w:tc>
        <w:tc>
          <w:tcPr>
            <w:tcW w:w="850" w:type="dxa"/>
            <w:tcBorders>
              <w:top w:val="nil"/>
              <w:left w:val="nil"/>
              <w:bottom w:val="single" w:sz="8" w:space="0" w:color="auto"/>
              <w:right w:val="single" w:sz="8" w:space="0" w:color="auto"/>
            </w:tcBorders>
            <w:shd w:val="clear" w:color="auto" w:fill="auto"/>
            <w:vAlign w:val="center"/>
            <w:hideMark/>
          </w:tcPr>
          <w:p w14:paraId="5C25DF4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33F373F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1DB4CE6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3C5E3E8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06925C8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7F3539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CDAD7C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E78F975"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74290B0"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komisára pre osoby so zdravotným postihnutím</w:t>
            </w:r>
          </w:p>
        </w:tc>
        <w:tc>
          <w:tcPr>
            <w:tcW w:w="850" w:type="dxa"/>
            <w:tcBorders>
              <w:top w:val="nil"/>
              <w:left w:val="nil"/>
              <w:bottom w:val="single" w:sz="8" w:space="0" w:color="auto"/>
              <w:right w:val="single" w:sz="8" w:space="0" w:color="auto"/>
            </w:tcBorders>
            <w:shd w:val="clear" w:color="auto" w:fill="auto"/>
            <w:vAlign w:val="center"/>
            <w:hideMark/>
          </w:tcPr>
          <w:p w14:paraId="4FB5A67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06C0579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1BECD0F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71A35E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7393B1E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41C6E2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1BA2DB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22945CA2"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206E2E2"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na ochranu oznamovateľov protispoločenskej činnosti</w:t>
            </w:r>
          </w:p>
        </w:tc>
        <w:tc>
          <w:tcPr>
            <w:tcW w:w="850" w:type="dxa"/>
            <w:tcBorders>
              <w:top w:val="nil"/>
              <w:left w:val="nil"/>
              <w:bottom w:val="single" w:sz="8" w:space="0" w:color="auto"/>
              <w:right w:val="single" w:sz="8" w:space="0" w:color="auto"/>
            </w:tcBorders>
            <w:shd w:val="clear" w:color="auto" w:fill="auto"/>
            <w:vAlign w:val="center"/>
            <w:hideMark/>
          </w:tcPr>
          <w:p w14:paraId="4D3AC8C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63362C0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3042D97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0F9C649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7DCB086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10F6A8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776C5E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77DEBDA9"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0B2819A"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Úrad na ochranu osobných údajov</w:t>
            </w:r>
          </w:p>
        </w:tc>
        <w:tc>
          <w:tcPr>
            <w:tcW w:w="850" w:type="dxa"/>
            <w:tcBorders>
              <w:top w:val="nil"/>
              <w:left w:val="nil"/>
              <w:bottom w:val="single" w:sz="8" w:space="0" w:color="auto"/>
              <w:right w:val="single" w:sz="8" w:space="0" w:color="auto"/>
            </w:tcBorders>
            <w:shd w:val="clear" w:color="auto" w:fill="auto"/>
            <w:vAlign w:val="center"/>
            <w:hideMark/>
          </w:tcPr>
          <w:p w14:paraId="4B22C71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103D790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2158E50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A57DF9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482982B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B887EA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E705E4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2159BF5"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71EE8BE"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Ústav pamäti národa</w:t>
            </w:r>
          </w:p>
        </w:tc>
        <w:tc>
          <w:tcPr>
            <w:tcW w:w="850" w:type="dxa"/>
            <w:tcBorders>
              <w:top w:val="nil"/>
              <w:left w:val="nil"/>
              <w:bottom w:val="single" w:sz="8" w:space="0" w:color="auto"/>
              <w:right w:val="single" w:sz="8" w:space="0" w:color="auto"/>
            </w:tcBorders>
            <w:shd w:val="clear" w:color="auto" w:fill="auto"/>
            <w:vAlign w:val="center"/>
            <w:hideMark/>
          </w:tcPr>
          <w:p w14:paraId="37D38DA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709" w:type="dxa"/>
            <w:tcBorders>
              <w:top w:val="nil"/>
              <w:left w:val="nil"/>
              <w:bottom w:val="single" w:sz="8" w:space="0" w:color="auto"/>
              <w:right w:val="single" w:sz="8" w:space="0" w:color="auto"/>
            </w:tcBorders>
            <w:shd w:val="clear" w:color="auto" w:fill="auto"/>
            <w:noWrap/>
            <w:vAlign w:val="center"/>
            <w:hideMark/>
          </w:tcPr>
          <w:p w14:paraId="49EEF8B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6FC880A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79FBC63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4AF0972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AE4A02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FE07C8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7427D2A6"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20CF545"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verejné vysoké školy</w:t>
            </w:r>
          </w:p>
        </w:tc>
        <w:tc>
          <w:tcPr>
            <w:tcW w:w="850" w:type="dxa"/>
            <w:tcBorders>
              <w:top w:val="nil"/>
              <w:left w:val="nil"/>
              <w:bottom w:val="single" w:sz="8" w:space="0" w:color="auto"/>
              <w:right w:val="single" w:sz="8" w:space="0" w:color="auto"/>
            </w:tcBorders>
            <w:shd w:val="clear" w:color="auto" w:fill="auto"/>
            <w:vAlign w:val="center"/>
            <w:hideMark/>
          </w:tcPr>
          <w:p w14:paraId="762A4E2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20</w:t>
            </w:r>
          </w:p>
        </w:tc>
        <w:tc>
          <w:tcPr>
            <w:tcW w:w="709" w:type="dxa"/>
            <w:tcBorders>
              <w:top w:val="nil"/>
              <w:left w:val="nil"/>
              <w:bottom w:val="single" w:sz="8" w:space="0" w:color="auto"/>
              <w:right w:val="single" w:sz="8" w:space="0" w:color="auto"/>
            </w:tcBorders>
            <w:shd w:val="clear" w:color="auto" w:fill="auto"/>
            <w:noWrap/>
            <w:vAlign w:val="center"/>
            <w:hideMark/>
          </w:tcPr>
          <w:p w14:paraId="5005123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6D97F4E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799A717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34FEF94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34AD208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0C5ED2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0DF219C2"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6C91048"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Neziskové organizácie ústrednej správy</w:t>
            </w:r>
          </w:p>
        </w:tc>
        <w:tc>
          <w:tcPr>
            <w:tcW w:w="850" w:type="dxa"/>
            <w:tcBorders>
              <w:top w:val="nil"/>
              <w:left w:val="nil"/>
              <w:bottom w:val="single" w:sz="8" w:space="0" w:color="auto"/>
              <w:right w:val="single" w:sz="8" w:space="0" w:color="auto"/>
            </w:tcBorders>
            <w:shd w:val="clear" w:color="auto" w:fill="auto"/>
            <w:vAlign w:val="center"/>
            <w:hideMark/>
          </w:tcPr>
          <w:p w14:paraId="5A827C3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14</w:t>
            </w:r>
          </w:p>
        </w:tc>
        <w:tc>
          <w:tcPr>
            <w:tcW w:w="709" w:type="dxa"/>
            <w:tcBorders>
              <w:top w:val="nil"/>
              <w:left w:val="nil"/>
              <w:bottom w:val="single" w:sz="8" w:space="0" w:color="auto"/>
              <w:right w:val="single" w:sz="8" w:space="0" w:color="auto"/>
            </w:tcBorders>
            <w:shd w:val="clear" w:color="auto" w:fill="auto"/>
            <w:noWrap/>
            <w:vAlign w:val="center"/>
            <w:hideMark/>
          </w:tcPr>
          <w:p w14:paraId="5AE5011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1E67631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7F502DE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41FD2579"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27935BD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B37FD0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44DA721"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BD2EDC3"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Neziskové organizácie územnej samosprávy</w:t>
            </w:r>
          </w:p>
        </w:tc>
        <w:tc>
          <w:tcPr>
            <w:tcW w:w="850" w:type="dxa"/>
            <w:tcBorders>
              <w:top w:val="nil"/>
              <w:left w:val="nil"/>
              <w:bottom w:val="single" w:sz="8" w:space="0" w:color="auto"/>
              <w:right w:val="single" w:sz="8" w:space="0" w:color="auto"/>
            </w:tcBorders>
            <w:shd w:val="clear" w:color="auto" w:fill="auto"/>
            <w:vAlign w:val="center"/>
            <w:hideMark/>
          </w:tcPr>
          <w:p w14:paraId="05F813D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526</w:t>
            </w:r>
          </w:p>
        </w:tc>
        <w:tc>
          <w:tcPr>
            <w:tcW w:w="709" w:type="dxa"/>
            <w:tcBorders>
              <w:top w:val="nil"/>
              <w:left w:val="nil"/>
              <w:bottom w:val="single" w:sz="8" w:space="0" w:color="auto"/>
              <w:right w:val="single" w:sz="8" w:space="0" w:color="auto"/>
            </w:tcBorders>
            <w:shd w:val="clear" w:color="auto" w:fill="auto"/>
            <w:noWrap/>
            <w:vAlign w:val="center"/>
            <w:hideMark/>
          </w:tcPr>
          <w:p w14:paraId="191E6D0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noWrap/>
            <w:vAlign w:val="center"/>
            <w:hideMark/>
          </w:tcPr>
          <w:p w14:paraId="3F48C54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709" w:type="dxa"/>
            <w:tcBorders>
              <w:top w:val="nil"/>
              <w:left w:val="nil"/>
              <w:bottom w:val="single" w:sz="8" w:space="0" w:color="auto"/>
              <w:right w:val="single" w:sz="8" w:space="0" w:color="auto"/>
            </w:tcBorders>
            <w:shd w:val="clear" w:color="auto" w:fill="auto"/>
            <w:vAlign w:val="center"/>
            <w:hideMark/>
          </w:tcPr>
          <w:p w14:paraId="65C4658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3A77726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136D10D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A2BFB1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1C4F6157"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2119926"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Bratislavský samosprávny kraj</w:t>
            </w:r>
          </w:p>
        </w:tc>
        <w:tc>
          <w:tcPr>
            <w:tcW w:w="850" w:type="dxa"/>
            <w:tcBorders>
              <w:top w:val="nil"/>
              <w:left w:val="nil"/>
              <w:bottom w:val="single" w:sz="8" w:space="0" w:color="auto"/>
              <w:right w:val="single" w:sz="8" w:space="0" w:color="auto"/>
            </w:tcBorders>
            <w:shd w:val="clear" w:color="auto" w:fill="auto"/>
            <w:vAlign w:val="center"/>
            <w:hideMark/>
          </w:tcPr>
          <w:p w14:paraId="482CF97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84</w:t>
            </w:r>
          </w:p>
        </w:tc>
        <w:tc>
          <w:tcPr>
            <w:tcW w:w="709" w:type="dxa"/>
            <w:tcBorders>
              <w:top w:val="nil"/>
              <w:left w:val="nil"/>
              <w:bottom w:val="single" w:sz="8" w:space="0" w:color="auto"/>
              <w:right w:val="single" w:sz="8" w:space="0" w:color="auto"/>
            </w:tcBorders>
            <w:shd w:val="clear" w:color="auto" w:fill="auto"/>
            <w:noWrap/>
            <w:vAlign w:val="center"/>
            <w:hideMark/>
          </w:tcPr>
          <w:p w14:paraId="006ACF4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57</w:t>
            </w:r>
          </w:p>
        </w:tc>
        <w:tc>
          <w:tcPr>
            <w:tcW w:w="709" w:type="dxa"/>
            <w:tcBorders>
              <w:top w:val="nil"/>
              <w:left w:val="nil"/>
              <w:bottom w:val="single" w:sz="8" w:space="0" w:color="auto"/>
              <w:right w:val="single" w:sz="8" w:space="0" w:color="auto"/>
            </w:tcBorders>
            <w:shd w:val="clear" w:color="auto" w:fill="auto"/>
            <w:noWrap/>
            <w:vAlign w:val="center"/>
            <w:hideMark/>
          </w:tcPr>
          <w:p w14:paraId="1C9DAA9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23</w:t>
            </w:r>
          </w:p>
        </w:tc>
        <w:tc>
          <w:tcPr>
            <w:tcW w:w="709" w:type="dxa"/>
            <w:tcBorders>
              <w:top w:val="nil"/>
              <w:left w:val="nil"/>
              <w:bottom w:val="single" w:sz="8" w:space="0" w:color="auto"/>
              <w:right w:val="single" w:sz="8" w:space="0" w:color="auto"/>
            </w:tcBorders>
            <w:shd w:val="clear" w:color="auto" w:fill="auto"/>
            <w:vAlign w:val="center"/>
            <w:hideMark/>
          </w:tcPr>
          <w:p w14:paraId="67A6ECC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09D665E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w:t>
            </w:r>
          </w:p>
        </w:tc>
        <w:tc>
          <w:tcPr>
            <w:tcW w:w="567" w:type="dxa"/>
            <w:tcBorders>
              <w:top w:val="nil"/>
              <w:left w:val="nil"/>
              <w:bottom w:val="single" w:sz="8" w:space="0" w:color="auto"/>
              <w:right w:val="single" w:sz="8" w:space="0" w:color="auto"/>
            </w:tcBorders>
            <w:shd w:val="clear" w:color="auto" w:fill="auto"/>
            <w:noWrap/>
            <w:vAlign w:val="center"/>
            <w:hideMark/>
          </w:tcPr>
          <w:p w14:paraId="0110E5C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04CC5DD"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579914F8"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C561278"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Trnavský samosprávny kraj</w:t>
            </w:r>
          </w:p>
        </w:tc>
        <w:tc>
          <w:tcPr>
            <w:tcW w:w="850" w:type="dxa"/>
            <w:tcBorders>
              <w:top w:val="nil"/>
              <w:left w:val="nil"/>
              <w:bottom w:val="single" w:sz="8" w:space="0" w:color="auto"/>
              <w:right w:val="single" w:sz="8" w:space="0" w:color="auto"/>
            </w:tcBorders>
            <w:shd w:val="clear" w:color="auto" w:fill="auto"/>
            <w:vAlign w:val="center"/>
            <w:hideMark/>
          </w:tcPr>
          <w:p w14:paraId="7D0F5B1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90</w:t>
            </w:r>
          </w:p>
        </w:tc>
        <w:tc>
          <w:tcPr>
            <w:tcW w:w="709" w:type="dxa"/>
            <w:tcBorders>
              <w:top w:val="nil"/>
              <w:left w:val="nil"/>
              <w:bottom w:val="single" w:sz="8" w:space="0" w:color="auto"/>
              <w:right w:val="single" w:sz="8" w:space="0" w:color="auto"/>
            </w:tcBorders>
            <w:shd w:val="clear" w:color="auto" w:fill="auto"/>
            <w:noWrap/>
            <w:vAlign w:val="center"/>
            <w:hideMark/>
          </w:tcPr>
          <w:p w14:paraId="51263E7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51</w:t>
            </w:r>
          </w:p>
        </w:tc>
        <w:tc>
          <w:tcPr>
            <w:tcW w:w="709" w:type="dxa"/>
            <w:tcBorders>
              <w:top w:val="nil"/>
              <w:left w:val="nil"/>
              <w:bottom w:val="single" w:sz="8" w:space="0" w:color="auto"/>
              <w:right w:val="single" w:sz="8" w:space="0" w:color="auto"/>
            </w:tcBorders>
            <w:shd w:val="clear" w:color="auto" w:fill="auto"/>
            <w:noWrap/>
            <w:vAlign w:val="center"/>
            <w:hideMark/>
          </w:tcPr>
          <w:p w14:paraId="4338705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35</w:t>
            </w:r>
          </w:p>
        </w:tc>
        <w:tc>
          <w:tcPr>
            <w:tcW w:w="709" w:type="dxa"/>
            <w:tcBorders>
              <w:top w:val="nil"/>
              <w:left w:val="nil"/>
              <w:bottom w:val="single" w:sz="8" w:space="0" w:color="auto"/>
              <w:right w:val="single" w:sz="8" w:space="0" w:color="auto"/>
            </w:tcBorders>
            <w:shd w:val="clear" w:color="auto" w:fill="auto"/>
            <w:vAlign w:val="center"/>
            <w:hideMark/>
          </w:tcPr>
          <w:p w14:paraId="673BA50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763615E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w:t>
            </w:r>
          </w:p>
        </w:tc>
        <w:tc>
          <w:tcPr>
            <w:tcW w:w="567" w:type="dxa"/>
            <w:tcBorders>
              <w:top w:val="nil"/>
              <w:left w:val="nil"/>
              <w:bottom w:val="single" w:sz="8" w:space="0" w:color="auto"/>
              <w:right w:val="single" w:sz="8" w:space="0" w:color="auto"/>
            </w:tcBorders>
            <w:shd w:val="clear" w:color="auto" w:fill="auto"/>
            <w:noWrap/>
            <w:vAlign w:val="center"/>
            <w:hideMark/>
          </w:tcPr>
          <w:p w14:paraId="13F3AA3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5D5012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59BA7A5B"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6C660F6"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Trenčiansky samosprávny kraj</w:t>
            </w:r>
          </w:p>
        </w:tc>
        <w:tc>
          <w:tcPr>
            <w:tcW w:w="850" w:type="dxa"/>
            <w:tcBorders>
              <w:top w:val="nil"/>
              <w:left w:val="nil"/>
              <w:bottom w:val="single" w:sz="8" w:space="0" w:color="auto"/>
              <w:right w:val="single" w:sz="8" w:space="0" w:color="auto"/>
            </w:tcBorders>
            <w:shd w:val="clear" w:color="auto" w:fill="auto"/>
            <w:vAlign w:val="center"/>
            <w:hideMark/>
          </w:tcPr>
          <w:p w14:paraId="2382824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81</w:t>
            </w:r>
          </w:p>
        </w:tc>
        <w:tc>
          <w:tcPr>
            <w:tcW w:w="709" w:type="dxa"/>
            <w:tcBorders>
              <w:top w:val="nil"/>
              <w:left w:val="nil"/>
              <w:bottom w:val="single" w:sz="8" w:space="0" w:color="auto"/>
              <w:right w:val="single" w:sz="8" w:space="0" w:color="auto"/>
            </w:tcBorders>
            <w:shd w:val="clear" w:color="auto" w:fill="auto"/>
            <w:noWrap/>
            <w:vAlign w:val="center"/>
            <w:hideMark/>
          </w:tcPr>
          <w:p w14:paraId="60CDA20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44</w:t>
            </w:r>
          </w:p>
        </w:tc>
        <w:tc>
          <w:tcPr>
            <w:tcW w:w="709" w:type="dxa"/>
            <w:tcBorders>
              <w:top w:val="nil"/>
              <w:left w:val="nil"/>
              <w:bottom w:val="single" w:sz="8" w:space="0" w:color="auto"/>
              <w:right w:val="single" w:sz="8" w:space="0" w:color="auto"/>
            </w:tcBorders>
            <w:shd w:val="clear" w:color="auto" w:fill="auto"/>
            <w:noWrap/>
            <w:vAlign w:val="center"/>
            <w:hideMark/>
          </w:tcPr>
          <w:p w14:paraId="4BCCFEF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36</w:t>
            </w:r>
          </w:p>
        </w:tc>
        <w:tc>
          <w:tcPr>
            <w:tcW w:w="709" w:type="dxa"/>
            <w:tcBorders>
              <w:top w:val="nil"/>
              <w:left w:val="nil"/>
              <w:bottom w:val="single" w:sz="8" w:space="0" w:color="auto"/>
              <w:right w:val="single" w:sz="8" w:space="0" w:color="auto"/>
            </w:tcBorders>
            <w:shd w:val="clear" w:color="auto" w:fill="auto"/>
            <w:vAlign w:val="center"/>
            <w:hideMark/>
          </w:tcPr>
          <w:p w14:paraId="125F2F1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689D5C0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7DFF22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655A715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86C9F18"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1F4E2E7"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Nitriansky samosprávny kraj</w:t>
            </w:r>
          </w:p>
        </w:tc>
        <w:tc>
          <w:tcPr>
            <w:tcW w:w="850" w:type="dxa"/>
            <w:tcBorders>
              <w:top w:val="nil"/>
              <w:left w:val="nil"/>
              <w:bottom w:val="single" w:sz="8" w:space="0" w:color="auto"/>
              <w:right w:val="single" w:sz="8" w:space="0" w:color="auto"/>
            </w:tcBorders>
            <w:shd w:val="clear" w:color="auto" w:fill="auto"/>
            <w:vAlign w:val="center"/>
            <w:hideMark/>
          </w:tcPr>
          <w:p w14:paraId="0AB19CB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112</w:t>
            </w:r>
          </w:p>
        </w:tc>
        <w:tc>
          <w:tcPr>
            <w:tcW w:w="709" w:type="dxa"/>
            <w:tcBorders>
              <w:top w:val="nil"/>
              <w:left w:val="nil"/>
              <w:bottom w:val="single" w:sz="8" w:space="0" w:color="auto"/>
              <w:right w:val="single" w:sz="8" w:space="0" w:color="auto"/>
            </w:tcBorders>
            <w:shd w:val="clear" w:color="auto" w:fill="auto"/>
            <w:noWrap/>
            <w:vAlign w:val="center"/>
            <w:hideMark/>
          </w:tcPr>
          <w:p w14:paraId="5AD53E4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81</w:t>
            </w:r>
          </w:p>
        </w:tc>
        <w:tc>
          <w:tcPr>
            <w:tcW w:w="709" w:type="dxa"/>
            <w:tcBorders>
              <w:top w:val="nil"/>
              <w:left w:val="nil"/>
              <w:bottom w:val="single" w:sz="8" w:space="0" w:color="auto"/>
              <w:right w:val="single" w:sz="8" w:space="0" w:color="auto"/>
            </w:tcBorders>
            <w:shd w:val="clear" w:color="auto" w:fill="auto"/>
            <w:noWrap/>
            <w:vAlign w:val="center"/>
            <w:hideMark/>
          </w:tcPr>
          <w:p w14:paraId="41C29C3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29</w:t>
            </w:r>
          </w:p>
        </w:tc>
        <w:tc>
          <w:tcPr>
            <w:tcW w:w="709" w:type="dxa"/>
            <w:tcBorders>
              <w:top w:val="nil"/>
              <w:left w:val="nil"/>
              <w:bottom w:val="single" w:sz="8" w:space="0" w:color="auto"/>
              <w:right w:val="single" w:sz="8" w:space="0" w:color="auto"/>
            </w:tcBorders>
            <w:shd w:val="clear" w:color="auto" w:fill="auto"/>
            <w:vAlign w:val="center"/>
            <w:hideMark/>
          </w:tcPr>
          <w:p w14:paraId="61F061FE"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DEC2FF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w:t>
            </w:r>
          </w:p>
        </w:tc>
        <w:tc>
          <w:tcPr>
            <w:tcW w:w="567" w:type="dxa"/>
            <w:tcBorders>
              <w:top w:val="nil"/>
              <w:left w:val="nil"/>
              <w:bottom w:val="single" w:sz="8" w:space="0" w:color="auto"/>
              <w:right w:val="single" w:sz="8" w:space="0" w:color="auto"/>
            </w:tcBorders>
            <w:shd w:val="clear" w:color="auto" w:fill="auto"/>
            <w:noWrap/>
            <w:vAlign w:val="center"/>
            <w:hideMark/>
          </w:tcPr>
          <w:p w14:paraId="48F885F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01377AB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108EE538"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A202DEB"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Žilinský samosprávny kraj</w:t>
            </w:r>
          </w:p>
        </w:tc>
        <w:tc>
          <w:tcPr>
            <w:tcW w:w="850" w:type="dxa"/>
            <w:tcBorders>
              <w:top w:val="nil"/>
              <w:left w:val="nil"/>
              <w:bottom w:val="single" w:sz="8" w:space="0" w:color="auto"/>
              <w:right w:val="single" w:sz="8" w:space="0" w:color="auto"/>
            </w:tcBorders>
            <w:shd w:val="clear" w:color="auto" w:fill="auto"/>
            <w:vAlign w:val="center"/>
            <w:hideMark/>
          </w:tcPr>
          <w:p w14:paraId="0F8E5948"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118</w:t>
            </w:r>
          </w:p>
        </w:tc>
        <w:tc>
          <w:tcPr>
            <w:tcW w:w="709" w:type="dxa"/>
            <w:tcBorders>
              <w:top w:val="nil"/>
              <w:left w:val="nil"/>
              <w:bottom w:val="single" w:sz="8" w:space="0" w:color="auto"/>
              <w:right w:val="single" w:sz="8" w:space="0" w:color="auto"/>
            </w:tcBorders>
            <w:shd w:val="clear" w:color="auto" w:fill="auto"/>
            <w:noWrap/>
            <w:vAlign w:val="center"/>
            <w:hideMark/>
          </w:tcPr>
          <w:p w14:paraId="6303C88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0</w:t>
            </w:r>
          </w:p>
        </w:tc>
        <w:tc>
          <w:tcPr>
            <w:tcW w:w="709" w:type="dxa"/>
            <w:tcBorders>
              <w:top w:val="nil"/>
              <w:left w:val="nil"/>
              <w:bottom w:val="single" w:sz="8" w:space="0" w:color="auto"/>
              <w:right w:val="single" w:sz="8" w:space="0" w:color="auto"/>
            </w:tcBorders>
            <w:shd w:val="clear" w:color="auto" w:fill="auto"/>
            <w:noWrap/>
            <w:vAlign w:val="center"/>
            <w:hideMark/>
          </w:tcPr>
          <w:p w14:paraId="233053F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114</w:t>
            </w:r>
          </w:p>
        </w:tc>
        <w:tc>
          <w:tcPr>
            <w:tcW w:w="709" w:type="dxa"/>
            <w:tcBorders>
              <w:top w:val="nil"/>
              <w:left w:val="nil"/>
              <w:bottom w:val="single" w:sz="8" w:space="0" w:color="auto"/>
              <w:right w:val="single" w:sz="8" w:space="0" w:color="auto"/>
            </w:tcBorders>
            <w:shd w:val="clear" w:color="auto" w:fill="auto"/>
            <w:vAlign w:val="center"/>
            <w:hideMark/>
          </w:tcPr>
          <w:p w14:paraId="1012B0D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38169D6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w:t>
            </w:r>
          </w:p>
        </w:tc>
        <w:tc>
          <w:tcPr>
            <w:tcW w:w="567" w:type="dxa"/>
            <w:tcBorders>
              <w:top w:val="nil"/>
              <w:left w:val="nil"/>
              <w:bottom w:val="single" w:sz="8" w:space="0" w:color="auto"/>
              <w:right w:val="single" w:sz="8" w:space="0" w:color="auto"/>
            </w:tcBorders>
            <w:shd w:val="clear" w:color="auto" w:fill="auto"/>
            <w:noWrap/>
            <w:vAlign w:val="center"/>
            <w:hideMark/>
          </w:tcPr>
          <w:p w14:paraId="56A0E02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4C3A49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53E56F15"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4FC423A"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Banskobystrický samosprávny kraj</w:t>
            </w:r>
          </w:p>
        </w:tc>
        <w:tc>
          <w:tcPr>
            <w:tcW w:w="850" w:type="dxa"/>
            <w:tcBorders>
              <w:top w:val="nil"/>
              <w:left w:val="nil"/>
              <w:bottom w:val="single" w:sz="8" w:space="0" w:color="auto"/>
              <w:right w:val="single" w:sz="8" w:space="0" w:color="auto"/>
            </w:tcBorders>
            <w:shd w:val="clear" w:color="auto" w:fill="auto"/>
            <w:vAlign w:val="center"/>
            <w:hideMark/>
          </w:tcPr>
          <w:p w14:paraId="6C857D5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122</w:t>
            </w:r>
          </w:p>
        </w:tc>
        <w:tc>
          <w:tcPr>
            <w:tcW w:w="709" w:type="dxa"/>
            <w:tcBorders>
              <w:top w:val="nil"/>
              <w:left w:val="nil"/>
              <w:bottom w:val="single" w:sz="8" w:space="0" w:color="auto"/>
              <w:right w:val="single" w:sz="8" w:space="0" w:color="auto"/>
            </w:tcBorders>
            <w:shd w:val="clear" w:color="auto" w:fill="auto"/>
            <w:noWrap/>
            <w:vAlign w:val="center"/>
            <w:hideMark/>
          </w:tcPr>
          <w:p w14:paraId="58265D6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72</w:t>
            </w:r>
          </w:p>
        </w:tc>
        <w:tc>
          <w:tcPr>
            <w:tcW w:w="709" w:type="dxa"/>
            <w:tcBorders>
              <w:top w:val="nil"/>
              <w:left w:val="nil"/>
              <w:bottom w:val="single" w:sz="8" w:space="0" w:color="auto"/>
              <w:right w:val="single" w:sz="8" w:space="0" w:color="auto"/>
            </w:tcBorders>
            <w:shd w:val="clear" w:color="auto" w:fill="auto"/>
            <w:noWrap/>
            <w:vAlign w:val="center"/>
            <w:hideMark/>
          </w:tcPr>
          <w:p w14:paraId="52D925E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43</w:t>
            </w:r>
          </w:p>
        </w:tc>
        <w:tc>
          <w:tcPr>
            <w:tcW w:w="709" w:type="dxa"/>
            <w:tcBorders>
              <w:top w:val="nil"/>
              <w:left w:val="nil"/>
              <w:bottom w:val="single" w:sz="8" w:space="0" w:color="auto"/>
              <w:right w:val="single" w:sz="8" w:space="0" w:color="auto"/>
            </w:tcBorders>
            <w:shd w:val="clear" w:color="auto" w:fill="auto"/>
            <w:vAlign w:val="center"/>
            <w:hideMark/>
          </w:tcPr>
          <w:p w14:paraId="6F91178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2C41018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6</w:t>
            </w:r>
          </w:p>
        </w:tc>
        <w:tc>
          <w:tcPr>
            <w:tcW w:w="567" w:type="dxa"/>
            <w:tcBorders>
              <w:top w:val="nil"/>
              <w:left w:val="nil"/>
              <w:bottom w:val="single" w:sz="8" w:space="0" w:color="auto"/>
              <w:right w:val="single" w:sz="8" w:space="0" w:color="auto"/>
            </w:tcBorders>
            <w:shd w:val="clear" w:color="auto" w:fill="auto"/>
            <w:noWrap/>
            <w:vAlign w:val="center"/>
            <w:hideMark/>
          </w:tcPr>
          <w:p w14:paraId="54E5077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715B3AA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56CD905"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3E359D0"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Prešovský samosprávny kraj</w:t>
            </w:r>
          </w:p>
        </w:tc>
        <w:tc>
          <w:tcPr>
            <w:tcW w:w="850" w:type="dxa"/>
            <w:tcBorders>
              <w:top w:val="nil"/>
              <w:left w:val="nil"/>
              <w:bottom w:val="single" w:sz="8" w:space="0" w:color="auto"/>
              <w:right w:val="single" w:sz="8" w:space="0" w:color="auto"/>
            </w:tcBorders>
            <w:shd w:val="clear" w:color="auto" w:fill="auto"/>
            <w:vAlign w:val="center"/>
            <w:hideMark/>
          </w:tcPr>
          <w:p w14:paraId="63F94A97"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127</w:t>
            </w:r>
          </w:p>
        </w:tc>
        <w:tc>
          <w:tcPr>
            <w:tcW w:w="709" w:type="dxa"/>
            <w:tcBorders>
              <w:top w:val="nil"/>
              <w:left w:val="nil"/>
              <w:bottom w:val="single" w:sz="8" w:space="0" w:color="auto"/>
              <w:right w:val="single" w:sz="8" w:space="0" w:color="auto"/>
            </w:tcBorders>
            <w:shd w:val="clear" w:color="auto" w:fill="auto"/>
            <w:noWrap/>
            <w:vAlign w:val="center"/>
            <w:hideMark/>
          </w:tcPr>
          <w:p w14:paraId="6DAF6E6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81</w:t>
            </w:r>
          </w:p>
        </w:tc>
        <w:tc>
          <w:tcPr>
            <w:tcW w:w="709" w:type="dxa"/>
            <w:tcBorders>
              <w:top w:val="nil"/>
              <w:left w:val="nil"/>
              <w:bottom w:val="single" w:sz="8" w:space="0" w:color="auto"/>
              <w:right w:val="single" w:sz="8" w:space="0" w:color="auto"/>
            </w:tcBorders>
            <w:shd w:val="clear" w:color="auto" w:fill="auto"/>
            <w:noWrap/>
            <w:vAlign w:val="center"/>
            <w:hideMark/>
          </w:tcPr>
          <w:p w14:paraId="7E2A4BD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45</w:t>
            </w:r>
          </w:p>
        </w:tc>
        <w:tc>
          <w:tcPr>
            <w:tcW w:w="709" w:type="dxa"/>
            <w:tcBorders>
              <w:top w:val="nil"/>
              <w:left w:val="nil"/>
              <w:bottom w:val="single" w:sz="8" w:space="0" w:color="auto"/>
              <w:right w:val="single" w:sz="8" w:space="0" w:color="auto"/>
            </w:tcBorders>
            <w:shd w:val="clear" w:color="auto" w:fill="auto"/>
            <w:vAlign w:val="center"/>
            <w:hideMark/>
          </w:tcPr>
          <w:p w14:paraId="37AB5CF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441ACAB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2E0D8C1"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16E83603"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2E507544" w14:textId="77777777" w:rsidTr="006B7E4E">
        <w:trPr>
          <w:trHeight w:val="30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BCE7D0B"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Košický samosprávny kraj</w:t>
            </w:r>
          </w:p>
        </w:tc>
        <w:tc>
          <w:tcPr>
            <w:tcW w:w="850" w:type="dxa"/>
            <w:tcBorders>
              <w:top w:val="nil"/>
              <w:left w:val="nil"/>
              <w:bottom w:val="single" w:sz="8" w:space="0" w:color="auto"/>
              <w:right w:val="single" w:sz="8" w:space="0" w:color="auto"/>
            </w:tcBorders>
            <w:shd w:val="clear" w:color="auto" w:fill="auto"/>
            <w:vAlign w:val="center"/>
            <w:hideMark/>
          </w:tcPr>
          <w:p w14:paraId="5B9FDBD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115</w:t>
            </w:r>
          </w:p>
        </w:tc>
        <w:tc>
          <w:tcPr>
            <w:tcW w:w="709" w:type="dxa"/>
            <w:tcBorders>
              <w:top w:val="nil"/>
              <w:left w:val="nil"/>
              <w:bottom w:val="single" w:sz="8" w:space="0" w:color="auto"/>
              <w:right w:val="single" w:sz="8" w:space="0" w:color="auto"/>
            </w:tcBorders>
            <w:shd w:val="clear" w:color="auto" w:fill="auto"/>
            <w:noWrap/>
            <w:vAlign w:val="center"/>
            <w:hideMark/>
          </w:tcPr>
          <w:p w14:paraId="1EC2E1CA"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76</w:t>
            </w:r>
          </w:p>
        </w:tc>
        <w:tc>
          <w:tcPr>
            <w:tcW w:w="709" w:type="dxa"/>
            <w:tcBorders>
              <w:top w:val="nil"/>
              <w:left w:val="nil"/>
              <w:bottom w:val="single" w:sz="8" w:space="0" w:color="auto"/>
              <w:right w:val="single" w:sz="8" w:space="0" w:color="auto"/>
            </w:tcBorders>
            <w:shd w:val="clear" w:color="auto" w:fill="auto"/>
            <w:noWrap/>
            <w:vAlign w:val="center"/>
            <w:hideMark/>
          </w:tcPr>
          <w:p w14:paraId="355CCBD0"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32</w:t>
            </w:r>
          </w:p>
        </w:tc>
        <w:tc>
          <w:tcPr>
            <w:tcW w:w="709" w:type="dxa"/>
            <w:tcBorders>
              <w:top w:val="nil"/>
              <w:left w:val="nil"/>
              <w:bottom w:val="single" w:sz="8" w:space="0" w:color="auto"/>
              <w:right w:val="single" w:sz="8" w:space="0" w:color="auto"/>
            </w:tcBorders>
            <w:shd w:val="clear" w:color="auto" w:fill="auto"/>
            <w:vAlign w:val="center"/>
            <w:hideMark/>
          </w:tcPr>
          <w:p w14:paraId="4403C4B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single" w:sz="8" w:space="0" w:color="auto"/>
              <w:right w:val="single" w:sz="8" w:space="0" w:color="auto"/>
            </w:tcBorders>
            <w:shd w:val="clear" w:color="auto" w:fill="auto"/>
            <w:noWrap/>
            <w:vAlign w:val="center"/>
            <w:hideMark/>
          </w:tcPr>
          <w:p w14:paraId="5F9DF49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6</w:t>
            </w:r>
          </w:p>
        </w:tc>
        <w:tc>
          <w:tcPr>
            <w:tcW w:w="567" w:type="dxa"/>
            <w:tcBorders>
              <w:top w:val="nil"/>
              <w:left w:val="nil"/>
              <w:bottom w:val="single" w:sz="8" w:space="0" w:color="auto"/>
              <w:right w:val="single" w:sz="8" w:space="0" w:color="auto"/>
            </w:tcBorders>
            <w:shd w:val="clear" w:color="auto" w:fill="auto"/>
            <w:noWrap/>
            <w:vAlign w:val="center"/>
            <w:hideMark/>
          </w:tcPr>
          <w:p w14:paraId="49BC744F"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single" w:sz="8" w:space="0" w:color="auto"/>
              <w:right w:val="single" w:sz="8" w:space="0" w:color="auto"/>
            </w:tcBorders>
            <w:shd w:val="clear" w:color="auto" w:fill="auto"/>
            <w:noWrap/>
            <w:vAlign w:val="center"/>
            <w:hideMark/>
          </w:tcPr>
          <w:p w14:paraId="5DC6CA6C"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416C5CFA" w14:textId="77777777" w:rsidTr="006B7E4E">
        <w:trPr>
          <w:trHeight w:val="300"/>
        </w:trPr>
        <w:tc>
          <w:tcPr>
            <w:tcW w:w="4810" w:type="dxa"/>
            <w:tcBorders>
              <w:top w:val="nil"/>
              <w:left w:val="single" w:sz="8" w:space="0" w:color="auto"/>
              <w:bottom w:val="double" w:sz="4" w:space="0" w:color="auto"/>
              <w:right w:val="single" w:sz="8" w:space="0" w:color="auto"/>
            </w:tcBorders>
            <w:shd w:val="clear" w:color="auto" w:fill="auto"/>
            <w:noWrap/>
            <w:vAlign w:val="center"/>
            <w:hideMark/>
          </w:tcPr>
          <w:p w14:paraId="5FAF77FC" w14:textId="77777777" w:rsidR="009A6DDA" w:rsidRPr="00C66720" w:rsidRDefault="009A6DDA" w:rsidP="006B7E4E">
            <w:pPr>
              <w:spacing w:after="0" w:line="240" w:lineRule="auto"/>
              <w:rPr>
                <w:rFonts w:ascii="Times New Roman" w:hAnsi="Times New Roman"/>
                <w:color w:val="000000"/>
                <w:sz w:val="18"/>
                <w:szCs w:val="18"/>
                <w:lang w:eastAsia="sk-SK"/>
              </w:rPr>
            </w:pPr>
            <w:r w:rsidRPr="00C66720">
              <w:rPr>
                <w:rFonts w:ascii="Times New Roman" w:hAnsi="Times New Roman"/>
                <w:color w:val="000000"/>
                <w:sz w:val="18"/>
                <w:szCs w:val="18"/>
                <w:lang w:eastAsia="sk-SK"/>
              </w:rPr>
              <w:t>Obce SR</w:t>
            </w:r>
          </w:p>
        </w:tc>
        <w:tc>
          <w:tcPr>
            <w:tcW w:w="850" w:type="dxa"/>
            <w:tcBorders>
              <w:top w:val="nil"/>
              <w:left w:val="nil"/>
              <w:bottom w:val="double" w:sz="4" w:space="0" w:color="auto"/>
              <w:right w:val="single" w:sz="8" w:space="0" w:color="auto"/>
            </w:tcBorders>
            <w:shd w:val="clear" w:color="auto" w:fill="auto"/>
            <w:noWrap/>
            <w:vAlign w:val="center"/>
            <w:hideMark/>
          </w:tcPr>
          <w:p w14:paraId="699AE6E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6 049</w:t>
            </w:r>
          </w:p>
        </w:tc>
        <w:tc>
          <w:tcPr>
            <w:tcW w:w="709" w:type="dxa"/>
            <w:tcBorders>
              <w:top w:val="nil"/>
              <w:left w:val="nil"/>
              <w:bottom w:val="double" w:sz="4" w:space="0" w:color="auto"/>
              <w:right w:val="single" w:sz="8" w:space="0" w:color="auto"/>
            </w:tcBorders>
            <w:shd w:val="clear" w:color="auto" w:fill="auto"/>
            <w:noWrap/>
            <w:vAlign w:val="center"/>
            <w:hideMark/>
          </w:tcPr>
          <w:p w14:paraId="7699C68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2 198</w:t>
            </w:r>
          </w:p>
        </w:tc>
        <w:tc>
          <w:tcPr>
            <w:tcW w:w="709" w:type="dxa"/>
            <w:tcBorders>
              <w:top w:val="nil"/>
              <w:left w:val="nil"/>
              <w:bottom w:val="double" w:sz="4" w:space="0" w:color="auto"/>
              <w:right w:val="single" w:sz="8" w:space="0" w:color="auto"/>
            </w:tcBorders>
            <w:shd w:val="clear" w:color="auto" w:fill="auto"/>
            <w:noWrap/>
            <w:vAlign w:val="center"/>
            <w:hideMark/>
          </w:tcPr>
          <w:p w14:paraId="0462C866"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248</w:t>
            </w:r>
          </w:p>
        </w:tc>
        <w:tc>
          <w:tcPr>
            <w:tcW w:w="709" w:type="dxa"/>
            <w:tcBorders>
              <w:top w:val="nil"/>
              <w:left w:val="nil"/>
              <w:bottom w:val="double" w:sz="4" w:space="0" w:color="auto"/>
              <w:right w:val="single" w:sz="8" w:space="0" w:color="auto"/>
            </w:tcBorders>
            <w:shd w:val="clear" w:color="auto" w:fill="auto"/>
            <w:vAlign w:val="center"/>
            <w:hideMark/>
          </w:tcPr>
          <w:p w14:paraId="5CAE94F2"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637" w:type="dxa"/>
            <w:tcBorders>
              <w:top w:val="nil"/>
              <w:left w:val="nil"/>
              <w:bottom w:val="double" w:sz="4" w:space="0" w:color="auto"/>
              <w:right w:val="single" w:sz="8" w:space="0" w:color="auto"/>
            </w:tcBorders>
            <w:shd w:val="clear" w:color="auto" w:fill="auto"/>
            <w:noWrap/>
            <w:vAlign w:val="center"/>
            <w:hideMark/>
          </w:tcPr>
          <w:p w14:paraId="3094E1FB"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677</w:t>
            </w:r>
          </w:p>
        </w:tc>
        <w:tc>
          <w:tcPr>
            <w:tcW w:w="567" w:type="dxa"/>
            <w:tcBorders>
              <w:top w:val="nil"/>
              <w:left w:val="nil"/>
              <w:bottom w:val="double" w:sz="4" w:space="0" w:color="auto"/>
              <w:right w:val="single" w:sz="8" w:space="0" w:color="auto"/>
            </w:tcBorders>
            <w:shd w:val="clear" w:color="auto" w:fill="auto"/>
            <w:noWrap/>
            <w:vAlign w:val="center"/>
            <w:hideMark/>
          </w:tcPr>
          <w:p w14:paraId="5AAE1A65"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c>
          <w:tcPr>
            <w:tcW w:w="567" w:type="dxa"/>
            <w:tcBorders>
              <w:top w:val="nil"/>
              <w:left w:val="nil"/>
              <w:bottom w:val="double" w:sz="4" w:space="0" w:color="auto"/>
              <w:right w:val="single" w:sz="8" w:space="0" w:color="auto"/>
            </w:tcBorders>
            <w:shd w:val="clear" w:color="auto" w:fill="auto"/>
            <w:noWrap/>
            <w:vAlign w:val="center"/>
            <w:hideMark/>
          </w:tcPr>
          <w:p w14:paraId="64378814" w14:textId="77777777" w:rsidR="009A6DDA" w:rsidRPr="00C66720" w:rsidRDefault="009A6DDA" w:rsidP="006B7E4E">
            <w:pPr>
              <w:spacing w:after="0" w:line="240" w:lineRule="auto"/>
              <w:jc w:val="center"/>
              <w:rPr>
                <w:rFonts w:ascii="Times New Roman" w:hAnsi="Times New Roman"/>
                <w:color w:val="000000"/>
                <w:sz w:val="18"/>
                <w:szCs w:val="18"/>
                <w:lang w:eastAsia="sk-SK"/>
              </w:rPr>
            </w:pPr>
            <w:r w:rsidRPr="00C66720">
              <w:rPr>
                <w:rFonts w:ascii="Times New Roman" w:hAnsi="Times New Roman"/>
                <w:color w:val="000000"/>
                <w:sz w:val="18"/>
                <w:szCs w:val="18"/>
                <w:lang w:eastAsia="sk-SK"/>
              </w:rPr>
              <w:t>-</w:t>
            </w:r>
          </w:p>
        </w:tc>
      </w:tr>
      <w:tr w:rsidR="009A6DDA" w:rsidRPr="00C66720" w14:paraId="68EB4AC5" w14:textId="77777777" w:rsidTr="006B7E4E">
        <w:trPr>
          <w:trHeight w:val="312"/>
        </w:trPr>
        <w:tc>
          <w:tcPr>
            <w:tcW w:w="4810" w:type="dxa"/>
            <w:tcBorders>
              <w:top w:val="double" w:sz="4" w:space="0" w:color="auto"/>
              <w:left w:val="single" w:sz="8" w:space="0" w:color="auto"/>
              <w:bottom w:val="single" w:sz="8" w:space="0" w:color="auto"/>
              <w:right w:val="single" w:sz="8" w:space="0" w:color="auto"/>
            </w:tcBorders>
            <w:shd w:val="clear" w:color="000000" w:fill="BFBFBF"/>
            <w:noWrap/>
            <w:vAlign w:val="center"/>
            <w:hideMark/>
          </w:tcPr>
          <w:p w14:paraId="7537CA5E" w14:textId="77777777" w:rsidR="009A6DDA" w:rsidRPr="00C66720" w:rsidRDefault="009A6DDA" w:rsidP="006B7E4E">
            <w:pPr>
              <w:spacing w:after="0" w:line="240" w:lineRule="auto"/>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Spolu</w:t>
            </w:r>
          </w:p>
        </w:tc>
        <w:tc>
          <w:tcPr>
            <w:tcW w:w="850" w:type="dxa"/>
            <w:tcBorders>
              <w:top w:val="double" w:sz="4" w:space="0" w:color="auto"/>
              <w:left w:val="nil"/>
              <w:bottom w:val="single" w:sz="8" w:space="0" w:color="auto"/>
              <w:right w:val="single" w:sz="8" w:space="0" w:color="auto"/>
            </w:tcBorders>
            <w:shd w:val="clear" w:color="000000" w:fill="BFBFBF"/>
            <w:noWrap/>
            <w:vAlign w:val="center"/>
            <w:hideMark/>
          </w:tcPr>
          <w:p w14:paraId="785B7966"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8 397</w:t>
            </w:r>
          </w:p>
        </w:tc>
        <w:tc>
          <w:tcPr>
            <w:tcW w:w="709" w:type="dxa"/>
            <w:tcBorders>
              <w:top w:val="double" w:sz="4" w:space="0" w:color="auto"/>
              <w:left w:val="nil"/>
              <w:bottom w:val="single" w:sz="8" w:space="0" w:color="auto"/>
              <w:right w:val="single" w:sz="8" w:space="0" w:color="auto"/>
            </w:tcBorders>
            <w:shd w:val="clear" w:color="000000" w:fill="BFBFBF"/>
            <w:noWrap/>
            <w:vAlign w:val="center"/>
            <w:hideMark/>
          </w:tcPr>
          <w:p w14:paraId="684D24A1"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3 325</w:t>
            </w:r>
          </w:p>
        </w:tc>
        <w:tc>
          <w:tcPr>
            <w:tcW w:w="709" w:type="dxa"/>
            <w:tcBorders>
              <w:top w:val="double" w:sz="4" w:space="0" w:color="auto"/>
              <w:left w:val="nil"/>
              <w:bottom w:val="single" w:sz="8" w:space="0" w:color="auto"/>
              <w:right w:val="single" w:sz="8" w:space="0" w:color="auto"/>
            </w:tcBorders>
            <w:shd w:val="clear" w:color="000000" w:fill="BFBFBF"/>
            <w:noWrap/>
            <w:vAlign w:val="center"/>
            <w:hideMark/>
          </w:tcPr>
          <w:p w14:paraId="728327F3"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719</w:t>
            </w:r>
          </w:p>
        </w:tc>
        <w:tc>
          <w:tcPr>
            <w:tcW w:w="709" w:type="dxa"/>
            <w:tcBorders>
              <w:top w:val="double" w:sz="4" w:space="0" w:color="auto"/>
              <w:left w:val="nil"/>
              <w:bottom w:val="single" w:sz="8" w:space="0" w:color="auto"/>
              <w:right w:val="single" w:sz="8" w:space="0" w:color="auto"/>
            </w:tcBorders>
            <w:shd w:val="clear" w:color="000000" w:fill="BFBFBF"/>
            <w:noWrap/>
            <w:vAlign w:val="center"/>
            <w:hideMark/>
          </w:tcPr>
          <w:p w14:paraId="2CA091F6"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47</w:t>
            </w:r>
          </w:p>
        </w:tc>
        <w:tc>
          <w:tcPr>
            <w:tcW w:w="637" w:type="dxa"/>
            <w:tcBorders>
              <w:top w:val="double" w:sz="4" w:space="0" w:color="auto"/>
              <w:left w:val="nil"/>
              <w:bottom w:val="single" w:sz="8" w:space="0" w:color="auto"/>
              <w:right w:val="single" w:sz="8" w:space="0" w:color="auto"/>
            </w:tcBorders>
            <w:shd w:val="clear" w:color="000000" w:fill="BFBFBF"/>
            <w:noWrap/>
            <w:vAlign w:val="center"/>
            <w:hideMark/>
          </w:tcPr>
          <w:p w14:paraId="270C4770"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762</w:t>
            </w:r>
          </w:p>
        </w:tc>
        <w:tc>
          <w:tcPr>
            <w:tcW w:w="567" w:type="dxa"/>
            <w:tcBorders>
              <w:top w:val="double" w:sz="4" w:space="0" w:color="auto"/>
              <w:left w:val="nil"/>
              <w:bottom w:val="single" w:sz="8" w:space="0" w:color="auto"/>
              <w:right w:val="single" w:sz="8" w:space="0" w:color="auto"/>
            </w:tcBorders>
            <w:shd w:val="clear" w:color="000000" w:fill="BFBFBF"/>
            <w:noWrap/>
            <w:vAlign w:val="center"/>
            <w:hideMark/>
          </w:tcPr>
          <w:p w14:paraId="1D1D4897"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18</w:t>
            </w:r>
          </w:p>
        </w:tc>
        <w:tc>
          <w:tcPr>
            <w:tcW w:w="567" w:type="dxa"/>
            <w:tcBorders>
              <w:top w:val="double" w:sz="4" w:space="0" w:color="auto"/>
              <w:left w:val="nil"/>
              <w:bottom w:val="single" w:sz="8" w:space="0" w:color="auto"/>
              <w:right w:val="single" w:sz="8" w:space="0" w:color="auto"/>
            </w:tcBorders>
            <w:shd w:val="clear" w:color="000000" w:fill="BFBFBF"/>
            <w:noWrap/>
            <w:vAlign w:val="center"/>
            <w:hideMark/>
          </w:tcPr>
          <w:p w14:paraId="0776857A" w14:textId="77777777" w:rsidR="009A6DDA" w:rsidRPr="00C66720" w:rsidRDefault="009A6DDA" w:rsidP="006B7E4E">
            <w:pPr>
              <w:spacing w:after="0" w:line="240" w:lineRule="auto"/>
              <w:jc w:val="center"/>
              <w:rPr>
                <w:rFonts w:ascii="Times New Roman" w:hAnsi="Times New Roman"/>
                <w:b/>
                <w:bCs/>
                <w:color w:val="000000"/>
                <w:sz w:val="18"/>
                <w:szCs w:val="18"/>
                <w:lang w:eastAsia="sk-SK"/>
              </w:rPr>
            </w:pPr>
            <w:r w:rsidRPr="00C66720">
              <w:rPr>
                <w:rFonts w:ascii="Times New Roman" w:hAnsi="Times New Roman"/>
                <w:b/>
                <w:bCs/>
                <w:color w:val="000000"/>
                <w:sz w:val="18"/>
                <w:szCs w:val="18"/>
                <w:lang w:eastAsia="sk-SK"/>
              </w:rPr>
              <w:t>3</w:t>
            </w:r>
          </w:p>
        </w:tc>
      </w:tr>
    </w:tbl>
    <w:p w14:paraId="3F9C7852" w14:textId="77777777" w:rsidR="00945039" w:rsidRPr="00C66720" w:rsidRDefault="00945039" w:rsidP="00945039">
      <w:pPr>
        <w:spacing w:after="0" w:line="240" w:lineRule="auto"/>
        <w:jc w:val="both"/>
        <w:rPr>
          <w:rFonts w:ascii="Times New Roman" w:hAnsi="Times New Roman"/>
          <w:color w:val="FF0000"/>
          <w:sz w:val="20"/>
          <w:szCs w:val="20"/>
        </w:rPr>
      </w:pPr>
      <w:r w:rsidRPr="00C66720">
        <w:rPr>
          <w:rFonts w:ascii="Times New Roman" w:hAnsi="Times New Roman"/>
          <w:sz w:val="20"/>
          <w:szCs w:val="20"/>
        </w:rPr>
        <w:t>Legenda: UJ – účtovná jednotka, RO – rozpočtová organizácia, PO – príspevková organizácia, OS – obchodné spoločnosti, š.p. – štátne podniky, š.f. – štátne účelové fondy, v.v.i – verejná výskumná inštitúcia</w:t>
      </w:r>
    </w:p>
    <w:p w14:paraId="70C0C118" w14:textId="77777777" w:rsidR="00945039" w:rsidRPr="00C66720" w:rsidRDefault="00945039" w:rsidP="00945039">
      <w:pPr>
        <w:spacing w:after="0" w:line="240" w:lineRule="auto"/>
        <w:jc w:val="both"/>
        <w:rPr>
          <w:rFonts w:ascii="Times New Roman" w:hAnsi="Times New Roman"/>
          <w:b/>
          <w:bCs/>
          <w:sz w:val="20"/>
          <w:szCs w:val="20"/>
        </w:rPr>
      </w:pPr>
      <w:r w:rsidRPr="00C66720">
        <w:rPr>
          <w:rFonts w:ascii="Times New Roman" w:hAnsi="Times New Roman"/>
          <w:sz w:val="20"/>
          <w:szCs w:val="20"/>
        </w:rPr>
        <w:t>*V rámci ústrednej správy sa vykazujú aj 4 investičné fondy (NDF I, NDF II, SAM, VFF)</w:t>
      </w:r>
    </w:p>
    <w:p w14:paraId="4212D3D2" w14:textId="242F249E" w:rsidR="00173A53" w:rsidRPr="00C66720" w:rsidRDefault="00173A53" w:rsidP="00945039">
      <w:pPr>
        <w:spacing w:after="0" w:line="240" w:lineRule="auto"/>
        <w:jc w:val="both"/>
        <w:rPr>
          <w:rFonts w:ascii="Times New Roman" w:hAnsi="Times New Roman"/>
          <w:b/>
          <w:bCs/>
          <w:color w:val="FF0000"/>
          <w:sz w:val="24"/>
          <w:szCs w:val="24"/>
        </w:rPr>
      </w:pPr>
    </w:p>
    <w:sectPr w:rsidR="00173A53" w:rsidRPr="00C66720" w:rsidSect="005E1F57">
      <w:headerReference w:type="first" r:id="rId13"/>
      <w:footerReference w:type="first" r:id="rId14"/>
      <w:pgSz w:w="11906" w:h="16838"/>
      <w:pgMar w:top="1418" w:right="1134" w:bottom="1418"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7373E" w14:textId="77777777" w:rsidR="002D7839" w:rsidRDefault="002D7839" w:rsidP="002F68AE">
      <w:pPr>
        <w:spacing w:after="0" w:line="240" w:lineRule="auto"/>
      </w:pPr>
      <w:r>
        <w:separator/>
      </w:r>
    </w:p>
  </w:endnote>
  <w:endnote w:type="continuationSeparator" w:id="0">
    <w:p w14:paraId="34DF82D9" w14:textId="77777777" w:rsidR="002D7839" w:rsidRDefault="002D7839" w:rsidP="002F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Dutch801 SWC">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T* Times New Roman">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773845"/>
      <w:docPartObj>
        <w:docPartGallery w:val="Page Numbers (Bottom of Page)"/>
        <w:docPartUnique/>
      </w:docPartObj>
    </w:sdtPr>
    <w:sdtEndPr>
      <w:rPr>
        <w:rFonts w:ascii="Times New Roman" w:hAnsi="Times New Roman"/>
        <w:sz w:val="20"/>
        <w:szCs w:val="20"/>
      </w:rPr>
    </w:sdtEndPr>
    <w:sdtContent>
      <w:p w14:paraId="13EC8EB9" w14:textId="5258FFBC" w:rsidR="002D7839" w:rsidRPr="00073DC9" w:rsidRDefault="002D7839">
        <w:pPr>
          <w:pStyle w:val="Pta"/>
          <w:jc w:val="center"/>
          <w:rPr>
            <w:rFonts w:ascii="Times New Roman" w:hAnsi="Times New Roman"/>
            <w:sz w:val="20"/>
            <w:szCs w:val="20"/>
          </w:rPr>
        </w:pPr>
        <w:r w:rsidRPr="00073DC9">
          <w:rPr>
            <w:rFonts w:ascii="Times New Roman" w:hAnsi="Times New Roman"/>
            <w:sz w:val="20"/>
            <w:szCs w:val="20"/>
          </w:rPr>
          <w:fldChar w:fldCharType="begin"/>
        </w:r>
        <w:r w:rsidRPr="00073DC9">
          <w:rPr>
            <w:rFonts w:ascii="Times New Roman" w:hAnsi="Times New Roman"/>
            <w:sz w:val="20"/>
            <w:szCs w:val="20"/>
          </w:rPr>
          <w:instrText>PAGE   \* MERGEFORMAT</w:instrText>
        </w:r>
        <w:r w:rsidRPr="00073DC9">
          <w:rPr>
            <w:rFonts w:ascii="Times New Roman" w:hAnsi="Times New Roman"/>
            <w:sz w:val="20"/>
            <w:szCs w:val="20"/>
          </w:rPr>
          <w:fldChar w:fldCharType="separate"/>
        </w:r>
        <w:r w:rsidR="001B7CEB">
          <w:rPr>
            <w:rFonts w:ascii="Times New Roman" w:hAnsi="Times New Roman"/>
            <w:noProof/>
            <w:sz w:val="20"/>
            <w:szCs w:val="20"/>
          </w:rPr>
          <w:t>8</w:t>
        </w:r>
        <w:r w:rsidRPr="00073DC9">
          <w:rPr>
            <w:rFonts w:ascii="Times New Roman" w:hAnsi="Times New Roman"/>
            <w:sz w:val="20"/>
            <w:szCs w:val="20"/>
          </w:rPr>
          <w:fldChar w:fldCharType="end"/>
        </w:r>
      </w:p>
    </w:sdtContent>
  </w:sdt>
  <w:p w14:paraId="0543D0E2" w14:textId="77777777" w:rsidR="002D7839" w:rsidRDefault="002D783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291566"/>
      <w:docPartObj>
        <w:docPartGallery w:val="Page Numbers (Bottom of Page)"/>
        <w:docPartUnique/>
      </w:docPartObj>
    </w:sdtPr>
    <w:sdtEndPr>
      <w:rPr>
        <w:rFonts w:ascii="Times New Roman" w:hAnsi="Times New Roman"/>
        <w:sz w:val="20"/>
        <w:szCs w:val="20"/>
      </w:rPr>
    </w:sdtEndPr>
    <w:sdtContent>
      <w:p w14:paraId="20661526" w14:textId="130B1962" w:rsidR="002D7839" w:rsidRPr="00073DC9" w:rsidRDefault="002D7839" w:rsidP="00073DC9">
        <w:pPr>
          <w:pStyle w:val="Pta"/>
          <w:jc w:val="center"/>
          <w:rPr>
            <w:rFonts w:ascii="Times New Roman" w:hAnsi="Times New Roman"/>
            <w:sz w:val="20"/>
            <w:szCs w:val="20"/>
          </w:rPr>
        </w:pPr>
        <w:r w:rsidRPr="00073DC9">
          <w:rPr>
            <w:rFonts w:ascii="Times New Roman" w:hAnsi="Times New Roman"/>
            <w:sz w:val="20"/>
            <w:szCs w:val="20"/>
          </w:rPr>
          <w:t>2</w:t>
        </w:r>
      </w:p>
    </w:sdtContent>
  </w:sdt>
  <w:p w14:paraId="074622E8" w14:textId="77777777" w:rsidR="002D7839" w:rsidRPr="003E5CFD" w:rsidRDefault="002D7839" w:rsidP="003E5C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039BD" w14:textId="77777777" w:rsidR="002D7839" w:rsidRDefault="002D7839" w:rsidP="002F68AE">
      <w:pPr>
        <w:spacing w:after="0" w:line="240" w:lineRule="auto"/>
      </w:pPr>
      <w:r>
        <w:separator/>
      </w:r>
    </w:p>
  </w:footnote>
  <w:footnote w:type="continuationSeparator" w:id="0">
    <w:p w14:paraId="1530F97C" w14:textId="77777777" w:rsidR="002D7839" w:rsidRDefault="002D7839" w:rsidP="002F68AE">
      <w:pPr>
        <w:spacing w:after="0" w:line="240" w:lineRule="auto"/>
      </w:pPr>
      <w:r>
        <w:continuationSeparator/>
      </w:r>
    </w:p>
  </w:footnote>
  <w:footnote w:id="1">
    <w:p w14:paraId="164E6A44" w14:textId="77777777" w:rsidR="002D7839" w:rsidRPr="0042148D" w:rsidRDefault="002D7839" w:rsidP="007D7761">
      <w:pPr>
        <w:pStyle w:val="Textpoznmkypodiarou"/>
        <w:spacing w:after="0" w:line="240" w:lineRule="auto"/>
        <w:jc w:val="both"/>
        <w:rPr>
          <w:sz w:val="18"/>
          <w:szCs w:val="18"/>
        </w:rPr>
      </w:pPr>
      <w:r w:rsidRPr="0042148D">
        <w:rPr>
          <w:rStyle w:val="Odkaznapoznmkupodiarou"/>
          <w:rFonts w:ascii="Times New Roman" w:hAnsi="Times New Roman"/>
          <w:sz w:val="18"/>
          <w:szCs w:val="18"/>
        </w:rPr>
        <w:footnoteRef/>
      </w:r>
      <w:r w:rsidRPr="0042148D">
        <w:rPr>
          <w:rFonts w:ascii="Times New Roman" w:hAnsi="Times New Roman"/>
          <w:sz w:val="18"/>
          <w:szCs w:val="18"/>
        </w:rPr>
        <w:t xml:space="preserve"> Napríklad zákon č. 581/2004 Z. z. o zdravotných poisťovniach, dohľade nad zdravotnou starostlivosťou a o zmene a doplnení niektorých zákonov, zákon č. 131/2002 Z. z. o vysokých školách a o zmene a doplnení niektorých zákonov.</w:t>
      </w:r>
    </w:p>
  </w:footnote>
  <w:footnote w:id="2">
    <w:p w14:paraId="24BBECE2" w14:textId="77777777" w:rsidR="002D7839" w:rsidRPr="00141B53" w:rsidRDefault="002D7839" w:rsidP="00EB1994">
      <w:pPr>
        <w:pStyle w:val="Textpoznmkypodiarou"/>
        <w:rPr>
          <w:rFonts w:ascii="Times New Roman" w:hAnsi="Times New Roman"/>
          <w:sz w:val="18"/>
          <w:szCs w:val="18"/>
        </w:rPr>
      </w:pPr>
      <w:r w:rsidRPr="00141B53">
        <w:rPr>
          <w:rStyle w:val="Odkaznapoznmkupodiarou"/>
          <w:rFonts w:ascii="Times New Roman" w:hAnsi="Times New Roman"/>
          <w:sz w:val="18"/>
          <w:szCs w:val="18"/>
        </w:rPr>
        <w:footnoteRef/>
      </w:r>
      <w:r w:rsidRPr="00141B53">
        <w:rPr>
          <w:rFonts w:ascii="Times New Roman" w:hAnsi="Times New Roman"/>
          <w:sz w:val="18"/>
          <w:szCs w:val="18"/>
        </w:rPr>
        <w:t xml:space="preserve"> </w:t>
      </w:r>
      <w:hyperlink r:id="rId1" w:history="1">
        <w:r w:rsidRPr="00141B53">
          <w:rPr>
            <w:rStyle w:val="Hypertextovprepojenie"/>
            <w:rFonts w:ascii="Times New Roman" w:hAnsi="Times New Roman"/>
            <w:color w:val="auto"/>
            <w:sz w:val="18"/>
            <w:szCs w:val="18"/>
          </w:rPr>
          <w:t>https://www.mfsr.sk/sk/financie/statne-vykaznictvo/klucove-dokumenty-uctovne-zavierky/suhrnna-vyrocna-sprava-sr/</w:t>
        </w:r>
      </w:hyperlink>
      <w:r w:rsidRPr="00141B53">
        <w:rPr>
          <w:rFonts w:ascii="Times New Roman" w:hAnsi="Times New Roman"/>
          <w:sz w:val="18"/>
          <w:szCs w:val="18"/>
        </w:rPr>
        <w:t xml:space="preserve"> </w:t>
      </w:r>
    </w:p>
  </w:footnote>
  <w:footnote w:id="3">
    <w:p w14:paraId="676ED664" w14:textId="170CF210" w:rsidR="002D7839" w:rsidRPr="00CB17DA" w:rsidRDefault="002D7839">
      <w:pPr>
        <w:pStyle w:val="Textpoznmkypodiarou"/>
        <w:rPr>
          <w:rFonts w:ascii="Times New Roman" w:hAnsi="Times New Roman"/>
        </w:rPr>
      </w:pPr>
      <w:r w:rsidRPr="00CB17DA">
        <w:rPr>
          <w:rStyle w:val="Odkaznapoznmkupodiarou"/>
          <w:rFonts w:ascii="Times New Roman" w:hAnsi="Times New Roman"/>
        </w:rPr>
        <w:footnoteRef/>
      </w:r>
      <w:r w:rsidRPr="00CB17DA">
        <w:rPr>
          <w:rFonts w:ascii="Times New Roman" w:hAnsi="Times New Roman"/>
        </w:rPr>
        <w:t xml:space="preserve"> PM účet – účet vedený centrálnou bankou, ktorého majiteľom je účastní Target2 v platobnom module</w:t>
      </w:r>
    </w:p>
  </w:footnote>
  <w:footnote w:id="4">
    <w:p w14:paraId="1C39EDFF" w14:textId="6684C0DC" w:rsidR="002D7839" w:rsidRPr="00587A98" w:rsidRDefault="002D7839" w:rsidP="00587A98">
      <w:pPr>
        <w:pStyle w:val="Textpoznmkypodiarou"/>
        <w:spacing w:line="240" w:lineRule="auto"/>
        <w:jc w:val="both"/>
        <w:rPr>
          <w:rFonts w:ascii="Times New Roman" w:hAnsi="Times New Roman"/>
          <w:sz w:val="18"/>
          <w:szCs w:val="18"/>
        </w:rPr>
      </w:pPr>
      <w:r w:rsidRPr="00587A98">
        <w:rPr>
          <w:rStyle w:val="Odkaznapoznmkupodiarou"/>
          <w:rFonts w:ascii="Times New Roman" w:hAnsi="Times New Roman"/>
          <w:sz w:val="18"/>
          <w:szCs w:val="18"/>
        </w:rPr>
        <w:footnoteRef/>
      </w:r>
      <w:r w:rsidRPr="00587A98">
        <w:rPr>
          <w:rFonts w:ascii="Times New Roman" w:hAnsi="Times New Roman"/>
          <w:sz w:val="18"/>
          <w:szCs w:val="18"/>
        </w:rPr>
        <w:t xml:space="preserve"> Vyhodnotenie stratégia riadenia štátneho dlhu, riadenie rizík štátneho dlhu je popísané v Súhrnnej výročnej správe SR za rok 202</w:t>
      </w:r>
      <w:r>
        <w:rPr>
          <w:rFonts w:ascii="Times New Roman" w:hAnsi="Times New Roman"/>
          <w:sz w:val="18"/>
          <w:szCs w:val="18"/>
        </w:rPr>
        <w:t>2</w:t>
      </w:r>
      <w:r w:rsidRPr="00587A98">
        <w:rPr>
          <w:rFonts w:ascii="Times New Roman" w:hAnsi="Times New Roman"/>
          <w:sz w:val="18"/>
          <w:szCs w:val="18"/>
        </w:rPr>
        <w:t xml:space="preserve">, v kapitole </w:t>
      </w:r>
      <w:r>
        <w:rPr>
          <w:rFonts w:ascii="Times New Roman" w:hAnsi="Times New Roman"/>
          <w:sz w:val="18"/>
          <w:szCs w:val="18"/>
        </w:rPr>
        <w:t>2.3</w:t>
      </w:r>
      <w:r w:rsidRPr="00587A98">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37AA" w14:textId="77777777" w:rsidR="002D7839" w:rsidRDefault="002D7839" w:rsidP="00624D5B">
    <w:pPr>
      <w:pStyle w:val="Hlavika"/>
      <w:ind w:firstLine="70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2A8A1" w14:textId="77777777" w:rsidR="002D7839" w:rsidRPr="001F0E4E" w:rsidRDefault="002D7839" w:rsidP="001F0E4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6C6F22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4E7507D"/>
    <w:multiLevelType w:val="hybridMultilevel"/>
    <w:tmpl w:val="47AE61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4314B"/>
    <w:multiLevelType w:val="hybridMultilevel"/>
    <w:tmpl w:val="05E6B0E2"/>
    <w:lvl w:ilvl="0" w:tplc="8A4CF6B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2517DE"/>
    <w:multiLevelType w:val="hybridMultilevel"/>
    <w:tmpl w:val="CF42B266"/>
    <w:lvl w:ilvl="0" w:tplc="8B5855E6">
      <w:start w:val="1"/>
      <w:numFmt w:val="upperLetter"/>
      <w:lvlText w:val="%1."/>
      <w:lvlJc w:val="left"/>
      <w:pPr>
        <w:ind w:left="6881" w:hanging="360"/>
      </w:pPr>
      <w:rPr>
        <w:rFonts w:cs="Times New Roman" w:hint="default"/>
        <w:color w:val="auto"/>
      </w:rPr>
    </w:lvl>
    <w:lvl w:ilvl="1" w:tplc="041B0019">
      <w:start w:val="1"/>
      <w:numFmt w:val="lowerLetter"/>
      <w:lvlText w:val="%2."/>
      <w:lvlJc w:val="left"/>
      <w:pPr>
        <w:ind w:left="7601" w:hanging="360"/>
      </w:pPr>
      <w:rPr>
        <w:rFonts w:cs="Times New Roman"/>
      </w:rPr>
    </w:lvl>
    <w:lvl w:ilvl="2" w:tplc="041B001B" w:tentative="1">
      <w:start w:val="1"/>
      <w:numFmt w:val="lowerRoman"/>
      <w:lvlText w:val="%3."/>
      <w:lvlJc w:val="right"/>
      <w:pPr>
        <w:ind w:left="8321" w:hanging="180"/>
      </w:pPr>
      <w:rPr>
        <w:rFonts w:cs="Times New Roman"/>
      </w:rPr>
    </w:lvl>
    <w:lvl w:ilvl="3" w:tplc="041B000F" w:tentative="1">
      <w:start w:val="1"/>
      <w:numFmt w:val="decimal"/>
      <w:lvlText w:val="%4."/>
      <w:lvlJc w:val="left"/>
      <w:pPr>
        <w:ind w:left="9041" w:hanging="360"/>
      </w:pPr>
      <w:rPr>
        <w:rFonts w:cs="Times New Roman"/>
      </w:rPr>
    </w:lvl>
    <w:lvl w:ilvl="4" w:tplc="041B0019" w:tentative="1">
      <w:start w:val="1"/>
      <w:numFmt w:val="lowerLetter"/>
      <w:lvlText w:val="%5."/>
      <w:lvlJc w:val="left"/>
      <w:pPr>
        <w:ind w:left="9761" w:hanging="360"/>
      </w:pPr>
      <w:rPr>
        <w:rFonts w:cs="Times New Roman"/>
      </w:rPr>
    </w:lvl>
    <w:lvl w:ilvl="5" w:tplc="041B001B" w:tentative="1">
      <w:start w:val="1"/>
      <w:numFmt w:val="lowerRoman"/>
      <w:lvlText w:val="%6."/>
      <w:lvlJc w:val="right"/>
      <w:pPr>
        <w:ind w:left="10481" w:hanging="180"/>
      </w:pPr>
      <w:rPr>
        <w:rFonts w:cs="Times New Roman"/>
      </w:rPr>
    </w:lvl>
    <w:lvl w:ilvl="6" w:tplc="041B000F" w:tentative="1">
      <w:start w:val="1"/>
      <w:numFmt w:val="decimal"/>
      <w:lvlText w:val="%7."/>
      <w:lvlJc w:val="left"/>
      <w:pPr>
        <w:ind w:left="11201" w:hanging="360"/>
      </w:pPr>
      <w:rPr>
        <w:rFonts w:cs="Times New Roman"/>
      </w:rPr>
    </w:lvl>
    <w:lvl w:ilvl="7" w:tplc="041B0019" w:tentative="1">
      <w:start w:val="1"/>
      <w:numFmt w:val="lowerLetter"/>
      <w:lvlText w:val="%8."/>
      <w:lvlJc w:val="left"/>
      <w:pPr>
        <w:ind w:left="11921" w:hanging="360"/>
      </w:pPr>
      <w:rPr>
        <w:rFonts w:cs="Times New Roman"/>
      </w:rPr>
    </w:lvl>
    <w:lvl w:ilvl="8" w:tplc="041B001B" w:tentative="1">
      <w:start w:val="1"/>
      <w:numFmt w:val="lowerRoman"/>
      <w:lvlText w:val="%9."/>
      <w:lvlJc w:val="right"/>
      <w:pPr>
        <w:ind w:left="12641" w:hanging="180"/>
      </w:pPr>
      <w:rPr>
        <w:rFonts w:cs="Times New Roman"/>
      </w:rPr>
    </w:lvl>
  </w:abstractNum>
  <w:abstractNum w:abstractNumId="4" w15:restartNumberingAfterBreak="0">
    <w:nsid w:val="174B414A"/>
    <w:multiLevelType w:val="hybridMultilevel"/>
    <w:tmpl w:val="A860E468"/>
    <w:lvl w:ilvl="0" w:tplc="5FA0D02C">
      <w:start w:val="1"/>
      <w:numFmt w:val="upperRoman"/>
      <w:lvlText w:val="%1."/>
      <w:lvlJc w:val="left"/>
      <w:pPr>
        <w:ind w:left="720" w:hanging="72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5" w15:restartNumberingAfterBreak="0">
    <w:nsid w:val="184F4749"/>
    <w:multiLevelType w:val="hybridMultilevel"/>
    <w:tmpl w:val="633EC3D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1E3C092A"/>
    <w:multiLevelType w:val="hybridMultilevel"/>
    <w:tmpl w:val="F4D06CD6"/>
    <w:lvl w:ilvl="0" w:tplc="D20CA7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920B38"/>
    <w:multiLevelType w:val="hybridMultilevel"/>
    <w:tmpl w:val="1E96BE98"/>
    <w:lvl w:ilvl="0" w:tplc="041B0005">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1475E54"/>
    <w:multiLevelType w:val="hybridMultilevel"/>
    <w:tmpl w:val="C74ADA0A"/>
    <w:lvl w:ilvl="0" w:tplc="BE62524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CD34F7"/>
    <w:multiLevelType w:val="hybridMultilevel"/>
    <w:tmpl w:val="331E8A8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276B63C5"/>
    <w:multiLevelType w:val="hybridMultilevel"/>
    <w:tmpl w:val="911A2CCC"/>
    <w:lvl w:ilvl="0" w:tplc="DC0C4EBA">
      <w:start w:val="20"/>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29782299"/>
    <w:multiLevelType w:val="hybridMultilevel"/>
    <w:tmpl w:val="E6F03E00"/>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363C92"/>
    <w:multiLevelType w:val="hybridMultilevel"/>
    <w:tmpl w:val="D76E42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480085"/>
    <w:multiLevelType w:val="hybridMultilevel"/>
    <w:tmpl w:val="8138D66A"/>
    <w:lvl w:ilvl="0" w:tplc="6E3A18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1152D1E"/>
    <w:multiLevelType w:val="hybridMultilevel"/>
    <w:tmpl w:val="9DD8D7E4"/>
    <w:lvl w:ilvl="0" w:tplc="041B0001">
      <w:start w:val="2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2D25E2F"/>
    <w:multiLevelType w:val="hybridMultilevel"/>
    <w:tmpl w:val="FF7287C4"/>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6" w15:restartNumberingAfterBreak="0">
    <w:nsid w:val="33F86263"/>
    <w:multiLevelType w:val="hybridMultilevel"/>
    <w:tmpl w:val="6E460862"/>
    <w:lvl w:ilvl="0" w:tplc="0CC68B80">
      <w:start w:val="134"/>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5F70A0"/>
    <w:multiLevelType w:val="hybridMultilevel"/>
    <w:tmpl w:val="38F44880"/>
    <w:lvl w:ilvl="0" w:tplc="981879FC">
      <w:start w:val="8"/>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83045C"/>
    <w:multiLevelType w:val="hybridMultilevel"/>
    <w:tmpl w:val="DBAE1C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AB567E1"/>
    <w:multiLevelType w:val="hybridMultilevel"/>
    <w:tmpl w:val="4370832E"/>
    <w:lvl w:ilvl="0" w:tplc="041B0017">
      <w:start w:val="1"/>
      <w:numFmt w:val="lowerLetter"/>
      <w:pStyle w:val="abc"/>
      <w:lvlText w:val="%1)"/>
      <w:lvlJc w:val="left"/>
      <w:pPr>
        <w:tabs>
          <w:tab w:val="num" w:pos="465"/>
        </w:tabs>
        <w:ind w:left="465" w:hanging="465"/>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CF0EFD"/>
    <w:multiLevelType w:val="hybridMultilevel"/>
    <w:tmpl w:val="760AC0AC"/>
    <w:lvl w:ilvl="0" w:tplc="041B0001">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124500A"/>
    <w:multiLevelType w:val="hybridMultilevel"/>
    <w:tmpl w:val="A9B623F4"/>
    <w:lvl w:ilvl="0" w:tplc="B5563F6E">
      <w:start w:val="2"/>
      <w:numFmt w:val="upperRoman"/>
      <w:lvlText w:val="%1."/>
      <w:lvlJc w:val="left"/>
      <w:pPr>
        <w:ind w:left="1287" w:hanging="72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22" w15:restartNumberingAfterBreak="0">
    <w:nsid w:val="445A69FD"/>
    <w:multiLevelType w:val="hybridMultilevel"/>
    <w:tmpl w:val="6FE07ACE"/>
    <w:lvl w:ilvl="0" w:tplc="0C9057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DF4460"/>
    <w:multiLevelType w:val="hybridMultilevel"/>
    <w:tmpl w:val="A00A420C"/>
    <w:lvl w:ilvl="0" w:tplc="041B0001">
      <w:start w:val="5"/>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F81D64"/>
    <w:multiLevelType w:val="hybridMultilevel"/>
    <w:tmpl w:val="86E0B772"/>
    <w:lvl w:ilvl="0" w:tplc="0D2E0D2A">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4F087A"/>
    <w:multiLevelType w:val="multilevel"/>
    <w:tmpl w:val="A84A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C1DFC"/>
    <w:multiLevelType w:val="hybridMultilevel"/>
    <w:tmpl w:val="8450934A"/>
    <w:lvl w:ilvl="0" w:tplc="44B8B4AA">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2D04F5"/>
    <w:multiLevelType w:val="hybridMultilevel"/>
    <w:tmpl w:val="E916A7B6"/>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E2D038F"/>
    <w:multiLevelType w:val="hybridMultilevel"/>
    <w:tmpl w:val="66AC3312"/>
    <w:lvl w:ilvl="0" w:tplc="7F7674E0">
      <w:start w:val="2"/>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E72523B"/>
    <w:multiLevelType w:val="hybridMultilevel"/>
    <w:tmpl w:val="A55AE8E6"/>
    <w:lvl w:ilvl="0" w:tplc="6D6C670E">
      <w:start w:val="1"/>
      <w:numFmt w:val="decimal"/>
      <w:lvlText w:val="%1"/>
      <w:lvlJc w:val="left"/>
      <w:pPr>
        <w:ind w:left="9433" w:hanging="360"/>
      </w:pPr>
      <w:rPr>
        <w:rFonts w:hint="default"/>
        <w:i/>
        <w:color w:val="auto"/>
        <w:sz w:val="22"/>
        <w:szCs w:val="22"/>
      </w:rPr>
    </w:lvl>
    <w:lvl w:ilvl="1" w:tplc="041B0019" w:tentative="1">
      <w:start w:val="1"/>
      <w:numFmt w:val="lowerLetter"/>
      <w:lvlText w:val="%2."/>
      <w:lvlJc w:val="left"/>
      <w:pPr>
        <w:ind w:left="-402" w:hanging="360"/>
      </w:pPr>
    </w:lvl>
    <w:lvl w:ilvl="2" w:tplc="041B001B" w:tentative="1">
      <w:start w:val="1"/>
      <w:numFmt w:val="lowerRoman"/>
      <w:lvlText w:val="%3."/>
      <w:lvlJc w:val="right"/>
      <w:pPr>
        <w:ind w:left="318" w:hanging="180"/>
      </w:pPr>
    </w:lvl>
    <w:lvl w:ilvl="3" w:tplc="041B000F" w:tentative="1">
      <w:start w:val="1"/>
      <w:numFmt w:val="decimal"/>
      <w:lvlText w:val="%4."/>
      <w:lvlJc w:val="left"/>
      <w:pPr>
        <w:ind w:left="1038" w:hanging="360"/>
      </w:pPr>
    </w:lvl>
    <w:lvl w:ilvl="4" w:tplc="041B0019" w:tentative="1">
      <w:start w:val="1"/>
      <w:numFmt w:val="lowerLetter"/>
      <w:lvlText w:val="%5."/>
      <w:lvlJc w:val="left"/>
      <w:pPr>
        <w:ind w:left="1758" w:hanging="360"/>
      </w:pPr>
    </w:lvl>
    <w:lvl w:ilvl="5" w:tplc="041B001B" w:tentative="1">
      <w:start w:val="1"/>
      <w:numFmt w:val="lowerRoman"/>
      <w:lvlText w:val="%6."/>
      <w:lvlJc w:val="right"/>
      <w:pPr>
        <w:ind w:left="2478" w:hanging="180"/>
      </w:pPr>
    </w:lvl>
    <w:lvl w:ilvl="6" w:tplc="041B000F" w:tentative="1">
      <w:start w:val="1"/>
      <w:numFmt w:val="decimal"/>
      <w:lvlText w:val="%7."/>
      <w:lvlJc w:val="left"/>
      <w:pPr>
        <w:ind w:left="3198" w:hanging="360"/>
      </w:pPr>
    </w:lvl>
    <w:lvl w:ilvl="7" w:tplc="041B0019" w:tentative="1">
      <w:start w:val="1"/>
      <w:numFmt w:val="lowerLetter"/>
      <w:lvlText w:val="%8."/>
      <w:lvlJc w:val="left"/>
      <w:pPr>
        <w:ind w:left="3918" w:hanging="360"/>
      </w:pPr>
    </w:lvl>
    <w:lvl w:ilvl="8" w:tplc="041B001B" w:tentative="1">
      <w:start w:val="1"/>
      <w:numFmt w:val="lowerRoman"/>
      <w:lvlText w:val="%9."/>
      <w:lvlJc w:val="right"/>
      <w:pPr>
        <w:ind w:left="4638" w:hanging="180"/>
      </w:pPr>
    </w:lvl>
  </w:abstractNum>
  <w:abstractNum w:abstractNumId="30" w15:restartNumberingAfterBreak="0">
    <w:nsid w:val="704F46D4"/>
    <w:multiLevelType w:val="hybridMultilevel"/>
    <w:tmpl w:val="15E8B9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1B15C85"/>
    <w:multiLevelType w:val="hybridMultilevel"/>
    <w:tmpl w:val="678027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41D5430"/>
    <w:multiLevelType w:val="hybridMultilevel"/>
    <w:tmpl w:val="C6A898A2"/>
    <w:lvl w:ilvl="0" w:tplc="041B0001">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63E762A"/>
    <w:multiLevelType w:val="hybridMultilevel"/>
    <w:tmpl w:val="49580B9E"/>
    <w:lvl w:ilvl="0" w:tplc="456EF486">
      <w:start w:val="1"/>
      <w:numFmt w:val="upperRoman"/>
      <w:lvlText w:val="%1."/>
      <w:lvlJc w:val="left"/>
      <w:pPr>
        <w:ind w:left="9792"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8257C33"/>
    <w:multiLevelType w:val="hybridMultilevel"/>
    <w:tmpl w:val="03182FE6"/>
    <w:lvl w:ilvl="0" w:tplc="DA629602">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8C606A6"/>
    <w:multiLevelType w:val="hybridMultilevel"/>
    <w:tmpl w:val="9FD2DC7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544B48"/>
    <w:multiLevelType w:val="hybridMultilevel"/>
    <w:tmpl w:val="BB6805EE"/>
    <w:lvl w:ilvl="0" w:tplc="2ED296A6">
      <w:start w:val="7"/>
      <w:numFmt w:val="bullet"/>
      <w:pStyle w:val="AUODRAKA"/>
      <w:lvlText w:val=""/>
      <w:lvlJc w:val="left"/>
      <w:pPr>
        <w:tabs>
          <w:tab w:val="num" w:pos="284"/>
        </w:tabs>
        <w:ind w:left="284" w:hanging="284"/>
      </w:pPr>
      <w:rPr>
        <w:rFonts w:ascii="Symbol" w:hAnsi="Symbol" w:hint="default"/>
        <w:b/>
        <w:i w:val="0"/>
        <w:color w:val="auto"/>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3"/>
  </w:num>
  <w:num w:numId="17">
    <w:abstractNumId w:val="19"/>
  </w:num>
  <w:num w:numId="18">
    <w:abstractNumId w:val="34"/>
  </w:num>
  <w:num w:numId="19">
    <w:abstractNumId w:val="7"/>
  </w:num>
  <w:num w:numId="20">
    <w:abstractNumId w:val="36"/>
  </w:num>
  <w:num w:numId="21">
    <w:abstractNumId w:val="3"/>
  </w:num>
  <w:num w:numId="22">
    <w:abstractNumId w:val="21"/>
  </w:num>
  <w:num w:numId="23">
    <w:abstractNumId w:val="28"/>
  </w:num>
  <w:num w:numId="24">
    <w:abstractNumId w:val="33"/>
  </w:num>
  <w:num w:numId="25">
    <w:abstractNumId w:val="4"/>
  </w:num>
  <w:num w:numId="26">
    <w:abstractNumId w:val="35"/>
  </w:num>
  <w:num w:numId="27">
    <w:abstractNumId w:val="5"/>
  </w:num>
  <w:num w:numId="28">
    <w:abstractNumId w:val="18"/>
  </w:num>
  <w:num w:numId="29">
    <w:abstractNumId w:val="1"/>
  </w:num>
  <w:num w:numId="30">
    <w:abstractNumId w:val="9"/>
  </w:num>
  <w:num w:numId="31">
    <w:abstractNumId w:val="17"/>
  </w:num>
  <w:num w:numId="32">
    <w:abstractNumId w:val="2"/>
  </w:num>
  <w:num w:numId="33">
    <w:abstractNumId w:val="12"/>
  </w:num>
  <w:num w:numId="34">
    <w:abstractNumId w:val="15"/>
  </w:num>
  <w:num w:numId="35">
    <w:abstractNumId w:val="31"/>
  </w:num>
  <w:num w:numId="36">
    <w:abstractNumId w:val="14"/>
  </w:num>
  <w:num w:numId="37">
    <w:abstractNumId w:val="10"/>
  </w:num>
  <w:num w:numId="38">
    <w:abstractNumId w:val="27"/>
  </w:num>
  <w:num w:numId="39">
    <w:abstractNumId w:val="11"/>
  </w:num>
  <w:num w:numId="40">
    <w:abstractNumId w:val="20"/>
  </w:num>
  <w:num w:numId="41">
    <w:abstractNumId w:val="32"/>
  </w:num>
  <w:num w:numId="42">
    <w:abstractNumId w:val="23"/>
  </w:num>
  <w:num w:numId="43">
    <w:abstractNumId w:val="6"/>
  </w:num>
  <w:num w:numId="44">
    <w:abstractNumId w:val="29"/>
  </w:num>
  <w:num w:numId="45">
    <w:abstractNumId w:val="25"/>
  </w:num>
  <w:num w:numId="46">
    <w:abstractNumId w:val="24"/>
  </w:num>
  <w:num w:numId="47">
    <w:abstractNumId w:val="30"/>
  </w:num>
  <w:num w:numId="48">
    <w:abstractNumId w:val="8"/>
  </w:num>
  <w:num w:numId="49">
    <w:abstractNumId w:val="26"/>
  </w:num>
  <w:num w:numId="50">
    <w:abstractNumId w:val="16"/>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mirrorMargin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DA"/>
    <w:rsid w:val="0000018B"/>
    <w:rsid w:val="000001ED"/>
    <w:rsid w:val="000004AA"/>
    <w:rsid w:val="00000507"/>
    <w:rsid w:val="00000629"/>
    <w:rsid w:val="000006B2"/>
    <w:rsid w:val="0000077B"/>
    <w:rsid w:val="0000077D"/>
    <w:rsid w:val="00000799"/>
    <w:rsid w:val="000007BE"/>
    <w:rsid w:val="00000899"/>
    <w:rsid w:val="000008B5"/>
    <w:rsid w:val="00000982"/>
    <w:rsid w:val="00000BA3"/>
    <w:rsid w:val="00000D6E"/>
    <w:rsid w:val="00000DA2"/>
    <w:rsid w:val="00000E41"/>
    <w:rsid w:val="000011A1"/>
    <w:rsid w:val="0000127A"/>
    <w:rsid w:val="00001513"/>
    <w:rsid w:val="00001A0E"/>
    <w:rsid w:val="00001AB4"/>
    <w:rsid w:val="00001BFD"/>
    <w:rsid w:val="00001DAA"/>
    <w:rsid w:val="00001F0D"/>
    <w:rsid w:val="00002815"/>
    <w:rsid w:val="0000287E"/>
    <w:rsid w:val="00002892"/>
    <w:rsid w:val="000028FB"/>
    <w:rsid w:val="00002C8B"/>
    <w:rsid w:val="00002E01"/>
    <w:rsid w:val="00002E2F"/>
    <w:rsid w:val="00003046"/>
    <w:rsid w:val="0000323C"/>
    <w:rsid w:val="000032F5"/>
    <w:rsid w:val="00003312"/>
    <w:rsid w:val="000033E2"/>
    <w:rsid w:val="00003724"/>
    <w:rsid w:val="00003B72"/>
    <w:rsid w:val="00003C4A"/>
    <w:rsid w:val="00004041"/>
    <w:rsid w:val="00004199"/>
    <w:rsid w:val="000041A8"/>
    <w:rsid w:val="0000482B"/>
    <w:rsid w:val="00004BC0"/>
    <w:rsid w:val="00004C5D"/>
    <w:rsid w:val="00004DE4"/>
    <w:rsid w:val="00004F00"/>
    <w:rsid w:val="0000573E"/>
    <w:rsid w:val="000058DB"/>
    <w:rsid w:val="0000605E"/>
    <w:rsid w:val="000062B4"/>
    <w:rsid w:val="000062BC"/>
    <w:rsid w:val="000062D1"/>
    <w:rsid w:val="0000630B"/>
    <w:rsid w:val="00006996"/>
    <w:rsid w:val="00007055"/>
    <w:rsid w:val="0000725D"/>
    <w:rsid w:val="0000726E"/>
    <w:rsid w:val="00007361"/>
    <w:rsid w:val="00007528"/>
    <w:rsid w:val="000077B1"/>
    <w:rsid w:val="00007A1C"/>
    <w:rsid w:val="00007A51"/>
    <w:rsid w:val="00007A84"/>
    <w:rsid w:val="00007ED3"/>
    <w:rsid w:val="000100D0"/>
    <w:rsid w:val="000104FC"/>
    <w:rsid w:val="0001051B"/>
    <w:rsid w:val="0001080F"/>
    <w:rsid w:val="00010B53"/>
    <w:rsid w:val="00010C9C"/>
    <w:rsid w:val="00010CE4"/>
    <w:rsid w:val="0001105A"/>
    <w:rsid w:val="0001115A"/>
    <w:rsid w:val="00011289"/>
    <w:rsid w:val="00011481"/>
    <w:rsid w:val="000119DA"/>
    <w:rsid w:val="00011A71"/>
    <w:rsid w:val="00011F8E"/>
    <w:rsid w:val="0001203B"/>
    <w:rsid w:val="000120FB"/>
    <w:rsid w:val="000125B3"/>
    <w:rsid w:val="00012A3B"/>
    <w:rsid w:val="00012AFE"/>
    <w:rsid w:val="00012C01"/>
    <w:rsid w:val="00012E46"/>
    <w:rsid w:val="00012E66"/>
    <w:rsid w:val="00013574"/>
    <w:rsid w:val="000135A2"/>
    <w:rsid w:val="000138C9"/>
    <w:rsid w:val="00013BA9"/>
    <w:rsid w:val="00013E04"/>
    <w:rsid w:val="00013E2B"/>
    <w:rsid w:val="00014170"/>
    <w:rsid w:val="00014265"/>
    <w:rsid w:val="000143AC"/>
    <w:rsid w:val="000145D0"/>
    <w:rsid w:val="00014835"/>
    <w:rsid w:val="00014870"/>
    <w:rsid w:val="000149F9"/>
    <w:rsid w:val="00014B3A"/>
    <w:rsid w:val="00014D22"/>
    <w:rsid w:val="00014E30"/>
    <w:rsid w:val="00014E69"/>
    <w:rsid w:val="00014E6C"/>
    <w:rsid w:val="000151D7"/>
    <w:rsid w:val="000152FB"/>
    <w:rsid w:val="00015517"/>
    <w:rsid w:val="000155DE"/>
    <w:rsid w:val="0001585A"/>
    <w:rsid w:val="000158D3"/>
    <w:rsid w:val="00015FA8"/>
    <w:rsid w:val="000160DE"/>
    <w:rsid w:val="00016167"/>
    <w:rsid w:val="00016694"/>
    <w:rsid w:val="000167DC"/>
    <w:rsid w:val="000169CC"/>
    <w:rsid w:val="00016D91"/>
    <w:rsid w:val="00016E98"/>
    <w:rsid w:val="00016F54"/>
    <w:rsid w:val="00017432"/>
    <w:rsid w:val="0001745C"/>
    <w:rsid w:val="000178F6"/>
    <w:rsid w:val="00020088"/>
    <w:rsid w:val="00020169"/>
    <w:rsid w:val="00020184"/>
    <w:rsid w:val="00020317"/>
    <w:rsid w:val="000206B5"/>
    <w:rsid w:val="000207AF"/>
    <w:rsid w:val="0002099E"/>
    <w:rsid w:val="00020B03"/>
    <w:rsid w:val="00020DF8"/>
    <w:rsid w:val="00020E09"/>
    <w:rsid w:val="00020EC7"/>
    <w:rsid w:val="00021270"/>
    <w:rsid w:val="0002129A"/>
    <w:rsid w:val="000214FF"/>
    <w:rsid w:val="000215E1"/>
    <w:rsid w:val="00021758"/>
    <w:rsid w:val="000217CE"/>
    <w:rsid w:val="000217D5"/>
    <w:rsid w:val="00021899"/>
    <w:rsid w:val="0002195E"/>
    <w:rsid w:val="000219EA"/>
    <w:rsid w:val="00021B02"/>
    <w:rsid w:val="00021B71"/>
    <w:rsid w:val="00021EF3"/>
    <w:rsid w:val="00021F86"/>
    <w:rsid w:val="000220B4"/>
    <w:rsid w:val="000222DF"/>
    <w:rsid w:val="000222E3"/>
    <w:rsid w:val="00022327"/>
    <w:rsid w:val="00022384"/>
    <w:rsid w:val="000223C4"/>
    <w:rsid w:val="00022508"/>
    <w:rsid w:val="00022791"/>
    <w:rsid w:val="00022819"/>
    <w:rsid w:val="00022B65"/>
    <w:rsid w:val="000230A0"/>
    <w:rsid w:val="00023284"/>
    <w:rsid w:val="000237AD"/>
    <w:rsid w:val="000238A0"/>
    <w:rsid w:val="00023B1A"/>
    <w:rsid w:val="00023CB7"/>
    <w:rsid w:val="00023F7A"/>
    <w:rsid w:val="00024137"/>
    <w:rsid w:val="0002414A"/>
    <w:rsid w:val="000243A0"/>
    <w:rsid w:val="00024709"/>
    <w:rsid w:val="00024838"/>
    <w:rsid w:val="00024B98"/>
    <w:rsid w:val="000250FA"/>
    <w:rsid w:val="0002518A"/>
    <w:rsid w:val="000251E7"/>
    <w:rsid w:val="0002527A"/>
    <w:rsid w:val="0002553C"/>
    <w:rsid w:val="000255A1"/>
    <w:rsid w:val="000255FB"/>
    <w:rsid w:val="00025C2A"/>
    <w:rsid w:val="0002612E"/>
    <w:rsid w:val="00026373"/>
    <w:rsid w:val="00026454"/>
    <w:rsid w:val="00026457"/>
    <w:rsid w:val="0002645C"/>
    <w:rsid w:val="00026508"/>
    <w:rsid w:val="00026DBD"/>
    <w:rsid w:val="00027159"/>
    <w:rsid w:val="000271DD"/>
    <w:rsid w:val="000273B7"/>
    <w:rsid w:val="000274FD"/>
    <w:rsid w:val="000278F5"/>
    <w:rsid w:val="00027952"/>
    <w:rsid w:val="00027B2E"/>
    <w:rsid w:val="00027B55"/>
    <w:rsid w:val="00027B8B"/>
    <w:rsid w:val="00027BB4"/>
    <w:rsid w:val="00027F06"/>
    <w:rsid w:val="00030502"/>
    <w:rsid w:val="000305D6"/>
    <w:rsid w:val="00030764"/>
    <w:rsid w:val="000308C4"/>
    <w:rsid w:val="000309B6"/>
    <w:rsid w:val="00030A6B"/>
    <w:rsid w:val="00030B3C"/>
    <w:rsid w:val="00030DAE"/>
    <w:rsid w:val="00030E49"/>
    <w:rsid w:val="00031009"/>
    <w:rsid w:val="00031074"/>
    <w:rsid w:val="000310DF"/>
    <w:rsid w:val="00031151"/>
    <w:rsid w:val="000313A1"/>
    <w:rsid w:val="00031554"/>
    <w:rsid w:val="0003169D"/>
    <w:rsid w:val="000316FE"/>
    <w:rsid w:val="0003174B"/>
    <w:rsid w:val="00031C86"/>
    <w:rsid w:val="00031C9D"/>
    <w:rsid w:val="0003200D"/>
    <w:rsid w:val="0003261E"/>
    <w:rsid w:val="00032923"/>
    <w:rsid w:val="00032A8C"/>
    <w:rsid w:val="00032CE9"/>
    <w:rsid w:val="00032D43"/>
    <w:rsid w:val="00032F6E"/>
    <w:rsid w:val="00033058"/>
    <w:rsid w:val="00033238"/>
    <w:rsid w:val="00033707"/>
    <w:rsid w:val="0003381C"/>
    <w:rsid w:val="00033882"/>
    <w:rsid w:val="000338B7"/>
    <w:rsid w:val="00033921"/>
    <w:rsid w:val="00033F1E"/>
    <w:rsid w:val="00033FD6"/>
    <w:rsid w:val="000342B2"/>
    <w:rsid w:val="00034616"/>
    <w:rsid w:val="00034C87"/>
    <w:rsid w:val="00034DAB"/>
    <w:rsid w:val="00034DF5"/>
    <w:rsid w:val="00035107"/>
    <w:rsid w:val="0003517F"/>
    <w:rsid w:val="000351E8"/>
    <w:rsid w:val="0003530A"/>
    <w:rsid w:val="000353F1"/>
    <w:rsid w:val="0003555F"/>
    <w:rsid w:val="000357BE"/>
    <w:rsid w:val="00035B14"/>
    <w:rsid w:val="00035F7D"/>
    <w:rsid w:val="00036308"/>
    <w:rsid w:val="0003658A"/>
    <w:rsid w:val="00036683"/>
    <w:rsid w:val="0003689A"/>
    <w:rsid w:val="00036E7E"/>
    <w:rsid w:val="00036EAE"/>
    <w:rsid w:val="00036F71"/>
    <w:rsid w:val="00037126"/>
    <w:rsid w:val="00037213"/>
    <w:rsid w:val="000373C9"/>
    <w:rsid w:val="000376A0"/>
    <w:rsid w:val="00037D5E"/>
    <w:rsid w:val="000400BF"/>
    <w:rsid w:val="000402E8"/>
    <w:rsid w:val="000403E7"/>
    <w:rsid w:val="000404B4"/>
    <w:rsid w:val="000408BA"/>
    <w:rsid w:val="00040A84"/>
    <w:rsid w:val="00040B96"/>
    <w:rsid w:val="00040D11"/>
    <w:rsid w:val="0004191B"/>
    <w:rsid w:val="000419F6"/>
    <w:rsid w:val="00041A68"/>
    <w:rsid w:val="00041B17"/>
    <w:rsid w:val="00041DA9"/>
    <w:rsid w:val="000420B4"/>
    <w:rsid w:val="00042696"/>
    <w:rsid w:val="000426BB"/>
    <w:rsid w:val="000426CA"/>
    <w:rsid w:val="0004285A"/>
    <w:rsid w:val="000428A1"/>
    <w:rsid w:val="000428ED"/>
    <w:rsid w:val="00042965"/>
    <w:rsid w:val="0004297B"/>
    <w:rsid w:val="00042D2C"/>
    <w:rsid w:val="00042F9B"/>
    <w:rsid w:val="0004314E"/>
    <w:rsid w:val="00043743"/>
    <w:rsid w:val="0004408E"/>
    <w:rsid w:val="000442BE"/>
    <w:rsid w:val="00044459"/>
    <w:rsid w:val="000444D8"/>
    <w:rsid w:val="00044568"/>
    <w:rsid w:val="000447F5"/>
    <w:rsid w:val="00044909"/>
    <w:rsid w:val="00044E3D"/>
    <w:rsid w:val="000452D4"/>
    <w:rsid w:val="00045386"/>
    <w:rsid w:val="0004577D"/>
    <w:rsid w:val="000459C6"/>
    <w:rsid w:val="00045D1A"/>
    <w:rsid w:val="00046274"/>
    <w:rsid w:val="00046643"/>
    <w:rsid w:val="000466EA"/>
    <w:rsid w:val="00046BF7"/>
    <w:rsid w:val="00046F47"/>
    <w:rsid w:val="00047899"/>
    <w:rsid w:val="000478FF"/>
    <w:rsid w:val="00047906"/>
    <w:rsid w:val="00047A68"/>
    <w:rsid w:val="00047D0F"/>
    <w:rsid w:val="00047E30"/>
    <w:rsid w:val="000500D4"/>
    <w:rsid w:val="0005029D"/>
    <w:rsid w:val="000502DF"/>
    <w:rsid w:val="00050613"/>
    <w:rsid w:val="000507D1"/>
    <w:rsid w:val="0005080A"/>
    <w:rsid w:val="000508BA"/>
    <w:rsid w:val="00050AE2"/>
    <w:rsid w:val="00050DF2"/>
    <w:rsid w:val="00051467"/>
    <w:rsid w:val="00051522"/>
    <w:rsid w:val="000515FD"/>
    <w:rsid w:val="00051644"/>
    <w:rsid w:val="00051D21"/>
    <w:rsid w:val="00051E00"/>
    <w:rsid w:val="00051F3C"/>
    <w:rsid w:val="000521A4"/>
    <w:rsid w:val="000521C2"/>
    <w:rsid w:val="000523EB"/>
    <w:rsid w:val="000525C7"/>
    <w:rsid w:val="000529F6"/>
    <w:rsid w:val="00052D42"/>
    <w:rsid w:val="0005306C"/>
    <w:rsid w:val="00053396"/>
    <w:rsid w:val="000534F2"/>
    <w:rsid w:val="00053644"/>
    <w:rsid w:val="00053B47"/>
    <w:rsid w:val="00053B92"/>
    <w:rsid w:val="00053D56"/>
    <w:rsid w:val="00053E06"/>
    <w:rsid w:val="00054042"/>
    <w:rsid w:val="00054049"/>
    <w:rsid w:val="00054535"/>
    <w:rsid w:val="00054608"/>
    <w:rsid w:val="000547D8"/>
    <w:rsid w:val="000549E5"/>
    <w:rsid w:val="00054C8F"/>
    <w:rsid w:val="00054FDD"/>
    <w:rsid w:val="00055044"/>
    <w:rsid w:val="000553C7"/>
    <w:rsid w:val="00055460"/>
    <w:rsid w:val="000554E6"/>
    <w:rsid w:val="00055AA2"/>
    <w:rsid w:val="00055E64"/>
    <w:rsid w:val="00055E88"/>
    <w:rsid w:val="000560D8"/>
    <w:rsid w:val="000560DD"/>
    <w:rsid w:val="00056287"/>
    <w:rsid w:val="00056463"/>
    <w:rsid w:val="000565AA"/>
    <w:rsid w:val="000567A8"/>
    <w:rsid w:val="0005683E"/>
    <w:rsid w:val="00056856"/>
    <w:rsid w:val="00056A42"/>
    <w:rsid w:val="00056AEF"/>
    <w:rsid w:val="000571BA"/>
    <w:rsid w:val="000573D5"/>
    <w:rsid w:val="00057472"/>
    <w:rsid w:val="00057742"/>
    <w:rsid w:val="0005787D"/>
    <w:rsid w:val="000578F0"/>
    <w:rsid w:val="000578F6"/>
    <w:rsid w:val="00057935"/>
    <w:rsid w:val="00057B15"/>
    <w:rsid w:val="00057C39"/>
    <w:rsid w:val="00057C58"/>
    <w:rsid w:val="00060084"/>
    <w:rsid w:val="000601BC"/>
    <w:rsid w:val="0006029A"/>
    <w:rsid w:val="00060690"/>
    <w:rsid w:val="00060795"/>
    <w:rsid w:val="00060836"/>
    <w:rsid w:val="00060CBE"/>
    <w:rsid w:val="00060DC1"/>
    <w:rsid w:val="00060F65"/>
    <w:rsid w:val="00061026"/>
    <w:rsid w:val="000612BB"/>
    <w:rsid w:val="000617EA"/>
    <w:rsid w:val="000618F6"/>
    <w:rsid w:val="00061B0A"/>
    <w:rsid w:val="00061E60"/>
    <w:rsid w:val="000621C5"/>
    <w:rsid w:val="00062270"/>
    <w:rsid w:val="00062756"/>
    <w:rsid w:val="00062A2C"/>
    <w:rsid w:val="00062D3D"/>
    <w:rsid w:val="00062DB3"/>
    <w:rsid w:val="00063470"/>
    <w:rsid w:val="000634B7"/>
    <w:rsid w:val="000634F7"/>
    <w:rsid w:val="00063664"/>
    <w:rsid w:val="000636C6"/>
    <w:rsid w:val="00063A7F"/>
    <w:rsid w:val="00064303"/>
    <w:rsid w:val="000643B4"/>
    <w:rsid w:val="00064925"/>
    <w:rsid w:val="00064A19"/>
    <w:rsid w:val="00064C93"/>
    <w:rsid w:val="00064D04"/>
    <w:rsid w:val="00064D15"/>
    <w:rsid w:val="00064D70"/>
    <w:rsid w:val="00064D72"/>
    <w:rsid w:val="00064FD5"/>
    <w:rsid w:val="00065142"/>
    <w:rsid w:val="000651AC"/>
    <w:rsid w:val="00065383"/>
    <w:rsid w:val="00065744"/>
    <w:rsid w:val="000658CD"/>
    <w:rsid w:val="00065B91"/>
    <w:rsid w:val="00065C21"/>
    <w:rsid w:val="00065C5A"/>
    <w:rsid w:val="00065F42"/>
    <w:rsid w:val="00066326"/>
    <w:rsid w:val="00066675"/>
    <w:rsid w:val="00066891"/>
    <w:rsid w:val="00066895"/>
    <w:rsid w:val="00066AA4"/>
    <w:rsid w:val="00066BB4"/>
    <w:rsid w:val="00066C44"/>
    <w:rsid w:val="0006709C"/>
    <w:rsid w:val="00067327"/>
    <w:rsid w:val="0006783C"/>
    <w:rsid w:val="00067B43"/>
    <w:rsid w:val="00067C27"/>
    <w:rsid w:val="0007029A"/>
    <w:rsid w:val="0007042F"/>
    <w:rsid w:val="00070AE7"/>
    <w:rsid w:val="0007105C"/>
    <w:rsid w:val="00071082"/>
    <w:rsid w:val="00071BD2"/>
    <w:rsid w:val="000722CB"/>
    <w:rsid w:val="00072720"/>
    <w:rsid w:val="0007272B"/>
    <w:rsid w:val="00072B8E"/>
    <w:rsid w:val="00072C23"/>
    <w:rsid w:val="00072DF5"/>
    <w:rsid w:val="00072E1F"/>
    <w:rsid w:val="00072EC0"/>
    <w:rsid w:val="0007343D"/>
    <w:rsid w:val="0007354A"/>
    <w:rsid w:val="000735B7"/>
    <w:rsid w:val="00073612"/>
    <w:rsid w:val="000738CA"/>
    <w:rsid w:val="00073974"/>
    <w:rsid w:val="00073D71"/>
    <w:rsid w:val="00073DC9"/>
    <w:rsid w:val="00073F00"/>
    <w:rsid w:val="00073F07"/>
    <w:rsid w:val="000743D5"/>
    <w:rsid w:val="0007447A"/>
    <w:rsid w:val="000749E6"/>
    <w:rsid w:val="00074CA8"/>
    <w:rsid w:val="00074DD4"/>
    <w:rsid w:val="00075074"/>
    <w:rsid w:val="00075109"/>
    <w:rsid w:val="000751EF"/>
    <w:rsid w:val="000755A4"/>
    <w:rsid w:val="000758CE"/>
    <w:rsid w:val="00075BF6"/>
    <w:rsid w:val="00075D03"/>
    <w:rsid w:val="000762FC"/>
    <w:rsid w:val="0007640E"/>
    <w:rsid w:val="00076651"/>
    <w:rsid w:val="00077013"/>
    <w:rsid w:val="0007713B"/>
    <w:rsid w:val="000772F5"/>
    <w:rsid w:val="0007730A"/>
    <w:rsid w:val="00080004"/>
    <w:rsid w:val="000803D4"/>
    <w:rsid w:val="00080430"/>
    <w:rsid w:val="00080442"/>
    <w:rsid w:val="00080A2C"/>
    <w:rsid w:val="00080C0B"/>
    <w:rsid w:val="000814FA"/>
    <w:rsid w:val="0008195B"/>
    <w:rsid w:val="000819ED"/>
    <w:rsid w:val="00081DA7"/>
    <w:rsid w:val="00082293"/>
    <w:rsid w:val="00082303"/>
    <w:rsid w:val="0008239A"/>
    <w:rsid w:val="000824D2"/>
    <w:rsid w:val="0008269B"/>
    <w:rsid w:val="00082DB5"/>
    <w:rsid w:val="00082EF0"/>
    <w:rsid w:val="00083154"/>
    <w:rsid w:val="00083569"/>
    <w:rsid w:val="00083C00"/>
    <w:rsid w:val="00083C82"/>
    <w:rsid w:val="00083F9E"/>
    <w:rsid w:val="00084034"/>
    <w:rsid w:val="00084039"/>
    <w:rsid w:val="000840F5"/>
    <w:rsid w:val="00084254"/>
    <w:rsid w:val="00084311"/>
    <w:rsid w:val="00084615"/>
    <w:rsid w:val="000846E7"/>
    <w:rsid w:val="000849E0"/>
    <w:rsid w:val="00084BA6"/>
    <w:rsid w:val="00084C3F"/>
    <w:rsid w:val="00084D3A"/>
    <w:rsid w:val="00084E2F"/>
    <w:rsid w:val="00085206"/>
    <w:rsid w:val="00085858"/>
    <w:rsid w:val="00085878"/>
    <w:rsid w:val="00085B7C"/>
    <w:rsid w:val="00086373"/>
    <w:rsid w:val="000865EB"/>
    <w:rsid w:val="0008696A"/>
    <w:rsid w:val="000869C9"/>
    <w:rsid w:val="00086A45"/>
    <w:rsid w:val="00086A8B"/>
    <w:rsid w:val="00086BFB"/>
    <w:rsid w:val="000871A2"/>
    <w:rsid w:val="000876B3"/>
    <w:rsid w:val="00087A1B"/>
    <w:rsid w:val="00087ACC"/>
    <w:rsid w:val="00087D9C"/>
    <w:rsid w:val="00087E51"/>
    <w:rsid w:val="00087FC6"/>
    <w:rsid w:val="000901F9"/>
    <w:rsid w:val="0009022F"/>
    <w:rsid w:val="0009029A"/>
    <w:rsid w:val="00090477"/>
    <w:rsid w:val="000904EC"/>
    <w:rsid w:val="000906D6"/>
    <w:rsid w:val="00090877"/>
    <w:rsid w:val="000908BF"/>
    <w:rsid w:val="00090959"/>
    <w:rsid w:val="00090FE3"/>
    <w:rsid w:val="00090FF8"/>
    <w:rsid w:val="00091306"/>
    <w:rsid w:val="000914C4"/>
    <w:rsid w:val="00091505"/>
    <w:rsid w:val="00091530"/>
    <w:rsid w:val="00091CA1"/>
    <w:rsid w:val="00091FFE"/>
    <w:rsid w:val="0009200A"/>
    <w:rsid w:val="0009244B"/>
    <w:rsid w:val="00092517"/>
    <w:rsid w:val="00092843"/>
    <w:rsid w:val="0009285B"/>
    <w:rsid w:val="000929F2"/>
    <w:rsid w:val="0009314D"/>
    <w:rsid w:val="0009317E"/>
    <w:rsid w:val="0009343D"/>
    <w:rsid w:val="000936C5"/>
    <w:rsid w:val="0009378A"/>
    <w:rsid w:val="00093F10"/>
    <w:rsid w:val="00094224"/>
    <w:rsid w:val="00094696"/>
    <w:rsid w:val="000948CF"/>
    <w:rsid w:val="00094ACB"/>
    <w:rsid w:val="00094C56"/>
    <w:rsid w:val="00094CC1"/>
    <w:rsid w:val="000951FA"/>
    <w:rsid w:val="0009537C"/>
    <w:rsid w:val="00095438"/>
    <w:rsid w:val="0009551A"/>
    <w:rsid w:val="0009594D"/>
    <w:rsid w:val="00095A23"/>
    <w:rsid w:val="00095D8F"/>
    <w:rsid w:val="00095DB8"/>
    <w:rsid w:val="0009615B"/>
    <w:rsid w:val="000961C7"/>
    <w:rsid w:val="00096530"/>
    <w:rsid w:val="000965D0"/>
    <w:rsid w:val="00096755"/>
    <w:rsid w:val="000967C3"/>
    <w:rsid w:val="000967F2"/>
    <w:rsid w:val="00096CB6"/>
    <w:rsid w:val="00096D1C"/>
    <w:rsid w:val="000971FA"/>
    <w:rsid w:val="000974B4"/>
    <w:rsid w:val="0009753B"/>
    <w:rsid w:val="000977DE"/>
    <w:rsid w:val="0009786A"/>
    <w:rsid w:val="000979B6"/>
    <w:rsid w:val="00097A1A"/>
    <w:rsid w:val="00097CC8"/>
    <w:rsid w:val="000A035E"/>
    <w:rsid w:val="000A0476"/>
    <w:rsid w:val="000A0C81"/>
    <w:rsid w:val="000A0D54"/>
    <w:rsid w:val="000A0F20"/>
    <w:rsid w:val="000A0FD1"/>
    <w:rsid w:val="000A149C"/>
    <w:rsid w:val="000A1660"/>
    <w:rsid w:val="000A167C"/>
    <w:rsid w:val="000A1A32"/>
    <w:rsid w:val="000A1AC5"/>
    <w:rsid w:val="000A1B29"/>
    <w:rsid w:val="000A1BBF"/>
    <w:rsid w:val="000A1CEF"/>
    <w:rsid w:val="000A1E9A"/>
    <w:rsid w:val="000A1E9C"/>
    <w:rsid w:val="000A20E2"/>
    <w:rsid w:val="000A2142"/>
    <w:rsid w:val="000A2169"/>
    <w:rsid w:val="000A2595"/>
    <w:rsid w:val="000A26AF"/>
    <w:rsid w:val="000A29C9"/>
    <w:rsid w:val="000A2B4A"/>
    <w:rsid w:val="000A2B4F"/>
    <w:rsid w:val="000A2BEC"/>
    <w:rsid w:val="000A2C0C"/>
    <w:rsid w:val="000A2D20"/>
    <w:rsid w:val="000A2DE8"/>
    <w:rsid w:val="000A2E5C"/>
    <w:rsid w:val="000A2ED5"/>
    <w:rsid w:val="000A2F10"/>
    <w:rsid w:val="000A2FEB"/>
    <w:rsid w:val="000A30E0"/>
    <w:rsid w:val="000A34E2"/>
    <w:rsid w:val="000A355E"/>
    <w:rsid w:val="000A3F85"/>
    <w:rsid w:val="000A41AC"/>
    <w:rsid w:val="000A41D3"/>
    <w:rsid w:val="000A4294"/>
    <w:rsid w:val="000A434B"/>
    <w:rsid w:val="000A4685"/>
    <w:rsid w:val="000A469C"/>
    <w:rsid w:val="000A46B4"/>
    <w:rsid w:val="000A4871"/>
    <w:rsid w:val="000A48B8"/>
    <w:rsid w:val="000A504E"/>
    <w:rsid w:val="000A510E"/>
    <w:rsid w:val="000A51C5"/>
    <w:rsid w:val="000A531D"/>
    <w:rsid w:val="000A54F4"/>
    <w:rsid w:val="000A5858"/>
    <w:rsid w:val="000A5CDF"/>
    <w:rsid w:val="000A5DFE"/>
    <w:rsid w:val="000A5FA6"/>
    <w:rsid w:val="000A6154"/>
    <w:rsid w:val="000A6249"/>
    <w:rsid w:val="000A6254"/>
    <w:rsid w:val="000A6336"/>
    <w:rsid w:val="000A6494"/>
    <w:rsid w:val="000A6618"/>
    <w:rsid w:val="000A67DA"/>
    <w:rsid w:val="000A68C4"/>
    <w:rsid w:val="000A6B4D"/>
    <w:rsid w:val="000A6C30"/>
    <w:rsid w:val="000A6DC1"/>
    <w:rsid w:val="000A6DCE"/>
    <w:rsid w:val="000A6E36"/>
    <w:rsid w:val="000A734B"/>
    <w:rsid w:val="000A7421"/>
    <w:rsid w:val="000A74CE"/>
    <w:rsid w:val="000A762C"/>
    <w:rsid w:val="000A7849"/>
    <w:rsid w:val="000A7D08"/>
    <w:rsid w:val="000A7E8E"/>
    <w:rsid w:val="000A7E99"/>
    <w:rsid w:val="000A7EBD"/>
    <w:rsid w:val="000B00DD"/>
    <w:rsid w:val="000B08C0"/>
    <w:rsid w:val="000B0AC2"/>
    <w:rsid w:val="000B0C17"/>
    <w:rsid w:val="000B0D3B"/>
    <w:rsid w:val="000B0F81"/>
    <w:rsid w:val="000B11BE"/>
    <w:rsid w:val="000B12CE"/>
    <w:rsid w:val="000B1541"/>
    <w:rsid w:val="000B165D"/>
    <w:rsid w:val="000B2087"/>
    <w:rsid w:val="000B232E"/>
    <w:rsid w:val="000B2AE5"/>
    <w:rsid w:val="000B2B18"/>
    <w:rsid w:val="000B2D1B"/>
    <w:rsid w:val="000B2FE2"/>
    <w:rsid w:val="000B3025"/>
    <w:rsid w:val="000B314C"/>
    <w:rsid w:val="000B31B5"/>
    <w:rsid w:val="000B407E"/>
    <w:rsid w:val="000B437B"/>
    <w:rsid w:val="000B4789"/>
    <w:rsid w:val="000B4905"/>
    <w:rsid w:val="000B4924"/>
    <w:rsid w:val="000B4B7E"/>
    <w:rsid w:val="000B4C4E"/>
    <w:rsid w:val="000B4D69"/>
    <w:rsid w:val="000B4D88"/>
    <w:rsid w:val="000B5117"/>
    <w:rsid w:val="000B52AF"/>
    <w:rsid w:val="000B5447"/>
    <w:rsid w:val="000B5617"/>
    <w:rsid w:val="000B5910"/>
    <w:rsid w:val="000B59A7"/>
    <w:rsid w:val="000B5D5F"/>
    <w:rsid w:val="000B5F76"/>
    <w:rsid w:val="000B60D4"/>
    <w:rsid w:val="000B6141"/>
    <w:rsid w:val="000B62AF"/>
    <w:rsid w:val="000B62CF"/>
    <w:rsid w:val="000B630E"/>
    <w:rsid w:val="000B636C"/>
    <w:rsid w:val="000B6666"/>
    <w:rsid w:val="000B6689"/>
    <w:rsid w:val="000B6945"/>
    <w:rsid w:val="000B6C98"/>
    <w:rsid w:val="000B6DD5"/>
    <w:rsid w:val="000B7154"/>
    <w:rsid w:val="000B71FC"/>
    <w:rsid w:val="000B7720"/>
    <w:rsid w:val="000B78DF"/>
    <w:rsid w:val="000B790E"/>
    <w:rsid w:val="000B797C"/>
    <w:rsid w:val="000C001B"/>
    <w:rsid w:val="000C061F"/>
    <w:rsid w:val="000C0682"/>
    <w:rsid w:val="000C0780"/>
    <w:rsid w:val="000C08F0"/>
    <w:rsid w:val="000C0941"/>
    <w:rsid w:val="000C0D0C"/>
    <w:rsid w:val="000C1126"/>
    <w:rsid w:val="000C13B8"/>
    <w:rsid w:val="000C1599"/>
    <w:rsid w:val="000C15D1"/>
    <w:rsid w:val="000C1C92"/>
    <w:rsid w:val="000C1F17"/>
    <w:rsid w:val="000C231D"/>
    <w:rsid w:val="000C2944"/>
    <w:rsid w:val="000C2D31"/>
    <w:rsid w:val="000C2D7F"/>
    <w:rsid w:val="000C3196"/>
    <w:rsid w:val="000C3479"/>
    <w:rsid w:val="000C34C8"/>
    <w:rsid w:val="000C406C"/>
    <w:rsid w:val="000C4171"/>
    <w:rsid w:val="000C4284"/>
    <w:rsid w:val="000C459A"/>
    <w:rsid w:val="000C4789"/>
    <w:rsid w:val="000C4894"/>
    <w:rsid w:val="000C4A35"/>
    <w:rsid w:val="000C4A6C"/>
    <w:rsid w:val="000C4BF3"/>
    <w:rsid w:val="000C5092"/>
    <w:rsid w:val="000C554D"/>
    <w:rsid w:val="000C5957"/>
    <w:rsid w:val="000C5B54"/>
    <w:rsid w:val="000C5F58"/>
    <w:rsid w:val="000C60D0"/>
    <w:rsid w:val="000C62E3"/>
    <w:rsid w:val="000C64C7"/>
    <w:rsid w:val="000C6560"/>
    <w:rsid w:val="000C6578"/>
    <w:rsid w:val="000C6837"/>
    <w:rsid w:val="000C6851"/>
    <w:rsid w:val="000C697A"/>
    <w:rsid w:val="000C6EC8"/>
    <w:rsid w:val="000C6F52"/>
    <w:rsid w:val="000C70A8"/>
    <w:rsid w:val="000C711D"/>
    <w:rsid w:val="000C7214"/>
    <w:rsid w:val="000C7362"/>
    <w:rsid w:val="000C75D1"/>
    <w:rsid w:val="000C7D98"/>
    <w:rsid w:val="000D0053"/>
    <w:rsid w:val="000D0306"/>
    <w:rsid w:val="000D03B8"/>
    <w:rsid w:val="000D0697"/>
    <w:rsid w:val="000D06C2"/>
    <w:rsid w:val="000D0A07"/>
    <w:rsid w:val="000D0A73"/>
    <w:rsid w:val="000D130B"/>
    <w:rsid w:val="000D143A"/>
    <w:rsid w:val="000D1742"/>
    <w:rsid w:val="000D1BE2"/>
    <w:rsid w:val="000D1D16"/>
    <w:rsid w:val="000D1E84"/>
    <w:rsid w:val="000D1E90"/>
    <w:rsid w:val="000D1EE2"/>
    <w:rsid w:val="000D2111"/>
    <w:rsid w:val="000D256D"/>
    <w:rsid w:val="000D2C54"/>
    <w:rsid w:val="000D2C8D"/>
    <w:rsid w:val="000D2DA2"/>
    <w:rsid w:val="000D2E8C"/>
    <w:rsid w:val="000D304A"/>
    <w:rsid w:val="000D30ED"/>
    <w:rsid w:val="000D313F"/>
    <w:rsid w:val="000D3400"/>
    <w:rsid w:val="000D37D0"/>
    <w:rsid w:val="000D3904"/>
    <w:rsid w:val="000D3B6F"/>
    <w:rsid w:val="000D3D63"/>
    <w:rsid w:val="000D3DED"/>
    <w:rsid w:val="000D3E61"/>
    <w:rsid w:val="000D3EAA"/>
    <w:rsid w:val="000D404F"/>
    <w:rsid w:val="000D4A90"/>
    <w:rsid w:val="000D4D40"/>
    <w:rsid w:val="000D4F3F"/>
    <w:rsid w:val="000D52E9"/>
    <w:rsid w:val="000D5372"/>
    <w:rsid w:val="000D584F"/>
    <w:rsid w:val="000D58AC"/>
    <w:rsid w:val="000D5A86"/>
    <w:rsid w:val="000D5BCA"/>
    <w:rsid w:val="000D5CE3"/>
    <w:rsid w:val="000D5FA7"/>
    <w:rsid w:val="000D60C8"/>
    <w:rsid w:val="000D616F"/>
    <w:rsid w:val="000D61C0"/>
    <w:rsid w:val="000D62ED"/>
    <w:rsid w:val="000D63A1"/>
    <w:rsid w:val="000D63AB"/>
    <w:rsid w:val="000D6640"/>
    <w:rsid w:val="000D68EB"/>
    <w:rsid w:val="000D6928"/>
    <w:rsid w:val="000D6AF2"/>
    <w:rsid w:val="000D6B94"/>
    <w:rsid w:val="000D6D8F"/>
    <w:rsid w:val="000D7179"/>
    <w:rsid w:val="000D75CD"/>
    <w:rsid w:val="000D76F2"/>
    <w:rsid w:val="000D7712"/>
    <w:rsid w:val="000D78A4"/>
    <w:rsid w:val="000D7A5E"/>
    <w:rsid w:val="000D7EEC"/>
    <w:rsid w:val="000E0092"/>
    <w:rsid w:val="000E01BE"/>
    <w:rsid w:val="000E04B0"/>
    <w:rsid w:val="000E05C6"/>
    <w:rsid w:val="000E0671"/>
    <w:rsid w:val="000E06E7"/>
    <w:rsid w:val="000E0DF7"/>
    <w:rsid w:val="000E101C"/>
    <w:rsid w:val="000E12CE"/>
    <w:rsid w:val="000E14D5"/>
    <w:rsid w:val="000E1536"/>
    <w:rsid w:val="000E153F"/>
    <w:rsid w:val="000E1712"/>
    <w:rsid w:val="000E1939"/>
    <w:rsid w:val="000E1A4A"/>
    <w:rsid w:val="000E1B37"/>
    <w:rsid w:val="000E1D9C"/>
    <w:rsid w:val="000E1F2C"/>
    <w:rsid w:val="000E22E6"/>
    <w:rsid w:val="000E27C5"/>
    <w:rsid w:val="000E2B23"/>
    <w:rsid w:val="000E2B3F"/>
    <w:rsid w:val="000E2BFF"/>
    <w:rsid w:val="000E2E96"/>
    <w:rsid w:val="000E3228"/>
    <w:rsid w:val="000E3628"/>
    <w:rsid w:val="000E38AF"/>
    <w:rsid w:val="000E38B0"/>
    <w:rsid w:val="000E399F"/>
    <w:rsid w:val="000E39B5"/>
    <w:rsid w:val="000E3DE8"/>
    <w:rsid w:val="000E3F9E"/>
    <w:rsid w:val="000E4050"/>
    <w:rsid w:val="000E4443"/>
    <w:rsid w:val="000E45EA"/>
    <w:rsid w:val="000E477C"/>
    <w:rsid w:val="000E4A3C"/>
    <w:rsid w:val="000E4A71"/>
    <w:rsid w:val="000E4B44"/>
    <w:rsid w:val="000E4C1B"/>
    <w:rsid w:val="000E4E43"/>
    <w:rsid w:val="000E4E86"/>
    <w:rsid w:val="000E52E5"/>
    <w:rsid w:val="000E52E6"/>
    <w:rsid w:val="000E5474"/>
    <w:rsid w:val="000E560B"/>
    <w:rsid w:val="000E576B"/>
    <w:rsid w:val="000E58B0"/>
    <w:rsid w:val="000E5A39"/>
    <w:rsid w:val="000E60C0"/>
    <w:rsid w:val="000E613F"/>
    <w:rsid w:val="000E6207"/>
    <w:rsid w:val="000E6D72"/>
    <w:rsid w:val="000E6E2C"/>
    <w:rsid w:val="000E73C3"/>
    <w:rsid w:val="000E7707"/>
    <w:rsid w:val="000E781E"/>
    <w:rsid w:val="000E79D5"/>
    <w:rsid w:val="000E7B84"/>
    <w:rsid w:val="000E7B96"/>
    <w:rsid w:val="000E7F0E"/>
    <w:rsid w:val="000F0470"/>
    <w:rsid w:val="000F06EF"/>
    <w:rsid w:val="000F0959"/>
    <w:rsid w:val="000F0A6E"/>
    <w:rsid w:val="000F0CEB"/>
    <w:rsid w:val="000F10E4"/>
    <w:rsid w:val="000F120F"/>
    <w:rsid w:val="000F134A"/>
    <w:rsid w:val="000F194A"/>
    <w:rsid w:val="000F19A5"/>
    <w:rsid w:val="000F1D01"/>
    <w:rsid w:val="000F1D83"/>
    <w:rsid w:val="000F1E66"/>
    <w:rsid w:val="000F1F71"/>
    <w:rsid w:val="000F1FD0"/>
    <w:rsid w:val="000F202C"/>
    <w:rsid w:val="000F204D"/>
    <w:rsid w:val="000F24D8"/>
    <w:rsid w:val="000F26F7"/>
    <w:rsid w:val="000F28D6"/>
    <w:rsid w:val="000F2992"/>
    <w:rsid w:val="000F2DBC"/>
    <w:rsid w:val="000F2E99"/>
    <w:rsid w:val="000F3497"/>
    <w:rsid w:val="000F355F"/>
    <w:rsid w:val="000F372F"/>
    <w:rsid w:val="000F395F"/>
    <w:rsid w:val="000F3CD8"/>
    <w:rsid w:val="000F3D37"/>
    <w:rsid w:val="000F3FC2"/>
    <w:rsid w:val="000F3FE0"/>
    <w:rsid w:val="000F4287"/>
    <w:rsid w:val="000F433F"/>
    <w:rsid w:val="000F43D9"/>
    <w:rsid w:val="000F458C"/>
    <w:rsid w:val="000F481E"/>
    <w:rsid w:val="000F49CE"/>
    <w:rsid w:val="000F4CBF"/>
    <w:rsid w:val="000F5037"/>
    <w:rsid w:val="000F5190"/>
    <w:rsid w:val="000F530C"/>
    <w:rsid w:val="000F532E"/>
    <w:rsid w:val="000F5333"/>
    <w:rsid w:val="000F54E7"/>
    <w:rsid w:val="000F56D2"/>
    <w:rsid w:val="000F5723"/>
    <w:rsid w:val="000F5743"/>
    <w:rsid w:val="000F578B"/>
    <w:rsid w:val="000F5793"/>
    <w:rsid w:val="000F5AFC"/>
    <w:rsid w:val="000F5FC1"/>
    <w:rsid w:val="000F62ED"/>
    <w:rsid w:val="000F632B"/>
    <w:rsid w:val="000F65B6"/>
    <w:rsid w:val="000F67E4"/>
    <w:rsid w:val="000F67F0"/>
    <w:rsid w:val="000F6852"/>
    <w:rsid w:val="000F6B87"/>
    <w:rsid w:val="000F6CD5"/>
    <w:rsid w:val="000F6DC1"/>
    <w:rsid w:val="000F6E3E"/>
    <w:rsid w:val="000F6E41"/>
    <w:rsid w:val="000F6E63"/>
    <w:rsid w:val="000F70F1"/>
    <w:rsid w:val="000F7458"/>
    <w:rsid w:val="000F7610"/>
    <w:rsid w:val="000F77AB"/>
    <w:rsid w:val="000F7908"/>
    <w:rsid w:val="000F7A3C"/>
    <w:rsid w:val="000F7D81"/>
    <w:rsid w:val="001000B3"/>
    <w:rsid w:val="001001B2"/>
    <w:rsid w:val="001003EA"/>
    <w:rsid w:val="001007B7"/>
    <w:rsid w:val="00100826"/>
    <w:rsid w:val="00100884"/>
    <w:rsid w:val="00100CFE"/>
    <w:rsid w:val="00100E30"/>
    <w:rsid w:val="0010101F"/>
    <w:rsid w:val="0010108B"/>
    <w:rsid w:val="001012A0"/>
    <w:rsid w:val="001012EA"/>
    <w:rsid w:val="00101346"/>
    <w:rsid w:val="0010171A"/>
    <w:rsid w:val="001017B4"/>
    <w:rsid w:val="00101AF7"/>
    <w:rsid w:val="00101C64"/>
    <w:rsid w:val="00101DA0"/>
    <w:rsid w:val="0010201E"/>
    <w:rsid w:val="001020B1"/>
    <w:rsid w:val="001025AD"/>
    <w:rsid w:val="001026B5"/>
    <w:rsid w:val="0010274D"/>
    <w:rsid w:val="0010294D"/>
    <w:rsid w:val="001029C8"/>
    <w:rsid w:val="00102ABD"/>
    <w:rsid w:val="00102C28"/>
    <w:rsid w:val="00102CEE"/>
    <w:rsid w:val="00102D88"/>
    <w:rsid w:val="00102DFB"/>
    <w:rsid w:val="00103569"/>
    <w:rsid w:val="001038B3"/>
    <w:rsid w:val="001039B8"/>
    <w:rsid w:val="00103AC4"/>
    <w:rsid w:val="00103B1E"/>
    <w:rsid w:val="00103C35"/>
    <w:rsid w:val="001040A5"/>
    <w:rsid w:val="00104193"/>
    <w:rsid w:val="001041E0"/>
    <w:rsid w:val="00104375"/>
    <w:rsid w:val="0010458B"/>
    <w:rsid w:val="001048C8"/>
    <w:rsid w:val="00104AF1"/>
    <w:rsid w:val="00104C00"/>
    <w:rsid w:val="00104DB5"/>
    <w:rsid w:val="001053E6"/>
    <w:rsid w:val="00105719"/>
    <w:rsid w:val="00105874"/>
    <w:rsid w:val="0010597E"/>
    <w:rsid w:val="00105C07"/>
    <w:rsid w:val="00105C75"/>
    <w:rsid w:val="001067BB"/>
    <w:rsid w:val="00106A92"/>
    <w:rsid w:val="00106B12"/>
    <w:rsid w:val="00106F72"/>
    <w:rsid w:val="00106FF4"/>
    <w:rsid w:val="0010709D"/>
    <w:rsid w:val="00107447"/>
    <w:rsid w:val="0010745D"/>
    <w:rsid w:val="001074CE"/>
    <w:rsid w:val="00107744"/>
    <w:rsid w:val="00107A0C"/>
    <w:rsid w:val="00107BDC"/>
    <w:rsid w:val="00107FCF"/>
    <w:rsid w:val="00110073"/>
    <w:rsid w:val="0011035A"/>
    <w:rsid w:val="00110413"/>
    <w:rsid w:val="0011041A"/>
    <w:rsid w:val="00110733"/>
    <w:rsid w:val="001107E9"/>
    <w:rsid w:val="0011080B"/>
    <w:rsid w:val="00110975"/>
    <w:rsid w:val="00110A98"/>
    <w:rsid w:val="00110B29"/>
    <w:rsid w:val="00110BC0"/>
    <w:rsid w:val="00110D00"/>
    <w:rsid w:val="00110EDF"/>
    <w:rsid w:val="001110C9"/>
    <w:rsid w:val="001110FC"/>
    <w:rsid w:val="00111345"/>
    <w:rsid w:val="0011134C"/>
    <w:rsid w:val="001114A5"/>
    <w:rsid w:val="00111517"/>
    <w:rsid w:val="001117E1"/>
    <w:rsid w:val="00111886"/>
    <w:rsid w:val="00111AAD"/>
    <w:rsid w:val="00111E45"/>
    <w:rsid w:val="0011206C"/>
    <w:rsid w:val="00112375"/>
    <w:rsid w:val="001123F1"/>
    <w:rsid w:val="00112618"/>
    <w:rsid w:val="00112634"/>
    <w:rsid w:val="00112833"/>
    <w:rsid w:val="00112885"/>
    <w:rsid w:val="00112E35"/>
    <w:rsid w:val="00112EC6"/>
    <w:rsid w:val="00112F11"/>
    <w:rsid w:val="00112F58"/>
    <w:rsid w:val="001130DC"/>
    <w:rsid w:val="00113589"/>
    <w:rsid w:val="001137DC"/>
    <w:rsid w:val="001138B7"/>
    <w:rsid w:val="00113C08"/>
    <w:rsid w:val="00113C51"/>
    <w:rsid w:val="00113D7A"/>
    <w:rsid w:val="001142DF"/>
    <w:rsid w:val="00114550"/>
    <w:rsid w:val="001147EC"/>
    <w:rsid w:val="00114811"/>
    <w:rsid w:val="001149E3"/>
    <w:rsid w:val="00114A9C"/>
    <w:rsid w:val="00114BEE"/>
    <w:rsid w:val="00114CFE"/>
    <w:rsid w:val="00114DE0"/>
    <w:rsid w:val="00114E39"/>
    <w:rsid w:val="00115012"/>
    <w:rsid w:val="0011529B"/>
    <w:rsid w:val="0011540D"/>
    <w:rsid w:val="00115576"/>
    <w:rsid w:val="0011574F"/>
    <w:rsid w:val="00115858"/>
    <w:rsid w:val="00115BBB"/>
    <w:rsid w:val="00115C0B"/>
    <w:rsid w:val="001163B2"/>
    <w:rsid w:val="0011650E"/>
    <w:rsid w:val="0011652A"/>
    <w:rsid w:val="00116A1B"/>
    <w:rsid w:val="00116FCA"/>
    <w:rsid w:val="001175CF"/>
    <w:rsid w:val="00117C64"/>
    <w:rsid w:val="00117CEC"/>
    <w:rsid w:val="00117D22"/>
    <w:rsid w:val="00117E7F"/>
    <w:rsid w:val="001202B9"/>
    <w:rsid w:val="001206CD"/>
    <w:rsid w:val="00120968"/>
    <w:rsid w:val="00120EBD"/>
    <w:rsid w:val="00120F5E"/>
    <w:rsid w:val="00120F88"/>
    <w:rsid w:val="00121244"/>
    <w:rsid w:val="001214EA"/>
    <w:rsid w:val="00121666"/>
    <w:rsid w:val="00121827"/>
    <w:rsid w:val="00121B74"/>
    <w:rsid w:val="00121B80"/>
    <w:rsid w:val="00121C00"/>
    <w:rsid w:val="00121E17"/>
    <w:rsid w:val="00121E2A"/>
    <w:rsid w:val="00121E4B"/>
    <w:rsid w:val="001222AB"/>
    <w:rsid w:val="001223C5"/>
    <w:rsid w:val="001225BD"/>
    <w:rsid w:val="001226DE"/>
    <w:rsid w:val="001226EF"/>
    <w:rsid w:val="00122732"/>
    <w:rsid w:val="001228B3"/>
    <w:rsid w:val="0012293B"/>
    <w:rsid w:val="00122BD6"/>
    <w:rsid w:val="001233F7"/>
    <w:rsid w:val="00123486"/>
    <w:rsid w:val="001236C1"/>
    <w:rsid w:val="0012396F"/>
    <w:rsid w:val="00123EBE"/>
    <w:rsid w:val="00123F10"/>
    <w:rsid w:val="00123F18"/>
    <w:rsid w:val="00124066"/>
    <w:rsid w:val="00124197"/>
    <w:rsid w:val="0012433C"/>
    <w:rsid w:val="00124379"/>
    <w:rsid w:val="001244E9"/>
    <w:rsid w:val="00124515"/>
    <w:rsid w:val="00124AB9"/>
    <w:rsid w:val="00124B0E"/>
    <w:rsid w:val="00124D9C"/>
    <w:rsid w:val="00124FBD"/>
    <w:rsid w:val="00125302"/>
    <w:rsid w:val="00125509"/>
    <w:rsid w:val="00125A43"/>
    <w:rsid w:val="00125A48"/>
    <w:rsid w:val="00125BD1"/>
    <w:rsid w:val="00125C52"/>
    <w:rsid w:val="00126326"/>
    <w:rsid w:val="001265A1"/>
    <w:rsid w:val="001265F1"/>
    <w:rsid w:val="001269EB"/>
    <w:rsid w:val="00126A9A"/>
    <w:rsid w:val="00126CC9"/>
    <w:rsid w:val="00126D07"/>
    <w:rsid w:val="00126D41"/>
    <w:rsid w:val="00126EFB"/>
    <w:rsid w:val="001275CA"/>
    <w:rsid w:val="00127FD6"/>
    <w:rsid w:val="001300D9"/>
    <w:rsid w:val="00130654"/>
    <w:rsid w:val="0013080E"/>
    <w:rsid w:val="00130865"/>
    <w:rsid w:val="001309AD"/>
    <w:rsid w:val="00130C79"/>
    <w:rsid w:val="00130F62"/>
    <w:rsid w:val="00131A07"/>
    <w:rsid w:val="00131F6E"/>
    <w:rsid w:val="00131FB6"/>
    <w:rsid w:val="00132471"/>
    <w:rsid w:val="0013275E"/>
    <w:rsid w:val="00132A06"/>
    <w:rsid w:val="00132C39"/>
    <w:rsid w:val="00132C88"/>
    <w:rsid w:val="00132CFD"/>
    <w:rsid w:val="001330E2"/>
    <w:rsid w:val="001332A8"/>
    <w:rsid w:val="0013339C"/>
    <w:rsid w:val="00133638"/>
    <w:rsid w:val="00133A16"/>
    <w:rsid w:val="00133D20"/>
    <w:rsid w:val="00133D47"/>
    <w:rsid w:val="00133D85"/>
    <w:rsid w:val="00133DB1"/>
    <w:rsid w:val="00133EC0"/>
    <w:rsid w:val="00133FE2"/>
    <w:rsid w:val="0013424A"/>
    <w:rsid w:val="0013426B"/>
    <w:rsid w:val="00134348"/>
    <w:rsid w:val="001345DD"/>
    <w:rsid w:val="001345F0"/>
    <w:rsid w:val="001347BE"/>
    <w:rsid w:val="00134901"/>
    <w:rsid w:val="00134938"/>
    <w:rsid w:val="00134D75"/>
    <w:rsid w:val="00134E41"/>
    <w:rsid w:val="00134F9E"/>
    <w:rsid w:val="0013518A"/>
    <w:rsid w:val="001351B6"/>
    <w:rsid w:val="00135549"/>
    <w:rsid w:val="00135658"/>
    <w:rsid w:val="001356BE"/>
    <w:rsid w:val="001358BA"/>
    <w:rsid w:val="00135A18"/>
    <w:rsid w:val="00135A49"/>
    <w:rsid w:val="00135CBC"/>
    <w:rsid w:val="00135F30"/>
    <w:rsid w:val="00136590"/>
    <w:rsid w:val="00136808"/>
    <w:rsid w:val="00136A43"/>
    <w:rsid w:val="00136C6D"/>
    <w:rsid w:val="00136D7C"/>
    <w:rsid w:val="00136DCE"/>
    <w:rsid w:val="00136DFF"/>
    <w:rsid w:val="00136EA8"/>
    <w:rsid w:val="00137263"/>
    <w:rsid w:val="00137C75"/>
    <w:rsid w:val="00137CD1"/>
    <w:rsid w:val="00137F0F"/>
    <w:rsid w:val="001403AD"/>
    <w:rsid w:val="00140819"/>
    <w:rsid w:val="001408A3"/>
    <w:rsid w:val="00140B1F"/>
    <w:rsid w:val="00140CE4"/>
    <w:rsid w:val="00141561"/>
    <w:rsid w:val="001419C3"/>
    <w:rsid w:val="00141B0C"/>
    <w:rsid w:val="00141B53"/>
    <w:rsid w:val="00141BC4"/>
    <w:rsid w:val="00141CCA"/>
    <w:rsid w:val="00141DCA"/>
    <w:rsid w:val="001423FE"/>
    <w:rsid w:val="00142553"/>
    <w:rsid w:val="00142653"/>
    <w:rsid w:val="00142D17"/>
    <w:rsid w:val="00142D73"/>
    <w:rsid w:val="00142E7B"/>
    <w:rsid w:val="0014301E"/>
    <w:rsid w:val="001430A6"/>
    <w:rsid w:val="00143488"/>
    <w:rsid w:val="001434AF"/>
    <w:rsid w:val="00143731"/>
    <w:rsid w:val="00143E64"/>
    <w:rsid w:val="0014450B"/>
    <w:rsid w:val="00144749"/>
    <w:rsid w:val="001447BD"/>
    <w:rsid w:val="00144CAB"/>
    <w:rsid w:val="00144EBF"/>
    <w:rsid w:val="00144F84"/>
    <w:rsid w:val="0014543A"/>
    <w:rsid w:val="0014570E"/>
    <w:rsid w:val="00145722"/>
    <w:rsid w:val="0014575E"/>
    <w:rsid w:val="00145789"/>
    <w:rsid w:val="00145A6E"/>
    <w:rsid w:val="00145B18"/>
    <w:rsid w:val="00145CA5"/>
    <w:rsid w:val="001460BB"/>
    <w:rsid w:val="001460DA"/>
    <w:rsid w:val="001462FB"/>
    <w:rsid w:val="0014655D"/>
    <w:rsid w:val="00146B8C"/>
    <w:rsid w:val="00146D91"/>
    <w:rsid w:val="00147055"/>
    <w:rsid w:val="001472CA"/>
    <w:rsid w:val="00147417"/>
    <w:rsid w:val="001477FE"/>
    <w:rsid w:val="001478F0"/>
    <w:rsid w:val="001500AD"/>
    <w:rsid w:val="00150235"/>
    <w:rsid w:val="00150269"/>
    <w:rsid w:val="00150416"/>
    <w:rsid w:val="00150836"/>
    <w:rsid w:val="00150A93"/>
    <w:rsid w:val="00150AB8"/>
    <w:rsid w:val="00150C80"/>
    <w:rsid w:val="00150E1C"/>
    <w:rsid w:val="00150E61"/>
    <w:rsid w:val="00150F0F"/>
    <w:rsid w:val="00151165"/>
    <w:rsid w:val="001512FC"/>
    <w:rsid w:val="00151344"/>
    <w:rsid w:val="001513B8"/>
    <w:rsid w:val="001513F2"/>
    <w:rsid w:val="001517FE"/>
    <w:rsid w:val="0015191A"/>
    <w:rsid w:val="00151B13"/>
    <w:rsid w:val="00151BD1"/>
    <w:rsid w:val="00151BEE"/>
    <w:rsid w:val="00151EA4"/>
    <w:rsid w:val="00151EA6"/>
    <w:rsid w:val="00151F47"/>
    <w:rsid w:val="001521F0"/>
    <w:rsid w:val="0015231E"/>
    <w:rsid w:val="00152573"/>
    <w:rsid w:val="00152798"/>
    <w:rsid w:val="00152833"/>
    <w:rsid w:val="001528D8"/>
    <w:rsid w:val="00152C68"/>
    <w:rsid w:val="00152EEE"/>
    <w:rsid w:val="00153044"/>
    <w:rsid w:val="0015328A"/>
    <w:rsid w:val="001532F4"/>
    <w:rsid w:val="00153475"/>
    <w:rsid w:val="00153505"/>
    <w:rsid w:val="0015380A"/>
    <w:rsid w:val="00153D6C"/>
    <w:rsid w:val="00153DB3"/>
    <w:rsid w:val="00153DFD"/>
    <w:rsid w:val="0015414B"/>
    <w:rsid w:val="00154348"/>
    <w:rsid w:val="001544B6"/>
    <w:rsid w:val="001544E3"/>
    <w:rsid w:val="00154BE9"/>
    <w:rsid w:val="00154DE5"/>
    <w:rsid w:val="00154DEC"/>
    <w:rsid w:val="00154E5A"/>
    <w:rsid w:val="001552F7"/>
    <w:rsid w:val="00155514"/>
    <w:rsid w:val="00155568"/>
    <w:rsid w:val="00155913"/>
    <w:rsid w:val="0015594C"/>
    <w:rsid w:val="00155B4C"/>
    <w:rsid w:val="00155BCA"/>
    <w:rsid w:val="00155E1C"/>
    <w:rsid w:val="00155F9C"/>
    <w:rsid w:val="0015607A"/>
    <w:rsid w:val="0015614C"/>
    <w:rsid w:val="00156A7C"/>
    <w:rsid w:val="00156B30"/>
    <w:rsid w:val="00156B73"/>
    <w:rsid w:val="00156C98"/>
    <w:rsid w:val="00156CD7"/>
    <w:rsid w:val="00156D13"/>
    <w:rsid w:val="00156F45"/>
    <w:rsid w:val="00156FAB"/>
    <w:rsid w:val="00157431"/>
    <w:rsid w:val="00157783"/>
    <w:rsid w:val="0015795E"/>
    <w:rsid w:val="00157A4E"/>
    <w:rsid w:val="00157B8A"/>
    <w:rsid w:val="00157F07"/>
    <w:rsid w:val="00160118"/>
    <w:rsid w:val="001603B3"/>
    <w:rsid w:val="00160859"/>
    <w:rsid w:val="00160914"/>
    <w:rsid w:val="00160B12"/>
    <w:rsid w:val="00160BD1"/>
    <w:rsid w:val="00160C57"/>
    <w:rsid w:val="00160FE7"/>
    <w:rsid w:val="001612EE"/>
    <w:rsid w:val="0016139E"/>
    <w:rsid w:val="001613A6"/>
    <w:rsid w:val="00161693"/>
    <w:rsid w:val="001618AD"/>
    <w:rsid w:val="001618E9"/>
    <w:rsid w:val="001629AC"/>
    <w:rsid w:val="00162D9E"/>
    <w:rsid w:val="00163473"/>
    <w:rsid w:val="00163878"/>
    <w:rsid w:val="0016392C"/>
    <w:rsid w:val="00163980"/>
    <w:rsid w:val="001639B9"/>
    <w:rsid w:val="00163D05"/>
    <w:rsid w:val="00163EA0"/>
    <w:rsid w:val="00163EFD"/>
    <w:rsid w:val="00164121"/>
    <w:rsid w:val="0016440D"/>
    <w:rsid w:val="001645B6"/>
    <w:rsid w:val="00165231"/>
    <w:rsid w:val="0016564D"/>
    <w:rsid w:val="0016586B"/>
    <w:rsid w:val="00165916"/>
    <w:rsid w:val="00165921"/>
    <w:rsid w:val="00165CC0"/>
    <w:rsid w:val="00165CFD"/>
    <w:rsid w:val="00165D17"/>
    <w:rsid w:val="00165E79"/>
    <w:rsid w:val="00166084"/>
    <w:rsid w:val="0016635A"/>
    <w:rsid w:val="001663C7"/>
    <w:rsid w:val="00166697"/>
    <w:rsid w:val="00166910"/>
    <w:rsid w:val="00166AB9"/>
    <w:rsid w:val="00166BCB"/>
    <w:rsid w:val="00166D3F"/>
    <w:rsid w:val="00166DF6"/>
    <w:rsid w:val="00166EE0"/>
    <w:rsid w:val="00167468"/>
    <w:rsid w:val="00167521"/>
    <w:rsid w:val="001676E5"/>
    <w:rsid w:val="001679A2"/>
    <w:rsid w:val="00167A03"/>
    <w:rsid w:val="00167AA9"/>
    <w:rsid w:val="0017007A"/>
    <w:rsid w:val="001701A0"/>
    <w:rsid w:val="001702F9"/>
    <w:rsid w:val="0017043A"/>
    <w:rsid w:val="0017045F"/>
    <w:rsid w:val="00170475"/>
    <w:rsid w:val="0017077B"/>
    <w:rsid w:val="00170919"/>
    <w:rsid w:val="00170BBF"/>
    <w:rsid w:val="00170EE6"/>
    <w:rsid w:val="00170FB8"/>
    <w:rsid w:val="001710C5"/>
    <w:rsid w:val="0017123B"/>
    <w:rsid w:val="00171715"/>
    <w:rsid w:val="00171C29"/>
    <w:rsid w:val="0017217E"/>
    <w:rsid w:val="001721A7"/>
    <w:rsid w:val="00172202"/>
    <w:rsid w:val="0017220B"/>
    <w:rsid w:val="001722C5"/>
    <w:rsid w:val="001722D2"/>
    <w:rsid w:val="00172467"/>
    <w:rsid w:val="00172725"/>
    <w:rsid w:val="001727B2"/>
    <w:rsid w:val="00172AC0"/>
    <w:rsid w:val="001730A0"/>
    <w:rsid w:val="0017320D"/>
    <w:rsid w:val="00173324"/>
    <w:rsid w:val="0017334A"/>
    <w:rsid w:val="0017338F"/>
    <w:rsid w:val="001733F6"/>
    <w:rsid w:val="001733F7"/>
    <w:rsid w:val="001737F0"/>
    <w:rsid w:val="00173971"/>
    <w:rsid w:val="00173A53"/>
    <w:rsid w:val="00173F28"/>
    <w:rsid w:val="001742E5"/>
    <w:rsid w:val="001746CC"/>
    <w:rsid w:val="001747C5"/>
    <w:rsid w:val="0017480A"/>
    <w:rsid w:val="001748B8"/>
    <w:rsid w:val="00174970"/>
    <w:rsid w:val="00174A8E"/>
    <w:rsid w:val="00174C47"/>
    <w:rsid w:val="00174D3F"/>
    <w:rsid w:val="0017530A"/>
    <w:rsid w:val="001753AB"/>
    <w:rsid w:val="001758E4"/>
    <w:rsid w:val="0017596C"/>
    <w:rsid w:val="00175B47"/>
    <w:rsid w:val="00175D83"/>
    <w:rsid w:val="00175F35"/>
    <w:rsid w:val="00176352"/>
    <w:rsid w:val="001763F0"/>
    <w:rsid w:val="00176642"/>
    <w:rsid w:val="0017664F"/>
    <w:rsid w:val="00176B4B"/>
    <w:rsid w:val="00176F07"/>
    <w:rsid w:val="00176FB1"/>
    <w:rsid w:val="00176FF5"/>
    <w:rsid w:val="001772E2"/>
    <w:rsid w:val="0017742E"/>
    <w:rsid w:val="00177874"/>
    <w:rsid w:val="0017792D"/>
    <w:rsid w:val="001779B0"/>
    <w:rsid w:val="00177ADC"/>
    <w:rsid w:val="00177FDF"/>
    <w:rsid w:val="00180075"/>
    <w:rsid w:val="001805BC"/>
    <w:rsid w:val="00180AE3"/>
    <w:rsid w:val="00180E28"/>
    <w:rsid w:val="00180E34"/>
    <w:rsid w:val="00180E5B"/>
    <w:rsid w:val="00180F14"/>
    <w:rsid w:val="00181099"/>
    <w:rsid w:val="001813F0"/>
    <w:rsid w:val="0018143C"/>
    <w:rsid w:val="001815FB"/>
    <w:rsid w:val="0018198F"/>
    <w:rsid w:val="0018210A"/>
    <w:rsid w:val="0018212E"/>
    <w:rsid w:val="0018213D"/>
    <w:rsid w:val="0018215D"/>
    <w:rsid w:val="0018229A"/>
    <w:rsid w:val="001822FC"/>
    <w:rsid w:val="0018231D"/>
    <w:rsid w:val="001826BF"/>
    <w:rsid w:val="00182747"/>
    <w:rsid w:val="001828C3"/>
    <w:rsid w:val="00182A2A"/>
    <w:rsid w:val="00182A4A"/>
    <w:rsid w:val="0018301E"/>
    <w:rsid w:val="00183275"/>
    <w:rsid w:val="001833A5"/>
    <w:rsid w:val="001834FC"/>
    <w:rsid w:val="001836CC"/>
    <w:rsid w:val="001837C8"/>
    <w:rsid w:val="00183B84"/>
    <w:rsid w:val="00183DE7"/>
    <w:rsid w:val="001840B8"/>
    <w:rsid w:val="00184115"/>
    <w:rsid w:val="001844DF"/>
    <w:rsid w:val="001848C1"/>
    <w:rsid w:val="00184A04"/>
    <w:rsid w:val="00184B54"/>
    <w:rsid w:val="00184C33"/>
    <w:rsid w:val="00184DAE"/>
    <w:rsid w:val="00185567"/>
    <w:rsid w:val="001855B5"/>
    <w:rsid w:val="001857E8"/>
    <w:rsid w:val="00185A5B"/>
    <w:rsid w:val="00185B14"/>
    <w:rsid w:val="00185C1A"/>
    <w:rsid w:val="00185EBC"/>
    <w:rsid w:val="00185FB4"/>
    <w:rsid w:val="001862D6"/>
    <w:rsid w:val="0018634F"/>
    <w:rsid w:val="001866E1"/>
    <w:rsid w:val="0018674C"/>
    <w:rsid w:val="00186B1F"/>
    <w:rsid w:val="00186FD3"/>
    <w:rsid w:val="00187193"/>
    <w:rsid w:val="001872EA"/>
    <w:rsid w:val="00187400"/>
    <w:rsid w:val="001875AA"/>
    <w:rsid w:val="00187E1D"/>
    <w:rsid w:val="00187FBE"/>
    <w:rsid w:val="00190203"/>
    <w:rsid w:val="001902F4"/>
    <w:rsid w:val="00190421"/>
    <w:rsid w:val="001905F4"/>
    <w:rsid w:val="00190AAC"/>
    <w:rsid w:val="00190BE2"/>
    <w:rsid w:val="00191301"/>
    <w:rsid w:val="001915BE"/>
    <w:rsid w:val="00191A2F"/>
    <w:rsid w:val="00191BF9"/>
    <w:rsid w:val="00191D37"/>
    <w:rsid w:val="00191E3F"/>
    <w:rsid w:val="00192060"/>
    <w:rsid w:val="001924C3"/>
    <w:rsid w:val="00192922"/>
    <w:rsid w:val="00192B5F"/>
    <w:rsid w:val="00192EAA"/>
    <w:rsid w:val="00192F2A"/>
    <w:rsid w:val="001931B0"/>
    <w:rsid w:val="0019321D"/>
    <w:rsid w:val="00193464"/>
    <w:rsid w:val="00193637"/>
    <w:rsid w:val="00193905"/>
    <w:rsid w:val="0019390E"/>
    <w:rsid w:val="00193A1B"/>
    <w:rsid w:val="00193A44"/>
    <w:rsid w:val="00193E14"/>
    <w:rsid w:val="00193F3C"/>
    <w:rsid w:val="00194029"/>
    <w:rsid w:val="00194266"/>
    <w:rsid w:val="00194480"/>
    <w:rsid w:val="001945A5"/>
    <w:rsid w:val="001947CD"/>
    <w:rsid w:val="001947EB"/>
    <w:rsid w:val="0019494B"/>
    <w:rsid w:val="001949FA"/>
    <w:rsid w:val="00194A95"/>
    <w:rsid w:val="00194AAC"/>
    <w:rsid w:val="00194ACE"/>
    <w:rsid w:val="00194BE1"/>
    <w:rsid w:val="00194EA0"/>
    <w:rsid w:val="00195266"/>
    <w:rsid w:val="00195291"/>
    <w:rsid w:val="001952B2"/>
    <w:rsid w:val="00195462"/>
    <w:rsid w:val="001954B3"/>
    <w:rsid w:val="0019558C"/>
    <w:rsid w:val="00195706"/>
    <w:rsid w:val="0019574C"/>
    <w:rsid w:val="00195820"/>
    <w:rsid w:val="00195B68"/>
    <w:rsid w:val="00195C2B"/>
    <w:rsid w:val="00195D88"/>
    <w:rsid w:val="00195DC0"/>
    <w:rsid w:val="001963C7"/>
    <w:rsid w:val="0019645E"/>
    <w:rsid w:val="0019646C"/>
    <w:rsid w:val="0019669C"/>
    <w:rsid w:val="0019674F"/>
    <w:rsid w:val="00196FA9"/>
    <w:rsid w:val="00197115"/>
    <w:rsid w:val="001974B0"/>
    <w:rsid w:val="00197506"/>
    <w:rsid w:val="00197758"/>
    <w:rsid w:val="001978EA"/>
    <w:rsid w:val="001979CA"/>
    <w:rsid w:val="00197AE0"/>
    <w:rsid w:val="00197B8D"/>
    <w:rsid w:val="00197C0C"/>
    <w:rsid w:val="00197D1C"/>
    <w:rsid w:val="001A0762"/>
    <w:rsid w:val="001A09D9"/>
    <w:rsid w:val="001A0A80"/>
    <w:rsid w:val="001A0A9C"/>
    <w:rsid w:val="001A14A6"/>
    <w:rsid w:val="001A17C5"/>
    <w:rsid w:val="001A194B"/>
    <w:rsid w:val="001A1A61"/>
    <w:rsid w:val="001A1B8A"/>
    <w:rsid w:val="001A1B98"/>
    <w:rsid w:val="001A201E"/>
    <w:rsid w:val="001A21A3"/>
    <w:rsid w:val="001A2451"/>
    <w:rsid w:val="001A2579"/>
    <w:rsid w:val="001A26D2"/>
    <w:rsid w:val="001A2814"/>
    <w:rsid w:val="001A2940"/>
    <w:rsid w:val="001A29AD"/>
    <w:rsid w:val="001A2D34"/>
    <w:rsid w:val="001A32DA"/>
    <w:rsid w:val="001A32ED"/>
    <w:rsid w:val="001A337B"/>
    <w:rsid w:val="001A3A1A"/>
    <w:rsid w:val="001A3B11"/>
    <w:rsid w:val="001A4974"/>
    <w:rsid w:val="001A4AC7"/>
    <w:rsid w:val="001A4E72"/>
    <w:rsid w:val="001A4F01"/>
    <w:rsid w:val="001A5206"/>
    <w:rsid w:val="001A5256"/>
    <w:rsid w:val="001A5392"/>
    <w:rsid w:val="001A5425"/>
    <w:rsid w:val="001A5536"/>
    <w:rsid w:val="001A559D"/>
    <w:rsid w:val="001A595C"/>
    <w:rsid w:val="001A5C93"/>
    <w:rsid w:val="001A5CD6"/>
    <w:rsid w:val="001A66AC"/>
    <w:rsid w:val="001A6DBA"/>
    <w:rsid w:val="001A705D"/>
    <w:rsid w:val="001A75A8"/>
    <w:rsid w:val="001A778A"/>
    <w:rsid w:val="001A77FC"/>
    <w:rsid w:val="001A79D1"/>
    <w:rsid w:val="001A7C50"/>
    <w:rsid w:val="001A7C86"/>
    <w:rsid w:val="001A7E3A"/>
    <w:rsid w:val="001B0554"/>
    <w:rsid w:val="001B0869"/>
    <w:rsid w:val="001B086B"/>
    <w:rsid w:val="001B0CF8"/>
    <w:rsid w:val="001B0E25"/>
    <w:rsid w:val="001B0F0F"/>
    <w:rsid w:val="001B1311"/>
    <w:rsid w:val="001B14A7"/>
    <w:rsid w:val="001B15B7"/>
    <w:rsid w:val="001B15E4"/>
    <w:rsid w:val="001B172A"/>
    <w:rsid w:val="001B17F4"/>
    <w:rsid w:val="001B1832"/>
    <w:rsid w:val="001B195B"/>
    <w:rsid w:val="001B1FCD"/>
    <w:rsid w:val="001B2015"/>
    <w:rsid w:val="001B207B"/>
    <w:rsid w:val="001B28B1"/>
    <w:rsid w:val="001B28C7"/>
    <w:rsid w:val="001B2C5D"/>
    <w:rsid w:val="001B3207"/>
    <w:rsid w:val="001B3683"/>
    <w:rsid w:val="001B3901"/>
    <w:rsid w:val="001B43D5"/>
    <w:rsid w:val="001B4409"/>
    <w:rsid w:val="001B47A6"/>
    <w:rsid w:val="001B480A"/>
    <w:rsid w:val="001B496D"/>
    <w:rsid w:val="001B5186"/>
    <w:rsid w:val="001B5311"/>
    <w:rsid w:val="001B5547"/>
    <w:rsid w:val="001B56AF"/>
    <w:rsid w:val="001B56E2"/>
    <w:rsid w:val="001B5951"/>
    <w:rsid w:val="001B5CD2"/>
    <w:rsid w:val="001B5FC5"/>
    <w:rsid w:val="001B6348"/>
    <w:rsid w:val="001B66E5"/>
    <w:rsid w:val="001B6CE1"/>
    <w:rsid w:val="001B6F7C"/>
    <w:rsid w:val="001B71E2"/>
    <w:rsid w:val="001B728D"/>
    <w:rsid w:val="001B78AC"/>
    <w:rsid w:val="001B78F2"/>
    <w:rsid w:val="001B7BD0"/>
    <w:rsid w:val="001B7CDF"/>
    <w:rsid w:val="001B7CEB"/>
    <w:rsid w:val="001B7FD6"/>
    <w:rsid w:val="001C0368"/>
    <w:rsid w:val="001C0700"/>
    <w:rsid w:val="001C0803"/>
    <w:rsid w:val="001C09C7"/>
    <w:rsid w:val="001C0AB7"/>
    <w:rsid w:val="001C0B23"/>
    <w:rsid w:val="001C0B24"/>
    <w:rsid w:val="001C0B93"/>
    <w:rsid w:val="001C0C38"/>
    <w:rsid w:val="001C1293"/>
    <w:rsid w:val="001C184D"/>
    <w:rsid w:val="001C19F7"/>
    <w:rsid w:val="001C1B7D"/>
    <w:rsid w:val="001C1EA1"/>
    <w:rsid w:val="001C1EFE"/>
    <w:rsid w:val="001C2307"/>
    <w:rsid w:val="001C23AD"/>
    <w:rsid w:val="001C24AF"/>
    <w:rsid w:val="001C2756"/>
    <w:rsid w:val="001C2AD5"/>
    <w:rsid w:val="001C2C77"/>
    <w:rsid w:val="001C3311"/>
    <w:rsid w:val="001C33FE"/>
    <w:rsid w:val="001C35FE"/>
    <w:rsid w:val="001C393E"/>
    <w:rsid w:val="001C3A03"/>
    <w:rsid w:val="001C3AD0"/>
    <w:rsid w:val="001C3CDB"/>
    <w:rsid w:val="001C3F2C"/>
    <w:rsid w:val="001C4081"/>
    <w:rsid w:val="001C4141"/>
    <w:rsid w:val="001C41F4"/>
    <w:rsid w:val="001C4271"/>
    <w:rsid w:val="001C43FA"/>
    <w:rsid w:val="001C442C"/>
    <w:rsid w:val="001C45F3"/>
    <w:rsid w:val="001C46D6"/>
    <w:rsid w:val="001C48CE"/>
    <w:rsid w:val="001C4D1E"/>
    <w:rsid w:val="001C4DA9"/>
    <w:rsid w:val="001C4F60"/>
    <w:rsid w:val="001C520B"/>
    <w:rsid w:val="001C5611"/>
    <w:rsid w:val="001C5A0D"/>
    <w:rsid w:val="001C5A17"/>
    <w:rsid w:val="001C60A4"/>
    <w:rsid w:val="001C60F4"/>
    <w:rsid w:val="001C620A"/>
    <w:rsid w:val="001C6211"/>
    <w:rsid w:val="001C6445"/>
    <w:rsid w:val="001C6733"/>
    <w:rsid w:val="001C6CBC"/>
    <w:rsid w:val="001C70B2"/>
    <w:rsid w:val="001C720F"/>
    <w:rsid w:val="001C722A"/>
    <w:rsid w:val="001C72DC"/>
    <w:rsid w:val="001C7349"/>
    <w:rsid w:val="001C7835"/>
    <w:rsid w:val="001C7C4D"/>
    <w:rsid w:val="001D0021"/>
    <w:rsid w:val="001D009A"/>
    <w:rsid w:val="001D04FA"/>
    <w:rsid w:val="001D0867"/>
    <w:rsid w:val="001D0975"/>
    <w:rsid w:val="001D0C6F"/>
    <w:rsid w:val="001D0E0D"/>
    <w:rsid w:val="001D0E2E"/>
    <w:rsid w:val="001D15ED"/>
    <w:rsid w:val="001D1871"/>
    <w:rsid w:val="001D1ABB"/>
    <w:rsid w:val="001D1B33"/>
    <w:rsid w:val="001D1D14"/>
    <w:rsid w:val="001D1D50"/>
    <w:rsid w:val="001D1D69"/>
    <w:rsid w:val="001D1F28"/>
    <w:rsid w:val="001D1F9F"/>
    <w:rsid w:val="001D1FCE"/>
    <w:rsid w:val="001D244F"/>
    <w:rsid w:val="001D2881"/>
    <w:rsid w:val="001D2B5B"/>
    <w:rsid w:val="001D32E7"/>
    <w:rsid w:val="001D346E"/>
    <w:rsid w:val="001D3564"/>
    <w:rsid w:val="001D3DE5"/>
    <w:rsid w:val="001D4256"/>
    <w:rsid w:val="001D48BE"/>
    <w:rsid w:val="001D491C"/>
    <w:rsid w:val="001D49FD"/>
    <w:rsid w:val="001D4E10"/>
    <w:rsid w:val="001D541F"/>
    <w:rsid w:val="001D545D"/>
    <w:rsid w:val="001D5739"/>
    <w:rsid w:val="001D57BE"/>
    <w:rsid w:val="001D5830"/>
    <w:rsid w:val="001D5845"/>
    <w:rsid w:val="001D5C27"/>
    <w:rsid w:val="001D5DB6"/>
    <w:rsid w:val="001D5DDF"/>
    <w:rsid w:val="001D60A6"/>
    <w:rsid w:val="001D611E"/>
    <w:rsid w:val="001D612F"/>
    <w:rsid w:val="001D62D9"/>
    <w:rsid w:val="001D6361"/>
    <w:rsid w:val="001D6765"/>
    <w:rsid w:val="001D6A03"/>
    <w:rsid w:val="001D6DDC"/>
    <w:rsid w:val="001D6E84"/>
    <w:rsid w:val="001D7043"/>
    <w:rsid w:val="001D726F"/>
    <w:rsid w:val="001D735A"/>
    <w:rsid w:val="001D76ED"/>
    <w:rsid w:val="001D7AF0"/>
    <w:rsid w:val="001D7C16"/>
    <w:rsid w:val="001E0339"/>
    <w:rsid w:val="001E03D3"/>
    <w:rsid w:val="001E04C9"/>
    <w:rsid w:val="001E0606"/>
    <w:rsid w:val="001E0843"/>
    <w:rsid w:val="001E08F1"/>
    <w:rsid w:val="001E0A3E"/>
    <w:rsid w:val="001E0B60"/>
    <w:rsid w:val="001E0E57"/>
    <w:rsid w:val="001E11D4"/>
    <w:rsid w:val="001E1224"/>
    <w:rsid w:val="001E14A7"/>
    <w:rsid w:val="001E1716"/>
    <w:rsid w:val="001E17E5"/>
    <w:rsid w:val="001E1878"/>
    <w:rsid w:val="001E1917"/>
    <w:rsid w:val="001E19F3"/>
    <w:rsid w:val="001E1D1A"/>
    <w:rsid w:val="001E1E01"/>
    <w:rsid w:val="001E1EA3"/>
    <w:rsid w:val="001E2017"/>
    <w:rsid w:val="001E2419"/>
    <w:rsid w:val="001E29D3"/>
    <w:rsid w:val="001E2B8F"/>
    <w:rsid w:val="001E304C"/>
    <w:rsid w:val="001E3192"/>
    <w:rsid w:val="001E3350"/>
    <w:rsid w:val="001E354D"/>
    <w:rsid w:val="001E35D1"/>
    <w:rsid w:val="001E3680"/>
    <w:rsid w:val="001E3789"/>
    <w:rsid w:val="001E3848"/>
    <w:rsid w:val="001E3CDC"/>
    <w:rsid w:val="001E3D60"/>
    <w:rsid w:val="001E3EA0"/>
    <w:rsid w:val="001E40F3"/>
    <w:rsid w:val="001E4457"/>
    <w:rsid w:val="001E4671"/>
    <w:rsid w:val="001E47FA"/>
    <w:rsid w:val="001E4B13"/>
    <w:rsid w:val="001E4BA8"/>
    <w:rsid w:val="001E4C51"/>
    <w:rsid w:val="001E4F72"/>
    <w:rsid w:val="001E5667"/>
    <w:rsid w:val="001E583F"/>
    <w:rsid w:val="001E5847"/>
    <w:rsid w:val="001E586E"/>
    <w:rsid w:val="001E5B82"/>
    <w:rsid w:val="001E5D75"/>
    <w:rsid w:val="001E5D95"/>
    <w:rsid w:val="001E5DF5"/>
    <w:rsid w:val="001E5FB0"/>
    <w:rsid w:val="001E5FEC"/>
    <w:rsid w:val="001E6338"/>
    <w:rsid w:val="001E6472"/>
    <w:rsid w:val="001E66D9"/>
    <w:rsid w:val="001E683C"/>
    <w:rsid w:val="001E6917"/>
    <w:rsid w:val="001E6B48"/>
    <w:rsid w:val="001E6C8B"/>
    <w:rsid w:val="001E77C4"/>
    <w:rsid w:val="001E7950"/>
    <w:rsid w:val="001E79FB"/>
    <w:rsid w:val="001E7BE4"/>
    <w:rsid w:val="001E7C61"/>
    <w:rsid w:val="001F0032"/>
    <w:rsid w:val="001F01FE"/>
    <w:rsid w:val="001F0258"/>
    <w:rsid w:val="001F025E"/>
    <w:rsid w:val="001F052B"/>
    <w:rsid w:val="001F0856"/>
    <w:rsid w:val="001F0A67"/>
    <w:rsid w:val="001F0BB1"/>
    <w:rsid w:val="001F0DE7"/>
    <w:rsid w:val="001F0E4E"/>
    <w:rsid w:val="001F1110"/>
    <w:rsid w:val="001F1377"/>
    <w:rsid w:val="001F13DE"/>
    <w:rsid w:val="001F14FC"/>
    <w:rsid w:val="001F18C4"/>
    <w:rsid w:val="001F2254"/>
    <w:rsid w:val="001F2580"/>
    <w:rsid w:val="001F2BCE"/>
    <w:rsid w:val="001F2BCF"/>
    <w:rsid w:val="001F2D48"/>
    <w:rsid w:val="001F2E71"/>
    <w:rsid w:val="001F320E"/>
    <w:rsid w:val="001F3475"/>
    <w:rsid w:val="001F356E"/>
    <w:rsid w:val="001F3765"/>
    <w:rsid w:val="001F37D5"/>
    <w:rsid w:val="001F3A1C"/>
    <w:rsid w:val="001F3BC2"/>
    <w:rsid w:val="001F3C14"/>
    <w:rsid w:val="001F3CE8"/>
    <w:rsid w:val="001F3F81"/>
    <w:rsid w:val="001F4094"/>
    <w:rsid w:val="001F4216"/>
    <w:rsid w:val="001F44C3"/>
    <w:rsid w:val="001F44DF"/>
    <w:rsid w:val="001F4582"/>
    <w:rsid w:val="001F4616"/>
    <w:rsid w:val="001F46BE"/>
    <w:rsid w:val="001F47FB"/>
    <w:rsid w:val="001F4C8E"/>
    <w:rsid w:val="001F502E"/>
    <w:rsid w:val="001F505D"/>
    <w:rsid w:val="001F56A9"/>
    <w:rsid w:val="001F57E6"/>
    <w:rsid w:val="001F5A20"/>
    <w:rsid w:val="001F5B6A"/>
    <w:rsid w:val="001F5D99"/>
    <w:rsid w:val="001F5ECA"/>
    <w:rsid w:val="001F5ED1"/>
    <w:rsid w:val="001F5F62"/>
    <w:rsid w:val="001F5FA0"/>
    <w:rsid w:val="001F6155"/>
    <w:rsid w:val="001F6590"/>
    <w:rsid w:val="001F65F9"/>
    <w:rsid w:val="001F68B4"/>
    <w:rsid w:val="001F6B71"/>
    <w:rsid w:val="001F6B76"/>
    <w:rsid w:val="001F6E7B"/>
    <w:rsid w:val="001F6E8E"/>
    <w:rsid w:val="001F6EBA"/>
    <w:rsid w:val="001F6FF4"/>
    <w:rsid w:val="001F71B4"/>
    <w:rsid w:val="001F7516"/>
    <w:rsid w:val="001F766F"/>
    <w:rsid w:val="001F787F"/>
    <w:rsid w:val="001F7959"/>
    <w:rsid w:val="0020009D"/>
    <w:rsid w:val="002001A4"/>
    <w:rsid w:val="0020021B"/>
    <w:rsid w:val="00200498"/>
    <w:rsid w:val="0020055E"/>
    <w:rsid w:val="002006E0"/>
    <w:rsid w:val="00200825"/>
    <w:rsid w:val="00200857"/>
    <w:rsid w:val="002008F7"/>
    <w:rsid w:val="00200AD5"/>
    <w:rsid w:val="00200CB9"/>
    <w:rsid w:val="00200E0D"/>
    <w:rsid w:val="00200E42"/>
    <w:rsid w:val="00200F43"/>
    <w:rsid w:val="0020121B"/>
    <w:rsid w:val="0020156E"/>
    <w:rsid w:val="00201660"/>
    <w:rsid w:val="00201A79"/>
    <w:rsid w:val="00201C15"/>
    <w:rsid w:val="00201C7C"/>
    <w:rsid w:val="00202032"/>
    <w:rsid w:val="0020215A"/>
    <w:rsid w:val="0020237D"/>
    <w:rsid w:val="002028FB"/>
    <w:rsid w:val="0020296F"/>
    <w:rsid w:val="0020302A"/>
    <w:rsid w:val="00203194"/>
    <w:rsid w:val="0020325E"/>
    <w:rsid w:val="002032B9"/>
    <w:rsid w:val="002033E3"/>
    <w:rsid w:val="002035EB"/>
    <w:rsid w:val="0020379D"/>
    <w:rsid w:val="002038C2"/>
    <w:rsid w:val="002038C7"/>
    <w:rsid w:val="002038E8"/>
    <w:rsid w:val="002039D0"/>
    <w:rsid w:val="00203A00"/>
    <w:rsid w:val="00203A4D"/>
    <w:rsid w:val="00203B69"/>
    <w:rsid w:val="00203B8E"/>
    <w:rsid w:val="00203F23"/>
    <w:rsid w:val="002045EB"/>
    <w:rsid w:val="002049E8"/>
    <w:rsid w:val="00204B07"/>
    <w:rsid w:val="00204D43"/>
    <w:rsid w:val="00204EE9"/>
    <w:rsid w:val="00204F52"/>
    <w:rsid w:val="00205268"/>
    <w:rsid w:val="00205A77"/>
    <w:rsid w:val="00205D75"/>
    <w:rsid w:val="00205DAB"/>
    <w:rsid w:val="002061AF"/>
    <w:rsid w:val="002062A6"/>
    <w:rsid w:val="0020638F"/>
    <w:rsid w:val="002063AD"/>
    <w:rsid w:val="00206468"/>
    <w:rsid w:val="002064AA"/>
    <w:rsid w:val="00206637"/>
    <w:rsid w:val="00206810"/>
    <w:rsid w:val="002069E1"/>
    <w:rsid w:val="00206C97"/>
    <w:rsid w:val="00206E26"/>
    <w:rsid w:val="00206E2D"/>
    <w:rsid w:val="002071D1"/>
    <w:rsid w:val="002074BD"/>
    <w:rsid w:val="002075F2"/>
    <w:rsid w:val="0020762F"/>
    <w:rsid w:val="00207748"/>
    <w:rsid w:val="00207757"/>
    <w:rsid w:val="00207980"/>
    <w:rsid w:val="00207A52"/>
    <w:rsid w:val="00207B0D"/>
    <w:rsid w:val="00207BA3"/>
    <w:rsid w:val="00210011"/>
    <w:rsid w:val="00210527"/>
    <w:rsid w:val="0021068C"/>
    <w:rsid w:val="002106F9"/>
    <w:rsid w:val="0021080B"/>
    <w:rsid w:val="002108AF"/>
    <w:rsid w:val="00210A2D"/>
    <w:rsid w:val="00210C5C"/>
    <w:rsid w:val="00210EAC"/>
    <w:rsid w:val="00210F7C"/>
    <w:rsid w:val="0021121F"/>
    <w:rsid w:val="00211220"/>
    <w:rsid w:val="0021159D"/>
    <w:rsid w:val="002115B2"/>
    <w:rsid w:val="0021176E"/>
    <w:rsid w:val="0021188F"/>
    <w:rsid w:val="00211D27"/>
    <w:rsid w:val="002122E9"/>
    <w:rsid w:val="0021240A"/>
    <w:rsid w:val="00212575"/>
    <w:rsid w:val="0021263A"/>
    <w:rsid w:val="0021266A"/>
    <w:rsid w:val="002126AD"/>
    <w:rsid w:val="00212808"/>
    <w:rsid w:val="00212940"/>
    <w:rsid w:val="00212B7C"/>
    <w:rsid w:val="002132DE"/>
    <w:rsid w:val="00213A3B"/>
    <w:rsid w:val="00213CBB"/>
    <w:rsid w:val="00213E05"/>
    <w:rsid w:val="00213FE8"/>
    <w:rsid w:val="00214104"/>
    <w:rsid w:val="002144AC"/>
    <w:rsid w:val="00214537"/>
    <w:rsid w:val="002145FF"/>
    <w:rsid w:val="002147AF"/>
    <w:rsid w:val="0021499C"/>
    <w:rsid w:val="00214BDA"/>
    <w:rsid w:val="0021517E"/>
    <w:rsid w:val="00215283"/>
    <w:rsid w:val="00215915"/>
    <w:rsid w:val="00215938"/>
    <w:rsid w:val="00215A21"/>
    <w:rsid w:val="00215A81"/>
    <w:rsid w:val="00215AB5"/>
    <w:rsid w:val="00215B33"/>
    <w:rsid w:val="00215B75"/>
    <w:rsid w:val="00215D5F"/>
    <w:rsid w:val="00216167"/>
    <w:rsid w:val="0021628E"/>
    <w:rsid w:val="0021694A"/>
    <w:rsid w:val="0021701A"/>
    <w:rsid w:val="00217160"/>
    <w:rsid w:val="002173C8"/>
    <w:rsid w:val="0021741E"/>
    <w:rsid w:val="00217843"/>
    <w:rsid w:val="00217B48"/>
    <w:rsid w:val="00217CB9"/>
    <w:rsid w:val="0022008B"/>
    <w:rsid w:val="002200FD"/>
    <w:rsid w:val="00220202"/>
    <w:rsid w:val="002206A6"/>
    <w:rsid w:val="00220D33"/>
    <w:rsid w:val="00220F10"/>
    <w:rsid w:val="002210A6"/>
    <w:rsid w:val="00221103"/>
    <w:rsid w:val="00221191"/>
    <w:rsid w:val="002214CD"/>
    <w:rsid w:val="00221958"/>
    <w:rsid w:val="002222BA"/>
    <w:rsid w:val="00222C3B"/>
    <w:rsid w:val="00222D03"/>
    <w:rsid w:val="0022307E"/>
    <w:rsid w:val="002233CE"/>
    <w:rsid w:val="00223596"/>
    <w:rsid w:val="002237DC"/>
    <w:rsid w:val="002238E4"/>
    <w:rsid w:val="00223B6F"/>
    <w:rsid w:val="00223C81"/>
    <w:rsid w:val="00223EFB"/>
    <w:rsid w:val="002248A1"/>
    <w:rsid w:val="002248A9"/>
    <w:rsid w:val="00224CC9"/>
    <w:rsid w:val="00224D6E"/>
    <w:rsid w:val="0022544B"/>
    <w:rsid w:val="0022551C"/>
    <w:rsid w:val="00225638"/>
    <w:rsid w:val="00225B1B"/>
    <w:rsid w:val="00225E2B"/>
    <w:rsid w:val="0022609A"/>
    <w:rsid w:val="0022616A"/>
    <w:rsid w:val="00226260"/>
    <w:rsid w:val="00226553"/>
    <w:rsid w:val="00226BBC"/>
    <w:rsid w:val="00226E82"/>
    <w:rsid w:val="00226F6F"/>
    <w:rsid w:val="00226FE4"/>
    <w:rsid w:val="00227005"/>
    <w:rsid w:val="00227123"/>
    <w:rsid w:val="0022720E"/>
    <w:rsid w:val="00227214"/>
    <w:rsid w:val="0022724A"/>
    <w:rsid w:val="00227305"/>
    <w:rsid w:val="00227578"/>
    <w:rsid w:val="0022768F"/>
    <w:rsid w:val="002278B7"/>
    <w:rsid w:val="002279C9"/>
    <w:rsid w:val="00227B5D"/>
    <w:rsid w:val="00227B7E"/>
    <w:rsid w:val="00227CD8"/>
    <w:rsid w:val="00227F77"/>
    <w:rsid w:val="00230536"/>
    <w:rsid w:val="002308E5"/>
    <w:rsid w:val="00230A6F"/>
    <w:rsid w:val="00230EA6"/>
    <w:rsid w:val="002311D8"/>
    <w:rsid w:val="00231337"/>
    <w:rsid w:val="00231596"/>
    <w:rsid w:val="00231657"/>
    <w:rsid w:val="00231A3D"/>
    <w:rsid w:val="00232043"/>
    <w:rsid w:val="002320AA"/>
    <w:rsid w:val="0023234A"/>
    <w:rsid w:val="002327B7"/>
    <w:rsid w:val="00232A5E"/>
    <w:rsid w:val="00232B08"/>
    <w:rsid w:val="00232FBC"/>
    <w:rsid w:val="002337BD"/>
    <w:rsid w:val="00233CA9"/>
    <w:rsid w:val="00233D32"/>
    <w:rsid w:val="00233DE6"/>
    <w:rsid w:val="00233EBB"/>
    <w:rsid w:val="002341B2"/>
    <w:rsid w:val="0023435A"/>
    <w:rsid w:val="002344A3"/>
    <w:rsid w:val="0023454D"/>
    <w:rsid w:val="0023492F"/>
    <w:rsid w:val="00234B31"/>
    <w:rsid w:val="00234C1E"/>
    <w:rsid w:val="002352C3"/>
    <w:rsid w:val="002354A4"/>
    <w:rsid w:val="002354DC"/>
    <w:rsid w:val="00235593"/>
    <w:rsid w:val="00235671"/>
    <w:rsid w:val="002358B4"/>
    <w:rsid w:val="00235DBE"/>
    <w:rsid w:val="00235FB0"/>
    <w:rsid w:val="00236316"/>
    <w:rsid w:val="002364D0"/>
    <w:rsid w:val="0023654A"/>
    <w:rsid w:val="002367B6"/>
    <w:rsid w:val="00236891"/>
    <w:rsid w:val="00236971"/>
    <w:rsid w:val="00236A5F"/>
    <w:rsid w:val="00236DBC"/>
    <w:rsid w:val="002370CB"/>
    <w:rsid w:val="002374CF"/>
    <w:rsid w:val="00237866"/>
    <w:rsid w:val="00237B2F"/>
    <w:rsid w:val="00237B3E"/>
    <w:rsid w:val="00237B43"/>
    <w:rsid w:val="002403C5"/>
    <w:rsid w:val="002408EF"/>
    <w:rsid w:val="00240936"/>
    <w:rsid w:val="002409B0"/>
    <w:rsid w:val="00241181"/>
    <w:rsid w:val="0024133F"/>
    <w:rsid w:val="00241997"/>
    <w:rsid w:val="00241A2A"/>
    <w:rsid w:val="00241A34"/>
    <w:rsid w:val="00241AC6"/>
    <w:rsid w:val="00241D72"/>
    <w:rsid w:val="00241DDF"/>
    <w:rsid w:val="00241F33"/>
    <w:rsid w:val="0024243B"/>
    <w:rsid w:val="0024259E"/>
    <w:rsid w:val="002425C8"/>
    <w:rsid w:val="00242746"/>
    <w:rsid w:val="002429C3"/>
    <w:rsid w:val="00242A3F"/>
    <w:rsid w:val="00242AC5"/>
    <w:rsid w:val="00242D4A"/>
    <w:rsid w:val="0024355C"/>
    <w:rsid w:val="0024355E"/>
    <w:rsid w:val="002436FC"/>
    <w:rsid w:val="00243955"/>
    <w:rsid w:val="00243A7F"/>
    <w:rsid w:val="002441CA"/>
    <w:rsid w:val="002442BA"/>
    <w:rsid w:val="00244446"/>
    <w:rsid w:val="00244821"/>
    <w:rsid w:val="00244909"/>
    <w:rsid w:val="00244A69"/>
    <w:rsid w:val="002450E7"/>
    <w:rsid w:val="00245188"/>
    <w:rsid w:val="002452E4"/>
    <w:rsid w:val="00245667"/>
    <w:rsid w:val="0024577D"/>
    <w:rsid w:val="00245927"/>
    <w:rsid w:val="00245A75"/>
    <w:rsid w:val="00245D76"/>
    <w:rsid w:val="00245F75"/>
    <w:rsid w:val="00246193"/>
    <w:rsid w:val="00246B0A"/>
    <w:rsid w:val="00246BF1"/>
    <w:rsid w:val="00247030"/>
    <w:rsid w:val="002472E0"/>
    <w:rsid w:val="002475EE"/>
    <w:rsid w:val="002476E7"/>
    <w:rsid w:val="002477C0"/>
    <w:rsid w:val="00247B10"/>
    <w:rsid w:val="00247DA6"/>
    <w:rsid w:val="0025039E"/>
    <w:rsid w:val="002508E9"/>
    <w:rsid w:val="00250A8D"/>
    <w:rsid w:val="00250E01"/>
    <w:rsid w:val="002512D4"/>
    <w:rsid w:val="0025147C"/>
    <w:rsid w:val="00251A72"/>
    <w:rsid w:val="00251B3F"/>
    <w:rsid w:val="00251E39"/>
    <w:rsid w:val="00251EB4"/>
    <w:rsid w:val="00251F65"/>
    <w:rsid w:val="0025218C"/>
    <w:rsid w:val="002528D3"/>
    <w:rsid w:val="00252A5B"/>
    <w:rsid w:val="00252C21"/>
    <w:rsid w:val="00252D86"/>
    <w:rsid w:val="002536B9"/>
    <w:rsid w:val="002538BB"/>
    <w:rsid w:val="00253A6E"/>
    <w:rsid w:val="00254036"/>
    <w:rsid w:val="002541C4"/>
    <w:rsid w:val="002541EE"/>
    <w:rsid w:val="00254307"/>
    <w:rsid w:val="0025455B"/>
    <w:rsid w:val="00254A7C"/>
    <w:rsid w:val="00254B31"/>
    <w:rsid w:val="00254B90"/>
    <w:rsid w:val="00254BE6"/>
    <w:rsid w:val="00254D1C"/>
    <w:rsid w:val="0025502D"/>
    <w:rsid w:val="00255140"/>
    <w:rsid w:val="0025545A"/>
    <w:rsid w:val="00255686"/>
    <w:rsid w:val="002556BA"/>
    <w:rsid w:val="0025589F"/>
    <w:rsid w:val="00255BA7"/>
    <w:rsid w:val="00255DBD"/>
    <w:rsid w:val="00255F5A"/>
    <w:rsid w:val="00256186"/>
    <w:rsid w:val="002562F3"/>
    <w:rsid w:val="00256327"/>
    <w:rsid w:val="00256906"/>
    <w:rsid w:val="00256D04"/>
    <w:rsid w:val="00256E25"/>
    <w:rsid w:val="0025714B"/>
    <w:rsid w:val="00257C1E"/>
    <w:rsid w:val="00257E64"/>
    <w:rsid w:val="00257FEB"/>
    <w:rsid w:val="002604A9"/>
    <w:rsid w:val="002608FB"/>
    <w:rsid w:val="00260C52"/>
    <w:rsid w:val="00260CAD"/>
    <w:rsid w:val="00261396"/>
    <w:rsid w:val="002614B9"/>
    <w:rsid w:val="00261860"/>
    <w:rsid w:val="0026192D"/>
    <w:rsid w:val="00261991"/>
    <w:rsid w:val="00261A9B"/>
    <w:rsid w:val="00261EC1"/>
    <w:rsid w:val="00262297"/>
    <w:rsid w:val="002623A6"/>
    <w:rsid w:val="00262449"/>
    <w:rsid w:val="00262485"/>
    <w:rsid w:val="00262949"/>
    <w:rsid w:val="00262A5E"/>
    <w:rsid w:val="00262A81"/>
    <w:rsid w:val="00262C8C"/>
    <w:rsid w:val="00262D49"/>
    <w:rsid w:val="00262E5D"/>
    <w:rsid w:val="002636A4"/>
    <w:rsid w:val="00263AFD"/>
    <w:rsid w:val="00263F76"/>
    <w:rsid w:val="0026450F"/>
    <w:rsid w:val="00264539"/>
    <w:rsid w:val="002645BD"/>
    <w:rsid w:val="002646EF"/>
    <w:rsid w:val="002647CB"/>
    <w:rsid w:val="002647CE"/>
    <w:rsid w:val="0026497A"/>
    <w:rsid w:val="00264AF5"/>
    <w:rsid w:val="00264C53"/>
    <w:rsid w:val="00264C9A"/>
    <w:rsid w:val="00265180"/>
    <w:rsid w:val="00265221"/>
    <w:rsid w:val="00265414"/>
    <w:rsid w:val="00265499"/>
    <w:rsid w:val="00265636"/>
    <w:rsid w:val="0026596E"/>
    <w:rsid w:val="00266266"/>
    <w:rsid w:val="00266403"/>
    <w:rsid w:val="0026641B"/>
    <w:rsid w:val="00266AF6"/>
    <w:rsid w:val="00266B29"/>
    <w:rsid w:val="00266E33"/>
    <w:rsid w:val="00266E3F"/>
    <w:rsid w:val="00267334"/>
    <w:rsid w:val="00267350"/>
    <w:rsid w:val="002676EA"/>
    <w:rsid w:val="002677A0"/>
    <w:rsid w:val="00267981"/>
    <w:rsid w:val="00267D25"/>
    <w:rsid w:val="00267FEA"/>
    <w:rsid w:val="002702C3"/>
    <w:rsid w:val="0027033D"/>
    <w:rsid w:val="00270480"/>
    <w:rsid w:val="002704F7"/>
    <w:rsid w:val="002706B9"/>
    <w:rsid w:val="002706EA"/>
    <w:rsid w:val="0027092D"/>
    <w:rsid w:val="00270B03"/>
    <w:rsid w:val="00270B54"/>
    <w:rsid w:val="00270BE1"/>
    <w:rsid w:val="00270CD3"/>
    <w:rsid w:val="00270DA1"/>
    <w:rsid w:val="00270FC4"/>
    <w:rsid w:val="00270FCB"/>
    <w:rsid w:val="00271057"/>
    <w:rsid w:val="002710CF"/>
    <w:rsid w:val="00271242"/>
    <w:rsid w:val="00271270"/>
    <w:rsid w:val="00271436"/>
    <w:rsid w:val="00271538"/>
    <w:rsid w:val="002718FD"/>
    <w:rsid w:val="00271C20"/>
    <w:rsid w:val="00271EEB"/>
    <w:rsid w:val="00271F5F"/>
    <w:rsid w:val="00272025"/>
    <w:rsid w:val="00272490"/>
    <w:rsid w:val="00272929"/>
    <w:rsid w:val="00272A93"/>
    <w:rsid w:val="00272BB6"/>
    <w:rsid w:val="00272BF7"/>
    <w:rsid w:val="00272D80"/>
    <w:rsid w:val="0027337E"/>
    <w:rsid w:val="0027357D"/>
    <w:rsid w:val="00273B33"/>
    <w:rsid w:val="002740C7"/>
    <w:rsid w:val="0027440E"/>
    <w:rsid w:val="0027494D"/>
    <w:rsid w:val="00274AE9"/>
    <w:rsid w:val="00274DB1"/>
    <w:rsid w:val="002753F6"/>
    <w:rsid w:val="002754EE"/>
    <w:rsid w:val="0027552E"/>
    <w:rsid w:val="00275801"/>
    <w:rsid w:val="002759A4"/>
    <w:rsid w:val="00275A46"/>
    <w:rsid w:val="00275ADA"/>
    <w:rsid w:val="00275D35"/>
    <w:rsid w:val="00275EF0"/>
    <w:rsid w:val="00276048"/>
    <w:rsid w:val="002761F2"/>
    <w:rsid w:val="00276237"/>
    <w:rsid w:val="00276792"/>
    <w:rsid w:val="00276900"/>
    <w:rsid w:val="00276D3A"/>
    <w:rsid w:val="00277001"/>
    <w:rsid w:val="00277438"/>
    <w:rsid w:val="00277542"/>
    <w:rsid w:val="0027762E"/>
    <w:rsid w:val="00277748"/>
    <w:rsid w:val="00277839"/>
    <w:rsid w:val="002779AF"/>
    <w:rsid w:val="00277C6B"/>
    <w:rsid w:val="00277D86"/>
    <w:rsid w:val="00277DC4"/>
    <w:rsid w:val="002800A1"/>
    <w:rsid w:val="0028046C"/>
    <w:rsid w:val="00280603"/>
    <w:rsid w:val="00280629"/>
    <w:rsid w:val="0028064B"/>
    <w:rsid w:val="00280672"/>
    <w:rsid w:val="00280681"/>
    <w:rsid w:val="00280775"/>
    <w:rsid w:val="002808C4"/>
    <w:rsid w:val="00280A29"/>
    <w:rsid w:val="00280A2E"/>
    <w:rsid w:val="00280B39"/>
    <w:rsid w:val="00280E01"/>
    <w:rsid w:val="00280E35"/>
    <w:rsid w:val="00281148"/>
    <w:rsid w:val="00281155"/>
    <w:rsid w:val="00281313"/>
    <w:rsid w:val="002815AD"/>
    <w:rsid w:val="00281639"/>
    <w:rsid w:val="0028176C"/>
    <w:rsid w:val="0028233F"/>
    <w:rsid w:val="00282444"/>
    <w:rsid w:val="0028267B"/>
    <w:rsid w:val="00282778"/>
    <w:rsid w:val="00282AF4"/>
    <w:rsid w:val="00282B27"/>
    <w:rsid w:val="00282B49"/>
    <w:rsid w:val="00282B73"/>
    <w:rsid w:val="00282C42"/>
    <w:rsid w:val="00282C9D"/>
    <w:rsid w:val="00282DE4"/>
    <w:rsid w:val="00282E3B"/>
    <w:rsid w:val="00283035"/>
    <w:rsid w:val="00283125"/>
    <w:rsid w:val="0028383F"/>
    <w:rsid w:val="00283AC2"/>
    <w:rsid w:val="00283D38"/>
    <w:rsid w:val="00283F49"/>
    <w:rsid w:val="00284056"/>
    <w:rsid w:val="002841B0"/>
    <w:rsid w:val="00284599"/>
    <w:rsid w:val="002848F3"/>
    <w:rsid w:val="00284F60"/>
    <w:rsid w:val="00284F6D"/>
    <w:rsid w:val="0028500D"/>
    <w:rsid w:val="0028515C"/>
    <w:rsid w:val="00285269"/>
    <w:rsid w:val="002852FB"/>
    <w:rsid w:val="0028532A"/>
    <w:rsid w:val="00285551"/>
    <w:rsid w:val="00285A2D"/>
    <w:rsid w:val="00285BCA"/>
    <w:rsid w:val="002860E9"/>
    <w:rsid w:val="002863D4"/>
    <w:rsid w:val="00286434"/>
    <w:rsid w:val="0028645C"/>
    <w:rsid w:val="002865C4"/>
    <w:rsid w:val="002867E5"/>
    <w:rsid w:val="002869D4"/>
    <w:rsid w:val="00286AE5"/>
    <w:rsid w:val="00286BFC"/>
    <w:rsid w:val="00286EF1"/>
    <w:rsid w:val="002870F0"/>
    <w:rsid w:val="00287134"/>
    <w:rsid w:val="002871D7"/>
    <w:rsid w:val="002872C3"/>
    <w:rsid w:val="0028737D"/>
    <w:rsid w:val="00287694"/>
    <w:rsid w:val="002877C3"/>
    <w:rsid w:val="00287978"/>
    <w:rsid w:val="00287B55"/>
    <w:rsid w:val="00287C9C"/>
    <w:rsid w:val="00287EC1"/>
    <w:rsid w:val="0029017F"/>
    <w:rsid w:val="002902F7"/>
    <w:rsid w:val="00290470"/>
    <w:rsid w:val="0029053D"/>
    <w:rsid w:val="00290B6C"/>
    <w:rsid w:val="00290E09"/>
    <w:rsid w:val="00290FE0"/>
    <w:rsid w:val="002910B5"/>
    <w:rsid w:val="002910BF"/>
    <w:rsid w:val="0029196E"/>
    <w:rsid w:val="00291D4D"/>
    <w:rsid w:val="00291FB7"/>
    <w:rsid w:val="00292208"/>
    <w:rsid w:val="002923E3"/>
    <w:rsid w:val="0029242A"/>
    <w:rsid w:val="00292533"/>
    <w:rsid w:val="00292AD1"/>
    <w:rsid w:val="00292B9B"/>
    <w:rsid w:val="00292C11"/>
    <w:rsid w:val="00292E21"/>
    <w:rsid w:val="0029312E"/>
    <w:rsid w:val="00293332"/>
    <w:rsid w:val="00293714"/>
    <w:rsid w:val="0029388A"/>
    <w:rsid w:val="00293AAC"/>
    <w:rsid w:val="00293AF9"/>
    <w:rsid w:val="00293D4F"/>
    <w:rsid w:val="00293E48"/>
    <w:rsid w:val="00293F29"/>
    <w:rsid w:val="00294025"/>
    <w:rsid w:val="00294044"/>
    <w:rsid w:val="002940DA"/>
    <w:rsid w:val="002941D0"/>
    <w:rsid w:val="002943E8"/>
    <w:rsid w:val="0029455B"/>
    <w:rsid w:val="00294BAC"/>
    <w:rsid w:val="00294D85"/>
    <w:rsid w:val="00294DEA"/>
    <w:rsid w:val="00295122"/>
    <w:rsid w:val="002952E3"/>
    <w:rsid w:val="0029537B"/>
    <w:rsid w:val="0029566D"/>
    <w:rsid w:val="002956A3"/>
    <w:rsid w:val="00295CCF"/>
    <w:rsid w:val="00295DC0"/>
    <w:rsid w:val="00295F7E"/>
    <w:rsid w:val="00296248"/>
    <w:rsid w:val="00296656"/>
    <w:rsid w:val="002968D1"/>
    <w:rsid w:val="00296B46"/>
    <w:rsid w:val="00296C0E"/>
    <w:rsid w:val="00296E77"/>
    <w:rsid w:val="00297027"/>
    <w:rsid w:val="00297874"/>
    <w:rsid w:val="002978BC"/>
    <w:rsid w:val="00297B14"/>
    <w:rsid w:val="00297D36"/>
    <w:rsid w:val="00297E49"/>
    <w:rsid w:val="002A0075"/>
    <w:rsid w:val="002A0AA5"/>
    <w:rsid w:val="002A0C26"/>
    <w:rsid w:val="002A0FAC"/>
    <w:rsid w:val="002A1049"/>
    <w:rsid w:val="002A140C"/>
    <w:rsid w:val="002A16A2"/>
    <w:rsid w:val="002A1B61"/>
    <w:rsid w:val="002A1D54"/>
    <w:rsid w:val="002A2406"/>
    <w:rsid w:val="002A24C5"/>
    <w:rsid w:val="002A250B"/>
    <w:rsid w:val="002A2571"/>
    <w:rsid w:val="002A276D"/>
    <w:rsid w:val="002A297F"/>
    <w:rsid w:val="002A29BE"/>
    <w:rsid w:val="002A2B35"/>
    <w:rsid w:val="002A2D4E"/>
    <w:rsid w:val="002A3373"/>
    <w:rsid w:val="002A3418"/>
    <w:rsid w:val="002A3579"/>
    <w:rsid w:val="002A393C"/>
    <w:rsid w:val="002A3BAF"/>
    <w:rsid w:val="002A3CFC"/>
    <w:rsid w:val="002A40C6"/>
    <w:rsid w:val="002A433D"/>
    <w:rsid w:val="002A443C"/>
    <w:rsid w:val="002A4945"/>
    <w:rsid w:val="002A4CD2"/>
    <w:rsid w:val="002A4E25"/>
    <w:rsid w:val="002A501D"/>
    <w:rsid w:val="002A5137"/>
    <w:rsid w:val="002A53D2"/>
    <w:rsid w:val="002A5432"/>
    <w:rsid w:val="002A573F"/>
    <w:rsid w:val="002A579D"/>
    <w:rsid w:val="002A57B5"/>
    <w:rsid w:val="002A5870"/>
    <w:rsid w:val="002A5FB4"/>
    <w:rsid w:val="002A63BD"/>
    <w:rsid w:val="002A65B8"/>
    <w:rsid w:val="002A69A6"/>
    <w:rsid w:val="002A69AC"/>
    <w:rsid w:val="002A6B92"/>
    <w:rsid w:val="002A6C89"/>
    <w:rsid w:val="002A6D11"/>
    <w:rsid w:val="002A6DBE"/>
    <w:rsid w:val="002A6E5E"/>
    <w:rsid w:val="002A733B"/>
    <w:rsid w:val="002A7405"/>
    <w:rsid w:val="002A741D"/>
    <w:rsid w:val="002A796C"/>
    <w:rsid w:val="002B07F7"/>
    <w:rsid w:val="002B0C4D"/>
    <w:rsid w:val="002B0F02"/>
    <w:rsid w:val="002B0F0B"/>
    <w:rsid w:val="002B116C"/>
    <w:rsid w:val="002B11E2"/>
    <w:rsid w:val="002B158F"/>
    <w:rsid w:val="002B168C"/>
    <w:rsid w:val="002B176F"/>
    <w:rsid w:val="002B1920"/>
    <w:rsid w:val="002B1D96"/>
    <w:rsid w:val="002B1F56"/>
    <w:rsid w:val="002B21C3"/>
    <w:rsid w:val="002B24CE"/>
    <w:rsid w:val="002B2963"/>
    <w:rsid w:val="002B2E9B"/>
    <w:rsid w:val="002B30E6"/>
    <w:rsid w:val="002B3197"/>
    <w:rsid w:val="002B37BD"/>
    <w:rsid w:val="002B3BAE"/>
    <w:rsid w:val="002B407A"/>
    <w:rsid w:val="002B42E9"/>
    <w:rsid w:val="002B439A"/>
    <w:rsid w:val="002B4928"/>
    <w:rsid w:val="002B4E7D"/>
    <w:rsid w:val="002B4EE0"/>
    <w:rsid w:val="002B500F"/>
    <w:rsid w:val="002B523B"/>
    <w:rsid w:val="002B540B"/>
    <w:rsid w:val="002B5595"/>
    <w:rsid w:val="002B56E7"/>
    <w:rsid w:val="002B5855"/>
    <w:rsid w:val="002B5BDB"/>
    <w:rsid w:val="002B5C5D"/>
    <w:rsid w:val="002B5E1E"/>
    <w:rsid w:val="002B6092"/>
    <w:rsid w:val="002B633C"/>
    <w:rsid w:val="002B64A7"/>
    <w:rsid w:val="002B656A"/>
    <w:rsid w:val="002B6862"/>
    <w:rsid w:val="002B6A57"/>
    <w:rsid w:val="002B6C3A"/>
    <w:rsid w:val="002B6D7A"/>
    <w:rsid w:val="002B6E9E"/>
    <w:rsid w:val="002B6F7A"/>
    <w:rsid w:val="002B6FCF"/>
    <w:rsid w:val="002B7149"/>
    <w:rsid w:val="002B7255"/>
    <w:rsid w:val="002B7455"/>
    <w:rsid w:val="002B7690"/>
    <w:rsid w:val="002B76C6"/>
    <w:rsid w:val="002B781D"/>
    <w:rsid w:val="002B7946"/>
    <w:rsid w:val="002B7A02"/>
    <w:rsid w:val="002B7B12"/>
    <w:rsid w:val="002B7F89"/>
    <w:rsid w:val="002B7FC0"/>
    <w:rsid w:val="002C0048"/>
    <w:rsid w:val="002C018C"/>
    <w:rsid w:val="002C04C3"/>
    <w:rsid w:val="002C077F"/>
    <w:rsid w:val="002C0A29"/>
    <w:rsid w:val="002C0AAF"/>
    <w:rsid w:val="002C0E41"/>
    <w:rsid w:val="002C0E63"/>
    <w:rsid w:val="002C1006"/>
    <w:rsid w:val="002C17C8"/>
    <w:rsid w:val="002C18F2"/>
    <w:rsid w:val="002C1972"/>
    <w:rsid w:val="002C1DC9"/>
    <w:rsid w:val="002C1E8D"/>
    <w:rsid w:val="002C1F77"/>
    <w:rsid w:val="002C2114"/>
    <w:rsid w:val="002C21EC"/>
    <w:rsid w:val="002C23EA"/>
    <w:rsid w:val="002C2980"/>
    <w:rsid w:val="002C2B66"/>
    <w:rsid w:val="002C2BD8"/>
    <w:rsid w:val="002C2CAE"/>
    <w:rsid w:val="002C36A3"/>
    <w:rsid w:val="002C36F0"/>
    <w:rsid w:val="002C41E8"/>
    <w:rsid w:val="002C44B1"/>
    <w:rsid w:val="002C45AD"/>
    <w:rsid w:val="002C4D8E"/>
    <w:rsid w:val="002C5030"/>
    <w:rsid w:val="002C5620"/>
    <w:rsid w:val="002C5778"/>
    <w:rsid w:val="002C579E"/>
    <w:rsid w:val="002C60AD"/>
    <w:rsid w:val="002C6233"/>
    <w:rsid w:val="002C6501"/>
    <w:rsid w:val="002C67C3"/>
    <w:rsid w:val="002C6BAC"/>
    <w:rsid w:val="002C6DFF"/>
    <w:rsid w:val="002C72C9"/>
    <w:rsid w:val="002C75E9"/>
    <w:rsid w:val="002C78E1"/>
    <w:rsid w:val="002C7A25"/>
    <w:rsid w:val="002D050D"/>
    <w:rsid w:val="002D0534"/>
    <w:rsid w:val="002D0650"/>
    <w:rsid w:val="002D06BB"/>
    <w:rsid w:val="002D09B6"/>
    <w:rsid w:val="002D0A4A"/>
    <w:rsid w:val="002D0D3A"/>
    <w:rsid w:val="002D0DA5"/>
    <w:rsid w:val="002D0E76"/>
    <w:rsid w:val="002D123B"/>
    <w:rsid w:val="002D137E"/>
    <w:rsid w:val="002D15AE"/>
    <w:rsid w:val="002D1669"/>
    <w:rsid w:val="002D1B2D"/>
    <w:rsid w:val="002D1B9E"/>
    <w:rsid w:val="002D1C57"/>
    <w:rsid w:val="002D1D3F"/>
    <w:rsid w:val="002D1E43"/>
    <w:rsid w:val="002D2024"/>
    <w:rsid w:val="002D233A"/>
    <w:rsid w:val="002D26CB"/>
    <w:rsid w:val="002D2869"/>
    <w:rsid w:val="002D2C9D"/>
    <w:rsid w:val="002D2E2E"/>
    <w:rsid w:val="002D30F0"/>
    <w:rsid w:val="002D34D2"/>
    <w:rsid w:val="002D35FE"/>
    <w:rsid w:val="002D36F3"/>
    <w:rsid w:val="002D37B0"/>
    <w:rsid w:val="002D3839"/>
    <w:rsid w:val="002D3A63"/>
    <w:rsid w:val="002D3ACA"/>
    <w:rsid w:val="002D3D1F"/>
    <w:rsid w:val="002D4259"/>
    <w:rsid w:val="002D426D"/>
    <w:rsid w:val="002D43DB"/>
    <w:rsid w:val="002D4613"/>
    <w:rsid w:val="002D47B3"/>
    <w:rsid w:val="002D48B6"/>
    <w:rsid w:val="002D4AD6"/>
    <w:rsid w:val="002D4B72"/>
    <w:rsid w:val="002D4EA0"/>
    <w:rsid w:val="002D4F23"/>
    <w:rsid w:val="002D53F4"/>
    <w:rsid w:val="002D5457"/>
    <w:rsid w:val="002D57EE"/>
    <w:rsid w:val="002D59E8"/>
    <w:rsid w:val="002D5A26"/>
    <w:rsid w:val="002D5BDE"/>
    <w:rsid w:val="002D6047"/>
    <w:rsid w:val="002D60E7"/>
    <w:rsid w:val="002D60FF"/>
    <w:rsid w:val="002D6119"/>
    <w:rsid w:val="002D627E"/>
    <w:rsid w:val="002D6290"/>
    <w:rsid w:val="002D654F"/>
    <w:rsid w:val="002D6887"/>
    <w:rsid w:val="002D690C"/>
    <w:rsid w:val="002D6A14"/>
    <w:rsid w:val="002D6B34"/>
    <w:rsid w:val="002D6DA7"/>
    <w:rsid w:val="002D6DB8"/>
    <w:rsid w:val="002D6E93"/>
    <w:rsid w:val="002D7222"/>
    <w:rsid w:val="002D7355"/>
    <w:rsid w:val="002D7547"/>
    <w:rsid w:val="002D7577"/>
    <w:rsid w:val="002D75E7"/>
    <w:rsid w:val="002D7839"/>
    <w:rsid w:val="002D7851"/>
    <w:rsid w:val="002D7960"/>
    <w:rsid w:val="002D7A09"/>
    <w:rsid w:val="002D7AE7"/>
    <w:rsid w:val="002D7C04"/>
    <w:rsid w:val="002D7C43"/>
    <w:rsid w:val="002D7FD6"/>
    <w:rsid w:val="002E0069"/>
    <w:rsid w:val="002E0270"/>
    <w:rsid w:val="002E08D7"/>
    <w:rsid w:val="002E08F2"/>
    <w:rsid w:val="002E0953"/>
    <w:rsid w:val="002E099B"/>
    <w:rsid w:val="002E0E30"/>
    <w:rsid w:val="002E1106"/>
    <w:rsid w:val="002E17CE"/>
    <w:rsid w:val="002E19F6"/>
    <w:rsid w:val="002E1AA7"/>
    <w:rsid w:val="002E1DAA"/>
    <w:rsid w:val="002E1F49"/>
    <w:rsid w:val="002E2248"/>
    <w:rsid w:val="002E2359"/>
    <w:rsid w:val="002E23A6"/>
    <w:rsid w:val="002E2B65"/>
    <w:rsid w:val="002E2C08"/>
    <w:rsid w:val="002E3455"/>
    <w:rsid w:val="002E3603"/>
    <w:rsid w:val="002E38FB"/>
    <w:rsid w:val="002E3F99"/>
    <w:rsid w:val="002E4059"/>
    <w:rsid w:val="002E414C"/>
    <w:rsid w:val="002E4196"/>
    <w:rsid w:val="002E4305"/>
    <w:rsid w:val="002E4511"/>
    <w:rsid w:val="002E4527"/>
    <w:rsid w:val="002E4869"/>
    <w:rsid w:val="002E498A"/>
    <w:rsid w:val="002E4CEC"/>
    <w:rsid w:val="002E4D57"/>
    <w:rsid w:val="002E50EF"/>
    <w:rsid w:val="002E5184"/>
    <w:rsid w:val="002E529A"/>
    <w:rsid w:val="002E548D"/>
    <w:rsid w:val="002E55FE"/>
    <w:rsid w:val="002E594A"/>
    <w:rsid w:val="002E5A2B"/>
    <w:rsid w:val="002E5A4A"/>
    <w:rsid w:val="002E5A72"/>
    <w:rsid w:val="002E5D72"/>
    <w:rsid w:val="002E5F22"/>
    <w:rsid w:val="002E6110"/>
    <w:rsid w:val="002E6667"/>
    <w:rsid w:val="002E6FEC"/>
    <w:rsid w:val="002E71FF"/>
    <w:rsid w:val="002E7767"/>
    <w:rsid w:val="002E776E"/>
    <w:rsid w:val="002E780C"/>
    <w:rsid w:val="002E7A5E"/>
    <w:rsid w:val="002E7E63"/>
    <w:rsid w:val="002E7F8B"/>
    <w:rsid w:val="002F00D2"/>
    <w:rsid w:val="002F0297"/>
    <w:rsid w:val="002F036E"/>
    <w:rsid w:val="002F0665"/>
    <w:rsid w:val="002F06EA"/>
    <w:rsid w:val="002F0808"/>
    <w:rsid w:val="002F08AF"/>
    <w:rsid w:val="002F099B"/>
    <w:rsid w:val="002F0A9E"/>
    <w:rsid w:val="002F1872"/>
    <w:rsid w:val="002F1B87"/>
    <w:rsid w:val="002F1FA8"/>
    <w:rsid w:val="002F251C"/>
    <w:rsid w:val="002F2A81"/>
    <w:rsid w:val="002F2B31"/>
    <w:rsid w:val="002F312F"/>
    <w:rsid w:val="002F33AB"/>
    <w:rsid w:val="002F36F7"/>
    <w:rsid w:val="002F3CE1"/>
    <w:rsid w:val="002F3DC5"/>
    <w:rsid w:val="002F3F14"/>
    <w:rsid w:val="002F3FAB"/>
    <w:rsid w:val="002F4110"/>
    <w:rsid w:val="002F43A7"/>
    <w:rsid w:val="002F4419"/>
    <w:rsid w:val="002F44FB"/>
    <w:rsid w:val="002F4607"/>
    <w:rsid w:val="002F468B"/>
    <w:rsid w:val="002F47CF"/>
    <w:rsid w:val="002F489C"/>
    <w:rsid w:val="002F49D6"/>
    <w:rsid w:val="002F4CA5"/>
    <w:rsid w:val="002F52EF"/>
    <w:rsid w:val="002F5688"/>
    <w:rsid w:val="002F57EF"/>
    <w:rsid w:val="002F5819"/>
    <w:rsid w:val="002F5902"/>
    <w:rsid w:val="002F5A2C"/>
    <w:rsid w:val="002F5C20"/>
    <w:rsid w:val="002F5C42"/>
    <w:rsid w:val="002F64EB"/>
    <w:rsid w:val="002F6529"/>
    <w:rsid w:val="002F6590"/>
    <w:rsid w:val="002F65AB"/>
    <w:rsid w:val="002F66D8"/>
    <w:rsid w:val="002F67AF"/>
    <w:rsid w:val="002F68AE"/>
    <w:rsid w:val="002F6B61"/>
    <w:rsid w:val="002F70FF"/>
    <w:rsid w:val="002F735D"/>
    <w:rsid w:val="002F75F2"/>
    <w:rsid w:val="002F7EC4"/>
    <w:rsid w:val="002F7EF2"/>
    <w:rsid w:val="00300004"/>
    <w:rsid w:val="003000E1"/>
    <w:rsid w:val="00300803"/>
    <w:rsid w:val="00300B3C"/>
    <w:rsid w:val="00300E2E"/>
    <w:rsid w:val="00301080"/>
    <w:rsid w:val="0030114B"/>
    <w:rsid w:val="0030122D"/>
    <w:rsid w:val="003014A6"/>
    <w:rsid w:val="00301E90"/>
    <w:rsid w:val="00301FAC"/>
    <w:rsid w:val="00301FF2"/>
    <w:rsid w:val="003023EA"/>
    <w:rsid w:val="0030256F"/>
    <w:rsid w:val="0030261A"/>
    <w:rsid w:val="003028B7"/>
    <w:rsid w:val="003028E8"/>
    <w:rsid w:val="0030298B"/>
    <w:rsid w:val="00302C5A"/>
    <w:rsid w:val="00302D26"/>
    <w:rsid w:val="00302E9B"/>
    <w:rsid w:val="00302EA6"/>
    <w:rsid w:val="0030307A"/>
    <w:rsid w:val="003031F3"/>
    <w:rsid w:val="00303282"/>
    <w:rsid w:val="003032B6"/>
    <w:rsid w:val="003036DD"/>
    <w:rsid w:val="0030396E"/>
    <w:rsid w:val="00303DD4"/>
    <w:rsid w:val="00303F98"/>
    <w:rsid w:val="00304079"/>
    <w:rsid w:val="003041A2"/>
    <w:rsid w:val="003042AA"/>
    <w:rsid w:val="0030448D"/>
    <w:rsid w:val="0030498B"/>
    <w:rsid w:val="00304A80"/>
    <w:rsid w:val="00304B39"/>
    <w:rsid w:val="00304EFC"/>
    <w:rsid w:val="00304F96"/>
    <w:rsid w:val="00305262"/>
    <w:rsid w:val="003054C2"/>
    <w:rsid w:val="003056E9"/>
    <w:rsid w:val="00305A9C"/>
    <w:rsid w:val="00305B41"/>
    <w:rsid w:val="00305B42"/>
    <w:rsid w:val="00305BD5"/>
    <w:rsid w:val="00305CA1"/>
    <w:rsid w:val="00305F6B"/>
    <w:rsid w:val="0030608A"/>
    <w:rsid w:val="003062F6"/>
    <w:rsid w:val="003064CB"/>
    <w:rsid w:val="00306715"/>
    <w:rsid w:val="00306845"/>
    <w:rsid w:val="003068BE"/>
    <w:rsid w:val="003069C3"/>
    <w:rsid w:val="00306B22"/>
    <w:rsid w:val="00306C09"/>
    <w:rsid w:val="00306C40"/>
    <w:rsid w:val="003071A9"/>
    <w:rsid w:val="003071C7"/>
    <w:rsid w:val="00307226"/>
    <w:rsid w:val="0030754E"/>
    <w:rsid w:val="00307741"/>
    <w:rsid w:val="003077D5"/>
    <w:rsid w:val="003079DC"/>
    <w:rsid w:val="00307AA0"/>
    <w:rsid w:val="00307C47"/>
    <w:rsid w:val="003100FE"/>
    <w:rsid w:val="00310387"/>
    <w:rsid w:val="003105A5"/>
    <w:rsid w:val="003108D9"/>
    <w:rsid w:val="00310B72"/>
    <w:rsid w:val="00310BCC"/>
    <w:rsid w:val="00310EA5"/>
    <w:rsid w:val="00310F2A"/>
    <w:rsid w:val="00310F7A"/>
    <w:rsid w:val="00311088"/>
    <w:rsid w:val="00311324"/>
    <w:rsid w:val="00311512"/>
    <w:rsid w:val="00311648"/>
    <w:rsid w:val="0031184E"/>
    <w:rsid w:val="003119AF"/>
    <w:rsid w:val="00311BC2"/>
    <w:rsid w:val="00311E97"/>
    <w:rsid w:val="00311F9E"/>
    <w:rsid w:val="00311FCC"/>
    <w:rsid w:val="00312685"/>
    <w:rsid w:val="00312752"/>
    <w:rsid w:val="00312943"/>
    <w:rsid w:val="00312B6E"/>
    <w:rsid w:val="00312CD0"/>
    <w:rsid w:val="0031308F"/>
    <w:rsid w:val="0031322D"/>
    <w:rsid w:val="00313889"/>
    <w:rsid w:val="00313A99"/>
    <w:rsid w:val="00313BCD"/>
    <w:rsid w:val="00314109"/>
    <w:rsid w:val="00314269"/>
    <w:rsid w:val="0031447D"/>
    <w:rsid w:val="0031480A"/>
    <w:rsid w:val="00314947"/>
    <w:rsid w:val="0031497A"/>
    <w:rsid w:val="00314C0F"/>
    <w:rsid w:val="00315302"/>
    <w:rsid w:val="00315558"/>
    <w:rsid w:val="00315838"/>
    <w:rsid w:val="00315839"/>
    <w:rsid w:val="00315A07"/>
    <w:rsid w:val="00315D5F"/>
    <w:rsid w:val="0031606C"/>
    <w:rsid w:val="00316545"/>
    <w:rsid w:val="003165B5"/>
    <w:rsid w:val="0031694E"/>
    <w:rsid w:val="00316DEE"/>
    <w:rsid w:val="003170F8"/>
    <w:rsid w:val="00317115"/>
    <w:rsid w:val="00317139"/>
    <w:rsid w:val="003172BB"/>
    <w:rsid w:val="003175B7"/>
    <w:rsid w:val="00317607"/>
    <w:rsid w:val="0031782C"/>
    <w:rsid w:val="003178F7"/>
    <w:rsid w:val="0031792D"/>
    <w:rsid w:val="00317BC1"/>
    <w:rsid w:val="00317C63"/>
    <w:rsid w:val="00317F26"/>
    <w:rsid w:val="00320173"/>
    <w:rsid w:val="0032053E"/>
    <w:rsid w:val="00320624"/>
    <w:rsid w:val="00320D56"/>
    <w:rsid w:val="00320D9C"/>
    <w:rsid w:val="00320DD1"/>
    <w:rsid w:val="00320DDA"/>
    <w:rsid w:val="003217FA"/>
    <w:rsid w:val="00321C7D"/>
    <w:rsid w:val="00322149"/>
    <w:rsid w:val="0032220A"/>
    <w:rsid w:val="003223A2"/>
    <w:rsid w:val="00322CC0"/>
    <w:rsid w:val="00322CFF"/>
    <w:rsid w:val="00322D02"/>
    <w:rsid w:val="00322E68"/>
    <w:rsid w:val="0032302D"/>
    <w:rsid w:val="003232D9"/>
    <w:rsid w:val="003232F7"/>
    <w:rsid w:val="00323985"/>
    <w:rsid w:val="003244F7"/>
    <w:rsid w:val="00324ED5"/>
    <w:rsid w:val="003255B1"/>
    <w:rsid w:val="0032571B"/>
    <w:rsid w:val="00325CE4"/>
    <w:rsid w:val="00325CF1"/>
    <w:rsid w:val="003264CC"/>
    <w:rsid w:val="0032659D"/>
    <w:rsid w:val="00326908"/>
    <w:rsid w:val="0032691B"/>
    <w:rsid w:val="00326A89"/>
    <w:rsid w:val="00326B68"/>
    <w:rsid w:val="0032704B"/>
    <w:rsid w:val="00327359"/>
    <w:rsid w:val="00327491"/>
    <w:rsid w:val="00327988"/>
    <w:rsid w:val="00327AE1"/>
    <w:rsid w:val="00327CC7"/>
    <w:rsid w:val="00327DDB"/>
    <w:rsid w:val="0033008D"/>
    <w:rsid w:val="003301D9"/>
    <w:rsid w:val="0033034D"/>
    <w:rsid w:val="00330745"/>
    <w:rsid w:val="00330895"/>
    <w:rsid w:val="00330A8B"/>
    <w:rsid w:val="00331463"/>
    <w:rsid w:val="003316DB"/>
    <w:rsid w:val="003317B7"/>
    <w:rsid w:val="0033184B"/>
    <w:rsid w:val="0033193D"/>
    <w:rsid w:val="00331D22"/>
    <w:rsid w:val="003326EC"/>
    <w:rsid w:val="003327F3"/>
    <w:rsid w:val="003328EA"/>
    <w:rsid w:val="003329D9"/>
    <w:rsid w:val="00332A43"/>
    <w:rsid w:val="00332E2B"/>
    <w:rsid w:val="003330C2"/>
    <w:rsid w:val="00333318"/>
    <w:rsid w:val="003334AB"/>
    <w:rsid w:val="0033391A"/>
    <w:rsid w:val="0033421C"/>
    <w:rsid w:val="00334397"/>
    <w:rsid w:val="003348D4"/>
    <w:rsid w:val="0033496F"/>
    <w:rsid w:val="00334A91"/>
    <w:rsid w:val="00334DF8"/>
    <w:rsid w:val="00335199"/>
    <w:rsid w:val="00335588"/>
    <w:rsid w:val="00335C7C"/>
    <w:rsid w:val="00335D35"/>
    <w:rsid w:val="003369D8"/>
    <w:rsid w:val="00336FB7"/>
    <w:rsid w:val="00337109"/>
    <w:rsid w:val="003377D0"/>
    <w:rsid w:val="003378F3"/>
    <w:rsid w:val="00337907"/>
    <w:rsid w:val="00337A3E"/>
    <w:rsid w:val="00337C9D"/>
    <w:rsid w:val="00337D46"/>
    <w:rsid w:val="003402FF"/>
    <w:rsid w:val="00340483"/>
    <w:rsid w:val="00340894"/>
    <w:rsid w:val="00340A6F"/>
    <w:rsid w:val="003410F6"/>
    <w:rsid w:val="0034125C"/>
    <w:rsid w:val="003412E0"/>
    <w:rsid w:val="00341523"/>
    <w:rsid w:val="003415AD"/>
    <w:rsid w:val="00341A9E"/>
    <w:rsid w:val="00341E3D"/>
    <w:rsid w:val="00341EAA"/>
    <w:rsid w:val="003420B9"/>
    <w:rsid w:val="003420F6"/>
    <w:rsid w:val="00342850"/>
    <w:rsid w:val="003428B8"/>
    <w:rsid w:val="00342A2E"/>
    <w:rsid w:val="00342B24"/>
    <w:rsid w:val="00342EFA"/>
    <w:rsid w:val="00343109"/>
    <w:rsid w:val="003432B7"/>
    <w:rsid w:val="0034339E"/>
    <w:rsid w:val="003433C4"/>
    <w:rsid w:val="003435D4"/>
    <w:rsid w:val="003436F5"/>
    <w:rsid w:val="003438C3"/>
    <w:rsid w:val="00343A8D"/>
    <w:rsid w:val="00343ACA"/>
    <w:rsid w:val="00343B1B"/>
    <w:rsid w:val="00343BAC"/>
    <w:rsid w:val="00344022"/>
    <w:rsid w:val="0034440F"/>
    <w:rsid w:val="00344539"/>
    <w:rsid w:val="003446E6"/>
    <w:rsid w:val="0034470B"/>
    <w:rsid w:val="003448DA"/>
    <w:rsid w:val="00344923"/>
    <w:rsid w:val="0034497C"/>
    <w:rsid w:val="003449DB"/>
    <w:rsid w:val="00344B06"/>
    <w:rsid w:val="00344ED9"/>
    <w:rsid w:val="00344F33"/>
    <w:rsid w:val="00345086"/>
    <w:rsid w:val="00345103"/>
    <w:rsid w:val="00345274"/>
    <w:rsid w:val="00345278"/>
    <w:rsid w:val="00345821"/>
    <w:rsid w:val="003458AF"/>
    <w:rsid w:val="00345906"/>
    <w:rsid w:val="00345A82"/>
    <w:rsid w:val="00345C1E"/>
    <w:rsid w:val="00345C20"/>
    <w:rsid w:val="00345C55"/>
    <w:rsid w:val="003462F9"/>
    <w:rsid w:val="00346AF4"/>
    <w:rsid w:val="00346C57"/>
    <w:rsid w:val="00346E06"/>
    <w:rsid w:val="00346F06"/>
    <w:rsid w:val="00347311"/>
    <w:rsid w:val="003475BD"/>
    <w:rsid w:val="003477F1"/>
    <w:rsid w:val="003479CA"/>
    <w:rsid w:val="00347AAE"/>
    <w:rsid w:val="00347D72"/>
    <w:rsid w:val="00347FE8"/>
    <w:rsid w:val="00350059"/>
    <w:rsid w:val="0035028B"/>
    <w:rsid w:val="003505A4"/>
    <w:rsid w:val="00350913"/>
    <w:rsid w:val="003509B2"/>
    <w:rsid w:val="00350ACD"/>
    <w:rsid w:val="00350CFF"/>
    <w:rsid w:val="00350EE5"/>
    <w:rsid w:val="00351166"/>
    <w:rsid w:val="003511A9"/>
    <w:rsid w:val="003511FE"/>
    <w:rsid w:val="0035123D"/>
    <w:rsid w:val="0035127E"/>
    <w:rsid w:val="00351301"/>
    <w:rsid w:val="00351382"/>
    <w:rsid w:val="00351990"/>
    <w:rsid w:val="003521BD"/>
    <w:rsid w:val="00352350"/>
    <w:rsid w:val="003524B8"/>
    <w:rsid w:val="00352720"/>
    <w:rsid w:val="003529A1"/>
    <w:rsid w:val="00352A7A"/>
    <w:rsid w:val="00352EC6"/>
    <w:rsid w:val="003532C3"/>
    <w:rsid w:val="003532EC"/>
    <w:rsid w:val="00353383"/>
    <w:rsid w:val="00353477"/>
    <w:rsid w:val="00353493"/>
    <w:rsid w:val="00353875"/>
    <w:rsid w:val="00353A0F"/>
    <w:rsid w:val="00353D34"/>
    <w:rsid w:val="003540A1"/>
    <w:rsid w:val="00354133"/>
    <w:rsid w:val="0035439A"/>
    <w:rsid w:val="003543F0"/>
    <w:rsid w:val="00354448"/>
    <w:rsid w:val="00354652"/>
    <w:rsid w:val="003548D7"/>
    <w:rsid w:val="0035496A"/>
    <w:rsid w:val="0035501C"/>
    <w:rsid w:val="00355306"/>
    <w:rsid w:val="00355448"/>
    <w:rsid w:val="00355467"/>
    <w:rsid w:val="00355A21"/>
    <w:rsid w:val="00355A4F"/>
    <w:rsid w:val="00355FAF"/>
    <w:rsid w:val="003560CF"/>
    <w:rsid w:val="00356270"/>
    <w:rsid w:val="00356374"/>
    <w:rsid w:val="003564A7"/>
    <w:rsid w:val="003569C7"/>
    <w:rsid w:val="00356E72"/>
    <w:rsid w:val="0035708E"/>
    <w:rsid w:val="00357415"/>
    <w:rsid w:val="00357436"/>
    <w:rsid w:val="0035749F"/>
    <w:rsid w:val="0035751F"/>
    <w:rsid w:val="0035784D"/>
    <w:rsid w:val="00357A11"/>
    <w:rsid w:val="00357CA4"/>
    <w:rsid w:val="00357FA1"/>
    <w:rsid w:val="003601E3"/>
    <w:rsid w:val="003601E9"/>
    <w:rsid w:val="003603B9"/>
    <w:rsid w:val="003606B5"/>
    <w:rsid w:val="00360800"/>
    <w:rsid w:val="00360828"/>
    <w:rsid w:val="00360879"/>
    <w:rsid w:val="00360952"/>
    <w:rsid w:val="00360B15"/>
    <w:rsid w:val="00360C4C"/>
    <w:rsid w:val="00360EF7"/>
    <w:rsid w:val="0036129A"/>
    <w:rsid w:val="00361356"/>
    <w:rsid w:val="00361368"/>
    <w:rsid w:val="00361937"/>
    <w:rsid w:val="0036194E"/>
    <w:rsid w:val="003619C0"/>
    <w:rsid w:val="00361F5B"/>
    <w:rsid w:val="003623B9"/>
    <w:rsid w:val="00362B2F"/>
    <w:rsid w:val="00362BBF"/>
    <w:rsid w:val="00362C19"/>
    <w:rsid w:val="00362CAE"/>
    <w:rsid w:val="0036333E"/>
    <w:rsid w:val="00363472"/>
    <w:rsid w:val="003635EA"/>
    <w:rsid w:val="00363673"/>
    <w:rsid w:val="003637D7"/>
    <w:rsid w:val="00363A53"/>
    <w:rsid w:val="00363BD7"/>
    <w:rsid w:val="00363BE5"/>
    <w:rsid w:val="00363BEF"/>
    <w:rsid w:val="00364712"/>
    <w:rsid w:val="00364DD4"/>
    <w:rsid w:val="00364F9D"/>
    <w:rsid w:val="003652C7"/>
    <w:rsid w:val="003653E1"/>
    <w:rsid w:val="00365924"/>
    <w:rsid w:val="00365B08"/>
    <w:rsid w:val="00365C84"/>
    <w:rsid w:val="00365F30"/>
    <w:rsid w:val="00365F43"/>
    <w:rsid w:val="0036602E"/>
    <w:rsid w:val="0036606A"/>
    <w:rsid w:val="00366422"/>
    <w:rsid w:val="003665EF"/>
    <w:rsid w:val="003666F1"/>
    <w:rsid w:val="003667A6"/>
    <w:rsid w:val="0036688C"/>
    <w:rsid w:val="003668C4"/>
    <w:rsid w:val="00366BFA"/>
    <w:rsid w:val="00366C71"/>
    <w:rsid w:val="00366DAF"/>
    <w:rsid w:val="00367527"/>
    <w:rsid w:val="00367622"/>
    <w:rsid w:val="00367C03"/>
    <w:rsid w:val="00367CD6"/>
    <w:rsid w:val="003700FE"/>
    <w:rsid w:val="00370263"/>
    <w:rsid w:val="00370966"/>
    <w:rsid w:val="00370A8B"/>
    <w:rsid w:val="00370B7A"/>
    <w:rsid w:val="00370D52"/>
    <w:rsid w:val="00370DB7"/>
    <w:rsid w:val="0037112B"/>
    <w:rsid w:val="00371336"/>
    <w:rsid w:val="00371540"/>
    <w:rsid w:val="003716FD"/>
    <w:rsid w:val="003719C1"/>
    <w:rsid w:val="00371B6B"/>
    <w:rsid w:val="003724DA"/>
    <w:rsid w:val="00372B33"/>
    <w:rsid w:val="00372C04"/>
    <w:rsid w:val="00372CE5"/>
    <w:rsid w:val="00372F5D"/>
    <w:rsid w:val="00372FEF"/>
    <w:rsid w:val="0037312A"/>
    <w:rsid w:val="0037315B"/>
    <w:rsid w:val="0037374A"/>
    <w:rsid w:val="00373751"/>
    <w:rsid w:val="00373786"/>
    <w:rsid w:val="003737F4"/>
    <w:rsid w:val="0037387C"/>
    <w:rsid w:val="00373A27"/>
    <w:rsid w:val="00373C00"/>
    <w:rsid w:val="00373E96"/>
    <w:rsid w:val="00374147"/>
    <w:rsid w:val="00374240"/>
    <w:rsid w:val="003744C9"/>
    <w:rsid w:val="0037463C"/>
    <w:rsid w:val="0037485E"/>
    <w:rsid w:val="0037499E"/>
    <w:rsid w:val="00374AEA"/>
    <w:rsid w:val="00374C3E"/>
    <w:rsid w:val="00374D8A"/>
    <w:rsid w:val="00374FE1"/>
    <w:rsid w:val="00375042"/>
    <w:rsid w:val="0037529A"/>
    <w:rsid w:val="003752A7"/>
    <w:rsid w:val="00375816"/>
    <w:rsid w:val="00375843"/>
    <w:rsid w:val="003759F7"/>
    <w:rsid w:val="00375C73"/>
    <w:rsid w:val="00375C8B"/>
    <w:rsid w:val="00375DEA"/>
    <w:rsid w:val="00376055"/>
    <w:rsid w:val="0037613A"/>
    <w:rsid w:val="003761B8"/>
    <w:rsid w:val="0037652A"/>
    <w:rsid w:val="00376625"/>
    <w:rsid w:val="0037663D"/>
    <w:rsid w:val="00376A61"/>
    <w:rsid w:val="00377025"/>
    <w:rsid w:val="00377304"/>
    <w:rsid w:val="00377328"/>
    <w:rsid w:val="003775F7"/>
    <w:rsid w:val="0037771D"/>
    <w:rsid w:val="003777E8"/>
    <w:rsid w:val="00377ABD"/>
    <w:rsid w:val="00377B67"/>
    <w:rsid w:val="00377E6A"/>
    <w:rsid w:val="00377E7E"/>
    <w:rsid w:val="003801C1"/>
    <w:rsid w:val="00380503"/>
    <w:rsid w:val="00380608"/>
    <w:rsid w:val="00380717"/>
    <w:rsid w:val="0038072C"/>
    <w:rsid w:val="00380916"/>
    <w:rsid w:val="00380980"/>
    <w:rsid w:val="00380C20"/>
    <w:rsid w:val="00380D98"/>
    <w:rsid w:val="00380E79"/>
    <w:rsid w:val="00380F3F"/>
    <w:rsid w:val="00380F75"/>
    <w:rsid w:val="0038116B"/>
    <w:rsid w:val="00381218"/>
    <w:rsid w:val="00381618"/>
    <w:rsid w:val="0038164A"/>
    <w:rsid w:val="00381D9A"/>
    <w:rsid w:val="00381E68"/>
    <w:rsid w:val="003822D5"/>
    <w:rsid w:val="003822E7"/>
    <w:rsid w:val="0038230B"/>
    <w:rsid w:val="003823B8"/>
    <w:rsid w:val="0038242A"/>
    <w:rsid w:val="003828E9"/>
    <w:rsid w:val="00382993"/>
    <w:rsid w:val="00382CBA"/>
    <w:rsid w:val="00382D5F"/>
    <w:rsid w:val="00382D7D"/>
    <w:rsid w:val="0038308D"/>
    <w:rsid w:val="00383304"/>
    <w:rsid w:val="0038348F"/>
    <w:rsid w:val="003836E3"/>
    <w:rsid w:val="00383904"/>
    <w:rsid w:val="0038399F"/>
    <w:rsid w:val="00383B22"/>
    <w:rsid w:val="00383B3C"/>
    <w:rsid w:val="00383B7F"/>
    <w:rsid w:val="00383B91"/>
    <w:rsid w:val="00383BD1"/>
    <w:rsid w:val="00384445"/>
    <w:rsid w:val="00384543"/>
    <w:rsid w:val="00384902"/>
    <w:rsid w:val="00384912"/>
    <w:rsid w:val="00384991"/>
    <w:rsid w:val="00384A59"/>
    <w:rsid w:val="00384D15"/>
    <w:rsid w:val="00384ECA"/>
    <w:rsid w:val="0038546A"/>
    <w:rsid w:val="0038550F"/>
    <w:rsid w:val="00385649"/>
    <w:rsid w:val="00385B62"/>
    <w:rsid w:val="00385B88"/>
    <w:rsid w:val="00385BEA"/>
    <w:rsid w:val="00385BFD"/>
    <w:rsid w:val="00385DBC"/>
    <w:rsid w:val="003860FF"/>
    <w:rsid w:val="003861A2"/>
    <w:rsid w:val="00386229"/>
    <w:rsid w:val="003863C6"/>
    <w:rsid w:val="003867D4"/>
    <w:rsid w:val="00386C23"/>
    <w:rsid w:val="00386D57"/>
    <w:rsid w:val="00386F23"/>
    <w:rsid w:val="00387007"/>
    <w:rsid w:val="003874A5"/>
    <w:rsid w:val="003874A6"/>
    <w:rsid w:val="00387752"/>
    <w:rsid w:val="003879DE"/>
    <w:rsid w:val="00387B88"/>
    <w:rsid w:val="00387F40"/>
    <w:rsid w:val="00387F60"/>
    <w:rsid w:val="00387F8D"/>
    <w:rsid w:val="00390714"/>
    <w:rsid w:val="00390751"/>
    <w:rsid w:val="00390773"/>
    <w:rsid w:val="00390829"/>
    <w:rsid w:val="00390859"/>
    <w:rsid w:val="00390927"/>
    <w:rsid w:val="0039094C"/>
    <w:rsid w:val="00390958"/>
    <w:rsid w:val="00390AD6"/>
    <w:rsid w:val="00390B58"/>
    <w:rsid w:val="00390BB9"/>
    <w:rsid w:val="00390C3C"/>
    <w:rsid w:val="0039105F"/>
    <w:rsid w:val="003912F2"/>
    <w:rsid w:val="00391425"/>
    <w:rsid w:val="00391472"/>
    <w:rsid w:val="003915FD"/>
    <w:rsid w:val="00391695"/>
    <w:rsid w:val="00391868"/>
    <w:rsid w:val="00391946"/>
    <w:rsid w:val="00391A2C"/>
    <w:rsid w:val="00391B59"/>
    <w:rsid w:val="00391CAF"/>
    <w:rsid w:val="00391CC0"/>
    <w:rsid w:val="003921B6"/>
    <w:rsid w:val="0039235F"/>
    <w:rsid w:val="00392625"/>
    <w:rsid w:val="003926B1"/>
    <w:rsid w:val="0039284A"/>
    <w:rsid w:val="003928DE"/>
    <w:rsid w:val="00392CF6"/>
    <w:rsid w:val="00392E0E"/>
    <w:rsid w:val="00392FA4"/>
    <w:rsid w:val="003930D7"/>
    <w:rsid w:val="0039327C"/>
    <w:rsid w:val="0039397D"/>
    <w:rsid w:val="003939CF"/>
    <w:rsid w:val="00393B1F"/>
    <w:rsid w:val="00394095"/>
    <w:rsid w:val="00394223"/>
    <w:rsid w:val="003945FA"/>
    <w:rsid w:val="00394D14"/>
    <w:rsid w:val="00395012"/>
    <w:rsid w:val="0039507A"/>
    <w:rsid w:val="00395127"/>
    <w:rsid w:val="003953A6"/>
    <w:rsid w:val="003957F9"/>
    <w:rsid w:val="00395919"/>
    <w:rsid w:val="00395CDE"/>
    <w:rsid w:val="00395D44"/>
    <w:rsid w:val="00395D92"/>
    <w:rsid w:val="00396001"/>
    <w:rsid w:val="00396019"/>
    <w:rsid w:val="00396039"/>
    <w:rsid w:val="00396199"/>
    <w:rsid w:val="003966B5"/>
    <w:rsid w:val="003967CC"/>
    <w:rsid w:val="0039687F"/>
    <w:rsid w:val="00396938"/>
    <w:rsid w:val="00396C55"/>
    <w:rsid w:val="00396D51"/>
    <w:rsid w:val="00396F33"/>
    <w:rsid w:val="0039733A"/>
    <w:rsid w:val="003973E5"/>
    <w:rsid w:val="003974F0"/>
    <w:rsid w:val="003975D1"/>
    <w:rsid w:val="003975F6"/>
    <w:rsid w:val="00397603"/>
    <w:rsid w:val="0039760D"/>
    <w:rsid w:val="00397869"/>
    <w:rsid w:val="003978BD"/>
    <w:rsid w:val="003A00E7"/>
    <w:rsid w:val="003A0189"/>
    <w:rsid w:val="003A03C8"/>
    <w:rsid w:val="003A0826"/>
    <w:rsid w:val="003A191A"/>
    <w:rsid w:val="003A1E91"/>
    <w:rsid w:val="003A2073"/>
    <w:rsid w:val="003A207B"/>
    <w:rsid w:val="003A21D3"/>
    <w:rsid w:val="003A223C"/>
    <w:rsid w:val="003A2461"/>
    <w:rsid w:val="003A257F"/>
    <w:rsid w:val="003A2940"/>
    <w:rsid w:val="003A2B01"/>
    <w:rsid w:val="003A2C4E"/>
    <w:rsid w:val="003A2CD9"/>
    <w:rsid w:val="003A3150"/>
    <w:rsid w:val="003A31A0"/>
    <w:rsid w:val="003A335E"/>
    <w:rsid w:val="003A339B"/>
    <w:rsid w:val="003A370E"/>
    <w:rsid w:val="003A37EF"/>
    <w:rsid w:val="003A3848"/>
    <w:rsid w:val="003A3931"/>
    <w:rsid w:val="003A3B12"/>
    <w:rsid w:val="003A3B3B"/>
    <w:rsid w:val="003A3E9D"/>
    <w:rsid w:val="003A4026"/>
    <w:rsid w:val="003A42FA"/>
    <w:rsid w:val="003A483C"/>
    <w:rsid w:val="003A4B0D"/>
    <w:rsid w:val="003A5018"/>
    <w:rsid w:val="003A50EC"/>
    <w:rsid w:val="003A51AF"/>
    <w:rsid w:val="003A549C"/>
    <w:rsid w:val="003A5EB5"/>
    <w:rsid w:val="003A5EDF"/>
    <w:rsid w:val="003A6222"/>
    <w:rsid w:val="003A6646"/>
    <w:rsid w:val="003A669B"/>
    <w:rsid w:val="003A67B6"/>
    <w:rsid w:val="003A6E79"/>
    <w:rsid w:val="003A6E93"/>
    <w:rsid w:val="003A71D4"/>
    <w:rsid w:val="003A7366"/>
    <w:rsid w:val="003A78CF"/>
    <w:rsid w:val="003A7ACD"/>
    <w:rsid w:val="003A7C63"/>
    <w:rsid w:val="003A7ED0"/>
    <w:rsid w:val="003A7F7A"/>
    <w:rsid w:val="003A7F83"/>
    <w:rsid w:val="003B03FC"/>
    <w:rsid w:val="003B0463"/>
    <w:rsid w:val="003B06FE"/>
    <w:rsid w:val="003B0751"/>
    <w:rsid w:val="003B089B"/>
    <w:rsid w:val="003B1020"/>
    <w:rsid w:val="003B172F"/>
    <w:rsid w:val="003B1B03"/>
    <w:rsid w:val="003B1CB5"/>
    <w:rsid w:val="003B1E93"/>
    <w:rsid w:val="003B1F57"/>
    <w:rsid w:val="003B1FA3"/>
    <w:rsid w:val="003B2335"/>
    <w:rsid w:val="003B2588"/>
    <w:rsid w:val="003B26EA"/>
    <w:rsid w:val="003B2A4D"/>
    <w:rsid w:val="003B2BD4"/>
    <w:rsid w:val="003B2C87"/>
    <w:rsid w:val="003B2DAB"/>
    <w:rsid w:val="003B2F23"/>
    <w:rsid w:val="003B2FE6"/>
    <w:rsid w:val="003B31B6"/>
    <w:rsid w:val="003B31ED"/>
    <w:rsid w:val="003B320E"/>
    <w:rsid w:val="003B358D"/>
    <w:rsid w:val="003B3599"/>
    <w:rsid w:val="003B359E"/>
    <w:rsid w:val="003B3602"/>
    <w:rsid w:val="003B36E8"/>
    <w:rsid w:val="003B3BFB"/>
    <w:rsid w:val="003B3C0D"/>
    <w:rsid w:val="003B3F4C"/>
    <w:rsid w:val="003B41D6"/>
    <w:rsid w:val="003B4466"/>
    <w:rsid w:val="003B45E1"/>
    <w:rsid w:val="003B479E"/>
    <w:rsid w:val="003B4F6D"/>
    <w:rsid w:val="003B52C8"/>
    <w:rsid w:val="003B5347"/>
    <w:rsid w:val="003B595A"/>
    <w:rsid w:val="003B5B6A"/>
    <w:rsid w:val="003B5C3D"/>
    <w:rsid w:val="003B5C88"/>
    <w:rsid w:val="003B608A"/>
    <w:rsid w:val="003B6480"/>
    <w:rsid w:val="003B6AEB"/>
    <w:rsid w:val="003B6B95"/>
    <w:rsid w:val="003B6C7D"/>
    <w:rsid w:val="003B6DC1"/>
    <w:rsid w:val="003B6E40"/>
    <w:rsid w:val="003B7430"/>
    <w:rsid w:val="003B758E"/>
    <w:rsid w:val="003B770C"/>
    <w:rsid w:val="003B784B"/>
    <w:rsid w:val="003B7922"/>
    <w:rsid w:val="003B794A"/>
    <w:rsid w:val="003B7A0C"/>
    <w:rsid w:val="003B7A0E"/>
    <w:rsid w:val="003B7E9A"/>
    <w:rsid w:val="003B7ED8"/>
    <w:rsid w:val="003C013B"/>
    <w:rsid w:val="003C0310"/>
    <w:rsid w:val="003C0419"/>
    <w:rsid w:val="003C0483"/>
    <w:rsid w:val="003C08A4"/>
    <w:rsid w:val="003C0A90"/>
    <w:rsid w:val="003C0C81"/>
    <w:rsid w:val="003C0CBD"/>
    <w:rsid w:val="003C0DED"/>
    <w:rsid w:val="003C102E"/>
    <w:rsid w:val="003C1555"/>
    <w:rsid w:val="003C1575"/>
    <w:rsid w:val="003C1B6C"/>
    <w:rsid w:val="003C1C65"/>
    <w:rsid w:val="003C1F54"/>
    <w:rsid w:val="003C2170"/>
    <w:rsid w:val="003C262F"/>
    <w:rsid w:val="003C2728"/>
    <w:rsid w:val="003C2768"/>
    <w:rsid w:val="003C2946"/>
    <w:rsid w:val="003C2EE4"/>
    <w:rsid w:val="003C3189"/>
    <w:rsid w:val="003C3493"/>
    <w:rsid w:val="003C3715"/>
    <w:rsid w:val="003C37C2"/>
    <w:rsid w:val="003C3940"/>
    <w:rsid w:val="003C3995"/>
    <w:rsid w:val="003C3CD2"/>
    <w:rsid w:val="003C4977"/>
    <w:rsid w:val="003C4C26"/>
    <w:rsid w:val="003C4D9C"/>
    <w:rsid w:val="003C4DB1"/>
    <w:rsid w:val="003C4E44"/>
    <w:rsid w:val="003C4E5A"/>
    <w:rsid w:val="003C50E1"/>
    <w:rsid w:val="003C53A4"/>
    <w:rsid w:val="003C5405"/>
    <w:rsid w:val="003C540E"/>
    <w:rsid w:val="003C565F"/>
    <w:rsid w:val="003C5682"/>
    <w:rsid w:val="003C5DC8"/>
    <w:rsid w:val="003C5DFE"/>
    <w:rsid w:val="003C5F03"/>
    <w:rsid w:val="003C6137"/>
    <w:rsid w:val="003C61E9"/>
    <w:rsid w:val="003C62BA"/>
    <w:rsid w:val="003C6634"/>
    <w:rsid w:val="003C6945"/>
    <w:rsid w:val="003C6C35"/>
    <w:rsid w:val="003C6CE0"/>
    <w:rsid w:val="003C7056"/>
    <w:rsid w:val="003C71FC"/>
    <w:rsid w:val="003C75A8"/>
    <w:rsid w:val="003C7875"/>
    <w:rsid w:val="003C7B37"/>
    <w:rsid w:val="003C7B51"/>
    <w:rsid w:val="003D051B"/>
    <w:rsid w:val="003D077F"/>
    <w:rsid w:val="003D0790"/>
    <w:rsid w:val="003D0852"/>
    <w:rsid w:val="003D0D17"/>
    <w:rsid w:val="003D0EDC"/>
    <w:rsid w:val="003D0FD8"/>
    <w:rsid w:val="003D1830"/>
    <w:rsid w:val="003D1973"/>
    <w:rsid w:val="003D19AF"/>
    <w:rsid w:val="003D1BC3"/>
    <w:rsid w:val="003D1CD7"/>
    <w:rsid w:val="003D1FD1"/>
    <w:rsid w:val="003D20A0"/>
    <w:rsid w:val="003D24E7"/>
    <w:rsid w:val="003D253C"/>
    <w:rsid w:val="003D285F"/>
    <w:rsid w:val="003D2963"/>
    <w:rsid w:val="003D2C95"/>
    <w:rsid w:val="003D2DB0"/>
    <w:rsid w:val="003D2E13"/>
    <w:rsid w:val="003D31CF"/>
    <w:rsid w:val="003D329F"/>
    <w:rsid w:val="003D32C3"/>
    <w:rsid w:val="003D3435"/>
    <w:rsid w:val="003D3981"/>
    <w:rsid w:val="003D3A2B"/>
    <w:rsid w:val="003D3BEB"/>
    <w:rsid w:val="003D3C0D"/>
    <w:rsid w:val="003D45A0"/>
    <w:rsid w:val="003D48B2"/>
    <w:rsid w:val="003D4B53"/>
    <w:rsid w:val="003D4BC2"/>
    <w:rsid w:val="003D4D33"/>
    <w:rsid w:val="003D507D"/>
    <w:rsid w:val="003D51FB"/>
    <w:rsid w:val="003D5374"/>
    <w:rsid w:val="003D5503"/>
    <w:rsid w:val="003D577B"/>
    <w:rsid w:val="003D57B9"/>
    <w:rsid w:val="003D5A9B"/>
    <w:rsid w:val="003D5C5E"/>
    <w:rsid w:val="003D6602"/>
    <w:rsid w:val="003D682C"/>
    <w:rsid w:val="003D68B9"/>
    <w:rsid w:val="003D68BA"/>
    <w:rsid w:val="003D6BDA"/>
    <w:rsid w:val="003D6F50"/>
    <w:rsid w:val="003D7082"/>
    <w:rsid w:val="003D72C4"/>
    <w:rsid w:val="003D7604"/>
    <w:rsid w:val="003D761F"/>
    <w:rsid w:val="003D79DB"/>
    <w:rsid w:val="003D7A11"/>
    <w:rsid w:val="003E016C"/>
    <w:rsid w:val="003E0284"/>
    <w:rsid w:val="003E07B3"/>
    <w:rsid w:val="003E09AC"/>
    <w:rsid w:val="003E09E2"/>
    <w:rsid w:val="003E0C6D"/>
    <w:rsid w:val="003E0E18"/>
    <w:rsid w:val="003E0FA6"/>
    <w:rsid w:val="003E10F2"/>
    <w:rsid w:val="003E1176"/>
    <w:rsid w:val="003E1262"/>
    <w:rsid w:val="003E14BC"/>
    <w:rsid w:val="003E1604"/>
    <w:rsid w:val="003E17CD"/>
    <w:rsid w:val="003E187D"/>
    <w:rsid w:val="003E1B7D"/>
    <w:rsid w:val="003E2078"/>
    <w:rsid w:val="003E28A5"/>
    <w:rsid w:val="003E2A43"/>
    <w:rsid w:val="003E2A96"/>
    <w:rsid w:val="003E2E62"/>
    <w:rsid w:val="003E3307"/>
    <w:rsid w:val="003E330A"/>
    <w:rsid w:val="003E37E4"/>
    <w:rsid w:val="003E3B8E"/>
    <w:rsid w:val="003E3BD0"/>
    <w:rsid w:val="003E3CD3"/>
    <w:rsid w:val="003E3FA2"/>
    <w:rsid w:val="003E40A3"/>
    <w:rsid w:val="003E4296"/>
    <w:rsid w:val="003E44B3"/>
    <w:rsid w:val="003E45B1"/>
    <w:rsid w:val="003E4B29"/>
    <w:rsid w:val="003E5303"/>
    <w:rsid w:val="003E5539"/>
    <w:rsid w:val="003E5592"/>
    <w:rsid w:val="003E5640"/>
    <w:rsid w:val="003E56B0"/>
    <w:rsid w:val="003E5BDE"/>
    <w:rsid w:val="003E5CFD"/>
    <w:rsid w:val="003E66A9"/>
    <w:rsid w:val="003E68C3"/>
    <w:rsid w:val="003E6BD1"/>
    <w:rsid w:val="003E71AB"/>
    <w:rsid w:val="003E7ED7"/>
    <w:rsid w:val="003E7F1C"/>
    <w:rsid w:val="003F0373"/>
    <w:rsid w:val="003F058F"/>
    <w:rsid w:val="003F0667"/>
    <w:rsid w:val="003F08F3"/>
    <w:rsid w:val="003F0E47"/>
    <w:rsid w:val="003F0E93"/>
    <w:rsid w:val="003F12BC"/>
    <w:rsid w:val="003F16C9"/>
    <w:rsid w:val="003F1746"/>
    <w:rsid w:val="003F194F"/>
    <w:rsid w:val="003F1958"/>
    <w:rsid w:val="003F1BBF"/>
    <w:rsid w:val="003F1E14"/>
    <w:rsid w:val="003F1EB7"/>
    <w:rsid w:val="003F2241"/>
    <w:rsid w:val="003F247B"/>
    <w:rsid w:val="003F263C"/>
    <w:rsid w:val="003F2866"/>
    <w:rsid w:val="003F294A"/>
    <w:rsid w:val="003F2A31"/>
    <w:rsid w:val="003F3008"/>
    <w:rsid w:val="003F30E1"/>
    <w:rsid w:val="003F3145"/>
    <w:rsid w:val="003F320B"/>
    <w:rsid w:val="003F331F"/>
    <w:rsid w:val="003F33D4"/>
    <w:rsid w:val="003F3479"/>
    <w:rsid w:val="003F36AB"/>
    <w:rsid w:val="003F3950"/>
    <w:rsid w:val="003F3E7F"/>
    <w:rsid w:val="003F4342"/>
    <w:rsid w:val="003F43AB"/>
    <w:rsid w:val="003F4AF1"/>
    <w:rsid w:val="003F4E82"/>
    <w:rsid w:val="003F520E"/>
    <w:rsid w:val="003F551F"/>
    <w:rsid w:val="003F5708"/>
    <w:rsid w:val="003F5894"/>
    <w:rsid w:val="003F5AF9"/>
    <w:rsid w:val="003F5BC3"/>
    <w:rsid w:val="003F6152"/>
    <w:rsid w:val="003F64C0"/>
    <w:rsid w:val="003F65AA"/>
    <w:rsid w:val="003F6D2B"/>
    <w:rsid w:val="003F70D1"/>
    <w:rsid w:val="003F7635"/>
    <w:rsid w:val="003F7806"/>
    <w:rsid w:val="003F796D"/>
    <w:rsid w:val="003F7BAB"/>
    <w:rsid w:val="003F7E76"/>
    <w:rsid w:val="003F7F0D"/>
    <w:rsid w:val="00400142"/>
    <w:rsid w:val="00400325"/>
    <w:rsid w:val="00400334"/>
    <w:rsid w:val="0040038D"/>
    <w:rsid w:val="004004B6"/>
    <w:rsid w:val="004009F6"/>
    <w:rsid w:val="00400A64"/>
    <w:rsid w:val="00400AE1"/>
    <w:rsid w:val="00400E0D"/>
    <w:rsid w:val="00400E0F"/>
    <w:rsid w:val="00400EB3"/>
    <w:rsid w:val="00400EC9"/>
    <w:rsid w:val="00400EE9"/>
    <w:rsid w:val="00400FAF"/>
    <w:rsid w:val="0040111D"/>
    <w:rsid w:val="004013E0"/>
    <w:rsid w:val="00401687"/>
    <w:rsid w:val="0040172D"/>
    <w:rsid w:val="004018D2"/>
    <w:rsid w:val="00401968"/>
    <w:rsid w:val="0040199D"/>
    <w:rsid w:val="004019BA"/>
    <w:rsid w:val="00401A24"/>
    <w:rsid w:val="00401EE3"/>
    <w:rsid w:val="00402337"/>
    <w:rsid w:val="0040248D"/>
    <w:rsid w:val="004024A2"/>
    <w:rsid w:val="004025C2"/>
    <w:rsid w:val="00402B13"/>
    <w:rsid w:val="00402C1F"/>
    <w:rsid w:val="00402CF4"/>
    <w:rsid w:val="00402D0C"/>
    <w:rsid w:val="00402E37"/>
    <w:rsid w:val="00403246"/>
    <w:rsid w:val="00403456"/>
    <w:rsid w:val="004037DE"/>
    <w:rsid w:val="0040389E"/>
    <w:rsid w:val="00403969"/>
    <w:rsid w:val="00403BE2"/>
    <w:rsid w:val="00403CB8"/>
    <w:rsid w:val="00403D45"/>
    <w:rsid w:val="00403EDC"/>
    <w:rsid w:val="00403EED"/>
    <w:rsid w:val="00404043"/>
    <w:rsid w:val="00404295"/>
    <w:rsid w:val="004042DD"/>
    <w:rsid w:val="00404363"/>
    <w:rsid w:val="004044ED"/>
    <w:rsid w:val="004045FE"/>
    <w:rsid w:val="0040461B"/>
    <w:rsid w:val="0040470F"/>
    <w:rsid w:val="004049F0"/>
    <w:rsid w:val="00404CCC"/>
    <w:rsid w:val="00404EC9"/>
    <w:rsid w:val="00404F2A"/>
    <w:rsid w:val="00404FDC"/>
    <w:rsid w:val="00405026"/>
    <w:rsid w:val="00405030"/>
    <w:rsid w:val="0040525F"/>
    <w:rsid w:val="004054E4"/>
    <w:rsid w:val="00405775"/>
    <w:rsid w:val="00405876"/>
    <w:rsid w:val="00405C3D"/>
    <w:rsid w:val="00405C8A"/>
    <w:rsid w:val="00405ECA"/>
    <w:rsid w:val="00405F6F"/>
    <w:rsid w:val="0040635C"/>
    <w:rsid w:val="00406532"/>
    <w:rsid w:val="00406698"/>
    <w:rsid w:val="0040695B"/>
    <w:rsid w:val="00406DFF"/>
    <w:rsid w:val="00406EDB"/>
    <w:rsid w:val="00407087"/>
    <w:rsid w:val="00407135"/>
    <w:rsid w:val="004071E1"/>
    <w:rsid w:val="00407B9E"/>
    <w:rsid w:val="00407D16"/>
    <w:rsid w:val="00407E3B"/>
    <w:rsid w:val="00407E5B"/>
    <w:rsid w:val="00407E98"/>
    <w:rsid w:val="00407EC9"/>
    <w:rsid w:val="00407EEB"/>
    <w:rsid w:val="00410657"/>
    <w:rsid w:val="004106EF"/>
    <w:rsid w:val="0041075E"/>
    <w:rsid w:val="0041076D"/>
    <w:rsid w:val="0041079D"/>
    <w:rsid w:val="004109A3"/>
    <w:rsid w:val="00410A7B"/>
    <w:rsid w:val="00411007"/>
    <w:rsid w:val="0041115E"/>
    <w:rsid w:val="00411176"/>
    <w:rsid w:val="00411221"/>
    <w:rsid w:val="004112D0"/>
    <w:rsid w:val="0041130A"/>
    <w:rsid w:val="00411487"/>
    <w:rsid w:val="0041177C"/>
    <w:rsid w:val="00411845"/>
    <w:rsid w:val="004118EF"/>
    <w:rsid w:val="00411C52"/>
    <w:rsid w:val="00411FBF"/>
    <w:rsid w:val="00412148"/>
    <w:rsid w:val="0041237B"/>
    <w:rsid w:val="004125AA"/>
    <w:rsid w:val="004125C2"/>
    <w:rsid w:val="004125D1"/>
    <w:rsid w:val="0041288A"/>
    <w:rsid w:val="00412AD4"/>
    <w:rsid w:val="00412B39"/>
    <w:rsid w:val="00412B47"/>
    <w:rsid w:val="00412C63"/>
    <w:rsid w:val="00412CED"/>
    <w:rsid w:val="00412E06"/>
    <w:rsid w:val="00412F64"/>
    <w:rsid w:val="00413037"/>
    <w:rsid w:val="00413236"/>
    <w:rsid w:val="0041398D"/>
    <w:rsid w:val="00413C4D"/>
    <w:rsid w:val="00413CC1"/>
    <w:rsid w:val="00413D14"/>
    <w:rsid w:val="00413E4A"/>
    <w:rsid w:val="004142D3"/>
    <w:rsid w:val="00414341"/>
    <w:rsid w:val="004147AF"/>
    <w:rsid w:val="00414C3E"/>
    <w:rsid w:val="00414EDA"/>
    <w:rsid w:val="00414FCE"/>
    <w:rsid w:val="0041501C"/>
    <w:rsid w:val="00415039"/>
    <w:rsid w:val="00415236"/>
    <w:rsid w:val="0041524A"/>
    <w:rsid w:val="00415615"/>
    <w:rsid w:val="0041580D"/>
    <w:rsid w:val="00415D62"/>
    <w:rsid w:val="00416431"/>
    <w:rsid w:val="004164B1"/>
    <w:rsid w:val="00416561"/>
    <w:rsid w:val="00416696"/>
    <w:rsid w:val="00416C67"/>
    <w:rsid w:val="00416DFA"/>
    <w:rsid w:val="004175FC"/>
    <w:rsid w:val="0041762E"/>
    <w:rsid w:val="004176F6"/>
    <w:rsid w:val="0041785E"/>
    <w:rsid w:val="00417AA2"/>
    <w:rsid w:val="00417E00"/>
    <w:rsid w:val="00417F11"/>
    <w:rsid w:val="0042007C"/>
    <w:rsid w:val="004200CF"/>
    <w:rsid w:val="00420314"/>
    <w:rsid w:val="00420351"/>
    <w:rsid w:val="00420397"/>
    <w:rsid w:val="004204A6"/>
    <w:rsid w:val="004204B5"/>
    <w:rsid w:val="0042084D"/>
    <w:rsid w:val="00420E7F"/>
    <w:rsid w:val="004213CC"/>
    <w:rsid w:val="00421445"/>
    <w:rsid w:val="0042148D"/>
    <w:rsid w:val="00421839"/>
    <w:rsid w:val="00421B09"/>
    <w:rsid w:val="0042262F"/>
    <w:rsid w:val="00422821"/>
    <w:rsid w:val="00422A7B"/>
    <w:rsid w:val="00422AF5"/>
    <w:rsid w:val="00422E8E"/>
    <w:rsid w:val="0042341F"/>
    <w:rsid w:val="0042348A"/>
    <w:rsid w:val="0042367F"/>
    <w:rsid w:val="00423A4B"/>
    <w:rsid w:val="00423EEC"/>
    <w:rsid w:val="00424032"/>
    <w:rsid w:val="00424158"/>
    <w:rsid w:val="004241AF"/>
    <w:rsid w:val="004241D8"/>
    <w:rsid w:val="0042433A"/>
    <w:rsid w:val="00424394"/>
    <w:rsid w:val="00424528"/>
    <w:rsid w:val="0042478E"/>
    <w:rsid w:val="00424853"/>
    <w:rsid w:val="00424A6D"/>
    <w:rsid w:val="00424AE3"/>
    <w:rsid w:val="00424B60"/>
    <w:rsid w:val="00424DE9"/>
    <w:rsid w:val="00424E17"/>
    <w:rsid w:val="00424ED3"/>
    <w:rsid w:val="0042525C"/>
    <w:rsid w:val="0042555B"/>
    <w:rsid w:val="00425A04"/>
    <w:rsid w:val="00425B1E"/>
    <w:rsid w:val="00425EA4"/>
    <w:rsid w:val="0042615F"/>
    <w:rsid w:val="00426479"/>
    <w:rsid w:val="004264AD"/>
    <w:rsid w:val="004264B6"/>
    <w:rsid w:val="004266A2"/>
    <w:rsid w:val="0042673B"/>
    <w:rsid w:val="004267B8"/>
    <w:rsid w:val="004267F5"/>
    <w:rsid w:val="004268D1"/>
    <w:rsid w:val="00426983"/>
    <w:rsid w:val="00426BA7"/>
    <w:rsid w:val="00426CAF"/>
    <w:rsid w:val="00426D22"/>
    <w:rsid w:val="00426EF6"/>
    <w:rsid w:val="00427143"/>
    <w:rsid w:val="0042772B"/>
    <w:rsid w:val="0042797A"/>
    <w:rsid w:val="004279A3"/>
    <w:rsid w:val="00427AE5"/>
    <w:rsid w:val="00427F92"/>
    <w:rsid w:val="00430297"/>
    <w:rsid w:val="00430334"/>
    <w:rsid w:val="0043053E"/>
    <w:rsid w:val="00430632"/>
    <w:rsid w:val="004306B9"/>
    <w:rsid w:val="004306C1"/>
    <w:rsid w:val="00430942"/>
    <w:rsid w:val="00430E32"/>
    <w:rsid w:val="00430E6F"/>
    <w:rsid w:val="004311D9"/>
    <w:rsid w:val="00431356"/>
    <w:rsid w:val="00431476"/>
    <w:rsid w:val="0043155D"/>
    <w:rsid w:val="00431A06"/>
    <w:rsid w:val="00431AB3"/>
    <w:rsid w:val="00431DC9"/>
    <w:rsid w:val="00431F2E"/>
    <w:rsid w:val="004321F9"/>
    <w:rsid w:val="00432703"/>
    <w:rsid w:val="00432C18"/>
    <w:rsid w:val="00432E80"/>
    <w:rsid w:val="00432E9C"/>
    <w:rsid w:val="004332EB"/>
    <w:rsid w:val="00433922"/>
    <w:rsid w:val="00433BAC"/>
    <w:rsid w:val="00433F67"/>
    <w:rsid w:val="00434022"/>
    <w:rsid w:val="00434109"/>
    <w:rsid w:val="00434541"/>
    <w:rsid w:val="0043482E"/>
    <w:rsid w:val="004349A8"/>
    <w:rsid w:val="00434CB5"/>
    <w:rsid w:val="00435471"/>
    <w:rsid w:val="0043550F"/>
    <w:rsid w:val="004355B9"/>
    <w:rsid w:val="0043562C"/>
    <w:rsid w:val="004356C6"/>
    <w:rsid w:val="00435758"/>
    <w:rsid w:val="00435BF8"/>
    <w:rsid w:val="00435E61"/>
    <w:rsid w:val="004360D1"/>
    <w:rsid w:val="0043619E"/>
    <w:rsid w:val="004362A8"/>
    <w:rsid w:val="004362B1"/>
    <w:rsid w:val="00436377"/>
    <w:rsid w:val="004363E4"/>
    <w:rsid w:val="004368E2"/>
    <w:rsid w:val="00436AEA"/>
    <w:rsid w:val="00436B5F"/>
    <w:rsid w:val="00436B79"/>
    <w:rsid w:val="00436BFE"/>
    <w:rsid w:val="00436C2F"/>
    <w:rsid w:val="00436D58"/>
    <w:rsid w:val="00436D9D"/>
    <w:rsid w:val="00436F3D"/>
    <w:rsid w:val="004372E2"/>
    <w:rsid w:val="00437420"/>
    <w:rsid w:val="0043752B"/>
    <w:rsid w:val="004376F5"/>
    <w:rsid w:val="00437A0E"/>
    <w:rsid w:val="00437A24"/>
    <w:rsid w:val="00437C43"/>
    <w:rsid w:val="00437D52"/>
    <w:rsid w:val="00437DD6"/>
    <w:rsid w:val="00437EC7"/>
    <w:rsid w:val="004401BF"/>
    <w:rsid w:val="00440650"/>
    <w:rsid w:val="00440ADD"/>
    <w:rsid w:val="00440DCD"/>
    <w:rsid w:val="00440F95"/>
    <w:rsid w:val="004414C7"/>
    <w:rsid w:val="00441912"/>
    <w:rsid w:val="00441CE7"/>
    <w:rsid w:val="00441F2A"/>
    <w:rsid w:val="0044212D"/>
    <w:rsid w:val="004425BD"/>
    <w:rsid w:val="00442806"/>
    <w:rsid w:val="00442884"/>
    <w:rsid w:val="0044295D"/>
    <w:rsid w:val="004429EF"/>
    <w:rsid w:val="00442B26"/>
    <w:rsid w:val="00442D8D"/>
    <w:rsid w:val="00442D93"/>
    <w:rsid w:val="00442D9C"/>
    <w:rsid w:val="00442EAB"/>
    <w:rsid w:val="00442FBA"/>
    <w:rsid w:val="00443051"/>
    <w:rsid w:val="00443439"/>
    <w:rsid w:val="004438AA"/>
    <w:rsid w:val="00443949"/>
    <w:rsid w:val="0044407C"/>
    <w:rsid w:val="00444546"/>
    <w:rsid w:val="004445A7"/>
    <w:rsid w:val="00444749"/>
    <w:rsid w:val="00444CDD"/>
    <w:rsid w:val="0044555F"/>
    <w:rsid w:val="004455AA"/>
    <w:rsid w:val="004458FE"/>
    <w:rsid w:val="004459C1"/>
    <w:rsid w:val="00445B02"/>
    <w:rsid w:val="00445EB0"/>
    <w:rsid w:val="00445FA7"/>
    <w:rsid w:val="00446080"/>
    <w:rsid w:val="004464FD"/>
    <w:rsid w:val="00446597"/>
    <w:rsid w:val="00446B8C"/>
    <w:rsid w:val="0044733D"/>
    <w:rsid w:val="0044755B"/>
    <w:rsid w:val="00447A55"/>
    <w:rsid w:val="00447DCD"/>
    <w:rsid w:val="004500FA"/>
    <w:rsid w:val="004501B3"/>
    <w:rsid w:val="0045020B"/>
    <w:rsid w:val="004504E9"/>
    <w:rsid w:val="00450531"/>
    <w:rsid w:val="00450721"/>
    <w:rsid w:val="00450768"/>
    <w:rsid w:val="004509C6"/>
    <w:rsid w:val="00450BE2"/>
    <w:rsid w:val="00451121"/>
    <w:rsid w:val="00451226"/>
    <w:rsid w:val="004513D2"/>
    <w:rsid w:val="00451A37"/>
    <w:rsid w:val="00451BF4"/>
    <w:rsid w:val="00451E3C"/>
    <w:rsid w:val="00451EEA"/>
    <w:rsid w:val="00452167"/>
    <w:rsid w:val="0045227F"/>
    <w:rsid w:val="00452608"/>
    <w:rsid w:val="004526A0"/>
    <w:rsid w:val="00452821"/>
    <w:rsid w:val="00452AD3"/>
    <w:rsid w:val="00452B56"/>
    <w:rsid w:val="00452BB8"/>
    <w:rsid w:val="00452C47"/>
    <w:rsid w:val="00452D61"/>
    <w:rsid w:val="00452F30"/>
    <w:rsid w:val="00453474"/>
    <w:rsid w:val="00453766"/>
    <w:rsid w:val="00453B0E"/>
    <w:rsid w:val="00453E02"/>
    <w:rsid w:val="00454185"/>
    <w:rsid w:val="004541CF"/>
    <w:rsid w:val="004544D3"/>
    <w:rsid w:val="004546B3"/>
    <w:rsid w:val="00454718"/>
    <w:rsid w:val="0045486A"/>
    <w:rsid w:val="00454945"/>
    <w:rsid w:val="00454A86"/>
    <w:rsid w:val="00454C92"/>
    <w:rsid w:val="00454CFE"/>
    <w:rsid w:val="00454DC8"/>
    <w:rsid w:val="00454E4F"/>
    <w:rsid w:val="00454F7D"/>
    <w:rsid w:val="00455103"/>
    <w:rsid w:val="00455381"/>
    <w:rsid w:val="00455715"/>
    <w:rsid w:val="004557FB"/>
    <w:rsid w:val="00455A8E"/>
    <w:rsid w:val="00455ACE"/>
    <w:rsid w:val="00455C1E"/>
    <w:rsid w:val="00455CAA"/>
    <w:rsid w:val="00455FC2"/>
    <w:rsid w:val="0045602C"/>
    <w:rsid w:val="004560F5"/>
    <w:rsid w:val="004562B8"/>
    <w:rsid w:val="004563CA"/>
    <w:rsid w:val="0045654F"/>
    <w:rsid w:val="00456652"/>
    <w:rsid w:val="00456C1C"/>
    <w:rsid w:val="00456D13"/>
    <w:rsid w:val="00456D95"/>
    <w:rsid w:val="00456DA6"/>
    <w:rsid w:val="004573A5"/>
    <w:rsid w:val="004573FC"/>
    <w:rsid w:val="004576C4"/>
    <w:rsid w:val="00457768"/>
    <w:rsid w:val="00457994"/>
    <w:rsid w:val="00457B64"/>
    <w:rsid w:val="00460055"/>
    <w:rsid w:val="0046014D"/>
    <w:rsid w:val="004602E5"/>
    <w:rsid w:val="00460661"/>
    <w:rsid w:val="0046091B"/>
    <w:rsid w:val="00460A3F"/>
    <w:rsid w:val="00460E5E"/>
    <w:rsid w:val="00460F1F"/>
    <w:rsid w:val="00461054"/>
    <w:rsid w:val="004611C4"/>
    <w:rsid w:val="004611D8"/>
    <w:rsid w:val="004615C8"/>
    <w:rsid w:val="004619E6"/>
    <w:rsid w:val="00461A14"/>
    <w:rsid w:val="00461CE9"/>
    <w:rsid w:val="00462107"/>
    <w:rsid w:val="004622F4"/>
    <w:rsid w:val="00462672"/>
    <w:rsid w:val="004626F0"/>
    <w:rsid w:val="004627F5"/>
    <w:rsid w:val="00462875"/>
    <w:rsid w:val="00462933"/>
    <w:rsid w:val="00462A5F"/>
    <w:rsid w:val="00462A89"/>
    <w:rsid w:val="00462D02"/>
    <w:rsid w:val="00462E80"/>
    <w:rsid w:val="0046307B"/>
    <w:rsid w:val="004630C5"/>
    <w:rsid w:val="004630FC"/>
    <w:rsid w:val="004631F2"/>
    <w:rsid w:val="0046323F"/>
    <w:rsid w:val="00463242"/>
    <w:rsid w:val="00463312"/>
    <w:rsid w:val="00463317"/>
    <w:rsid w:val="00463429"/>
    <w:rsid w:val="00463752"/>
    <w:rsid w:val="004638A2"/>
    <w:rsid w:val="00463B1F"/>
    <w:rsid w:val="00464161"/>
    <w:rsid w:val="0046437D"/>
    <w:rsid w:val="00464517"/>
    <w:rsid w:val="00464751"/>
    <w:rsid w:val="00464759"/>
    <w:rsid w:val="0046478A"/>
    <w:rsid w:val="00464A41"/>
    <w:rsid w:val="00464EFD"/>
    <w:rsid w:val="00464F98"/>
    <w:rsid w:val="00464FC2"/>
    <w:rsid w:val="00465144"/>
    <w:rsid w:val="004658BA"/>
    <w:rsid w:val="00465B4F"/>
    <w:rsid w:val="00465C4C"/>
    <w:rsid w:val="00465CA4"/>
    <w:rsid w:val="00465CF8"/>
    <w:rsid w:val="00465EEE"/>
    <w:rsid w:val="00465EF3"/>
    <w:rsid w:val="00465FA1"/>
    <w:rsid w:val="0046606A"/>
    <w:rsid w:val="00466272"/>
    <w:rsid w:val="004666A4"/>
    <w:rsid w:val="004669C4"/>
    <w:rsid w:val="00466BDC"/>
    <w:rsid w:val="00466BF8"/>
    <w:rsid w:val="00466D34"/>
    <w:rsid w:val="00466F76"/>
    <w:rsid w:val="004671B5"/>
    <w:rsid w:val="004672A0"/>
    <w:rsid w:val="0046743B"/>
    <w:rsid w:val="00467668"/>
    <w:rsid w:val="00467790"/>
    <w:rsid w:val="004677F5"/>
    <w:rsid w:val="0046781E"/>
    <w:rsid w:val="00467A68"/>
    <w:rsid w:val="00467C09"/>
    <w:rsid w:val="00467D3B"/>
    <w:rsid w:val="00467EC3"/>
    <w:rsid w:val="00467F9F"/>
    <w:rsid w:val="004700BA"/>
    <w:rsid w:val="004701D5"/>
    <w:rsid w:val="004702B8"/>
    <w:rsid w:val="0047047C"/>
    <w:rsid w:val="004706D2"/>
    <w:rsid w:val="00470B61"/>
    <w:rsid w:val="00470D0C"/>
    <w:rsid w:val="00471663"/>
    <w:rsid w:val="004718CA"/>
    <w:rsid w:val="00471F0D"/>
    <w:rsid w:val="00471F35"/>
    <w:rsid w:val="004721DB"/>
    <w:rsid w:val="0047227F"/>
    <w:rsid w:val="00472542"/>
    <w:rsid w:val="004725D5"/>
    <w:rsid w:val="004725FA"/>
    <w:rsid w:val="00472B2E"/>
    <w:rsid w:val="00472B33"/>
    <w:rsid w:val="00472CF8"/>
    <w:rsid w:val="00472EF9"/>
    <w:rsid w:val="0047318A"/>
    <w:rsid w:val="004732D2"/>
    <w:rsid w:val="004735BA"/>
    <w:rsid w:val="00473846"/>
    <w:rsid w:val="00473973"/>
    <w:rsid w:val="00473A23"/>
    <w:rsid w:val="00473A9B"/>
    <w:rsid w:val="004740CB"/>
    <w:rsid w:val="004740CC"/>
    <w:rsid w:val="00474145"/>
    <w:rsid w:val="004741ED"/>
    <w:rsid w:val="00474787"/>
    <w:rsid w:val="004752D7"/>
    <w:rsid w:val="004753D4"/>
    <w:rsid w:val="00475D82"/>
    <w:rsid w:val="00476093"/>
    <w:rsid w:val="004768E0"/>
    <w:rsid w:val="00476983"/>
    <w:rsid w:val="00476ADB"/>
    <w:rsid w:val="00476C39"/>
    <w:rsid w:val="00476CAD"/>
    <w:rsid w:val="00476D26"/>
    <w:rsid w:val="00476F2B"/>
    <w:rsid w:val="00476FE4"/>
    <w:rsid w:val="00477226"/>
    <w:rsid w:val="00477562"/>
    <w:rsid w:val="004777AB"/>
    <w:rsid w:val="00477844"/>
    <w:rsid w:val="00477936"/>
    <w:rsid w:val="00477A79"/>
    <w:rsid w:val="00477ACE"/>
    <w:rsid w:val="00477EE1"/>
    <w:rsid w:val="00480117"/>
    <w:rsid w:val="0048065D"/>
    <w:rsid w:val="00480815"/>
    <w:rsid w:val="004808E5"/>
    <w:rsid w:val="004809DB"/>
    <w:rsid w:val="004809EC"/>
    <w:rsid w:val="00480AA7"/>
    <w:rsid w:val="00480B46"/>
    <w:rsid w:val="00480DA2"/>
    <w:rsid w:val="00480FC7"/>
    <w:rsid w:val="00481219"/>
    <w:rsid w:val="0048139C"/>
    <w:rsid w:val="004819A4"/>
    <w:rsid w:val="004819EF"/>
    <w:rsid w:val="00481A17"/>
    <w:rsid w:val="00481D35"/>
    <w:rsid w:val="00482116"/>
    <w:rsid w:val="004822D7"/>
    <w:rsid w:val="00482366"/>
    <w:rsid w:val="0048244E"/>
    <w:rsid w:val="00482451"/>
    <w:rsid w:val="004826A1"/>
    <w:rsid w:val="004826D6"/>
    <w:rsid w:val="0048283F"/>
    <w:rsid w:val="004828DC"/>
    <w:rsid w:val="00482B09"/>
    <w:rsid w:val="00482B5A"/>
    <w:rsid w:val="00482C8B"/>
    <w:rsid w:val="00482E8A"/>
    <w:rsid w:val="00482F26"/>
    <w:rsid w:val="00483227"/>
    <w:rsid w:val="004832DB"/>
    <w:rsid w:val="00483454"/>
    <w:rsid w:val="0048347C"/>
    <w:rsid w:val="004837B0"/>
    <w:rsid w:val="00483B2E"/>
    <w:rsid w:val="00483B90"/>
    <w:rsid w:val="00483DE6"/>
    <w:rsid w:val="0048420A"/>
    <w:rsid w:val="004843A8"/>
    <w:rsid w:val="004846B3"/>
    <w:rsid w:val="00484CB0"/>
    <w:rsid w:val="004851A1"/>
    <w:rsid w:val="004854C4"/>
    <w:rsid w:val="00485502"/>
    <w:rsid w:val="004857FA"/>
    <w:rsid w:val="00485B01"/>
    <w:rsid w:val="00485D9A"/>
    <w:rsid w:val="004860E0"/>
    <w:rsid w:val="004866DB"/>
    <w:rsid w:val="0048699B"/>
    <w:rsid w:val="00486BAF"/>
    <w:rsid w:val="00486D36"/>
    <w:rsid w:val="00486F44"/>
    <w:rsid w:val="00487022"/>
    <w:rsid w:val="0048790A"/>
    <w:rsid w:val="004879E9"/>
    <w:rsid w:val="00487B7C"/>
    <w:rsid w:val="00487E4B"/>
    <w:rsid w:val="004903FA"/>
    <w:rsid w:val="004904FB"/>
    <w:rsid w:val="0049067E"/>
    <w:rsid w:val="00490EBC"/>
    <w:rsid w:val="00490F52"/>
    <w:rsid w:val="0049106D"/>
    <w:rsid w:val="0049120D"/>
    <w:rsid w:val="00491262"/>
    <w:rsid w:val="00491351"/>
    <w:rsid w:val="00491439"/>
    <w:rsid w:val="0049181C"/>
    <w:rsid w:val="00491A19"/>
    <w:rsid w:val="00491CF7"/>
    <w:rsid w:val="00491E74"/>
    <w:rsid w:val="00491F5D"/>
    <w:rsid w:val="004927D6"/>
    <w:rsid w:val="00492B49"/>
    <w:rsid w:val="00492C85"/>
    <w:rsid w:val="00492DA5"/>
    <w:rsid w:val="00492E9D"/>
    <w:rsid w:val="00492F9E"/>
    <w:rsid w:val="004933B8"/>
    <w:rsid w:val="004934C7"/>
    <w:rsid w:val="004937A8"/>
    <w:rsid w:val="00493891"/>
    <w:rsid w:val="004939E8"/>
    <w:rsid w:val="00493BC2"/>
    <w:rsid w:val="00493E30"/>
    <w:rsid w:val="0049438C"/>
    <w:rsid w:val="00494469"/>
    <w:rsid w:val="004944D4"/>
    <w:rsid w:val="0049468D"/>
    <w:rsid w:val="00494EB7"/>
    <w:rsid w:val="0049510C"/>
    <w:rsid w:val="00495329"/>
    <w:rsid w:val="004953F5"/>
    <w:rsid w:val="0049562F"/>
    <w:rsid w:val="00495776"/>
    <w:rsid w:val="004957DB"/>
    <w:rsid w:val="004959FF"/>
    <w:rsid w:val="00495DB1"/>
    <w:rsid w:val="00496194"/>
    <w:rsid w:val="004962AB"/>
    <w:rsid w:val="0049639A"/>
    <w:rsid w:val="0049645E"/>
    <w:rsid w:val="0049677A"/>
    <w:rsid w:val="00496792"/>
    <w:rsid w:val="00496979"/>
    <w:rsid w:val="004969B8"/>
    <w:rsid w:val="00496AF2"/>
    <w:rsid w:val="00496C18"/>
    <w:rsid w:val="00496D78"/>
    <w:rsid w:val="00497086"/>
    <w:rsid w:val="004970FF"/>
    <w:rsid w:val="004975D8"/>
    <w:rsid w:val="004976D5"/>
    <w:rsid w:val="00497959"/>
    <w:rsid w:val="00497AFC"/>
    <w:rsid w:val="00497C5E"/>
    <w:rsid w:val="00497D6D"/>
    <w:rsid w:val="004A00ED"/>
    <w:rsid w:val="004A03CD"/>
    <w:rsid w:val="004A04A9"/>
    <w:rsid w:val="004A04C2"/>
    <w:rsid w:val="004A0505"/>
    <w:rsid w:val="004A07BC"/>
    <w:rsid w:val="004A0973"/>
    <w:rsid w:val="004A0E59"/>
    <w:rsid w:val="004A0F27"/>
    <w:rsid w:val="004A120B"/>
    <w:rsid w:val="004A13DB"/>
    <w:rsid w:val="004A15E3"/>
    <w:rsid w:val="004A16BE"/>
    <w:rsid w:val="004A178E"/>
    <w:rsid w:val="004A1DB1"/>
    <w:rsid w:val="004A20BD"/>
    <w:rsid w:val="004A21E5"/>
    <w:rsid w:val="004A22D6"/>
    <w:rsid w:val="004A23CD"/>
    <w:rsid w:val="004A24F1"/>
    <w:rsid w:val="004A28BF"/>
    <w:rsid w:val="004A29D5"/>
    <w:rsid w:val="004A2B39"/>
    <w:rsid w:val="004A2D72"/>
    <w:rsid w:val="004A2ECA"/>
    <w:rsid w:val="004A2FAD"/>
    <w:rsid w:val="004A348C"/>
    <w:rsid w:val="004A3879"/>
    <w:rsid w:val="004A38C9"/>
    <w:rsid w:val="004A39B8"/>
    <w:rsid w:val="004A3F55"/>
    <w:rsid w:val="004A4347"/>
    <w:rsid w:val="004A44B5"/>
    <w:rsid w:val="004A4559"/>
    <w:rsid w:val="004A4918"/>
    <w:rsid w:val="004A4965"/>
    <w:rsid w:val="004A4B18"/>
    <w:rsid w:val="004A4BAD"/>
    <w:rsid w:val="004A4D70"/>
    <w:rsid w:val="004A5212"/>
    <w:rsid w:val="004A5224"/>
    <w:rsid w:val="004A53DF"/>
    <w:rsid w:val="004A53FB"/>
    <w:rsid w:val="004A5615"/>
    <w:rsid w:val="004A587F"/>
    <w:rsid w:val="004A5A21"/>
    <w:rsid w:val="004A5A87"/>
    <w:rsid w:val="004A5B87"/>
    <w:rsid w:val="004A5E3E"/>
    <w:rsid w:val="004A6617"/>
    <w:rsid w:val="004A66E3"/>
    <w:rsid w:val="004A69CF"/>
    <w:rsid w:val="004A6A90"/>
    <w:rsid w:val="004A6ADD"/>
    <w:rsid w:val="004A6D25"/>
    <w:rsid w:val="004A7026"/>
    <w:rsid w:val="004A7634"/>
    <w:rsid w:val="004A78A9"/>
    <w:rsid w:val="004A7B93"/>
    <w:rsid w:val="004B0058"/>
    <w:rsid w:val="004B00EB"/>
    <w:rsid w:val="004B03EE"/>
    <w:rsid w:val="004B052A"/>
    <w:rsid w:val="004B061F"/>
    <w:rsid w:val="004B08BF"/>
    <w:rsid w:val="004B08FF"/>
    <w:rsid w:val="004B0901"/>
    <w:rsid w:val="004B11FB"/>
    <w:rsid w:val="004B129A"/>
    <w:rsid w:val="004B1402"/>
    <w:rsid w:val="004B14CF"/>
    <w:rsid w:val="004B15B3"/>
    <w:rsid w:val="004B19F1"/>
    <w:rsid w:val="004B1A10"/>
    <w:rsid w:val="004B1B4B"/>
    <w:rsid w:val="004B1E25"/>
    <w:rsid w:val="004B1F2F"/>
    <w:rsid w:val="004B21B1"/>
    <w:rsid w:val="004B21B9"/>
    <w:rsid w:val="004B244B"/>
    <w:rsid w:val="004B2A75"/>
    <w:rsid w:val="004B2B79"/>
    <w:rsid w:val="004B2CD7"/>
    <w:rsid w:val="004B2F45"/>
    <w:rsid w:val="004B32A5"/>
    <w:rsid w:val="004B349C"/>
    <w:rsid w:val="004B3524"/>
    <w:rsid w:val="004B3841"/>
    <w:rsid w:val="004B3989"/>
    <w:rsid w:val="004B3A53"/>
    <w:rsid w:val="004B3B00"/>
    <w:rsid w:val="004B3B86"/>
    <w:rsid w:val="004B3C15"/>
    <w:rsid w:val="004B3DD3"/>
    <w:rsid w:val="004B3F8A"/>
    <w:rsid w:val="004B405F"/>
    <w:rsid w:val="004B443D"/>
    <w:rsid w:val="004B455E"/>
    <w:rsid w:val="004B4674"/>
    <w:rsid w:val="004B49A5"/>
    <w:rsid w:val="004B4A7B"/>
    <w:rsid w:val="004B50C5"/>
    <w:rsid w:val="004B520D"/>
    <w:rsid w:val="004B5389"/>
    <w:rsid w:val="004B53EA"/>
    <w:rsid w:val="004B5521"/>
    <w:rsid w:val="004B55FD"/>
    <w:rsid w:val="004B5AD1"/>
    <w:rsid w:val="004B5B4D"/>
    <w:rsid w:val="004B60D5"/>
    <w:rsid w:val="004B62A3"/>
    <w:rsid w:val="004B63AE"/>
    <w:rsid w:val="004B6926"/>
    <w:rsid w:val="004B6B93"/>
    <w:rsid w:val="004B6EC9"/>
    <w:rsid w:val="004B6F82"/>
    <w:rsid w:val="004B7188"/>
    <w:rsid w:val="004B765C"/>
    <w:rsid w:val="004B7E03"/>
    <w:rsid w:val="004B7EE8"/>
    <w:rsid w:val="004B7FD8"/>
    <w:rsid w:val="004C03F1"/>
    <w:rsid w:val="004C08A6"/>
    <w:rsid w:val="004C09E7"/>
    <w:rsid w:val="004C0B7B"/>
    <w:rsid w:val="004C0CE7"/>
    <w:rsid w:val="004C0F7F"/>
    <w:rsid w:val="004C1584"/>
    <w:rsid w:val="004C1746"/>
    <w:rsid w:val="004C1DDC"/>
    <w:rsid w:val="004C1EE7"/>
    <w:rsid w:val="004C203D"/>
    <w:rsid w:val="004C2673"/>
    <w:rsid w:val="004C271C"/>
    <w:rsid w:val="004C2730"/>
    <w:rsid w:val="004C2CB6"/>
    <w:rsid w:val="004C3314"/>
    <w:rsid w:val="004C34F3"/>
    <w:rsid w:val="004C3AAC"/>
    <w:rsid w:val="004C3AE1"/>
    <w:rsid w:val="004C3AEE"/>
    <w:rsid w:val="004C3E74"/>
    <w:rsid w:val="004C3EEA"/>
    <w:rsid w:val="004C3F13"/>
    <w:rsid w:val="004C403A"/>
    <w:rsid w:val="004C4383"/>
    <w:rsid w:val="004C47E0"/>
    <w:rsid w:val="004C47EB"/>
    <w:rsid w:val="004C485E"/>
    <w:rsid w:val="004C4950"/>
    <w:rsid w:val="004C4A83"/>
    <w:rsid w:val="004C4AEE"/>
    <w:rsid w:val="004C4C4B"/>
    <w:rsid w:val="004C503B"/>
    <w:rsid w:val="004C534D"/>
    <w:rsid w:val="004C57CD"/>
    <w:rsid w:val="004C5BDD"/>
    <w:rsid w:val="004C5EC1"/>
    <w:rsid w:val="004C60CF"/>
    <w:rsid w:val="004C639C"/>
    <w:rsid w:val="004C6576"/>
    <w:rsid w:val="004C6591"/>
    <w:rsid w:val="004C69F1"/>
    <w:rsid w:val="004C6D76"/>
    <w:rsid w:val="004C6EA9"/>
    <w:rsid w:val="004C71F3"/>
    <w:rsid w:val="004C7462"/>
    <w:rsid w:val="004C74FD"/>
    <w:rsid w:val="004D0099"/>
    <w:rsid w:val="004D00BA"/>
    <w:rsid w:val="004D0111"/>
    <w:rsid w:val="004D0620"/>
    <w:rsid w:val="004D09FA"/>
    <w:rsid w:val="004D0BC3"/>
    <w:rsid w:val="004D129E"/>
    <w:rsid w:val="004D15AD"/>
    <w:rsid w:val="004D184D"/>
    <w:rsid w:val="004D231D"/>
    <w:rsid w:val="004D2716"/>
    <w:rsid w:val="004D28F3"/>
    <w:rsid w:val="004D29A4"/>
    <w:rsid w:val="004D2A3B"/>
    <w:rsid w:val="004D2AFD"/>
    <w:rsid w:val="004D2BCF"/>
    <w:rsid w:val="004D2CA9"/>
    <w:rsid w:val="004D32BA"/>
    <w:rsid w:val="004D3A42"/>
    <w:rsid w:val="004D4468"/>
    <w:rsid w:val="004D467E"/>
    <w:rsid w:val="004D4732"/>
    <w:rsid w:val="004D4C50"/>
    <w:rsid w:val="004D4DFF"/>
    <w:rsid w:val="004D4E9E"/>
    <w:rsid w:val="004D5178"/>
    <w:rsid w:val="004D540B"/>
    <w:rsid w:val="004D569C"/>
    <w:rsid w:val="004D56E2"/>
    <w:rsid w:val="004D5893"/>
    <w:rsid w:val="004D59A0"/>
    <w:rsid w:val="004D5D62"/>
    <w:rsid w:val="004D6043"/>
    <w:rsid w:val="004D60E1"/>
    <w:rsid w:val="004D6101"/>
    <w:rsid w:val="004D630F"/>
    <w:rsid w:val="004D69E0"/>
    <w:rsid w:val="004D6ED6"/>
    <w:rsid w:val="004D705A"/>
    <w:rsid w:val="004D735A"/>
    <w:rsid w:val="004D76E3"/>
    <w:rsid w:val="004D786B"/>
    <w:rsid w:val="004D7893"/>
    <w:rsid w:val="004D7E23"/>
    <w:rsid w:val="004E007E"/>
    <w:rsid w:val="004E038F"/>
    <w:rsid w:val="004E04E0"/>
    <w:rsid w:val="004E0940"/>
    <w:rsid w:val="004E0ACA"/>
    <w:rsid w:val="004E0D23"/>
    <w:rsid w:val="004E0EE2"/>
    <w:rsid w:val="004E1869"/>
    <w:rsid w:val="004E193B"/>
    <w:rsid w:val="004E1A3C"/>
    <w:rsid w:val="004E1A78"/>
    <w:rsid w:val="004E1BA7"/>
    <w:rsid w:val="004E1C82"/>
    <w:rsid w:val="004E1DF1"/>
    <w:rsid w:val="004E1EAD"/>
    <w:rsid w:val="004E252F"/>
    <w:rsid w:val="004E25CC"/>
    <w:rsid w:val="004E274F"/>
    <w:rsid w:val="004E280A"/>
    <w:rsid w:val="004E2887"/>
    <w:rsid w:val="004E28F1"/>
    <w:rsid w:val="004E2979"/>
    <w:rsid w:val="004E2D43"/>
    <w:rsid w:val="004E2F5D"/>
    <w:rsid w:val="004E3640"/>
    <w:rsid w:val="004E3815"/>
    <w:rsid w:val="004E390D"/>
    <w:rsid w:val="004E4088"/>
    <w:rsid w:val="004E4246"/>
    <w:rsid w:val="004E43BB"/>
    <w:rsid w:val="004E44BC"/>
    <w:rsid w:val="004E44C2"/>
    <w:rsid w:val="004E462F"/>
    <w:rsid w:val="004E4BFC"/>
    <w:rsid w:val="004E4D5D"/>
    <w:rsid w:val="004E4DB8"/>
    <w:rsid w:val="004E4EAD"/>
    <w:rsid w:val="004E51C6"/>
    <w:rsid w:val="004E51D3"/>
    <w:rsid w:val="004E51FB"/>
    <w:rsid w:val="004E5208"/>
    <w:rsid w:val="004E5357"/>
    <w:rsid w:val="004E53CB"/>
    <w:rsid w:val="004E53E5"/>
    <w:rsid w:val="004E561E"/>
    <w:rsid w:val="004E5A5C"/>
    <w:rsid w:val="004E5C8A"/>
    <w:rsid w:val="004E5CF7"/>
    <w:rsid w:val="004E5FC4"/>
    <w:rsid w:val="004E6128"/>
    <w:rsid w:val="004E66F5"/>
    <w:rsid w:val="004E69A5"/>
    <w:rsid w:val="004E6A98"/>
    <w:rsid w:val="004E6EB1"/>
    <w:rsid w:val="004E6FA9"/>
    <w:rsid w:val="004E70BE"/>
    <w:rsid w:val="004E710A"/>
    <w:rsid w:val="004E7309"/>
    <w:rsid w:val="004E7354"/>
    <w:rsid w:val="004E7833"/>
    <w:rsid w:val="004E78AD"/>
    <w:rsid w:val="004E7BBE"/>
    <w:rsid w:val="004E7BD6"/>
    <w:rsid w:val="004E7DE8"/>
    <w:rsid w:val="004F029F"/>
    <w:rsid w:val="004F0515"/>
    <w:rsid w:val="004F0957"/>
    <w:rsid w:val="004F0C1D"/>
    <w:rsid w:val="004F0C31"/>
    <w:rsid w:val="004F0DA1"/>
    <w:rsid w:val="004F0DCE"/>
    <w:rsid w:val="004F0F57"/>
    <w:rsid w:val="004F10DA"/>
    <w:rsid w:val="004F1127"/>
    <w:rsid w:val="004F112B"/>
    <w:rsid w:val="004F15EA"/>
    <w:rsid w:val="004F1657"/>
    <w:rsid w:val="004F1E25"/>
    <w:rsid w:val="004F1FFC"/>
    <w:rsid w:val="004F2219"/>
    <w:rsid w:val="004F236B"/>
    <w:rsid w:val="004F2378"/>
    <w:rsid w:val="004F23C4"/>
    <w:rsid w:val="004F23EF"/>
    <w:rsid w:val="004F2691"/>
    <w:rsid w:val="004F289A"/>
    <w:rsid w:val="004F2AF1"/>
    <w:rsid w:val="004F2B3C"/>
    <w:rsid w:val="004F2B62"/>
    <w:rsid w:val="004F2BBB"/>
    <w:rsid w:val="004F2EA7"/>
    <w:rsid w:val="004F2FE4"/>
    <w:rsid w:val="004F300C"/>
    <w:rsid w:val="004F34BB"/>
    <w:rsid w:val="004F34C9"/>
    <w:rsid w:val="004F37CC"/>
    <w:rsid w:val="004F398A"/>
    <w:rsid w:val="004F3AC0"/>
    <w:rsid w:val="004F3C1B"/>
    <w:rsid w:val="004F430D"/>
    <w:rsid w:val="004F43A8"/>
    <w:rsid w:val="004F45C7"/>
    <w:rsid w:val="004F464B"/>
    <w:rsid w:val="004F47D9"/>
    <w:rsid w:val="004F4866"/>
    <w:rsid w:val="004F4A6D"/>
    <w:rsid w:val="004F4AD4"/>
    <w:rsid w:val="004F4E37"/>
    <w:rsid w:val="004F4F84"/>
    <w:rsid w:val="004F516C"/>
    <w:rsid w:val="004F52BF"/>
    <w:rsid w:val="004F54D7"/>
    <w:rsid w:val="004F5AC3"/>
    <w:rsid w:val="004F5E20"/>
    <w:rsid w:val="004F5E7F"/>
    <w:rsid w:val="004F601B"/>
    <w:rsid w:val="004F6380"/>
    <w:rsid w:val="004F6647"/>
    <w:rsid w:val="004F6719"/>
    <w:rsid w:val="004F67A2"/>
    <w:rsid w:val="004F69B6"/>
    <w:rsid w:val="004F6A2D"/>
    <w:rsid w:val="004F711B"/>
    <w:rsid w:val="004F7207"/>
    <w:rsid w:val="004F7692"/>
    <w:rsid w:val="004F76EF"/>
    <w:rsid w:val="004F776C"/>
    <w:rsid w:val="004F7A08"/>
    <w:rsid w:val="004F7AC4"/>
    <w:rsid w:val="004F7E81"/>
    <w:rsid w:val="005000F9"/>
    <w:rsid w:val="005003A8"/>
    <w:rsid w:val="0050062E"/>
    <w:rsid w:val="00500881"/>
    <w:rsid w:val="00500B2D"/>
    <w:rsid w:val="00500BDB"/>
    <w:rsid w:val="00500D6F"/>
    <w:rsid w:val="00500DE6"/>
    <w:rsid w:val="00500F9C"/>
    <w:rsid w:val="005017B6"/>
    <w:rsid w:val="005017F0"/>
    <w:rsid w:val="00501CFF"/>
    <w:rsid w:val="00501D2D"/>
    <w:rsid w:val="0050214A"/>
    <w:rsid w:val="005028F7"/>
    <w:rsid w:val="00502B56"/>
    <w:rsid w:val="00502E82"/>
    <w:rsid w:val="00503152"/>
    <w:rsid w:val="00503180"/>
    <w:rsid w:val="005033B6"/>
    <w:rsid w:val="005033E9"/>
    <w:rsid w:val="0050351A"/>
    <w:rsid w:val="0050387E"/>
    <w:rsid w:val="0050399D"/>
    <w:rsid w:val="005039AD"/>
    <w:rsid w:val="00503A04"/>
    <w:rsid w:val="00503B95"/>
    <w:rsid w:val="00503DB5"/>
    <w:rsid w:val="00503FCF"/>
    <w:rsid w:val="0050415D"/>
    <w:rsid w:val="00504342"/>
    <w:rsid w:val="00504902"/>
    <w:rsid w:val="00504D76"/>
    <w:rsid w:val="00504F2A"/>
    <w:rsid w:val="00504F5D"/>
    <w:rsid w:val="00505090"/>
    <w:rsid w:val="005054BC"/>
    <w:rsid w:val="005054EA"/>
    <w:rsid w:val="00505773"/>
    <w:rsid w:val="00505828"/>
    <w:rsid w:val="0050589A"/>
    <w:rsid w:val="005059D9"/>
    <w:rsid w:val="00505E15"/>
    <w:rsid w:val="00505F11"/>
    <w:rsid w:val="0050608D"/>
    <w:rsid w:val="005061EE"/>
    <w:rsid w:val="00506826"/>
    <w:rsid w:val="00506B05"/>
    <w:rsid w:val="00506D4D"/>
    <w:rsid w:val="00506DE7"/>
    <w:rsid w:val="00506EB1"/>
    <w:rsid w:val="0050724E"/>
    <w:rsid w:val="0050749F"/>
    <w:rsid w:val="005076D6"/>
    <w:rsid w:val="005077D4"/>
    <w:rsid w:val="00507A20"/>
    <w:rsid w:val="00507D4A"/>
    <w:rsid w:val="00507F4C"/>
    <w:rsid w:val="00510440"/>
    <w:rsid w:val="0051044F"/>
    <w:rsid w:val="0051065D"/>
    <w:rsid w:val="005106B5"/>
    <w:rsid w:val="005106EB"/>
    <w:rsid w:val="00510781"/>
    <w:rsid w:val="0051088A"/>
    <w:rsid w:val="005108BA"/>
    <w:rsid w:val="00510C54"/>
    <w:rsid w:val="00510DC7"/>
    <w:rsid w:val="00510E04"/>
    <w:rsid w:val="00510E12"/>
    <w:rsid w:val="0051108B"/>
    <w:rsid w:val="005110D2"/>
    <w:rsid w:val="0051163A"/>
    <w:rsid w:val="005118A5"/>
    <w:rsid w:val="00511C70"/>
    <w:rsid w:val="00511D70"/>
    <w:rsid w:val="00511F15"/>
    <w:rsid w:val="0051205A"/>
    <w:rsid w:val="0051205E"/>
    <w:rsid w:val="00512189"/>
    <w:rsid w:val="00512206"/>
    <w:rsid w:val="0051246E"/>
    <w:rsid w:val="00512561"/>
    <w:rsid w:val="00512762"/>
    <w:rsid w:val="00512813"/>
    <w:rsid w:val="00513014"/>
    <w:rsid w:val="00513297"/>
    <w:rsid w:val="005135BF"/>
    <w:rsid w:val="0051377D"/>
    <w:rsid w:val="005137CB"/>
    <w:rsid w:val="00513C17"/>
    <w:rsid w:val="00513CC9"/>
    <w:rsid w:val="00513CD1"/>
    <w:rsid w:val="00513E15"/>
    <w:rsid w:val="005144D4"/>
    <w:rsid w:val="00514684"/>
    <w:rsid w:val="00514744"/>
    <w:rsid w:val="00514A82"/>
    <w:rsid w:val="00514D11"/>
    <w:rsid w:val="00514E70"/>
    <w:rsid w:val="0051553C"/>
    <w:rsid w:val="0051560A"/>
    <w:rsid w:val="00515BE4"/>
    <w:rsid w:val="00515E66"/>
    <w:rsid w:val="00516696"/>
    <w:rsid w:val="005167EB"/>
    <w:rsid w:val="00516AD6"/>
    <w:rsid w:val="00516C39"/>
    <w:rsid w:val="00516F4A"/>
    <w:rsid w:val="0051701B"/>
    <w:rsid w:val="005172B6"/>
    <w:rsid w:val="00517733"/>
    <w:rsid w:val="005177F5"/>
    <w:rsid w:val="00517B9E"/>
    <w:rsid w:val="00517BD3"/>
    <w:rsid w:val="00517C74"/>
    <w:rsid w:val="00517F83"/>
    <w:rsid w:val="00520444"/>
    <w:rsid w:val="0052058B"/>
    <w:rsid w:val="00520602"/>
    <w:rsid w:val="00521242"/>
    <w:rsid w:val="00521323"/>
    <w:rsid w:val="005213A7"/>
    <w:rsid w:val="00521619"/>
    <w:rsid w:val="00521767"/>
    <w:rsid w:val="0052177F"/>
    <w:rsid w:val="00521784"/>
    <w:rsid w:val="0052195C"/>
    <w:rsid w:val="005219BB"/>
    <w:rsid w:val="00521B6B"/>
    <w:rsid w:val="00521C01"/>
    <w:rsid w:val="00521DA1"/>
    <w:rsid w:val="00521E9C"/>
    <w:rsid w:val="005220ED"/>
    <w:rsid w:val="00522108"/>
    <w:rsid w:val="005222DE"/>
    <w:rsid w:val="005223D9"/>
    <w:rsid w:val="005228DB"/>
    <w:rsid w:val="00522F1B"/>
    <w:rsid w:val="00523066"/>
    <w:rsid w:val="00523456"/>
    <w:rsid w:val="005234B3"/>
    <w:rsid w:val="00523B02"/>
    <w:rsid w:val="005242A6"/>
    <w:rsid w:val="00524845"/>
    <w:rsid w:val="00524A19"/>
    <w:rsid w:val="00524EF0"/>
    <w:rsid w:val="00525341"/>
    <w:rsid w:val="005254D3"/>
    <w:rsid w:val="00525813"/>
    <w:rsid w:val="005258C8"/>
    <w:rsid w:val="005259BE"/>
    <w:rsid w:val="005259D9"/>
    <w:rsid w:val="00525DAF"/>
    <w:rsid w:val="00526522"/>
    <w:rsid w:val="0052671B"/>
    <w:rsid w:val="005267C6"/>
    <w:rsid w:val="00526879"/>
    <w:rsid w:val="00526A82"/>
    <w:rsid w:val="00526B0A"/>
    <w:rsid w:val="00526BE1"/>
    <w:rsid w:val="00526D6E"/>
    <w:rsid w:val="00526F15"/>
    <w:rsid w:val="00527092"/>
    <w:rsid w:val="005272A4"/>
    <w:rsid w:val="00527698"/>
    <w:rsid w:val="00527889"/>
    <w:rsid w:val="00527CFD"/>
    <w:rsid w:val="00527E96"/>
    <w:rsid w:val="00530144"/>
    <w:rsid w:val="005302F1"/>
    <w:rsid w:val="005307FD"/>
    <w:rsid w:val="00530CB1"/>
    <w:rsid w:val="00530F34"/>
    <w:rsid w:val="005310E2"/>
    <w:rsid w:val="00531673"/>
    <w:rsid w:val="0053168E"/>
    <w:rsid w:val="00531B18"/>
    <w:rsid w:val="00531B54"/>
    <w:rsid w:val="00531B9F"/>
    <w:rsid w:val="00531C34"/>
    <w:rsid w:val="00531D4A"/>
    <w:rsid w:val="00531D59"/>
    <w:rsid w:val="005323D9"/>
    <w:rsid w:val="005325D0"/>
    <w:rsid w:val="0053276A"/>
    <w:rsid w:val="00533342"/>
    <w:rsid w:val="005334C9"/>
    <w:rsid w:val="0053398B"/>
    <w:rsid w:val="00533B5C"/>
    <w:rsid w:val="00533B69"/>
    <w:rsid w:val="00533D40"/>
    <w:rsid w:val="00533E6D"/>
    <w:rsid w:val="00534364"/>
    <w:rsid w:val="00534AF3"/>
    <w:rsid w:val="00534C3B"/>
    <w:rsid w:val="0053547C"/>
    <w:rsid w:val="005354D9"/>
    <w:rsid w:val="00535656"/>
    <w:rsid w:val="00535813"/>
    <w:rsid w:val="00535B56"/>
    <w:rsid w:val="00535BBB"/>
    <w:rsid w:val="00535C60"/>
    <w:rsid w:val="00535C8E"/>
    <w:rsid w:val="00536895"/>
    <w:rsid w:val="00536AB4"/>
    <w:rsid w:val="00536B94"/>
    <w:rsid w:val="0053739D"/>
    <w:rsid w:val="005374C6"/>
    <w:rsid w:val="0053774B"/>
    <w:rsid w:val="00537A2C"/>
    <w:rsid w:val="00537C98"/>
    <w:rsid w:val="00537CC1"/>
    <w:rsid w:val="00537D05"/>
    <w:rsid w:val="00537DBB"/>
    <w:rsid w:val="00540032"/>
    <w:rsid w:val="00540716"/>
    <w:rsid w:val="00540E5A"/>
    <w:rsid w:val="00541563"/>
    <w:rsid w:val="005415E0"/>
    <w:rsid w:val="005418F9"/>
    <w:rsid w:val="0054197F"/>
    <w:rsid w:val="00542646"/>
    <w:rsid w:val="00542647"/>
    <w:rsid w:val="00542980"/>
    <w:rsid w:val="00542AAF"/>
    <w:rsid w:val="00542CF8"/>
    <w:rsid w:val="00542EC5"/>
    <w:rsid w:val="005433BD"/>
    <w:rsid w:val="00543819"/>
    <w:rsid w:val="00543887"/>
    <w:rsid w:val="005438E8"/>
    <w:rsid w:val="00543C1A"/>
    <w:rsid w:val="005440C5"/>
    <w:rsid w:val="0054432D"/>
    <w:rsid w:val="005444EB"/>
    <w:rsid w:val="0054454F"/>
    <w:rsid w:val="00544669"/>
    <w:rsid w:val="00544803"/>
    <w:rsid w:val="00544BCA"/>
    <w:rsid w:val="00544C7E"/>
    <w:rsid w:val="00544D8F"/>
    <w:rsid w:val="00544FE1"/>
    <w:rsid w:val="00545104"/>
    <w:rsid w:val="005453DA"/>
    <w:rsid w:val="00545477"/>
    <w:rsid w:val="005456A5"/>
    <w:rsid w:val="00545950"/>
    <w:rsid w:val="0054599B"/>
    <w:rsid w:val="00545B6E"/>
    <w:rsid w:val="00545D30"/>
    <w:rsid w:val="00545F1C"/>
    <w:rsid w:val="005463DC"/>
    <w:rsid w:val="005463E4"/>
    <w:rsid w:val="00546641"/>
    <w:rsid w:val="00546747"/>
    <w:rsid w:val="005467DA"/>
    <w:rsid w:val="005469CF"/>
    <w:rsid w:val="00546E6A"/>
    <w:rsid w:val="0054701B"/>
    <w:rsid w:val="005471C8"/>
    <w:rsid w:val="005473CB"/>
    <w:rsid w:val="005475AA"/>
    <w:rsid w:val="00547851"/>
    <w:rsid w:val="005479C6"/>
    <w:rsid w:val="00547A2F"/>
    <w:rsid w:val="00547A5C"/>
    <w:rsid w:val="00547A92"/>
    <w:rsid w:val="00547BCA"/>
    <w:rsid w:val="00547C26"/>
    <w:rsid w:val="00547D2D"/>
    <w:rsid w:val="00547EDB"/>
    <w:rsid w:val="0055003C"/>
    <w:rsid w:val="00550200"/>
    <w:rsid w:val="0055047E"/>
    <w:rsid w:val="00550608"/>
    <w:rsid w:val="005506D1"/>
    <w:rsid w:val="0055079D"/>
    <w:rsid w:val="005508B2"/>
    <w:rsid w:val="00550D7E"/>
    <w:rsid w:val="00550D99"/>
    <w:rsid w:val="00550F9B"/>
    <w:rsid w:val="00550FAA"/>
    <w:rsid w:val="005511C5"/>
    <w:rsid w:val="0055138B"/>
    <w:rsid w:val="005515A3"/>
    <w:rsid w:val="00551CC2"/>
    <w:rsid w:val="00551F78"/>
    <w:rsid w:val="00551FAD"/>
    <w:rsid w:val="005523CD"/>
    <w:rsid w:val="0055252D"/>
    <w:rsid w:val="00552CB7"/>
    <w:rsid w:val="005538D4"/>
    <w:rsid w:val="00553DAB"/>
    <w:rsid w:val="00553F55"/>
    <w:rsid w:val="00553F87"/>
    <w:rsid w:val="00554162"/>
    <w:rsid w:val="005541D3"/>
    <w:rsid w:val="0055421A"/>
    <w:rsid w:val="0055440A"/>
    <w:rsid w:val="005546D3"/>
    <w:rsid w:val="00554DD5"/>
    <w:rsid w:val="00555081"/>
    <w:rsid w:val="005553DF"/>
    <w:rsid w:val="0055562A"/>
    <w:rsid w:val="005556D7"/>
    <w:rsid w:val="005559BD"/>
    <w:rsid w:val="00555B40"/>
    <w:rsid w:val="00555C79"/>
    <w:rsid w:val="00555F1A"/>
    <w:rsid w:val="00556090"/>
    <w:rsid w:val="005560C4"/>
    <w:rsid w:val="00556569"/>
    <w:rsid w:val="005565E7"/>
    <w:rsid w:val="00556BE7"/>
    <w:rsid w:val="00556D64"/>
    <w:rsid w:val="00556F33"/>
    <w:rsid w:val="00556FD0"/>
    <w:rsid w:val="005573FC"/>
    <w:rsid w:val="00557548"/>
    <w:rsid w:val="0055762B"/>
    <w:rsid w:val="0055765C"/>
    <w:rsid w:val="00557A52"/>
    <w:rsid w:val="00557B55"/>
    <w:rsid w:val="00557E0B"/>
    <w:rsid w:val="00557FBE"/>
    <w:rsid w:val="00557FCF"/>
    <w:rsid w:val="0056000B"/>
    <w:rsid w:val="00560174"/>
    <w:rsid w:val="00560275"/>
    <w:rsid w:val="005602CD"/>
    <w:rsid w:val="005602FC"/>
    <w:rsid w:val="00560498"/>
    <w:rsid w:val="005606D9"/>
    <w:rsid w:val="00560893"/>
    <w:rsid w:val="00560929"/>
    <w:rsid w:val="00560CB1"/>
    <w:rsid w:val="00560CEF"/>
    <w:rsid w:val="00561380"/>
    <w:rsid w:val="00561462"/>
    <w:rsid w:val="005614A4"/>
    <w:rsid w:val="00561688"/>
    <w:rsid w:val="0056181B"/>
    <w:rsid w:val="00561880"/>
    <w:rsid w:val="00561D39"/>
    <w:rsid w:val="00561DDC"/>
    <w:rsid w:val="00561F9C"/>
    <w:rsid w:val="00562294"/>
    <w:rsid w:val="005622CC"/>
    <w:rsid w:val="00562352"/>
    <w:rsid w:val="0056237F"/>
    <w:rsid w:val="00562383"/>
    <w:rsid w:val="00562509"/>
    <w:rsid w:val="00562869"/>
    <w:rsid w:val="00562987"/>
    <w:rsid w:val="00562CE2"/>
    <w:rsid w:val="00562DAE"/>
    <w:rsid w:val="00562EE3"/>
    <w:rsid w:val="00562F43"/>
    <w:rsid w:val="00563042"/>
    <w:rsid w:val="005631DC"/>
    <w:rsid w:val="005634CB"/>
    <w:rsid w:val="0056376C"/>
    <w:rsid w:val="005639EA"/>
    <w:rsid w:val="005639FC"/>
    <w:rsid w:val="00563F12"/>
    <w:rsid w:val="00564318"/>
    <w:rsid w:val="005647E7"/>
    <w:rsid w:val="0056482C"/>
    <w:rsid w:val="00564E85"/>
    <w:rsid w:val="005651C8"/>
    <w:rsid w:val="005652AB"/>
    <w:rsid w:val="005653FB"/>
    <w:rsid w:val="00565619"/>
    <w:rsid w:val="0056561C"/>
    <w:rsid w:val="005658F1"/>
    <w:rsid w:val="00565AC4"/>
    <w:rsid w:val="00565BF4"/>
    <w:rsid w:val="00565D8D"/>
    <w:rsid w:val="00565D94"/>
    <w:rsid w:val="00566331"/>
    <w:rsid w:val="00566CC1"/>
    <w:rsid w:val="00566ED3"/>
    <w:rsid w:val="00566FE8"/>
    <w:rsid w:val="00567045"/>
    <w:rsid w:val="00567126"/>
    <w:rsid w:val="0056735F"/>
    <w:rsid w:val="0056750F"/>
    <w:rsid w:val="00567B4D"/>
    <w:rsid w:val="00567BC4"/>
    <w:rsid w:val="00570031"/>
    <w:rsid w:val="00570070"/>
    <w:rsid w:val="00570256"/>
    <w:rsid w:val="00570294"/>
    <w:rsid w:val="0057030D"/>
    <w:rsid w:val="00570411"/>
    <w:rsid w:val="005705BB"/>
    <w:rsid w:val="0057062E"/>
    <w:rsid w:val="005706E4"/>
    <w:rsid w:val="00570791"/>
    <w:rsid w:val="00570877"/>
    <w:rsid w:val="005709BE"/>
    <w:rsid w:val="00570B8E"/>
    <w:rsid w:val="00570BF4"/>
    <w:rsid w:val="00570C69"/>
    <w:rsid w:val="00570DCE"/>
    <w:rsid w:val="00570E35"/>
    <w:rsid w:val="005711D1"/>
    <w:rsid w:val="00571352"/>
    <w:rsid w:val="005717F0"/>
    <w:rsid w:val="00571C10"/>
    <w:rsid w:val="00571C8C"/>
    <w:rsid w:val="00571D78"/>
    <w:rsid w:val="00572001"/>
    <w:rsid w:val="00572405"/>
    <w:rsid w:val="00572478"/>
    <w:rsid w:val="005726A9"/>
    <w:rsid w:val="005727BA"/>
    <w:rsid w:val="005727CA"/>
    <w:rsid w:val="005727D8"/>
    <w:rsid w:val="00572DD1"/>
    <w:rsid w:val="00572EDB"/>
    <w:rsid w:val="005730E1"/>
    <w:rsid w:val="0057322B"/>
    <w:rsid w:val="00573338"/>
    <w:rsid w:val="0057340C"/>
    <w:rsid w:val="0057345C"/>
    <w:rsid w:val="005737C1"/>
    <w:rsid w:val="00573896"/>
    <w:rsid w:val="00573B6D"/>
    <w:rsid w:val="00573CAC"/>
    <w:rsid w:val="00573EBD"/>
    <w:rsid w:val="0057411B"/>
    <w:rsid w:val="005744CD"/>
    <w:rsid w:val="005744D9"/>
    <w:rsid w:val="005746CC"/>
    <w:rsid w:val="00574851"/>
    <w:rsid w:val="00574918"/>
    <w:rsid w:val="00574CC6"/>
    <w:rsid w:val="00574D76"/>
    <w:rsid w:val="00575125"/>
    <w:rsid w:val="005755A7"/>
    <w:rsid w:val="00575B08"/>
    <w:rsid w:val="00575C6B"/>
    <w:rsid w:val="00575CAE"/>
    <w:rsid w:val="00575EEC"/>
    <w:rsid w:val="00575FC7"/>
    <w:rsid w:val="00576219"/>
    <w:rsid w:val="005765F3"/>
    <w:rsid w:val="00576737"/>
    <w:rsid w:val="005769B7"/>
    <w:rsid w:val="00576B22"/>
    <w:rsid w:val="00576B4D"/>
    <w:rsid w:val="00576FE7"/>
    <w:rsid w:val="0057705B"/>
    <w:rsid w:val="00577410"/>
    <w:rsid w:val="0058000B"/>
    <w:rsid w:val="00580651"/>
    <w:rsid w:val="00580658"/>
    <w:rsid w:val="00580837"/>
    <w:rsid w:val="00580B94"/>
    <w:rsid w:val="00580BC0"/>
    <w:rsid w:val="00580C07"/>
    <w:rsid w:val="00580D3B"/>
    <w:rsid w:val="00580D69"/>
    <w:rsid w:val="00580F47"/>
    <w:rsid w:val="00580F5B"/>
    <w:rsid w:val="00580FDF"/>
    <w:rsid w:val="0058120A"/>
    <w:rsid w:val="00581593"/>
    <w:rsid w:val="00581954"/>
    <w:rsid w:val="00581AEA"/>
    <w:rsid w:val="00581D32"/>
    <w:rsid w:val="00581D65"/>
    <w:rsid w:val="005820B3"/>
    <w:rsid w:val="005824CE"/>
    <w:rsid w:val="00582523"/>
    <w:rsid w:val="0058281A"/>
    <w:rsid w:val="00582BB4"/>
    <w:rsid w:val="00582C8F"/>
    <w:rsid w:val="00582CDA"/>
    <w:rsid w:val="00582CF3"/>
    <w:rsid w:val="00582E00"/>
    <w:rsid w:val="00582F90"/>
    <w:rsid w:val="005832B9"/>
    <w:rsid w:val="00583737"/>
    <w:rsid w:val="00583B86"/>
    <w:rsid w:val="00583C05"/>
    <w:rsid w:val="00583CC4"/>
    <w:rsid w:val="00583DD8"/>
    <w:rsid w:val="00584066"/>
    <w:rsid w:val="0058454E"/>
    <w:rsid w:val="00584876"/>
    <w:rsid w:val="005849A5"/>
    <w:rsid w:val="00584A15"/>
    <w:rsid w:val="00585931"/>
    <w:rsid w:val="00585B4C"/>
    <w:rsid w:val="00585B5D"/>
    <w:rsid w:val="00586090"/>
    <w:rsid w:val="005860B4"/>
    <w:rsid w:val="0058626A"/>
    <w:rsid w:val="005862D7"/>
    <w:rsid w:val="00586459"/>
    <w:rsid w:val="00586B97"/>
    <w:rsid w:val="00586C19"/>
    <w:rsid w:val="00586E05"/>
    <w:rsid w:val="005876E8"/>
    <w:rsid w:val="00587998"/>
    <w:rsid w:val="00587A51"/>
    <w:rsid w:val="00587A98"/>
    <w:rsid w:val="00587DE9"/>
    <w:rsid w:val="00587E35"/>
    <w:rsid w:val="00587E72"/>
    <w:rsid w:val="00590145"/>
    <w:rsid w:val="00590239"/>
    <w:rsid w:val="005902DF"/>
    <w:rsid w:val="005903B0"/>
    <w:rsid w:val="005904C4"/>
    <w:rsid w:val="005906A3"/>
    <w:rsid w:val="0059072C"/>
    <w:rsid w:val="00590759"/>
    <w:rsid w:val="00590975"/>
    <w:rsid w:val="00590991"/>
    <w:rsid w:val="00590C6E"/>
    <w:rsid w:val="00590D5B"/>
    <w:rsid w:val="00591177"/>
    <w:rsid w:val="005914BB"/>
    <w:rsid w:val="00591691"/>
    <w:rsid w:val="00591775"/>
    <w:rsid w:val="00591D6C"/>
    <w:rsid w:val="00591F32"/>
    <w:rsid w:val="005921E3"/>
    <w:rsid w:val="00592229"/>
    <w:rsid w:val="005922B1"/>
    <w:rsid w:val="005924BC"/>
    <w:rsid w:val="00592965"/>
    <w:rsid w:val="00592980"/>
    <w:rsid w:val="00592A6A"/>
    <w:rsid w:val="00592CDA"/>
    <w:rsid w:val="00592D93"/>
    <w:rsid w:val="00592E0C"/>
    <w:rsid w:val="005932A9"/>
    <w:rsid w:val="00593490"/>
    <w:rsid w:val="005936D5"/>
    <w:rsid w:val="00593817"/>
    <w:rsid w:val="00593F2D"/>
    <w:rsid w:val="00594172"/>
    <w:rsid w:val="00594437"/>
    <w:rsid w:val="005944E3"/>
    <w:rsid w:val="0059468C"/>
    <w:rsid w:val="00594935"/>
    <w:rsid w:val="00594AA4"/>
    <w:rsid w:val="00594FDA"/>
    <w:rsid w:val="005950B6"/>
    <w:rsid w:val="00595445"/>
    <w:rsid w:val="005954B1"/>
    <w:rsid w:val="00595834"/>
    <w:rsid w:val="00595ACA"/>
    <w:rsid w:val="00595DD4"/>
    <w:rsid w:val="00596000"/>
    <w:rsid w:val="00596084"/>
    <w:rsid w:val="00596146"/>
    <w:rsid w:val="00596277"/>
    <w:rsid w:val="0059631C"/>
    <w:rsid w:val="005964D0"/>
    <w:rsid w:val="005969A8"/>
    <w:rsid w:val="00596A06"/>
    <w:rsid w:val="00596AC8"/>
    <w:rsid w:val="00596E10"/>
    <w:rsid w:val="00596F86"/>
    <w:rsid w:val="00597342"/>
    <w:rsid w:val="005978A8"/>
    <w:rsid w:val="00597991"/>
    <w:rsid w:val="00597A22"/>
    <w:rsid w:val="00597F7D"/>
    <w:rsid w:val="005A01BC"/>
    <w:rsid w:val="005A0A06"/>
    <w:rsid w:val="005A0A89"/>
    <w:rsid w:val="005A0B7B"/>
    <w:rsid w:val="005A0BD7"/>
    <w:rsid w:val="005A0F35"/>
    <w:rsid w:val="005A0FCA"/>
    <w:rsid w:val="005A103D"/>
    <w:rsid w:val="005A157E"/>
    <w:rsid w:val="005A16D8"/>
    <w:rsid w:val="005A1971"/>
    <w:rsid w:val="005A1BDD"/>
    <w:rsid w:val="005A1D8A"/>
    <w:rsid w:val="005A1F64"/>
    <w:rsid w:val="005A26E6"/>
    <w:rsid w:val="005A2A1C"/>
    <w:rsid w:val="005A2C5A"/>
    <w:rsid w:val="005A2CCF"/>
    <w:rsid w:val="005A2CE0"/>
    <w:rsid w:val="005A3243"/>
    <w:rsid w:val="005A3A4E"/>
    <w:rsid w:val="005A3C48"/>
    <w:rsid w:val="005A3C80"/>
    <w:rsid w:val="005A4249"/>
    <w:rsid w:val="005A428D"/>
    <w:rsid w:val="005A42F0"/>
    <w:rsid w:val="005A4310"/>
    <w:rsid w:val="005A441E"/>
    <w:rsid w:val="005A4484"/>
    <w:rsid w:val="005A48E0"/>
    <w:rsid w:val="005A495A"/>
    <w:rsid w:val="005A4AE3"/>
    <w:rsid w:val="005A4D43"/>
    <w:rsid w:val="005A4E0A"/>
    <w:rsid w:val="005A4EBB"/>
    <w:rsid w:val="005A4F8A"/>
    <w:rsid w:val="005A508C"/>
    <w:rsid w:val="005A51AE"/>
    <w:rsid w:val="005A5461"/>
    <w:rsid w:val="005A58A6"/>
    <w:rsid w:val="005A5B90"/>
    <w:rsid w:val="005A5C23"/>
    <w:rsid w:val="005A5EB7"/>
    <w:rsid w:val="005A5F1A"/>
    <w:rsid w:val="005A617A"/>
    <w:rsid w:val="005A629E"/>
    <w:rsid w:val="005A63D6"/>
    <w:rsid w:val="005A648F"/>
    <w:rsid w:val="005A68FA"/>
    <w:rsid w:val="005A69D1"/>
    <w:rsid w:val="005A6F74"/>
    <w:rsid w:val="005A74A7"/>
    <w:rsid w:val="005A7511"/>
    <w:rsid w:val="005A7555"/>
    <w:rsid w:val="005A76B6"/>
    <w:rsid w:val="005A789F"/>
    <w:rsid w:val="005A7DEC"/>
    <w:rsid w:val="005A7E9E"/>
    <w:rsid w:val="005A7F9A"/>
    <w:rsid w:val="005B01CB"/>
    <w:rsid w:val="005B036C"/>
    <w:rsid w:val="005B03D3"/>
    <w:rsid w:val="005B057D"/>
    <w:rsid w:val="005B08D1"/>
    <w:rsid w:val="005B08FF"/>
    <w:rsid w:val="005B0910"/>
    <w:rsid w:val="005B0C95"/>
    <w:rsid w:val="005B0CA4"/>
    <w:rsid w:val="005B126C"/>
    <w:rsid w:val="005B13CE"/>
    <w:rsid w:val="005B1416"/>
    <w:rsid w:val="005B14F9"/>
    <w:rsid w:val="005B18F9"/>
    <w:rsid w:val="005B1A54"/>
    <w:rsid w:val="005B1C03"/>
    <w:rsid w:val="005B1C9E"/>
    <w:rsid w:val="005B209A"/>
    <w:rsid w:val="005B2153"/>
    <w:rsid w:val="005B22BE"/>
    <w:rsid w:val="005B24CB"/>
    <w:rsid w:val="005B2AD7"/>
    <w:rsid w:val="005B2C1B"/>
    <w:rsid w:val="005B2CEB"/>
    <w:rsid w:val="005B3029"/>
    <w:rsid w:val="005B30D5"/>
    <w:rsid w:val="005B30FE"/>
    <w:rsid w:val="005B35A6"/>
    <w:rsid w:val="005B3722"/>
    <w:rsid w:val="005B3764"/>
    <w:rsid w:val="005B39D1"/>
    <w:rsid w:val="005B3B69"/>
    <w:rsid w:val="005B3D8A"/>
    <w:rsid w:val="005B3F77"/>
    <w:rsid w:val="005B405B"/>
    <w:rsid w:val="005B4135"/>
    <w:rsid w:val="005B42B1"/>
    <w:rsid w:val="005B4452"/>
    <w:rsid w:val="005B4D42"/>
    <w:rsid w:val="005B4F87"/>
    <w:rsid w:val="005B510A"/>
    <w:rsid w:val="005B5AE4"/>
    <w:rsid w:val="005B5EAC"/>
    <w:rsid w:val="005B5FEE"/>
    <w:rsid w:val="005B6166"/>
    <w:rsid w:val="005B6206"/>
    <w:rsid w:val="005B638D"/>
    <w:rsid w:val="005B63DA"/>
    <w:rsid w:val="005B66E6"/>
    <w:rsid w:val="005B685D"/>
    <w:rsid w:val="005B6964"/>
    <w:rsid w:val="005B6A53"/>
    <w:rsid w:val="005B6A5C"/>
    <w:rsid w:val="005B6EFF"/>
    <w:rsid w:val="005B6FAE"/>
    <w:rsid w:val="005B6FE6"/>
    <w:rsid w:val="005B72BE"/>
    <w:rsid w:val="005B79E8"/>
    <w:rsid w:val="005C00B7"/>
    <w:rsid w:val="005C02FB"/>
    <w:rsid w:val="005C03DE"/>
    <w:rsid w:val="005C09DB"/>
    <w:rsid w:val="005C0BC1"/>
    <w:rsid w:val="005C1030"/>
    <w:rsid w:val="005C10E3"/>
    <w:rsid w:val="005C1140"/>
    <w:rsid w:val="005C1284"/>
    <w:rsid w:val="005C19B7"/>
    <w:rsid w:val="005C1D1D"/>
    <w:rsid w:val="005C1FD8"/>
    <w:rsid w:val="005C2043"/>
    <w:rsid w:val="005C2048"/>
    <w:rsid w:val="005C2083"/>
    <w:rsid w:val="005C2139"/>
    <w:rsid w:val="005C246B"/>
    <w:rsid w:val="005C2B35"/>
    <w:rsid w:val="005C2C29"/>
    <w:rsid w:val="005C35F2"/>
    <w:rsid w:val="005C3A52"/>
    <w:rsid w:val="005C43DD"/>
    <w:rsid w:val="005C45A8"/>
    <w:rsid w:val="005C46EE"/>
    <w:rsid w:val="005C4966"/>
    <w:rsid w:val="005C4A25"/>
    <w:rsid w:val="005C4D41"/>
    <w:rsid w:val="005C4DC7"/>
    <w:rsid w:val="005C4DD0"/>
    <w:rsid w:val="005C4F39"/>
    <w:rsid w:val="005C4FF3"/>
    <w:rsid w:val="005C518F"/>
    <w:rsid w:val="005C5215"/>
    <w:rsid w:val="005C57D5"/>
    <w:rsid w:val="005C5D02"/>
    <w:rsid w:val="005C606D"/>
    <w:rsid w:val="005C6293"/>
    <w:rsid w:val="005C66BB"/>
    <w:rsid w:val="005C6942"/>
    <w:rsid w:val="005C6EAA"/>
    <w:rsid w:val="005C6EC7"/>
    <w:rsid w:val="005C6FB4"/>
    <w:rsid w:val="005C70B3"/>
    <w:rsid w:val="005C71F7"/>
    <w:rsid w:val="005C7258"/>
    <w:rsid w:val="005C7356"/>
    <w:rsid w:val="005C7825"/>
    <w:rsid w:val="005C7DC6"/>
    <w:rsid w:val="005C7DE8"/>
    <w:rsid w:val="005C7E0C"/>
    <w:rsid w:val="005C7F4D"/>
    <w:rsid w:val="005D0079"/>
    <w:rsid w:val="005D069D"/>
    <w:rsid w:val="005D0B8C"/>
    <w:rsid w:val="005D0CC6"/>
    <w:rsid w:val="005D0DF7"/>
    <w:rsid w:val="005D15A3"/>
    <w:rsid w:val="005D16C5"/>
    <w:rsid w:val="005D1898"/>
    <w:rsid w:val="005D18EE"/>
    <w:rsid w:val="005D18F1"/>
    <w:rsid w:val="005D19DF"/>
    <w:rsid w:val="005D1AF8"/>
    <w:rsid w:val="005D1E78"/>
    <w:rsid w:val="005D1F04"/>
    <w:rsid w:val="005D2182"/>
    <w:rsid w:val="005D21DC"/>
    <w:rsid w:val="005D272B"/>
    <w:rsid w:val="005D28E1"/>
    <w:rsid w:val="005D2A72"/>
    <w:rsid w:val="005D2BDE"/>
    <w:rsid w:val="005D2FF6"/>
    <w:rsid w:val="005D30FD"/>
    <w:rsid w:val="005D3130"/>
    <w:rsid w:val="005D322C"/>
    <w:rsid w:val="005D326E"/>
    <w:rsid w:val="005D3339"/>
    <w:rsid w:val="005D34AD"/>
    <w:rsid w:val="005D3841"/>
    <w:rsid w:val="005D38EC"/>
    <w:rsid w:val="005D3CCA"/>
    <w:rsid w:val="005D3CDC"/>
    <w:rsid w:val="005D4032"/>
    <w:rsid w:val="005D40EB"/>
    <w:rsid w:val="005D411D"/>
    <w:rsid w:val="005D481B"/>
    <w:rsid w:val="005D488F"/>
    <w:rsid w:val="005D4A28"/>
    <w:rsid w:val="005D4A36"/>
    <w:rsid w:val="005D4BBD"/>
    <w:rsid w:val="005D4BC5"/>
    <w:rsid w:val="005D4C4E"/>
    <w:rsid w:val="005D4C9B"/>
    <w:rsid w:val="005D4EE9"/>
    <w:rsid w:val="005D4FA2"/>
    <w:rsid w:val="005D4FB1"/>
    <w:rsid w:val="005D50B1"/>
    <w:rsid w:val="005D50EC"/>
    <w:rsid w:val="005D5368"/>
    <w:rsid w:val="005D5635"/>
    <w:rsid w:val="005D5925"/>
    <w:rsid w:val="005D5CE6"/>
    <w:rsid w:val="005D601E"/>
    <w:rsid w:val="005D6261"/>
    <w:rsid w:val="005D62FB"/>
    <w:rsid w:val="005D637A"/>
    <w:rsid w:val="005D64D9"/>
    <w:rsid w:val="005D6D75"/>
    <w:rsid w:val="005D6E98"/>
    <w:rsid w:val="005D6F9E"/>
    <w:rsid w:val="005D6FE9"/>
    <w:rsid w:val="005D7072"/>
    <w:rsid w:val="005D71E8"/>
    <w:rsid w:val="005D748D"/>
    <w:rsid w:val="005D7CD2"/>
    <w:rsid w:val="005D7D2A"/>
    <w:rsid w:val="005D7D53"/>
    <w:rsid w:val="005D7FA5"/>
    <w:rsid w:val="005E010F"/>
    <w:rsid w:val="005E0370"/>
    <w:rsid w:val="005E093D"/>
    <w:rsid w:val="005E0D34"/>
    <w:rsid w:val="005E0F79"/>
    <w:rsid w:val="005E10E0"/>
    <w:rsid w:val="005E11D0"/>
    <w:rsid w:val="005E13F3"/>
    <w:rsid w:val="005E15E2"/>
    <w:rsid w:val="005E1C3E"/>
    <w:rsid w:val="005E1D09"/>
    <w:rsid w:val="005E1F57"/>
    <w:rsid w:val="005E211A"/>
    <w:rsid w:val="005E2370"/>
    <w:rsid w:val="005E2548"/>
    <w:rsid w:val="005E26A8"/>
    <w:rsid w:val="005E26AA"/>
    <w:rsid w:val="005E26E5"/>
    <w:rsid w:val="005E2A22"/>
    <w:rsid w:val="005E2A73"/>
    <w:rsid w:val="005E2C4A"/>
    <w:rsid w:val="005E2FC5"/>
    <w:rsid w:val="005E3121"/>
    <w:rsid w:val="005E342D"/>
    <w:rsid w:val="005E3575"/>
    <w:rsid w:val="005E3656"/>
    <w:rsid w:val="005E382E"/>
    <w:rsid w:val="005E38C0"/>
    <w:rsid w:val="005E393E"/>
    <w:rsid w:val="005E3E6A"/>
    <w:rsid w:val="005E3F79"/>
    <w:rsid w:val="005E41AB"/>
    <w:rsid w:val="005E46ED"/>
    <w:rsid w:val="005E46F4"/>
    <w:rsid w:val="005E46FF"/>
    <w:rsid w:val="005E49B5"/>
    <w:rsid w:val="005E49DA"/>
    <w:rsid w:val="005E4CB1"/>
    <w:rsid w:val="005E4D28"/>
    <w:rsid w:val="005E5023"/>
    <w:rsid w:val="005E5307"/>
    <w:rsid w:val="005E54E1"/>
    <w:rsid w:val="005E559E"/>
    <w:rsid w:val="005E55E1"/>
    <w:rsid w:val="005E580F"/>
    <w:rsid w:val="005E5C7C"/>
    <w:rsid w:val="005E5C9B"/>
    <w:rsid w:val="005E6067"/>
    <w:rsid w:val="005E6134"/>
    <w:rsid w:val="005E6651"/>
    <w:rsid w:val="005E66FD"/>
    <w:rsid w:val="005E6904"/>
    <w:rsid w:val="005E6A1B"/>
    <w:rsid w:val="005E6E4C"/>
    <w:rsid w:val="005E709E"/>
    <w:rsid w:val="005E7158"/>
    <w:rsid w:val="005E7244"/>
    <w:rsid w:val="005E73FA"/>
    <w:rsid w:val="005E75AF"/>
    <w:rsid w:val="005E7AF2"/>
    <w:rsid w:val="005E7BA6"/>
    <w:rsid w:val="005E7CD2"/>
    <w:rsid w:val="005E7D1F"/>
    <w:rsid w:val="005E7D2C"/>
    <w:rsid w:val="005E7FCC"/>
    <w:rsid w:val="005E7FE9"/>
    <w:rsid w:val="005F0011"/>
    <w:rsid w:val="005F0107"/>
    <w:rsid w:val="005F0411"/>
    <w:rsid w:val="005F04A0"/>
    <w:rsid w:val="005F06CA"/>
    <w:rsid w:val="005F09BB"/>
    <w:rsid w:val="005F0BCF"/>
    <w:rsid w:val="005F0DE0"/>
    <w:rsid w:val="005F17FA"/>
    <w:rsid w:val="005F17FF"/>
    <w:rsid w:val="005F1875"/>
    <w:rsid w:val="005F19EA"/>
    <w:rsid w:val="005F1B93"/>
    <w:rsid w:val="005F1E9A"/>
    <w:rsid w:val="005F2344"/>
    <w:rsid w:val="005F2345"/>
    <w:rsid w:val="005F2385"/>
    <w:rsid w:val="005F23D1"/>
    <w:rsid w:val="005F24F3"/>
    <w:rsid w:val="005F265D"/>
    <w:rsid w:val="005F2718"/>
    <w:rsid w:val="005F2950"/>
    <w:rsid w:val="005F2AEA"/>
    <w:rsid w:val="005F2F86"/>
    <w:rsid w:val="005F2FFA"/>
    <w:rsid w:val="005F30A0"/>
    <w:rsid w:val="005F330F"/>
    <w:rsid w:val="005F3649"/>
    <w:rsid w:val="005F3650"/>
    <w:rsid w:val="005F3716"/>
    <w:rsid w:val="005F3764"/>
    <w:rsid w:val="005F3830"/>
    <w:rsid w:val="005F392B"/>
    <w:rsid w:val="005F3A0B"/>
    <w:rsid w:val="005F3AEB"/>
    <w:rsid w:val="005F3B14"/>
    <w:rsid w:val="005F3C2C"/>
    <w:rsid w:val="005F3CF1"/>
    <w:rsid w:val="005F418D"/>
    <w:rsid w:val="005F44CA"/>
    <w:rsid w:val="005F45B3"/>
    <w:rsid w:val="005F486C"/>
    <w:rsid w:val="005F4B4C"/>
    <w:rsid w:val="005F4C08"/>
    <w:rsid w:val="005F4F65"/>
    <w:rsid w:val="005F50E8"/>
    <w:rsid w:val="005F52DA"/>
    <w:rsid w:val="005F5409"/>
    <w:rsid w:val="005F55D5"/>
    <w:rsid w:val="005F563C"/>
    <w:rsid w:val="005F57CF"/>
    <w:rsid w:val="005F58E2"/>
    <w:rsid w:val="005F5B2E"/>
    <w:rsid w:val="005F5F1C"/>
    <w:rsid w:val="005F5FDA"/>
    <w:rsid w:val="005F6053"/>
    <w:rsid w:val="005F62F4"/>
    <w:rsid w:val="005F6378"/>
    <w:rsid w:val="005F6394"/>
    <w:rsid w:val="005F639D"/>
    <w:rsid w:val="005F6894"/>
    <w:rsid w:val="005F6E9F"/>
    <w:rsid w:val="005F6F15"/>
    <w:rsid w:val="005F73B3"/>
    <w:rsid w:val="005F7B00"/>
    <w:rsid w:val="005F7C66"/>
    <w:rsid w:val="005F7F7B"/>
    <w:rsid w:val="006001A3"/>
    <w:rsid w:val="006001DE"/>
    <w:rsid w:val="006002AE"/>
    <w:rsid w:val="006002E3"/>
    <w:rsid w:val="006006F5"/>
    <w:rsid w:val="00600769"/>
    <w:rsid w:val="0060081D"/>
    <w:rsid w:val="0060092D"/>
    <w:rsid w:val="00600C35"/>
    <w:rsid w:val="00600CA9"/>
    <w:rsid w:val="00600EDB"/>
    <w:rsid w:val="006010D3"/>
    <w:rsid w:val="00601188"/>
    <w:rsid w:val="00601296"/>
    <w:rsid w:val="0060133E"/>
    <w:rsid w:val="006015F5"/>
    <w:rsid w:val="006016CF"/>
    <w:rsid w:val="00601776"/>
    <w:rsid w:val="006018E8"/>
    <w:rsid w:val="00601A22"/>
    <w:rsid w:val="00601B45"/>
    <w:rsid w:val="00601F0A"/>
    <w:rsid w:val="0060202F"/>
    <w:rsid w:val="00602426"/>
    <w:rsid w:val="00602481"/>
    <w:rsid w:val="00602BBF"/>
    <w:rsid w:val="00602E8D"/>
    <w:rsid w:val="00602F89"/>
    <w:rsid w:val="0060316C"/>
    <w:rsid w:val="00603476"/>
    <w:rsid w:val="0060378F"/>
    <w:rsid w:val="0060383B"/>
    <w:rsid w:val="00603D19"/>
    <w:rsid w:val="00603E7E"/>
    <w:rsid w:val="0060433D"/>
    <w:rsid w:val="00604351"/>
    <w:rsid w:val="006045F7"/>
    <w:rsid w:val="00604C4E"/>
    <w:rsid w:val="006050CB"/>
    <w:rsid w:val="00605141"/>
    <w:rsid w:val="006053E5"/>
    <w:rsid w:val="00605542"/>
    <w:rsid w:val="00605610"/>
    <w:rsid w:val="0060564B"/>
    <w:rsid w:val="00605941"/>
    <w:rsid w:val="00605BDC"/>
    <w:rsid w:val="00605F41"/>
    <w:rsid w:val="006060AA"/>
    <w:rsid w:val="0060617E"/>
    <w:rsid w:val="00606253"/>
    <w:rsid w:val="00606379"/>
    <w:rsid w:val="006069BA"/>
    <w:rsid w:val="00606D42"/>
    <w:rsid w:val="00606D67"/>
    <w:rsid w:val="00606D69"/>
    <w:rsid w:val="00606E1D"/>
    <w:rsid w:val="00606F64"/>
    <w:rsid w:val="00607258"/>
    <w:rsid w:val="0060729C"/>
    <w:rsid w:val="006073E7"/>
    <w:rsid w:val="006076FE"/>
    <w:rsid w:val="006078D0"/>
    <w:rsid w:val="00607B9F"/>
    <w:rsid w:val="00607CDC"/>
    <w:rsid w:val="00607CDF"/>
    <w:rsid w:val="00607D18"/>
    <w:rsid w:val="00607F39"/>
    <w:rsid w:val="00607FE4"/>
    <w:rsid w:val="00610341"/>
    <w:rsid w:val="006107FD"/>
    <w:rsid w:val="006109F6"/>
    <w:rsid w:val="006109F9"/>
    <w:rsid w:val="00610AD2"/>
    <w:rsid w:val="00610F4F"/>
    <w:rsid w:val="0061126D"/>
    <w:rsid w:val="006112F8"/>
    <w:rsid w:val="006115EF"/>
    <w:rsid w:val="00611636"/>
    <w:rsid w:val="006116EA"/>
    <w:rsid w:val="00611B2B"/>
    <w:rsid w:val="00611BCC"/>
    <w:rsid w:val="00611E0E"/>
    <w:rsid w:val="00611FCC"/>
    <w:rsid w:val="006124CA"/>
    <w:rsid w:val="006127E1"/>
    <w:rsid w:val="0061290A"/>
    <w:rsid w:val="00612A9F"/>
    <w:rsid w:val="00612B8D"/>
    <w:rsid w:val="00612C5C"/>
    <w:rsid w:val="00612D8D"/>
    <w:rsid w:val="00612E14"/>
    <w:rsid w:val="00613042"/>
    <w:rsid w:val="00613110"/>
    <w:rsid w:val="00613118"/>
    <w:rsid w:val="006131AE"/>
    <w:rsid w:val="006136E2"/>
    <w:rsid w:val="00613E98"/>
    <w:rsid w:val="006141AB"/>
    <w:rsid w:val="006142D1"/>
    <w:rsid w:val="006142DD"/>
    <w:rsid w:val="006143F5"/>
    <w:rsid w:val="00614567"/>
    <w:rsid w:val="0061489D"/>
    <w:rsid w:val="00614932"/>
    <w:rsid w:val="0061528E"/>
    <w:rsid w:val="0061574B"/>
    <w:rsid w:val="006158D9"/>
    <w:rsid w:val="006158FE"/>
    <w:rsid w:val="006159C2"/>
    <w:rsid w:val="00615E1B"/>
    <w:rsid w:val="006161D2"/>
    <w:rsid w:val="006161ED"/>
    <w:rsid w:val="0061627C"/>
    <w:rsid w:val="006162F9"/>
    <w:rsid w:val="00616413"/>
    <w:rsid w:val="006166D6"/>
    <w:rsid w:val="00616F7E"/>
    <w:rsid w:val="00617154"/>
    <w:rsid w:val="006174C9"/>
    <w:rsid w:val="00617637"/>
    <w:rsid w:val="00617647"/>
    <w:rsid w:val="00617662"/>
    <w:rsid w:val="00617A38"/>
    <w:rsid w:val="00617A63"/>
    <w:rsid w:val="00617B55"/>
    <w:rsid w:val="00617CA3"/>
    <w:rsid w:val="00617F50"/>
    <w:rsid w:val="00617FAF"/>
    <w:rsid w:val="00617FFD"/>
    <w:rsid w:val="006203D5"/>
    <w:rsid w:val="006206A7"/>
    <w:rsid w:val="0062078D"/>
    <w:rsid w:val="00620A50"/>
    <w:rsid w:val="00620BA3"/>
    <w:rsid w:val="00620D11"/>
    <w:rsid w:val="00620F65"/>
    <w:rsid w:val="00621460"/>
    <w:rsid w:val="00621522"/>
    <w:rsid w:val="00621802"/>
    <w:rsid w:val="0062181E"/>
    <w:rsid w:val="0062183A"/>
    <w:rsid w:val="006219FC"/>
    <w:rsid w:val="00621D07"/>
    <w:rsid w:val="00622024"/>
    <w:rsid w:val="00622080"/>
    <w:rsid w:val="006225B9"/>
    <w:rsid w:val="006227C0"/>
    <w:rsid w:val="006228C7"/>
    <w:rsid w:val="00622B37"/>
    <w:rsid w:val="00622C95"/>
    <w:rsid w:val="006232E1"/>
    <w:rsid w:val="00623379"/>
    <w:rsid w:val="0062338E"/>
    <w:rsid w:val="00623509"/>
    <w:rsid w:val="00623588"/>
    <w:rsid w:val="0062375F"/>
    <w:rsid w:val="00623975"/>
    <w:rsid w:val="00623A5C"/>
    <w:rsid w:val="00623A92"/>
    <w:rsid w:val="00623CFA"/>
    <w:rsid w:val="00623EEC"/>
    <w:rsid w:val="00624069"/>
    <w:rsid w:val="006241C8"/>
    <w:rsid w:val="00624315"/>
    <w:rsid w:val="00624349"/>
    <w:rsid w:val="00624377"/>
    <w:rsid w:val="0062464C"/>
    <w:rsid w:val="00624B39"/>
    <w:rsid w:val="00624C23"/>
    <w:rsid w:val="00624C44"/>
    <w:rsid w:val="00624D55"/>
    <w:rsid w:val="00624D5B"/>
    <w:rsid w:val="00624E1C"/>
    <w:rsid w:val="00624F05"/>
    <w:rsid w:val="00624F37"/>
    <w:rsid w:val="006256C0"/>
    <w:rsid w:val="00625831"/>
    <w:rsid w:val="00625944"/>
    <w:rsid w:val="00625979"/>
    <w:rsid w:val="00625A1E"/>
    <w:rsid w:val="00625A8E"/>
    <w:rsid w:val="00625B32"/>
    <w:rsid w:val="00625BCC"/>
    <w:rsid w:val="00625F86"/>
    <w:rsid w:val="0062608A"/>
    <w:rsid w:val="00626781"/>
    <w:rsid w:val="00626826"/>
    <w:rsid w:val="00626CF8"/>
    <w:rsid w:val="0062743E"/>
    <w:rsid w:val="006274C1"/>
    <w:rsid w:val="00627554"/>
    <w:rsid w:val="00627733"/>
    <w:rsid w:val="00627B03"/>
    <w:rsid w:val="00627DE4"/>
    <w:rsid w:val="00627F4D"/>
    <w:rsid w:val="00630510"/>
    <w:rsid w:val="00630605"/>
    <w:rsid w:val="00630755"/>
    <w:rsid w:val="00630788"/>
    <w:rsid w:val="00630815"/>
    <w:rsid w:val="00630B1A"/>
    <w:rsid w:val="00630BCC"/>
    <w:rsid w:val="00630FD7"/>
    <w:rsid w:val="00630FDE"/>
    <w:rsid w:val="00630FEB"/>
    <w:rsid w:val="0063106B"/>
    <w:rsid w:val="0063167E"/>
    <w:rsid w:val="00631710"/>
    <w:rsid w:val="00631782"/>
    <w:rsid w:val="00631A1C"/>
    <w:rsid w:val="00631AE4"/>
    <w:rsid w:val="00631E4D"/>
    <w:rsid w:val="00632147"/>
    <w:rsid w:val="00632757"/>
    <w:rsid w:val="00632836"/>
    <w:rsid w:val="00632D0C"/>
    <w:rsid w:val="00633123"/>
    <w:rsid w:val="00633431"/>
    <w:rsid w:val="0063363C"/>
    <w:rsid w:val="006336AD"/>
    <w:rsid w:val="00633721"/>
    <w:rsid w:val="006338C1"/>
    <w:rsid w:val="00633C13"/>
    <w:rsid w:val="0063402C"/>
    <w:rsid w:val="0063429C"/>
    <w:rsid w:val="0063431E"/>
    <w:rsid w:val="00634360"/>
    <w:rsid w:val="00634569"/>
    <w:rsid w:val="006346C9"/>
    <w:rsid w:val="006349ED"/>
    <w:rsid w:val="00634BC9"/>
    <w:rsid w:val="00634DDE"/>
    <w:rsid w:val="00634F81"/>
    <w:rsid w:val="00635105"/>
    <w:rsid w:val="00635300"/>
    <w:rsid w:val="00635375"/>
    <w:rsid w:val="0063597D"/>
    <w:rsid w:val="00636152"/>
    <w:rsid w:val="00636398"/>
    <w:rsid w:val="0063656D"/>
    <w:rsid w:val="006365BE"/>
    <w:rsid w:val="006367FB"/>
    <w:rsid w:val="00636B93"/>
    <w:rsid w:val="00636C8E"/>
    <w:rsid w:val="0063708E"/>
    <w:rsid w:val="0063723A"/>
    <w:rsid w:val="00637457"/>
    <w:rsid w:val="00637552"/>
    <w:rsid w:val="006376CF"/>
    <w:rsid w:val="00637BEA"/>
    <w:rsid w:val="00637C49"/>
    <w:rsid w:val="00637CF8"/>
    <w:rsid w:val="00637EEF"/>
    <w:rsid w:val="0064099E"/>
    <w:rsid w:val="00640B06"/>
    <w:rsid w:val="00640BEA"/>
    <w:rsid w:val="00641086"/>
    <w:rsid w:val="006411EF"/>
    <w:rsid w:val="0064132D"/>
    <w:rsid w:val="0064156E"/>
    <w:rsid w:val="006418ED"/>
    <w:rsid w:val="0064192D"/>
    <w:rsid w:val="00641F1B"/>
    <w:rsid w:val="006421AD"/>
    <w:rsid w:val="006422F1"/>
    <w:rsid w:val="006426AD"/>
    <w:rsid w:val="006426FE"/>
    <w:rsid w:val="00642701"/>
    <w:rsid w:val="0064278D"/>
    <w:rsid w:val="0064293E"/>
    <w:rsid w:val="00642A13"/>
    <w:rsid w:val="00642AEE"/>
    <w:rsid w:val="00642C6E"/>
    <w:rsid w:val="00642D7A"/>
    <w:rsid w:val="006430F9"/>
    <w:rsid w:val="006431BF"/>
    <w:rsid w:val="00643426"/>
    <w:rsid w:val="0064385C"/>
    <w:rsid w:val="006439F3"/>
    <w:rsid w:val="006439FC"/>
    <w:rsid w:val="00643A39"/>
    <w:rsid w:val="00643A75"/>
    <w:rsid w:val="00643A83"/>
    <w:rsid w:val="00643B12"/>
    <w:rsid w:val="00643DFB"/>
    <w:rsid w:val="00643E32"/>
    <w:rsid w:val="00643F83"/>
    <w:rsid w:val="00644130"/>
    <w:rsid w:val="006443FF"/>
    <w:rsid w:val="0064445D"/>
    <w:rsid w:val="00644560"/>
    <w:rsid w:val="006446BA"/>
    <w:rsid w:val="0064477F"/>
    <w:rsid w:val="00644B41"/>
    <w:rsid w:val="00644CC2"/>
    <w:rsid w:val="0064558F"/>
    <w:rsid w:val="00645908"/>
    <w:rsid w:val="00645985"/>
    <w:rsid w:val="00645EE4"/>
    <w:rsid w:val="00645F01"/>
    <w:rsid w:val="00646431"/>
    <w:rsid w:val="00646656"/>
    <w:rsid w:val="006466F1"/>
    <w:rsid w:val="00646995"/>
    <w:rsid w:val="00646E7D"/>
    <w:rsid w:val="0064716E"/>
    <w:rsid w:val="0064731D"/>
    <w:rsid w:val="0064738F"/>
    <w:rsid w:val="006473EF"/>
    <w:rsid w:val="0064742C"/>
    <w:rsid w:val="006475C4"/>
    <w:rsid w:val="006475DB"/>
    <w:rsid w:val="00647748"/>
    <w:rsid w:val="006478ED"/>
    <w:rsid w:val="00647CD3"/>
    <w:rsid w:val="00650154"/>
    <w:rsid w:val="006505FC"/>
    <w:rsid w:val="0065074C"/>
    <w:rsid w:val="00650BCD"/>
    <w:rsid w:val="00650CD8"/>
    <w:rsid w:val="00650D2E"/>
    <w:rsid w:val="00651219"/>
    <w:rsid w:val="006512B8"/>
    <w:rsid w:val="00651C96"/>
    <w:rsid w:val="00652746"/>
    <w:rsid w:val="006528D7"/>
    <w:rsid w:val="00652B58"/>
    <w:rsid w:val="00652C87"/>
    <w:rsid w:val="00652FDE"/>
    <w:rsid w:val="00653054"/>
    <w:rsid w:val="006532C7"/>
    <w:rsid w:val="006533DF"/>
    <w:rsid w:val="006537BE"/>
    <w:rsid w:val="00653873"/>
    <w:rsid w:val="00653960"/>
    <w:rsid w:val="00653B16"/>
    <w:rsid w:val="00653B83"/>
    <w:rsid w:val="00653CBC"/>
    <w:rsid w:val="00654012"/>
    <w:rsid w:val="00654178"/>
    <w:rsid w:val="006541C1"/>
    <w:rsid w:val="006541DD"/>
    <w:rsid w:val="006542FC"/>
    <w:rsid w:val="0065455A"/>
    <w:rsid w:val="00654600"/>
    <w:rsid w:val="00654629"/>
    <w:rsid w:val="00654792"/>
    <w:rsid w:val="00654AC2"/>
    <w:rsid w:val="00654BA3"/>
    <w:rsid w:val="00655330"/>
    <w:rsid w:val="0065562D"/>
    <w:rsid w:val="006559EC"/>
    <w:rsid w:val="00655A1D"/>
    <w:rsid w:val="00655BEA"/>
    <w:rsid w:val="00655D93"/>
    <w:rsid w:val="00655E25"/>
    <w:rsid w:val="00655F18"/>
    <w:rsid w:val="00656310"/>
    <w:rsid w:val="00656530"/>
    <w:rsid w:val="006568DE"/>
    <w:rsid w:val="006568FA"/>
    <w:rsid w:val="00656AE7"/>
    <w:rsid w:val="00656BB9"/>
    <w:rsid w:val="00656C68"/>
    <w:rsid w:val="00656EC3"/>
    <w:rsid w:val="006572A8"/>
    <w:rsid w:val="0065747B"/>
    <w:rsid w:val="006579B3"/>
    <w:rsid w:val="00657A29"/>
    <w:rsid w:val="00657FF9"/>
    <w:rsid w:val="006600D9"/>
    <w:rsid w:val="006602AA"/>
    <w:rsid w:val="00660365"/>
    <w:rsid w:val="00660D52"/>
    <w:rsid w:val="00660D6E"/>
    <w:rsid w:val="00660E57"/>
    <w:rsid w:val="00660EC4"/>
    <w:rsid w:val="00660FA4"/>
    <w:rsid w:val="00660FF7"/>
    <w:rsid w:val="0066125B"/>
    <w:rsid w:val="00661584"/>
    <w:rsid w:val="006619E8"/>
    <w:rsid w:val="00661B9C"/>
    <w:rsid w:val="00661CE0"/>
    <w:rsid w:val="00661EDD"/>
    <w:rsid w:val="00661F41"/>
    <w:rsid w:val="00662072"/>
    <w:rsid w:val="0066234E"/>
    <w:rsid w:val="00662586"/>
    <w:rsid w:val="00662E23"/>
    <w:rsid w:val="00662EC0"/>
    <w:rsid w:val="006632D0"/>
    <w:rsid w:val="00663302"/>
    <w:rsid w:val="006635F9"/>
    <w:rsid w:val="006636EE"/>
    <w:rsid w:val="00663957"/>
    <w:rsid w:val="006639F4"/>
    <w:rsid w:val="00663EC5"/>
    <w:rsid w:val="006641E6"/>
    <w:rsid w:val="00664303"/>
    <w:rsid w:val="00664351"/>
    <w:rsid w:val="006646E4"/>
    <w:rsid w:val="0066472A"/>
    <w:rsid w:val="006649B7"/>
    <w:rsid w:val="00664D85"/>
    <w:rsid w:val="00664E3D"/>
    <w:rsid w:val="00664EFB"/>
    <w:rsid w:val="00664FDB"/>
    <w:rsid w:val="006654F8"/>
    <w:rsid w:val="00665AC5"/>
    <w:rsid w:val="00665CC1"/>
    <w:rsid w:val="00665D9A"/>
    <w:rsid w:val="00665E2A"/>
    <w:rsid w:val="00665F4F"/>
    <w:rsid w:val="00665F5E"/>
    <w:rsid w:val="00666487"/>
    <w:rsid w:val="00666B55"/>
    <w:rsid w:val="00666E83"/>
    <w:rsid w:val="00666F99"/>
    <w:rsid w:val="0066708D"/>
    <w:rsid w:val="00667203"/>
    <w:rsid w:val="00667311"/>
    <w:rsid w:val="00667498"/>
    <w:rsid w:val="00667532"/>
    <w:rsid w:val="00667847"/>
    <w:rsid w:val="00667AD3"/>
    <w:rsid w:val="00667BCF"/>
    <w:rsid w:val="00667D41"/>
    <w:rsid w:val="00670069"/>
    <w:rsid w:val="006703B4"/>
    <w:rsid w:val="00670447"/>
    <w:rsid w:val="00670D08"/>
    <w:rsid w:val="00670D7A"/>
    <w:rsid w:val="00670E03"/>
    <w:rsid w:val="00670ED0"/>
    <w:rsid w:val="00670F4C"/>
    <w:rsid w:val="00670F92"/>
    <w:rsid w:val="0067115B"/>
    <w:rsid w:val="006718FB"/>
    <w:rsid w:val="00671B78"/>
    <w:rsid w:val="00671D67"/>
    <w:rsid w:val="00671E7C"/>
    <w:rsid w:val="006724EF"/>
    <w:rsid w:val="00672538"/>
    <w:rsid w:val="00672B1D"/>
    <w:rsid w:val="006737E1"/>
    <w:rsid w:val="00673A2A"/>
    <w:rsid w:val="00673B6B"/>
    <w:rsid w:val="00673D07"/>
    <w:rsid w:val="00673E49"/>
    <w:rsid w:val="00673EBD"/>
    <w:rsid w:val="006744F1"/>
    <w:rsid w:val="00674838"/>
    <w:rsid w:val="00674A5A"/>
    <w:rsid w:val="00674B3D"/>
    <w:rsid w:val="00674F79"/>
    <w:rsid w:val="0067509C"/>
    <w:rsid w:val="0067545F"/>
    <w:rsid w:val="00675468"/>
    <w:rsid w:val="0067547E"/>
    <w:rsid w:val="0067568C"/>
    <w:rsid w:val="006756C1"/>
    <w:rsid w:val="006757C2"/>
    <w:rsid w:val="00675B49"/>
    <w:rsid w:val="00675CBC"/>
    <w:rsid w:val="00675E79"/>
    <w:rsid w:val="00676106"/>
    <w:rsid w:val="00676352"/>
    <w:rsid w:val="00676471"/>
    <w:rsid w:val="00676655"/>
    <w:rsid w:val="006766C3"/>
    <w:rsid w:val="006766CF"/>
    <w:rsid w:val="00676748"/>
    <w:rsid w:val="00676D1B"/>
    <w:rsid w:val="006774BC"/>
    <w:rsid w:val="00677A77"/>
    <w:rsid w:val="00677B4A"/>
    <w:rsid w:val="00677C26"/>
    <w:rsid w:val="00677F3E"/>
    <w:rsid w:val="00680373"/>
    <w:rsid w:val="0068039D"/>
    <w:rsid w:val="00680767"/>
    <w:rsid w:val="006808B4"/>
    <w:rsid w:val="00680AC9"/>
    <w:rsid w:val="00680EC6"/>
    <w:rsid w:val="00681042"/>
    <w:rsid w:val="00681394"/>
    <w:rsid w:val="006814B3"/>
    <w:rsid w:val="006818AC"/>
    <w:rsid w:val="00681DA4"/>
    <w:rsid w:val="00681E53"/>
    <w:rsid w:val="0068210D"/>
    <w:rsid w:val="006821C3"/>
    <w:rsid w:val="006824A6"/>
    <w:rsid w:val="0068256F"/>
    <w:rsid w:val="006825C9"/>
    <w:rsid w:val="00682655"/>
    <w:rsid w:val="006828A8"/>
    <w:rsid w:val="006829A0"/>
    <w:rsid w:val="006829DA"/>
    <w:rsid w:val="00682B3E"/>
    <w:rsid w:val="006830B4"/>
    <w:rsid w:val="0068327C"/>
    <w:rsid w:val="00683393"/>
    <w:rsid w:val="00683546"/>
    <w:rsid w:val="00683FC3"/>
    <w:rsid w:val="00684111"/>
    <w:rsid w:val="006843F7"/>
    <w:rsid w:val="006847EE"/>
    <w:rsid w:val="00684924"/>
    <w:rsid w:val="00684B69"/>
    <w:rsid w:val="00684C18"/>
    <w:rsid w:val="00684CF5"/>
    <w:rsid w:val="00684EA9"/>
    <w:rsid w:val="00685061"/>
    <w:rsid w:val="00685466"/>
    <w:rsid w:val="006854E3"/>
    <w:rsid w:val="006856D7"/>
    <w:rsid w:val="00685912"/>
    <w:rsid w:val="00685A07"/>
    <w:rsid w:val="00685D43"/>
    <w:rsid w:val="00685DB3"/>
    <w:rsid w:val="00685DBD"/>
    <w:rsid w:val="00685EAE"/>
    <w:rsid w:val="00685F02"/>
    <w:rsid w:val="006863D8"/>
    <w:rsid w:val="0068644C"/>
    <w:rsid w:val="00686453"/>
    <w:rsid w:val="00686459"/>
    <w:rsid w:val="006866FA"/>
    <w:rsid w:val="00686DD2"/>
    <w:rsid w:val="00686ED9"/>
    <w:rsid w:val="00687151"/>
    <w:rsid w:val="006871E8"/>
    <w:rsid w:val="0068729A"/>
    <w:rsid w:val="0068772B"/>
    <w:rsid w:val="00687B49"/>
    <w:rsid w:val="00687B78"/>
    <w:rsid w:val="00687CD3"/>
    <w:rsid w:val="00690051"/>
    <w:rsid w:val="006901EB"/>
    <w:rsid w:val="00690254"/>
    <w:rsid w:val="006902CF"/>
    <w:rsid w:val="00690397"/>
    <w:rsid w:val="00690A5D"/>
    <w:rsid w:val="00690A9A"/>
    <w:rsid w:val="00690BCA"/>
    <w:rsid w:val="00690D0B"/>
    <w:rsid w:val="00690D81"/>
    <w:rsid w:val="00690D86"/>
    <w:rsid w:val="00691011"/>
    <w:rsid w:val="006913F2"/>
    <w:rsid w:val="006914CA"/>
    <w:rsid w:val="006918A8"/>
    <w:rsid w:val="00691933"/>
    <w:rsid w:val="00691A02"/>
    <w:rsid w:val="00691E34"/>
    <w:rsid w:val="00691E36"/>
    <w:rsid w:val="00691FE8"/>
    <w:rsid w:val="00691FF2"/>
    <w:rsid w:val="0069214D"/>
    <w:rsid w:val="006921A7"/>
    <w:rsid w:val="00692565"/>
    <w:rsid w:val="006925C6"/>
    <w:rsid w:val="006926AB"/>
    <w:rsid w:val="00692768"/>
    <w:rsid w:val="0069285D"/>
    <w:rsid w:val="00692A4A"/>
    <w:rsid w:val="00692B0F"/>
    <w:rsid w:val="00692C7D"/>
    <w:rsid w:val="00692E59"/>
    <w:rsid w:val="00693047"/>
    <w:rsid w:val="00693263"/>
    <w:rsid w:val="0069375B"/>
    <w:rsid w:val="006937E4"/>
    <w:rsid w:val="006938C8"/>
    <w:rsid w:val="00693A74"/>
    <w:rsid w:val="006940EF"/>
    <w:rsid w:val="00694172"/>
    <w:rsid w:val="00694356"/>
    <w:rsid w:val="006946BB"/>
    <w:rsid w:val="00694973"/>
    <w:rsid w:val="00694A9D"/>
    <w:rsid w:val="00694B74"/>
    <w:rsid w:val="00695124"/>
    <w:rsid w:val="00695768"/>
    <w:rsid w:val="006959DA"/>
    <w:rsid w:val="00695B2C"/>
    <w:rsid w:val="00695BAD"/>
    <w:rsid w:val="00695D45"/>
    <w:rsid w:val="00695E52"/>
    <w:rsid w:val="00695E77"/>
    <w:rsid w:val="0069604C"/>
    <w:rsid w:val="006962FF"/>
    <w:rsid w:val="006967F2"/>
    <w:rsid w:val="00696856"/>
    <w:rsid w:val="006968C6"/>
    <w:rsid w:val="00696BAB"/>
    <w:rsid w:val="00696D45"/>
    <w:rsid w:val="00696DC9"/>
    <w:rsid w:val="00696F21"/>
    <w:rsid w:val="006970D1"/>
    <w:rsid w:val="006972C5"/>
    <w:rsid w:val="0069732B"/>
    <w:rsid w:val="006979CE"/>
    <w:rsid w:val="00697B47"/>
    <w:rsid w:val="00697D4D"/>
    <w:rsid w:val="00697D5B"/>
    <w:rsid w:val="00697F2B"/>
    <w:rsid w:val="006A0199"/>
    <w:rsid w:val="006A056D"/>
    <w:rsid w:val="006A084E"/>
    <w:rsid w:val="006A0E8D"/>
    <w:rsid w:val="006A0EAF"/>
    <w:rsid w:val="006A1712"/>
    <w:rsid w:val="006A1838"/>
    <w:rsid w:val="006A1B10"/>
    <w:rsid w:val="006A2235"/>
    <w:rsid w:val="006A25BF"/>
    <w:rsid w:val="006A26A4"/>
    <w:rsid w:val="006A27E7"/>
    <w:rsid w:val="006A2890"/>
    <w:rsid w:val="006A297F"/>
    <w:rsid w:val="006A2A30"/>
    <w:rsid w:val="006A2B0C"/>
    <w:rsid w:val="006A2DB8"/>
    <w:rsid w:val="006A2E2B"/>
    <w:rsid w:val="006A311D"/>
    <w:rsid w:val="006A32B8"/>
    <w:rsid w:val="006A33FD"/>
    <w:rsid w:val="006A38D6"/>
    <w:rsid w:val="006A3967"/>
    <w:rsid w:val="006A3AEA"/>
    <w:rsid w:val="006A3B53"/>
    <w:rsid w:val="006A3FAE"/>
    <w:rsid w:val="006A40C5"/>
    <w:rsid w:val="006A4453"/>
    <w:rsid w:val="006A4668"/>
    <w:rsid w:val="006A46CB"/>
    <w:rsid w:val="006A4D36"/>
    <w:rsid w:val="006A4D82"/>
    <w:rsid w:val="006A5158"/>
    <w:rsid w:val="006A53C0"/>
    <w:rsid w:val="006A547A"/>
    <w:rsid w:val="006A5548"/>
    <w:rsid w:val="006A5C3F"/>
    <w:rsid w:val="006A5E12"/>
    <w:rsid w:val="006A5FA0"/>
    <w:rsid w:val="006A6417"/>
    <w:rsid w:val="006A64A1"/>
    <w:rsid w:val="006A6982"/>
    <w:rsid w:val="006A6A37"/>
    <w:rsid w:val="006A6F16"/>
    <w:rsid w:val="006A7050"/>
    <w:rsid w:val="006A70E3"/>
    <w:rsid w:val="006A7705"/>
    <w:rsid w:val="006A7A08"/>
    <w:rsid w:val="006A7A54"/>
    <w:rsid w:val="006A7A67"/>
    <w:rsid w:val="006A7E00"/>
    <w:rsid w:val="006A7EBA"/>
    <w:rsid w:val="006A7F48"/>
    <w:rsid w:val="006B005F"/>
    <w:rsid w:val="006B01C4"/>
    <w:rsid w:val="006B0273"/>
    <w:rsid w:val="006B031C"/>
    <w:rsid w:val="006B0682"/>
    <w:rsid w:val="006B093E"/>
    <w:rsid w:val="006B0985"/>
    <w:rsid w:val="006B0A2A"/>
    <w:rsid w:val="006B0C12"/>
    <w:rsid w:val="006B12AE"/>
    <w:rsid w:val="006B12B2"/>
    <w:rsid w:val="006B14C7"/>
    <w:rsid w:val="006B1780"/>
    <w:rsid w:val="006B17FD"/>
    <w:rsid w:val="006B1AD5"/>
    <w:rsid w:val="006B1B9C"/>
    <w:rsid w:val="006B1DF9"/>
    <w:rsid w:val="006B1FB7"/>
    <w:rsid w:val="006B2383"/>
    <w:rsid w:val="006B2929"/>
    <w:rsid w:val="006B2AF3"/>
    <w:rsid w:val="006B2F37"/>
    <w:rsid w:val="006B3069"/>
    <w:rsid w:val="006B31F2"/>
    <w:rsid w:val="006B331B"/>
    <w:rsid w:val="006B34E8"/>
    <w:rsid w:val="006B3539"/>
    <w:rsid w:val="006B37E7"/>
    <w:rsid w:val="006B3888"/>
    <w:rsid w:val="006B3A0C"/>
    <w:rsid w:val="006B3A84"/>
    <w:rsid w:val="006B3ABD"/>
    <w:rsid w:val="006B3F18"/>
    <w:rsid w:val="006B3FEE"/>
    <w:rsid w:val="006B401A"/>
    <w:rsid w:val="006B4246"/>
    <w:rsid w:val="006B42B6"/>
    <w:rsid w:val="006B42ED"/>
    <w:rsid w:val="006B4631"/>
    <w:rsid w:val="006B4E8D"/>
    <w:rsid w:val="006B4F81"/>
    <w:rsid w:val="006B51FC"/>
    <w:rsid w:val="006B5BDB"/>
    <w:rsid w:val="006B6194"/>
    <w:rsid w:val="006B6581"/>
    <w:rsid w:val="006B65A7"/>
    <w:rsid w:val="006B6783"/>
    <w:rsid w:val="006B6AA5"/>
    <w:rsid w:val="006B6EA3"/>
    <w:rsid w:val="006B6EFD"/>
    <w:rsid w:val="006B7CCA"/>
    <w:rsid w:val="006B7E4E"/>
    <w:rsid w:val="006B7F8A"/>
    <w:rsid w:val="006C011E"/>
    <w:rsid w:val="006C021F"/>
    <w:rsid w:val="006C029A"/>
    <w:rsid w:val="006C0331"/>
    <w:rsid w:val="006C0338"/>
    <w:rsid w:val="006C0733"/>
    <w:rsid w:val="006C08B7"/>
    <w:rsid w:val="006C0C93"/>
    <w:rsid w:val="006C0FD1"/>
    <w:rsid w:val="006C1037"/>
    <w:rsid w:val="006C118B"/>
    <w:rsid w:val="006C122D"/>
    <w:rsid w:val="006C1249"/>
    <w:rsid w:val="006C12F6"/>
    <w:rsid w:val="006C14A5"/>
    <w:rsid w:val="006C159A"/>
    <w:rsid w:val="006C19A9"/>
    <w:rsid w:val="006C19AC"/>
    <w:rsid w:val="006C1C62"/>
    <w:rsid w:val="006C1F36"/>
    <w:rsid w:val="006C2A4A"/>
    <w:rsid w:val="006C2B21"/>
    <w:rsid w:val="006C2C34"/>
    <w:rsid w:val="006C30AE"/>
    <w:rsid w:val="006C3AB5"/>
    <w:rsid w:val="006C3CAB"/>
    <w:rsid w:val="006C3D20"/>
    <w:rsid w:val="006C41A1"/>
    <w:rsid w:val="006C4665"/>
    <w:rsid w:val="006C483E"/>
    <w:rsid w:val="006C48DD"/>
    <w:rsid w:val="006C4C91"/>
    <w:rsid w:val="006C4DEA"/>
    <w:rsid w:val="006C4E8B"/>
    <w:rsid w:val="006C4EB0"/>
    <w:rsid w:val="006C501B"/>
    <w:rsid w:val="006C522F"/>
    <w:rsid w:val="006C55B1"/>
    <w:rsid w:val="006C59A1"/>
    <w:rsid w:val="006C5A09"/>
    <w:rsid w:val="006C5B1F"/>
    <w:rsid w:val="006C5F67"/>
    <w:rsid w:val="006C5F83"/>
    <w:rsid w:val="006C5FC2"/>
    <w:rsid w:val="006C5FD7"/>
    <w:rsid w:val="006C608A"/>
    <w:rsid w:val="006C654B"/>
    <w:rsid w:val="006C6F06"/>
    <w:rsid w:val="006C7315"/>
    <w:rsid w:val="006C7444"/>
    <w:rsid w:val="006C795E"/>
    <w:rsid w:val="006C7A76"/>
    <w:rsid w:val="006C7C89"/>
    <w:rsid w:val="006C7F61"/>
    <w:rsid w:val="006D0521"/>
    <w:rsid w:val="006D0618"/>
    <w:rsid w:val="006D074C"/>
    <w:rsid w:val="006D08A0"/>
    <w:rsid w:val="006D08B2"/>
    <w:rsid w:val="006D10E0"/>
    <w:rsid w:val="006D14CC"/>
    <w:rsid w:val="006D16AB"/>
    <w:rsid w:val="006D1787"/>
    <w:rsid w:val="006D1AFF"/>
    <w:rsid w:val="006D1BB8"/>
    <w:rsid w:val="006D1C48"/>
    <w:rsid w:val="006D1DEB"/>
    <w:rsid w:val="006D1E87"/>
    <w:rsid w:val="006D1FDD"/>
    <w:rsid w:val="006D2580"/>
    <w:rsid w:val="006D26EB"/>
    <w:rsid w:val="006D2C52"/>
    <w:rsid w:val="006D2DE5"/>
    <w:rsid w:val="006D371C"/>
    <w:rsid w:val="006D378A"/>
    <w:rsid w:val="006D3823"/>
    <w:rsid w:val="006D3882"/>
    <w:rsid w:val="006D38D4"/>
    <w:rsid w:val="006D3B03"/>
    <w:rsid w:val="006D3C19"/>
    <w:rsid w:val="006D3DA3"/>
    <w:rsid w:val="006D3E64"/>
    <w:rsid w:val="006D4016"/>
    <w:rsid w:val="006D42B8"/>
    <w:rsid w:val="006D4542"/>
    <w:rsid w:val="006D4636"/>
    <w:rsid w:val="006D46F0"/>
    <w:rsid w:val="006D4915"/>
    <w:rsid w:val="006D4D93"/>
    <w:rsid w:val="006D4DDD"/>
    <w:rsid w:val="006D4F4E"/>
    <w:rsid w:val="006D52D1"/>
    <w:rsid w:val="006D5731"/>
    <w:rsid w:val="006D5740"/>
    <w:rsid w:val="006D5772"/>
    <w:rsid w:val="006D5822"/>
    <w:rsid w:val="006D591D"/>
    <w:rsid w:val="006D602E"/>
    <w:rsid w:val="006D60ED"/>
    <w:rsid w:val="006D6198"/>
    <w:rsid w:val="006D6700"/>
    <w:rsid w:val="006D6C0E"/>
    <w:rsid w:val="006D716C"/>
    <w:rsid w:val="006D7172"/>
    <w:rsid w:val="006D7681"/>
    <w:rsid w:val="006D7C61"/>
    <w:rsid w:val="006D7CFF"/>
    <w:rsid w:val="006D7FDE"/>
    <w:rsid w:val="006E00C6"/>
    <w:rsid w:val="006E050C"/>
    <w:rsid w:val="006E0705"/>
    <w:rsid w:val="006E0AA8"/>
    <w:rsid w:val="006E0D4B"/>
    <w:rsid w:val="006E0F9B"/>
    <w:rsid w:val="006E1239"/>
    <w:rsid w:val="006E144C"/>
    <w:rsid w:val="006E18C6"/>
    <w:rsid w:val="006E18D8"/>
    <w:rsid w:val="006E1967"/>
    <w:rsid w:val="006E1ABB"/>
    <w:rsid w:val="006E1D3A"/>
    <w:rsid w:val="006E1DA7"/>
    <w:rsid w:val="006E25E1"/>
    <w:rsid w:val="006E26C1"/>
    <w:rsid w:val="006E2DD8"/>
    <w:rsid w:val="006E2E41"/>
    <w:rsid w:val="006E30D9"/>
    <w:rsid w:val="006E31C0"/>
    <w:rsid w:val="006E33EA"/>
    <w:rsid w:val="006E3510"/>
    <w:rsid w:val="006E3593"/>
    <w:rsid w:val="006E3715"/>
    <w:rsid w:val="006E3817"/>
    <w:rsid w:val="006E387A"/>
    <w:rsid w:val="006E392B"/>
    <w:rsid w:val="006E3B0A"/>
    <w:rsid w:val="006E3D50"/>
    <w:rsid w:val="006E3EF2"/>
    <w:rsid w:val="006E4570"/>
    <w:rsid w:val="006E46C1"/>
    <w:rsid w:val="006E4730"/>
    <w:rsid w:val="006E48A6"/>
    <w:rsid w:val="006E4AFA"/>
    <w:rsid w:val="006E50D9"/>
    <w:rsid w:val="006E520C"/>
    <w:rsid w:val="006E5227"/>
    <w:rsid w:val="006E5481"/>
    <w:rsid w:val="006E55E9"/>
    <w:rsid w:val="006E564F"/>
    <w:rsid w:val="006E5B67"/>
    <w:rsid w:val="006E5B6A"/>
    <w:rsid w:val="006E5FE5"/>
    <w:rsid w:val="006E60DA"/>
    <w:rsid w:val="006E6640"/>
    <w:rsid w:val="006E6E22"/>
    <w:rsid w:val="006E6F49"/>
    <w:rsid w:val="006E721F"/>
    <w:rsid w:val="006E7659"/>
    <w:rsid w:val="006E76D2"/>
    <w:rsid w:val="006E7C27"/>
    <w:rsid w:val="006E7C2C"/>
    <w:rsid w:val="006E7E32"/>
    <w:rsid w:val="006F0012"/>
    <w:rsid w:val="006F02EA"/>
    <w:rsid w:val="006F06A0"/>
    <w:rsid w:val="006F06DF"/>
    <w:rsid w:val="006F082A"/>
    <w:rsid w:val="006F0838"/>
    <w:rsid w:val="006F0904"/>
    <w:rsid w:val="006F0932"/>
    <w:rsid w:val="006F0B73"/>
    <w:rsid w:val="006F0D58"/>
    <w:rsid w:val="006F108B"/>
    <w:rsid w:val="006F14C8"/>
    <w:rsid w:val="006F1614"/>
    <w:rsid w:val="006F172A"/>
    <w:rsid w:val="006F172B"/>
    <w:rsid w:val="006F1770"/>
    <w:rsid w:val="006F1A30"/>
    <w:rsid w:val="006F1C26"/>
    <w:rsid w:val="006F1DBB"/>
    <w:rsid w:val="006F1DDE"/>
    <w:rsid w:val="006F1E8B"/>
    <w:rsid w:val="006F1F43"/>
    <w:rsid w:val="006F2009"/>
    <w:rsid w:val="006F2111"/>
    <w:rsid w:val="006F228D"/>
    <w:rsid w:val="006F2A19"/>
    <w:rsid w:val="006F3257"/>
    <w:rsid w:val="006F3378"/>
    <w:rsid w:val="006F3748"/>
    <w:rsid w:val="006F3989"/>
    <w:rsid w:val="006F3D1F"/>
    <w:rsid w:val="006F3E95"/>
    <w:rsid w:val="006F4092"/>
    <w:rsid w:val="006F40F7"/>
    <w:rsid w:val="006F41EB"/>
    <w:rsid w:val="006F42F8"/>
    <w:rsid w:val="006F4391"/>
    <w:rsid w:val="006F43CD"/>
    <w:rsid w:val="006F45C3"/>
    <w:rsid w:val="006F4636"/>
    <w:rsid w:val="006F4A26"/>
    <w:rsid w:val="006F4AFF"/>
    <w:rsid w:val="006F4CCB"/>
    <w:rsid w:val="006F5899"/>
    <w:rsid w:val="006F58B7"/>
    <w:rsid w:val="006F5A56"/>
    <w:rsid w:val="006F5B3B"/>
    <w:rsid w:val="006F5B88"/>
    <w:rsid w:val="006F5E78"/>
    <w:rsid w:val="006F637C"/>
    <w:rsid w:val="006F665C"/>
    <w:rsid w:val="006F6ADA"/>
    <w:rsid w:val="006F6B5B"/>
    <w:rsid w:val="006F6C4A"/>
    <w:rsid w:val="006F6C5B"/>
    <w:rsid w:val="006F6EA3"/>
    <w:rsid w:val="006F6F92"/>
    <w:rsid w:val="006F7317"/>
    <w:rsid w:val="006F73B5"/>
    <w:rsid w:val="006F73CD"/>
    <w:rsid w:val="006F79E5"/>
    <w:rsid w:val="006F7A2E"/>
    <w:rsid w:val="006F7BF5"/>
    <w:rsid w:val="006F7CBA"/>
    <w:rsid w:val="00700114"/>
    <w:rsid w:val="00700757"/>
    <w:rsid w:val="00700786"/>
    <w:rsid w:val="00700B83"/>
    <w:rsid w:val="00700D76"/>
    <w:rsid w:val="00700DBD"/>
    <w:rsid w:val="0070138D"/>
    <w:rsid w:val="00701477"/>
    <w:rsid w:val="0070180E"/>
    <w:rsid w:val="00701C99"/>
    <w:rsid w:val="00701F33"/>
    <w:rsid w:val="007020DF"/>
    <w:rsid w:val="00702A71"/>
    <w:rsid w:val="00702C7D"/>
    <w:rsid w:val="00702D03"/>
    <w:rsid w:val="00702DCD"/>
    <w:rsid w:val="00702EAD"/>
    <w:rsid w:val="007030D5"/>
    <w:rsid w:val="0070326C"/>
    <w:rsid w:val="007035FD"/>
    <w:rsid w:val="007037EA"/>
    <w:rsid w:val="00703DF9"/>
    <w:rsid w:val="00704307"/>
    <w:rsid w:val="0070436D"/>
    <w:rsid w:val="00704520"/>
    <w:rsid w:val="00704684"/>
    <w:rsid w:val="0070488B"/>
    <w:rsid w:val="007049CD"/>
    <w:rsid w:val="00704CCA"/>
    <w:rsid w:val="00705073"/>
    <w:rsid w:val="007050C9"/>
    <w:rsid w:val="007050E8"/>
    <w:rsid w:val="007054B4"/>
    <w:rsid w:val="007055B7"/>
    <w:rsid w:val="007057B5"/>
    <w:rsid w:val="00705C93"/>
    <w:rsid w:val="00706051"/>
    <w:rsid w:val="00706312"/>
    <w:rsid w:val="00706651"/>
    <w:rsid w:val="007067BD"/>
    <w:rsid w:val="007067D2"/>
    <w:rsid w:val="00706955"/>
    <w:rsid w:val="007069A5"/>
    <w:rsid w:val="007069E4"/>
    <w:rsid w:val="00706A97"/>
    <w:rsid w:val="00706FD2"/>
    <w:rsid w:val="007071C8"/>
    <w:rsid w:val="00707300"/>
    <w:rsid w:val="007073A1"/>
    <w:rsid w:val="0070740B"/>
    <w:rsid w:val="00707837"/>
    <w:rsid w:val="007078CC"/>
    <w:rsid w:val="00707976"/>
    <w:rsid w:val="00707D9B"/>
    <w:rsid w:val="00707EB7"/>
    <w:rsid w:val="007101E5"/>
    <w:rsid w:val="00710357"/>
    <w:rsid w:val="0071044A"/>
    <w:rsid w:val="007105C3"/>
    <w:rsid w:val="007106AC"/>
    <w:rsid w:val="00710B5D"/>
    <w:rsid w:val="00710B8F"/>
    <w:rsid w:val="00710C6F"/>
    <w:rsid w:val="00710C74"/>
    <w:rsid w:val="00710CCF"/>
    <w:rsid w:val="00710DAC"/>
    <w:rsid w:val="00710E08"/>
    <w:rsid w:val="0071111A"/>
    <w:rsid w:val="00711F6D"/>
    <w:rsid w:val="00712115"/>
    <w:rsid w:val="0071211E"/>
    <w:rsid w:val="007121D9"/>
    <w:rsid w:val="0071238C"/>
    <w:rsid w:val="0071276C"/>
    <w:rsid w:val="00712808"/>
    <w:rsid w:val="0071282C"/>
    <w:rsid w:val="00712C74"/>
    <w:rsid w:val="00712E6C"/>
    <w:rsid w:val="00713270"/>
    <w:rsid w:val="007135A0"/>
    <w:rsid w:val="0071370B"/>
    <w:rsid w:val="007138D2"/>
    <w:rsid w:val="0071390C"/>
    <w:rsid w:val="007140EF"/>
    <w:rsid w:val="007141B2"/>
    <w:rsid w:val="0071434D"/>
    <w:rsid w:val="0071449C"/>
    <w:rsid w:val="007144DB"/>
    <w:rsid w:val="00714524"/>
    <w:rsid w:val="0071452A"/>
    <w:rsid w:val="0071469D"/>
    <w:rsid w:val="00714F15"/>
    <w:rsid w:val="00714F9C"/>
    <w:rsid w:val="00714FB0"/>
    <w:rsid w:val="007151DF"/>
    <w:rsid w:val="00715255"/>
    <w:rsid w:val="007154B9"/>
    <w:rsid w:val="0071570B"/>
    <w:rsid w:val="00715855"/>
    <w:rsid w:val="00715C74"/>
    <w:rsid w:val="00715D15"/>
    <w:rsid w:val="00715DA5"/>
    <w:rsid w:val="00715FD6"/>
    <w:rsid w:val="0071610A"/>
    <w:rsid w:val="00716208"/>
    <w:rsid w:val="00716648"/>
    <w:rsid w:val="00716830"/>
    <w:rsid w:val="00716855"/>
    <w:rsid w:val="00716BF8"/>
    <w:rsid w:val="00716CDD"/>
    <w:rsid w:val="00716DF0"/>
    <w:rsid w:val="00716FBE"/>
    <w:rsid w:val="00717274"/>
    <w:rsid w:val="00717299"/>
    <w:rsid w:val="0071743E"/>
    <w:rsid w:val="00717660"/>
    <w:rsid w:val="00717B4A"/>
    <w:rsid w:val="00717C96"/>
    <w:rsid w:val="00717CAA"/>
    <w:rsid w:val="00717E99"/>
    <w:rsid w:val="00717EF0"/>
    <w:rsid w:val="00720034"/>
    <w:rsid w:val="0072014A"/>
    <w:rsid w:val="00720207"/>
    <w:rsid w:val="007202D0"/>
    <w:rsid w:val="00720567"/>
    <w:rsid w:val="0072068E"/>
    <w:rsid w:val="007206FE"/>
    <w:rsid w:val="00720ABE"/>
    <w:rsid w:val="00720E21"/>
    <w:rsid w:val="00720F3D"/>
    <w:rsid w:val="0072101A"/>
    <w:rsid w:val="0072106F"/>
    <w:rsid w:val="007211DC"/>
    <w:rsid w:val="00721347"/>
    <w:rsid w:val="00721397"/>
    <w:rsid w:val="007213DD"/>
    <w:rsid w:val="00721482"/>
    <w:rsid w:val="007215B5"/>
    <w:rsid w:val="0072182D"/>
    <w:rsid w:val="00721844"/>
    <w:rsid w:val="00721933"/>
    <w:rsid w:val="00721A4F"/>
    <w:rsid w:val="00721AF2"/>
    <w:rsid w:val="00721B87"/>
    <w:rsid w:val="00721CF9"/>
    <w:rsid w:val="00721EF2"/>
    <w:rsid w:val="00722056"/>
    <w:rsid w:val="007222E6"/>
    <w:rsid w:val="00722313"/>
    <w:rsid w:val="0072287E"/>
    <w:rsid w:val="007228A3"/>
    <w:rsid w:val="00722A25"/>
    <w:rsid w:val="00722E88"/>
    <w:rsid w:val="0072300D"/>
    <w:rsid w:val="007230FA"/>
    <w:rsid w:val="00723392"/>
    <w:rsid w:val="0072371C"/>
    <w:rsid w:val="00723755"/>
    <w:rsid w:val="00723783"/>
    <w:rsid w:val="00723A5F"/>
    <w:rsid w:val="00723B5F"/>
    <w:rsid w:val="00723BA9"/>
    <w:rsid w:val="00723D81"/>
    <w:rsid w:val="00723E5E"/>
    <w:rsid w:val="00723E90"/>
    <w:rsid w:val="00723F2A"/>
    <w:rsid w:val="007244C8"/>
    <w:rsid w:val="00724894"/>
    <w:rsid w:val="0072495B"/>
    <w:rsid w:val="00725139"/>
    <w:rsid w:val="00725552"/>
    <w:rsid w:val="00725670"/>
    <w:rsid w:val="00725B52"/>
    <w:rsid w:val="00725FD3"/>
    <w:rsid w:val="00726198"/>
    <w:rsid w:val="007262B6"/>
    <w:rsid w:val="00726827"/>
    <w:rsid w:val="007268F9"/>
    <w:rsid w:val="00726AB6"/>
    <w:rsid w:val="00726D6D"/>
    <w:rsid w:val="00726DD8"/>
    <w:rsid w:val="00726F68"/>
    <w:rsid w:val="00727207"/>
    <w:rsid w:val="007272D3"/>
    <w:rsid w:val="00727767"/>
    <w:rsid w:val="00727836"/>
    <w:rsid w:val="007279FE"/>
    <w:rsid w:val="00727A05"/>
    <w:rsid w:val="00727A52"/>
    <w:rsid w:val="00727EC5"/>
    <w:rsid w:val="00727FEF"/>
    <w:rsid w:val="0073008A"/>
    <w:rsid w:val="00730378"/>
    <w:rsid w:val="00730420"/>
    <w:rsid w:val="007304B6"/>
    <w:rsid w:val="00730623"/>
    <w:rsid w:val="0073066E"/>
    <w:rsid w:val="0073077A"/>
    <w:rsid w:val="00730A59"/>
    <w:rsid w:val="00730B05"/>
    <w:rsid w:val="00730EEB"/>
    <w:rsid w:val="00731395"/>
    <w:rsid w:val="00731461"/>
    <w:rsid w:val="0073159E"/>
    <w:rsid w:val="007316C2"/>
    <w:rsid w:val="007319BE"/>
    <w:rsid w:val="00731BBF"/>
    <w:rsid w:val="00731C0C"/>
    <w:rsid w:val="00731E3D"/>
    <w:rsid w:val="00731EC9"/>
    <w:rsid w:val="0073209F"/>
    <w:rsid w:val="0073216D"/>
    <w:rsid w:val="007321AC"/>
    <w:rsid w:val="007323A6"/>
    <w:rsid w:val="007325A8"/>
    <w:rsid w:val="007327B9"/>
    <w:rsid w:val="00732D15"/>
    <w:rsid w:val="00732DD7"/>
    <w:rsid w:val="00732F0F"/>
    <w:rsid w:val="00733358"/>
    <w:rsid w:val="00733AD1"/>
    <w:rsid w:val="00733C9D"/>
    <w:rsid w:val="00733D93"/>
    <w:rsid w:val="00734038"/>
    <w:rsid w:val="00734490"/>
    <w:rsid w:val="00734958"/>
    <w:rsid w:val="007349B6"/>
    <w:rsid w:val="00734D0B"/>
    <w:rsid w:val="00734D8B"/>
    <w:rsid w:val="00734F3F"/>
    <w:rsid w:val="00735003"/>
    <w:rsid w:val="00735254"/>
    <w:rsid w:val="007352F0"/>
    <w:rsid w:val="007354E9"/>
    <w:rsid w:val="007356D9"/>
    <w:rsid w:val="00735846"/>
    <w:rsid w:val="00735B84"/>
    <w:rsid w:val="00735C21"/>
    <w:rsid w:val="00736957"/>
    <w:rsid w:val="00736991"/>
    <w:rsid w:val="00736B7D"/>
    <w:rsid w:val="00737210"/>
    <w:rsid w:val="00737457"/>
    <w:rsid w:val="00737647"/>
    <w:rsid w:val="00737A80"/>
    <w:rsid w:val="00737B88"/>
    <w:rsid w:val="0074011E"/>
    <w:rsid w:val="00740269"/>
    <w:rsid w:val="007406B6"/>
    <w:rsid w:val="00740DA5"/>
    <w:rsid w:val="00740E62"/>
    <w:rsid w:val="00741436"/>
    <w:rsid w:val="007414B2"/>
    <w:rsid w:val="0074155D"/>
    <w:rsid w:val="0074158A"/>
    <w:rsid w:val="00741745"/>
    <w:rsid w:val="00741836"/>
    <w:rsid w:val="00741888"/>
    <w:rsid w:val="00741E49"/>
    <w:rsid w:val="0074221F"/>
    <w:rsid w:val="00742444"/>
    <w:rsid w:val="007424F6"/>
    <w:rsid w:val="007426B7"/>
    <w:rsid w:val="007427A0"/>
    <w:rsid w:val="00742910"/>
    <w:rsid w:val="00742A71"/>
    <w:rsid w:val="00742A76"/>
    <w:rsid w:val="00742CDC"/>
    <w:rsid w:val="00742DAC"/>
    <w:rsid w:val="00742DE7"/>
    <w:rsid w:val="007431DD"/>
    <w:rsid w:val="00743293"/>
    <w:rsid w:val="0074331E"/>
    <w:rsid w:val="00743437"/>
    <w:rsid w:val="007436EA"/>
    <w:rsid w:val="00743B17"/>
    <w:rsid w:val="00743C9D"/>
    <w:rsid w:val="00743CA0"/>
    <w:rsid w:val="00743F16"/>
    <w:rsid w:val="007442C1"/>
    <w:rsid w:val="007448AD"/>
    <w:rsid w:val="00744991"/>
    <w:rsid w:val="00744D47"/>
    <w:rsid w:val="00744EDE"/>
    <w:rsid w:val="007455DF"/>
    <w:rsid w:val="007455F3"/>
    <w:rsid w:val="00745F8F"/>
    <w:rsid w:val="00746081"/>
    <w:rsid w:val="0074627C"/>
    <w:rsid w:val="007464E9"/>
    <w:rsid w:val="007466FC"/>
    <w:rsid w:val="00746974"/>
    <w:rsid w:val="00746BDA"/>
    <w:rsid w:val="00746DAC"/>
    <w:rsid w:val="00746DC4"/>
    <w:rsid w:val="00747011"/>
    <w:rsid w:val="00747143"/>
    <w:rsid w:val="00747171"/>
    <w:rsid w:val="007472CA"/>
    <w:rsid w:val="00747759"/>
    <w:rsid w:val="007477B0"/>
    <w:rsid w:val="007478C7"/>
    <w:rsid w:val="00747E90"/>
    <w:rsid w:val="007500F9"/>
    <w:rsid w:val="007506BF"/>
    <w:rsid w:val="007507AE"/>
    <w:rsid w:val="00750924"/>
    <w:rsid w:val="00750A7A"/>
    <w:rsid w:val="00750A95"/>
    <w:rsid w:val="00750E17"/>
    <w:rsid w:val="007510A2"/>
    <w:rsid w:val="007515D9"/>
    <w:rsid w:val="00751893"/>
    <w:rsid w:val="007519CE"/>
    <w:rsid w:val="00751AC7"/>
    <w:rsid w:val="00751F3E"/>
    <w:rsid w:val="0075201E"/>
    <w:rsid w:val="00752099"/>
    <w:rsid w:val="00752401"/>
    <w:rsid w:val="00752697"/>
    <w:rsid w:val="007529B8"/>
    <w:rsid w:val="00752C10"/>
    <w:rsid w:val="00752DF6"/>
    <w:rsid w:val="00752E40"/>
    <w:rsid w:val="00752EB5"/>
    <w:rsid w:val="00753378"/>
    <w:rsid w:val="00753564"/>
    <w:rsid w:val="00753875"/>
    <w:rsid w:val="007539E6"/>
    <w:rsid w:val="00753B05"/>
    <w:rsid w:val="00753B16"/>
    <w:rsid w:val="00754059"/>
    <w:rsid w:val="007540BB"/>
    <w:rsid w:val="00754174"/>
    <w:rsid w:val="00754555"/>
    <w:rsid w:val="00754596"/>
    <w:rsid w:val="00754A02"/>
    <w:rsid w:val="00754ABB"/>
    <w:rsid w:val="00754D37"/>
    <w:rsid w:val="007551E5"/>
    <w:rsid w:val="007555B0"/>
    <w:rsid w:val="007555CB"/>
    <w:rsid w:val="00755B70"/>
    <w:rsid w:val="00755B8A"/>
    <w:rsid w:val="00755C3F"/>
    <w:rsid w:val="00755C41"/>
    <w:rsid w:val="00755C67"/>
    <w:rsid w:val="00755CCD"/>
    <w:rsid w:val="00755DDA"/>
    <w:rsid w:val="00755EC4"/>
    <w:rsid w:val="00755F67"/>
    <w:rsid w:val="00756145"/>
    <w:rsid w:val="0075627E"/>
    <w:rsid w:val="0075650B"/>
    <w:rsid w:val="00756AA3"/>
    <w:rsid w:val="0075755A"/>
    <w:rsid w:val="00757862"/>
    <w:rsid w:val="007578CA"/>
    <w:rsid w:val="0075790F"/>
    <w:rsid w:val="00757B21"/>
    <w:rsid w:val="00757E2A"/>
    <w:rsid w:val="007604D5"/>
    <w:rsid w:val="007608CC"/>
    <w:rsid w:val="00760A22"/>
    <w:rsid w:val="00760AF6"/>
    <w:rsid w:val="00760F16"/>
    <w:rsid w:val="007616C6"/>
    <w:rsid w:val="007616FD"/>
    <w:rsid w:val="00761805"/>
    <w:rsid w:val="007618B1"/>
    <w:rsid w:val="00762017"/>
    <w:rsid w:val="00762349"/>
    <w:rsid w:val="00762386"/>
    <w:rsid w:val="0076242D"/>
    <w:rsid w:val="0076249B"/>
    <w:rsid w:val="0076283C"/>
    <w:rsid w:val="00762A1A"/>
    <w:rsid w:val="00762DBE"/>
    <w:rsid w:val="00762DE6"/>
    <w:rsid w:val="00762F2A"/>
    <w:rsid w:val="007630F1"/>
    <w:rsid w:val="00763130"/>
    <w:rsid w:val="00763221"/>
    <w:rsid w:val="0076332E"/>
    <w:rsid w:val="00763466"/>
    <w:rsid w:val="00763537"/>
    <w:rsid w:val="007635AF"/>
    <w:rsid w:val="0076373A"/>
    <w:rsid w:val="007639DA"/>
    <w:rsid w:val="00763A23"/>
    <w:rsid w:val="00763A29"/>
    <w:rsid w:val="00763A42"/>
    <w:rsid w:val="00763AAF"/>
    <w:rsid w:val="00763C70"/>
    <w:rsid w:val="00763C8D"/>
    <w:rsid w:val="00764087"/>
    <w:rsid w:val="007640CF"/>
    <w:rsid w:val="007643D5"/>
    <w:rsid w:val="007643E9"/>
    <w:rsid w:val="0076452A"/>
    <w:rsid w:val="007645F1"/>
    <w:rsid w:val="00764F85"/>
    <w:rsid w:val="0076505B"/>
    <w:rsid w:val="007650B6"/>
    <w:rsid w:val="007650F1"/>
    <w:rsid w:val="0076522C"/>
    <w:rsid w:val="0076532E"/>
    <w:rsid w:val="00765355"/>
    <w:rsid w:val="007653B0"/>
    <w:rsid w:val="0076574A"/>
    <w:rsid w:val="0076578E"/>
    <w:rsid w:val="00765ACA"/>
    <w:rsid w:val="00765AD9"/>
    <w:rsid w:val="00765D56"/>
    <w:rsid w:val="00765EE7"/>
    <w:rsid w:val="00765F1C"/>
    <w:rsid w:val="00766432"/>
    <w:rsid w:val="007666AB"/>
    <w:rsid w:val="007666F1"/>
    <w:rsid w:val="00766C0D"/>
    <w:rsid w:val="00766CA4"/>
    <w:rsid w:val="007672A8"/>
    <w:rsid w:val="007672D9"/>
    <w:rsid w:val="00767445"/>
    <w:rsid w:val="00767D89"/>
    <w:rsid w:val="00767DF6"/>
    <w:rsid w:val="00767E94"/>
    <w:rsid w:val="00767FDB"/>
    <w:rsid w:val="0077007D"/>
    <w:rsid w:val="007700FB"/>
    <w:rsid w:val="00770130"/>
    <w:rsid w:val="00770817"/>
    <w:rsid w:val="00770B7B"/>
    <w:rsid w:val="00770C5B"/>
    <w:rsid w:val="00770EBA"/>
    <w:rsid w:val="00770F66"/>
    <w:rsid w:val="00771014"/>
    <w:rsid w:val="0077103D"/>
    <w:rsid w:val="007711B9"/>
    <w:rsid w:val="0077123F"/>
    <w:rsid w:val="007715D7"/>
    <w:rsid w:val="00771686"/>
    <w:rsid w:val="0077179D"/>
    <w:rsid w:val="00771C2E"/>
    <w:rsid w:val="00771CF5"/>
    <w:rsid w:val="00771D7C"/>
    <w:rsid w:val="00771E28"/>
    <w:rsid w:val="0077267B"/>
    <w:rsid w:val="007728A8"/>
    <w:rsid w:val="00772C9C"/>
    <w:rsid w:val="00772E97"/>
    <w:rsid w:val="0077315B"/>
    <w:rsid w:val="0077330F"/>
    <w:rsid w:val="00773545"/>
    <w:rsid w:val="00773704"/>
    <w:rsid w:val="00773A6E"/>
    <w:rsid w:val="00773DB9"/>
    <w:rsid w:val="00773F7F"/>
    <w:rsid w:val="00774285"/>
    <w:rsid w:val="0077445D"/>
    <w:rsid w:val="00774538"/>
    <w:rsid w:val="00774775"/>
    <w:rsid w:val="00774874"/>
    <w:rsid w:val="007748BB"/>
    <w:rsid w:val="00774A3D"/>
    <w:rsid w:val="00774B57"/>
    <w:rsid w:val="00774B9D"/>
    <w:rsid w:val="00774C3F"/>
    <w:rsid w:val="00774FDB"/>
    <w:rsid w:val="007750BA"/>
    <w:rsid w:val="007752AD"/>
    <w:rsid w:val="007753BA"/>
    <w:rsid w:val="00775413"/>
    <w:rsid w:val="007754FC"/>
    <w:rsid w:val="007755F0"/>
    <w:rsid w:val="007757F8"/>
    <w:rsid w:val="00775A11"/>
    <w:rsid w:val="00775C6B"/>
    <w:rsid w:val="00776465"/>
    <w:rsid w:val="0077661A"/>
    <w:rsid w:val="00776B99"/>
    <w:rsid w:val="00776C3E"/>
    <w:rsid w:val="00776D8F"/>
    <w:rsid w:val="00776DF3"/>
    <w:rsid w:val="00777316"/>
    <w:rsid w:val="00777831"/>
    <w:rsid w:val="007779A4"/>
    <w:rsid w:val="007779A5"/>
    <w:rsid w:val="00777A82"/>
    <w:rsid w:val="00777AF9"/>
    <w:rsid w:val="00777CDD"/>
    <w:rsid w:val="00777E61"/>
    <w:rsid w:val="00777FFD"/>
    <w:rsid w:val="00780172"/>
    <w:rsid w:val="00780257"/>
    <w:rsid w:val="0078044C"/>
    <w:rsid w:val="007805F2"/>
    <w:rsid w:val="0078080E"/>
    <w:rsid w:val="00780A18"/>
    <w:rsid w:val="00780D7B"/>
    <w:rsid w:val="00780F3D"/>
    <w:rsid w:val="00780FAA"/>
    <w:rsid w:val="007810FA"/>
    <w:rsid w:val="00781256"/>
    <w:rsid w:val="0078125D"/>
    <w:rsid w:val="0078185A"/>
    <w:rsid w:val="00781A09"/>
    <w:rsid w:val="00781B48"/>
    <w:rsid w:val="00781D30"/>
    <w:rsid w:val="0078208F"/>
    <w:rsid w:val="0078213C"/>
    <w:rsid w:val="0078255B"/>
    <w:rsid w:val="007826BD"/>
    <w:rsid w:val="007827EC"/>
    <w:rsid w:val="0078285A"/>
    <w:rsid w:val="00782D51"/>
    <w:rsid w:val="00782F61"/>
    <w:rsid w:val="00782F9E"/>
    <w:rsid w:val="00782FFC"/>
    <w:rsid w:val="00783108"/>
    <w:rsid w:val="0078313B"/>
    <w:rsid w:val="0078336B"/>
    <w:rsid w:val="007834C9"/>
    <w:rsid w:val="007834F8"/>
    <w:rsid w:val="007837EF"/>
    <w:rsid w:val="00783A6F"/>
    <w:rsid w:val="00783C4B"/>
    <w:rsid w:val="00783C4C"/>
    <w:rsid w:val="00783DFF"/>
    <w:rsid w:val="00783EF7"/>
    <w:rsid w:val="00784064"/>
    <w:rsid w:val="007841F3"/>
    <w:rsid w:val="007843B2"/>
    <w:rsid w:val="0078440C"/>
    <w:rsid w:val="0078443D"/>
    <w:rsid w:val="007849B2"/>
    <w:rsid w:val="00784AE5"/>
    <w:rsid w:val="00784BE8"/>
    <w:rsid w:val="0078508D"/>
    <w:rsid w:val="00785461"/>
    <w:rsid w:val="00785595"/>
    <w:rsid w:val="0078587D"/>
    <w:rsid w:val="00785A3B"/>
    <w:rsid w:val="00785A54"/>
    <w:rsid w:val="00785D9B"/>
    <w:rsid w:val="007861D1"/>
    <w:rsid w:val="007864D0"/>
    <w:rsid w:val="0078673E"/>
    <w:rsid w:val="007867EE"/>
    <w:rsid w:val="007867F3"/>
    <w:rsid w:val="007868E3"/>
    <w:rsid w:val="007869EC"/>
    <w:rsid w:val="00786A36"/>
    <w:rsid w:val="00786AF8"/>
    <w:rsid w:val="00786B86"/>
    <w:rsid w:val="00786EBE"/>
    <w:rsid w:val="00786FD0"/>
    <w:rsid w:val="007870C3"/>
    <w:rsid w:val="007876F7"/>
    <w:rsid w:val="007877E7"/>
    <w:rsid w:val="007878E2"/>
    <w:rsid w:val="00787929"/>
    <w:rsid w:val="00787DCF"/>
    <w:rsid w:val="007900C3"/>
    <w:rsid w:val="007905A0"/>
    <w:rsid w:val="0079064C"/>
    <w:rsid w:val="007907C3"/>
    <w:rsid w:val="00790964"/>
    <w:rsid w:val="00790BFA"/>
    <w:rsid w:val="00790D37"/>
    <w:rsid w:val="00790DE5"/>
    <w:rsid w:val="00790FDD"/>
    <w:rsid w:val="0079122F"/>
    <w:rsid w:val="00791846"/>
    <w:rsid w:val="00791C5C"/>
    <w:rsid w:val="0079217D"/>
    <w:rsid w:val="0079226B"/>
    <w:rsid w:val="0079237D"/>
    <w:rsid w:val="00792391"/>
    <w:rsid w:val="007926AC"/>
    <w:rsid w:val="007928A1"/>
    <w:rsid w:val="00792994"/>
    <w:rsid w:val="00792AB1"/>
    <w:rsid w:val="00792B10"/>
    <w:rsid w:val="00793123"/>
    <w:rsid w:val="0079363E"/>
    <w:rsid w:val="00793749"/>
    <w:rsid w:val="00793905"/>
    <w:rsid w:val="00793E3C"/>
    <w:rsid w:val="007944F6"/>
    <w:rsid w:val="007948C8"/>
    <w:rsid w:val="00794A17"/>
    <w:rsid w:val="00794BF1"/>
    <w:rsid w:val="00794C79"/>
    <w:rsid w:val="00794F5F"/>
    <w:rsid w:val="00795022"/>
    <w:rsid w:val="007951F5"/>
    <w:rsid w:val="0079520F"/>
    <w:rsid w:val="007958BF"/>
    <w:rsid w:val="00795B4F"/>
    <w:rsid w:val="00795C05"/>
    <w:rsid w:val="0079614E"/>
    <w:rsid w:val="007965A1"/>
    <w:rsid w:val="007966A4"/>
    <w:rsid w:val="0079673A"/>
    <w:rsid w:val="00796858"/>
    <w:rsid w:val="007968C8"/>
    <w:rsid w:val="00796C95"/>
    <w:rsid w:val="00797246"/>
    <w:rsid w:val="0079739C"/>
    <w:rsid w:val="00797465"/>
    <w:rsid w:val="007974EC"/>
    <w:rsid w:val="007975AB"/>
    <w:rsid w:val="00797A00"/>
    <w:rsid w:val="00797E8A"/>
    <w:rsid w:val="007A01AC"/>
    <w:rsid w:val="007A020B"/>
    <w:rsid w:val="007A0541"/>
    <w:rsid w:val="007A08BC"/>
    <w:rsid w:val="007A09B0"/>
    <w:rsid w:val="007A0BD2"/>
    <w:rsid w:val="007A0C87"/>
    <w:rsid w:val="007A0CF2"/>
    <w:rsid w:val="007A0EBD"/>
    <w:rsid w:val="007A109C"/>
    <w:rsid w:val="007A1103"/>
    <w:rsid w:val="007A1192"/>
    <w:rsid w:val="007A133A"/>
    <w:rsid w:val="007A18FD"/>
    <w:rsid w:val="007A199A"/>
    <w:rsid w:val="007A1E0A"/>
    <w:rsid w:val="007A2245"/>
    <w:rsid w:val="007A234F"/>
    <w:rsid w:val="007A2773"/>
    <w:rsid w:val="007A2A27"/>
    <w:rsid w:val="007A2E25"/>
    <w:rsid w:val="007A303A"/>
    <w:rsid w:val="007A33B2"/>
    <w:rsid w:val="007A33BF"/>
    <w:rsid w:val="007A343F"/>
    <w:rsid w:val="007A3994"/>
    <w:rsid w:val="007A3B97"/>
    <w:rsid w:val="007A3C00"/>
    <w:rsid w:val="007A3F0C"/>
    <w:rsid w:val="007A4484"/>
    <w:rsid w:val="007A459D"/>
    <w:rsid w:val="007A4755"/>
    <w:rsid w:val="007A4862"/>
    <w:rsid w:val="007A4A51"/>
    <w:rsid w:val="007A4C4D"/>
    <w:rsid w:val="007A4D76"/>
    <w:rsid w:val="007A50B4"/>
    <w:rsid w:val="007A5142"/>
    <w:rsid w:val="007A528E"/>
    <w:rsid w:val="007A5578"/>
    <w:rsid w:val="007A560F"/>
    <w:rsid w:val="007A5695"/>
    <w:rsid w:val="007A56BE"/>
    <w:rsid w:val="007A584D"/>
    <w:rsid w:val="007A5A70"/>
    <w:rsid w:val="007A5B10"/>
    <w:rsid w:val="007A5C21"/>
    <w:rsid w:val="007A5D21"/>
    <w:rsid w:val="007A6147"/>
    <w:rsid w:val="007A6149"/>
    <w:rsid w:val="007A62D0"/>
    <w:rsid w:val="007A64E5"/>
    <w:rsid w:val="007A650C"/>
    <w:rsid w:val="007A6666"/>
    <w:rsid w:val="007A6762"/>
    <w:rsid w:val="007A69B9"/>
    <w:rsid w:val="007A6A57"/>
    <w:rsid w:val="007A6CE7"/>
    <w:rsid w:val="007A7254"/>
    <w:rsid w:val="007A7321"/>
    <w:rsid w:val="007A7739"/>
    <w:rsid w:val="007A7B6D"/>
    <w:rsid w:val="007A7FA1"/>
    <w:rsid w:val="007B00A5"/>
    <w:rsid w:val="007B058D"/>
    <w:rsid w:val="007B05D6"/>
    <w:rsid w:val="007B09F1"/>
    <w:rsid w:val="007B0E6B"/>
    <w:rsid w:val="007B0EF2"/>
    <w:rsid w:val="007B0FD0"/>
    <w:rsid w:val="007B11AA"/>
    <w:rsid w:val="007B1510"/>
    <w:rsid w:val="007B1572"/>
    <w:rsid w:val="007B1889"/>
    <w:rsid w:val="007B19F7"/>
    <w:rsid w:val="007B1BC4"/>
    <w:rsid w:val="007B1E36"/>
    <w:rsid w:val="007B2423"/>
    <w:rsid w:val="007B2482"/>
    <w:rsid w:val="007B271B"/>
    <w:rsid w:val="007B2A04"/>
    <w:rsid w:val="007B2E35"/>
    <w:rsid w:val="007B318F"/>
    <w:rsid w:val="007B31CF"/>
    <w:rsid w:val="007B34BF"/>
    <w:rsid w:val="007B3540"/>
    <w:rsid w:val="007B3693"/>
    <w:rsid w:val="007B399D"/>
    <w:rsid w:val="007B3AD5"/>
    <w:rsid w:val="007B3B05"/>
    <w:rsid w:val="007B3E2C"/>
    <w:rsid w:val="007B3F47"/>
    <w:rsid w:val="007B40F7"/>
    <w:rsid w:val="007B4293"/>
    <w:rsid w:val="007B449B"/>
    <w:rsid w:val="007B48CC"/>
    <w:rsid w:val="007B4B52"/>
    <w:rsid w:val="007B4CF0"/>
    <w:rsid w:val="007B505B"/>
    <w:rsid w:val="007B525D"/>
    <w:rsid w:val="007B541D"/>
    <w:rsid w:val="007B557F"/>
    <w:rsid w:val="007B5753"/>
    <w:rsid w:val="007B5816"/>
    <w:rsid w:val="007B599A"/>
    <w:rsid w:val="007B59C2"/>
    <w:rsid w:val="007B5A36"/>
    <w:rsid w:val="007B5DA7"/>
    <w:rsid w:val="007B5DD1"/>
    <w:rsid w:val="007B5ED3"/>
    <w:rsid w:val="007B605E"/>
    <w:rsid w:val="007B6503"/>
    <w:rsid w:val="007B6860"/>
    <w:rsid w:val="007B68EB"/>
    <w:rsid w:val="007B6904"/>
    <w:rsid w:val="007B69C7"/>
    <w:rsid w:val="007B6A7A"/>
    <w:rsid w:val="007B7045"/>
    <w:rsid w:val="007B718B"/>
    <w:rsid w:val="007B7432"/>
    <w:rsid w:val="007B7463"/>
    <w:rsid w:val="007B7BBF"/>
    <w:rsid w:val="007B7C96"/>
    <w:rsid w:val="007B7D4B"/>
    <w:rsid w:val="007B7E90"/>
    <w:rsid w:val="007C00D7"/>
    <w:rsid w:val="007C0299"/>
    <w:rsid w:val="007C0336"/>
    <w:rsid w:val="007C078B"/>
    <w:rsid w:val="007C0846"/>
    <w:rsid w:val="007C0A96"/>
    <w:rsid w:val="007C0D30"/>
    <w:rsid w:val="007C0F71"/>
    <w:rsid w:val="007C132D"/>
    <w:rsid w:val="007C15BC"/>
    <w:rsid w:val="007C1D10"/>
    <w:rsid w:val="007C1F04"/>
    <w:rsid w:val="007C2130"/>
    <w:rsid w:val="007C21AC"/>
    <w:rsid w:val="007C21FC"/>
    <w:rsid w:val="007C2A21"/>
    <w:rsid w:val="007C2CA3"/>
    <w:rsid w:val="007C3012"/>
    <w:rsid w:val="007C3034"/>
    <w:rsid w:val="007C332C"/>
    <w:rsid w:val="007C3E8E"/>
    <w:rsid w:val="007C4048"/>
    <w:rsid w:val="007C40AB"/>
    <w:rsid w:val="007C4150"/>
    <w:rsid w:val="007C4209"/>
    <w:rsid w:val="007C429D"/>
    <w:rsid w:val="007C4511"/>
    <w:rsid w:val="007C4573"/>
    <w:rsid w:val="007C45CD"/>
    <w:rsid w:val="007C45D4"/>
    <w:rsid w:val="007C4743"/>
    <w:rsid w:val="007C49AD"/>
    <w:rsid w:val="007C49EB"/>
    <w:rsid w:val="007C4B6F"/>
    <w:rsid w:val="007C52C5"/>
    <w:rsid w:val="007C53A7"/>
    <w:rsid w:val="007C5496"/>
    <w:rsid w:val="007C562B"/>
    <w:rsid w:val="007C5A38"/>
    <w:rsid w:val="007C5DD8"/>
    <w:rsid w:val="007C5DE1"/>
    <w:rsid w:val="007C5E5C"/>
    <w:rsid w:val="007C60BA"/>
    <w:rsid w:val="007C60C6"/>
    <w:rsid w:val="007C611C"/>
    <w:rsid w:val="007C6AAA"/>
    <w:rsid w:val="007C6C98"/>
    <w:rsid w:val="007C6CA7"/>
    <w:rsid w:val="007C708D"/>
    <w:rsid w:val="007C759A"/>
    <w:rsid w:val="007C77EC"/>
    <w:rsid w:val="007C7E7E"/>
    <w:rsid w:val="007D001E"/>
    <w:rsid w:val="007D009E"/>
    <w:rsid w:val="007D0174"/>
    <w:rsid w:val="007D03AA"/>
    <w:rsid w:val="007D0763"/>
    <w:rsid w:val="007D0A3B"/>
    <w:rsid w:val="007D0EC0"/>
    <w:rsid w:val="007D0EC8"/>
    <w:rsid w:val="007D0F22"/>
    <w:rsid w:val="007D10FD"/>
    <w:rsid w:val="007D120D"/>
    <w:rsid w:val="007D17B8"/>
    <w:rsid w:val="007D1957"/>
    <w:rsid w:val="007D1B4A"/>
    <w:rsid w:val="007D1F63"/>
    <w:rsid w:val="007D211D"/>
    <w:rsid w:val="007D21EF"/>
    <w:rsid w:val="007D2405"/>
    <w:rsid w:val="007D2466"/>
    <w:rsid w:val="007D2558"/>
    <w:rsid w:val="007D25DF"/>
    <w:rsid w:val="007D2604"/>
    <w:rsid w:val="007D2868"/>
    <w:rsid w:val="007D28D2"/>
    <w:rsid w:val="007D2980"/>
    <w:rsid w:val="007D2A3F"/>
    <w:rsid w:val="007D2B3D"/>
    <w:rsid w:val="007D2BC9"/>
    <w:rsid w:val="007D2F34"/>
    <w:rsid w:val="007D3150"/>
    <w:rsid w:val="007D3236"/>
    <w:rsid w:val="007D32B9"/>
    <w:rsid w:val="007D3454"/>
    <w:rsid w:val="007D3791"/>
    <w:rsid w:val="007D37B1"/>
    <w:rsid w:val="007D396C"/>
    <w:rsid w:val="007D397C"/>
    <w:rsid w:val="007D3AEC"/>
    <w:rsid w:val="007D3C02"/>
    <w:rsid w:val="007D3FB8"/>
    <w:rsid w:val="007D40BC"/>
    <w:rsid w:val="007D40D6"/>
    <w:rsid w:val="007D40D7"/>
    <w:rsid w:val="007D4200"/>
    <w:rsid w:val="007D4A2F"/>
    <w:rsid w:val="007D4A97"/>
    <w:rsid w:val="007D50F0"/>
    <w:rsid w:val="007D5258"/>
    <w:rsid w:val="007D531A"/>
    <w:rsid w:val="007D532C"/>
    <w:rsid w:val="007D53A1"/>
    <w:rsid w:val="007D53FF"/>
    <w:rsid w:val="007D56A1"/>
    <w:rsid w:val="007D5B6B"/>
    <w:rsid w:val="007D5E67"/>
    <w:rsid w:val="007D60F6"/>
    <w:rsid w:val="007D6546"/>
    <w:rsid w:val="007D688C"/>
    <w:rsid w:val="007D69B8"/>
    <w:rsid w:val="007D6CF8"/>
    <w:rsid w:val="007D6D57"/>
    <w:rsid w:val="007D7031"/>
    <w:rsid w:val="007D737F"/>
    <w:rsid w:val="007D73BC"/>
    <w:rsid w:val="007D756E"/>
    <w:rsid w:val="007D75CC"/>
    <w:rsid w:val="007D7761"/>
    <w:rsid w:val="007D77C7"/>
    <w:rsid w:val="007D7830"/>
    <w:rsid w:val="007D7894"/>
    <w:rsid w:val="007D789B"/>
    <w:rsid w:val="007D78C1"/>
    <w:rsid w:val="007D79A3"/>
    <w:rsid w:val="007D7B64"/>
    <w:rsid w:val="007E0053"/>
    <w:rsid w:val="007E07C4"/>
    <w:rsid w:val="007E0AF6"/>
    <w:rsid w:val="007E0BCF"/>
    <w:rsid w:val="007E0D45"/>
    <w:rsid w:val="007E0DCF"/>
    <w:rsid w:val="007E0F5E"/>
    <w:rsid w:val="007E1206"/>
    <w:rsid w:val="007E14D2"/>
    <w:rsid w:val="007E1502"/>
    <w:rsid w:val="007E15DF"/>
    <w:rsid w:val="007E169E"/>
    <w:rsid w:val="007E1EE7"/>
    <w:rsid w:val="007E1F1A"/>
    <w:rsid w:val="007E20AA"/>
    <w:rsid w:val="007E234E"/>
    <w:rsid w:val="007E25FE"/>
    <w:rsid w:val="007E2A10"/>
    <w:rsid w:val="007E2C34"/>
    <w:rsid w:val="007E2F11"/>
    <w:rsid w:val="007E30D3"/>
    <w:rsid w:val="007E30DD"/>
    <w:rsid w:val="007E3151"/>
    <w:rsid w:val="007E32D7"/>
    <w:rsid w:val="007E3712"/>
    <w:rsid w:val="007E3DF2"/>
    <w:rsid w:val="007E3EB0"/>
    <w:rsid w:val="007E44E1"/>
    <w:rsid w:val="007E4535"/>
    <w:rsid w:val="007E4576"/>
    <w:rsid w:val="007E47BD"/>
    <w:rsid w:val="007E4929"/>
    <w:rsid w:val="007E4AC4"/>
    <w:rsid w:val="007E4C3B"/>
    <w:rsid w:val="007E4CBB"/>
    <w:rsid w:val="007E4EDB"/>
    <w:rsid w:val="007E4F40"/>
    <w:rsid w:val="007E5103"/>
    <w:rsid w:val="007E56CB"/>
    <w:rsid w:val="007E58CE"/>
    <w:rsid w:val="007E58EE"/>
    <w:rsid w:val="007E5927"/>
    <w:rsid w:val="007E599B"/>
    <w:rsid w:val="007E602A"/>
    <w:rsid w:val="007E60A4"/>
    <w:rsid w:val="007E6119"/>
    <w:rsid w:val="007E6210"/>
    <w:rsid w:val="007E66A0"/>
    <w:rsid w:val="007E67A5"/>
    <w:rsid w:val="007E6D25"/>
    <w:rsid w:val="007E742B"/>
    <w:rsid w:val="007E752D"/>
    <w:rsid w:val="007E7767"/>
    <w:rsid w:val="007E7A4D"/>
    <w:rsid w:val="007E7B35"/>
    <w:rsid w:val="007E7F4B"/>
    <w:rsid w:val="007F04F8"/>
    <w:rsid w:val="007F0535"/>
    <w:rsid w:val="007F0653"/>
    <w:rsid w:val="007F0BAB"/>
    <w:rsid w:val="007F0F73"/>
    <w:rsid w:val="007F1299"/>
    <w:rsid w:val="007F12E1"/>
    <w:rsid w:val="007F12E3"/>
    <w:rsid w:val="007F1333"/>
    <w:rsid w:val="007F15DC"/>
    <w:rsid w:val="007F15F4"/>
    <w:rsid w:val="007F1665"/>
    <w:rsid w:val="007F16B4"/>
    <w:rsid w:val="007F1804"/>
    <w:rsid w:val="007F181A"/>
    <w:rsid w:val="007F1BE9"/>
    <w:rsid w:val="007F1D8D"/>
    <w:rsid w:val="007F23A2"/>
    <w:rsid w:val="007F25D9"/>
    <w:rsid w:val="007F2955"/>
    <w:rsid w:val="007F2BCA"/>
    <w:rsid w:val="007F2CBF"/>
    <w:rsid w:val="007F2D97"/>
    <w:rsid w:val="007F2EBC"/>
    <w:rsid w:val="007F2FDF"/>
    <w:rsid w:val="007F309A"/>
    <w:rsid w:val="007F32FE"/>
    <w:rsid w:val="007F346F"/>
    <w:rsid w:val="007F354D"/>
    <w:rsid w:val="007F3673"/>
    <w:rsid w:val="007F39AA"/>
    <w:rsid w:val="007F3ADF"/>
    <w:rsid w:val="007F48FA"/>
    <w:rsid w:val="007F4A39"/>
    <w:rsid w:val="007F50E1"/>
    <w:rsid w:val="007F5190"/>
    <w:rsid w:val="007F560C"/>
    <w:rsid w:val="007F5893"/>
    <w:rsid w:val="007F5C5D"/>
    <w:rsid w:val="007F5CDA"/>
    <w:rsid w:val="007F6158"/>
    <w:rsid w:val="007F6528"/>
    <w:rsid w:val="007F6710"/>
    <w:rsid w:val="007F67DE"/>
    <w:rsid w:val="007F69BA"/>
    <w:rsid w:val="007F69F4"/>
    <w:rsid w:val="007F6D0A"/>
    <w:rsid w:val="007F6DF7"/>
    <w:rsid w:val="007F6E1D"/>
    <w:rsid w:val="007F6FF9"/>
    <w:rsid w:val="007F7452"/>
    <w:rsid w:val="007F75AE"/>
    <w:rsid w:val="007F77E9"/>
    <w:rsid w:val="007F784C"/>
    <w:rsid w:val="007F785B"/>
    <w:rsid w:val="007F79B3"/>
    <w:rsid w:val="007F79C4"/>
    <w:rsid w:val="007F7B26"/>
    <w:rsid w:val="007F7C49"/>
    <w:rsid w:val="007F7E1E"/>
    <w:rsid w:val="007F7E32"/>
    <w:rsid w:val="00800265"/>
    <w:rsid w:val="00800554"/>
    <w:rsid w:val="008005A7"/>
    <w:rsid w:val="008005F0"/>
    <w:rsid w:val="0080063D"/>
    <w:rsid w:val="008006E7"/>
    <w:rsid w:val="00800DEF"/>
    <w:rsid w:val="008010F6"/>
    <w:rsid w:val="00801142"/>
    <w:rsid w:val="0080123C"/>
    <w:rsid w:val="008012B0"/>
    <w:rsid w:val="0080162A"/>
    <w:rsid w:val="00801AD5"/>
    <w:rsid w:val="00801BA6"/>
    <w:rsid w:val="00801C32"/>
    <w:rsid w:val="0080220B"/>
    <w:rsid w:val="008023C8"/>
    <w:rsid w:val="008023DA"/>
    <w:rsid w:val="0080243F"/>
    <w:rsid w:val="00802596"/>
    <w:rsid w:val="00802612"/>
    <w:rsid w:val="00802894"/>
    <w:rsid w:val="00802AE2"/>
    <w:rsid w:val="00802D69"/>
    <w:rsid w:val="00803349"/>
    <w:rsid w:val="008038A6"/>
    <w:rsid w:val="00803AC7"/>
    <w:rsid w:val="00803AFC"/>
    <w:rsid w:val="00803FB2"/>
    <w:rsid w:val="008040EC"/>
    <w:rsid w:val="008045DF"/>
    <w:rsid w:val="0080472E"/>
    <w:rsid w:val="00804775"/>
    <w:rsid w:val="00804778"/>
    <w:rsid w:val="00804915"/>
    <w:rsid w:val="00804B43"/>
    <w:rsid w:val="00804D99"/>
    <w:rsid w:val="00805149"/>
    <w:rsid w:val="00805160"/>
    <w:rsid w:val="008053A9"/>
    <w:rsid w:val="008055B7"/>
    <w:rsid w:val="00805652"/>
    <w:rsid w:val="00805ABA"/>
    <w:rsid w:val="00805ACA"/>
    <w:rsid w:val="00805D95"/>
    <w:rsid w:val="00805E39"/>
    <w:rsid w:val="00805F59"/>
    <w:rsid w:val="0080617C"/>
    <w:rsid w:val="008063A8"/>
    <w:rsid w:val="0080641C"/>
    <w:rsid w:val="00806617"/>
    <w:rsid w:val="00806851"/>
    <w:rsid w:val="00806924"/>
    <w:rsid w:val="00806ACD"/>
    <w:rsid w:val="00806CFC"/>
    <w:rsid w:val="00806FE4"/>
    <w:rsid w:val="00807104"/>
    <w:rsid w:val="0080722E"/>
    <w:rsid w:val="00807588"/>
    <w:rsid w:val="0080762D"/>
    <w:rsid w:val="00807974"/>
    <w:rsid w:val="00807AD6"/>
    <w:rsid w:val="00807B85"/>
    <w:rsid w:val="00807C16"/>
    <w:rsid w:val="00807C8F"/>
    <w:rsid w:val="00807CB6"/>
    <w:rsid w:val="00807FCF"/>
    <w:rsid w:val="00810444"/>
    <w:rsid w:val="008104B5"/>
    <w:rsid w:val="00810699"/>
    <w:rsid w:val="00810706"/>
    <w:rsid w:val="00810896"/>
    <w:rsid w:val="00810D60"/>
    <w:rsid w:val="00810D66"/>
    <w:rsid w:val="00810F05"/>
    <w:rsid w:val="00810F8E"/>
    <w:rsid w:val="00810FDE"/>
    <w:rsid w:val="00811276"/>
    <w:rsid w:val="008114BE"/>
    <w:rsid w:val="008117CA"/>
    <w:rsid w:val="00811ACD"/>
    <w:rsid w:val="00811C42"/>
    <w:rsid w:val="00811D1C"/>
    <w:rsid w:val="00811D2E"/>
    <w:rsid w:val="008123E0"/>
    <w:rsid w:val="0081273F"/>
    <w:rsid w:val="008127E1"/>
    <w:rsid w:val="00812CEE"/>
    <w:rsid w:val="00812F4B"/>
    <w:rsid w:val="00813282"/>
    <w:rsid w:val="008133AC"/>
    <w:rsid w:val="00813469"/>
    <w:rsid w:val="0081353E"/>
    <w:rsid w:val="00813802"/>
    <w:rsid w:val="0081382E"/>
    <w:rsid w:val="00813BC7"/>
    <w:rsid w:val="00813C1C"/>
    <w:rsid w:val="00813C2B"/>
    <w:rsid w:val="00814574"/>
    <w:rsid w:val="0081476E"/>
    <w:rsid w:val="008148BF"/>
    <w:rsid w:val="00814C32"/>
    <w:rsid w:val="00814C41"/>
    <w:rsid w:val="0081519F"/>
    <w:rsid w:val="008151C0"/>
    <w:rsid w:val="008153CD"/>
    <w:rsid w:val="0081540D"/>
    <w:rsid w:val="008155D9"/>
    <w:rsid w:val="008157D1"/>
    <w:rsid w:val="00815C4F"/>
    <w:rsid w:val="00815CA5"/>
    <w:rsid w:val="00815D55"/>
    <w:rsid w:val="00815D6C"/>
    <w:rsid w:val="00815D8D"/>
    <w:rsid w:val="00816039"/>
    <w:rsid w:val="00816414"/>
    <w:rsid w:val="008165A9"/>
    <w:rsid w:val="00816704"/>
    <w:rsid w:val="008167C0"/>
    <w:rsid w:val="00816851"/>
    <w:rsid w:val="00816A33"/>
    <w:rsid w:val="00816B0A"/>
    <w:rsid w:val="00816CEC"/>
    <w:rsid w:val="00816E1D"/>
    <w:rsid w:val="0081715A"/>
    <w:rsid w:val="008172D9"/>
    <w:rsid w:val="00817341"/>
    <w:rsid w:val="0081794A"/>
    <w:rsid w:val="00817AB5"/>
    <w:rsid w:val="00817DB3"/>
    <w:rsid w:val="00817DB7"/>
    <w:rsid w:val="00817E9D"/>
    <w:rsid w:val="00820116"/>
    <w:rsid w:val="00820228"/>
    <w:rsid w:val="008203B5"/>
    <w:rsid w:val="00820A5F"/>
    <w:rsid w:val="00820DA7"/>
    <w:rsid w:val="00820F1A"/>
    <w:rsid w:val="008211BA"/>
    <w:rsid w:val="00821585"/>
    <w:rsid w:val="008215AB"/>
    <w:rsid w:val="00821C29"/>
    <w:rsid w:val="00821EC2"/>
    <w:rsid w:val="0082202A"/>
    <w:rsid w:val="0082229A"/>
    <w:rsid w:val="008222F6"/>
    <w:rsid w:val="008223A5"/>
    <w:rsid w:val="0082287A"/>
    <w:rsid w:val="00822B4F"/>
    <w:rsid w:val="00822DAC"/>
    <w:rsid w:val="00822F3C"/>
    <w:rsid w:val="00823110"/>
    <w:rsid w:val="0082319B"/>
    <w:rsid w:val="008231CC"/>
    <w:rsid w:val="00823243"/>
    <w:rsid w:val="00823274"/>
    <w:rsid w:val="00823392"/>
    <w:rsid w:val="0082342D"/>
    <w:rsid w:val="0082352D"/>
    <w:rsid w:val="0082354A"/>
    <w:rsid w:val="008239BD"/>
    <w:rsid w:val="008239C2"/>
    <w:rsid w:val="00823E6C"/>
    <w:rsid w:val="00824111"/>
    <w:rsid w:val="008243C8"/>
    <w:rsid w:val="00824479"/>
    <w:rsid w:val="008245B1"/>
    <w:rsid w:val="00824612"/>
    <w:rsid w:val="00824DDE"/>
    <w:rsid w:val="00824E2D"/>
    <w:rsid w:val="0082512B"/>
    <w:rsid w:val="008252A3"/>
    <w:rsid w:val="00825483"/>
    <w:rsid w:val="008254F3"/>
    <w:rsid w:val="00825678"/>
    <w:rsid w:val="0082567E"/>
    <w:rsid w:val="00825692"/>
    <w:rsid w:val="0082601D"/>
    <w:rsid w:val="0082678B"/>
    <w:rsid w:val="00826A9B"/>
    <w:rsid w:val="00826AEB"/>
    <w:rsid w:val="00826B35"/>
    <w:rsid w:val="00826EE8"/>
    <w:rsid w:val="008271C7"/>
    <w:rsid w:val="008272CE"/>
    <w:rsid w:val="008272F4"/>
    <w:rsid w:val="008274C3"/>
    <w:rsid w:val="00827761"/>
    <w:rsid w:val="00827BA6"/>
    <w:rsid w:val="00827BCC"/>
    <w:rsid w:val="00827D27"/>
    <w:rsid w:val="00827D82"/>
    <w:rsid w:val="0083056B"/>
    <w:rsid w:val="00830732"/>
    <w:rsid w:val="00830792"/>
    <w:rsid w:val="008308E0"/>
    <w:rsid w:val="00830CBE"/>
    <w:rsid w:val="008315CC"/>
    <w:rsid w:val="00831BE2"/>
    <w:rsid w:val="008321AD"/>
    <w:rsid w:val="008321D8"/>
    <w:rsid w:val="00832341"/>
    <w:rsid w:val="0083250F"/>
    <w:rsid w:val="00832652"/>
    <w:rsid w:val="008326B4"/>
    <w:rsid w:val="008327B6"/>
    <w:rsid w:val="00832E9E"/>
    <w:rsid w:val="00832ECE"/>
    <w:rsid w:val="00832FAF"/>
    <w:rsid w:val="00833038"/>
    <w:rsid w:val="00833712"/>
    <w:rsid w:val="00833725"/>
    <w:rsid w:val="0083378A"/>
    <w:rsid w:val="00833AB2"/>
    <w:rsid w:val="00833C11"/>
    <w:rsid w:val="0083421C"/>
    <w:rsid w:val="008344D7"/>
    <w:rsid w:val="00834758"/>
    <w:rsid w:val="0083479B"/>
    <w:rsid w:val="00834864"/>
    <w:rsid w:val="00834B16"/>
    <w:rsid w:val="00834BA4"/>
    <w:rsid w:val="00834C5C"/>
    <w:rsid w:val="00834F41"/>
    <w:rsid w:val="00835348"/>
    <w:rsid w:val="0083538A"/>
    <w:rsid w:val="00835671"/>
    <w:rsid w:val="008356BE"/>
    <w:rsid w:val="00835D10"/>
    <w:rsid w:val="00835FC7"/>
    <w:rsid w:val="0083611C"/>
    <w:rsid w:val="008361D4"/>
    <w:rsid w:val="008368FB"/>
    <w:rsid w:val="00837031"/>
    <w:rsid w:val="00837167"/>
    <w:rsid w:val="00837909"/>
    <w:rsid w:val="00837AE5"/>
    <w:rsid w:val="00837CC5"/>
    <w:rsid w:val="00840133"/>
    <w:rsid w:val="008407FB"/>
    <w:rsid w:val="00840A04"/>
    <w:rsid w:val="00840E47"/>
    <w:rsid w:val="008410ED"/>
    <w:rsid w:val="008411B4"/>
    <w:rsid w:val="008411F1"/>
    <w:rsid w:val="0084121B"/>
    <w:rsid w:val="008413F1"/>
    <w:rsid w:val="008413FA"/>
    <w:rsid w:val="008417DC"/>
    <w:rsid w:val="00841A57"/>
    <w:rsid w:val="00841A6C"/>
    <w:rsid w:val="00841AE7"/>
    <w:rsid w:val="00841BC3"/>
    <w:rsid w:val="008421F8"/>
    <w:rsid w:val="008423C7"/>
    <w:rsid w:val="00842D6C"/>
    <w:rsid w:val="00842DBA"/>
    <w:rsid w:val="008431E8"/>
    <w:rsid w:val="0084347E"/>
    <w:rsid w:val="0084368C"/>
    <w:rsid w:val="00843A3D"/>
    <w:rsid w:val="00843A54"/>
    <w:rsid w:val="00843AC4"/>
    <w:rsid w:val="00843B1B"/>
    <w:rsid w:val="00843C0A"/>
    <w:rsid w:val="00843EC7"/>
    <w:rsid w:val="00844311"/>
    <w:rsid w:val="0084443A"/>
    <w:rsid w:val="0084489F"/>
    <w:rsid w:val="0084497C"/>
    <w:rsid w:val="00844A72"/>
    <w:rsid w:val="00844E1C"/>
    <w:rsid w:val="00844EE8"/>
    <w:rsid w:val="00844F07"/>
    <w:rsid w:val="00845073"/>
    <w:rsid w:val="00845114"/>
    <w:rsid w:val="00845341"/>
    <w:rsid w:val="0084538A"/>
    <w:rsid w:val="00845501"/>
    <w:rsid w:val="0084550E"/>
    <w:rsid w:val="00845560"/>
    <w:rsid w:val="008455CF"/>
    <w:rsid w:val="0084599B"/>
    <w:rsid w:val="00845BC3"/>
    <w:rsid w:val="00845E46"/>
    <w:rsid w:val="0084626D"/>
    <w:rsid w:val="008464F2"/>
    <w:rsid w:val="008468D1"/>
    <w:rsid w:val="0084699B"/>
    <w:rsid w:val="00846B39"/>
    <w:rsid w:val="00846C5B"/>
    <w:rsid w:val="00847023"/>
    <w:rsid w:val="00847264"/>
    <w:rsid w:val="008472BF"/>
    <w:rsid w:val="008477A2"/>
    <w:rsid w:val="0084789B"/>
    <w:rsid w:val="00847CFB"/>
    <w:rsid w:val="00847DA5"/>
    <w:rsid w:val="00847F4E"/>
    <w:rsid w:val="00847FFD"/>
    <w:rsid w:val="00850271"/>
    <w:rsid w:val="00850341"/>
    <w:rsid w:val="0085043A"/>
    <w:rsid w:val="008506C1"/>
    <w:rsid w:val="008508FE"/>
    <w:rsid w:val="0085095F"/>
    <w:rsid w:val="00850A3A"/>
    <w:rsid w:val="00850B57"/>
    <w:rsid w:val="00850C61"/>
    <w:rsid w:val="00850DCD"/>
    <w:rsid w:val="00850F1A"/>
    <w:rsid w:val="00850F7C"/>
    <w:rsid w:val="008510C7"/>
    <w:rsid w:val="008511C0"/>
    <w:rsid w:val="0085142D"/>
    <w:rsid w:val="008515FD"/>
    <w:rsid w:val="00851645"/>
    <w:rsid w:val="008516C2"/>
    <w:rsid w:val="00851987"/>
    <w:rsid w:val="00851E01"/>
    <w:rsid w:val="00852349"/>
    <w:rsid w:val="008523F8"/>
    <w:rsid w:val="00852500"/>
    <w:rsid w:val="0085285E"/>
    <w:rsid w:val="008528E4"/>
    <w:rsid w:val="00852AA1"/>
    <w:rsid w:val="00852CFE"/>
    <w:rsid w:val="00852D70"/>
    <w:rsid w:val="008531F0"/>
    <w:rsid w:val="0085355E"/>
    <w:rsid w:val="0085416D"/>
    <w:rsid w:val="008542E6"/>
    <w:rsid w:val="0085438C"/>
    <w:rsid w:val="008543E9"/>
    <w:rsid w:val="008544BD"/>
    <w:rsid w:val="0085460D"/>
    <w:rsid w:val="0085471D"/>
    <w:rsid w:val="0085481F"/>
    <w:rsid w:val="00854843"/>
    <w:rsid w:val="00854FCD"/>
    <w:rsid w:val="008551F6"/>
    <w:rsid w:val="0085537A"/>
    <w:rsid w:val="00855589"/>
    <w:rsid w:val="00855BA2"/>
    <w:rsid w:val="00855C65"/>
    <w:rsid w:val="00855CEA"/>
    <w:rsid w:val="00855F32"/>
    <w:rsid w:val="00855F78"/>
    <w:rsid w:val="00856098"/>
    <w:rsid w:val="00856633"/>
    <w:rsid w:val="008566E1"/>
    <w:rsid w:val="008567F9"/>
    <w:rsid w:val="00856826"/>
    <w:rsid w:val="0085685F"/>
    <w:rsid w:val="008568DF"/>
    <w:rsid w:val="008569EC"/>
    <w:rsid w:val="00856A85"/>
    <w:rsid w:val="00856B4B"/>
    <w:rsid w:val="00856C97"/>
    <w:rsid w:val="00856EE2"/>
    <w:rsid w:val="00857341"/>
    <w:rsid w:val="0086004A"/>
    <w:rsid w:val="00860144"/>
    <w:rsid w:val="008601C7"/>
    <w:rsid w:val="0086031D"/>
    <w:rsid w:val="00860381"/>
    <w:rsid w:val="008603A1"/>
    <w:rsid w:val="0086063C"/>
    <w:rsid w:val="008606F6"/>
    <w:rsid w:val="00860C16"/>
    <w:rsid w:val="00861349"/>
    <w:rsid w:val="008615A3"/>
    <w:rsid w:val="00861665"/>
    <w:rsid w:val="008616A9"/>
    <w:rsid w:val="00861B2F"/>
    <w:rsid w:val="00861C01"/>
    <w:rsid w:val="00861C5A"/>
    <w:rsid w:val="00862064"/>
    <w:rsid w:val="008623EF"/>
    <w:rsid w:val="00862422"/>
    <w:rsid w:val="0086263D"/>
    <w:rsid w:val="0086279B"/>
    <w:rsid w:val="008627D1"/>
    <w:rsid w:val="00862B6E"/>
    <w:rsid w:val="00862D86"/>
    <w:rsid w:val="00862E28"/>
    <w:rsid w:val="0086301A"/>
    <w:rsid w:val="0086344E"/>
    <w:rsid w:val="00863C1E"/>
    <w:rsid w:val="00863C46"/>
    <w:rsid w:val="00863CFB"/>
    <w:rsid w:val="00863DCA"/>
    <w:rsid w:val="00863ED7"/>
    <w:rsid w:val="00863ED9"/>
    <w:rsid w:val="008642D2"/>
    <w:rsid w:val="0086436B"/>
    <w:rsid w:val="0086466C"/>
    <w:rsid w:val="0086513D"/>
    <w:rsid w:val="00865163"/>
    <w:rsid w:val="00865D4C"/>
    <w:rsid w:val="00865F4A"/>
    <w:rsid w:val="008661F4"/>
    <w:rsid w:val="0086630D"/>
    <w:rsid w:val="0086637B"/>
    <w:rsid w:val="00866541"/>
    <w:rsid w:val="008665FE"/>
    <w:rsid w:val="0086662C"/>
    <w:rsid w:val="008667F4"/>
    <w:rsid w:val="00866AE3"/>
    <w:rsid w:val="00866B4A"/>
    <w:rsid w:val="00866D6F"/>
    <w:rsid w:val="00866E19"/>
    <w:rsid w:val="00866E8F"/>
    <w:rsid w:val="008670F5"/>
    <w:rsid w:val="0086712C"/>
    <w:rsid w:val="008671D3"/>
    <w:rsid w:val="00867341"/>
    <w:rsid w:val="008673FF"/>
    <w:rsid w:val="008677A5"/>
    <w:rsid w:val="00867ADD"/>
    <w:rsid w:val="00867DE5"/>
    <w:rsid w:val="00870046"/>
    <w:rsid w:val="008702AE"/>
    <w:rsid w:val="008704A6"/>
    <w:rsid w:val="00870666"/>
    <w:rsid w:val="008707F3"/>
    <w:rsid w:val="00870A69"/>
    <w:rsid w:val="00870DBB"/>
    <w:rsid w:val="00870F91"/>
    <w:rsid w:val="00870FF1"/>
    <w:rsid w:val="00871056"/>
    <w:rsid w:val="00871067"/>
    <w:rsid w:val="008710FC"/>
    <w:rsid w:val="008712C3"/>
    <w:rsid w:val="00871312"/>
    <w:rsid w:val="0087158A"/>
    <w:rsid w:val="008718C2"/>
    <w:rsid w:val="00871B5E"/>
    <w:rsid w:val="00871D3E"/>
    <w:rsid w:val="00871D70"/>
    <w:rsid w:val="00871E29"/>
    <w:rsid w:val="0087209E"/>
    <w:rsid w:val="008722EF"/>
    <w:rsid w:val="00872796"/>
    <w:rsid w:val="008729C1"/>
    <w:rsid w:val="00872A38"/>
    <w:rsid w:val="00872C90"/>
    <w:rsid w:val="00872CB9"/>
    <w:rsid w:val="00873305"/>
    <w:rsid w:val="00873896"/>
    <w:rsid w:val="0087390B"/>
    <w:rsid w:val="00873A54"/>
    <w:rsid w:val="00873AAB"/>
    <w:rsid w:val="00873AC5"/>
    <w:rsid w:val="00873BD2"/>
    <w:rsid w:val="00873CC8"/>
    <w:rsid w:val="00874098"/>
    <w:rsid w:val="008742B4"/>
    <w:rsid w:val="008743BB"/>
    <w:rsid w:val="00874413"/>
    <w:rsid w:val="00874AF3"/>
    <w:rsid w:val="00874C88"/>
    <w:rsid w:val="00874F17"/>
    <w:rsid w:val="00874FEC"/>
    <w:rsid w:val="00875094"/>
    <w:rsid w:val="00875212"/>
    <w:rsid w:val="00875273"/>
    <w:rsid w:val="00875325"/>
    <w:rsid w:val="008755BD"/>
    <w:rsid w:val="0087581B"/>
    <w:rsid w:val="00875E55"/>
    <w:rsid w:val="00876010"/>
    <w:rsid w:val="00876088"/>
    <w:rsid w:val="00876110"/>
    <w:rsid w:val="008761AB"/>
    <w:rsid w:val="0087626F"/>
    <w:rsid w:val="0087631B"/>
    <w:rsid w:val="0087633E"/>
    <w:rsid w:val="008763DB"/>
    <w:rsid w:val="00876418"/>
    <w:rsid w:val="0087693C"/>
    <w:rsid w:val="00876B58"/>
    <w:rsid w:val="008772BE"/>
    <w:rsid w:val="008772D3"/>
    <w:rsid w:val="008773F0"/>
    <w:rsid w:val="008776B5"/>
    <w:rsid w:val="00877742"/>
    <w:rsid w:val="008777C3"/>
    <w:rsid w:val="00877AA7"/>
    <w:rsid w:val="00877F47"/>
    <w:rsid w:val="00877FE9"/>
    <w:rsid w:val="008802D7"/>
    <w:rsid w:val="00880340"/>
    <w:rsid w:val="008809A1"/>
    <w:rsid w:val="00880FA7"/>
    <w:rsid w:val="00880FB4"/>
    <w:rsid w:val="00881546"/>
    <w:rsid w:val="008816B1"/>
    <w:rsid w:val="00881721"/>
    <w:rsid w:val="00881CAC"/>
    <w:rsid w:val="00881ED8"/>
    <w:rsid w:val="00881FA2"/>
    <w:rsid w:val="00882381"/>
    <w:rsid w:val="00882389"/>
    <w:rsid w:val="00882873"/>
    <w:rsid w:val="00882B82"/>
    <w:rsid w:val="00882F0E"/>
    <w:rsid w:val="00882F7A"/>
    <w:rsid w:val="00882FE0"/>
    <w:rsid w:val="00883006"/>
    <w:rsid w:val="00883206"/>
    <w:rsid w:val="008837E4"/>
    <w:rsid w:val="00883A68"/>
    <w:rsid w:val="00883BF2"/>
    <w:rsid w:val="00883C80"/>
    <w:rsid w:val="00883DBA"/>
    <w:rsid w:val="00883FEC"/>
    <w:rsid w:val="008840AB"/>
    <w:rsid w:val="00884615"/>
    <w:rsid w:val="00884A52"/>
    <w:rsid w:val="00884BB0"/>
    <w:rsid w:val="00884CB7"/>
    <w:rsid w:val="00884DEB"/>
    <w:rsid w:val="00884F8B"/>
    <w:rsid w:val="00885056"/>
    <w:rsid w:val="008851C5"/>
    <w:rsid w:val="00885241"/>
    <w:rsid w:val="008852B9"/>
    <w:rsid w:val="008852EA"/>
    <w:rsid w:val="00885652"/>
    <w:rsid w:val="00885791"/>
    <w:rsid w:val="008858A7"/>
    <w:rsid w:val="00885DD5"/>
    <w:rsid w:val="0088659B"/>
    <w:rsid w:val="008866BE"/>
    <w:rsid w:val="00886977"/>
    <w:rsid w:val="00886A01"/>
    <w:rsid w:val="00886AF4"/>
    <w:rsid w:val="00886C0D"/>
    <w:rsid w:val="00886C4E"/>
    <w:rsid w:val="00886CD7"/>
    <w:rsid w:val="00886DA3"/>
    <w:rsid w:val="008870C4"/>
    <w:rsid w:val="00887260"/>
    <w:rsid w:val="0088727B"/>
    <w:rsid w:val="00887494"/>
    <w:rsid w:val="008876AB"/>
    <w:rsid w:val="00887851"/>
    <w:rsid w:val="008900F8"/>
    <w:rsid w:val="0089023A"/>
    <w:rsid w:val="00890383"/>
    <w:rsid w:val="008904B4"/>
    <w:rsid w:val="00890A5E"/>
    <w:rsid w:val="00890B43"/>
    <w:rsid w:val="00890FB7"/>
    <w:rsid w:val="00891144"/>
    <w:rsid w:val="00891274"/>
    <w:rsid w:val="0089158F"/>
    <w:rsid w:val="008916EB"/>
    <w:rsid w:val="00891A80"/>
    <w:rsid w:val="00891C12"/>
    <w:rsid w:val="00891D36"/>
    <w:rsid w:val="00891D70"/>
    <w:rsid w:val="00891FAD"/>
    <w:rsid w:val="0089210B"/>
    <w:rsid w:val="00892BA1"/>
    <w:rsid w:val="00892D15"/>
    <w:rsid w:val="00893140"/>
    <w:rsid w:val="0089329D"/>
    <w:rsid w:val="008934AA"/>
    <w:rsid w:val="00893724"/>
    <w:rsid w:val="00893A3D"/>
    <w:rsid w:val="00893ADD"/>
    <w:rsid w:val="00893D48"/>
    <w:rsid w:val="00893D90"/>
    <w:rsid w:val="00893DA8"/>
    <w:rsid w:val="00893E0A"/>
    <w:rsid w:val="0089422C"/>
    <w:rsid w:val="00894449"/>
    <w:rsid w:val="00894924"/>
    <w:rsid w:val="008949CD"/>
    <w:rsid w:val="00894A15"/>
    <w:rsid w:val="00894A1F"/>
    <w:rsid w:val="008952D3"/>
    <w:rsid w:val="0089618A"/>
    <w:rsid w:val="00896584"/>
    <w:rsid w:val="00896A64"/>
    <w:rsid w:val="00896E97"/>
    <w:rsid w:val="0089727D"/>
    <w:rsid w:val="008974CD"/>
    <w:rsid w:val="00897D2C"/>
    <w:rsid w:val="008A0247"/>
    <w:rsid w:val="008A02F8"/>
    <w:rsid w:val="008A054C"/>
    <w:rsid w:val="008A05DC"/>
    <w:rsid w:val="008A1373"/>
    <w:rsid w:val="008A1747"/>
    <w:rsid w:val="008A1AC8"/>
    <w:rsid w:val="008A1C50"/>
    <w:rsid w:val="008A1CCF"/>
    <w:rsid w:val="008A2337"/>
    <w:rsid w:val="008A2FCF"/>
    <w:rsid w:val="008A31CE"/>
    <w:rsid w:val="008A32A4"/>
    <w:rsid w:val="008A37DF"/>
    <w:rsid w:val="008A3BD7"/>
    <w:rsid w:val="008A3DC3"/>
    <w:rsid w:val="008A3FB1"/>
    <w:rsid w:val="008A4062"/>
    <w:rsid w:val="008A478F"/>
    <w:rsid w:val="008A4805"/>
    <w:rsid w:val="008A49B5"/>
    <w:rsid w:val="008A4A49"/>
    <w:rsid w:val="008A4BDB"/>
    <w:rsid w:val="008A5331"/>
    <w:rsid w:val="008A55B5"/>
    <w:rsid w:val="008A599D"/>
    <w:rsid w:val="008A5C4B"/>
    <w:rsid w:val="008A606F"/>
    <w:rsid w:val="008A625B"/>
    <w:rsid w:val="008A64A9"/>
    <w:rsid w:val="008A66C6"/>
    <w:rsid w:val="008A66C9"/>
    <w:rsid w:val="008A6842"/>
    <w:rsid w:val="008A6911"/>
    <w:rsid w:val="008A69CA"/>
    <w:rsid w:val="008A6B5A"/>
    <w:rsid w:val="008A6D14"/>
    <w:rsid w:val="008A720F"/>
    <w:rsid w:val="008A7585"/>
    <w:rsid w:val="008A7914"/>
    <w:rsid w:val="008A7925"/>
    <w:rsid w:val="008A796D"/>
    <w:rsid w:val="008A7B2F"/>
    <w:rsid w:val="008A7D24"/>
    <w:rsid w:val="008A7DFF"/>
    <w:rsid w:val="008B00A5"/>
    <w:rsid w:val="008B0522"/>
    <w:rsid w:val="008B058A"/>
    <w:rsid w:val="008B06BB"/>
    <w:rsid w:val="008B0D09"/>
    <w:rsid w:val="008B0D2E"/>
    <w:rsid w:val="008B0DDC"/>
    <w:rsid w:val="008B10D7"/>
    <w:rsid w:val="008B1295"/>
    <w:rsid w:val="008B17F1"/>
    <w:rsid w:val="008B1823"/>
    <w:rsid w:val="008B203F"/>
    <w:rsid w:val="008B2741"/>
    <w:rsid w:val="008B27FF"/>
    <w:rsid w:val="008B2C1C"/>
    <w:rsid w:val="008B32B4"/>
    <w:rsid w:val="008B3488"/>
    <w:rsid w:val="008B353A"/>
    <w:rsid w:val="008B3627"/>
    <w:rsid w:val="008B3884"/>
    <w:rsid w:val="008B3A6F"/>
    <w:rsid w:val="008B3B84"/>
    <w:rsid w:val="008B3C76"/>
    <w:rsid w:val="008B4085"/>
    <w:rsid w:val="008B4494"/>
    <w:rsid w:val="008B4A85"/>
    <w:rsid w:val="008B4B2C"/>
    <w:rsid w:val="008B4D0E"/>
    <w:rsid w:val="008B4F5E"/>
    <w:rsid w:val="008B540C"/>
    <w:rsid w:val="008B560F"/>
    <w:rsid w:val="008B56A7"/>
    <w:rsid w:val="008B5812"/>
    <w:rsid w:val="008B5926"/>
    <w:rsid w:val="008B5F99"/>
    <w:rsid w:val="008B5FE3"/>
    <w:rsid w:val="008B6050"/>
    <w:rsid w:val="008B60AB"/>
    <w:rsid w:val="008B6189"/>
    <w:rsid w:val="008B6BA7"/>
    <w:rsid w:val="008B6C86"/>
    <w:rsid w:val="008B6DE3"/>
    <w:rsid w:val="008B6F75"/>
    <w:rsid w:val="008B6FFB"/>
    <w:rsid w:val="008B7021"/>
    <w:rsid w:val="008B7035"/>
    <w:rsid w:val="008B70DC"/>
    <w:rsid w:val="008B7170"/>
    <w:rsid w:val="008B740E"/>
    <w:rsid w:val="008B7423"/>
    <w:rsid w:val="008B76E2"/>
    <w:rsid w:val="008B76E7"/>
    <w:rsid w:val="008B7A1B"/>
    <w:rsid w:val="008B7A29"/>
    <w:rsid w:val="008B7A72"/>
    <w:rsid w:val="008B7F91"/>
    <w:rsid w:val="008C02E1"/>
    <w:rsid w:val="008C0406"/>
    <w:rsid w:val="008C0463"/>
    <w:rsid w:val="008C0675"/>
    <w:rsid w:val="008C079B"/>
    <w:rsid w:val="008C099F"/>
    <w:rsid w:val="008C09AE"/>
    <w:rsid w:val="008C0AEB"/>
    <w:rsid w:val="008C0BB5"/>
    <w:rsid w:val="008C0BEA"/>
    <w:rsid w:val="008C0FC5"/>
    <w:rsid w:val="008C1007"/>
    <w:rsid w:val="008C11A0"/>
    <w:rsid w:val="008C11BF"/>
    <w:rsid w:val="008C2019"/>
    <w:rsid w:val="008C203D"/>
    <w:rsid w:val="008C205F"/>
    <w:rsid w:val="008C2457"/>
    <w:rsid w:val="008C2535"/>
    <w:rsid w:val="008C26EF"/>
    <w:rsid w:val="008C27A1"/>
    <w:rsid w:val="008C2889"/>
    <w:rsid w:val="008C2D58"/>
    <w:rsid w:val="008C2E27"/>
    <w:rsid w:val="008C2FB9"/>
    <w:rsid w:val="008C3024"/>
    <w:rsid w:val="008C3428"/>
    <w:rsid w:val="008C345A"/>
    <w:rsid w:val="008C3526"/>
    <w:rsid w:val="008C36B8"/>
    <w:rsid w:val="008C3909"/>
    <w:rsid w:val="008C3918"/>
    <w:rsid w:val="008C3B94"/>
    <w:rsid w:val="008C3EE0"/>
    <w:rsid w:val="008C3F16"/>
    <w:rsid w:val="008C3F59"/>
    <w:rsid w:val="008C472B"/>
    <w:rsid w:val="008C479C"/>
    <w:rsid w:val="008C486A"/>
    <w:rsid w:val="008C4883"/>
    <w:rsid w:val="008C48F9"/>
    <w:rsid w:val="008C4FDE"/>
    <w:rsid w:val="008C5036"/>
    <w:rsid w:val="008C530F"/>
    <w:rsid w:val="008C586C"/>
    <w:rsid w:val="008C5C59"/>
    <w:rsid w:val="008C5CD4"/>
    <w:rsid w:val="008C5E61"/>
    <w:rsid w:val="008C5E69"/>
    <w:rsid w:val="008C620B"/>
    <w:rsid w:val="008C635B"/>
    <w:rsid w:val="008C6875"/>
    <w:rsid w:val="008C6A69"/>
    <w:rsid w:val="008C6D85"/>
    <w:rsid w:val="008C6F97"/>
    <w:rsid w:val="008C6FB7"/>
    <w:rsid w:val="008C719B"/>
    <w:rsid w:val="008C7258"/>
    <w:rsid w:val="008C7412"/>
    <w:rsid w:val="008C74DA"/>
    <w:rsid w:val="008C74ED"/>
    <w:rsid w:val="008C7537"/>
    <w:rsid w:val="008C761D"/>
    <w:rsid w:val="008C76D2"/>
    <w:rsid w:val="008C7973"/>
    <w:rsid w:val="008C7BD2"/>
    <w:rsid w:val="008D00FC"/>
    <w:rsid w:val="008D00FD"/>
    <w:rsid w:val="008D0210"/>
    <w:rsid w:val="008D03D5"/>
    <w:rsid w:val="008D0430"/>
    <w:rsid w:val="008D058F"/>
    <w:rsid w:val="008D09FC"/>
    <w:rsid w:val="008D0AE6"/>
    <w:rsid w:val="008D10C5"/>
    <w:rsid w:val="008D111A"/>
    <w:rsid w:val="008D1750"/>
    <w:rsid w:val="008D19CF"/>
    <w:rsid w:val="008D1A3F"/>
    <w:rsid w:val="008D1BA4"/>
    <w:rsid w:val="008D1CF5"/>
    <w:rsid w:val="008D1F92"/>
    <w:rsid w:val="008D1FA5"/>
    <w:rsid w:val="008D20BA"/>
    <w:rsid w:val="008D2139"/>
    <w:rsid w:val="008D254F"/>
    <w:rsid w:val="008D25C5"/>
    <w:rsid w:val="008D26E0"/>
    <w:rsid w:val="008D2CDE"/>
    <w:rsid w:val="008D2E38"/>
    <w:rsid w:val="008D2E7F"/>
    <w:rsid w:val="008D30D9"/>
    <w:rsid w:val="008D3305"/>
    <w:rsid w:val="008D3570"/>
    <w:rsid w:val="008D375D"/>
    <w:rsid w:val="008D37E1"/>
    <w:rsid w:val="008D39F1"/>
    <w:rsid w:val="008D3D70"/>
    <w:rsid w:val="008D3F33"/>
    <w:rsid w:val="008D3F53"/>
    <w:rsid w:val="008D4008"/>
    <w:rsid w:val="008D4178"/>
    <w:rsid w:val="008D4210"/>
    <w:rsid w:val="008D427B"/>
    <w:rsid w:val="008D4643"/>
    <w:rsid w:val="008D46E8"/>
    <w:rsid w:val="008D4908"/>
    <w:rsid w:val="008D4AB0"/>
    <w:rsid w:val="008D4F0F"/>
    <w:rsid w:val="008D502A"/>
    <w:rsid w:val="008D530C"/>
    <w:rsid w:val="008D53BA"/>
    <w:rsid w:val="008D55AF"/>
    <w:rsid w:val="008D5681"/>
    <w:rsid w:val="008D5A85"/>
    <w:rsid w:val="008D5AC4"/>
    <w:rsid w:val="008D5C43"/>
    <w:rsid w:val="008D5C75"/>
    <w:rsid w:val="008D5D91"/>
    <w:rsid w:val="008D5E02"/>
    <w:rsid w:val="008D5EDE"/>
    <w:rsid w:val="008D62B4"/>
    <w:rsid w:val="008D632A"/>
    <w:rsid w:val="008D6668"/>
    <w:rsid w:val="008D6967"/>
    <w:rsid w:val="008D69BC"/>
    <w:rsid w:val="008D6B58"/>
    <w:rsid w:val="008D6E65"/>
    <w:rsid w:val="008D73CA"/>
    <w:rsid w:val="008D74E5"/>
    <w:rsid w:val="008D74E8"/>
    <w:rsid w:val="008D74FD"/>
    <w:rsid w:val="008D757B"/>
    <w:rsid w:val="008D75EE"/>
    <w:rsid w:val="008D7619"/>
    <w:rsid w:val="008D7781"/>
    <w:rsid w:val="008D7B8E"/>
    <w:rsid w:val="008D7BE2"/>
    <w:rsid w:val="008D7D5B"/>
    <w:rsid w:val="008E023B"/>
    <w:rsid w:val="008E043F"/>
    <w:rsid w:val="008E0545"/>
    <w:rsid w:val="008E09BE"/>
    <w:rsid w:val="008E0A5C"/>
    <w:rsid w:val="008E1005"/>
    <w:rsid w:val="008E1060"/>
    <w:rsid w:val="008E10F8"/>
    <w:rsid w:val="008E1395"/>
    <w:rsid w:val="008E157C"/>
    <w:rsid w:val="008E1A1B"/>
    <w:rsid w:val="008E1C42"/>
    <w:rsid w:val="008E1CCA"/>
    <w:rsid w:val="008E1D6B"/>
    <w:rsid w:val="008E1F23"/>
    <w:rsid w:val="008E206D"/>
    <w:rsid w:val="008E20D7"/>
    <w:rsid w:val="008E21EB"/>
    <w:rsid w:val="008E23D5"/>
    <w:rsid w:val="008E2412"/>
    <w:rsid w:val="008E2751"/>
    <w:rsid w:val="008E27B4"/>
    <w:rsid w:val="008E28D4"/>
    <w:rsid w:val="008E311E"/>
    <w:rsid w:val="008E32A5"/>
    <w:rsid w:val="008E3930"/>
    <w:rsid w:val="008E3DBD"/>
    <w:rsid w:val="008E4009"/>
    <w:rsid w:val="008E4131"/>
    <w:rsid w:val="008E41CE"/>
    <w:rsid w:val="008E4266"/>
    <w:rsid w:val="008E4313"/>
    <w:rsid w:val="008E43F0"/>
    <w:rsid w:val="008E445A"/>
    <w:rsid w:val="008E461A"/>
    <w:rsid w:val="008E4638"/>
    <w:rsid w:val="008E4730"/>
    <w:rsid w:val="008E4ABA"/>
    <w:rsid w:val="008E53EF"/>
    <w:rsid w:val="008E547C"/>
    <w:rsid w:val="008E5533"/>
    <w:rsid w:val="008E570A"/>
    <w:rsid w:val="008E5899"/>
    <w:rsid w:val="008E5D89"/>
    <w:rsid w:val="008E5F4E"/>
    <w:rsid w:val="008E6183"/>
    <w:rsid w:val="008E623B"/>
    <w:rsid w:val="008E64ED"/>
    <w:rsid w:val="008E65D9"/>
    <w:rsid w:val="008E665A"/>
    <w:rsid w:val="008E681E"/>
    <w:rsid w:val="008E68BA"/>
    <w:rsid w:val="008E69FE"/>
    <w:rsid w:val="008E6CF2"/>
    <w:rsid w:val="008E6D0C"/>
    <w:rsid w:val="008E6EF2"/>
    <w:rsid w:val="008E7060"/>
    <w:rsid w:val="008E71BD"/>
    <w:rsid w:val="008E742E"/>
    <w:rsid w:val="008E7535"/>
    <w:rsid w:val="008E7B77"/>
    <w:rsid w:val="008E7DA2"/>
    <w:rsid w:val="008F0127"/>
    <w:rsid w:val="008F031C"/>
    <w:rsid w:val="008F06F6"/>
    <w:rsid w:val="008F088E"/>
    <w:rsid w:val="008F097E"/>
    <w:rsid w:val="008F0D90"/>
    <w:rsid w:val="008F0E32"/>
    <w:rsid w:val="008F11ED"/>
    <w:rsid w:val="008F131A"/>
    <w:rsid w:val="008F133D"/>
    <w:rsid w:val="008F1568"/>
    <w:rsid w:val="008F1765"/>
    <w:rsid w:val="008F1B39"/>
    <w:rsid w:val="008F2048"/>
    <w:rsid w:val="008F2434"/>
    <w:rsid w:val="008F266C"/>
    <w:rsid w:val="008F2AF6"/>
    <w:rsid w:val="008F2FA2"/>
    <w:rsid w:val="008F307D"/>
    <w:rsid w:val="008F3285"/>
    <w:rsid w:val="008F332E"/>
    <w:rsid w:val="008F3386"/>
    <w:rsid w:val="008F359A"/>
    <w:rsid w:val="008F36AC"/>
    <w:rsid w:val="008F3738"/>
    <w:rsid w:val="008F37C6"/>
    <w:rsid w:val="008F3ED6"/>
    <w:rsid w:val="008F42EC"/>
    <w:rsid w:val="008F44DA"/>
    <w:rsid w:val="008F459B"/>
    <w:rsid w:val="008F4882"/>
    <w:rsid w:val="008F4923"/>
    <w:rsid w:val="008F4B90"/>
    <w:rsid w:val="008F4C23"/>
    <w:rsid w:val="008F50E8"/>
    <w:rsid w:val="008F5144"/>
    <w:rsid w:val="008F5414"/>
    <w:rsid w:val="008F573D"/>
    <w:rsid w:val="008F589E"/>
    <w:rsid w:val="008F5989"/>
    <w:rsid w:val="008F5A83"/>
    <w:rsid w:val="008F5E4F"/>
    <w:rsid w:val="008F5E70"/>
    <w:rsid w:val="008F5F86"/>
    <w:rsid w:val="008F61CA"/>
    <w:rsid w:val="008F6575"/>
    <w:rsid w:val="008F664C"/>
    <w:rsid w:val="008F6E6C"/>
    <w:rsid w:val="008F6F17"/>
    <w:rsid w:val="008F6F24"/>
    <w:rsid w:val="008F7218"/>
    <w:rsid w:val="008F7316"/>
    <w:rsid w:val="008F7321"/>
    <w:rsid w:val="008F7628"/>
    <w:rsid w:val="008F7776"/>
    <w:rsid w:val="008F7AFA"/>
    <w:rsid w:val="008F7B5C"/>
    <w:rsid w:val="008F7B67"/>
    <w:rsid w:val="008F7BBB"/>
    <w:rsid w:val="008F7C04"/>
    <w:rsid w:val="008F7C9C"/>
    <w:rsid w:val="008F7E2F"/>
    <w:rsid w:val="009001D1"/>
    <w:rsid w:val="00900489"/>
    <w:rsid w:val="009005CD"/>
    <w:rsid w:val="009007E5"/>
    <w:rsid w:val="00900DFB"/>
    <w:rsid w:val="00900E34"/>
    <w:rsid w:val="00900E42"/>
    <w:rsid w:val="00901C3A"/>
    <w:rsid w:val="0090201C"/>
    <w:rsid w:val="009020E1"/>
    <w:rsid w:val="009022DC"/>
    <w:rsid w:val="00902386"/>
    <w:rsid w:val="00902532"/>
    <w:rsid w:val="0090285E"/>
    <w:rsid w:val="00902B8D"/>
    <w:rsid w:val="00902DD5"/>
    <w:rsid w:val="00903124"/>
    <w:rsid w:val="009032C8"/>
    <w:rsid w:val="0090358B"/>
    <w:rsid w:val="0090365E"/>
    <w:rsid w:val="00903829"/>
    <w:rsid w:val="00903E4E"/>
    <w:rsid w:val="00903F11"/>
    <w:rsid w:val="009040C5"/>
    <w:rsid w:val="009044C1"/>
    <w:rsid w:val="00904960"/>
    <w:rsid w:val="00904B68"/>
    <w:rsid w:val="00904C15"/>
    <w:rsid w:val="00904CB5"/>
    <w:rsid w:val="009052D3"/>
    <w:rsid w:val="0090532C"/>
    <w:rsid w:val="00905337"/>
    <w:rsid w:val="009053A4"/>
    <w:rsid w:val="0090599C"/>
    <w:rsid w:val="00905B57"/>
    <w:rsid w:val="00905CF8"/>
    <w:rsid w:val="00905D63"/>
    <w:rsid w:val="00905E16"/>
    <w:rsid w:val="00905F6A"/>
    <w:rsid w:val="00906061"/>
    <w:rsid w:val="00906080"/>
    <w:rsid w:val="00906475"/>
    <w:rsid w:val="00906869"/>
    <w:rsid w:val="0090687E"/>
    <w:rsid w:val="00906A00"/>
    <w:rsid w:val="00906A4D"/>
    <w:rsid w:val="00906B7C"/>
    <w:rsid w:val="00906F35"/>
    <w:rsid w:val="009071F5"/>
    <w:rsid w:val="00907546"/>
    <w:rsid w:val="009079FA"/>
    <w:rsid w:val="00907CCE"/>
    <w:rsid w:val="00907D23"/>
    <w:rsid w:val="00907F3D"/>
    <w:rsid w:val="00907FB3"/>
    <w:rsid w:val="009102C7"/>
    <w:rsid w:val="00910621"/>
    <w:rsid w:val="00910627"/>
    <w:rsid w:val="009107F6"/>
    <w:rsid w:val="0091098F"/>
    <w:rsid w:val="00910A15"/>
    <w:rsid w:val="00910B38"/>
    <w:rsid w:val="00910C3A"/>
    <w:rsid w:val="00910E0C"/>
    <w:rsid w:val="00910E77"/>
    <w:rsid w:val="009110F6"/>
    <w:rsid w:val="00911231"/>
    <w:rsid w:val="0091134A"/>
    <w:rsid w:val="00911389"/>
    <w:rsid w:val="00911495"/>
    <w:rsid w:val="009116E6"/>
    <w:rsid w:val="00911721"/>
    <w:rsid w:val="00911C30"/>
    <w:rsid w:val="00911D8E"/>
    <w:rsid w:val="00911F7D"/>
    <w:rsid w:val="00911F81"/>
    <w:rsid w:val="00911FC4"/>
    <w:rsid w:val="00912328"/>
    <w:rsid w:val="00912859"/>
    <w:rsid w:val="0091286A"/>
    <w:rsid w:val="00912984"/>
    <w:rsid w:val="009129D5"/>
    <w:rsid w:val="00912B4B"/>
    <w:rsid w:val="00912CBD"/>
    <w:rsid w:val="00912D62"/>
    <w:rsid w:val="00912E5D"/>
    <w:rsid w:val="0091312E"/>
    <w:rsid w:val="00913827"/>
    <w:rsid w:val="00913905"/>
    <w:rsid w:val="00913E09"/>
    <w:rsid w:val="00914555"/>
    <w:rsid w:val="00914C1B"/>
    <w:rsid w:val="00914C1F"/>
    <w:rsid w:val="00914CD9"/>
    <w:rsid w:val="00914DA7"/>
    <w:rsid w:val="00914E98"/>
    <w:rsid w:val="00914F77"/>
    <w:rsid w:val="009153AF"/>
    <w:rsid w:val="00915726"/>
    <w:rsid w:val="00915892"/>
    <w:rsid w:val="00915958"/>
    <w:rsid w:val="00915974"/>
    <w:rsid w:val="00915F85"/>
    <w:rsid w:val="009162C2"/>
    <w:rsid w:val="00916406"/>
    <w:rsid w:val="0091677B"/>
    <w:rsid w:val="009168A8"/>
    <w:rsid w:val="00916A0C"/>
    <w:rsid w:val="00916A65"/>
    <w:rsid w:val="00916E42"/>
    <w:rsid w:val="00917218"/>
    <w:rsid w:val="00917330"/>
    <w:rsid w:val="0091757D"/>
    <w:rsid w:val="0091785D"/>
    <w:rsid w:val="00920161"/>
    <w:rsid w:val="00920376"/>
    <w:rsid w:val="009203B9"/>
    <w:rsid w:val="009203DE"/>
    <w:rsid w:val="009206C3"/>
    <w:rsid w:val="00920AC6"/>
    <w:rsid w:val="00920CA4"/>
    <w:rsid w:val="00921191"/>
    <w:rsid w:val="0092162C"/>
    <w:rsid w:val="009216C0"/>
    <w:rsid w:val="00921E78"/>
    <w:rsid w:val="00922237"/>
    <w:rsid w:val="009224C9"/>
    <w:rsid w:val="009225A9"/>
    <w:rsid w:val="00922933"/>
    <w:rsid w:val="009229A9"/>
    <w:rsid w:val="00922DF0"/>
    <w:rsid w:val="009230C7"/>
    <w:rsid w:val="009231EC"/>
    <w:rsid w:val="009234D0"/>
    <w:rsid w:val="009235E7"/>
    <w:rsid w:val="0092369F"/>
    <w:rsid w:val="00923792"/>
    <w:rsid w:val="009238E8"/>
    <w:rsid w:val="00923D04"/>
    <w:rsid w:val="00923EBE"/>
    <w:rsid w:val="00923F12"/>
    <w:rsid w:val="009243E8"/>
    <w:rsid w:val="00924614"/>
    <w:rsid w:val="00924998"/>
    <w:rsid w:val="009249FF"/>
    <w:rsid w:val="00924AB1"/>
    <w:rsid w:val="00924EE4"/>
    <w:rsid w:val="00924F52"/>
    <w:rsid w:val="009253B1"/>
    <w:rsid w:val="00925580"/>
    <w:rsid w:val="0092567B"/>
    <w:rsid w:val="0092568F"/>
    <w:rsid w:val="009257BD"/>
    <w:rsid w:val="00925840"/>
    <w:rsid w:val="00925896"/>
    <w:rsid w:val="009258D5"/>
    <w:rsid w:val="00925B5B"/>
    <w:rsid w:val="00925E91"/>
    <w:rsid w:val="00925F4A"/>
    <w:rsid w:val="009260B8"/>
    <w:rsid w:val="0092626B"/>
    <w:rsid w:val="009262A8"/>
    <w:rsid w:val="009263C3"/>
    <w:rsid w:val="0092664A"/>
    <w:rsid w:val="00926B55"/>
    <w:rsid w:val="009270BF"/>
    <w:rsid w:val="0092714A"/>
    <w:rsid w:val="00927247"/>
    <w:rsid w:val="009273F9"/>
    <w:rsid w:val="00927424"/>
    <w:rsid w:val="0092748D"/>
    <w:rsid w:val="009274FF"/>
    <w:rsid w:val="00927509"/>
    <w:rsid w:val="00927566"/>
    <w:rsid w:val="00927767"/>
    <w:rsid w:val="00927B5B"/>
    <w:rsid w:val="009302F0"/>
    <w:rsid w:val="0093056F"/>
    <w:rsid w:val="009305CF"/>
    <w:rsid w:val="00930BA2"/>
    <w:rsid w:val="00930C50"/>
    <w:rsid w:val="00930F6C"/>
    <w:rsid w:val="00931107"/>
    <w:rsid w:val="009311ED"/>
    <w:rsid w:val="0093123B"/>
    <w:rsid w:val="009312BA"/>
    <w:rsid w:val="009315BC"/>
    <w:rsid w:val="00931752"/>
    <w:rsid w:val="0093184C"/>
    <w:rsid w:val="00931ACE"/>
    <w:rsid w:val="00931D30"/>
    <w:rsid w:val="009321A4"/>
    <w:rsid w:val="0093263D"/>
    <w:rsid w:val="00932959"/>
    <w:rsid w:val="00933005"/>
    <w:rsid w:val="00933232"/>
    <w:rsid w:val="00933243"/>
    <w:rsid w:val="00933543"/>
    <w:rsid w:val="00933547"/>
    <w:rsid w:val="00933607"/>
    <w:rsid w:val="00933AAA"/>
    <w:rsid w:val="00933D92"/>
    <w:rsid w:val="009340FB"/>
    <w:rsid w:val="00934804"/>
    <w:rsid w:val="009348CB"/>
    <w:rsid w:val="00934909"/>
    <w:rsid w:val="009349BF"/>
    <w:rsid w:val="00934C49"/>
    <w:rsid w:val="00934C4C"/>
    <w:rsid w:val="0093534F"/>
    <w:rsid w:val="009353AF"/>
    <w:rsid w:val="00935544"/>
    <w:rsid w:val="00935572"/>
    <w:rsid w:val="00935A2E"/>
    <w:rsid w:val="00935BC1"/>
    <w:rsid w:val="00935FEF"/>
    <w:rsid w:val="0093694A"/>
    <w:rsid w:val="00936C85"/>
    <w:rsid w:val="00936CAB"/>
    <w:rsid w:val="00936F1B"/>
    <w:rsid w:val="00936FFA"/>
    <w:rsid w:val="00937062"/>
    <w:rsid w:val="00937231"/>
    <w:rsid w:val="00937404"/>
    <w:rsid w:val="009376FD"/>
    <w:rsid w:val="009377CB"/>
    <w:rsid w:val="00937FBB"/>
    <w:rsid w:val="00940289"/>
    <w:rsid w:val="009405BE"/>
    <w:rsid w:val="009408A5"/>
    <w:rsid w:val="00940C1D"/>
    <w:rsid w:val="00940E3D"/>
    <w:rsid w:val="00941015"/>
    <w:rsid w:val="009410A7"/>
    <w:rsid w:val="009410CF"/>
    <w:rsid w:val="00941126"/>
    <w:rsid w:val="009411FB"/>
    <w:rsid w:val="00941726"/>
    <w:rsid w:val="009417F9"/>
    <w:rsid w:val="009419AB"/>
    <w:rsid w:val="00941B0E"/>
    <w:rsid w:val="00941C67"/>
    <w:rsid w:val="00941DFD"/>
    <w:rsid w:val="00941E27"/>
    <w:rsid w:val="00941F07"/>
    <w:rsid w:val="0094214A"/>
    <w:rsid w:val="009422AD"/>
    <w:rsid w:val="00942563"/>
    <w:rsid w:val="009428D4"/>
    <w:rsid w:val="009429E3"/>
    <w:rsid w:val="00942BC9"/>
    <w:rsid w:val="00942F01"/>
    <w:rsid w:val="009430B2"/>
    <w:rsid w:val="009435B0"/>
    <w:rsid w:val="00943832"/>
    <w:rsid w:val="009439DB"/>
    <w:rsid w:val="00943BE0"/>
    <w:rsid w:val="009441C1"/>
    <w:rsid w:val="00944387"/>
    <w:rsid w:val="00944838"/>
    <w:rsid w:val="009449B1"/>
    <w:rsid w:val="00944A17"/>
    <w:rsid w:val="00944B2B"/>
    <w:rsid w:val="00944B73"/>
    <w:rsid w:val="00944E72"/>
    <w:rsid w:val="00945039"/>
    <w:rsid w:val="00945761"/>
    <w:rsid w:val="00945829"/>
    <w:rsid w:val="009459EE"/>
    <w:rsid w:val="00945AF8"/>
    <w:rsid w:val="00945B39"/>
    <w:rsid w:val="00945D59"/>
    <w:rsid w:val="009460DD"/>
    <w:rsid w:val="009462E4"/>
    <w:rsid w:val="009463A1"/>
    <w:rsid w:val="009468FB"/>
    <w:rsid w:val="0094699D"/>
    <w:rsid w:val="009469A9"/>
    <w:rsid w:val="00946CCF"/>
    <w:rsid w:val="00946D0B"/>
    <w:rsid w:val="00946E66"/>
    <w:rsid w:val="00947095"/>
    <w:rsid w:val="00947160"/>
    <w:rsid w:val="00947184"/>
    <w:rsid w:val="00947303"/>
    <w:rsid w:val="009473C6"/>
    <w:rsid w:val="009474EB"/>
    <w:rsid w:val="00947A3B"/>
    <w:rsid w:val="00947A48"/>
    <w:rsid w:val="00947E26"/>
    <w:rsid w:val="0095072A"/>
    <w:rsid w:val="0095089E"/>
    <w:rsid w:val="009508DE"/>
    <w:rsid w:val="00950931"/>
    <w:rsid w:val="00950A90"/>
    <w:rsid w:val="00951542"/>
    <w:rsid w:val="0095154C"/>
    <w:rsid w:val="00951568"/>
    <w:rsid w:val="0095190B"/>
    <w:rsid w:val="00951D45"/>
    <w:rsid w:val="0095231B"/>
    <w:rsid w:val="0095259A"/>
    <w:rsid w:val="00952819"/>
    <w:rsid w:val="00952B75"/>
    <w:rsid w:val="00952BDF"/>
    <w:rsid w:val="00952CF7"/>
    <w:rsid w:val="00952D76"/>
    <w:rsid w:val="00952F0D"/>
    <w:rsid w:val="00952F8E"/>
    <w:rsid w:val="009535CA"/>
    <w:rsid w:val="00953601"/>
    <w:rsid w:val="009538D7"/>
    <w:rsid w:val="009539A7"/>
    <w:rsid w:val="009539DB"/>
    <w:rsid w:val="00953A7B"/>
    <w:rsid w:val="00953F1B"/>
    <w:rsid w:val="00954240"/>
    <w:rsid w:val="00954409"/>
    <w:rsid w:val="0095448A"/>
    <w:rsid w:val="00954BEE"/>
    <w:rsid w:val="00954C15"/>
    <w:rsid w:val="00954C28"/>
    <w:rsid w:val="00954DEF"/>
    <w:rsid w:val="00954E94"/>
    <w:rsid w:val="00954F16"/>
    <w:rsid w:val="009555A5"/>
    <w:rsid w:val="00955CCD"/>
    <w:rsid w:val="00955CCF"/>
    <w:rsid w:val="0095646C"/>
    <w:rsid w:val="00956B66"/>
    <w:rsid w:val="00956CF3"/>
    <w:rsid w:val="00956F21"/>
    <w:rsid w:val="00957440"/>
    <w:rsid w:val="009576B7"/>
    <w:rsid w:val="00957890"/>
    <w:rsid w:val="0095793E"/>
    <w:rsid w:val="009579CA"/>
    <w:rsid w:val="00957A29"/>
    <w:rsid w:val="00960192"/>
    <w:rsid w:val="00960372"/>
    <w:rsid w:val="009606FD"/>
    <w:rsid w:val="009611AC"/>
    <w:rsid w:val="0096151E"/>
    <w:rsid w:val="00961572"/>
    <w:rsid w:val="00961A25"/>
    <w:rsid w:val="00961D4B"/>
    <w:rsid w:val="00961FE6"/>
    <w:rsid w:val="00962678"/>
    <w:rsid w:val="00962750"/>
    <w:rsid w:val="009629F0"/>
    <w:rsid w:val="00962B0B"/>
    <w:rsid w:val="00962B89"/>
    <w:rsid w:val="00962BD7"/>
    <w:rsid w:val="00962C02"/>
    <w:rsid w:val="00962CA5"/>
    <w:rsid w:val="00962EC3"/>
    <w:rsid w:val="00963169"/>
    <w:rsid w:val="00963212"/>
    <w:rsid w:val="009637E0"/>
    <w:rsid w:val="00963A1C"/>
    <w:rsid w:val="00963A1E"/>
    <w:rsid w:val="00963AC5"/>
    <w:rsid w:val="00963B72"/>
    <w:rsid w:val="00964382"/>
    <w:rsid w:val="0096452B"/>
    <w:rsid w:val="0096476C"/>
    <w:rsid w:val="00964794"/>
    <w:rsid w:val="009648D7"/>
    <w:rsid w:val="009649DF"/>
    <w:rsid w:val="00964B2F"/>
    <w:rsid w:val="00964DB4"/>
    <w:rsid w:val="00964EFD"/>
    <w:rsid w:val="009652DD"/>
    <w:rsid w:val="00965C11"/>
    <w:rsid w:val="00965E69"/>
    <w:rsid w:val="00965EFA"/>
    <w:rsid w:val="00966258"/>
    <w:rsid w:val="009662AA"/>
    <w:rsid w:val="0096633B"/>
    <w:rsid w:val="00966347"/>
    <w:rsid w:val="009664D1"/>
    <w:rsid w:val="00966755"/>
    <w:rsid w:val="00966CDE"/>
    <w:rsid w:val="0096702A"/>
    <w:rsid w:val="009670AE"/>
    <w:rsid w:val="00967100"/>
    <w:rsid w:val="00967190"/>
    <w:rsid w:val="009675B9"/>
    <w:rsid w:val="0096760B"/>
    <w:rsid w:val="00967A30"/>
    <w:rsid w:val="00967D9F"/>
    <w:rsid w:val="00967E95"/>
    <w:rsid w:val="009700FF"/>
    <w:rsid w:val="009701E8"/>
    <w:rsid w:val="009701EE"/>
    <w:rsid w:val="0097092F"/>
    <w:rsid w:val="00970FBA"/>
    <w:rsid w:val="0097102F"/>
    <w:rsid w:val="00971114"/>
    <w:rsid w:val="0097123E"/>
    <w:rsid w:val="009713A7"/>
    <w:rsid w:val="009714D6"/>
    <w:rsid w:val="009715D1"/>
    <w:rsid w:val="009718D5"/>
    <w:rsid w:val="00971AC3"/>
    <w:rsid w:val="00971DFB"/>
    <w:rsid w:val="00971FA9"/>
    <w:rsid w:val="0097202F"/>
    <w:rsid w:val="00972057"/>
    <w:rsid w:val="009720AA"/>
    <w:rsid w:val="00972293"/>
    <w:rsid w:val="00972375"/>
    <w:rsid w:val="00972386"/>
    <w:rsid w:val="00972603"/>
    <w:rsid w:val="00972675"/>
    <w:rsid w:val="00972A4F"/>
    <w:rsid w:val="00972AF1"/>
    <w:rsid w:val="00972CAE"/>
    <w:rsid w:val="00972E76"/>
    <w:rsid w:val="00972F2E"/>
    <w:rsid w:val="0097324C"/>
    <w:rsid w:val="0097350F"/>
    <w:rsid w:val="0097353C"/>
    <w:rsid w:val="00973881"/>
    <w:rsid w:val="0097395F"/>
    <w:rsid w:val="00973C55"/>
    <w:rsid w:val="00973D58"/>
    <w:rsid w:val="00973D6E"/>
    <w:rsid w:val="00973D7A"/>
    <w:rsid w:val="00974089"/>
    <w:rsid w:val="009740D0"/>
    <w:rsid w:val="0097419C"/>
    <w:rsid w:val="009741A6"/>
    <w:rsid w:val="00974489"/>
    <w:rsid w:val="00974528"/>
    <w:rsid w:val="0097464B"/>
    <w:rsid w:val="00974800"/>
    <w:rsid w:val="009748BD"/>
    <w:rsid w:val="00974B96"/>
    <w:rsid w:val="00974D76"/>
    <w:rsid w:val="00974FFC"/>
    <w:rsid w:val="00975175"/>
    <w:rsid w:val="00975215"/>
    <w:rsid w:val="0097545C"/>
    <w:rsid w:val="00975467"/>
    <w:rsid w:val="00975526"/>
    <w:rsid w:val="009757A7"/>
    <w:rsid w:val="00975AE4"/>
    <w:rsid w:val="00975AF5"/>
    <w:rsid w:val="00975D05"/>
    <w:rsid w:val="00975FCE"/>
    <w:rsid w:val="0097606B"/>
    <w:rsid w:val="00976104"/>
    <w:rsid w:val="0097612B"/>
    <w:rsid w:val="00976683"/>
    <w:rsid w:val="0097686E"/>
    <w:rsid w:val="00976A87"/>
    <w:rsid w:val="00976E9B"/>
    <w:rsid w:val="00976FEE"/>
    <w:rsid w:val="0097712C"/>
    <w:rsid w:val="00977497"/>
    <w:rsid w:val="009774E9"/>
    <w:rsid w:val="0097751E"/>
    <w:rsid w:val="00977BCA"/>
    <w:rsid w:val="00977CE4"/>
    <w:rsid w:val="00977E3B"/>
    <w:rsid w:val="00977E89"/>
    <w:rsid w:val="009803EF"/>
    <w:rsid w:val="009804A4"/>
    <w:rsid w:val="00980578"/>
    <w:rsid w:val="0098099A"/>
    <w:rsid w:val="00980B2C"/>
    <w:rsid w:val="00980BB7"/>
    <w:rsid w:val="00980BF0"/>
    <w:rsid w:val="00980D45"/>
    <w:rsid w:val="00980F37"/>
    <w:rsid w:val="00980F9A"/>
    <w:rsid w:val="00981360"/>
    <w:rsid w:val="009813DC"/>
    <w:rsid w:val="00981585"/>
    <w:rsid w:val="0098180E"/>
    <w:rsid w:val="009821CE"/>
    <w:rsid w:val="00982455"/>
    <w:rsid w:val="0098274E"/>
    <w:rsid w:val="00982817"/>
    <w:rsid w:val="009829FF"/>
    <w:rsid w:val="00982DDE"/>
    <w:rsid w:val="00982E47"/>
    <w:rsid w:val="00983155"/>
    <w:rsid w:val="009832EC"/>
    <w:rsid w:val="00983429"/>
    <w:rsid w:val="00983602"/>
    <w:rsid w:val="009836EE"/>
    <w:rsid w:val="009839A4"/>
    <w:rsid w:val="00983C68"/>
    <w:rsid w:val="00984351"/>
    <w:rsid w:val="009845D0"/>
    <w:rsid w:val="00984654"/>
    <w:rsid w:val="00984714"/>
    <w:rsid w:val="0098472A"/>
    <w:rsid w:val="00984BA5"/>
    <w:rsid w:val="00984C43"/>
    <w:rsid w:val="00984D6E"/>
    <w:rsid w:val="0098511D"/>
    <w:rsid w:val="00985137"/>
    <w:rsid w:val="00985166"/>
    <w:rsid w:val="00985312"/>
    <w:rsid w:val="00985331"/>
    <w:rsid w:val="009856E6"/>
    <w:rsid w:val="00985D1A"/>
    <w:rsid w:val="00985FCA"/>
    <w:rsid w:val="0098627F"/>
    <w:rsid w:val="00986AA6"/>
    <w:rsid w:val="00986AE7"/>
    <w:rsid w:val="00986AF2"/>
    <w:rsid w:val="00986E08"/>
    <w:rsid w:val="00987071"/>
    <w:rsid w:val="0098767C"/>
    <w:rsid w:val="0098771D"/>
    <w:rsid w:val="009877D1"/>
    <w:rsid w:val="00987808"/>
    <w:rsid w:val="00987A02"/>
    <w:rsid w:val="00987ADD"/>
    <w:rsid w:val="00987D09"/>
    <w:rsid w:val="009902AD"/>
    <w:rsid w:val="009904EB"/>
    <w:rsid w:val="009907FC"/>
    <w:rsid w:val="0099092E"/>
    <w:rsid w:val="00990A37"/>
    <w:rsid w:val="00990A97"/>
    <w:rsid w:val="00990ACE"/>
    <w:rsid w:val="00990C31"/>
    <w:rsid w:val="00990E8D"/>
    <w:rsid w:val="00991076"/>
    <w:rsid w:val="0099137D"/>
    <w:rsid w:val="00991E67"/>
    <w:rsid w:val="00991F20"/>
    <w:rsid w:val="00992EC7"/>
    <w:rsid w:val="00993200"/>
    <w:rsid w:val="009933BE"/>
    <w:rsid w:val="00993648"/>
    <w:rsid w:val="009938D0"/>
    <w:rsid w:val="00993DF3"/>
    <w:rsid w:val="00993EFE"/>
    <w:rsid w:val="00993F2E"/>
    <w:rsid w:val="00993F51"/>
    <w:rsid w:val="0099405F"/>
    <w:rsid w:val="009943B0"/>
    <w:rsid w:val="00994559"/>
    <w:rsid w:val="009945D2"/>
    <w:rsid w:val="009948E6"/>
    <w:rsid w:val="009949BB"/>
    <w:rsid w:val="00994BC3"/>
    <w:rsid w:val="00994CBF"/>
    <w:rsid w:val="00994F5C"/>
    <w:rsid w:val="009950A4"/>
    <w:rsid w:val="009951C3"/>
    <w:rsid w:val="009952DE"/>
    <w:rsid w:val="009954E5"/>
    <w:rsid w:val="00995599"/>
    <w:rsid w:val="009958CB"/>
    <w:rsid w:val="00995C46"/>
    <w:rsid w:val="00996563"/>
    <w:rsid w:val="0099658A"/>
    <w:rsid w:val="00996726"/>
    <w:rsid w:val="0099683D"/>
    <w:rsid w:val="0099691C"/>
    <w:rsid w:val="00996EBC"/>
    <w:rsid w:val="00997105"/>
    <w:rsid w:val="009971C3"/>
    <w:rsid w:val="009972CD"/>
    <w:rsid w:val="009975A1"/>
    <w:rsid w:val="00997808"/>
    <w:rsid w:val="0099789D"/>
    <w:rsid w:val="00997D18"/>
    <w:rsid w:val="009A00D1"/>
    <w:rsid w:val="009A0381"/>
    <w:rsid w:val="009A0430"/>
    <w:rsid w:val="009A047A"/>
    <w:rsid w:val="009A0591"/>
    <w:rsid w:val="009A0A0F"/>
    <w:rsid w:val="009A0BAD"/>
    <w:rsid w:val="009A10FF"/>
    <w:rsid w:val="009A116C"/>
    <w:rsid w:val="009A116F"/>
    <w:rsid w:val="009A12A4"/>
    <w:rsid w:val="009A16CE"/>
    <w:rsid w:val="009A18F1"/>
    <w:rsid w:val="009A1DE0"/>
    <w:rsid w:val="009A1EA2"/>
    <w:rsid w:val="009A1F40"/>
    <w:rsid w:val="009A213D"/>
    <w:rsid w:val="009A22E1"/>
    <w:rsid w:val="009A22F7"/>
    <w:rsid w:val="009A248D"/>
    <w:rsid w:val="009A2514"/>
    <w:rsid w:val="009A266C"/>
    <w:rsid w:val="009A2941"/>
    <w:rsid w:val="009A2A0D"/>
    <w:rsid w:val="009A2A47"/>
    <w:rsid w:val="009A2B0D"/>
    <w:rsid w:val="009A2F24"/>
    <w:rsid w:val="009A34B5"/>
    <w:rsid w:val="009A34BD"/>
    <w:rsid w:val="009A3535"/>
    <w:rsid w:val="009A35AC"/>
    <w:rsid w:val="009A363D"/>
    <w:rsid w:val="009A38A3"/>
    <w:rsid w:val="009A3A94"/>
    <w:rsid w:val="009A3C58"/>
    <w:rsid w:val="009A3DFD"/>
    <w:rsid w:val="009A3EF7"/>
    <w:rsid w:val="009A4478"/>
    <w:rsid w:val="009A4A85"/>
    <w:rsid w:val="009A4BE7"/>
    <w:rsid w:val="009A4E1F"/>
    <w:rsid w:val="009A5122"/>
    <w:rsid w:val="009A57B4"/>
    <w:rsid w:val="009A59D5"/>
    <w:rsid w:val="009A5AA3"/>
    <w:rsid w:val="009A5E93"/>
    <w:rsid w:val="009A6126"/>
    <w:rsid w:val="009A6170"/>
    <w:rsid w:val="009A61E9"/>
    <w:rsid w:val="009A6465"/>
    <w:rsid w:val="009A65A9"/>
    <w:rsid w:val="009A6686"/>
    <w:rsid w:val="009A66B7"/>
    <w:rsid w:val="009A6ADB"/>
    <w:rsid w:val="009A6DDA"/>
    <w:rsid w:val="009A6F3B"/>
    <w:rsid w:val="009A7508"/>
    <w:rsid w:val="009A75AC"/>
    <w:rsid w:val="009A79A0"/>
    <w:rsid w:val="009A79FB"/>
    <w:rsid w:val="009A7B9B"/>
    <w:rsid w:val="009A7EFF"/>
    <w:rsid w:val="009B02F3"/>
    <w:rsid w:val="009B0329"/>
    <w:rsid w:val="009B04A2"/>
    <w:rsid w:val="009B04B3"/>
    <w:rsid w:val="009B08C8"/>
    <w:rsid w:val="009B09A5"/>
    <w:rsid w:val="009B0A74"/>
    <w:rsid w:val="009B0AFD"/>
    <w:rsid w:val="009B0CEA"/>
    <w:rsid w:val="009B0D62"/>
    <w:rsid w:val="009B0DA9"/>
    <w:rsid w:val="009B0E57"/>
    <w:rsid w:val="009B1073"/>
    <w:rsid w:val="009B1189"/>
    <w:rsid w:val="009B14EC"/>
    <w:rsid w:val="009B1DF2"/>
    <w:rsid w:val="009B1EFA"/>
    <w:rsid w:val="009B1F20"/>
    <w:rsid w:val="009B204C"/>
    <w:rsid w:val="009B238C"/>
    <w:rsid w:val="009B24B2"/>
    <w:rsid w:val="009B25E3"/>
    <w:rsid w:val="009B27B9"/>
    <w:rsid w:val="009B28DF"/>
    <w:rsid w:val="009B2A17"/>
    <w:rsid w:val="009B2D3C"/>
    <w:rsid w:val="009B2E8B"/>
    <w:rsid w:val="009B2FCF"/>
    <w:rsid w:val="009B3259"/>
    <w:rsid w:val="009B328C"/>
    <w:rsid w:val="009B32CB"/>
    <w:rsid w:val="009B3778"/>
    <w:rsid w:val="009B3B4A"/>
    <w:rsid w:val="009B3D56"/>
    <w:rsid w:val="009B4139"/>
    <w:rsid w:val="009B42CA"/>
    <w:rsid w:val="009B4567"/>
    <w:rsid w:val="009B4771"/>
    <w:rsid w:val="009B497C"/>
    <w:rsid w:val="009B4A2F"/>
    <w:rsid w:val="009B4A70"/>
    <w:rsid w:val="009B4A85"/>
    <w:rsid w:val="009B4DB7"/>
    <w:rsid w:val="009B517E"/>
    <w:rsid w:val="009B57C3"/>
    <w:rsid w:val="009B57DC"/>
    <w:rsid w:val="009B58B0"/>
    <w:rsid w:val="009B595D"/>
    <w:rsid w:val="009B5A02"/>
    <w:rsid w:val="009B5B89"/>
    <w:rsid w:val="009B6169"/>
    <w:rsid w:val="009B634F"/>
    <w:rsid w:val="009B684E"/>
    <w:rsid w:val="009B686E"/>
    <w:rsid w:val="009B699D"/>
    <w:rsid w:val="009B6CC1"/>
    <w:rsid w:val="009B72AB"/>
    <w:rsid w:val="009B72DB"/>
    <w:rsid w:val="009B73BE"/>
    <w:rsid w:val="009B7521"/>
    <w:rsid w:val="009B7645"/>
    <w:rsid w:val="009B76B9"/>
    <w:rsid w:val="009B76EE"/>
    <w:rsid w:val="009B76F8"/>
    <w:rsid w:val="009B772B"/>
    <w:rsid w:val="009B77BB"/>
    <w:rsid w:val="009B7B1D"/>
    <w:rsid w:val="009C0057"/>
    <w:rsid w:val="009C00E9"/>
    <w:rsid w:val="009C02F6"/>
    <w:rsid w:val="009C04BB"/>
    <w:rsid w:val="009C061E"/>
    <w:rsid w:val="009C0720"/>
    <w:rsid w:val="009C09A1"/>
    <w:rsid w:val="009C0A7A"/>
    <w:rsid w:val="009C0CD5"/>
    <w:rsid w:val="009C0D4E"/>
    <w:rsid w:val="009C0ED3"/>
    <w:rsid w:val="009C0EF8"/>
    <w:rsid w:val="009C0FB7"/>
    <w:rsid w:val="009C11A1"/>
    <w:rsid w:val="009C1268"/>
    <w:rsid w:val="009C1312"/>
    <w:rsid w:val="009C164E"/>
    <w:rsid w:val="009C1714"/>
    <w:rsid w:val="009C1A43"/>
    <w:rsid w:val="009C26A4"/>
    <w:rsid w:val="009C28C3"/>
    <w:rsid w:val="009C28E0"/>
    <w:rsid w:val="009C2D45"/>
    <w:rsid w:val="009C2D72"/>
    <w:rsid w:val="009C2E38"/>
    <w:rsid w:val="009C332E"/>
    <w:rsid w:val="009C33C7"/>
    <w:rsid w:val="009C34C1"/>
    <w:rsid w:val="009C3AAF"/>
    <w:rsid w:val="009C3B23"/>
    <w:rsid w:val="009C3C3D"/>
    <w:rsid w:val="009C3C9D"/>
    <w:rsid w:val="009C3E31"/>
    <w:rsid w:val="009C3FFD"/>
    <w:rsid w:val="009C4024"/>
    <w:rsid w:val="009C40D4"/>
    <w:rsid w:val="009C4150"/>
    <w:rsid w:val="009C44F1"/>
    <w:rsid w:val="009C45A9"/>
    <w:rsid w:val="009C46A8"/>
    <w:rsid w:val="009C4902"/>
    <w:rsid w:val="009C49E7"/>
    <w:rsid w:val="009C4ACB"/>
    <w:rsid w:val="009C52C1"/>
    <w:rsid w:val="009C53AD"/>
    <w:rsid w:val="009C56F0"/>
    <w:rsid w:val="009C57EB"/>
    <w:rsid w:val="009C59A5"/>
    <w:rsid w:val="009C61F3"/>
    <w:rsid w:val="009C6373"/>
    <w:rsid w:val="009C63DD"/>
    <w:rsid w:val="009C64B7"/>
    <w:rsid w:val="009C672F"/>
    <w:rsid w:val="009C6B2D"/>
    <w:rsid w:val="009C7224"/>
    <w:rsid w:val="009C7CAA"/>
    <w:rsid w:val="009D003B"/>
    <w:rsid w:val="009D00F9"/>
    <w:rsid w:val="009D0174"/>
    <w:rsid w:val="009D042A"/>
    <w:rsid w:val="009D06F8"/>
    <w:rsid w:val="009D0783"/>
    <w:rsid w:val="009D080D"/>
    <w:rsid w:val="009D086C"/>
    <w:rsid w:val="009D09B8"/>
    <w:rsid w:val="009D0ECF"/>
    <w:rsid w:val="009D0EEB"/>
    <w:rsid w:val="009D0FD5"/>
    <w:rsid w:val="009D1426"/>
    <w:rsid w:val="009D14DD"/>
    <w:rsid w:val="009D1D27"/>
    <w:rsid w:val="009D1EC6"/>
    <w:rsid w:val="009D205E"/>
    <w:rsid w:val="009D2115"/>
    <w:rsid w:val="009D23E0"/>
    <w:rsid w:val="009D247E"/>
    <w:rsid w:val="009D2BBE"/>
    <w:rsid w:val="009D2F49"/>
    <w:rsid w:val="009D3056"/>
    <w:rsid w:val="009D306A"/>
    <w:rsid w:val="009D381E"/>
    <w:rsid w:val="009D3848"/>
    <w:rsid w:val="009D3E34"/>
    <w:rsid w:val="009D3ED1"/>
    <w:rsid w:val="009D3F53"/>
    <w:rsid w:val="009D4067"/>
    <w:rsid w:val="009D40CC"/>
    <w:rsid w:val="009D4764"/>
    <w:rsid w:val="009D4804"/>
    <w:rsid w:val="009D4CE3"/>
    <w:rsid w:val="009D4D9E"/>
    <w:rsid w:val="009D4F52"/>
    <w:rsid w:val="009D5236"/>
    <w:rsid w:val="009D53A6"/>
    <w:rsid w:val="009D5919"/>
    <w:rsid w:val="009D5946"/>
    <w:rsid w:val="009D59D6"/>
    <w:rsid w:val="009D5ABF"/>
    <w:rsid w:val="009D5C47"/>
    <w:rsid w:val="009D62E6"/>
    <w:rsid w:val="009D62EC"/>
    <w:rsid w:val="009D636E"/>
    <w:rsid w:val="009D66B3"/>
    <w:rsid w:val="009D6BE1"/>
    <w:rsid w:val="009D6F1B"/>
    <w:rsid w:val="009D6F83"/>
    <w:rsid w:val="009D70F3"/>
    <w:rsid w:val="009D7150"/>
    <w:rsid w:val="009D7177"/>
    <w:rsid w:val="009D72E1"/>
    <w:rsid w:val="009D7A0B"/>
    <w:rsid w:val="009E0269"/>
    <w:rsid w:val="009E04B3"/>
    <w:rsid w:val="009E0558"/>
    <w:rsid w:val="009E05EE"/>
    <w:rsid w:val="009E07CC"/>
    <w:rsid w:val="009E07E0"/>
    <w:rsid w:val="009E0967"/>
    <w:rsid w:val="009E0A0F"/>
    <w:rsid w:val="009E0CA7"/>
    <w:rsid w:val="009E0DB1"/>
    <w:rsid w:val="009E0E22"/>
    <w:rsid w:val="009E1837"/>
    <w:rsid w:val="009E1C59"/>
    <w:rsid w:val="009E1E9E"/>
    <w:rsid w:val="009E1F26"/>
    <w:rsid w:val="009E1F32"/>
    <w:rsid w:val="009E2076"/>
    <w:rsid w:val="009E232D"/>
    <w:rsid w:val="009E2374"/>
    <w:rsid w:val="009E24C9"/>
    <w:rsid w:val="009E26D6"/>
    <w:rsid w:val="009E27CE"/>
    <w:rsid w:val="009E2ED9"/>
    <w:rsid w:val="009E2EF8"/>
    <w:rsid w:val="009E309E"/>
    <w:rsid w:val="009E3165"/>
    <w:rsid w:val="009E365C"/>
    <w:rsid w:val="009E37F4"/>
    <w:rsid w:val="009E387E"/>
    <w:rsid w:val="009E390C"/>
    <w:rsid w:val="009E39AE"/>
    <w:rsid w:val="009E39CD"/>
    <w:rsid w:val="009E3B72"/>
    <w:rsid w:val="009E4060"/>
    <w:rsid w:val="009E43D3"/>
    <w:rsid w:val="009E4454"/>
    <w:rsid w:val="009E4591"/>
    <w:rsid w:val="009E4F0F"/>
    <w:rsid w:val="009E5014"/>
    <w:rsid w:val="009E5224"/>
    <w:rsid w:val="009E52CB"/>
    <w:rsid w:val="009E5399"/>
    <w:rsid w:val="009E5803"/>
    <w:rsid w:val="009E5E17"/>
    <w:rsid w:val="009E5EC1"/>
    <w:rsid w:val="009E5EF8"/>
    <w:rsid w:val="009E5FF7"/>
    <w:rsid w:val="009E6042"/>
    <w:rsid w:val="009E62B6"/>
    <w:rsid w:val="009E6475"/>
    <w:rsid w:val="009E6687"/>
    <w:rsid w:val="009E66A7"/>
    <w:rsid w:val="009E69C6"/>
    <w:rsid w:val="009E69E6"/>
    <w:rsid w:val="009E6A5C"/>
    <w:rsid w:val="009E6CD7"/>
    <w:rsid w:val="009E6E37"/>
    <w:rsid w:val="009E717B"/>
    <w:rsid w:val="009E718F"/>
    <w:rsid w:val="009E744F"/>
    <w:rsid w:val="009E769C"/>
    <w:rsid w:val="009E772B"/>
    <w:rsid w:val="009E788B"/>
    <w:rsid w:val="009E78D7"/>
    <w:rsid w:val="009E7CC4"/>
    <w:rsid w:val="009E7EBE"/>
    <w:rsid w:val="009F0518"/>
    <w:rsid w:val="009F087B"/>
    <w:rsid w:val="009F0A56"/>
    <w:rsid w:val="009F0AE8"/>
    <w:rsid w:val="009F1325"/>
    <w:rsid w:val="009F1575"/>
    <w:rsid w:val="009F1875"/>
    <w:rsid w:val="009F1ADB"/>
    <w:rsid w:val="009F1B7B"/>
    <w:rsid w:val="009F1C34"/>
    <w:rsid w:val="009F1F47"/>
    <w:rsid w:val="009F2153"/>
    <w:rsid w:val="009F24A6"/>
    <w:rsid w:val="009F24D6"/>
    <w:rsid w:val="009F257F"/>
    <w:rsid w:val="009F25CE"/>
    <w:rsid w:val="009F28FC"/>
    <w:rsid w:val="009F2A72"/>
    <w:rsid w:val="009F2AAC"/>
    <w:rsid w:val="009F2DBE"/>
    <w:rsid w:val="009F2FFC"/>
    <w:rsid w:val="009F30DC"/>
    <w:rsid w:val="009F3484"/>
    <w:rsid w:val="009F3D81"/>
    <w:rsid w:val="009F4094"/>
    <w:rsid w:val="009F423F"/>
    <w:rsid w:val="009F42EA"/>
    <w:rsid w:val="009F42EC"/>
    <w:rsid w:val="009F43DC"/>
    <w:rsid w:val="009F4756"/>
    <w:rsid w:val="009F4921"/>
    <w:rsid w:val="009F4D95"/>
    <w:rsid w:val="009F4DC0"/>
    <w:rsid w:val="009F54AD"/>
    <w:rsid w:val="009F56A6"/>
    <w:rsid w:val="009F5716"/>
    <w:rsid w:val="009F5965"/>
    <w:rsid w:val="009F5A82"/>
    <w:rsid w:val="009F5B89"/>
    <w:rsid w:val="009F5C02"/>
    <w:rsid w:val="009F5E76"/>
    <w:rsid w:val="009F5E78"/>
    <w:rsid w:val="009F60D2"/>
    <w:rsid w:val="009F640D"/>
    <w:rsid w:val="009F64EF"/>
    <w:rsid w:val="009F65DD"/>
    <w:rsid w:val="009F6725"/>
    <w:rsid w:val="009F6747"/>
    <w:rsid w:val="009F67C8"/>
    <w:rsid w:val="009F6845"/>
    <w:rsid w:val="009F6A76"/>
    <w:rsid w:val="009F6AFF"/>
    <w:rsid w:val="009F6B09"/>
    <w:rsid w:val="009F6F9E"/>
    <w:rsid w:val="009F7036"/>
    <w:rsid w:val="009F74D2"/>
    <w:rsid w:val="009F7730"/>
    <w:rsid w:val="009F7867"/>
    <w:rsid w:val="009F7956"/>
    <w:rsid w:val="009F7B92"/>
    <w:rsid w:val="00A000B6"/>
    <w:rsid w:val="00A00168"/>
    <w:rsid w:val="00A007BA"/>
    <w:rsid w:val="00A00983"/>
    <w:rsid w:val="00A00F5B"/>
    <w:rsid w:val="00A010E1"/>
    <w:rsid w:val="00A01549"/>
    <w:rsid w:val="00A0164A"/>
    <w:rsid w:val="00A01653"/>
    <w:rsid w:val="00A01A11"/>
    <w:rsid w:val="00A01B2B"/>
    <w:rsid w:val="00A01B51"/>
    <w:rsid w:val="00A01CB2"/>
    <w:rsid w:val="00A021DE"/>
    <w:rsid w:val="00A02275"/>
    <w:rsid w:val="00A024CE"/>
    <w:rsid w:val="00A025AA"/>
    <w:rsid w:val="00A027A4"/>
    <w:rsid w:val="00A02990"/>
    <w:rsid w:val="00A02B0C"/>
    <w:rsid w:val="00A02BD8"/>
    <w:rsid w:val="00A02D71"/>
    <w:rsid w:val="00A02D92"/>
    <w:rsid w:val="00A02F94"/>
    <w:rsid w:val="00A030BE"/>
    <w:rsid w:val="00A031FF"/>
    <w:rsid w:val="00A03816"/>
    <w:rsid w:val="00A03959"/>
    <w:rsid w:val="00A03989"/>
    <w:rsid w:val="00A039A9"/>
    <w:rsid w:val="00A039D4"/>
    <w:rsid w:val="00A03BB1"/>
    <w:rsid w:val="00A03CBD"/>
    <w:rsid w:val="00A03CDB"/>
    <w:rsid w:val="00A04495"/>
    <w:rsid w:val="00A0477A"/>
    <w:rsid w:val="00A04B57"/>
    <w:rsid w:val="00A04FC5"/>
    <w:rsid w:val="00A0513F"/>
    <w:rsid w:val="00A05190"/>
    <w:rsid w:val="00A054D1"/>
    <w:rsid w:val="00A05B2F"/>
    <w:rsid w:val="00A05F73"/>
    <w:rsid w:val="00A06024"/>
    <w:rsid w:val="00A060AF"/>
    <w:rsid w:val="00A061CC"/>
    <w:rsid w:val="00A062D4"/>
    <w:rsid w:val="00A06914"/>
    <w:rsid w:val="00A069FD"/>
    <w:rsid w:val="00A06ECB"/>
    <w:rsid w:val="00A071A0"/>
    <w:rsid w:val="00A0752C"/>
    <w:rsid w:val="00A07637"/>
    <w:rsid w:val="00A0766C"/>
    <w:rsid w:val="00A07A64"/>
    <w:rsid w:val="00A07E60"/>
    <w:rsid w:val="00A07EC7"/>
    <w:rsid w:val="00A10359"/>
    <w:rsid w:val="00A1047B"/>
    <w:rsid w:val="00A1053D"/>
    <w:rsid w:val="00A1054F"/>
    <w:rsid w:val="00A106ED"/>
    <w:rsid w:val="00A10741"/>
    <w:rsid w:val="00A10C50"/>
    <w:rsid w:val="00A10EB9"/>
    <w:rsid w:val="00A11189"/>
    <w:rsid w:val="00A1140F"/>
    <w:rsid w:val="00A1151C"/>
    <w:rsid w:val="00A115F7"/>
    <w:rsid w:val="00A1178D"/>
    <w:rsid w:val="00A1183B"/>
    <w:rsid w:val="00A11C17"/>
    <w:rsid w:val="00A11DE1"/>
    <w:rsid w:val="00A1219E"/>
    <w:rsid w:val="00A1243A"/>
    <w:rsid w:val="00A1290D"/>
    <w:rsid w:val="00A12A99"/>
    <w:rsid w:val="00A12B28"/>
    <w:rsid w:val="00A13262"/>
    <w:rsid w:val="00A136EB"/>
    <w:rsid w:val="00A13954"/>
    <w:rsid w:val="00A13B44"/>
    <w:rsid w:val="00A13DF1"/>
    <w:rsid w:val="00A13F10"/>
    <w:rsid w:val="00A140AD"/>
    <w:rsid w:val="00A144F4"/>
    <w:rsid w:val="00A14996"/>
    <w:rsid w:val="00A14FFD"/>
    <w:rsid w:val="00A150B2"/>
    <w:rsid w:val="00A1537B"/>
    <w:rsid w:val="00A15807"/>
    <w:rsid w:val="00A15CCA"/>
    <w:rsid w:val="00A16092"/>
    <w:rsid w:val="00A1694D"/>
    <w:rsid w:val="00A16D19"/>
    <w:rsid w:val="00A17259"/>
    <w:rsid w:val="00A17539"/>
    <w:rsid w:val="00A17919"/>
    <w:rsid w:val="00A17A36"/>
    <w:rsid w:val="00A17A74"/>
    <w:rsid w:val="00A17B2D"/>
    <w:rsid w:val="00A17C92"/>
    <w:rsid w:val="00A20293"/>
    <w:rsid w:val="00A20749"/>
    <w:rsid w:val="00A20926"/>
    <w:rsid w:val="00A20A4B"/>
    <w:rsid w:val="00A20A5A"/>
    <w:rsid w:val="00A20B7D"/>
    <w:rsid w:val="00A20E76"/>
    <w:rsid w:val="00A2107C"/>
    <w:rsid w:val="00A211DB"/>
    <w:rsid w:val="00A21329"/>
    <w:rsid w:val="00A2142F"/>
    <w:rsid w:val="00A2188F"/>
    <w:rsid w:val="00A21894"/>
    <w:rsid w:val="00A21A66"/>
    <w:rsid w:val="00A21AD4"/>
    <w:rsid w:val="00A21B1F"/>
    <w:rsid w:val="00A220D0"/>
    <w:rsid w:val="00A2211E"/>
    <w:rsid w:val="00A22464"/>
    <w:rsid w:val="00A22651"/>
    <w:rsid w:val="00A22C59"/>
    <w:rsid w:val="00A22DCA"/>
    <w:rsid w:val="00A22DCE"/>
    <w:rsid w:val="00A22EDD"/>
    <w:rsid w:val="00A2318E"/>
    <w:rsid w:val="00A23584"/>
    <w:rsid w:val="00A237D0"/>
    <w:rsid w:val="00A23B9B"/>
    <w:rsid w:val="00A23FF9"/>
    <w:rsid w:val="00A2452B"/>
    <w:rsid w:val="00A24C91"/>
    <w:rsid w:val="00A24E42"/>
    <w:rsid w:val="00A25107"/>
    <w:rsid w:val="00A25357"/>
    <w:rsid w:val="00A25B1B"/>
    <w:rsid w:val="00A26556"/>
    <w:rsid w:val="00A2665D"/>
    <w:rsid w:val="00A266F2"/>
    <w:rsid w:val="00A268EC"/>
    <w:rsid w:val="00A269E9"/>
    <w:rsid w:val="00A26DC0"/>
    <w:rsid w:val="00A26DD4"/>
    <w:rsid w:val="00A27179"/>
    <w:rsid w:val="00A2717A"/>
    <w:rsid w:val="00A27184"/>
    <w:rsid w:val="00A271A9"/>
    <w:rsid w:val="00A2749E"/>
    <w:rsid w:val="00A274EB"/>
    <w:rsid w:val="00A27615"/>
    <w:rsid w:val="00A27649"/>
    <w:rsid w:val="00A276A3"/>
    <w:rsid w:val="00A2778D"/>
    <w:rsid w:val="00A2783F"/>
    <w:rsid w:val="00A27AAA"/>
    <w:rsid w:val="00A27B01"/>
    <w:rsid w:val="00A27C98"/>
    <w:rsid w:val="00A27FA3"/>
    <w:rsid w:val="00A27FD8"/>
    <w:rsid w:val="00A300D6"/>
    <w:rsid w:val="00A300DF"/>
    <w:rsid w:val="00A3036F"/>
    <w:rsid w:val="00A3083C"/>
    <w:rsid w:val="00A309E9"/>
    <w:rsid w:val="00A30AA9"/>
    <w:rsid w:val="00A30B71"/>
    <w:rsid w:val="00A30C54"/>
    <w:rsid w:val="00A30CF0"/>
    <w:rsid w:val="00A30E05"/>
    <w:rsid w:val="00A31071"/>
    <w:rsid w:val="00A310F3"/>
    <w:rsid w:val="00A316A5"/>
    <w:rsid w:val="00A31767"/>
    <w:rsid w:val="00A317F6"/>
    <w:rsid w:val="00A31A20"/>
    <w:rsid w:val="00A31BEB"/>
    <w:rsid w:val="00A31D4B"/>
    <w:rsid w:val="00A31DEF"/>
    <w:rsid w:val="00A31DFF"/>
    <w:rsid w:val="00A32209"/>
    <w:rsid w:val="00A3257C"/>
    <w:rsid w:val="00A32ECD"/>
    <w:rsid w:val="00A32FD4"/>
    <w:rsid w:val="00A33040"/>
    <w:rsid w:val="00A331EE"/>
    <w:rsid w:val="00A3332F"/>
    <w:rsid w:val="00A337AC"/>
    <w:rsid w:val="00A339DD"/>
    <w:rsid w:val="00A33A0C"/>
    <w:rsid w:val="00A33D33"/>
    <w:rsid w:val="00A344D1"/>
    <w:rsid w:val="00A346B9"/>
    <w:rsid w:val="00A34935"/>
    <w:rsid w:val="00A349B9"/>
    <w:rsid w:val="00A34A8C"/>
    <w:rsid w:val="00A34C74"/>
    <w:rsid w:val="00A34D48"/>
    <w:rsid w:val="00A34D97"/>
    <w:rsid w:val="00A35003"/>
    <w:rsid w:val="00A3547C"/>
    <w:rsid w:val="00A35578"/>
    <w:rsid w:val="00A35918"/>
    <w:rsid w:val="00A35A15"/>
    <w:rsid w:val="00A35B86"/>
    <w:rsid w:val="00A35BCF"/>
    <w:rsid w:val="00A35C96"/>
    <w:rsid w:val="00A35CAC"/>
    <w:rsid w:val="00A35E90"/>
    <w:rsid w:val="00A36306"/>
    <w:rsid w:val="00A36546"/>
    <w:rsid w:val="00A36808"/>
    <w:rsid w:val="00A3688E"/>
    <w:rsid w:val="00A36B7B"/>
    <w:rsid w:val="00A373B3"/>
    <w:rsid w:val="00A3740C"/>
    <w:rsid w:val="00A37609"/>
    <w:rsid w:val="00A3779B"/>
    <w:rsid w:val="00A377C2"/>
    <w:rsid w:val="00A3799C"/>
    <w:rsid w:val="00A379B5"/>
    <w:rsid w:val="00A37BD2"/>
    <w:rsid w:val="00A37CE7"/>
    <w:rsid w:val="00A40387"/>
    <w:rsid w:val="00A40414"/>
    <w:rsid w:val="00A40468"/>
    <w:rsid w:val="00A405EA"/>
    <w:rsid w:val="00A408E4"/>
    <w:rsid w:val="00A40944"/>
    <w:rsid w:val="00A40BC5"/>
    <w:rsid w:val="00A40BD8"/>
    <w:rsid w:val="00A40E58"/>
    <w:rsid w:val="00A416F2"/>
    <w:rsid w:val="00A41721"/>
    <w:rsid w:val="00A41A21"/>
    <w:rsid w:val="00A41A4E"/>
    <w:rsid w:val="00A41AEB"/>
    <w:rsid w:val="00A42051"/>
    <w:rsid w:val="00A420DD"/>
    <w:rsid w:val="00A423F8"/>
    <w:rsid w:val="00A427D3"/>
    <w:rsid w:val="00A42837"/>
    <w:rsid w:val="00A42CFF"/>
    <w:rsid w:val="00A42D91"/>
    <w:rsid w:val="00A42DD0"/>
    <w:rsid w:val="00A432B9"/>
    <w:rsid w:val="00A43393"/>
    <w:rsid w:val="00A43442"/>
    <w:rsid w:val="00A43575"/>
    <w:rsid w:val="00A43BBC"/>
    <w:rsid w:val="00A43DE2"/>
    <w:rsid w:val="00A43F6F"/>
    <w:rsid w:val="00A440C8"/>
    <w:rsid w:val="00A4459F"/>
    <w:rsid w:val="00A445B9"/>
    <w:rsid w:val="00A44A0C"/>
    <w:rsid w:val="00A44D94"/>
    <w:rsid w:val="00A44E6D"/>
    <w:rsid w:val="00A44FD2"/>
    <w:rsid w:val="00A45216"/>
    <w:rsid w:val="00A4544F"/>
    <w:rsid w:val="00A4550E"/>
    <w:rsid w:val="00A455D6"/>
    <w:rsid w:val="00A456B3"/>
    <w:rsid w:val="00A45899"/>
    <w:rsid w:val="00A4594D"/>
    <w:rsid w:val="00A45D27"/>
    <w:rsid w:val="00A45D3B"/>
    <w:rsid w:val="00A45FC6"/>
    <w:rsid w:val="00A462C8"/>
    <w:rsid w:val="00A46588"/>
    <w:rsid w:val="00A466BD"/>
    <w:rsid w:val="00A46788"/>
    <w:rsid w:val="00A468BA"/>
    <w:rsid w:val="00A4690B"/>
    <w:rsid w:val="00A46B72"/>
    <w:rsid w:val="00A46B97"/>
    <w:rsid w:val="00A470D8"/>
    <w:rsid w:val="00A477B9"/>
    <w:rsid w:val="00A47BAA"/>
    <w:rsid w:val="00A47CBD"/>
    <w:rsid w:val="00A47CEE"/>
    <w:rsid w:val="00A47E31"/>
    <w:rsid w:val="00A47F06"/>
    <w:rsid w:val="00A47F31"/>
    <w:rsid w:val="00A50808"/>
    <w:rsid w:val="00A50946"/>
    <w:rsid w:val="00A50C50"/>
    <w:rsid w:val="00A50CEA"/>
    <w:rsid w:val="00A50EEC"/>
    <w:rsid w:val="00A50F84"/>
    <w:rsid w:val="00A510B8"/>
    <w:rsid w:val="00A51247"/>
    <w:rsid w:val="00A512DC"/>
    <w:rsid w:val="00A51545"/>
    <w:rsid w:val="00A51B7F"/>
    <w:rsid w:val="00A524A1"/>
    <w:rsid w:val="00A524F4"/>
    <w:rsid w:val="00A52852"/>
    <w:rsid w:val="00A529EC"/>
    <w:rsid w:val="00A52B2F"/>
    <w:rsid w:val="00A52C0C"/>
    <w:rsid w:val="00A52CBA"/>
    <w:rsid w:val="00A52D23"/>
    <w:rsid w:val="00A5322C"/>
    <w:rsid w:val="00A533C1"/>
    <w:rsid w:val="00A5348B"/>
    <w:rsid w:val="00A53D95"/>
    <w:rsid w:val="00A5421E"/>
    <w:rsid w:val="00A5429E"/>
    <w:rsid w:val="00A543B0"/>
    <w:rsid w:val="00A543CE"/>
    <w:rsid w:val="00A544A9"/>
    <w:rsid w:val="00A544C7"/>
    <w:rsid w:val="00A54596"/>
    <w:rsid w:val="00A54632"/>
    <w:rsid w:val="00A547E9"/>
    <w:rsid w:val="00A54A50"/>
    <w:rsid w:val="00A54E1A"/>
    <w:rsid w:val="00A55015"/>
    <w:rsid w:val="00A551C3"/>
    <w:rsid w:val="00A55279"/>
    <w:rsid w:val="00A552A5"/>
    <w:rsid w:val="00A5568A"/>
    <w:rsid w:val="00A55736"/>
    <w:rsid w:val="00A55C3D"/>
    <w:rsid w:val="00A55D28"/>
    <w:rsid w:val="00A56437"/>
    <w:rsid w:val="00A56629"/>
    <w:rsid w:val="00A5666A"/>
    <w:rsid w:val="00A56953"/>
    <w:rsid w:val="00A56AC7"/>
    <w:rsid w:val="00A56DAE"/>
    <w:rsid w:val="00A56E51"/>
    <w:rsid w:val="00A570AD"/>
    <w:rsid w:val="00A570E0"/>
    <w:rsid w:val="00A57508"/>
    <w:rsid w:val="00A5753D"/>
    <w:rsid w:val="00A575E6"/>
    <w:rsid w:val="00A576D7"/>
    <w:rsid w:val="00A576FE"/>
    <w:rsid w:val="00A5774F"/>
    <w:rsid w:val="00A57A36"/>
    <w:rsid w:val="00A57D64"/>
    <w:rsid w:val="00A57DA8"/>
    <w:rsid w:val="00A6072D"/>
    <w:rsid w:val="00A60A5D"/>
    <w:rsid w:val="00A60C0E"/>
    <w:rsid w:val="00A60F4A"/>
    <w:rsid w:val="00A60F66"/>
    <w:rsid w:val="00A610E7"/>
    <w:rsid w:val="00A610F1"/>
    <w:rsid w:val="00A6113B"/>
    <w:rsid w:val="00A6124C"/>
    <w:rsid w:val="00A613B2"/>
    <w:rsid w:val="00A61875"/>
    <w:rsid w:val="00A61DCA"/>
    <w:rsid w:val="00A61E52"/>
    <w:rsid w:val="00A62103"/>
    <w:rsid w:val="00A62224"/>
    <w:rsid w:val="00A62731"/>
    <w:rsid w:val="00A6276B"/>
    <w:rsid w:val="00A62A8B"/>
    <w:rsid w:val="00A62C2A"/>
    <w:rsid w:val="00A62CC3"/>
    <w:rsid w:val="00A62CDB"/>
    <w:rsid w:val="00A62E4D"/>
    <w:rsid w:val="00A62E8E"/>
    <w:rsid w:val="00A6317B"/>
    <w:rsid w:val="00A631BC"/>
    <w:rsid w:val="00A6335B"/>
    <w:rsid w:val="00A6335F"/>
    <w:rsid w:val="00A63C62"/>
    <w:rsid w:val="00A63D12"/>
    <w:rsid w:val="00A63E18"/>
    <w:rsid w:val="00A64496"/>
    <w:rsid w:val="00A64AC1"/>
    <w:rsid w:val="00A64B2D"/>
    <w:rsid w:val="00A64D02"/>
    <w:rsid w:val="00A651BF"/>
    <w:rsid w:val="00A65702"/>
    <w:rsid w:val="00A6572D"/>
    <w:rsid w:val="00A65954"/>
    <w:rsid w:val="00A65BBA"/>
    <w:rsid w:val="00A65D22"/>
    <w:rsid w:val="00A6696A"/>
    <w:rsid w:val="00A670F9"/>
    <w:rsid w:val="00A672B5"/>
    <w:rsid w:val="00A67348"/>
    <w:rsid w:val="00A6740B"/>
    <w:rsid w:val="00A676CD"/>
    <w:rsid w:val="00A6779E"/>
    <w:rsid w:val="00A67A38"/>
    <w:rsid w:val="00A67BDC"/>
    <w:rsid w:val="00A67BEA"/>
    <w:rsid w:val="00A67ED2"/>
    <w:rsid w:val="00A70190"/>
    <w:rsid w:val="00A701E8"/>
    <w:rsid w:val="00A70515"/>
    <w:rsid w:val="00A70836"/>
    <w:rsid w:val="00A70F58"/>
    <w:rsid w:val="00A70FFE"/>
    <w:rsid w:val="00A710F1"/>
    <w:rsid w:val="00A71328"/>
    <w:rsid w:val="00A7165D"/>
    <w:rsid w:val="00A71682"/>
    <w:rsid w:val="00A71A10"/>
    <w:rsid w:val="00A7202D"/>
    <w:rsid w:val="00A7206D"/>
    <w:rsid w:val="00A7218B"/>
    <w:rsid w:val="00A721E1"/>
    <w:rsid w:val="00A722A1"/>
    <w:rsid w:val="00A722B6"/>
    <w:rsid w:val="00A724BE"/>
    <w:rsid w:val="00A7266C"/>
    <w:rsid w:val="00A72C87"/>
    <w:rsid w:val="00A72E3D"/>
    <w:rsid w:val="00A72FB4"/>
    <w:rsid w:val="00A72FC8"/>
    <w:rsid w:val="00A73337"/>
    <w:rsid w:val="00A733C1"/>
    <w:rsid w:val="00A7362A"/>
    <w:rsid w:val="00A7395E"/>
    <w:rsid w:val="00A73D91"/>
    <w:rsid w:val="00A73EF7"/>
    <w:rsid w:val="00A741CF"/>
    <w:rsid w:val="00A7421F"/>
    <w:rsid w:val="00A743F6"/>
    <w:rsid w:val="00A743F9"/>
    <w:rsid w:val="00A744A5"/>
    <w:rsid w:val="00A74552"/>
    <w:rsid w:val="00A7457C"/>
    <w:rsid w:val="00A749D0"/>
    <w:rsid w:val="00A74AA4"/>
    <w:rsid w:val="00A74C01"/>
    <w:rsid w:val="00A74C5A"/>
    <w:rsid w:val="00A74C61"/>
    <w:rsid w:val="00A75121"/>
    <w:rsid w:val="00A75519"/>
    <w:rsid w:val="00A757DE"/>
    <w:rsid w:val="00A758E0"/>
    <w:rsid w:val="00A75A5D"/>
    <w:rsid w:val="00A75D0C"/>
    <w:rsid w:val="00A764C8"/>
    <w:rsid w:val="00A76666"/>
    <w:rsid w:val="00A7672E"/>
    <w:rsid w:val="00A76901"/>
    <w:rsid w:val="00A76EEC"/>
    <w:rsid w:val="00A77158"/>
    <w:rsid w:val="00A773CE"/>
    <w:rsid w:val="00A7746E"/>
    <w:rsid w:val="00A7796B"/>
    <w:rsid w:val="00A77E56"/>
    <w:rsid w:val="00A77F91"/>
    <w:rsid w:val="00A8025E"/>
    <w:rsid w:val="00A802F0"/>
    <w:rsid w:val="00A80464"/>
    <w:rsid w:val="00A804AF"/>
    <w:rsid w:val="00A80572"/>
    <w:rsid w:val="00A80585"/>
    <w:rsid w:val="00A809AB"/>
    <w:rsid w:val="00A80B24"/>
    <w:rsid w:val="00A80C8B"/>
    <w:rsid w:val="00A80DBF"/>
    <w:rsid w:val="00A80F45"/>
    <w:rsid w:val="00A80FDB"/>
    <w:rsid w:val="00A817F2"/>
    <w:rsid w:val="00A81FEF"/>
    <w:rsid w:val="00A820AC"/>
    <w:rsid w:val="00A8248F"/>
    <w:rsid w:val="00A825BC"/>
    <w:rsid w:val="00A82653"/>
    <w:rsid w:val="00A82719"/>
    <w:rsid w:val="00A82732"/>
    <w:rsid w:val="00A82926"/>
    <w:rsid w:val="00A82A9E"/>
    <w:rsid w:val="00A82CA1"/>
    <w:rsid w:val="00A831A3"/>
    <w:rsid w:val="00A8332E"/>
    <w:rsid w:val="00A836CC"/>
    <w:rsid w:val="00A8392F"/>
    <w:rsid w:val="00A83A32"/>
    <w:rsid w:val="00A844CA"/>
    <w:rsid w:val="00A84810"/>
    <w:rsid w:val="00A84B61"/>
    <w:rsid w:val="00A84C0C"/>
    <w:rsid w:val="00A84DD4"/>
    <w:rsid w:val="00A85364"/>
    <w:rsid w:val="00A8575B"/>
    <w:rsid w:val="00A85A2A"/>
    <w:rsid w:val="00A85AE6"/>
    <w:rsid w:val="00A85B42"/>
    <w:rsid w:val="00A85CE6"/>
    <w:rsid w:val="00A85E03"/>
    <w:rsid w:val="00A85E17"/>
    <w:rsid w:val="00A85E92"/>
    <w:rsid w:val="00A8600B"/>
    <w:rsid w:val="00A86242"/>
    <w:rsid w:val="00A8629A"/>
    <w:rsid w:val="00A86474"/>
    <w:rsid w:val="00A867AD"/>
    <w:rsid w:val="00A86835"/>
    <w:rsid w:val="00A86BCA"/>
    <w:rsid w:val="00A86C44"/>
    <w:rsid w:val="00A86D0D"/>
    <w:rsid w:val="00A86D3A"/>
    <w:rsid w:val="00A872DB"/>
    <w:rsid w:val="00A87393"/>
    <w:rsid w:val="00A87747"/>
    <w:rsid w:val="00A8783A"/>
    <w:rsid w:val="00A87B06"/>
    <w:rsid w:val="00A87B35"/>
    <w:rsid w:val="00A90112"/>
    <w:rsid w:val="00A9025A"/>
    <w:rsid w:val="00A903A2"/>
    <w:rsid w:val="00A90652"/>
    <w:rsid w:val="00A90A41"/>
    <w:rsid w:val="00A90F7B"/>
    <w:rsid w:val="00A91150"/>
    <w:rsid w:val="00A91277"/>
    <w:rsid w:val="00A91286"/>
    <w:rsid w:val="00A9147C"/>
    <w:rsid w:val="00A915C1"/>
    <w:rsid w:val="00A91B12"/>
    <w:rsid w:val="00A92434"/>
    <w:rsid w:val="00A92E56"/>
    <w:rsid w:val="00A92E67"/>
    <w:rsid w:val="00A9302F"/>
    <w:rsid w:val="00A935AE"/>
    <w:rsid w:val="00A93909"/>
    <w:rsid w:val="00A93A00"/>
    <w:rsid w:val="00A93C67"/>
    <w:rsid w:val="00A93F3A"/>
    <w:rsid w:val="00A93F73"/>
    <w:rsid w:val="00A940DF"/>
    <w:rsid w:val="00A94242"/>
    <w:rsid w:val="00A9449B"/>
    <w:rsid w:val="00A9452F"/>
    <w:rsid w:val="00A94734"/>
    <w:rsid w:val="00A94737"/>
    <w:rsid w:val="00A947B3"/>
    <w:rsid w:val="00A94ACA"/>
    <w:rsid w:val="00A94C46"/>
    <w:rsid w:val="00A94D03"/>
    <w:rsid w:val="00A94E61"/>
    <w:rsid w:val="00A9502B"/>
    <w:rsid w:val="00A951F2"/>
    <w:rsid w:val="00A95230"/>
    <w:rsid w:val="00A954C9"/>
    <w:rsid w:val="00A955CB"/>
    <w:rsid w:val="00A9565C"/>
    <w:rsid w:val="00A9581F"/>
    <w:rsid w:val="00A95B01"/>
    <w:rsid w:val="00A9623F"/>
    <w:rsid w:val="00A96341"/>
    <w:rsid w:val="00A96714"/>
    <w:rsid w:val="00A96811"/>
    <w:rsid w:val="00A96EED"/>
    <w:rsid w:val="00A96F62"/>
    <w:rsid w:val="00A970C0"/>
    <w:rsid w:val="00A97559"/>
    <w:rsid w:val="00A97637"/>
    <w:rsid w:val="00A9764F"/>
    <w:rsid w:val="00A9777C"/>
    <w:rsid w:val="00A97A8F"/>
    <w:rsid w:val="00AA0139"/>
    <w:rsid w:val="00AA0217"/>
    <w:rsid w:val="00AA0277"/>
    <w:rsid w:val="00AA0A63"/>
    <w:rsid w:val="00AA0C69"/>
    <w:rsid w:val="00AA107F"/>
    <w:rsid w:val="00AA10D1"/>
    <w:rsid w:val="00AA11D1"/>
    <w:rsid w:val="00AA1242"/>
    <w:rsid w:val="00AA18CB"/>
    <w:rsid w:val="00AA19CD"/>
    <w:rsid w:val="00AA1B75"/>
    <w:rsid w:val="00AA1BF2"/>
    <w:rsid w:val="00AA1C86"/>
    <w:rsid w:val="00AA1CF5"/>
    <w:rsid w:val="00AA1D3D"/>
    <w:rsid w:val="00AA1DAA"/>
    <w:rsid w:val="00AA1EC4"/>
    <w:rsid w:val="00AA1F1F"/>
    <w:rsid w:val="00AA1F34"/>
    <w:rsid w:val="00AA219E"/>
    <w:rsid w:val="00AA2325"/>
    <w:rsid w:val="00AA23E0"/>
    <w:rsid w:val="00AA2781"/>
    <w:rsid w:val="00AA2BEE"/>
    <w:rsid w:val="00AA2C5B"/>
    <w:rsid w:val="00AA2D52"/>
    <w:rsid w:val="00AA2DB6"/>
    <w:rsid w:val="00AA2E1B"/>
    <w:rsid w:val="00AA2E57"/>
    <w:rsid w:val="00AA3464"/>
    <w:rsid w:val="00AA34D9"/>
    <w:rsid w:val="00AA3906"/>
    <w:rsid w:val="00AA397D"/>
    <w:rsid w:val="00AA3D87"/>
    <w:rsid w:val="00AA3ECE"/>
    <w:rsid w:val="00AA40B4"/>
    <w:rsid w:val="00AA40E1"/>
    <w:rsid w:val="00AA42FB"/>
    <w:rsid w:val="00AA43B6"/>
    <w:rsid w:val="00AA442F"/>
    <w:rsid w:val="00AA44E2"/>
    <w:rsid w:val="00AA45C6"/>
    <w:rsid w:val="00AA4A91"/>
    <w:rsid w:val="00AA5091"/>
    <w:rsid w:val="00AA547A"/>
    <w:rsid w:val="00AA5A88"/>
    <w:rsid w:val="00AA5AA9"/>
    <w:rsid w:val="00AA5CB4"/>
    <w:rsid w:val="00AA5D5C"/>
    <w:rsid w:val="00AA5E69"/>
    <w:rsid w:val="00AA5E8B"/>
    <w:rsid w:val="00AA5F85"/>
    <w:rsid w:val="00AA6471"/>
    <w:rsid w:val="00AA6483"/>
    <w:rsid w:val="00AA658B"/>
    <w:rsid w:val="00AA6D4A"/>
    <w:rsid w:val="00AA6D51"/>
    <w:rsid w:val="00AA6EA7"/>
    <w:rsid w:val="00AA6FFC"/>
    <w:rsid w:val="00AA7254"/>
    <w:rsid w:val="00AA7401"/>
    <w:rsid w:val="00AA776B"/>
    <w:rsid w:val="00AA77BC"/>
    <w:rsid w:val="00AA79ED"/>
    <w:rsid w:val="00AA7BC5"/>
    <w:rsid w:val="00AA7D69"/>
    <w:rsid w:val="00AB03FC"/>
    <w:rsid w:val="00AB09CA"/>
    <w:rsid w:val="00AB0B0B"/>
    <w:rsid w:val="00AB0B3A"/>
    <w:rsid w:val="00AB0D0D"/>
    <w:rsid w:val="00AB0D3C"/>
    <w:rsid w:val="00AB12E2"/>
    <w:rsid w:val="00AB15CF"/>
    <w:rsid w:val="00AB1A95"/>
    <w:rsid w:val="00AB1AFF"/>
    <w:rsid w:val="00AB1CFB"/>
    <w:rsid w:val="00AB1D3B"/>
    <w:rsid w:val="00AB208A"/>
    <w:rsid w:val="00AB20BC"/>
    <w:rsid w:val="00AB2386"/>
    <w:rsid w:val="00AB23D6"/>
    <w:rsid w:val="00AB245E"/>
    <w:rsid w:val="00AB259B"/>
    <w:rsid w:val="00AB25BA"/>
    <w:rsid w:val="00AB260F"/>
    <w:rsid w:val="00AB26C4"/>
    <w:rsid w:val="00AB2711"/>
    <w:rsid w:val="00AB28E4"/>
    <w:rsid w:val="00AB2C23"/>
    <w:rsid w:val="00AB393C"/>
    <w:rsid w:val="00AB3AFB"/>
    <w:rsid w:val="00AB3C83"/>
    <w:rsid w:val="00AB3E47"/>
    <w:rsid w:val="00AB3EE9"/>
    <w:rsid w:val="00AB3FF3"/>
    <w:rsid w:val="00AB4236"/>
    <w:rsid w:val="00AB42A7"/>
    <w:rsid w:val="00AB4411"/>
    <w:rsid w:val="00AB49A6"/>
    <w:rsid w:val="00AB4A83"/>
    <w:rsid w:val="00AB4B8F"/>
    <w:rsid w:val="00AB5018"/>
    <w:rsid w:val="00AB5534"/>
    <w:rsid w:val="00AB55BC"/>
    <w:rsid w:val="00AB55D0"/>
    <w:rsid w:val="00AB59A7"/>
    <w:rsid w:val="00AB5BDF"/>
    <w:rsid w:val="00AB5F51"/>
    <w:rsid w:val="00AB5FDE"/>
    <w:rsid w:val="00AB60E8"/>
    <w:rsid w:val="00AB623A"/>
    <w:rsid w:val="00AB6320"/>
    <w:rsid w:val="00AB6429"/>
    <w:rsid w:val="00AB6461"/>
    <w:rsid w:val="00AB64F0"/>
    <w:rsid w:val="00AB671F"/>
    <w:rsid w:val="00AB6733"/>
    <w:rsid w:val="00AB679D"/>
    <w:rsid w:val="00AB6FCC"/>
    <w:rsid w:val="00AB745C"/>
    <w:rsid w:val="00AB7C26"/>
    <w:rsid w:val="00AC03A8"/>
    <w:rsid w:val="00AC056D"/>
    <w:rsid w:val="00AC067E"/>
    <w:rsid w:val="00AC0720"/>
    <w:rsid w:val="00AC07A0"/>
    <w:rsid w:val="00AC08E4"/>
    <w:rsid w:val="00AC0A37"/>
    <w:rsid w:val="00AC14F4"/>
    <w:rsid w:val="00AC15B0"/>
    <w:rsid w:val="00AC1AD4"/>
    <w:rsid w:val="00AC205D"/>
    <w:rsid w:val="00AC20BA"/>
    <w:rsid w:val="00AC20E7"/>
    <w:rsid w:val="00AC2287"/>
    <w:rsid w:val="00AC23A1"/>
    <w:rsid w:val="00AC2460"/>
    <w:rsid w:val="00AC28F6"/>
    <w:rsid w:val="00AC2D46"/>
    <w:rsid w:val="00AC2FE8"/>
    <w:rsid w:val="00AC30DD"/>
    <w:rsid w:val="00AC362E"/>
    <w:rsid w:val="00AC37B9"/>
    <w:rsid w:val="00AC3AD1"/>
    <w:rsid w:val="00AC3B52"/>
    <w:rsid w:val="00AC3C38"/>
    <w:rsid w:val="00AC4125"/>
    <w:rsid w:val="00AC41D6"/>
    <w:rsid w:val="00AC4543"/>
    <w:rsid w:val="00AC46E0"/>
    <w:rsid w:val="00AC4E6A"/>
    <w:rsid w:val="00AC5099"/>
    <w:rsid w:val="00AC5254"/>
    <w:rsid w:val="00AC558B"/>
    <w:rsid w:val="00AC5598"/>
    <w:rsid w:val="00AC5933"/>
    <w:rsid w:val="00AC5935"/>
    <w:rsid w:val="00AC5D9A"/>
    <w:rsid w:val="00AC5EE5"/>
    <w:rsid w:val="00AC5F7A"/>
    <w:rsid w:val="00AC6083"/>
    <w:rsid w:val="00AC6176"/>
    <w:rsid w:val="00AC6D86"/>
    <w:rsid w:val="00AC6F23"/>
    <w:rsid w:val="00AC7661"/>
    <w:rsid w:val="00AC7687"/>
    <w:rsid w:val="00AC7784"/>
    <w:rsid w:val="00AC779E"/>
    <w:rsid w:val="00AC77E8"/>
    <w:rsid w:val="00AC7F1B"/>
    <w:rsid w:val="00AD011C"/>
    <w:rsid w:val="00AD01E3"/>
    <w:rsid w:val="00AD04B8"/>
    <w:rsid w:val="00AD067A"/>
    <w:rsid w:val="00AD0B63"/>
    <w:rsid w:val="00AD0CCB"/>
    <w:rsid w:val="00AD0E95"/>
    <w:rsid w:val="00AD0FBF"/>
    <w:rsid w:val="00AD13A3"/>
    <w:rsid w:val="00AD14C1"/>
    <w:rsid w:val="00AD19F5"/>
    <w:rsid w:val="00AD1A7A"/>
    <w:rsid w:val="00AD1B70"/>
    <w:rsid w:val="00AD1C1E"/>
    <w:rsid w:val="00AD2142"/>
    <w:rsid w:val="00AD234B"/>
    <w:rsid w:val="00AD23ED"/>
    <w:rsid w:val="00AD23FB"/>
    <w:rsid w:val="00AD250A"/>
    <w:rsid w:val="00AD25BD"/>
    <w:rsid w:val="00AD2668"/>
    <w:rsid w:val="00AD26FB"/>
    <w:rsid w:val="00AD27B2"/>
    <w:rsid w:val="00AD2941"/>
    <w:rsid w:val="00AD2D70"/>
    <w:rsid w:val="00AD2DE6"/>
    <w:rsid w:val="00AD303E"/>
    <w:rsid w:val="00AD30BC"/>
    <w:rsid w:val="00AD31F6"/>
    <w:rsid w:val="00AD333C"/>
    <w:rsid w:val="00AD3369"/>
    <w:rsid w:val="00AD33D2"/>
    <w:rsid w:val="00AD340D"/>
    <w:rsid w:val="00AD392A"/>
    <w:rsid w:val="00AD397A"/>
    <w:rsid w:val="00AD3BC4"/>
    <w:rsid w:val="00AD418F"/>
    <w:rsid w:val="00AD428A"/>
    <w:rsid w:val="00AD4563"/>
    <w:rsid w:val="00AD492A"/>
    <w:rsid w:val="00AD4A3C"/>
    <w:rsid w:val="00AD4B13"/>
    <w:rsid w:val="00AD4B99"/>
    <w:rsid w:val="00AD4C69"/>
    <w:rsid w:val="00AD4DB5"/>
    <w:rsid w:val="00AD5262"/>
    <w:rsid w:val="00AD571A"/>
    <w:rsid w:val="00AD5A61"/>
    <w:rsid w:val="00AD5A76"/>
    <w:rsid w:val="00AD5D85"/>
    <w:rsid w:val="00AD60F2"/>
    <w:rsid w:val="00AD61D4"/>
    <w:rsid w:val="00AD6211"/>
    <w:rsid w:val="00AD6569"/>
    <w:rsid w:val="00AD6603"/>
    <w:rsid w:val="00AD6654"/>
    <w:rsid w:val="00AD66CA"/>
    <w:rsid w:val="00AD67BF"/>
    <w:rsid w:val="00AD6960"/>
    <w:rsid w:val="00AD6984"/>
    <w:rsid w:val="00AD69D4"/>
    <w:rsid w:val="00AD6C53"/>
    <w:rsid w:val="00AD6CA1"/>
    <w:rsid w:val="00AD70DE"/>
    <w:rsid w:val="00AD7281"/>
    <w:rsid w:val="00AD7363"/>
    <w:rsid w:val="00AD7B8B"/>
    <w:rsid w:val="00AD7BD7"/>
    <w:rsid w:val="00AD7CDD"/>
    <w:rsid w:val="00AD7D01"/>
    <w:rsid w:val="00AE0003"/>
    <w:rsid w:val="00AE003C"/>
    <w:rsid w:val="00AE0917"/>
    <w:rsid w:val="00AE0C84"/>
    <w:rsid w:val="00AE0ED7"/>
    <w:rsid w:val="00AE142C"/>
    <w:rsid w:val="00AE143D"/>
    <w:rsid w:val="00AE1738"/>
    <w:rsid w:val="00AE185A"/>
    <w:rsid w:val="00AE1AA5"/>
    <w:rsid w:val="00AE21AC"/>
    <w:rsid w:val="00AE23DE"/>
    <w:rsid w:val="00AE250C"/>
    <w:rsid w:val="00AE26F4"/>
    <w:rsid w:val="00AE279F"/>
    <w:rsid w:val="00AE2ABD"/>
    <w:rsid w:val="00AE2BF7"/>
    <w:rsid w:val="00AE3277"/>
    <w:rsid w:val="00AE32B4"/>
    <w:rsid w:val="00AE32CC"/>
    <w:rsid w:val="00AE32DE"/>
    <w:rsid w:val="00AE34AC"/>
    <w:rsid w:val="00AE35A5"/>
    <w:rsid w:val="00AE3618"/>
    <w:rsid w:val="00AE3A50"/>
    <w:rsid w:val="00AE3B0B"/>
    <w:rsid w:val="00AE3BA5"/>
    <w:rsid w:val="00AE3F61"/>
    <w:rsid w:val="00AE400C"/>
    <w:rsid w:val="00AE4269"/>
    <w:rsid w:val="00AE4386"/>
    <w:rsid w:val="00AE475B"/>
    <w:rsid w:val="00AE4764"/>
    <w:rsid w:val="00AE47B5"/>
    <w:rsid w:val="00AE495A"/>
    <w:rsid w:val="00AE4FE9"/>
    <w:rsid w:val="00AE510B"/>
    <w:rsid w:val="00AE524B"/>
    <w:rsid w:val="00AE5303"/>
    <w:rsid w:val="00AE55A7"/>
    <w:rsid w:val="00AE581B"/>
    <w:rsid w:val="00AE58B2"/>
    <w:rsid w:val="00AE5A2C"/>
    <w:rsid w:val="00AE5FBE"/>
    <w:rsid w:val="00AE6333"/>
    <w:rsid w:val="00AE63F4"/>
    <w:rsid w:val="00AE64FA"/>
    <w:rsid w:val="00AE65E8"/>
    <w:rsid w:val="00AE6D7A"/>
    <w:rsid w:val="00AE6E55"/>
    <w:rsid w:val="00AE6F30"/>
    <w:rsid w:val="00AE6FA3"/>
    <w:rsid w:val="00AE705D"/>
    <w:rsid w:val="00AE7652"/>
    <w:rsid w:val="00AE7B48"/>
    <w:rsid w:val="00AE7B59"/>
    <w:rsid w:val="00AE7F43"/>
    <w:rsid w:val="00AE7FFD"/>
    <w:rsid w:val="00AF0186"/>
    <w:rsid w:val="00AF0498"/>
    <w:rsid w:val="00AF04CE"/>
    <w:rsid w:val="00AF0501"/>
    <w:rsid w:val="00AF058B"/>
    <w:rsid w:val="00AF0A9C"/>
    <w:rsid w:val="00AF0AA4"/>
    <w:rsid w:val="00AF0D60"/>
    <w:rsid w:val="00AF1060"/>
    <w:rsid w:val="00AF11CB"/>
    <w:rsid w:val="00AF1C88"/>
    <w:rsid w:val="00AF1FB8"/>
    <w:rsid w:val="00AF2030"/>
    <w:rsid w:val="00AF2198"/>
    <w:rsid w:val="00AF240F"/>
    <w:rsid w:val="00AF24D7"/>
    <w:rsid w:val="00AF2747"/>
    <w:rsid w:val="00AF2786"/>
    <w:rsid w:val="00AF2B8B"/>
    <w:rsid w:val="00AF2D6D"/>
    <w:rsid w:val="00AF2E61"/>
    <w:rsid w:val="00AF30BC"/>
    <w:rsid w:val="00AF343B"/>
    <w:rsid w:val="00AF3723"/>
    <w:rsid w:val="00AF3760"/>
    <w:rsid w:val="00AF37FA"/>
    <w:rsid w:val="00AF3803"/>
    <w:rsid w:val="00AF3810"/>
    <w:rsid w:val="00AF387C"/>
    <w:rsid w:val="00AF38E5"/>
    <w:rsid w:val="00AF3B56"/>
    <w:rsid w:val="00AF3D8D"/>
    <w:rsid w:val="00AF3E2D"/>
    <w:rsid w:val="00AF3E4C"/>
    <w:rsid w:val="00AF40FC"/>
    <w:rsid w:val="00AF43AD"/>
    <w:rsid w:val="00AF48D0"/>
    <w:rsid w:val="00AF48D9"/>
    <w:rsid w:val="00AF4C8A"/>
    <w:rsid w:val="00AF4E49"/>
    <w:rsid w:val="00AF4FEC"/>
    <w:rsid w:val="00AF52D7"/>
    <w:rsid w:val="00AF555A"/>
    <w:rsid w:val="00AF55EC"/>
    <w:rsid w:val="00AF5D12"/>
    <w:rsid w:val="00AF607B"/>
    <w:rsid w:val="00AF6159"/>
    <w:rsid w:val="00AF64FD"/>
    <w:rsid w:val="00AF6513"/>
    <w:rsid w:val="00AF6675"/>
    <w:rsid w:val="00AF66EF"/>
    <w:rsid w:val="00AF6807"/>
    <w:rsid w:val="00AF68A5"/>
    <w:rsid w:val="00AF6A65"/>
    <w:rsid w:val="00AF6AF5"/>
    <w:rsid w:val="00AF6C6C"/>
    <w:rsid w:val="00AF6DB7"/>
    <w:rsid w:val="00AF6EAC"/>
    <w:rsid w:val="00AF6FA1"/>
    <w:rsid w:val="00AF7067"/>
    <w:rsid w:val="00AF712E"/>
    <w:rsid w:val="00AF7152"/>
    <w:rsid w:val="00AF7237"/>
    <w:rsid w:val="00AF723F"/>
    <w:rsid w:val="00AF74A0"/>
    <w:rsid w:val="00AF7555"/>
    <w:rsid w:val="00AF75CC"/>
    <w:rsid w:val="00AF7642"/>
    <w:rsid w:val="00AF7662"/>
    <w:rsid w:val="00AF7A1A"/>
    <w:rsid w:val="00AF7BD8"/>
    <w:rsid w:val="00AF7CB5"/>
    <w:rsid w:val="00AF7D97"/>
    <w:rsid w:val="00B00115"/>
    <w:rsid w:val="00B00473"/>
    <w:rsid w:val="00B00594"/>
    <w:rsid w:val="00B005C8"/>
    <w:rsid w:val="00B00632"/>
    <w:rsid w:val="00B00781"/>
    <w:rsid w:val="00B007B5"/>
    <w:rsid w:val="00B00887"/>
    <w:rsid w:val="00B00B97"/>
    <w:rsid w:val="00B00C8E"/>
    <w:rsid w:val="00B00CA7"/>
    <w:rsid w:val="00B00D0A"/>
    <w:rsid w:val="00B00D2B"/>
    <w:rsid w:val="00B00E63"/>
    <w:rsid w:val="00B00F6F"/>
    <w:rsid w:val="00B00FEF"/>
    <w:rsid w:val="00B010B4"/>
    <w:rsid w:val="00B010F0"/>
    <w:rsid w:val="00B01321"/>
    <w:rsid w:val="00B01357"/>
    <w:rsid w:val="00B015B1"/>
    <w:rsid w:val="00B01A31"/>
    <w:rsid w:val="00B01E0D"/>
    <w:rsid w:val="00B01E3C"/>
    <w:rsid w:val="00B01E7A"/>
    <w:rsid w:val="00B01FB3"/>
    <w:rsid w:val="00B021DF"/>
    <w:rsid w:val="00B024E3"/>
    <w:rsid w:val="00B029E2"/>
    <w:rsid w:val="00B02C14"/>
    <w:rsid w:val="00B02F2B"/>
    <w:rsid w:val="00B02F94"/>
    <w:rsid w:val="00B0327B"/>
    <w:rsid w:val="00B032BC"/>
    <w:rsid w:val="00B033A4"/>
    <w:rsid w:val="00B033BB"/>
    <w:rsid w:val="00B0351C"/>
    <w:rsid w:val="00B03762"/>
    <w:rsid w:val="00B03C18"/>
    <w:rsid w:val="00B03E31"/>
    <w:rsid w:val="00B040C7"/>
    <w:rsid w:val="00B042AA"/>
    <w:rsid w:val="00B044CE"/>
    <w:rsid w:val="00B049C6"/>
    <w:rsid w:val="00B04D98"/>
    <w:rsid w:val="00B05068"/>
    <w:rsid w:val="00B0536D"/>
    <w:rsid w:val="00B05639"/>
    <w:rsid w:val="00B05846"/>
    <w:rsid w:val="00B05A71"/>
    <w:rsid w:val="00B05B46"/>
    <w:rsid w:val="00B05BA8"/>
    <w:rsid w:val="00B05CD5"/>
    <w:rsid w:val="00B05CFD"/>
    <w:rsid w:val="00B06462"/>
    <w:rsid w:val="00B066B1"/>
    <w:rsid w:val="00B06934"/>
    <w:rsid w:val="00B0693A"/>
    <w:rsid w:val="00B06991"/>
    <w:rsid w:val="00B06B77"/>
    <w:rsid w:val="00B06BD4"/>
    <w:rsid w:val="00B06F8D"/>
    <w:rsid w:val="00B07141"/>
    <w:rsid w:val="00B073B9"/>
    <w:rsid w:val="00B075D6"/>
    <w:rsid w:val="00B0780B"/>
    <w:rsid w:val="00B07961"/>
    <w:rsid w:val="00B07BC0"/>
    <w:rsid w:val="00B07BD6"/>
    <w:rsid w:val="00B07CB6"/>
    <w:rsid w:val="00B10091"/>
    <w:rsid w:val="00B102A3"/>
    <w:rsid w:val="00B102F5"/>
    <w:rsid w:val="00B10385"/>
    <w:rsid w:val="00B103B4"/>
    <w:rsid w:val="00B105E5"/>
    <w:rsid w:val="00B10613"/>
    <w:rsid w:val="00B1066E"/>
    <w:rsid w:val="00B10CB7"/>
    <w:rsid w:val="00B111B4"/>
    <w:rsid w:val="00B1120A"/>
    <w:rsid w:val="00B1137E"/>
    <w:rsid w:val="00B115A4"/>
    <w:rsid w:val="00B11776"/>
    <w:rsid w:val="00B1185E"/>
    <w:rsid w:val="00B1187C"/>
    <w:rsid w:val="00B11B1E"/>
    <w:rsid w:val="00B11BB2"/>
    <w:rsid w:val="00B123D2"/>
    <w:rsid w:val="00B124B0"/>
    <w:rsid w:val="00B128F6"/>
    <w:rsid w:val="00B134C4"/>
    <w:rsid w:val="00B1357C"/>
    <w:rsid w:val="00B13597"/>
    <w:rsid w:val="00B1363E"/>
    <w:rsid w:val="00B138D5"/>
    <w:rsid w:val="00B13A1A"/>
    <w:rsid w:val="00B13B18"/>
    <w:rsid w:val="00B13B1E"/>
    <w:rsid w:val="00B140F7"/>
    <w:rsid w:val="00B14397"/>
    <w:rsid w:val="00B143AB"/>
    <w:rsid w:val="00B145B6"/>
    <w:rsid w:val="00B14609"/>
    <w:rsid w:val="00B14636"/>
    <w:rsid w:val="00B14CBB"/>
    <w:rsid w:val="00B14F24"/>
    <w:rsid w:val="00B1543F"/>
    <w:rsid w:val="00B154E1"/>
    <w:rsid w:val="00B158B0"/>
    <w:rsid w:val="00B15AE0"/>
    <w:rsid w:val="00B15D07"/>
    <w:rsid w:val="00B15D8F"/>
    <w:rsid w:val="00B1605E"/>
    <w:rsid w:val="00B164E4"/>
    <w:rsid w:val="00B16591"/>
    <w:rsid w:val="00B16646"/>
    <w:rsid w:val="00B16749"/>
    <w:rsid w:val="00B16D5F"/>
    <w:rsid w:val="00B16F74"/>
    <w:rsid w:val="00B16FE1"/>
    <w:rsid w:val="00B17194"/>
    <w:rsid w:val="00B174CC"/>
    <w:rsid w:val="00B1756E"/>
    <w:rsid w:val="00B17628"/>
    <w:rsid w:val="00B17730"/>
    <w:rsid w:val="00B177B4"/>
    <w:rsid w:val="00B17B44"/>
    <w:rsid w:val="00B17D0C"/>
    <w:rsid w:val="00B2045F"/>
    <w:rsid w:val="00B204CC"/>
    <w:rsid w:val="00B206AE"/>
    <w:rsid w:val="00B20878"/>
    <w:rsid w:val="00B20FA9"/>
    <w:rsid w:val="00B211DD"/>
    <w:rsid w:val="00B2127A"/>
    <w:rsid w:val="00B212BF"/>
    <w:rsid w:val="00B21493"/>
    <w:rsid w:val="00B216F3"/>
    <w:rsid w:val="00B21BD0"/>
    <w:rsid w:val="00B21BDF"/>
    <w:rsid w:val="00B21D55"/>
    <w:rsid w:val="00B21E2D"/>
    <w:rsid w:val="00B21E54"/>
    <w:rsid w:val="00B21EDD"/>
    <w:rsid w:val="00B22281"/>
    <w:rsid w:val="00B222CB"/>
    <w:rsid w:val="00B22742"/>
    <w:rsid w:val="00B227B9"/>
    <w:rsid w:val="00B228F4"/>
    <w:rsid w:val="00B22AB9"/>
    <w:rsid w:val="00B22C02"/>
    <w:rsid w:val="00B22E8D"/>
    <w:rsid w:val="00B23285"/>
    <w:rsid w:val="00B23B0E"/>
    <w:rsid w:val="00B2403E"/>
    <w:rsid w:val="00B240A3"/>
    <w:rsid w:val="00B2426F"/>
    <w:rsid w:val="00B245C2"/>
    <w:rsid w:val="00B24716"/>
    <w:rsid w:val="00B247EA"/>
    <w:rsid w:val="00B248F7"/>
    <w:rsid w:val="00B24BE8"/>
    <w:rsid w:val="00B24ED2"/>
    <w:rsid w:val="00B24FB6"/>
    <w:rsid w:val="00B25327"/>
    <w:rsid w:val="00B2551B"/>
    <w:rsid w:val="00B2553D"/>
    <w:rsid w:val="00B25F1F"/>
    <w:rsid w:val="00B260F2"/>
    <w:rsid w:val="00B26302"/>
    <w:rsid w:val="00B26877"/>
    <w:rsid w:val="00B268B7"/>
    <w:rsid w:val="00B26966"/>
    <w:rsid w:val="00B26B35"/>
    <w:rsid w:val="00B271D7"/>
    <w:rsid w:val="00B272B6"/>
    <w:rsid w:val="00B274DA"/>
    <w:rsid w:val="00B27861"/>
    <w:rsid w:val="00B27961"/>
    <w:rsid w:val="00B27A93"/>
    <w:rsid w:val="00B27CC9"/>
    <w:rsid w:val="00B27E54"/>
    <w:rsid w:val="00B27E84"/>
    <w:rsid w:val="00B3026A"/>
    <w:rsid w:val="00B30813"/>
    <w:rsid w:val="00B30C0B"/>
    <w:rsid w:val="00B311EE"/>
    <w:rsid w:val="00B3154A"/>
    <w:rsid w:val="00B31893"/>
    <w:rsid w:val="00B3194C"/>
    <w:rsid w:val="00B31D07"/>
    <w:rsid w:val="00B31F6F"/>
    <w:rsid w:val="00B3205E"/>
    <w:rsid w:val="00B321E7"/>
    <w:rsid w:val="00B32395"/>
    <w:rsid w:val="00B32747"/>
    <w:rsid w:val="00B327D5"/>
    <w:rsid w:val="00B32BB7"/>
    <w:rsid w:val="00B33373"/>
    <w:rsid w:val="00B33535"/>
    <w:rsid w:val="00B33A4C"/>
    <w:rsid w:val="00B33D15"/>
    <w:rsid w:val="00B33F91"/>
    <w:rsid w:val="00B340A3"/>
    <w:rsid w:val="00B3417D"/>
    <w:rsid w:val="00B341CF"/>
    <w:rsid w:val="00B34222"/>
    <w:rsid w:val="00B3437A"/>
    <w:rsid w:val="00B344E2"/>
    <w:rsid w:val="00B3467E"/>
    <w:rsid w:val="00B34A60"/>
    <w:rsid w:val="00B34B3D"/>
    <w:rsid w:val="00B3502A"/>
    <w:rsid w:val="00B3516A"/>
    <w:rsid w:val="00B351D3"/>
    <w:rsid w:val="00B35289"/>
    <w:rsid w:val="00B355E7"/>
    <w:rsid w:val="00B357EE"/>
    <w:rsid w:val="00B35955"/>
    <w:rsid w:val="00B359F5"/>
    <w:rsid w:val="00B35AED"/>
    <w:rsid w:val="00B35E18"/>
    <w:rsid w:val="00B3601F"/>
    <w:rsid w:val="00B361CD"/>
    <w:rsid w:val="00B3620E"/>
    <w:rsid w:val="00B3644A"/>
    <w:rsid w:val="00B364EE"/>
    <w:rsid w:val="00B366AD"/>
    <w:rsid w:val="00B36726"/>
    <w:rsid w:val="00B3686D"/>
    <w:rsid w:val="00B368BA"/>
    <w:rsid w:val="00B36B10"/>
    <w:rsid w:val="00B36BC8"/>
    <w:rsid w:val="00B36C83"/>
    <w:rsid w:val="00B36D1A"/>
    <w:rsid w:val="00B37040"/>
    <w:rsid w:val="00B37076"/>
    <w:rsid w:val="00B37118"/>
    <w:rsid w:val="00B37223"/>
    <w:rsid w:val="00B3731B"/>
    <w:rsid w:val="00B374B3"/>
    <w:rsid w:val="00B37736"/>
    <w:rsid w:val="00B3787C"/>
    <w:rsid w:val="00B37B5D"/>
    <w:rsid w:val="00B4000D"/>
    <w:rsid w:val="00B40164"/>
    <w:rsid w:val="00B40181"/>
    <w:rsid w:val="00B402BE"/>
    <w:rsid w:val="00B403F8"/>
    <w:rsid w:val="00B4043F"/>
    <w:rsid w:val="00B40555"/>
    <w:rsid w:val="00B405FB"/>
    <w:rsid w:val="00B407D2"/>
    <w:rsid w:val="00B408B0"/>
    <w:rsid w:val="00B408CD"/>
    <w:rsid w:val="00B408D2"/>
    <w:rsid w:val="00B409C0"/>
    <w:rsid w:val="00B40A65"/>
    <w:rsid w:val="00B40A7D"/>
    <w:rsid w:val="00B40CFF"/>
    <w:rsid w:val="00B40FE0"/>
    <w:rsid w:val="00B4139B"/>
    <w:rsid w:val="00B416A9"/>
    <w:rsid w:val="00B416B0"/>
    <w:rsid w:val="00B417C2"/>
    <w:rsid w:val="00B4191A"/>
    <w:rsid w:val="00B41D7B"/>
    <w:rsid w:val="00B421B5"/>
    <w:rsid w:val="00B424CE"/>
    <w:rsid w:val="00B42717"/>
    <w:rsid w:val="00B42F36"/>
    <w:rsid w:val="00B42F7C"/>
    <w:rsid w:val="00B43450"/>
    <w:rsid w:val="00B43569"/>
    <w:rsid w:val="00B446CB"/>
    <w:rsid w:val="00B44A44"/>
    <w:rsid w:val="00B44A91"/>
    <w:rsid w:val="00B44BF1"/>
    <w:rsid w:val="00B44CAA"/>
    <w:rsid w:val="00B44CB5"/>
    <w:rsid w:val="00B453BE"/>
    <w:rsid w:val="00B45847"/>
    <w:rsid w:val="00B4594A"/>
    <w:rsid w:val="00B45DC5"/>
    <w:rsid w:val="00B45DFC"/>
    <w:rsid w:val="00B46114"/>
    <w:rsid w:val="00B46269"/>
    <w:rsid w:val="00B4631D"/>
    <w:rsid w:val="00B463D7"/>
    <w:rsid w:val="00B4655C"/>
    <w:rsid w:val="00B46700"/>
    <w:rsid w:val="00B4683A"/>
    <w:rsid w:val="00B46922"/>
    <w:rsid w:val="00B469E6"/>
    <w:rsid w:val="00B46A27"/>
    <w:rsid w:val="00B46B55"/>
    <w:rsid w:val="00B46D4D"/>
    <w:rsid w:val="00B46EFB"/>
    <w:rsid w:val="00B47033"/>
    <w:rsid w:val="00B470C2"/>
    <w:rsid w:val="00B4710C"/>
    <w:rsid w:val="00B4722D"/>
    <w:rsid w:val="00B4761B"/>
    <w:rsid w:val="00B4774A"/>
    <w:rsid w:val="00B47825"/>
    <w:rsid w:val="00B4790D"/>
    <w:rsid w:val="00B479E1"/>
    <w:rsid w:val="00B47C24"/>
    <w:rsid w:val="00B47D03"/>
    <w:rsid w:val="00B47E1E"/>
    <w:rsid w:val="00B47EC9"/>
    <w:rsid w:val="00B5015B"/>
    <w:rsid w:val="00B501CA"/>
    <w:rsid w:val="00B5027E"/>
    <w:rsid w:val="00B50392"/>
    <w:rsid w:val="00B50667"/>
    <w:rsid w:val="00B50871"/>
    <w:rsid w:val="00B508C7"/>
    <w:rsid w:val="00B50E22"/>
    <w:rsid w:val="00B515F6"/>
    <w:rsid w:val="00B51646"/>
    <w:rsid w:val="00B51772"/>
    <w:rsid w:val="00B5191E"/>
    <w:rsid w:val="00B51A3D"/>
    <w:rsid w:val="00B51AD4"/>
    <w:rsid w:val="00B51CA6"/>
    <w:rsid w:val="00B51EE6"/>
    <w:rsid w:val="00B52112"/>
    <w:rsid w:val="00B52509"/>
    <w:rsid w:val="00B52684"/>
    <w:rsid w:val="00B526CE"/>
    <w:rsid w:val="00B52B5A"/>
    <w:rsid w:val="00B52C41"/>
    <w:rsid w:val="00B53217"/>
    <w:rsid w:val="00B533BC"/>
    <w:rsid w:val="00B5377E"/>
    <w:rsid w:val="00B53A0A"/>
    <w:rsid w:val="00B53A11"/>
    <w:rsid w:val="00B53ACD"/>
    <w:rsid w:val="00B53AD9"/>
    <w:rsid w:val="00B53B50"/>
    <w:rsid w:val="00B53EC9"/>
    <w:rsid w:val="00B541BD"/>
    <w:rsid w:val="00B541E6"/>
    <w:rsid w:val="00B5422E"/>
    <w:rsid w:val="00B542A7"/>
    <w:rsid w:val="00B548FC"/>
    <w:rsid w:val="00B54D6A"/>
    <w:rsid w:val="00B54E50"/>
    <w:rsid w:val="00B5557A"/>
    <w:rsid w:val="00B556F7"/>
    <w:rsid w:val="00B557F1"/>
    <w:rsid w:val="00B5581D"/>
    <w:rsid w:val="00B55B94"/>
    <w:rsid w:val="00B55C9A"/>
    <w:rsid w:val="00B55E08"/>
    <w:rsid w:val="00B562F2"/>
    <w:rsid w:val="00B564CF"/>
    <w:rsid w:val="00B565C5"/>
    <w:rsid w:val="00B567B0"/>
    <w:rsid w:val="00B5680C"/>
    <w:rsid w:val="00B569A0"/>
    <w:rsid w:val="00B569D0"/>
    <w:rsid w:val="00B56B2B"/>
    <w:rsid w:val="00B56CF1"/>
    <w:rsid w:val="00B56EE2"/>
    <w:rsid w:val="00B570B9"/>
    <w:rsid w:val="00B571BF"/>
    <w:rsid w:val="00B57376"/>
    <w:rsid w:val="00B57393"/>
    <w:rsid w:val="00B57537"/>
    <w:rsid w:val="00B575E7"/>
    <w:rsid w:val="00B5774A"/>
    <w:rsid w:val="00B57776"/>
    <w:rsid w:val="00B57790"/>
    <w:rsid w:val="00B57BD4"/>
    <w:rsid w:val="00B57E3E"/>
    <w:rsid w:val="00B601C0"/>
    <w:rsid w:val="00B602F8"/>
    <w:rsid w:val="00B605EF"/>
    <w:rsid w:val="00B60867"/>
    <w:rsid w:val="00B608D8"/>
    <w:rsid w:val="00B60988"/>
    <w:rsid w:val="00B60A24"/>
    <w:rsid w:val="00B60B5E"/>
    <w:rsid w:val="00B60BD8"/>
    <w:rsid w:val="00B60DAF"/>
    <w:rsid w:val="00B6107F"/>
    <w:rsid w:val="00B614C5"/>
    <w:rsid w:val="00B616F7"/>
    <w:rsid w:val="00B61AE0"/>
    <w:rsid w:val="00B61C73"/>
    <w:rsid w:val="00B61D41"/>
    <w:rsid w:val="00B61D88"/>
    <w:rsid w:val="00B61F33"/>
    <w:rsid w:val="00B62307"/>
    <w:rsid w:val="00B623D2"/>
    <w:rsid w:val="00B625F0"/>
    <w:rsid w:val="00B62849"/>
    <w:rsid w:val="00B62B2F"/>
    <w:rsid w:val="00B632B9"/>
    <w:rsid w:val="00B63354"/>
    <w:rsid w:val="00B63426"/>
    <w:rsid w:val="00B635F4"/>
    <w:rsid w:val="00B63E96"/>
    <w:rsid w:val="00B63F2A"/>
    <w:rsid w:val="00B6402D"/>
    <w:rsid w:val="00B64213"/>
    <w:rsid w:val="00B64706"/>
    <w:rsid w:val="00B64BCD"/>
    <w:rsid w:val="00B64E7B"/>
    <w:rsid w:val="00B6547A"/>
    <w:rsid w:val="00B655D3"/>
    <w:rsid w:val="00B6597C"/>
    <w:rsid w:val="00B65CB9"/>
    <w:rsid w:val="00B65CFE"/>
    <w:rsid w:val="00B660B1"/>
    <w:rsid w:val="00B663E4"/>
    <w:rsid w:val="00B663E7"/>
    <w:rsid w:val="00B664F3"/>
    <w:rsid w:val="00B665F6"/>
    <w:rsid w:val="00B66897"/>
    <w:rsid w:val="00B66C64"/>
    <w:rsid w:val="00B66CCE"/>
    <w:rsid w:val="00B66E7A"/>
    <w:rsid w:val="00B66E96"/>
    <w:rsid w:val="00B6702F"/>
    <w:rsid w:val="00B6735A"/>
    <w:rsid w:val="00B675AB"/>
    <w:rsid w:val="00B67864"/>
    <w:rsid w:val="00B67875"/>
    <w:rsid w:val="00B6789C"/>
    <w:rsid w:val="00B67B09"/>
    <w:rsid w:val="00B67B35"/>
    <w:rsid w:val="00B67CD3"/>
    <w:rsid w:val="00B67E03"/>
    <w:rsid w:val="00B70090"/>
    <w:rsid w:val="00B70300"/>
    <w:rsid w:val="00B70750"/>
    <w:rsid w:val="00B70A17"/>
    <w:rsid w:val="00B70C77"/>
    <w:rsid w:val="00B70F5F"/>
    <w:rsid w:val="00B71096"/>
    <w:rsid w:val="00B711CE"/>
    <w:rsid w:val="00B7128B"/>
    <w:rsid w:val="00B7130A"/>
    <w:rsid w:val="00B713CF"/>
    <w:rsid w:val="00B715D8"/>
    <w:rsid w:val="00B719B3"/>
    <w:rsid w:val="00B71A62"/>
    <w:rsid w:val="00B71ABF"/>
    <w:rsid w:val="00B71CA8"/>
    <w:rsid w:val="00B71CD6"/>
    <w:rsid w:val="00B71E00"/>
    <w:rsid w:val="00B723C7"/>
    <w:rsid w:val="00B72479"/>
    <w:rsid w:val="00B726E5"/>
    <w:rsid w:val="00B72790"/>
    <w:rsid w:val="00B72AAE"/>
    <w:rsid w:val="00B72AD2"/>
    <w:rsid w:val="00B72BA4"/>
    <w:rsid w:val="00B72D03"/>
    <w:rsid w:val="00B72FE9"/>
    <w:rsid w:val="00B7358C"/>
    <w:rsid w:val="00B735C4"/>
    <w:rsid w:val="00B736DA"/>
    <w:rsid w:val="00B736F9"/>
    <w:rsid w:val="00B73911"/>
    <w:rsid w:val="00B73A37"/>
    <w:rsid w:val="00B73F85"/>
    <w:rsid w:val="00B7401B"/>
    <w:rsid w:val="00B74112"/>
    <w:rsid w:val="00B7424E"/>
    <w:rsid w:val="00B74307"/>
    <w:rsid w:val="00B7434B"/>
    <w:rsid w:val="00B74494"/>
    <w:rsid w:val="00B747E1"/>
    <w:rsid w:val="00B74A39"/>
    <w:rsid w:val="00B74B5A"/>
    <w:rsid w:val="00B74E24"/>
    <w:rsid w:val="00B74FCA"/>
    <w:rsid w:val="00B75098"/>
    <w:rsid w:val="00B75389"/>
    <w:rsid w:val="00B759CB"/>
    <w:rsid w:val="00B75CAB"/>
    <w:rsid w:val="00B75D21"/>
    <w:rsid w:val="00B75DFE"/>
    <w:rsid w:val="00B75EE1"/>
    <w:rsid w:val="00B76008"/>
    <w:rsid w:val="00B761B4"/>
    <w:rsid w:val="00B76226"/>
    <w:rsid w:val="00B76688"/>
    <w:rsid w:val="00B76AB9"/>
    <w:rsid w:val="00B76AE2"/>
    <w:rsid w:val="00B76B0B"/>
    <w:rsid w:val="00B76C77"/>
    <w:rsid w:val="00B76FDE"/>
    <w:rsid w:val="00B77175"/>
    <w:rsid w:val="00B7742F"/>
    <w:rsid w:val="00B77588"/>
    <w:rsid w:val="00B7770F"/>
    <w:rsid w:val="00B77782"/>
    <w:rsid w:val="00B77815"/>
    <w:rsid w:val="00B779FE"/>
    <w:rsid w:val="00B77C4C"/>
    <w:rsid w:val="00B77CDF"/>
    <w:rsid w:val="00B77E47"/>
    <w:rsid w:val="00B77F05"/>
    <w:rsid w:val="00B80247"/>
    <w:rsid w:val="00B802FA"/>
    <w:rsid w:val="00B80682"/>
    <w:rsid w:val="00B80776"/>
    <w:rsid w:val="00B8093F"/>
    <w:rsid w:val="00B809A8"/>
    <w:rsid w:val="00B80B96"/>
    <w:rsid w:val="00B80ED9"/>
    <w:rsid w:val="00B80FBB"/>
    <w:rsid w:val="00B81141"/>
    <w:rsid w:val="00B8116C"/>
    <w:rsid w:val="00B811D7"/>
    <w:rsid w:val="00B8129A"/>
    <w:rsid w:val="00B8198A"/>
    <w:rsid w:val="00B81A6C"/>
    <w:rsid w:val="00B81CA5"/>
    <w:rsid w:val="00B81FE9"/>
    <w:rsid w:val="00B82B0E"/>
    <w:rsid w:val="00B82B46"/>
    <w:rsid w:val="00B82CA9"/>
    <w:rsid w:val="00B82F02"/>
    <w:rsid w:val="00B83111"/>
    <w:rsid w:val="00B83142"/>
    <w:rsid w:val="00B833CB"/>
    <w:rsid w:val="00B8343A"/>
    <w:rsid w:val="00B834A0"/>
    <w:rsid w:val="00B8353D"/>
    <w:rsid w:val="00B835A5"/>
    <w:rsid w:val="00B83845"/>
    <w:rsid w:val="00B8386E"/>
    <w:rsid w:val="00B8388C"/>
    <w:rsid w:val="00B83A78"/>
    <w:rsid w:val="00B83A7D"/>
    <w:rsid w:val="00B83AD8"/>
    <w:rsid w:val="00B83AE0"/>
    <w:rsid w:val="00B83CE9"/>
    <w:rsid w:val="00B84252"/>
    <w:rsid w:val="00B8429A"/>
    <w:rsid w:val="00B8454D"/>
    <w:rsid w:val="00B84798"/>
    <w:rsid w:val="00B84855"/>
    <w:rsid w:val="00B84923"/>
    <w:rsid w:val="00B84C1E"/>
    <w:rsid w:val="00B84E63"/>
    <w:rsid w:val="00B84EB8"/>
    <w:rsid w:val="00B855DA"/>
    <w:rsid w:val="00B85616"/>
    <w:rsid w:val="00B85886"/>
    <w:rsid w:val="00B86041"/>
    <w:rsid w:val="00B860AF"/>
    <w:rsid w:val="00B865C9"/>
    <w:rsid w:val="00B868B8"/>
    <w:rsid w:val="00B8698E"/>
    <w:rsid w:val="00B86A42"/>
    <w:rsid w:val="00B86B17"/>
    <w:rsid w:val="00B86F4E"/>
    <w:rsid w:val="00B86FFD"/>
    <w:rsid w:val="00B872C1"/>
    <w:rsid w:val="00B87734"/>
    <w:rsid w:val="00B878CA"/>
    <w:rsid w:val="00B87973"/>
    <w:rsid w:val="00B87B4F"/>
    <w:rsid w:val="00B87CEC"/>
    <w:rsid w:val="00B90374"/>
    <w:rsid w:val="00B90425"/>
    <w:rsid w:val="00B90577"/>
    <w:rsid w:val="00B90984"/>
    <w:rsid w:val="00B90BD9"/>
    <w:rsid w:val="00B90DB3"/>
    <w:rsid w:val="00B91080"/>
    <w:rsid w:val="00B910B3"/>
    <w:rsid w:val="00B91189"/>
    <w:rsid w:val="00B911C1"/>
    <w:rsid w:val="00B91312"/>
    <w:rsid w:val="00B91386"/>
    <w:rsid w:val="00B91396"/>
    <w:rsid w:val="00B9172A"/>
    <w:rsid w:val="00B91743"/>
    <w:rsid w:val="00B91DC8"/>
    <w:rsid w:val="00B920CB"/>
    <w:rsid w:val="00B923B4"/>
    <w:rsid w:val="00B92432"/>
    <w:rsid w:val="00B92483"/>
    <w:rsid w:val="00B924C6"/>
    <w:rsid w:val="00B92680"/>
    <w:rsid w:val="00B9285B"/>
    <w:rsid w:val="00B929EC"/>
    <w:rsid w:val="00B929F8"/>
    <w:rsid w:val="00B92A84"/>
    <w:rsid w:val="00B92B7D"/>
    <w:rsid w:val="00B92C95"/>
    <w:rsid w:val="00B92CEE"/>
    <w:rsid w:val="00B92EA5"/>
    <w:rsid w:val="00B92FE1"/>
    <w:rsid w:val="00B93256"/>
    <w:rsid w:val="00B934ED"/>
    <w:rsid w:val="00B935FD"/>
    <w:rsid w:val="00B937B9"/>
    <w:rsid w:val="00B93AC7"/>
    <w:rsid w:val="00B93BCC"/>
    <w:rsid w:val="00B93EBB"/>
    <w:rsid w:val="00B94055"/>
    <w:rsid w:val="00B94144"/>
    <w:rsid w:val="00B944FF"/>
    <w:rsid w:val="00B9471A"/>
    <w:rsid w:val="00B9474A"/>
    <w:rsid w:val="00B947F1"/>
    <w:rsid w:val="00B94908"/>
    <w:rsid w:val="00B94ACB"/>
    <w:rsid w:val="00B94ACF"/>
    <w:rsid w:val="00B94C0A"/>
    <w:rsid w:val="00B94D0C"/>
    <w:rsid w:val="00B94FD8"/>
    <w:rsid w:val="00B9594F"/>
    <w:rsid w:val="00B95991"/>
    <w:rsid w:val="00B959D3"/>
    <w:rsid w:val="00B95C61"/>
    <w:rsid w:val="00B95CEA"/>
    <w:rsid w:val="00B96141"/>
    <w:rsid w:val="00B96317"/>
    <w:rsid w:val="00B9691A"/>
    <w:rsid w:val="00B96BF2"/>
    <w:rsid w:val="00B97594"/>
    <w:rsid w:val="00B97797"/>
    <w:rsid w:val="00B97B6C"/>
    <w:rsid w:val="00B97C8B"/>
    <w:rsid w:val="00B97D54"/>
    <w:rsid w:val="00BA03F5"/>
    <w:rsid w:val="00BA0436"/>
    <w:rsid w:val="00BA0488"/>
    <w:rsid w:val="00BA0844"/>
    <w:rsid w:val="00BA09BB"/>
    <w:rsid w:val="00BA0FD3"/>
    <w:rsid w:val="00BA1075"/>
    <w:rsid w:val="00BA1256"/>
    <w:rsid w:val="00BA1562"/>
    <w:rsid w:val="00BA17B5"/>
    <w:rsid w:val="00BA187D"/>
    <w:rsid w:val="00BA1BBC"/>
    <w:rsid w:val="00BA1C8A"/>
    <w:rsid w:val="00BA1E2B"/>
    <w:rsid w:val="00BA1F18"/>
    <w:rsid w:val="00BA1F6D"/>
    <w:rsid w:val="00BA2060"/>
    <w:rsid w:val="00BA2134"/>
    <w:rsid w:val="00BA25EF"/>
    <w:rsid w:val="00BA2719"/>
    <w:rsid w:val="00BA27D2"/>
    <w:rsid w:val="00BA2FC0"/>
    <w:rsid w:val="00BA2FC4"/>
    <w:rsid w:val="00BA32DB"/>
    <w:rsid w:val="00BA3698"/>
    <w:rsid w:val="00BA3779"/>
    <w:rsid w:val="00BA38F1"/>
    <w:rsid w:val="00BA3B0D"/>
    <w:rsid w:val="00BA3F09"/>
    <w:rsid w:val="00BA3FA7"/>
    <w:rsid w:val="00BA4362"/>
    <w:rsid w:val="00BA47F9"/>
    <w:rsid w:val="00BA4895"/>
    <w:rsid w:val="00BA4937"/>
    <w:rsid w:val="00BA4CAA"/>
    <w:rsid w:val="00BA4CF2"/>
    <w:rsid w:val="00BA4E33"/>
    <w:rsid w:val="00BA4FD6"/>
    <w:rsid w:val="00BA5054"/>
    <w:rsid w:val="00BA508B"/>
    <w:rsid w:val="00BA51CC"/>
    <w:rsid w:val="00BA539A"/>
    <w:rsid w:val="00BA57FB"/>
    <w:rsid w:val="00BA5831"/>
    <w:rsid w:val="00BA5A8D"/>
    <w:rsid w:val="00BA5DD5"/>
    <w:rsid w:val="00BA5F4E"/>
    <w:rsid w:val="00BA6005"/>
    <w:rsid w:val="00BA600F"/>
    <w:rsid w:val="00BA63EE"/>
    <w:rsid w:val="00BA66C8"/>
    <w:rsid w:val="00BA66EE"/>
    <w:rsid w:val="00BA699D"/>
    <w:rsid w:val="00BA6F02"/>
    <w:rsid w:val="00BA71B6"/>
    <w:rsid w:val="00BA71D4"/>
    <w:rsid w:val="00BA79C0"/>
    <w:rsid w:val="00BA79FE"/>
    <w:rsid w:val="00BA7A62"/>
    <w:rsid w:val="00BA7B8E"/>
    <w:rsid w:val="00BA7C9D"/>
    <w:rsid w:val="00BA7D24"/>
    <w:rsid w:val="00BB01E8"/>
    <w:rsid w:val="00BB02CB"/>
    <w:rsid w:val="00BB0713"/>
    <w:rsid w:val="00BB0B2A"/>
    <w:rsid w:val="00BB0C59"/>
    <w:rsid w:val="00BB0D33"/>
    <w:rsid w:val="00BB0DB5"/>
    <w:rsid w:val="00BB0EF7"/>
    <w:rsid w:val="00BB1169"/>
    <w:rsid w:val="00BB1319"/>
    <w:rsid w:val="00BB14DD"/>
    <w:rsid w:val="00BB14EE"/>
    <w:rsid w:val="00BB1B58"/>
    <w:rsid w:val="00BB1D4B"/>
    <w:rsid w:val="00BB223F"/>
    <w:rsid w:val="00BB2AF1"/>
    <w:rsid w:val="00BB2DB1"/>
    <w:rsid w:val="00BB309F"/>
    <w:rsid w:val="00BB3131"/>
    <w:rsid w:val="00BB345C"/>
    <w:rsid w:val="00BB35C9"/>
    <w:rsid w:val="00BB3875"/>
    <w:rsid w:val="00BB39DE"/>
    <w:rsid w:val="00BB3E81"/>
    <w:rsid w:val="00BB43C1"/>
    <w:rsid w:val="00BB441C"/>
    <w:rsid w:val="00BB4447"/>
    <w:rsid w:val="00BB48AD"/>
    <w:rsid w:val="00BB48BE"/>
    <w:rsid w:val="00BB4D71"/>
    <w:rsid w:val="00BB4DDA"/>
    <w:rsid w:val="00BB5462"/>
    <w:rsid w:val="00BB546E"/>
    <w:rsid w:val="00BB57BC"/>
    <w:rsid w:val="00BB57FD"/>
    <w:rsid w:val="00BB5A08"/>
    <w:rsid w:val="00BB5EBB"/>
    <w:rsid w:val="00BB5F02"/>
    <w:rsid w:val="00BB6068"/>
    <w:rsid w:val="00BB60B8"/>
    <w:rsid w:val="00BB6239"/>
    <w:rsid w:val="00BB63B2"/>
    <w:rsid w:val="00BB6666"/>
    <w:rsid w:val="00BB68C7"/>
    <w:rsid w:val="00BB6C63"/>
    <w:rsid w:val="00BB6C8A"/>
    <w:rsid w:val="00BB6D2D"/>
    <w:rsid w:val="00BB7004"/>
    <w:rsid w:val="00BB72FB"/>
    <w:rsid w:val="00BB794F"/>
    <w:rsid w:val="00BB79F1"/>
    <w:rsid w:val="00BB7BC4"/>
    <w:rsid w:val="00BB7CB8"/>
    <w:rsid w:val="00BB7F76"/>
    <w:rsid w:val="00BC003F"/>
    <w:rsid w:val="00BC011F"/>
    <w:rsid w:val="00BC0D86"/>
    <w:rsid w:val="00BC0DAF"/>
    <w:rsid w:val="00BC0FF6"/>
    <w:rsid w:val="00BC12AF"/>
    <w:rsid w:val="00BC1462"/>
    <w:rsid w:val="00BC1816"/>
    <w:rsid w:val="00BC1B0A"/>
    <w:rsid w:val="00BC1EFA"/>
    <w:rsid w:val="00BC201B"/>
    <w:rsid w:val="00BC208E"/>
    <w:rsid w:val="00BC20A6"/>
    <w:rsid w:val="00BC2243"/>
    <w:rsid w:val="00BC236F"/>
    <w:rsid w:val="00BC248B"/>
    <w:rsid w:val="00BC25F7"/>
    <w:rsid w:val="00BC26DF"/>
    <w:rsid w:val="00BC2A54"/>
    <w:rsid w:val="00BC2FD0"/>
    <w:rsid w:val="00BC316A"/>
    <w:rsid w:val="00BC31A8"/>
    <w:rsid w:val="00BC33B0"/>
    <w:rsid w:val="00BC3CC8"/>
    <w:rsid w:val="00BC3CDB"/>
    <w:rsid w:val="00BC3EA8"/>
    <w:rsid w:val="00BC3EEB"/>
    <w:rsid w:val="00BC42BE"/>
    <w:rsid w:val="00BC4410"/>
    <w:rsid w:val="00BC45AF"/>
    <w:rsid w:val="00BC4672"/>
    <w:rsid w:val="00BC4850"/>
    <w:rsid w:val="00BC4C9E"/>
    <w:rsid w:val="00BC4DBA"/>
    <w:rsid w:val="00BC4FC6"/>
    <w:rsid w:val="00BC5050"/>
    <w:rsid w:val="00BC50A0"/>
    <w:rsid w:val="00BC5321"/>
    <w:rsid w:val="00BC5330"/>
    <w:rsid w:val="00BC57C4"/>
    <w:rsid w:val="00BC5893"/>
    <w:rsid w:val="00BC5940"/>
    <w:rsid w:val="00BC5BDE"/>
    <w:rsid w:val="00BC6447"/>
    <w:rsid w:val="00BC664B"/>
    <w:rsid w:val="00BC676E"/>
    <w:rsid w:val="00BC68CF"/>
    <w:rsid w:val="00BC6C35"/>
    <w:rsid w:val="00BC7121"/>
    <w:rsid w:val="00BC72FD"/>
    <w:rsid w:val="00BC737C"/>
    <w:rsid w:val="00BC741D"/>
    <w:rsid w:val="00BC7633"/>
    <w:rsid w:val="00BC7693"/>
    <w:rsid w:val="00BC7B75"/>
    <w:rsid w:val="00BC7C02"/>
    <w:rsid w:val="00BC7CC7"/>
    <w:rsid w:val="00BC7D7B"/>
    <w:rsid w:val="00BC7DC2"/>
    <w:rsid w:val="00BD038F"/>
    <w:rsid w:val="00BD0FFB"/>
    <w:rsid w:val="00BD1105"/>
    <w:rsid w:val="00BD1404"/>
    <w:rsid w:val="00BD19C3"/>
    <w:rsid w:val="00BD1A0A"/>
    <w:rsid w:val="00BD1A8E"/>
    <w:rsid w:val="00BD1BD9"/>
    <w:rsid w:val="00BD1C8D"/>
    <w:rsid w:val="00BD1CE9"/>
    <w:rsid w:val="00BD2393"/>
    <w:rsid w:val="00BD2494"/>
    <w:rsid w:val="00BD27AD"/>
    <w:rsid w:val="00BD280A"/>
    <w:rsid w:val="00BD2AA1"/>
    <w:rsid w:val="00BD2C8A"/>
    <w:rsid w:val="00BD2DCC"/>
    <w:rsid w:val="00BD309C"/>
    <w:rsid w:val="00BD331F"/>
    <w:rsid w:val="00BD35F4"/>
    <w:rsid w:val="00BD374B"/>
    <w:rsid w:val="00BD3791"/>
    <w:rsid w:val="00BD3AD8"/>
    <w:rsid w:val="00BD3BAA"/>
    <w:rsid w:val="00BD4239"/>
    <w:rsid w:val="00BD44B6"/>
    <w:rsid w:val="00BD45E4"/>
    <w:rsid w:val="00BD4B77"/>
    <w:rsid w:val="00BD4E11"/>
    <w:rsid w:val="00BD557C"/>
    <w:rsid w:val="00BD56A3"/>
    <w:rsid w:val="00BD5A97"/>
    <w:rsid w:val="00BD5B8A"/>
    <w:rsid w:val="00BD5BB6"/>
    <w:rsid w:val="00BD5C4A"/>
    <w:rsid w:val="00BD5F58"/>
    <w:rsid w:val="00BD61E6"/>
    <w:rsid w:val="00BD61EB"/>
    <w:rsid w:val="00BD61F4"/>
    <w:rsid w:val="00BD650D"/>
    <w:rsid w:val="00BD6723"/>
    <w:rsid w:val="00BD6761"/>
    <w:rsid w:val="00BD6E74"/>
    <w:rsid w:val="00BD6FFD"/>
    <w:rsid w:val="00BD6FFE"/>
    <w:rsid w:val="00BD71D8"/>
    <w:rsid w:val="00BD741B"/>
    <w:rsid w:val="00BD750E"/>
    <w:rsid w:val="00BD7817"/>
    <w:rsid w:val="00BD7CE1"/>
    <w:rsid w:val="00BE03D4"/>
    <w:rsid w:val="00BE0424"/>
    <w:rsid w:val="00BE0502"/>
    <w:rsid w:val="00BE0641"/>
    <w:rsid w:val="00BE09B2"/>
    <w:rsid w:val="00BE0FDE"/>
    <w:rsid w:val="00BE112A"/>
    <w:rsid w:val="00BE1219"/>
    <w:rsid w:val="00BE1342"/>
    <w:rsid w:val="00BE14AA"/>
    <w:rsid w:val="00BE16F2"/>
    <w:rsid w:val="00BE1CF4"/>
    <w:rsid w:val="00BE2225"/>
    <w:rsid w:val="00BE24CF"/>
    <w:rsid w:val="00BE2699"/>
    <w:rsid w:val="00BE2E40"/>
    <w:rsid w:val="00BE2ED2"/>
    <w:rsid w:val="00BE2F5D"/>
    <w:rsid w:val="00BE3114"/>
    <w:rsid w:val="00BE31A0"/>
    <w:rsid w:val="00BE34EA"/>
    <w:rsid w:val="00BE35D9"/>
    <w:rsid w:val="00BE3EDF"/>
    <w:rsid w:val="00BE409D"/>
    <w:rsid w:val="00BE4246"/>
    <w:rsid w:val="00BE4653"/>
    <w:rsid w:val="00BE46AA"/>
    <w:rsid w:val="00BE46BF"/>
    <w:rsid w:val="00BE47CA"/>
    <w:rsid w:val="00BE4958"/>
    <w:rsid w:val="00BE4A08"/>
    <w:rsid w:val="00BE4CA4"/>
    <w:rsid w:val="00BE4FBF"/>
    <w:rsid w:val="00BE51C6"/>
    <w:rsid w:val="00BE53D4"/>
    <w:rsid w:val="00BE5487"/>
    <w:rsid w:val="00BE5534"/>
    <w:rsid w:val="00BE555B"/>
    <w:rsid w:val="00BE58D9"/>
    <w:rsid w:val="00BE5A8F"/>
    <w:rsid w:val="00BE5F27"/>
    <w:rsid w:val="00BE62CC"/>
    <w:rsid w:val="00BE6454"/>
    <w:rsid w:val="00BE676C"/>
    <w:rsid w:val="00BE69D2"/>
    <w:rsid w:val="00BE6B61"/>
    <w:rsid w:val="00BE6C0D"/>
    <w:rsid w:val="00BE6CFE"/>
    <w:rsid w:val="00BE6EA7"/>
    <w:rsid w:val="00BE7154"/>
    <w:rsid w:val="00BE7A41"/>
    <w:rsid w:val="00BE7BAF"/>
    <w:rsid w:val="00BF02EF"/>
    <w:rsid w:val="00BF0574"/>
    <w:rsid w:val="00BF0684"/>
    <w:rsid w:val="00BF07FA"/>
    <w:rsid w:val="00BF094F"/>
    <w:rsid w:val="00BF0A0E"/>
    <w:rsid w:val="00BF13D9"/>
    <w:rsid w:val="00BF151E"/>
    <w:rsid w:val="00BF1A32"/>
    <w:rsid w:val="00BF1BF4"/>
    <w:rsid w:val="00BF1C4F"/>
    <w:rsid w:val="00BF1CD9"/>
    <w:rsid w:val="00BF2133"/>
    <w:rsid w:val="00BF2360"/>
    <w:rsid w:val="00BF28CB"/>
    <w:rsid w:val="00BF2A7C"/>
    <w:rsid w:val="00BF2AFF"/>
    <w:rsid w:val="00BF2B59"/>
    <w:rsid w:val="00BF2BBA"/>
    <w:rsid w:val="00BF2CBF"/>
    <w:rsid w:val="00BF2D46"/>
    <w:rsid w:val="00BF3153"/>
    <w:rsid w:val="00BF3214"/>
    <w:rsid w:val="00BF3606"/>
    <w:rsid w:val="00BF3C30"/>
    <w:rsid w:val="00BF3CC6"/>
    <w:rsid w:val="00BF3DAE"/>
    <w:rsid w:val="00BF404F"/>
    <w:rsid w:val="00BF43D5"/>
    <w:rsid w:val="00BF4482"/>
    <w:rsid w:val="00BF460B"/>
    <w:rsid w:val="00BF4650"/>
    <w:rsid w:val="00BF46D1"/>
    <w:rsid w:val="00BF5142"/>
    <w:rsid w:val="00BF5224"/>
    <w:rsid w:val="00BF57FF"/>
    <w:rsid w:val="00BF5860"/>
    <w:rsid w:val="00BF587F"/>
    <w:rsid w:val="00BF5897"/>
    <w:rsid w:val="00BF5E26"/>
    <w:rsid w:val="00BF5F01"/>
    <w:rsid w:val="00BF6104"/>
    <w:rsid w:val="00BF6181"/>
    <w:rsid w:val="00BF6273"/>
    <w:rsid w:val="00BF63DC"/>
    <w:rsid w:val="00BF6527"/>
    <w:rsid w:val="00BF6739"/>
    <w:rsid w:val="00BF6766"/>
    <w:rsid w:val="00BF679D"/>
    <w:rsid w:val="00BF6895"/>
    <w:rsid w:val="00BF68CA"/>
    <w:rsid w:val="00BF6A49"/>
    <w:rsid w:val="00BF6B65"/>
    <w:rsid w:val="00BF7101"/>
    <w:rsid w:val="00BF7501"/>
    <w:rsid w:val="00BF76D1"/>
    <w:rsid w:val="00BF7999"/>
    <w:rsid w:val="00C00181"/>
    <w:rsid w:val="00C001FB"/>
    <w:rsid w:val="00C00407"/>
    <w:rsid w:val="00C00421"/>
    <w:rsid w:val="00C0048D"/>
    <w:rsid w:val="00C00845"/>
    <w:rsid w:val="00C0096F"/>
    <w:rsid w:val="00C00A5F"/>
    <w:rsid w:val="00C00A6A"/>
    <w:rsid w:val="00C00D0A"/>
    <w:rsid w:val="00C00E29"/>
    <w:rsid w:val="00C012E3"/>
    <w:rsid w:val="00C014E3"/>
    <w:rsid w:val="00C02359"/>
    <w:rsid w:val="00C023E1"/>
    <w:rsid w:val="00C025E9"/>
    <w:rsid w:val="00C02761"/>
    <w:rsid w:val="00C027E1"/>
    <w:rsid w:val="00C0294C"/>
    <w:rsid w:val="00C02D11"/>
    <w:rsid w:val="00C02DD2"/>
    <w:rsid w:val="00C030E1"/>
    <w:rsid w:val="00C0323C"/>
    <w:rsid w:val="00C0378B"/>
    <w:rsid w:val="00C037C6"/>
    <w:rsid w:val="00C03848"/>
    <w:rsid w:val="00C03A31"/>
    <w:rsid w:val="00C03B37"/>
    <w:rsid w:val="00C03F0A"/>
    <w:rsid w:val="00C04061"/>
    <w:rsid w:val="00C041FD"/>
    <w:rsid w:val="00C045C5"/>
    <w:rsid w:val="00C04696"/>
    <w:rsid w:val="00C04AAE"/>
    <w:rsid w:val="00C04C60"/>
    <w:rsid w:val="00C04C8C"/>
    <w:rsid w:val="00C04E50"/>
    <w:rsid w:val="00C04F9B"/>
    <w:rsid w:val="00C05410"/>
    <w:rsid w:val="00C054B0"/>
    <w:rsid w:val="00C05626"/>
    <w:rsid w:val="00C057C1"/>
    <w:rsid w:val="00C0593D"/>
    <w:rsid w:val="00C05AD4"/>
    <w:rsid w:val="00C05B2A"/>
    <w:rsid w:val="00C05CF0"/>
    <w:rsid w:val="00C05D4A"/>
    <w:rsid w:val="00C05F9B"/>
    <w:rsid w:val="00C05FC1"/>
    <w:rsid w:val="00C060DC"/>
    <w:rsid w:val="00C061F0"/>
    <w:rsid w:val="00C06292"/>
    <w:rsid w:val="00C064E8"/>
    <w:rsid w:val="00C06871"/>
    <w:rsid w:val="00C06875"/>
    <w:rsid w:val="00C06B1C"/>
    <w:rsid w:val="00C06CC5"/>
    <w:rsid w:val="00C06F22"/>
    <w:rsid w:val="00C07091"/>
    <w:rsid w:val="00C07262"/>
    <w:rsid w:val="00C07400"/>
    <w:rsid w:val="00C07493"/>
    <w:rsid w:val="00C0749D"/>
    <w:rsid w:val="00C078F0"/>
    <w:rsid w:val="00C07939"/>
    <w:rsid w:val="00C0796F"/>
    <w:rsid w:val="00C10077"/>
    <w:rsid w:val="00C101F7"/>
    <w:rsid w:val="00C10BE8"/>
    <w:rsid w:val="00C1104E"/>
    <w:rsid w:val="00C112E1"/>
    <w:rsid w:val="00C1174C"/>
    <w:rsid w:val="00C11768"/>
    <w:rsid w:val="00C117B0"/>
    <w:rsid w:val="00C1191B"/>
    <w:rsid w:val="00C11A04"/>
    <w:rsid w:val="00C11A73"/>
    <w:rsid w:val="00C11BBE"/>
    <w:rsid w:val="00C11CD3"/>
    <w:rsid w:val="00C11D94"/>
    <w:rsid w:val="00C12129"/>
    <w:rsid w:val="00C12193"/>
    <w:rsid w:val="00C122C8"/>
    <w:rsid w:val="00C1243C"/>
    <w:rsid w:val="00C12468"/>
    <w:rsid w:val="00C12607"/>
    <w:rsid w:val="00C12611"/>
    <w:rsid w:val="00C12800"/>
    <w:rsid w:val="00C12841"/>
    <w:rsid w:val="00C12A0C"/>
    <w:rsid w:val="00C12A4C"/>
    <w:rsid w:val="00C13174"/>
    <w:rsid w:val="00C132FB"/>
    <w:rsid w:val="00C13411"/>
    <w:rsid w:val="00C13AA6"/>
    <w:rsid w:val="00C13BA0"/>
    <w:rsid w:val="00C13D8B"/>
    <w:rsid w:val="00C140D1"/>
    <w:rsid w:val="00C1425D"/>
    <w:rsid w:val="00C1427E"/>
    <w:rsid w:val="00C144AE"/>
    <w:rsid w:val="00C144F5"/>
    <w:rsid w:val="00C14579"/>
    <w:rsid w:val="00C1471F"/>
    <w:rsid w:val="00C1479F"/>
    <w:rsid w:val="00C14A9A"/>
    <w:rsid w:val="00C14AE2"/>
    <w:rsid w:val="00C14BE9"/>
    <w:rsid w:val="00C14E8B"/>
    <w:rsid w:val="00C14EB3"/>
    <w:rsid w:val="00C14F35"/>
    <w:rsid w:val="00C15D72"/>
    <w:rsid w:val="00C15E96"/>
    <w:rsid w:val="00C15F22"/>
    <w:rsid w:val="00C15FA1"/>
    <w:rsid w:val="00C161F8"/>
    <w:rsid w:val="00C16704"/>
    <w:rsid w:val="00C16793"/>
    <w:rsid w:val="00C16C5B"/>
    <w:rsid w:val="00C16F7D"/>
    <w:rsid w:val="00C1712D"/>
    <w:rsid w:val="00C172F3"/>
    <w:rsid w:val="00C174A6"/>
    <w:rsid w:val="00C174EF"/>
    <w:rsid w:val="00C17547"/>
    <w:rsid w:val="00C1771D"/>
    <w:rsid w:val="00C17721"/>
    <w:rsid w:val="00C177FB"/>
    <w:rsid w:val="00C17B08"/>
    <w:rsid w:val="00C17C53"/>
    <w:rsid w:val="00C200F1"/>
    <w:rsid w:val="00C20436"/>
    <w:rsid w:val="00C2043C"/>
    <w:rsid w:val="00C20BC7"/>
    <w:rsid w:val="00C20CE0"/>
    <w:rsid w:val="00C20DFD"/>
    <w:rsid w:val="00C20F38"/>
    <w:rsid w:val="00C2111B"/>
    <w:rsid w:val="00C211F2"/>
    <w:rsid w:val="00C2174E"/>
    <w:rsid w:val="00C218C0"/>
    <w:rsid w:val="00C21A4E"/>
    <w:rsid w:val="00C21AA7"/>
    <w:rsid w:val="00C21F7D"/>
    <w:rsid w:val="00C21F88"/>
    <w:rsid w:val="00C22039"/>
    <w:rsid w:val="00C22151"/>
    <w:rsid w:val="00C223C0"/>
    <w:rsid w:val="00C223CF"/>
    <w:rsid w:val="00C223D9"/>
    <w:rsid w:val="00C224B6"/>
    <w:rsid w:val="00C22537"/>
    <w:rsid w:val="00C22596"/>
    <w:rsid w:val="00C2298E"/>
    <w:rsid w:val="00C22AEC"/>
    <w:rsid w:val="00C22AFA"/>
    <w:rsid w:val="00C22B03"/>
    <w:rsid w:val="00C22D0E"/>
    <w:rsid w:val="00C22DE7"/>
    <w:rsid w:val="00C22E1F"/>
    <w:rsid w:val="00C22E78"/>
    <w:rsid w:val="00C22F5F"/>
    <w:rsid w:val="00C2327A"/>
    <w:rsid w:val="00C23AD2"/>
    <w:rsid w:val="00C23B6E"/>
    <w:rsid w:val="00C24176"/>
    <w:rsid w:val="00C241C4"/>
    <w:rsid w:val="00C24285"/>
    <w:rsid w:val="00C245D5"/>
    <w:rsid w:val="00C248C5"/>
    <w:rsid w:val="00C24B1E"/>
    <w:rsid w:val="00C24CB6"/>
    <w:rsid w:val="00C24E4E"/>
    <w:rsid w:val="00C24E8E"/>
    <w:rsid w:val="00C25127"/>
    <w:rsid w:val="00C2535D"/>
    <w:rsid w:val="00C25373"/>
    <w:rsid w:val="00C25462"/>
    <w:rsid w:val="00C25571"/>
    <w:rsid w:val="00C25DFD"/>
    <w:rsid w:val="00C25EBB"/>
    <w:rsid w:val="00C25F11"/>
    <w:rsid w:val="00C2603B"/>
    <w:rsid w:val="00C262ED"/>
    <w:rsid w:val="00C26D5C"/>
    <w:rsid w:val="00C26F05"/>
    <w:rsid w:val="00C272D9"/>
    <w:rsid w:val="00C273BA"/>
    <w:rsid w:val="00C276B2"/>
    <w:rsid w:val="00C2787A"/>
    <w:rsid w:val="00C278FB"/>
    <w:rsid w:val="00C27912"/>
    <w:rsid w:val="00C27A81"/>
    <w:rsid w:val="00C27AB6"/>
    <w:rsid w:val="00C27AD9"/>
    <w:rsid w:val="00C27CA8"/>
    <w:rsid w:val="00C27FF4"/>
    <w:rsid w:val="00C301F9"/>
    <w:rsid w:val="00C30875"/>
    <w:rsid w:val="00C30A29"/>
    <w:rsid w:val="00C30BF8"/>
    <w:rsid w:val="00C30D1F"/>
    <w:rsid w:val="00C31031"/>
    <w:rsid w:val="00C3103D"/>
    <w:rsid w:val="00C3117D"/>
    <w:rsid w:val="00C313D1"/>
    <w:rsid w:val="00C31418"/>
    <w:rsid w:val="00C3151C"/>
    <w:rsid w:val="00C31689"/>
    <w:rsid w:val="00C3184B"/>
    <w:rsid w:val="00C31B77"/>
    <w:rsid w:val="00C31EB5"/>
    <w:rsid w:val="00C31EC0"/>
    <w:rsid w:val="00C31EEF"/>
    <w:rsid w:val="00C31FA8"/>
    <w:rsid w:val="00C323AA"/>
    <w:rsid w:val="00C3251E"/>
    <w:rsid w:val="00C327B0"/>
    <w:rsid w:val="00C32B6C"/>
    <w:rsid w:val="00C32BF6"/>
    <w:rsid w:val="00C32C7C"/>
    <w:rsid w:val="00C32C85"/>
    <w:rsid w:val="00C32D5B"/>
    <w:rsid w:val="00C32F91"/>
    <w:rsid w:val="00C332A6"/>
    <w:rsid w:val="00C33635"/>
    <w:rsid w:val="00C33790"/>
    <w:rsid w:val="00C33837"/>
    <w:rsid w:val="00C33927"/>
    <w:rsid w:val="00C33935"/>
    <w:rsid w:val="00C33C20"/>
    <w:rsid w:val="00C33D6A"/>
    <w:rsid w:val="00C33E54"/>
    <w:rsid w:val="00C33E9C"/>
    <w:rsid w:val="00C34071"/>
    <w:rsid w:val="00C345C4"/>
    <w:rsid w:val="00C3474E"/>
    <w:rsid w:val="00C347B4"/>
    <w:rsid w:val="00C34857"/>
    <w:rsid w:val="00C348D3"/>
    <w:rsid w:val="00C34B34"/>
    <w:rsid w:val="00C34D00"/>
    <w:rsid w:val="00C34F1A"/>
    <w:rsid w:val="00C3515E"/>
    <w:rsid w:val="00C354E0"/>
    <w:rsid w:val="00C35520"/>
    <w:rsid w:val="00C35635"/>
    <w:rsid w:val="00C35660"/>
    <w:rsid w:val="00C359DA"/>
    <w:rsid w:val="00C359DE"/>
    <w:rsid w:val="00C35B95"/>
    <w:rsid w:val="00C35CF5"/>
    <w:rsid w:val="00C35F58"/>
    <w:rsid w:val="00C360C4"/>
    <w:rsid w:val="00C360D4"/>
    <w:rsid w:val="00C36151"/>
    <w:rsid w:val="00C36168"/>
    <w:rsid w:val="00C3619A"/>
    <w:rsid w:val="00C361DB"/>
    <w:rsid w:val="00C363C7"/>
    <w:rsid w:val="00C3645A"/>
    <w:rsid w:val="00C364DB"/>
    <w:rsid w:val="00C3699F"/>
    <w:rsid w:val="00C36A7E"/>
    <w:rsid w:val="00C36B49"/>
    <w:rsid w:val="00C36BAC"/>
    <w:rsid w:val="00C36F1B"/>
    <w:rsid w:val="00C37071"/>
    <w:rsid w:val="00C37197"/>
    <w:rsid w:val="00C37359"/>
    <w:rsid w:val="00C3742C"/>
    <w:rsid w:val="00C376E2"/>
    <w:rsid w:val="00C37717"/>
    <w:rsid w:val="00C3780E"/>
    <w:rsid w:val="00C37907"/>
    <w:rsid w:val="00C37961"/>
    <w:rsid w:val="00C37A39"/>
    <w:rsid w:val="00C37AE0"/>
    <w:rsid w:val="00C37D96"/>
    <w:rsid w:val="00C37EF4"/>
    <w:rsid w:val="00C37F9B"/>
    <w:rsid w:val="00C4014C"/>
    <w:rsid w:val="00C4027E"/>
    <w:rsid w:val="00C4039F"/>
    <w:rsid w:val="00C40444"/>
    <w:rsid w:val="00C40595"/>
    <w:rsid w:val="00C40795"/>
    <w:rsid w:val="00C40A33"/>
    <w:rsid w:val="00C4100B"/>
    <w:rsid w:val="00C4123A"/>
    <w:rsid w:val="00C41293"/>
    <w:rsid w:val="00C41A0E"/>
    <w:rsid w:val="00C42017"/>
    <w:rsid w:val="00C4215B"/>
    <w:rsid w:val="00C4217D"/>
    <w:rsid w:val="00C4240B"/>
    <w:rsid w:val="00C42480"/>
    <w:rsid w:val="00C424DF"/>
    <w:rsid w:val="00C42561"/>
    <w:rsid w:val="00C42582"/>
    <w:rsid w:val="00C425B3"/>
    <w:rsid w:val="00C42749"/>
    <w:rsid w:val="00C427C0"/>
    <w:rsid w:val="00C4293D"/>
    <w:rsid w:val="00C42A3A"/>
    <w:rsid w:val="00C42C85"/>
    <w:rsid w:val="00C43217"/>
    <w:rsid w:val="00C432BD"/>
    <w:rsid w:val="00C4332D"/>
    <w:rsid w:val="00C43704"/>
    <w:rsid w:val="00C438EB"/>
    <w:rsid w:val="00C43961"/>
    <w:rsid w:val="00C43F30"/>
    <w:rsid w:val="00C44185"/>
    <w:rsid w:val="00C44566"/>
    <w:rsid w:val="00C44636"/>
    <w:rsid w:val="00C446A2"/>
    <w:rsid w:val="00C44B9F"/>
    <w:rsid w:val="00C45101"/>
    <w:rsid w:val="00C453A1"/>
    <w:rsid w:val="00C45A8E"/>
    <w:rsid w:val="00C45B70"/>
    <w:rsid w:val="00C45B8D"/>
    <w:rsid w:val="00C45C0C"/>
    <w:rsid w:val="00C45FE7"/>
    <w:rsid w:val="00C46144"/>
    <w:rsid w:val="00C462B6"/>
    <w:rsid w:val="00C464FA"/>
    <w:rsid w:val="00C46526"/>
    <w:rsid w:val="00C465FA"/>
    <w:rsid w:val="00C46A76"/>
    <w:rsid w:val="00C4721D"/>
    <w:rsid w:val="00C47256"/>
    <w:rsid w:val="00C47BF4"/>
    <w:rsid w:val="00C47DEF"/>
    <w:rsid w:val="00C47FCF"/>
    <w:rsid w:val="00C50025"/>
    <w:rsid w:val="00C500E6"/>
    <w:rsid w:val="00C50672"/>
    <w:rsid w:val="00C50971"/>
    <w:rsid w:val="00C50D3D"/>
    <w:rsid w:val="00C50DE9"/>
    <w:rsid w:val="00C515B8"/>
    <w:rsid w:val="00C5186B"/>
    <w:rsid w:val="00C518E8"/>
    <w:rsid w:val="00C51B0D"/>
    <w:rsid w:val="00C52149"/>
    <w:rsid w:val="00C5244D"/>
    <w:rsid w:val="00C5274C"/>
    <w:rsid w:val="00C52797"/>
    <w:rsid w:val="00C52C8E"/>
    <w:rsid w:val="00C52E35"/>
    <w:rsid w:val="00C5307B"/>
    <w:rsid w:val="00C531BA"/>
    <w:rsid w:val="00C5355F"/>
    <w:rsid w:val="00C53564"/>
    <w:rsid w:val="00C536D6"/>
    <w:rsid w:val="00C53807"/>
    <w:rsid w:val="00C53CDB"/>
    <w:rsid w:val="00C5400B"/>
    <w:rsid w:val="00C54857"/>
    <w:rsid w:val="00C54A39"/>
    <w:rsid w:val="00C54D15"/>
    <w:rsid w:val="00C54D67"/>
    <w:rsid w:val="00C54EA7"/>
    <w:rsid w:val="00C5505C"/>
    <w:rsid w:val="00C550FE"/>
    <w:rsid w:val="00C553B6"/>
    <w:rsid w:val="00C5579A"/>
    <w:rsid w:val="00C5581F"/>
    <w:rsid w:val="00C55A11"/>
    <w:rsid w:val="00C55B42"/>
    <w:rsid w:val="00C55C33"/>
    <w:rsid w:val="00C55D47"/>
    <w:rsid w:val="00C5652E"/>
    <w:rsid w:val="00C5656B"/>
    <w:rsid w:val="00C565A8"/>
    <w:rsid w:val="00C56624"/>
    <w:rsid w:val="00C566C3"/>
    <w:rsid w:val="00C56772"/>
    <w:rsid w:val="00C5677D"/>
    <w:rsid w:val="00C56A6C"/>
    <w:rsid w:val="00C56BF6"/>
    <w:rsid w:val="00C56D12"/>
    <w:rsid w:val="00C572A9"/>
    <w:rsid w:val="00C579A6"/>
    <w:rsid w:val="00C57C40"/>
    <w:rsid w:val="00C57C71"/>
    <w:rsid w:val="00C6022C"/>
    <w:rsid w:val="00C6025C"/>
    <w:rsid w:val="00C604A4"/>
    <w:rsid w:val="00C604FC"/>
    <w:rsid w:val="00C6061B"/>
    <w:rsid w:val="00C60636"/>
    <w:rsid w:val="00C608B0"/>
    <w:rsid w:val="00C6099E"/>
    <w:rsid w:val="00C609FD"/>
    <w:rsid w:val="00C60A5B"/>
    <w:rsid w:val="00C60BC1"/>
    <w:rsid w:val="00C60C0C"/>
    <w:rsid w:val="00C611C6"/>
    <w:rsid w:val="00C61291"/>
    <w:rsid w:val="00C61368"/>
    <w:rsid w:val="00C61625"/>
    <w:rsid w:val="00C61664"/>
    <w:rsid w:val="00C61757"/>
    <w:rsid w:val="00C617B9"/>
    <w:rsid w:val="00C61B9E"/>
    <w:rsid w:val="00C61BB7"/>
    <w:rsid w:val="00C61DB9"/>
    <w:rsid w:val="00C61EA5"/>
    <w:rsid w:val="00C61EA6"/>
    <w:rsid w:val="00C6249D"/>
    <w:rsid w:val="00C628B9"/>
    <w:rsid w:val="00C62902"/>
    <w:rsid w:val="00C62BEC"/>
    <w:rsid w:val="00C62BF8"/>
    <w:rsid w:val="00C62C5E"/>
    <w:rsid w:val="00C62DA3"/>
    <w:rsid w:val="00C62E9F"/>
    <w:rsid w:val="00C63013"/>
    <w:rsid w:val="00C630EC"/>
    <w:rsid w:val="00C63157"/>
    <w:rsid w:val="00C63250"/>
    <w:rsid w:val="00C6344B"/>
    <w:rsid w:val="00C635CD"/>
    <w:rsid w:val="00C63A00"/>
    <w:rsid w:val="00C640C2"/>
    <w:rsid w:val="00C64104"/>
    <w:rsid w:val="00C641F6"/>
    <w:rsid w:val="00C64481"/>
    <w:rsid w:val="00C64A17"/>
    <w:rsid w:val="00C64F57"/>
    <w:rsid w:val="00C65255"/>
    <w:rsid w:val="00C65489"/>
    <w:rsid w:val="00C65493"/>
    <w:rsid w:val="00C65693"/>
    <w:rsid w:val="00C657B2"/>
    <w:rsid w:val="00C65B1D"/>
    <w:rsid w:val="00C663D0"/>
    <w:rsid w:val="00C663F8"/>
    <w:rsid w:val="00C6663D"/>
    <w:rsid w:val="00C6666A"/>
    <w:rsid w:val="00C66720"/>
    <w:rsid w:val="00C669C1"/>
    <w:rsid w:val="00C66B31"/>
    <w:rsid w:val="00C66B43"/>
    <w:rsid w:val="00C66E3D"/>
    <w:rsid w:val="00C66E89"/>
    <w:rsid w:val="00C66F01"/>
    <w:rsid w:val="00C66F23"/>
    <w:rsid w:val="00C6738F"/>
    <w:rsid w:val="00C67506"/>
    <w:rsid w:val="00C67901"/>
    <w:rsid w:val="00C6791E"/>
    <w:rsid w:val="00C67965"/>
    <w:rsid w:val="00C67A82"/>
    <w:rsid w:val="00C67B16"/>
    <w:rsid w:val="00C70169"/>
    <w:rsid w:val="00C707B2"/>
    <w:rsid w:val="00C70928"/>
    <w:rsid w:val="00C70AB9"/>
    <w:rsid w:val="00C70C77"/>
    <w:rsid w:val="00C70E00"/>
    <w:rsid w:val="00C71270"/>
    <w:rsid w:val="00C71608"/>
    <w:rsid w:val="00C71840"/>
    <w:rsid w:val="00C71A52"/>
    <w:rsid w:val="00C71AA3"/>
    <w:rsid w:val="00C72030"/>
    <w:rsid w:val="00C722C1"/>
    <w:rsid w:val="00C723D2"/>
    <w:rsid w:val="00C7251F"/>
    <w:rsid w:val="00C728DA"/>
    <w:rsid w:val="00C728DF"/>
    <w:rsid w:val="00C72AFD"/>
    <w:rsid w:val="00C72C2D"/>
    <w:rsid w:val="00C72C66"/>
    <w:rsid w:val="00C72DFE"/>
    <w:rsid w:val="00C72EE7"/>
    <w:rsid w:val="00C72F34"/>
    <w:rsid w:val="00C730D1"/>
    <w:rsid w:val="00C73251"/>
    <w:rsid w:val="00C7346B"/>
    <w:rsid w:val="00C73851"/>
    <w:rsid w:val="00C73BD1"/>
    <w:rsid w:val="00C73DA2"/>
    <w:rsid w:val="00C74318"/>
    <w:rsid w:val="00C74401"/>
    <w:rsid w:val="00C74545"/>
    <w:rsid w:val="00C74694"/>
    <w:rsid w:val="00C74760"/>
    <w:rsid w:val="00C74BE3"/>
    <w:rsid w:val="00C74D08"/>
    <w:rsid w:val="00C74DDE"/>
    <w:rsid w:val="00C74E32"/>
    <w:rsid w:val="00C759D2"/>
    <w:rsid w:val="00C759E4"/>
    <w:rsid w:val="00C75D9F"/>
    <w:rsid w:val="00C75DA0"/>
    <w:rsid w:val="00C75DF9"/>
    <w:rsid w:val="00C75EBB"/>
    <w:rsid w:val="00C7605F"/>
    <w:rsid w:val="00C760D5"/>
    <w:rsid w:val="00C762EC"/>
    <w:rsid w:val="00C76425"/>
    <w:rsid w:val="00C7642D"/>
    <w:rsid w:val="00C76A95"/>
    <w:rsid w:val="00C76AD6"/>
    <w:rsid w:val="00C77185"/>
    <w:rsid w:val="00C77592"/>
    <w:rsid w:val="00C778AF"/>
    <w:rsid w:val="00C77A14"/>
    <w:rsid w:val="00C77A87"/>
    <w:rsid w:val="00C77B2A"/>
    <w:rsid w:val="00C77BD5"/>
    <w:rsid w:val="00C77C13"/>
    <w:rsid w:val="00C77F00"/>
    <w:rsid w:val="00C8046C"/>
    <w:rsid w:val="00C804C1"/>
    <w:rsid w:val="00C806DE"/>
    <w:rsid w:val="00C808E1"/>
    <w:rsid w:val="00C80CCD"/>
    <w:rsid w:val="00C81139"/>
    <w:rsid w:val="00C8115E"/>
    <w:rsid w:val="00C813A4"/>
    <w:rsid w:val="00C81500"/>
    <w:rsid w:val="00C81BB0"/>
    <w:rsid w:val="00C81EDA"/>
    <w:rsid w:val="00C81F29"/>
    <w:rsid w:val="00C820AE"/>
    <w:rsid w:val="00C82772"/>
    <w:rsid w:val="00C828FF"/>
    <w:rsid w:val="00C82B2D"/>
    <w:rsid w:val="00C8354A"/>
    <w:rsid w:val="00C8394A"/>
    <w:rsid w:val="00C83983"/>
    <w:rsid w:val="00C83CE3"/>
    <w:rsid w:val="00C83D54"/>
    <w:rsid w:val="00C83EA6"/>
    <w:rsid w:val="00C84250"/>
    <w:rsid w:val="00C84555"/>
    <w:rsid w:val="00C847C7"/>
    <w:rsid w:val="00C847D1"/>
    <w:rsid w:val="00C84B30"/>
    <w:rsid w:val="00C84B37"/>
    <w:rsid w:val="00C84F44"/>
    <w:rsid w:val="00C85658"/>
    <w:rsid w:val="00C8567E"/>
    <w:rsid w:val="00C85744"/>
    <w:rsid w:val="00C85851"/>
    <w:rsid w:val="00C859C7"/>
    <w:rsid w:val="00C85A47"/>
    <w:rsid w:val="00C85B99"/>
    <w:rsid w:val="00C86151"/>
    <w:rsid w:val="00C8645E"/>
    <w:rsid w:val="00C86473"/>
    <w:rsid w:val="00C86597"/>
    <w:rsid w:val="00C8661C"/>
    <w:rsid w:val="00C866C1"/>
    <w:rsid w:val="00C86973"/>
    <w:rsid w:val="00C86D63"/>
    <w:rsid w:val="00C87339"/>
    <w:rsid w:val="00C8743A"/>
    <w:rsid w:val="00C8799B"/>
    <w:rsid w:val="00C87AAF"/>
    <w:rsid w:val="00C87CB9"/>
    <w:rsid w:val="00C87F52"/>
    <w:rsid w:val="00C87F74"/>
    <w:rsid w:val="00C900A9"/>
    <w:rsid w:val="00C90315"/>
    <w:rsid w:val="00C907B9"/>
    <w:rsid w:val="00C90B30"/>
    <w:rsid w:val="00C90E22"/>
    <w:rsid w:val="00C90EF2"/>
    <w:rsid w:val="00C9107B"/>
    <w:rsid w:val="00C9172C"/>
    <w:rsid w:val="00C917FB"/>
    <w:rsid w:val="00C91ACA"/>
    <w:rsid w:val="00C91C92"/>
    <w:rsid w:val="00C91F7C"/>
    <w:rsid w:val="00C92400"/>
    <w:rsid w:val="00C92478"/>
    <w:rsid w:val="00C92548"/>
    <w:rsid w:val="00C925F8"/>
    <w:rsid w:val="00C926AE"/>
    <w:rsid w:val="00C9273B"/>
    <w:rsid w:val="00C927E0"/>
    <w:rsid w:val="00C92ABB"/>
    <w:rsid w:val="00C92B99"/>
    <w:rsid w:val="00C92C13"/>
    <w:rsid w:val="00C92C49"/>
    <w:rsid w:val="00C932BE"/>
    <w:rsid w:val="00C9353A"/>
    <w:rsid w:val="00C93803"/>
    <w:rsid w:val="00C9391B"/>
    <w:rsid w:val="00C939AD"/>
    <w:rsid w:val="00C93CEE"/>
    <w:rsid w:val="00C93ED0"/>
    <w:rsid w:val="00C93F7D"/>
    <w:rsid w:val="00C941BC"/>
    <w:rsid w:val="00C9465E"/>
    <w:rsid w:val="00C9485A"/>
    <w:rsid w:val="00C94901"/>
    <w:rsid w:val="00C94A74"/>
    <w:rsid w:val="00C94B3B"/>
    <w:rsid w:val="00C94C05"/>
    <w:rsid w:val="00C94CF5"/>
    <w:rsid w:val="00C94EAC"/>
    <w:rsid w:val="00C9506A"/>
    <w:rsid w:val="00C95470"/>
    <w:rsid w:val="00C954BA"/>
    <w:rsid w:val="00C9557E"/>
    <w:rsid w:val="00C958CF"/>
    <w:rsid w:val="00C95930"/>
    <w:rsid w:val="00C95A88"/>
    <w:rsid w:val="00C95AFE"/>
    <w:rsid w:val="00C962D4"/>
    <w:rsid w:val="00C9657B"/>
    <w:rsid w:val="00C96881"/>
    <w:rsid w:val="00C968D5"/>
    <w:rsid w:val="00C96AC6"/>
    <w:rsid w:val="00C96B4D"/>
    <w:rsid w:val="00C96B9C"/>
    <w:rsid w:val="00C96C6D"/>
    <w:rsid w:val="00C96E81"/>
    <w:rsid w:val="00C96FD0"/>
    <w:rsid w:val="00C97158"/>
    <w:rsid w:val="00C97791"/>
    <w:rsid w:val="00C979E7"/>
    <w:rsid w:val="00C97CCA"/>
    <w:rsid w:val="00C97DB3"/>
    <w:rsid w:val="00CA00A5"/>
    <w:rsid w:val="00CA0322"/>
    <w:rsid w:val="00CA04F6"/>
    <w:rsid w:val="00CA0633"/>
    <w:rsid w:val="00CA0A8F"/>
    <w:rsid w:val="00CA0D49"/>
    <w:rsid w:val="00CA1346"/>
    <w:rsid w:val="00CA135E"/>
    <w:rsid w:val="00CA1381"/>
    <w:rsid w:val="00CA157E"/>
    <w:rsid w:val="00CA16EC"/>
    <w:rsid w:val="00CA188B"/>
    <w:rsid w:val="00CA18A5"/>
    <w:rsid w:val="00CA1933"/>
    <w:rsid w:val="00CA19F4"/>
    <w:rsid w:val="00CA1ADD"/>
    <w:rsid w:val="00CA1F44"/>
    <w:rsid w:val="00CA1F7B"/>
    <w:rsid w:val="00CA1F8D"/>
    <w:rsid w:val="00CA214D"/>
    <w:rsid w:val="00CA2451"/>
    <w:rsid w:val="00CA246E"/>
    <w:rsid w:val="00CA2864"/>
    <w:rsid w:val="00CA2996"/>
    <w:rsid w:val="00CA2B11"/>
    <w:rsid w:val="00CA343A"/>
    <w:rsid w:val="00CA3514"/>
    <w:rsid w:val="00CA3743"/>
    <w:rsid w:val="00CA3B1F"/>
    <w:rsid w:val="00CA3BC3"/>
    <w:rsid w:val="00CA408C"/>
    <w:rsid w:val="00CA4482"/>
    <w:rsid w:val="00CA466F"/>
    <w:rsid w:val="00CA48E8"/>
    <w:rsid w:val="00CA490D"/>
    <w:rsid w:val="00CA49F9"/>
    <w:rsid w:val="00CA4B94"/>
    <w:rsid w:val="00CA4EBD"/>
    <w:rsid w:val="00CA5966"/>
    <w:rsid w:val="00CA5FA2"/>
    <w:rsid w:val="00CA619E"/>
    <w:rsid w:val="00CA63C1"/>
    <w:rsid w:val="00CA63EE"/>
    <w:rsid w:val="00CA65D4"/>
    <w:rsid w:val="00CA6642"/>
    <w:rsid w:val="00CA6DAF"/>
    <w:rsid w:val="00CA6E31"/>
    <w:rsid w:val="00CA6ECE"/>
    <w:rsid w:val="00CA7123"/>
    <w:rsid w:val="00CA74BA"/>
    <w:rsid w:val="00CA7688"/>
    <w:rsid w:val="00CA78CD"/>
    <w:rsid w:val="00CA78DC"/>
    <w:rsid w:val="00CA79E1"/>
    <w:rsid w:val="00CA7C15"/>
    <w:rsid w:val="00CB016D"/>
    <w:rsid w:val="00CB01D9"/>
    <w:rsid w:val="00CB03E4"/>
    <w:rsid w:val="00CB0447"/>
    <w:rsid w:val="00CB057B"/>
    <w:rsid w:val="00CB06EF"/>
    <w:rsid w:val="00CB0846"/>
    <w:rsid w:val="00CB0851"/>
    <w:rsid w:val="00CB0BDC"/>
    <w:rsid w:val="00CB0FAF"/>
    <w:rsid w:val="00CB11BD"/>
    <w:rsid w:val="00CB14ED"/>
    <w:rsid w:val="00CB14F9"/>
    <w:rsid w:val="00CB14FD"/>
    <w:rsid w:val="00CB166D"/>
    <w:rsid w:val="00CB16F3"/>
    <w:rsid w:val="00CB17DA"/>
    <w:rsid w:val="00CB1A5C"/>
    <w:rsid w:val="00CB1D4C"/>
    <w:rsid w:val="00CB2238"/>
    <w:rsid w:val="00CB2412"/>
    <w:rsid w:val="00CB2AE6"/>
    <w:rsid w:val="00CB2EE4"/>
    <w:rsid w:val="00CB2F52"/>
    <w:rsid w:val="00CB30E1"/>
    <w:rsid w:val="00CB31EC"/>
    <w:rsid w:val="00CB33D1"/>
    <w:rsid w:val="00CB3587"/>
    <w:rsid w:val="00CB3B96"/>
    <w:rsid w:val="00CB4156"/>
    <w:rsid w:val="00CB4253"/>
    <w:rsid w:val="00CB4B50"/>
    <w:rsid w:val="00CB4FFC"/>
    <w:rsid w:val="00CB521B"/>
    <w:rsid w:val="00CB52DF"/>
    <w:rsid w:val="00CB536B"/>
    <w:rsid w:val="00CB578C"/>
    <w:rsid w:val="00CB5A59"/>
    <w:rsid w:val="00CB5E37"/>
    <w:rsid w:val="00CB608D"/>
    <w:rsid w:val="00CB610B"/>
    <w:rsid w:val="00CB612A"/>
    <w:rsid w:val="00CB62BE"/>
    <w:rsid w:val="00CB6475"/>
    <w:rsid w:val="00CB6727"/>
    <w:rsid w:val="00CB68F3"/>
    <w:rsid w:val="00CB6AAE"/>
    <w:rsid w:val="00CB6D15"/>
    <w:rsid w:val="00CB6DE8"/>
    <w:rsid w:val="00CB7053"/>
    <w:rsid w:val="00CB720A"/>
    <w:rsid w:val="00CB723D"/>
    <w:rsid w:val="00CB72EE"/>
    <w:rsid w:val="00CB78FC"/>
    <w:rsid w:val="00CB7AA6"/>
    <w:rsid w:val="00CB7BEB"/>
    <w:rsid w:val="00CB7ECC"/>
    <w:rsid w:val="00CB7F09"/>
    <w:rsid w:val="00CC00C3"/>
    <w:rsid w:val="00CC0106"/>
    <w:rsid w:val="00CC062F"/>
    <w:rsid w:val="00CC091E"/>
    <w:rsid w:val="00CC09E5"/>
    <w:rsid w:val="00CC0A22"/>
    <w:rsid w:val="00CC0B28"/>
    <w:rsid w:val="00CC0EC0"/>
    <w:rsid w:val="00CC0F65"/>
    <w:rsid w:val="00CC136A"/>
    <w:rsid w:val="00CC13C7"/>
    <w:rsid w:val="00CC13CB"/>
    <w:rsid w:val="00CC1A2A"/>
    <w:rsid w:val="00CC2002"/>
    <w:rsid w:val="00CC2346"/>
    <w:rsid w:val="00CC2545"/>
    <w:rsid w:val="00CC2CEE"/>
    <w:rsid w:val="00CC2D51"/>
    <w:rsid w:val="00CC2DC9"/>
    <w:rsid w:val="00CC3514"/>
    <w:rsid w:val="00CC3579"/>
    <w:rsid w:val="00CC3641"/>
    <w:rsid w:val="00CC3C57"/>
    <w:rsid w:val="00CC3E4F"/>
    <w:rsid w:val="00CC3EA8"/>
    <w:rsid w:val="00CC3EBB"/>
    <w:rsid w:val="00CC414E"/>
    <w:rsid w:val="00CC4608"/>
    <w:rsid w:val="00CC4790"/>
    <w:rsid w:val="00CC4BF5"/>
    <w:rsid w:val="00CC4D6B"/>
    <w:rsid w:val="00CC4F8D"/>
    <w:rsid w:val="00CC545E"/>
    <w:rsid w:val="00CC5E1A"/>
    <w:rsid w:val="00CC5E56"/>
    <w:rsid w:val="00CC608E"/>
    <w:rsid w:val="00CC61C1"/>
    <w:rsid w:val="00CC620B"/>
    <w:rsid w:val="00CC621A"/>
    <w:rsid w:val="00CC650A"/>
    <w:rsid w:val="00CC69FD"/>
    <w:rsid w:val="00CC6A14"/>
    <w:rsid w:val="00CC6AC8"/>
    <w:rsid w:val="00CC6BA5"/>
    <w:rsid w:val="00CC6E02"/>
    <w:rsid w:val="00CC6E4B"/>
    <w:rsid w:val="00CC6ED1"/>
    <w:rsid w:val="00CC6F10"/>
    <w:rsid w:val="00CC71EF"/>
    <w:rsid w:val="00CC78F4"/>
    <w:rsid w:val="00CC7A6E"/>
    <w:rsid w:val="00CC7CD6"/>
    <w:rsid w:val="00CC7DDB"/>
    <w:rsid w:val="00CD02D6"/>
    <w:rsid w:val="00CD035F"/>
    <w:rsid w:val="00CD07D9"/>
    <w:rsid w:val="00CD0A73"/>
    <w:rsid w:val="00CD0AAA"/>
    <w:rsid w:val="00CD0E00"/>
    <w:rsid w:val="00CD1179"/>
    <w:rsid w:val="00CD1200"/>
    <w:rsid w:val="00CD188E"/>
    <w:rsid w:val="00CD1F24"/>
    <w:rsid w:val="00CD22C7"/>
    <w:rsid w:val="00CD3BD3"/>
    <w:rsid w:val="00CD3C9C"/>
    <w:rsid w:val="00CD3FDA"/>
    <w:rsid w:val="00CD42AA"/>
    <w:rsid w:val="00CD462C"/>
    <w:rsid w:val="00CD475C"/>
    <w:rsid w:val="00CD479C"/>
    <w:rsid w:val="00CD47A0"/>
    <w:rsid w:val="00CD47BE"/>
    <w:rsid w:val="00CD4949"/>
    <w:rsid w:val="00CD4986"/>
    <w:rsid w:val="00CD49CD"/>
    <w:rsid w:val="00CD4A56"/>
    <w:rsid w:val="00CD4BE4"/>
    <w:rsid w:val="00CD4D6C"/>
    <w:rsid w:val="00CD4E98"/>
    <w:rsid w:val="00CD532E"/>
    <w:rsid w:val="00CD540C"/>
    <w:rsid w:val="00CD5636"/>
    <w:rsid w:val="00CD5935"/>
    <w:rsid w:val="00CD5DC1"/>
    <w:rsid w:val="00CD5F60"/>
    <w:rsid w:val="00CD60BE"/>
    <w:rsid w:val="00CD6134"/>
    <w:rsid w:val="00CD619E"/>
    <w:rsid w:val="00CD61A2"/>
    <w:rsid w:val="00CD6322"/>
    <w:rsid w:val="00CD6662"/>
    <w:rsid w:val="00CD668A"/>
    <w:rsid w:val="00CD67C2"/>
    <w:rsid w:val="00CD6950"/>
    <w:rsid w:val="00CD6A10"/>
    <w:rsid w:val="00CD6E18"/>
    <w:rsid w:val="00CD6E1E"/>
    <w:rsid w:val="00CD6EA9"/>
    <w:rsid w:val="00CD7068"/>
    <w:rsid w:val="00CD7112"/>
    <w:rsid w:val="00CD72D2"/>
    <w:rsid w:val="00CD73EB"/>
    <w:rsid w:val="00CD740A"/>
    <w:rsid w:val="00CD75F7"/>
    <w:rsid w:val="00CD77B7"/>
    <w:rsid w:val="00CD7982"/>
    <w:rsid w:val="00CD7A49"/>
    <w:rsid w:val="00CD7A7A"/>
    <w:rsid w:val="00CD7C4F"/>
    <w:rsid w:val="00CE0209"/>
    <w:rsid w:val="00CE049F"/>
    <w:rsid w:val="00CE0545"/>
    <w:rsid w:val="00CE06B3"/>
    <w:rsid w:val="00CE0964"/>
    <w:rsid w:val="00CE0EDA"/>
    <w:rsid w:val="00CE0EFA"/>
    <w:rsid w:val="00CE10B5"/>
    <w:rsid w:val="00CE10FD"/>
    <w:rsid w:val="00CE15E1"/>
    <w:rsid w:val="00CE1704"/>
    <w:rsid w:val="00CE1951"/>
    <w:rsid w:val="00CE19D2"/>
    <w:rsid w:val="00CE1A9B"/>
    <w:rsid w:val="00CE1A9F"/>
    <w:rsid w:val="00CE23C5"/>
    <w:rsid w:val="00CE246F"/>
    <w:rsid w:val="00CE2D52"/>
    <w:rsid w:val="00CE2EBE"/>
    <w:rsid w:val="00CE30C8"/>
    <w:rsid w:val="00CE3AC7"/>
    <w:rsid w:val="00CE3C4C"/>
    <w:rsid w:val="00CE3E92"/>
    <w:rsid w:val="00CE3EE6"/>
    <w:rsid w:val="00CE3EF1"/>
    <w:rsid w:val="00CE40D8"/>
    <w:rsid w:val="00CE43C1"/>
    <w:rsid w:val="00CE450D"/>
    <w:rsid w:val="00CE45F8"/>
    <w:rsid w:val="00CE4A6C"/>
    <w:rsid w:val="00CE4B31"/>
    <w:rsid w:val="00CE4E9C"/>
    <w:rsid w:val="00CE4E9D"/>
    <w:rsid w:val="00CE4F7E"/>
    <w:rsid w:val="00CE58C0"/>
    <w:rsid w:val="00CE599B"/>
    <w:rsid w:val="00CE5C03"/>
    <w:rsid w:val="00CE5E34"/>
    <w:rsid w:val="00CE60C7"/>
    <w:rsid w:val="00CE61A4"/>
    <w:rsid w:val="00CE65BC"/>
    <w:rsid w:val="00CE65EE"/>
    <w:rsid w:val="00CE662C"/>
    <w:rsid w:val="00CE6664"/>
    <w:rsid w:val="00CE67CC"/>
    <w:rsid w:val="00CE6B27"/>
    <w:rsid w:val="00CE6D37"/>
    <w:rsid w:val="00CE6F5D"/>
    <w:rsid w:val="00CE71B4"/>
    <w:rsid w:val="00CE75CE"/>
    <w:rsid w:val="00CE762C"/>
    <w:rsid w:val="00CE792D"/>
    <w:rsid w:val="00CE7AB4"/>
    <w:rsid w:val="00CE7E86"/>
    <w:rsid w:val="00CF0002"/>
    <w:rsid w:val="00CF0603"/>
    <w:rsid w:val="00CF08E0"/>
    <w:rsid w:val="00CF08E2"/>
    <w:rsid w:val="00CF0F28"/>
    <w:rsid w:val="00CF107F"/>
    <w:rsid w:val="00CF117F"/>
    <w:rsid w:val="00CF1770"/>
    <w:rsid w:val="00CF17B1"/>
    <w:rsid w:val="00CF19C9"/>
    <w:rsid w:val="00CF1A5B"/>
    <w:rsid w:val="00CF1CF8"/>
    <w:rsid w:val="00CF22FA"/>
    <w:rsid w:val="00CF244A"/>
    <w:rsid w:val="00CF27D1"/>
    <w:rsid w:val="00CF28D3"/>
    <w:rsid w:val="00CF2962"/>
    <w:rsid w:val="00CF2A0C"/>
    <w:rsid w:val="00CF2D38"/>
    <w:rsid w:val="00CF2EEB"/>
    <w:rsid w:val="00CF2F69"/>
    <w:rsid w:val="00CF2FAF"/>
    <w:rsid w:val="00CF3287"/>
    <w:rsid w:val="00CF32B3"/>
    <w:rsid w:val="00CF3494"/>
    <w:rsid w:val="00CF34B3"/>
    <w:rsid w:val="00CF351E"/>
    <w:rsid w:val="00CF352E"/>
    <w:rsid w:val="00CF377D"/>
    <w:rsid w:val="00CF3A72"/>
    <w:rsid w:val="00CF3BAB"/>
    <w:rsid w:val="00CF3F72"/>
    <w:rsid w:val="00CF46A4"/>
    <w:rsid w:val="00CF493F"/>
    <w:rsid w:val="00CF49D9"/>
    <w:rsid w:val="00CF4ABB"/>
    <w:rsid w:val="00CF572F"/>
    <w:rsid w:val="00CF57C2"/>
    <w:rsid w:val="00CF5AFD"/>
    <w:rsid w:val="00CF5C78"/>
    <w:rsid w:val="00CF5CB4"/>
    <w:rsid w:val="00CF5EDA"/>
    <w:rsid w:val="00CF60C6"/>
    <w:rsid w:val="00CF6191"/>
    <w:rsid w:val="00CF620A"/>
    <w:rsid w:val="00CF6734"/>
    <w:rsid w:val="00CF6832"/>
    <w:rsid w:val="00CF6E6C"/>
    <w:rsid w:val="00CF758F"/>
    <w:rsid w:val="00CF7724"/>
    <w:rsid w:val="00CF776C"/>
    <w:rsid w:val="00CF79B9"/>
    <w:rsid w:val="00CF7C8E"/>
    <w:rsid w:val="00CF7CA5"/>
    <w:rsid w:val="00CF7D63"/>
    <w:rsid w:val="00CF7F3B"/>
    <w:rsid w:val="00D00280"/>
    <w:rsid w:val="00D003C4"/>
    <w:rsid w:val="00D004F6"/>
    <w:rsid w:val="00D00835"/>
    <w:rsid w:val="00D00EAD"/>
    <w:rsid w:val="00D011BC"/>
    <w:rsid w:val="00D012DF"/>
    <w:rsid w:val="00D016D8"/>
    <w:rsid w:val="00D018D1"/>
    <w:rsid w:val="00D01D26"/>
    <w:rsid w:val="00D01E4C"/>
    <w:rsid w:val="00D01FE5"/>
    <w:rsid w:val="00D02139"/>
    <w:rsid w:val="00D0231F"/>
    <w:rsid w:val="00D0257A"/>
    <w:rsid w:val="00D025B9"/>
    <w:rsid w:val="00D02605"/>
    <w:rsid w:val="00D029F2"/>
    <w:rsid w:val="00D02A93"/>
    <w:rsid w:val="00D03049"/>
    <w:rsid w:val="00D03058"/>
    <w:rsid w:val="00D03118"/>
    <w:rsid w:val="00D0322E"/>
    <w:rsid w:val="00D032D5"/>
    <w:rsid w:val="00D033EC"/>
    <w:rsid w:val="00D033FF"/>
    <w:rsid w:val="00D0341C"/>
    <w:rsid w:val="00D0351E"/>
    <w:rsid w:val="00D036CA"/>
    <w:rsid w:val="00D03757"/>
    <w:rsid w:val="00D03830"/>
    <w:rsid w:val="00D03A47"/>
    <w:rsid w:val="00D03CB1"/>
    <w:rsid w:val="00D03FF8"/>
    <w:rsid w:val="00D041F3"/>
    <w:rsid w:val="00D043B6"/>
    <w:rsid w:val="00D04421"/>
    <w:rsid w:val="00D04572"/>
    <w:rsid w:val="00D04619"/>
    <w:rsid w:val="00D04895"/>
    <w:rsid w:val="00D049C1"/>
    <w:rsid w:val="00D04A9D"/>
    <w:rsid w:val="00D04B27"/>
    <w:rsid w:val="00D04EC1"/>
    <w:rsid w:val="00D05112"/>
    <w:rsid w:val="00D054D5"/>
    <w:rsid w:val="00D05B90"/>
    <w:rsid w:val="00D05C23"/>
    <w:rsid w:val="00D05E63"/>
    <w:rsid w:val="00D05FCF"/>
    <w:rsid w:val="00D06676"/>
    <w:rsid w:val="00D0679D"/>
    <w:rsid w:val="00D0680F"/>
    <w:rsid w:val="00D0684E"/>
    <w:rsid w:val="00D06906"/>
    <w:rsid w:val="00D06AB3"/>
    <w:rsid w:val="00D06EF5"/>
    <w:rsid w:val="00D06FED"/>
    <w:rsid w:val="00D07076"/>
    <w:rsid w:val="00D07194"/>
    <w:rsid w:val="00D07260"/>
    <w:rsid w:val="00D07267"/>
    <w:rsid w:val="00D07392"/>
    <w:rsid w:val="00D073F4"/>
    <w:rsid w:val="00D07470"/>
    <w:rsid w:val="00D07494"/>
    <w:rsid w:val="00D07794"/>
    <w:rsid w:val="00D07C32"/>
    <w:rsid w:val="00D07E27"/>
    <w:rsid w:val="00D10044"/>
    <w:rsid w:val="00D1018B"/>
    <w:rsid w:val="00D1072F"/>
    <w:rsid w:val="00D10D93"/>
    <w:rsid w:val="00D10E4D"/>
    <w:rsid w:val="00D110E2"/>
    <w:rsid w:val="00D1114E"/>
    <w:rsid w:val="00D112B2"/>
    <w:rsid w:val="00D11397"/>
    <w:rsid w:val="00D1145E"/>
    <w:rsid w:val="00D1148B"/>
    <w:rsid w:val="00D11765"/>
    <w:rsid w:val="00D11CC9"/>
    <w:rsid w:val="00D11F9A"/>
    <w:rsid w:val="00D11FC6"/>
    <w:rsid w:val="00D1209E"/>
    <w:rsid w:val="00D121D1"/>
    <w:rsid w:val="00D12759"/>
    <w:rsid w:val="00D129B2"/>
    <w:rsid w:val="00D12D25"/>
    <w:rsid w:val="00D12E77"/>
    <w:rsid w:val="00D13239"/>
    <w:rsid w:val="00D1343D"/>
    <w:rsid w:val="00D13510"/>
    <w:rsid w:val="00D13667"/>
    <w:rsid w:val="00D13771"/>
    <w:rsid w:val="00D13BE9"/>
    <w:rsid w:val="00D13D38"/>
    <w:rsid w:val="00D13DF8"/>
    <w:rsid w:val="00D143B1"/>
    <w:rsid w:val="00D146A3"/>
    <w:rsid w:val="00D146A4"/>
    <w:rsid w:val="00D1471C"/>
    <w:rsid w:val="00D149EB"/>
    <w:rsid w:val="00D14E13"/>
    <w:rsid w:val="00D14EB5"/>
    <w:rsid w:val="00D15236"/>
    <w:rsid w:val="00D1528A"/>
    <w:rsid w:val="00D153AF"/>
    <w:rsid w:val="00D15805"/>
    <w:rsid w:val="00D1589B"/>
    <w:rsid w:val="00D159E9"/>
    <w:rsid w:val="00D15B4F"/>
    <w:rsid w:val="00D15D3D"/>
    <w:rsid w:val="00D15E9E"/>
    <w:rsid w:val="00D160E1"/>
    <w:rsid w:val="00D16126"/>
    <w:rsid w:val="00D161C4"/>
    <w:rsid w:val="00D164CE"/>
    <w:rsid w:val="00D16531"/>
    <w:rsid w:val="00D1656E"/>
    <w:rsid w:val="00D1689C"/>
    <w:rsid w:val="00D168B6"/>
    <w:rsid w:val="00D168ED"/>
    <w:rsid w:val="00D169B9"/>
    <w:rsid w:val="00D16A32"/>
    <w:rsid w:val="00D16CAE"/>
    <w:rsid w:val="00D17334"/>
    <w:rsid w:val="00D17559"/>
    <w:rsid w:val="00D176D5"/>
    <w:rsid w:val="00D177C3"/>
    <w:rsid w:val="00D1792A"/>
    <w:rsid w:val="00D17E91"/>
    <w:rsid w:val="00D17FCA"/>
    <w:rsid w:val="00D20106"/>
    <w:rsid w:val="00D204A2"/>
    <w:rsid w:val="00D20853"/>
    <w:rsid w:val="00D20CD5"/>
    <w:rsid w:val="00D210C2"/>
    <w:rsid w:val="00D21893"/>
    <w:rsid w:val="00D218A0"/>
    <w:rsid w:val="00D21D47"/>
    <w:rsid w:val="00D21ECA"/>
    <w:rsid w:val="00D21EDF"/>
    <w:rsid w:val="00D225B6"/>
    <w:rsid w:val="00D226AB"/>
    <w:rsid w:val="00D226D3"/>
    <w:rsid w:val="00D2284C"/>
    <w:rsid w:val="00D228A6"/>
    <w:rsid w:val="00D22CF5"/>
    <w:rsid w:val="00D22E06"/>
    <w:rsid w:val="00D23249"/>
    <w:rsid w:val="00D2324F"/>
    <w:rsid w:val="00D232E0"/>
    <w:rsid w:val="00D23723"/>
    <w:rsid w:val="00D2377F"/>
    <w:rsid w:val="00D238E4"/>
    <w:rsid w:val="00D23C53"/>
    <w:rsid w:val="00D23DF6"/>
    <w:rsid w:val="00D23EE8"/>
    <w:rsid w:val="00D23F4E"/>
    <w:rsid w:val="00D24637"/>
    <w:rsid w:val="00D24738"/>
    <w:rsid w:val="00D24948"/>
    <w:rsid w:val="00D24A09"/>
    <w:rsid w:val="00D24A3F"/>
    <w:rsid w:val="00D24A75"/>
    <w:rsid w:val="00D24F4D"/>
    <w:rsid w:val="00D24F5B"/>
    <w:rsid w:val="00D25A36"/>
    <w:rsid w:val="00D26226"/>
    <w:rsid w:val="00D26566"/>
    <w:rsid w:val="00D2670F"/>
    <w:rsid w:val="00D26A11"/>
    <w:rsid w:val="00D26B05"/>
    <w:rsid w:val="00D26B82"/>
    <w:rsid w:val="00D26C02"/>
    <w:rsid w:val="00D26D33"/>
    <w:rsid w:val="00D26E6C"/>
    <w:rsid w:val="00D26FDE"/>
    <w:rsid w:val="00D27143"/>
    <w:rsid w:val="00D27769"/>
    <w:rsid w:val="00D27A51"/>
    <w:rsid w:val="00D27C90"/>
    <w:rsid w:val="00D3017C"/>
    <w:rsid w:val="00D301AF"/>
    <w:rsid w:val="00D30217"/>
    <w:rsid w:val="00D305F0"/>
    <w:rsid w:val="00D3064B"/>
    <w:rsid w:val="00D307AB"/>
    <w:rsid w:val="00D30892"/>
    <w:rsid w:val="00D30899"/>
    <w:rsid w:val="00D30A87"/>
    <w:rsid w:val="00D30B3A"/>
    <w:rsid w:val="00D30D61"/>
    <w:rsid w:val="00D311BF"/>
    <w:rsid w:val="00D3150D"/>
    <w:rsid w:val="00D317C6"/>
    <w:rsid w:val="00D318FA"/>
    <w:rsid w:val="00D32A1D"/>
    <w:rsid w:val="00D32D51"/>
    <w:rsid w:val="00D32DFA"/>
    <w:rsid w:val="00D32E3F"/>
    <w:rsid w:val="00D32F88"/>
    <w:rsid w:val="00D3361C"/>
    <w:rsid w:val="00D3362A"/>
    <w:rsid w:val="00D3368B"/>
    <w:rsid w:val="00D3396F"/>
    <w:rsid w:val="00D339CD"/>
    <w:rsid w:val="00D33BCD"/>
    <w:rsid w:val="00D33D67"/>
    <w:rsid w:val="00D33E5B"/>
    <w:rsid w:val="00D343D0"/>
    <w:rsid w:val="00D34476"/>
    <w:rsid w:val="00D3463A"/>
    <w:rsid w:val="00D3472C"/>
    <w:rsid w:val="00D3474B"/>
    <w:rsid w:val="00D347D1"/>
    <w:rsid w:val="00D3489C"/>
    <w:rsid w:val="00D349A3"/>
    <w:rsid w:val="00D34DF2"/>
    <w:rsid w:val="00D3530F"/>
    <w:rsid w:val="00D354C1"/>
    <w:rsid w:val="00D354F8"/>
    <w:rsid w:val="00D359CC"/>
    <w:rsid w:val="00D35B4E"/>
    <w:rsid w:val="00D35C63"/>
    <w:rsid w:val="00D35CE8"/>
    <w:rsid w:val="00D36167"/>
    <w:rsid w:val="00D364A1"/>
    <w:rsid w:val="00D36558"/>
    <w:rsid w:val="00D3669F"/>
    <w:rsid w:val="00D36728"/>
    <w:rsid w:val="00D36840"/>
    <w:rsid w:val="00D36AC6"/>
    <w:rsid w:val="00D36B60"/>
    <w:rsid w:val="00D36C90"/>
    <w:rsid w:val="00D36E1E"/>
    <w:rsid w:val="00D371E0"/>
    <w:rsid w:val="00D371E5"/>
    <w:rsid w:val="00D37240"/>
    <w:rsid w:val="00D37294"/>
    <w:rsid w:val="00D375C6"/>
    <w:rsid w:val="00D37676"/>
    <w:rsid w:val="00D376BD"/>
    <w:rsid w:val="00D37756"/>
    <w:rsid w:val="00D37A0A"/>
    <w:rsid w:val="00D37A16"/>
    <w:rsid w:val="00D37CB6"/>
    <w:rsid w:val="00D400AB"/>
    <w:rsid w:val="00D400B3"/>
    <w:rsid w:val="00D400C7"/>
    <w:rsid w:val="00D4037E"/>
    <w:rsid w:val="00D406FB"/>
    <w:rsid w:val="00D407F3"/>
    <w:rsid w:val="00D40C7A"/>
    <w:rsid w:val="00D41748"/>
    <w:rsid w:val="00D41774"/>
    <w:rsid w:val="00D41866"/>
    <w:rsid w:val="00D418B6"/>
    <w:rsid w:val="00D420AD"/>
    <w:rsid w:val="00D42181"/>
    <w:rsid w:val="00D424F5"/>
    <w:rsid w:val="00D42D9F"/>
    <w:rsid w:val="00D42DF0"/>
    <w:rsid w:val="00D42E22"/>
    <w:rsid w:val="00D42FD2"/>
    <w:rsid w:val="00D43412"/>
    <w:rsid w:val="00D436D9"/>
    <w:rsid w:val="00D438D2"/>
    <w:rsid w:val="00D438E8"/>
    <w:rsid w:val="00D43A57"/>
    <w:rsid w:val="00D43E16"/>
    <w:rsid w:val="00D440C9"/>
    <w:rsid w:val="00D44176"/>
    <w:rsid w:val="00D44317"/>
    <w:rsid w:val="00D4431B"/>
    <w:rsid w:val="00D44466"/>
    <w:rsid w:val="00D444D6"/>
    <w:rsid w:val="00D44C62"/>
    <w:rsid w:val="00D44CF6"/>
    <w:rsid w:val="00D45303"/>
    <w:rsid w:val="00D45645"/>
    <w:rsid w:val="00D45AC5"/>
    <w:rsid w:val="00D45B11"/>
    <w:rsid w:val="00D45BF4"/>
    <w:rsid w:val="00D45D3D"/>
    <w:rsid w:val="00D45DA1"/>
    <w:rsid w:val="00D45DAE"/>
    <w:rsid w:val="00D45EAD"/>
    <w:rsid w:val="00D45F0B"/>
    <w:rsid w:val="00D45FA3"/>
    <w:rsid w:val="00D463BB"/>
    <w:rsid w:val="00D46501"/>
    <w:rsid w:val="00D467A8"/>
    <w:rsid w:val="00D46875"/>
    <w:rsid w:val="00D46889"/>
    <w:rsid w:val="00D46ADE"/>
    <w:rsid w:val="00D46E1B"/>
    <w:rsid w:val="00D47230"/>
    <w:rsid w:val="00D47250"/>
    <w:rsid w:val="00D472DE"/>
    <w:rsid w:val="00D47D60"/>
    <w:rsid w:val="00D47F0D"/>
    <w:rsid w:val="00D5007F"/>
    <w:rsid w:val="00D50104"/>
    <w:rsid w:val="00D50138"/>
    <w:rsid w:val="00D5098C"/>
    <w:rsid w:val="00D509B2"/>
    <w:rsid w:val="00D50A65"/>
    <w:rsid w:val="00D50B85"/>
    <w:rsid w:val="00D50BC3"/>
    <w:rsid w:val="00D50CA5"/>
    <w:rsid w:val="00D50E29"/>
    <w:rsid w:val="00D50E88"/>
    <w:rsid w:val="00D50EF1"/>
    <w:rsid w:val="00D512CC"/>
    <w:rsid w:val="00D51553"/>
    <w:rsid w:val="00D51669"/>
    <w:rsid w:val="00D51752"/>
    <w:rsid w:val="00D5186B"/>
    <w:rsid w:val="00D51A4E"/>
    <w:rsid w:val="00D51A66"/>
    <w:rsid w:val="00D51BA4"/>
    <w:rsid w:val="00D5219F"/>
    <w:rsid w:val="00D52403"/>
    <w:rsid w:val="00D526C7"/>
    <w:rsid w:val="00D52892"/>
    <w:rsid w:val="00D529C6"/>
    <w:rsid w:val="00D52AC2"/>
    <w:rsid w:val="00D52B4D"/>
    <w:rsid w:val="00D52C8E"/>
    <w:rsid w:val="00D52F1C"/>
    <w:rsid w:val="00D53451"/>
    <w:rsid w:val="00D534EA"/>
    <w:rsid w:val="00D538C6"/>
    <w:rsid w:val="00D53DD4"/>
    <w:rsid w:val="00D53E1A"/>
    <w:rsid w:val="00D542E4"/>
    <w:rsid w:val="00D54335"/>
    <w:rsid w:val="00D54593"/>
    <w:rsid w:val="00D545C1"/>
    <w:rsid w:val="00D5494C"/>
    <w:rsid w:val="00D54B5F"/>
    <w:rsid w:val="00D54BEF"/>
    <w:rsid w:val="00D5524B"/>
    <w:rsid w:val="00D554D0"/>
    <w:rsid w:val="00D555D7"/>
    <w:rsid w:val="00D555F3"/>
    <w:rsid w:val="00D55826"/>
    <w:rsid w:val="00D55837"/>
    <w:rsid w:val="00D55A19"/>
    <w:rsid w:val="00D55ED6"/>
    <w:rsid w:val="00D55FF5"/>
    <w:rsid w:val="00D562E5"/>
    <w:rsid w:val="00D56312"/>
    <w:rsid w:val="00D56556"/>
    <w:rsid w:val="00D56892"/>
    <w:rsid w:val="00D56C03"/>
    <w:rsid w:val="00D56CB2"/>
    <w:rsid w:val="00D5701D"/>
    <w:rsid w:val="00D571DB"/>
    <w:rsid w:val="00D57212"/>
    <w:rsid w:val="00D57226"/>
    <w:rsid w:val="00D57399"/>
    <w:rsid w:val="00D57964"/>
    <w:rsid w:val="00D57972"/>
    <w:rsid w:val="00D57A41"/>
    <w:rsid w:val="00D57ADD"/>
    <w:rsid w:val="00D57B0E"/>
    <w:rsid w:val="00D57EE1"/>
    <w:rsid w:val="00D6000A"/>
    <w:rsid w:val="00D600AE"/>
    <w:rsid w:val="00D60114"/>
    <w:rsid w:val="00D60144"/>
    <w:rsid w:val="00D60566"/>
    <w:rsid w:val="00D607D4"/>
    <w:rsid w:val="00D60935"/>
    <w:rsid w:val="00D60EBE"/>
    <w:rsid w:val="00D61066"/>
    <w:rsid w:val="00D617E4"/>
    <w:rsid w:val="00D61B2C"/>
    <w:rsid w:val="00D61B6A"/>
    <w:rsid w:val="00D61DB7"/>
    <w:rsid w:val="00D621D7"/>
    <w:rsid w:val="00D62207"/>
    <w:rsid w:val="00D623A8"/>
    <w:rsid w:val="00D624BB"/>
    <w:rsid w:val="00D629D5"/>
    <w:rsid w:val="00D62E3D"/>
    <w:rsid w:val="00D63164"/>
    <w:rsid w:val="00D63586"/>
    <w:rsid w:val="00D6359C"/>
    <w:rsid w:val="00D63703"/>
    <w:rsid w:val="00D63770"/>
    <w:rsid w:val="00D637C1"/>
    <w:rsid w:val="00D637D9"/>
    <w:rsid w:val="00D638F8"/>
    <w:rsid w:val="00D63BAC"/>
    <w:rsid w:val="00D63C7A"/>
    <w:rsid w:val="00D64146"/>
    <w:rsid w:val="00D6419F"/>
    <w:rsid w:val="00D642D7"/>
    <w:rsid w:val="00D643E9"/>
    <w:rsid w:val="00D643F6"/>
    <w:rsid w:val="00D6457C"/>
    <w:rsid w:val="00D6464D"/>
    <w:rsid w:val="00D648AE"/>
    <w:rsid w:val="00D64D20"/>
    <w:rsid w:val="00D64D25"/>
    <w:rsid w:val="00D64D5F"/>
    <w:rsid w:val="00D64DCB"/>
    <w:rsid w:val="00D64E2C"/>
    <w:rsid w:val="00D64E80"/>
    <w:rsid w:val="00D64EDF"/>
    <w:rsid w:val="00D64F06"/>
    <w:rsid w:val="00D65225"/>
    <w:rsid w:val="00D658F1"/>
    <w:rsid w:val="00D659FD"/>
    <w:rsid w:val="00D65C2A"/>
    <w:rsid w:val="00D65E9F"/>
    <w:rsid w:val="00D660D6"/>
    <w:rsid w:val="00D6651F"/>
    <w:rsid w:val="00D66DCF"/>
    <w:rsid w:val="00D66FCA"/>
    <w:rsid w:val="00D6706F"/>
    <w:rsid w:val="00D670BF"/>
    <w:rsid w:val="00D671BF"/>
    <w:rsid w:val="00D671C2"/>
    <w:rsid w:val="00D672EE"/>
    <w:rsid w:val="00D67375"/>
    <w:rsid w:val="00D67727"/>
    <w:rsid w:val="00D679C3"/>
    <w:rsid w:val="00D67D50"/>
    <w:rsid w:val="00D67E65"/>
    <w:rsid w:val="00D70018"/>
    <w:rsid w:val="00D7012D"/>
    <w:rsid w:val="00D705EC"/>
    <w:rsid w:val="00D707CF"/>
    <w:rsid w:val="00D71057"/>
    <w:rsid w:val="00D7124E"/>
    <w:rsid w:val="00D713DB"/>
    <w:rsid w:val="00D71415"/>
    <w:rsid w:val="00D716A5"/>
    <w:rsid w:val="00D71769"/>
    <w:rsid w:val="00D717B9"/>
    <w:rsid w:val="00D71828"/>
    <w:rsid w:val="00D71AD2"/>
    <w:rsid w:val="00D71BFC"/>
    <w:rsid w:val="00D7250C"/>
    <w:rsid w:val="00D727C0"/>
    <w:rsid w:val="00D72B78"/>
    <w:rsid w:val="00D73005"/>
    <w:rsid w:val="00D730C4"/>
    <w:rsid w:val="00D73609"/>
    <w:rsid w:val="00D738A4"/>
    <w:rsid w:val="00D738B3"/>
    <w:rsid w:val="00D73F1B"/>
    <w:rsid w:val="00D740C9"/>
    <w:rsid w:val="00D74150"/>
    <w:rsid w:val="00D742CA"/>
    <w:rsid w:val="00D746E9"/>
    <w:rsid w:val="00D74A09"/>
    <w:rsid w:val="00D74B48"/>
    <w:rsid w:val="00D74F58"/>
    <w:rsid w:val="00D755EB"/>
    <w:rsid w:val="00D755F3"/>
    <w:rsid w:val="00D7597C"/>
    <w:rsid w:val="00D759B5"/>
    <w:rsid w:val="00D75A47"/>
    <w:rsid w:val="00D75B27"/>
    <w:rsid w:val="00D75DF5"/>
    <w:rsid w:val="00D7621A"/>
    <w:rsid w:val="00D7633E"/>
    <w:rsid w:val="00D76347"/>
    <w:rsid w:val="00D766F1"/>
    <w:rsid w:val="00D76786"/>
    <w:rsid w:val="00D76F78"/>
    <w:rsid w:val="00D77094"/>
    <w:rsid w:val="00D7737C"/>
    <w:rsid w:val="00D773F4"/>
    <w:rsid w:val="00D77795"/>
    <w:rsid w:val="00D77833"/>
    <w:rsid w:val="00D77CA1"/>
    <w:rsid w:val="00D8001E"/>
    <w:rsid w:val="00D802BA"/>
    <w:rsid w:val="00D803AE"/>
    <w:rsid w:val="00D80509"/>
    <w:rsid w:val="00D805E4"/>
    <w:rsid w:val="00D805FD"/>
    <w:rsid w:val="00D8067A"/>
    <w:rsid w:val="00D807B8"/>
    <w:rsid w:val="00D80869"/>
    <w:rsid w:val="00D808FA"/>
    <w:rsid w:val="00D8106D"/>
    <w:rsid w:val="00D815A0"/>
    <w:rsid w:val="00D81645"/>
    <w:rsid w:val="00D81696"/>
    <w:rsid w:val="00D81C70"/>
    <w:rsid w:val="00D81C81"/>
    <w:rsid w:val="00D81C9E"/>
    <w:rsid w:val="00D81DB9"/>
    <w:rsid w:val="00D8206C"/>
    <w:rsid w:val="00D820F2"/>
    <w:rsid w:val="00D82448"/>
    <w:rsid w:val="00D825D9"/>
    <w:rsid w:val="00D8269C"/>
    <w:rsid w:val="00D826A0"/>
    <w:rsid w:val="00D826D6"/>
    <w:rsid w:val="00D8275B"/>
    <w:rsid w:val="00D829DC"/>
    <w:rsid w:val="00D82C5A"/>
    <w:rsid w:val="00D832B3"/>
    <w:rsid w:val="00D836E2"/>
    <w:rsid w:val="00D83872"/>
    <w:rsid w:val="00D83C3A"/>
    <w:rsid w:val="00D83F09"/>
    <w:rsid w:val="00D83FA3"/>
    <w:rsid w:val="00D83FEE"/>
    <w:rsid w:val="00D8455D"/>
    <w:rsid w:val="00D84F62"/>
    <w:rsid w:val="00D851D4"/>
    <w:rsid w:val="00D85581"/>
    <w:rsid w:val="00D855FF"/>
    <w:rsid w:val="00D85738"/>
    <w:rsid w:val="00D85EE7"/>
    <w:rsid w:val="00D860D0"/>
    <w:rsid w:val="00D86582"/>
    <w:rsid w:val="00D86769"/>
    <w:rsid w:val="00D869B6"/>
    <w:rsid w:val="00D86A5E"/>
    <w:rsid w:val="00D86B3B"/>
    <w:rsid w:val="00D86FD0"/>
    <w:rsid w:val="00D87093"/>
    <w:rsid w:val="00D87A71"/>
    <w:rsid w:val="00D87C73"/>
    <w:rsid w:val="00D87DC7"/>
    <w:rsid w:val="00D87DDA"/>
    <w:rsid w:val="00D9000B"/>
    <w:rsid w:val="00D900EF"/>
    <w:rsid w:val="00D90209"/>
    <w:rsid w:val="00D90408"/>
    <w:rsid w:val="00D90690"/>
    <w:rsid w:val="00D90768"/>
    <w:rsid w:val="00D915E1"/>
    <w:rsid w:val="00D91AA2"/>
    <w:rsid w:val="00D91BA0"/>
    <w:rsid w:val="00D91C3D"/>
    <w:rsid w:val="00D91FC8"/>
    <w:rsid w:val="00D91FF6"/>
    <w:rsid w:val="00D9204E"/>
    <w:rsid w:val="00D922C0"/>
    <w:rsid w:val="00D923EA"/>
    <w:rsid w:val="00D92644"/>
    <w:rsid w:val="00D928FE"/>
    <w:rsid w:val="00D92942"/>
    <w:rsid w:val="00D92976"/>
    <w:rsid w:val="00D92BFE"/>
    <w:rsid w:val="00D92C50"/>
    <w:rsid w:val="00D92DC3"/>
    <w:rsid w:val="00D92EA8"/>
    <w:rsid w:val="00D93010"/>
    <w:rsid w:val="00D93116"/>
    <w:rsid w:val="00D93184"/>
    <w:rsid w:val="00D9342A"/>
    <w:rsid w:val="00D93469"/>
    <w:rsid w:val="00D93619"/>
    <w:rsid w:val="00D93640"/>
    <w:rsid w:val="00D9387C"/>
    <w:rsid w:val="00D93E9C"/>
    <w:rsid w:val="00D94161"/>
    <w:rsid w:val="00D941E4"/>
    <w:rsid w:val="00D94248"/>
    <w:rsid w:val="00D942CC"/>
    <w:rsid w:val="00D94765"/>
    <w:rsid w:val="00D9482F"/>
    <w:rsid w:val="00D94870"/>
    <w:rsid w:val="00D948C3"/>
    <w:rsid w:val="00D94BB8"/>
    <w:rsid w:val="00D94BCE"/>
    <w:rsid w:val="00D94D02"/>
    <w:rsid w:val="00D94E8F"/>
    <w:rsid w:val="00D9528A"/>
    <w:rsid w:val="00D9531A"/>
    <w:rsid w:val="00D9595B"/>
    <w:rsid w:val="00D95C66"/>
    <w:rsid w:val="00D95F0C"/>
    <w:rsid w:val="00D95FC5"/>
    <w:rsid w:val="00D96011"/>
    <w:rsid w:val="00D960FD"/>
    <w:rsid w:val="00D96318"/>
    <w:rsid w:val="00D96633"/>
    <w:rsid w:val="00D969DC"/>
    <w:rsid w:val="00D96A44"/>
    <w:rsid w:val="00D96A80"/>
    <w:rsid w:val="00D96A8E"/>
    <w:rsid w:val="00D96EDE"/>
    <w:rsid w:val="00D9702A"/>
    <w:rsid w:val="00D97326"/>
    <w:rsid w:val="00D9742F"/>
    <w:rsid w:val="00D975FE"/>
    <w:rsid w:val="00D97754"/>
    <w:rsid w:val="00D97B59"/>
    <w:rsid w:val="00D97FB3"/>
    <w:rsid w:val="00DA0134"/>
    <w:rsid w:val="00DA0456"/>
    <w:rsid w:val="00DA056C"/>
    <w:rsid w:val="00DA05D3"/>
    <w:rsid w:val="00DA0779"/>
    <w:rsid w:val="00DA0B6E"/>
    <w:rsid w:val="00DA1188"/>
    <w:rsid w:val="00DA1212"/>
    <w:rsid w:val="00DA13A8"/>
    <w:rsid w:val="00DA1539"/>
    <w:rsid w:val="00DA1786"/>
    <w:rsid w:val="00DA1AAB"/>
    <w:rsid w:val="00DA1D8A"/>
    <w:rsid w:val="00DA1E03"/>
    <w:rsid w:val="00DA22CB"/>
    <w:rsid w:val="00DA23E2"/>
    <w:rsid w:val="00DA2556"/>
    <w:rsid w:val="00DA25BB"/>
    <w:rsid w:val="00DA283B"/>
    <w:rsid w:val="00DA2960"/>
    <w:rsid w:val="00DA2BE7"/>
    <w:rsid w:val="00DA2C8B"/>
    <w:rsid w:val="00DA2F22"/>
    <w:rsid w:val="00DA3265"/>
    <w:rsid w:val="00DA34F7"/>
    <w:rsid w:val="00DA360F"/>
    <w:rsid w:val="00DA3AA6"/>
    <w:rsid w:val="00DA3C61"/>
    <w:rsid w:val="00DA3C82"/>
    <w:rsid w:val="00DA3CED"/>
    <w:rsid w:val="00DA3FEA"/>
    <w:rsid w:val="00DA4774"/>
    <w:rsid w:val="00DA4786"/>
    <w:rsid w:val="00DA4ACA"/>
    <w:rsid w:val="00DA4DAF"/>
    <w:rsid w:val="00DA4FF5"/>
    <w:rsid w:val="00DA5130"/>
    <w:rsid w:val="00DA533F"/>
    <w:rsid w:val="00DA547C"/>
    <w:rsid w:val="00DA5625"/>
    <w:rsid w:val="00DA580C"/>
    <w:rsid w:val="00DA59E1"/>
    <w:rsid w:val="00DA6065"/>
    <w:rsid w:val="00DA6157"/>
    <w:rsid w:val="00DA6205"/>
    <w:rsid w:val="00DA6685"/>
    <w:rsid w:val="00DA673A"/>
    <w:rsid w:val="00DA69D6"/>
    <w:rsid w:val="00DA6ADB"/>
    <w:rsid w:val="00DA73DD"/>
    <w:rsid w:val="00DA7781"/>
    <w:rsid w:val="00DA7ABD"/>
    <w:rsid w:val="00DA7B05"/>
    <w:rsid w:val="00DA7B4B"/>
    <w:rsid w:val="00DA7BDE"/>
    <w:rsid w:val="00DA7F7E"/>
    <w:rsid w:val="00DB0074"/>
    <w:rsid w:val="00DB043E"/>
    <w:rsid w:val="00DB04B9"/>
    <w:rsid w:val="00DB0829"/>
    <w:rsid w:val="00DB0951"/>
    <w:rsid w:val="00DB104D"/>
    <w:rsid w:val="00DB10B7"/>
    <w:rsid w:val="00DB1130"/>
    <w:rsid w:val="00DB1267"/>
    <w:rsid w:val="00DB19F8"/>
    <w:rsid w:val="00DB1A0C"/>
    <w:rsid w:val="00DB1BEA"/>
    <w:rsid w:val="00DB209F"/>
    <w:rsid w:val="00DB22B5"/>
    <w:rsid w:val="00DB24D7"/>
    <w:rsid w:val="00DB2918"/>
    <w:rsid w:val="00DB2B59"/>
    <w:rsid w:val="00DB2BBA"/>
    <w:rsid w:val="00DB2D2A"/>
    <w:rsid w:val="00DB2DF8"/>
    <w:rsid w:val="00DB2EB2"/>
    <w:rsid w:val="00DB2F57"/>
    <w:rsid w:val="00DB30AC"/>
    <w:rsid w:val="00DB3205"/>
    <w:rsid w:val="00DB3372"/>
    <w:rsid w:val="00DB3A6C"/>
    <w:rsid w:val="00DB3BD2"/>
    <w:rsid w:val="00DB3D6A"/>
    <w:rsid w:val="00DB3F3A"/>
    <w:rsid w:val="00DB4021"/>
    <w:rsid w:val="00DB40B3"/>
    <w:rsid w:val="00DB414B"/>
    <w:rsid w:val="00DB42A0"/>
    <w:rsid w:val="00DB4908"/>
    <w:rsid w:val="00DB4959"/>
    <w:rsid w:val="00DB49E9"/>
    <w:rsid w:val="00DB5034"/>
    <w:rsid w:val="00DB532E"/>
    <w:rsid w:val="00DB5349"/>
    <w:rsid w:val="00DB53CC"/>
    <w:rsid w:val="00DB5517"/>
    <w:rsid w:val="00DB57EB"/>
    <w:rsid w:val="00DB5AAD"/>
    <w:rsid w:val="00DB5C86"/>
    <w:rsid w:val="00DB5D2D"/>
    <w:rsid w:val="00DB6774"/>
    <w:rsid w:val="00DB6AB2"/>
    <w:rsid w:val="00DB6E56"/>
    <w:rsid w:val="00DB7047"/>
    <w:rsid w:val="00DB713C"/>
    <w:rsid w:val="00DB72EC"/>
    <w:rsid w:val="00DB754D"/>
    <w:rsid w:val="00DB7C7C"/>
    <w:rsid w:val="00DB7D36"/>
    <w:rsid w:val="00DB7E28"/>
    <w:rsid w:val="00DC00BC"/>
    <w:rsid w:val="00DC0263"/>
    <w:rsid w:val="00DC029C"/>
    <w:rsid w:val="00DC057C"/>
    <w:rsid w:val="00DC07C5"/>
    <w:rsid w:val="00DC080F"/>
    <w:rsid w:val="00DC0BBD"/>
    <w:rsid w:val="00DC0BF6"/>
    <w:rsid w:val="00DC0D46"/>
    <w:rsid w:val="00DC0E13"/>
    <w:rsid w:val="00DC0F7C"/>
    <w:rsid w:val="00DC1192"/>
    <w:rsid w:val="00DC11E4"/>
    <w:rsid w:val="00DC1213"/>
    <w:rsid w:val="00DC1327"/>
    <w:rsid w:val="00DC1513"/>
    <w:rsid w:val="00DC16B6"/>
    <w:rsid w:val="00DC17D0"/>
    <w:rsid w:val="00DC1A72"/>
    <w:rsid w:val="00DC1BD4"/>
    <w:rsid w:val="00DC1BE3"/>
    <w:rsid w:val="00DC1E3D"/>
    <w:rsid w:val="00DC2269"/>
    <w:rsid w:val="00DC236D"/>
    <w:rsid w:val="00DC23A1"/>
    <w:rsid w:val="00DC243F"/>
    <w:rsid w:val="00DC2647"/>
    <w:rsid w:val="00DC2809"/>
    <w:rsid w:val="00DC2862"/>
    <w:rsid w:val="00DC28FB"/>
    <w:rsid w:val="00DC29E4"/>
    <w:rsid w:val="00DC2C50"/>
    <w:rsid w:val="00DC2DB6"/>
    <w:rsid w:val="00DC3289"/>
    <w:rsid w:val="00DC385C"/>
    <w:rsid w:val="00DC3942"/>
    <w:rsid w:val="00DC3A6F"/>
    <w:rsid w:val="00DC3B06"/>
    <w:rsid w:val="00DC3CCE"/>
    <w:rsid w:val="00DC3EDC"/>
    <w:rsid w:val="00DC453D"/>
    <w:rsid w:val="00DC4566"/>
    <w:rsid w:val="00DC4965"/>
    <w:rsid w:val="00DC4D0B"/>
    <w:rsid w:val="00DC4D7A"/>
    <w:rsid w:val="00DC4E29"/>
    <w:rsid w:val="00DC4F38"/>
    <w:rsid w:val="00DC5070"/>
    <w:rsid w:val="00DC5090"/>
    <w:rsid w:val="00DC51A6"/>
    <w:rsid w:val="00DC51B3"/>
    <w:rsid w:val="00DC578C"/>
    <w:rsid w:val="00DC5A07"/>
    <w:rsid w:val="00DC5A2F"/>
    <w:rsid w:val="00DC5C65"/>
    <w:rsid w:val="00DC5D35"/>
    <w:rsid w:val="00DC5D5F"/>
    <w:rsid w:val="00DC5D72"/>
    <w:rsid w:val="00DC5D78"/>
    <w:rsid w:val="00DC5EC3"/>
    <w:rsid w:val="00DC5FD2"/>
    <w:rsid w:val="00DC611C"/>
    <w:rsid w:val="00DC6142"/>
    <w:rsid w:val="00DC61AE"/>
    <w:rsid w:val="00DC627F"/>
    <w:rsid w:val="00DC6285"/>
    <w:rsid w:val="00DC63BE"/>
    <w:rsid w:val="00DC674A"/>
    <w:rsid w:val="00DC67F8"/>
    <w:rsid w:val="00DC69EF"/>
    <w:rsid w:val="00DC6A62"/>
    <w:rsid w:val="00DC6EEF"/>
    <w:rsid w:val="00DC72A9"/>
    <w:rsid w:val="00DC73B3"/>
    <w:rsid w:val="00DC73C6"/>
    <w:rsid w:val="00DC7A1F"/>
    <w:rsid w:val="00DD03D8"/>
    <w:rsid w:val="00DD05E9"/>
    <w:rsid w:val="00DD0B03"/>
    <w:rsid w:val="00DD0B59"/>
    <w:rsid w:val="00DD0BDA"/>
    <w:rsid w:val="00DD1098"/>
    <w:rsid w:val="00DD12F5"/>
    <w:rsid w:val="00DD1467"/>
    <w:rsid w:val="00DD1602"/>
    <w:rsid w:val="00DD169B"/>
    <w:rsid w:val="00DD1D8A"/>
    <w:rsid w:val="00DD20D7"/>
    <w:rsid w:val="00DD218A"/>
    <w:rsid w:val="00DD21CF"/>
    <w:rsid w:val="00DD245A"/>
    <w:rsid w:val="00DD258E"/>
    <w:rsid w:val="00DD260C"/>
    <w:rsid w:val="00DD273B"/>
    <w:rsid w:val="00DD2929"/>
    <w:rsid w:val="00DD2A02"/>
    <w:rsid w:val="00DD2C5F"/>
    <w:rsid w:val="00DD2DF3"/>
    <w:rsid w:val="00DD2E48"/>
    <w:rsid w:val="00DD2FAE"/>
    <w:rsid w:val="00DD301F"/>
    <w:rsid w:val="00DD3227"/>
    <w:rsid w:val="00DD395C"/>
    <w:rsid w:val="00DD3B4F"/>
    <w:rsid w:val="00DD3C38"/>
    <w:rsid w:val="00DD3D72"/>
    <w:rsid w:val="00DD404D"/>
    <w:rsid w:val="00DD4136"/>
    <w:rsid w:val="00DD4323"/>
    <w:rsid w:val="00DD4637"/>
    <w:rsid w:val="00DD4A7B"/>
    <w:rsid w:val="00DD5413"/>
    <w:rsid w:val="00DD544D"/>
    <w:rsid w:val="00DD5535"/>
    <w:rsid w:val="00DD5642"/>
    <w:rsid w:val="00DD5F79"/>
    <w:rsid w:val="00DD6278"/>
    <w:rsid w:val="00DD630B"/>
    <w:rsid w:val="00DD632F"/>
    <w:rsid w:val="00DD66F3"/>
    <w:rsid w:val="00DD69CA"/>
    <w:rsid w:val="00DD69D7"/>
    <w:rsid w:val="00DD6BBA"/>
    <w:rsid w:val="00DD6DF1"/>
    <w:rsid w:val="00DD72DE"/>
    <w:rsid w:val="00DD73E6"/>
    <w:rsid w:val="00DD76E8"/>
    <w:rsid w:val="00DD7859"/>
    <w:rsid w:val="00DD792C"/>
    <w:rsid w:val="00DD79A6"/>
    <w:rsid w:val="00DD7BAC"/>
    <w:rsid w:val="00DD7D9E"/>
    <w:rsid w:val="00DD7FB5"/>
    <w:rsid w:val="00DE0165"/>
    <w:rsid w:val="00DE035B"/>
    <w:rsid w:val="00DE03AC"/>
    <w:rsid w:val="00DE0497"/>
    <w:rsid w:val="00DE04B2"/>
    <w:rsid w:val="00DE0722"/>
    <w:rsid w:val="00DE0733"/>
    <w:rsid w:val="00DE0B0C"/>
    <w:rsid w:val="00DE0B99"/>
    <w:rsid w:val="00DE0D9C"/>
    <w:rsid w:val="00DE113D"/>
    <w:rsid w:val="00DE14CB"/>
    <w:rsid w:val="00DE15F4"/>
    <w:rsid w:val="00DE165F"/>
    <w:rsid w:val="00DE1964"/>
    <w:rsid w:val="00DE199B"/>
    <w:rsid w:val="00DE1AD3"/>
    <w:rsid w:val="00DE1CA6"/>
    <w:rsid w:val="00DE2322"/>
    <w:rsid w:val="00DE2504"/>
    <w:rsid w:val="00DE2626"/>
    <w:rsid w:val="00DE292B"/>
    <w:rsid w:val="00DE2AAD"/>
    <w:rsid w:val="00DE33A0"/>
    <w:rsid w:val="00DE35C3"/>
    <w:rsid w:val="00DE36B6"/>
    <w:rsid w:val="00DE36F5"/>
    <w:rsid w:val="00DE3EF5"/>
    <w:rsid w:val="00DE409B"/>
    <w:rsid w:val="00DE442A"/>
    <w:rsid w:val="00DE4472"/>
    <w:rsid w:val="00DE45AE"/>
    <w:rsid w:val="00DE4A79"/>
    <w:rsid w:val="00DE4D8A"/>
    <w:rsid w:val="00DE4FC2"/>
    <w:rsid w:val="00DE507B"/>
    <w:rsid w:val="00DE50F9"/>
    <w:rsid w:val="00DE51C9"/>
    <w:rsid w:val="00DE530D"/>
    <w:rsid w:val="00DE5596"/>
    <w:rsid w:val="00DE586E"/>
    <w:rsid w:val="00DE589F"/>
    <w:rsid w:val="00DE591F"/>
    <w:rsid w:val="00DE59A5"/>
    <w:rsid w:val="00DE617B"/>
    <w:rsid w:val="00DE676A"/>
    <w:rsid w:val="00DE6C07"/>
    <w:rsid w:val="00DE715C"/>
    <w:rsid w:val="00DE72F8"/>
    <w:rsid w:val="00DE73B6"/>
    <w:rsid w:val="00DE7844"/>
    <w:rsid w:val="00DE7E84"/>
    <w:rsid w:val="00DE7F94"/>
    <w:rsid w:val="00DF052D"/>
    <w:rsid w:val="00DF0676"/>
    <w:rsid w:val="00DF08E2"/>
    <w:rsid w:val="00DF0C25"/>
    <w:rsid w:val="00DF0F63"/>
    <w:rsid w:val="00DF1013"/>
    <w:rsid w:val="00DF10A6"/>
    <w:rsid w:val="00DF10C0"/>
    <w:rsid w:val="00DF13EC"/>
    <w:rsid w:val="00DF1449"/>
    <w:rsid w:val="00DF1699"/>
    <w:rsid w:val="00DF1A30"/>
    <w:rsid w:val="00DF1C46"/>
    <w:rsid w:val="00DF1E01"/>
    <w:rsid w:val="00DF1EDF"/>
    <w:rsid w:val="00DF2018"/>
    <w:rsid w:val="00DF223B"/>
    <w:rsid w:val="00DF233D"/>
    <w:rsid w:val="00DF27B0"/>
    <w:rsid w:val="00DF2A00"/>
    <w:rsid w:val="00DF2BE5"/>
    <w:rsid w:val="00DF2CDF"/>
    <w:rsid w:val="00DF2F00"/>
    <w:rsid w:val="00DF324A"/>
    <w:rsid w:val="00DF349E"/>
    <w:rsid w:val="00DF36BB"/>
    <w:rsid w:val="00DF37B9"/>
    <w:rsid w:val="00DF38F7"/>
    <w:rsid w:val="00DF391D"/>
    <w:rsid w:val="00DF3D24"/>
    <w:rsid w:val="00DF3E34"/>
    <w:rsid w:val="00DF3F03"/>
    <w:rsid w:val="00DF406E"/>
    <w:rsid w:val="00DF4075"/>
    <w:rsid w:val="00DF43FB"/>
    <w:rsid w:val="00DF4944"/>
    <w:rsid w:val="00DF4D77"/>
    <w:rsid w:val="00DF5075"/>
    <w:rsid w:val="00DF571C"/>
    <w:rsid w:val="00DF5C48"/>
    <w:rsid w:val="00DF5CD4"/>
    <w:rsid w:val="00DF5DAD"/>
    <w:rsid w:val="00DF5DEC"/>
    <w:rsid w:val="00DF5F65"/>
    <w:rsid w:val="00DF625E"/>
    <w:rsid w:val="00DF62F2"/>
    <w:rsid w:val="00DF63AC"/>
    <w:rsid w:val="00DF6512"/>
    <w:rsid w:val="00DF6540"/>
    <w:rsid w:val="00DF6734"/>
    <w:rsid w:val="00DF67BD"/>
    <w:rsid w:val="00DF67FF"/>
    <w:rsid w:val="00DF6F2E"/>
    <w:rsid w:val="00DF7090"/>
    <w:rsid w:val="00DF72C5"/>
    <w:rsid w:val="00DF747A"/>
    <w:rsid w:val="00DF772C"/>
    <w:rsid w:val="00DF7859"/>
    <w:rsid w:val="00DF79B2"/>
    <w:rsid w:val="00DF7AA2"/>
    <w:rsid w:val="00DF7F09"/>
    <w:rsid w:val="00E002B0"/>
    <w:rsid w:val="00E00319"/>
    <w:rsid w:val="00E00B1A"/>
    <w:rsid w:val="00E00D9B"/>
    <w:rsid w:val="00E00E12"/>
    <w:rsid w:val="00E00FBC"/>
    <w:rsid w:val="00E01095"/>
    <w:rsid w:val="00E01195"/>
    <w:rsid w:val="00E01336"/>
    <w:rsid w:val="00E01472"/>
    <w:rsid w:val="00E014BE"/>
    <w:rsid w:val="00E01762"/>
    <w:rsid w:val="00E01787"/>
    <w:rsid w:val="00E01D56"/>
    <w:rsid w:val="00E01EFB"/>
    <w:rsid w:val="00E0218C"/>
    <w:rsid w:val="00E0221B"/>
    <w:rsid w:val="00E022A6"/>
    <w:rsid w:val="00E02374"/>
    <w:rsid w:val="00E02600"/>
    <w:rsid w:val="00E0260E"/>
    <w:rsid w:val="00E026CF"/>
    <w:rsid w:val="00E02859"/>
    <w:rsid w:val="00E02879"/>
    <w:rsid w:val="00E02A3C"/>
    <w:rsid w:val="00E02BC3"/>
    <w:rsid w:val="00E0334B"/>
    <w:rsid w:val="00E035DA"/>
    <w:rsid w:val="00E03727"/>
    <w:rsid w:val="00E0372D"/>
    <w:rsid w:val="00E037D9"/>
    <w:rsid w:val="00E03CD6"/>
    <w:rsid w:val="00E03E22"/>
    <w:rsid w:val="00E03EB8"/>
    <w:rsid w:val="00E03FA1"/>
    <w:rsid w:val="00E0417B"/>
    <w:rsid w:val="00E04180"/>
    <w:rsid w:val="00E04494"/>
    <w:rsid w:val="00E04536"/>
    <w:rsid w:val="00E04673"/>
    <w:rsid w:val="00E0468B"/>
    <w:rsid w:val="00E0485A"/>
    <w:rsid w:val="00E04899"/>
    <w:rsid w:val="00E04C9E"/>
    <w:rsid w:val="00E04E79"/>
    <w:rsid w:val="00E04F92"/>
    <w:rsid w:val="00E05218"/>
    <w:rsid w:val="00E052A8"/>
    <w:rsid w:val="00E0546E"/>
    <w:rsid w:val="00E054B2"/>
    <w:rsid w:val="00E057BB"/>
    <w:rsid w:val="00E05A93"/>
    <w:rsid w:val="00E05C95"/>
    <w:rsid w:val="00E05D97"/>
    <w:rsid w:val="00E05F85"/>
    <w:rsid w:val="00E05FCC"/>
    <w:rsid w:val="00E06268"/>
    <w:rsid w:val="00E06498"/>
    <w:rsid w:val="00E06651"/>
    <w:rsid w:val="00E0690F"/>
    <w:rsid w:val="00E069C1"/>
    <w:rsid w:val="00E06A74"/>
    <w:rsid w:val="00E07285"/>
    <w:rsid w:val="00E072F2"/>
    <w:rsid w:val="00E07595"/>
    <w:rsid w:val="00E075A7"/>
    <w:rsid w:val="00E1034C"/>
    <w:rsid w:val="00E1071F"/>
    <w:rsid w:val="00E10C82"/>
    <w:rsid w:val="00E10E56"/>
    <w:rsid w:val="00E111AE"/>
    <w:rsid w:val="00E112EF"/>
    <w:rsid w:val="00E113AA"/>
    <w:rsid w:val="00E1186A"/>
    <w:rsid w:val="00E11876"/>
    <w:rsid w:val="00E11A20"/>
    <w:rsid w:val="00E11A6A"/>
    <w:rsid w:val="00E11B84"/>
    <w:rsid w:val="00E11C32"/>
    <w:rsid w:val="00E1241B"/>
    <w:rsid w:val="00E1246D"/>
    <w:rsid w:val="00E12697"/>
    <w:rsid w:val="00E1269B"/>
    <w:rsid w:val="00E12760"/>
    <w:rsid w:val="00E128FC"/>
    <w:rsid w:val="00E12BEE"/>
    <w:rsid w:val="00E12CC9"/>
    <w:rsid w:val="00E12E00"/>
    <w:rsid w:val="00E1342D"/>
    <w:rsid w:val="00E13502"/>
    <w:rsid w:val="00E1369C"/>
    <w:rsid w:val="00E13905"/>
    <w:rsid w:val="00E1456B"/>
    <w:rsid w:val="00E146D8"/>
    <w:rsid w:val="00E1484B"/>
    <w:rsid w:val="00E14ECA"/>
    <w:rsid w:val="00E153E0"/>
    <w:rsid w:val="00E1540C"/>
    <w:rsid w:val="00E158A8"/>
    <w:rsid w:val="00E15988"/>
    <w:rsid w:val="00E15B3F"/>
    <w:rsid w:val="00E15D4F"/>
    <w:rsid w:val="00E15DBE"/>
    <w:rsid w:val="00E16324"/>
    <w:rsid w:val="00E16380"/>
    <w:rsid w:val="00E16836"/>
    <w:rsid w:val="00E16F89"/>
    <w:rsid w:val="00E17146"/>
    <w:rsid w:val="00E173CB"/>
    <w:rsid w:val="00E17477"/>
    <w:rsid w:val="00E1754C"/>
    <w:rsid w:val="00E17CE8"/>
    <w:rsid w:val="00E17E9E"/>
    <w:rsid w:val="00E17F6B"/>
    <w:rsid w:val="00E20068"/>
    <w:rsid w:val="00E20083"/>
    <w:rsid w:val="00E2009C"/>
    <w:rsid w:val="00E20189"/>
    <w:rsid w:val="00E201B9"/>
    <w:rsid w:val="00E203A9"/>
    <w:rsid w:val="00E204CE"/>
    <w:rsid w:val="00E209A5"/>
    <w:rsid w:val="00E20AAA"/>
    <w:rsid w:val="00E20FC8"/>
    <w:rsid w:val="00E21022"/>
    <w:rsid w:val="00E213AA"/>
    <w:rsid w:val="00E2167B"/>
    <w:rsid w:val="00E2189A"/>
    <w:rsid w:val="00E21B6D"/>
    <w:rsid w:val="00E21EE1"/>
    <w:rsid w:val="00E221F0"/>
    <w:rsid w:val="00E221FA"/>
    <w:rsid w:val="00E2283F"/>
    <w:rsid w:val="00E228F3"/>
    <w:rsid w:val="00E23260"/>
    <w:rsid w:val="00E235A6"/>
    <w:rsid w:val="00E2364D"/>
    <w:rsid w:val="00E23AAB"/>
    <w:rsid w:val="00E23E68"/>
    <w:rsid w:val="00E2468F"/>
    <w:rsid w:val="00E246B8"/>
    <w:rsid w:val="00E24A71"/>
    <w:rsid w:val="00E24B61"/>
    <w:rsid w:val="00E24D52"/>
    <w:rsid w:val="00E24EB5"/>
    <w:rsid w:val="00E2592F"/>
    <w:rsid w:val="00E25A59"/>
    <w:rsid w:val="00E25A6F"/>
    <w:rsid w:val="00E25C54"/>
    <w:rsid w:val="00E25D1D"/>
    <w:rsid w:val="00E26020"/>
    <w:rsid w:val="00E264DA"/>
    <w:rsid w:val="00E2694A"/>
    <w:rsid w:val="00E26C26"/>
    <w:rsid w:val="00E26F2F"/>
    <w:rsid w:val="00E2706E"/>
    <w:rsid w:val="00E27289"/>
    <w:rsid w:val="00E2733A"/>
    <w:rsid w:val="00E276BD"/>
    <w:rsid w:val="00E277A2"/>
    <w:rsid w:val="00E3033C"/>
    <w:rsid w:val="00E30541"/>
    <w:rsid w:val="00E30638"/>
    <w:rsid w:val="00E3063A"/>
    <w:rsid w:val="00E3079B"/>
    <w:rsid w:val="00E30874"/>
    <w:rsid w:val="00E3096F"/>
    <w:rsid w:val="00E30BAB"/>
    <w:rsid w:val="00E31061"/>
    <w:rsid w:val="00E3116F"/>
    <w:rsid w:val="00E313CC"/>
    <w:rsid w:val="00E31624"/>
    <w:rsid w:val="00E31648"/>
    <w:rsid w:val="00E316E5"/>
    <w:rsid w:val="00E3185F"/>
    <w:rsid w:val="00E3193B"/>
    <w:rsid w:val="00E31D48"/>
    <w:rsid w:val="00E32297"/>
    <w:rsid w:val="00E3240A"/>
    <w:rsid w:val="00E324A9"/>
    <w:rsid w:val="00E326B7"/>
    <w:rsid w:val="00E327BF"/>
    <w:rsid w:val="00E328B9"/>
    <w:rsid w:val="00E32EC0"/>
    <w:rsid w:val="00E32EC1"/>
    <w:rsid w:val="00E32F97"/>
    <w:rsid w:val="00E336F4"/>
    <w:rsid w:val="00E338A8"/>
    <w:rsid w:val="00E339E1"/>
    <w:rsid w:val="00E33A10"/>
    <w:rsid w:val="00E33EDD"/>
    <w:rsid w:val="00E3429E"/>
    <w:rsid w:val="00E34324"/>
    <w:rsid w:val="00E350D4"/>
    <w:rsid w:val="00E351D2"/>
    <w:rsid w:val="00E3520C"/>
    <w:rsid w:val="00E35259"/>
    <w:rsid w:val="00E35842"/>
    <w:rsid w:val="00E358FE"/>
    <w:rsid w:val="00E35997"/>
    <w:rsid w:val="00E35A52"/>
    <w:rsid w:val="00E35D61"/>
    <w:rsid w:val="00E35D87"/>
    <w:rsid w:val="00E35D91"/>
    <w:rsid w:val="00E362A3"/>
    <w:rsid w:val="00E362D6"/>
    <w:rsid w:val="00E3647D"/>
    <w:rsid w:val="00E369DB"/>
    <w:rsid w:val="00E36BB9"/>
    <w:rsid w:val="00E36C8A"/>
    <w:rsid w:val="00E37481"/>
    <w:rsid w:val="00E374D9"/>
    <w:rsid w:val="00E37829"/>
    <w:rsid w:val="00E37A5A"/>
    <w:rsid w:val="00E37AD4"/>
    <w:rsid w:val="00E37E64"/>
    <w:rsid w:val="00E37F62"/>
    <w:rsid w:val="00E40148"/>
    <w:rsid w:val="00E40739"/>
    <w:rsid w:val="00E40B92"/>
    <w:rsid w:val="00E40CBD"/>
    <w:rsid w:val="00E40DDC"/>
    <w:rsid w:val="00E40EAB"/>
    <w:rsid w:val="00E40EF7"/>
    <w:rsid w:val="00E40F5C"/>
    <w:rsid w:val="00E41210"/>
    <w:rsid w:val="00E4139F"/>
    <w:rsid w:val="00E414FF"/>
    <w:rsid w:val="00E4161A"/>
    <w:rsid w:val="00E41738"/>
    <w:rsid w:val="00E417DF"/>
    <w:rsid w:val="00E4197E"/>
    <w:rsid w:val="00E4199C"/>
    <w:rsid w:val="00E420F5"/>
    <w:rsid w:val="00E421E4"/>
    <w:rsid w:val="00E42266"/>
    <w:rsid w:val="00E422A3"/>
    <w:rsid w:val="00E4230E"/>
    <w:rsid w:val="00E4244C"/>
    <w:rsid w:val="00E42AF3"/>
    <w:rsid w:val="00E43151"/>
    <w:rsid w:val="00E43714"/>
    <w:rsid w:val="00E43788"/>
    <w:rsid w:val="00E43803"/>
    <w:rsid w:val="00E43B90"/>
    <w:rsid w:val="00E43CC2"/>
    <w:rsid w:val="00E43FA1"/>
    <w:rsid w:val="00E441AC"/>
    <w:rsid w:val="00E44917"/>
    <w:rsid w:val="00E44A45"/>
    <w:rsid w:val="00E44F34"/>
    <w:rsid w:val="00E45172"/>
    <w:rsid w:val="00E4576A"/>
    <w:rsid w:val="00E4586E"/>
    <w:rsid w:val="00E458AA"/>
    <w:rsid w:val="00E45917"/>
    <w:rsid w:val="00E45A56"/>
    <w:rsid w:val="00E45D4C"/>
    <w:rsid w:val="00E45D93"/>
    <w:rsid w:val="00E45EF3"/>
    <w:rsid w:val="00E460F6"/>
    <w:rsid w:val="00E4617C"/>
    <w:rsid w:val="00E461B4"/>
    <w:rsid w:val="00E461F4"/>
    <w:rsid w:val="00E46297"/>
    <w:rsid w:val="00E46435"/>
    <w:rsid w:val="00E464AD"/>
    <w:rsid w:val="00E466F0"/>
    <w:rsid w:val="00E46705"/>
    <w:rsid w:val="00E46D84"/>
    <w:rsid w:val="00E47513"/>
    <w:rsid w:val="00E47574"/>
    <w:rsid w:val="00E476A7"/>
    <w:rsid w:val="00E477E7"/>
    <w:rsid w:val="00E47A12"/>
    <w:rsid w:val="00E47AFD"/>
    <w:rsid w:val="00E47CF2"/>
    <w:rsid w:val="00E50029"/>
    <w:rsid w:val="00E501A1"/>
    <w:rsid w:val="00E50253"/>
    <w:rsid w:val="00E5045E"/>
    <w:rsid w:val="00E508DF"/>
    <w:rsid w:val="00E50ABA"/>
    <w:rsid w:val="00E50D68"/>
    <w:rsid w:val="00E5129C"/>
    <w:rsid w:val="00E514DB"/>
    <w:rsid w:val="00E5168F"/>
    <w:rsid w:val="00E517AE"/>
    <w:rsid w:val="00E517E4"/>
    <w:rsid w:val="00E5181D"/>
    <w:rsid w:val="00E51D9B"/>
    <w:rsid w:val="00E51E6D"/>
    <w:rsid w:val="00E520FB"/>
    <w:rsid w:val="00E5211A"/>
    <w:rsid w:val="00E5228C"/>
    <w:rsid w:val="00E52431"/>
    <w:rsid w:val="00E52523"/>
    <w:rsid w:val="00E52A05"/>
    <w:rsid w:val="00E5382C"/>
    <w:rsid w:val="00E53CA4"/>
    <w:rsid w:val="00E5406C"/>
    <w:rsid w:val="00E542CE"/>
    <w:rsid w:val="00E5456A"/>
    <w:rsid w:val="00E546F2"/>
    <w:rsid w:val="00E54B00"/>
    <w:rsid w:val="00E54B12"/>
    <w:rsid w:val="00E54C81"/>
    <w:rsid w:val="00E54EC8"/>
    <w:rsid w:val="00E54FA7"/>
    <w:rsid w:val="00E55009"/>
    <w:rsid w:val="00E5517B"/>
    <w:rsid w:val="00E55273"/>
    <w:rsid w:val="00E5533F"/>
    <w:rsid w:val="00E55456"/>
    <w:rsid w:val="00E5555C"/>
    <w:rsid w:val="00E55E59"/>
    <w:rsid w:val="00E55EAF"/>
    <w:rsid w:val="00E560E8"/>
    <w:rsid w:val="00E561DE"/>
    <w:rsid w:val="00E562E9"/>
    <w:rsid w:val="00E56407"/>
    <w:rsid w:val="00E565B9"/>
    <w:rsid w:val="00E566F1"/>
    <w:rsid w:val="00E56C2F"/>
    <w:rsid w:val="00E56C6F"/>
    <w:rsid w:val="00E56DD5"/>
    <w:rsid w:val="00E56F83"/>
    <w:rsid w:val="00E56FA6"/>
    <w:rsid w:val="00E57279"/>
    <w:rsid w:val="00E57674"/>
    <w:rsid w:val="00E57A1E"/>
    <w:rsid w:val="00E57DCE"/>
    <w:rsid w:val="00E602BE"/>
    <w:rsid w:val="00E60A3D"/>
    <w:rsid w:val="00E60AA0"/>
    <w:rsid w:val="00E60C84"/>
    <w:rsid w:val="00E60CFE"/>
    <w:rsid w:val="00E60F04"/>
    <w:rsid w:val="00E6139B"/>
    <w:rsid w:val="00E61538"/>
    <w:rsid w:val="00E6196A"/>
    <w:rsid w:val="00E61AA5"/>
    <w:rsid w:val="00E61E1E"/>
    <w:rsid w:val="00E620C7"/>
    <w:rsid w:val="00E625CB"/>
    <w:rsid w:val="00E6274F"/>
    <w:rsid w:val="00E62769"/>
    <w:rsid w:val="00E62A15"/>
    <w:rsid w:val="00E62AC0"/>
    <w:rsid w:val="00E62B6A"/>
    <w:rsid w:val="00E62F03"/>
    <w:rsid w:val="00E62FE5"/>
    <w:rsid w:val="00E631D0"/>
    <w:rsid w:val="00E632CA"/>
    <w:rsid w:val="00E6335F"/>
    <w:rsid w:val="00E634A3"/>
    <w:rsid w:val="00E634E3"/>
    <w:rsid w:val="00E635B8"/>
    <w:rsid w:val="00E637C6"/>
    <w:rsid w:val="00E63841"/>
    <w:rsid w:val="00E6389A"/>
    <w:rsid w:val="00E639BE"/>
    <w:rsid w:val="00E63E36"/>
    <w:rsid w:val="00E63E8A"/>
    <w:rsid w:val="00E63F85"/>
    <w:rsid w:val="00E64333"/>
    <w:rsid w:val="00E644CC"/>
    <w:rsid w:val="00E644FC"/>
    <w:rsid w:val="00E645DA"/>
    <w:rsid w:val="00E64A02"/>
    <w:rsid w:val="00E64B92"/>
    <w:rsid w:val="00E64BC6"/>
    <w:rsid w:val="00E64BEC"/>
    <w:rsid w:val="00E64D41"/>
    <w:rsid w:val="00E65078"/>
    <w:rsid w:val="00E65229"/>
    <w:rsid w:val="00E6530B"/>
    <w:rsid w:val="00E653C3"/>
    <w:rsid w:val="00E6576F"/>
    <w:rsid w:val="00E65BC0"/>
    <w:rsid w:val="00E65D94"/>
    <w:rsid w:val="00E66440"/>
    <w:rsid w:val="00E6658B"/>
    <w:rsid w:val="00E667BD"/>
    <w:rsid w:val="00E66832"/>
    <w:rsid w:val="00E66A27"/>
    <w:rsid w:val="00E66E4F"/>
    <w:rsid w:val="00E6760C"/>
    <w:rsid w:val="00E67E95"/>
    <w:rsid w:val="00E67FED"/>
    <w:rsid w:val="00E70135"/>
    <w:rsid w:val="00E7026B"/>
    <w:rsid w:val="00E704B1"/>
    <w:rsid w:val="00E706AB"/>
    <w:rsid w:val="00E707B4"/>
    <w:rsid w:val="00E7081F"/>
    <w:rsid w:val="00E70A5F"/>
    <w:rsid w:val="00E70B0D"/>
    <w:rsid w:val="00E70BEC"/>
    <w:rsid w:val="00E710D4"/>
    <w:rsid w:val="00E715F7"/>
    <w:rsid w:val="00E719ED"/>
    <w:rsid w:val="00E71E63"/>
    <w:rsid w:val="00E72109"/>
    <w:rsid w:val="00E72255"/>
    <w:rsid w:val="00E726EE"/>
    <w:rsid w:val="00E72764"/>
    <w:rsid w:val="00E72B47"/>
    <w:rsid w:val="00E72CBF"/>
    <w:rsid w:val="00E72D1F"/>
    <w:rsid w:val="00E73163"/>
    <w:rsid w:val="00E73BF4"/>
    <w:rsid w:val="00E73C38"/>
    <w:rsid w:val="00E73EA4"/>
    <w:rsid w:val="00E73F6D"/>
    <w:rsid w:val="00E740A4"/>
    <w:rsid w:val="00E742A4"/>
    <w:rsid w:val="00E743F9"/>
    <w:rsid w:val="00E744DF"/>
    <w:rsid w:val="00E7451B"/>
    <w:rsid w:val="00E746BF"/>
    <w:rsid w:val="00E7474D"/>
    <w:rsid w:val="00E74770"/>
    <w:rsid w:val="00E7489B"/>
    <w:rsid w:val="00E74918"/>
    <w:rsid w:val="00E74BB0"/>
    <w:rsid w:val="00E74D8E"/>
    <w:rsid w:val="00E74E4A"/>
    <w:rsid w:val="00E74E56"/>
    <w:rsid w:val="00E74E63"/>
    <w:rsid w:val="00E74F94"/>
    <w:rsid w:val="00E75243"/>
    <w:rsid w:val="00E752D3"/>
    <w:rsid w:val="00E75482"/>
    <w:rsid w:val="00E75530"/>
    <w:rsid w:val="00E75640"/>
    <w:rsid w:val="00E7601A"/>
    <w:rsid w:val="00E76141"/>
    <w:rsid w:val="00E76166"/>
    <w:rsid w:val="00E761FB"/>
    <w:rsid w:val="00E764AA"/>
    <w:rsid w:val="00E76585"/>
    <w:rsid w:val="00E76E89"/>
    <w:rsid w:val="00E770F9"/>
    <w:rsid w:val="00E7727D"/>
    <w:rsid w:val="00E7779A"/>
    <w:rsid w:val="00E7788B"/>
    <w:rsid w:val="00E779E0"/>
    <w:rsid w:val="00E77A69"/>
    <w:rsid w:val="00E77C61"/>
    <w:rsid w:val="00E77D81"/>
    <w:rsid w:val="00E77E00"/>
    <w:rsid w:val="00E804AC"/>
    <w:rsid w:val="00E804C8"/>
    <w:rsid w:val="00E80512"/>
    <w:rsid w:val="00E8064D"/>
    <w:rsid w:val="00E807DD"/>
    <w:rsid w:val="00E80E2A"/>
    <w:rsid w:val="00E81AA0"/>
    <w:rsid w:val="00E81AEF"/>
    <w:rsid w:val="00E81DEC"/>
    <w:rsid w:val="00E81F0B"/>
    <w:rsid w:val="00E8208F"/>
    <w:rsid w:val="00E82187"/>
    <w:rsid w:val="00E821D5"/>
    <w:rsid w:val="00E8241C"/>
    <w:rsid w:val="00E82451"/>
    <w:rsid w:val="00E82454"/>
    <w:rsid w:val="00E82598"/>
    <w:rsid w:val="00E8276B"/>
    <w:rsid w:val="00E827D9"/>
    <w:rsid w:val="00E82921"/>
    <w:rsid w:val="00E82A84"/>
    <w:rsid w:val="00E82AA0"/>
    <w:rsid w:val="00E82AB5"/>
    <w:rsid w:val="00E82AF5"/>
    <w:rsid w:val="00E82E5D"/>
    <w:rsid w:val="00E83042"/>
    <w:rsid w:val="00E83094"/>
    <w:rsid w:val="00E83266"/>
    <w:rsid w:val="00E83562"/>
    <w:rsid w:val="00E835B7"/>
    <w:rsid w:val="00E836E2"/>
    <w:rsid w:val="00E83872"/>
    <w:rsid w:val="00E83C52"/>
    <w:rsid w:val="00E83D46"/>
    <w:rsid w:val="00E83E1B"/>
    <w:rsid w:val="00E84219"/>
    <w:rsid w:val="00E8442A"/>
    <w:rsid w:val="00E84443"/>
    <w:rsid w:val="00E84493"/>
    <w:rsid w:val="00E84737"/>
    <w:rsid w:val="00E8497A"/>
    <w:rsid w:val="00E849DF"/>
    <w:rsid w:val="00E84ACC"/>
    <w:rsid w:val="00E84AD5"/>
    <w:rsid w:val="00E850F1"/>
    <w:rsid w:val="00E8513B"/>
    <w:rsid w:val="00E85150"/>
    <w:rsid w:val="00E85281"/>
    <w:rsid w:val="00E8533D"/>
    <w:rsid w:val="00E85416"/>
    <w:rsid w:val="00E854CF"/>
    <w:rsid w:val="00E85691"/>
    <w:rsid w:val="00E85B65"/>
    <w:rsid w:val="00E85E08"/>
    <w:rsid w:val="00E8604A"/>
    <w:rsid w:val="00E86291"/>
    <w:rsid w:val="00E864CD"/>
    <w:rsid w:val="00E865D3"/>
    <w:rsid w:val="00E8665B"/>
    <w:rsid w:val="00E86788"/>
    <w:rsid w:val="00E86AC5"/>
    <w:rsid w:val="00E86BE0"/>
    <w:rsid w:val="00E86F0A"/>
    <w:rsid w:val="00E872BC"/>
    <w:rsid w:val="00E87311"/>
    <w:rsid w:val="00E87392"/>
    <w:rsid w:val="00E874F1"/>
    <w:rsid w:val="00E87789"/>
    <w:rsid w:val="00E87794"/>
    <w:rsid w:val="00E8781E"/>
    <w:rsid w:val="00E87825"/>
    <w:rsid w:val="00E87967"/>
    <w:rsid w:val="00E87B66"/>
    <w:rsid w:val="00E90146"/>
    <w:rsid w:val="00E9020A"/>
    <w:rsid w:val="00E90486"/>
    <w:rsid w:val="00E9050A"/>
    <w:rsid w:val="00E90604"/>
    <w:rsid w:val="00E90995"/>
    <w:rsid w:val="00E9099E"/>
    <w:rsid w:val="00E90AFE"/>
    <w:rsid w:val="00E90BEC"/>
    <w:rsid w:val="00E90DBF"/>
    <w:rsid w:val="00E90F44"/>
    <w:rsid w:val="00E91141"/>
    <w:rsid w:val="00E911E5"/>
    <w:rsid w:val="00E91393"/>
    <w:rsid w:val="00E9142B"/>
    <w:rsid w:val="00E916A2"/>
    <w:rsid w:val="00E917E1"/>
    <w:rsid w:val="00E91B44"/>
    <w:rsid w:val="00E91DCD"/>
    <w:rsid w:val="00E91EA9"/>
    <w:rsid w:val="00E9203C"/>
    <w:rsid w:val="00E9244F"/>
    <w:rsid w:val="00E92528"/>
    <w:rsid w:val="00E925D2"/>
    <w:rsid w:val="00E925FB"/>
    <w:rsid w:val="00E9279D"/>
    <w:rsid w:val="00E92969"/>
    <w:rsid w:val="00E92A18"/>
    <w:rsid w:val="00E92ABE"/>
    <w:rsid w:val="00E92BB7"/>
    <w:rsid w:val="00E92C3B"/>
    <w:rsid w:val="00E92D9E"/>
    <w:rsid w:val="00E92DB1"/>
    <w:rsid w:val="00E93195"/>
    <w:rsid w:val="00E934A9"/>
    <w:rsid w:val="00E93750"/>
    <w:rsid w:val="00E938D3"/>
    <w:rsid w:val="00E9391E"/>
    <w:rsid w:val="00E93A37"/>
    <w:rsid w:val="00E93A7C"/>
    <w:rsid w:val="00E93B20"/>
    <w:rsid w:val="00E93BE8"/>
    <w:rsid w:val="00E93D13"/>
    <w:rsid w:val="00E93D49"/>
    <w:rsid w:val="00E93E37"/>
    <w:rsid w:val="00E94068"/>
    <w:rsid w:val="00E940C4"/>
    <w:rsid w:val="00E94103"/>
    <w:rsid w:val="00E94282"/>
    <w:rsid w:val="00E94698"/>
    <w:rsid w:val="00E946A8"/>
    <w:rsid w:val="00E94920"/>
    <w:rsid w:val="00E94A9A"/>
    <w:rsid w:val="00E94B27"/>
    <w:rsid w:val="00E94B97"/>
    <w:rsid w:val="00E9519F"/>
    <w:rsid w:val="00E953DF"/>
    <w:rsid w:val="00E9557A"/>
    <w:rsid w:val="00E95771"/>
    <w:rsid w:val="00E958B7"/>
    <w:rsid w:val="00E95D40"/>
    <w:rsid w:val="00E96210"/>
    <w:rsid w:val="00E96648"/>
    <w:rsid w:val="00E96DB5"/>
    <w:rsid w:val="00E970BF"/>
    <w:rsid w:val="00E9782D"/>
    <w:rsid w:val="00E97867"/>
    <w:rsid w:val="00E9798C"/>
    <w:rsid w:val="00E97E33"/>
    <w:rsid w:val="00E97EEA"/>
    <w:rsid w:val="00EA003D"/>
    <w:rsid w:val="00EA036A"/>
    <w:rsid w:val="00EA0522"/>
    <w:rsid w:val="00EA05E4"/>
    <w:rsid w:val="00EA06E4"/>
    <w:rsid w:val="00EA0AE5"/>
    <w:rsid w:val="00EA0BD1"/>
    <w:rsid w:val="00EA0C59"/>
    <w:rsid w:val="00EA0E0F"/>
    <w:rsid w:val="00EA11EA"/>
    <w:rsid w:val="00EA145E"/>
    <w:rsid w:val="00EA149E"/>
    <w:rsid w:val="00EA1566"/>
    <w:rsid w:val="00EA156B"/>
    <w:rsid w:val="00EA15A1"/>
    <w:rsid w:val="00EA17D0"/>
    <w:rsid w:val="00EA17DA"/>
    <w:rsid w:val="00EA1B7A"/>
    <w:rsid w:val="00EA1EDA"/>
    <w:rsid w:val="00EA240F"/>
    <w:rsid w:val="00EA26F0"/>
    <w:rsid w:val="00EA2FE9"/>
    <w:rsid w:val="00EA3668"/>
    <w:rsid w:val="00EA36A1"/>
    <w:rsid w:val="00EA3A8E"/>
    <w:rsid w:val="00EA3C93"/>
    <w:rsid w:val="00EA4031"/>
    <w:rsid w:val="00EA44AB"/>
    <w:rsid w:val="00EA49F6"/>
    <w:rsid w:val="00EA4D2A"/>
    <w:rsid w:val="00EA5128"/>
    <w:rsid w:val="00EA5379"/>
    <w:rsid w:val="00EA54D1"/>
    <w:rsid w:val="00EA5A36"/>
    <w:rsid w:val="00EA5CF1"/>
    <w:rsid w:val="00EA5D18"/>
    <w:rsid w:val="00EA5D6D"/>
    <w:rsid w:val="00EA5D8E"/>
    <w:rsid w:val="00EA5F3E"/>
    <w:rsid w:val="00EA5F66"/>
    <w:rsid w:val="00EA61F6"/>
    <w:rsid w:val="00EA6388"/>
    <w:rsid w:val="00EA63C5"/>
    <w:rsid w:val="00EA67A5"/>
    <w:rsid w:val="00EA68CC"/>
    <w:rsid w:val="00EA6B0D"/>
    <w:rsid w:val="00EA6B1E"/>
    <w:rsid w:val="00EA6B74"/>
    <w:rsid w:val="00EA736F"/>
    <w:rsid w:val="00EA79B4"/>
    <w:rsid w:val="00EA7D81"/>
    <w:rsid w:val="00EA7FBC"/>
    <w:rsid w:val="00EB00B8"/>
    <w:rsid w:val="00EB015A"/>
    <w:rsid w:val="00EB01ED"/>
    <w:rsid w:val="00EB0433"/>
    <w:rsid w:val="00EB05FF"/>
    <w:rsid w:val="00EB0785"/>
    <w:rsid w:val="00EB0AAD"/>
    <w:rsid w:val="00EB0DC2"/>
    <w:rsid w:val="00EB104A"/>
    <w:rsid w:val="00EB1994"/>
    <w:rsid w:val="00EB19CC"/>
    <w:rsid w:val="00EB207F"/>
    <w:rsid w:val="00EB20FE"/>
    <w:rsid w:val="00EB2142"/>
    <w:rsid w:val="00EB21EE"/>
    <w:rsid w:val="00EB24C3"/>
    <w:rsid w:val="00EB2540"/>
    <w:rsid w:val="00EB272F"/>
    <w:rsid w:val="00EB2ADF"/>
    <w:rsid w:val="00EB2D01"/>
    <w:rsid w:val="00EB2F8B"/>
    <w:rsid w:val="00EB2FB3"/>
    <w:rsid w:val="00EB3361"/>
    <w:rsid w:val="00EB33C7"/>
    <w:rsid w:val="00EB341E"/>
    <w:rsid w:val="00EB39B1"/>
    <w:rsid w:val="00EB3B7A"/>
    <w:rsid w:val="00EB3F56"/>
    <w:rsid w:val="00EB4082"/>
    <w:rsid w:val="00EB4294"/>
    <w:rsid w:val="00EB43B7"/>
    <w:rsid w:val="00EB4514"/>
    <w:rsid w:val="00EB457B"/>
    <w:rsid w:val="00EB469C"/>
    <w:rsid w:val="00EB4744"/>
    <w:rsid w:val="00EB4AA9"/>
    <w:rsid w:val="00EB4B3B"/>
    <w:rsid w:val="00EB4BA6"/>
    <w:rsid w:val="00EB4E04"/>
    <w:rsid w:val="00EB4E65"/>
    <w:rsid w:val="00EB5051"/>
    <w:rsid w:val="00EB523F"/>
    <w:rsid w:val="00EB5252"/>
    <w:rsid w:val="00EB54A1"/>
    <w:rsid w:val="00EB585C"/>
    <w:rsid w:val="00EB5862"/>
    <w:rsid w:val="00EB5874"/>
    <w:rsid w:val="00EB592E"/>
    <w:rsid w:val="00EB5B41"/>
    <w:rsid w:val="00EB5C66"/>
    <w:rsid w:val="00EB5D12"/>
    <w:rsid w:val="00EB5D1B"/>
    <w:rsid w:val="00EB60CA"/>
    <w:rsid w:val="00EB62B9"/>
    <w:rsid w:val="00EB639E"/>
    <w:rsid w:val="00EB64D9"/>
    <w:rsid w:val="00EB6818"/>
    <w:rsid w:val="00EB686B"/>
    <w:rsid w:val="00EB745D"/>
    <w:rsid w:val="00EB7493"/>
    <w:rsid w:val="00EB7629"/>
    <w:rsid w:val="00EB7769"/>
    <w:rsid w:val="00EB7821"/>
    <w:rsid w:val="00EB7A71"/>
    <w:rsid w:val="00EB7A9D"/>
    <w:rsid w:val="00EB7BD7"/>
    <w:rsid w:val="00EB7FB8"/>
    <w:rsid w:val="00EC00D4"/>
    <w:rsid w:val="00EC03A9"/>
    <w:rsid w:val="00EC0832"/>
    <w:rsid w:val="00EC08CF"/>
    <w:rsid w:val="00EC0ACD"/>
    <w:rsid w:val="00EC0DE9"/>
    <w:rsid w:val="00EC0EB8"/>
    <w:rsid w:val="00EC0F55"/>
    <w:rsid w:val="00EC0F92"/>
    <w:rsid w:val="00EC1149"/>
    <w:rsid w:val="00EC1369"/>
    <w:rsid w:val="00EC1C54"/>
    <w:rsid w:val="00EC1D22"/>
    <w:rsid w:val="00EC1F78"/>
    <w:rsid w:val="00EC20F0"/>
    <w:rsid w:val="00EC24F3"/>
    <w:rsid w:val="00EC27EE"/>
    <w:rsid w:val="00EC2B75"/>
    <w:rsid w:val="00EC2EE8"/>
    <w:rsid w:val="00EC31BD"/>
    <w:rsid w:val="00EC32EF"/>
    <w:rsid w:val="00EC3B0E"/>
    <w:rsid w:val="00EC4945"/>
    <w:rsid w:val="00EC4AD7"/>
    <w:rsid w:val="00EC4B06"/>
    <w:rsid w:val="00EC4D17"/>
    <w:rsid w:val="00EC4EAC"/>
    <w:rsid w:val="00EC52FA"/>
    <w:rsid w:val="00EC542C"/>
    <w:rsid w:val="00EC56C8"/>
    <w:rsid w:val="00EC5707"/>
    <w:rsid w:val="00EC58F6"/>
    <w:rsid w:val="00EC5BDD"/>
    <w:rsid w:val="00EC5CCD"/>
    <w:rsid w:val="00EC6302"/>
    <w:rsid w:val="00EC69CE"/>
    <w:rsid w:val="00EC6BE3"/>
    <w:rsid w:val="00EC6ED1"/>
    <w:rsid w:val="00EC7150"/>
    <w:rsid w:val="00EC719B"/>
    <w:rsid w:val="00EC7427"/>
    <w:rsid w:val="00EC7508"/>
    <w:rsid w:val="00EC77D3"/>
    <w:rsid w:val="00EC799F"/>
    <w:rsid w:val="00EC7AD7"/>
    <w:rsid w:val="00EC7B85"/>
    <w:rsid w:val="00EC7E03"/>
    <w:rsid w:val="00EC7E70"/>
    <w:rsid w:val="00ED0056"/>
    <w:rsid w:val="00ED0174"/>
    <w:rsid w:val="00ED032B"/>
    <w:rsid w:val="00ED040A"/>
    <w:rsid w:val="00ED0567"/>
    <w:rsid w:val="00ED0600"/>
    <w:rsid w:val="00ED0829"/>
    <w:rsid w:val="00ED08BD"/>
    <w:rsid w:val="00ED08E6"/>
    <w:rsid w:val="00ED0A54"/>
    <w:rsid w:val="00ED0AAE"/>
    <w:rsid w:val="00ED0B08"/>
    <w:rsid w:val="00ED0B15"/>
    <w:rsid w:val="00ED0B2A"/>
    <w:rsid w:val="00ED0C56"/>
    <w:rsid w:val="00ED0CB0"/>
    <w:rsid w:val="00ED111B"/>
    <w:rsid w:val="00ED11DD"/>
    <w:rsid w:val="00ED13B9"/>
    <w:rsid w:val="00ED13FA"/>
    <w:rsid w:val="00ED141C"/>
    <w:rsid w:val="00ED15CA"/>
    <w:rsid w:val="00ED16FA"/>
    <w:rsid w:val="00ED1EE9"/>
    <w:rsid w:val="00ED2398"/>
    <w:rsid w:val="00ED2416"/>
    <w:rsid w:val="00ED2779"/>
    <w:rsid w:val="00ED31FA"/>
    <w:rsid w:val="00ED3738"/>
    <w:rsid w:val="00ED378A"/>
    <w:rsid w:val="00ED3C71"/>
    <w:rsid w:val="00ED3D9B"/>
    <w:rsid w:val="00ED4231"/>
    <w:rsid w:val="00ED430C"/>
    <w:rsid w:val="00ED4360"/>
    <w:rsid w:val="00ED43D8"/>
    <w:rsid w:val="00ED480E"/>
    <w:rsid w:val="00ED4D99"/>
    <w:rsid w:val="00ED4DB9"/>
    <w:rsid w:val="00ED518E"/>
    <w:rsid w:val="00ED5462"/>
    <w:rsid w:val="00ED54DF"/>
    <w:rsid w:val="00ED566D"/>
    <w:rsid w:val="00ED571D"/>
    <w:rsid w:val="00ED5896"/>
    <w:rsid w:val="00ED5A2E"/>
    <w:rsid w:val="00ED5A79"/>
    <w:rsid w:val="00ED5A80"/>
    <w:rsid w:val="00ED5E1A"/>
    <w:rsid w:val="00ED60FB"/>
    <w:rsid w:val="00ED6133"/>
    <w:rsid w:val="00ED63A9"/>
    <w:rsid w:val="00ED63DD"/>
    <w:rsid w:val="00ED63F5"/>
    <w:rsid w:val="00ED66D5"/>
    <w:rsid w:val="00ED6787"/>
    <w:rsid w:val="00ED694C"/>
    <w:rsid w:val="00ED6ADF"/>
    <w:rsid w:val="00ED6CDA"/>
    <w:rsid w:val="00ED6DB9"/>
    <w:rsid w:val="00ED6E85"/>
    <w:rsid w:val="00ED7096"/>
    <w:rsid w:val="00ED7424"/>
    <w:rsid w:val="00ED753F"/>
    <w:rsid w:val="00ED7665"/>
    <w:rsid w:val="00ED773D"/>
    <w:rsid w:val="00ED7CB0"/>
    <w:rsid w:val="00ED7E1A"/>
    <w:rsid w:val="00ED7E7A"/>
    <w:rsid w:val="00ED7F4C"/>
    <w:rsid w:val="00EE01F1"/>
    <w:rsid w:val="00EE04C6"/>
    <w:rsid w:val="00EE06F2"/>
    <w:rsid w:val="00EE08B9"/>
    <w:rsid w:val="00EE08EF"/>
    <w:rsid w:val="00EE0B54"/>
    <w:rsid w:val="00EE12E1"/>
    <w:rsid w:val="00EE14AB"/>
    <w:rsid w:val="00EE17A8"/>
    <w:rsid w:val="00EE19C9"/>
    <w:rsid w:val="00EE1C2B"/>
    <w:rsid w:val="00EE1C3C"/>
    <w:rsid w:val="00EE1DC6"/>
    <w:rsid w:val="00EE218C"/>
    <w:rsid w:val="00EE28DB"/>
    <w:rsid w:val="00EE29FC"/>
    <w:rsid w:val="00EE2B5D"/>
    <w:rsid w:val="00EE2C42"/>
    <w:rsid w:val="00EE30A0"/>
    <w:rsid w:val="00EE326A"/>
    <w:rsid w:val="00EE3466"/>
    <w:rsid w:val="00EE3868"/>
    <w:rsid w:val="00EE392B"/>
    <w:rsid w:val="00EE3D71"/>
    <w:rsid w:val="00EE3DF0"/>
    <w:rsid w:val="00EE418A"/>
    <w:rsid w:val="00EE4242"/>
    <w:rsid w:val="00EE42A7"/>
    <w:rsid w:val="00EE4307"/>
    <w:rsid w:val="00EE43AF"/>
    <w:rsid w:val="00EE44D4"/>
    <w:rsid w:val="00EE46BA"/>
    <w:rsid w:val="00EE498A"/>
    <w:rsid w:val="00EE4A5B"/>
    <w:rsid w:val="00EE4C1A"/>
    <w:rsid w:val="00EE4D48"/>
    <w:rsid w:val="00EE5257"/>
    <w:rsid w:val="00EE525F"/>
    <w:rsid w:val="00EE5349"/>
    <w:rsid w:val="00EE5505"/>
    <w:rsid w:val="00EE580C"/>
    <w:rsid w:val="00EE5AAD"/>
    <w:rsid w:val="00EE5DDB"/>
    <w:rsid w:val="00EE5F45"/>
    <w:rsid w:val="00EE60D0"/>
    <w:rsid w:val="00EE6152"/>
    <w:rsid w:val="00EE64EF"/>
    <w:rsid w:val="00EE6A5C"/>
    <w:rsid w:val="00EE6ADD"/>
    <w:rsid w:val="00EE6FD4"/>
    <w:rsid w:val="00EE71C7"/>
    <w:rsid w:val="00EE7882"/>
    <w:rsid w:val="00EE788F"/>
    <w:rsid w:val="00EE78E0"/>
    <w:rsid w:val="00EE7A3C"/>
    <w:rsid w:val="00EE7D3D"/>
    <w:rsid w:val="00EE7F81"/>
    <w:rsid w:val="00EF0129"/>
    <w:rsid w:val="00EF0405"/>
    <w:rsid w:val="00EF05F5"/>
    <w:rsid w:val="00EF0A33"/>
    <w:rsid w:val="00EF0CE2"/>
    <w:rsid w:val="00EF10C0"/>
    <w:rsid w:val="00EF10CA"/>
    <w:rsid w:val="00EF11E0"/>
    <w:rsid w:val="00EF1426"/>
    <w:rsid w:val="00EF155A"/>
    <w:rsid w:val="00EF158E"/>
    <w:rsid w:val="00EF1685"/>
    <w:rsid w:val="00EF1B26"/>
    <w:rsid w:val="00EF1C91"/>
    <w:rsid w:val="00EF1CD4"/>
    <w:rsid w:val="00EF1E76"/>
    <w:rsid w:val="00EF2135"/>
    <w:rsid w:val="00EF22BC"/>
    <w:rsid w:val="00EF23D4"/>
    <w:rsid w:val="00EF2412"/>
    <w:rsid w:val="00EF2689"/>
    <w:rsid w:val="00EF2867"/>
    <w:rsid w:val="00EF28DC"/>
    <w:rsid w:val="00EF29CB"/>
    <w:rsid w:val="00EF30E7"/>
    <w:rsid w:val="00EF33CE"/>
    <w:rsid w:val="00EF354A"/>
    <w:rsid w:val="00EF386D"/>
    <w:rsid w:val="00EF3A8E"/>
    <w:rsid w:val="00EF3C32"/>
    <w:rsid w:val="00EF3F31"/>
    <w:rsid w:val="00EF41C9"/>
    <w:rsid w:val="00EF43C3"/>
    <w:rsid w:val="00EF45CC"/>
    <w:rsid w:val="00EF46EE"/>
    <w:rsid w:val="00EF4B36"/>
    <w:rsid w:val="00EF4B6E"/>
    <w:rsid w:val="00EF5326"/>
    <w:rsid w:val="00EF53A1"/>
    <w:rsid w:val="00EF570C"/>
    <w:rsid w:val="00EF57CE"/>
    <w:rsid w:val="00EF5C59"/>
    <w:rsid w:val="00EF5E5C"/>
    <w:rsid w:val="00EF60F1"/>
    <w:rsid w:val="00EF62CE"/>
    <w:rsid w:val="00EF62DC"/>
    <w:rsid w:val="00EF6533"/>
    <w:rsid w:val="00EF671E"/>
    <w:rsid w:val="00EF6800"/>
    <w:rsid w:val="00EF6985"/>
    <w:rsid w:val="00EF6B62"/>
    <w:rsid w:val="00EF6C57"/>
    <w:rsid w:val="00EF6C84"/>
    <w:rsid w:val="00EF6F94"/>
    <w:rsid w:val="00EF7151"/>
    <w:rsid w:val="00EF72D6"/>
    <w:rsid w:val="00EF7361"/>
    <w:rsid w:val="00EF73B2"/>
    <w:rsid w:val="00EF75EC"/>
    <w:rsid w:val="00EF77D7"/>
    <w:rsid w:val="00EF7D52"/>
    <w:rsid w:val="00EF7E41"/>
    <w:rsid w:val="00F0017E"/>
    <w:rsid w:val="00F00251"/>
    <w:rsid w:val="00F00643"/>
    <w:rsid w:val="00F00947"/>
    <w:rsid w:val="00F00CE5"/>
    <w:rsid w:val="00F00F8C"/>
    <w:rsid w:val="00F012A3"/>
    <w:rsid w:val="00F012BE"/>
    <w:rsid w:val="00F0139A"/>
    <w:rsid w:val="00F01575"/>
    <w:rsid w:val="00F015E5"/>
    <w:rsid w:val="00F016FE"/>
    <w:rsid w:val="00F01C8D"/>
    <w:rsid w:val="00F01CD1"/>
    <w:rsid w:val="00F01CD4"/>
    <w:rsid w:val="00F01D67"/>
    <w:rsid w:val="00F0201D"/>
    <w:rsid w:val="00F021AA"/>
    <w:rsid w:val="00F021F3"/>
    <w:rsid w:val="00F027B6"/>
    <w:rsid w:val="00F027CC"/>
    <w:rsid w:val="00F02A45"/>
    <w:rsid w:val="00F02BBB"/>
    <w:rsid w:val="00F02D15"/>
    <w:rsid w:val="00F02DB7"/>
    <w:rsid w:val="00F02EE4"/>
    <w:rsid w:val="00F0320F"/>
    <w:rsid w:val="00F033D9"/>
    <w:rsid w:val="00F033E0"/>
    <w:rsid w:val="00F0354C"/>
    <w:rsid w:val="00F0362F"/>
    <w:rsid w:val="00F036FB"/>
    <w:rsid w:val="00F03941"/>
    <w:rsid w:val="00F0395A"/>
    <w:rsid w:val="00F039BE"/>
    <w:rsid w:val="00F03B42"/>
    <w:rsid w:val="00F03C14"/>
    <w:rsid w:val="00F03CB3"/>
    <w:rsid w:val="00F03DAB"/>
    <w:rsid w:val="00F03DCB"/>
    <w:rsid w:val="00F03FF6"/>
    <w:rsid w:val="00F04527"/>
    <w:rsid w:val="00F046BD"/>
    <w:rsid w:val="00F0472B"/>
    <w:rsid w:val="00F047E8"/>
    <w:rsid w:val="00F0482A"/>
    <w:rsid w:val="00F0496C"/>
    <w:rsid w:val="00F04A11"/>
    <w:rsid w:val="00F04B6A"/>
    <w:rsid w:val="00F04DBB"/>
    <w:rsid w:val="00F04E51"/>
    <w:rsid w:val="00F05122"/>
    <w:rsid w:val="00F0515E"/>
    <w:rsid w:val="00F05214"/>
    <w:rsid w:val="00F05390"/>
    <w:rsid w:val="00F057E8"/>
    <w:rsid w:val="00F0584A"/>
    <w:rsid w:val="00F0584E"/>
    <w:rsid w:val="00F05E1F"/>
    <w:rsid w:val="00F05E50"/>
    <w:rsid w:val="00F05F5A"/>
    <w:rsid w:val="00F06228"/>
    <w:rsid w:val="00F0632A"/>
    <w:rsid w:val="00F06369"/>
    <w:rsid w:val="00F0713E"/>
    <w:rsid w:val="00F07175"/>
    <w:rsid w:val="00F077DD"/>
    <w:rsid w:val="00F07D41"/>
    <w:rsid w:val="00F07FBE"/>
    <w:rsid w:val="00F102B7"/>
    <w:rsid w:val="00F103C1"/>
    <w:rsid w:val="00F104F0"/>
    <w:rsid w:val="00F1101C"/>
    <w:rsid w:val="00F11136"/>
    <w:rsid w:val="00F117E8"/>
    <w:rsid w:val="00F11B79"/>
    <w:rsid w:val="00F11E85"/>
    <w:rsid w:val="00F11F73"/>
    <w:rsid w:val="00F11F7B"/>
    <w:rsid w:val="00F121A0"/>
    <w:rsid w:val="00F1233B"/>
    <w:rsid w:val="00F1252A"/>
    <w:rsid w:val="00F12871"/>
    <w:rsid w:val="00F128A2"/>
    <w:rsid w:val="00F129D8"/>
    <w:rsid w:val="00F12B2F"/>
    <w:rsid w:val="00F12EAC"/>
    <w:rsid w:val="00F12F56"/>
    <w:rsid w:val="00F12F95"/>
    <w:rsid w:val="00F13082"/>
    <w:rsid w:val="00F1348D"/>
    <w:rsid w:val="00F13492"/>
    <w:rsid w:val="00F13753"/>
    <w:rsid w:val="00F137B3"/>
    <w:rsid w:val="00F13969"/>
    <w:rsid w:val="00F13A8B"/>
    <w:rsid w:val="00F13C26"/>
    <w:rsid w:val="00F14098"/>
    <w:rsid w:val="00F1420E"/>
    <w:rsid w:val="00F14220"/>
    <w:rsid w:val="00F142FC"/>
    <w:rsid w:val="00F14303"/>
    <w:rsid w:val="00F14C09"/>
    <w:rsid w:val="00F14CA0"/>
    <w:rsid w:val="00F14D81"/>
    <w:rsid w:val="00F14EAA"/>
    <w:rsid w:val="00F14F1B"/>
    <w:rsid w:val="00F15365"/>
    <w:rsid w:val="00F1549D"/>
    <w:rsid w:val="00F1558B"/>
    <w:rsid w:val="00F15C1E"/>
    <w:rsid w:val="00F15D35"/>
    <w:rsid w:val="00F15FBA"/>
    <w:rsid w:val="00F16268"/>
    <w:rsid w:val="00F162D4"/>
    <w:rsid w:val="00F16392"/>
    <w:rsid w:val="00F1641D"/>
    <w:rsid w:val="00F16652"/>
    <w:rsid w:val="00F1676A"/>
    <w:rsid w:val="00F16AF7"/>
    <w:rsid w:val="00F16BB5"/>
    <w:rsid w:val="00F16E22"/>
    <w:rsid w:val="00F16E93"/>
    <w:rsid w:val="00F16EE2"/>
    <w:rsid w:val="00F16F2D"/>
    <w:rsid w:val="00F17192"/>
    <w:rsid w:val="00F17195"/>
    <w:rsid w:val="00F17196"/>
    <w:rsid w:val="00F1729D"/>
    <w:rsid w:val="00F172BE"/>
    <w:rsid w:val="00F1730D"/>
    <w:rsid w:val="00F1746C"/>
    <w:rsid w:val="00F17BED"/>
    <w:rsid w:val="00F17E2F"/>
    <w:rsid w:val="00F17F33"/>
    <w:rsid w:val="00F200EE"/>
    <w:rsid w:val="00F203F5"/>
    <w:rsid w:val="00F2054D"/>
    <w:rsid w:val="00F20782"/>
    <w:rsid w:val="00F209BA"/>
    <w:rsid w:val="00F20CC1"/>
    <w:rsid w:val="00F20D12"/>
    <w:rsid w:val="00F211B3"/>
    <w:rsid w:val="00F211C4"/>
    <w:rsid w:val="00F21646"/>
    <w:rsid w:val="00F21B71"/>
    <w:rsid w:val="00F21BC8"/>
    <w:rsid w:val="00F21FCD"/>
    <w:rsid w:val="00F21FCF"/>
    <w:rsid w:val="00F22089"/>
    <w:rsid w:val="00F221D1"/>
    <w:rsid w:val="00F223D3"/>
    <w:rsid w:val="00F2247B"/>
    <w:rsid w:val="00F225E4"/>
    <w:rsid w:val="00F22730"/>
    <w:rsid w:val="00F227E0"/>
    <w:rsid w:val="00F229CE"/>
    <w:rsid w:val="00F229EC"/>
    <w:rsid w:val="00F22F8F"/>
    <w:rsid w:val="00F23125"/>
    <w:rsid w:val="00F233A1"/>
    <w:rsid w:val="00F23A40"/>
    <w:rsid w:val="00F23C71"/>
    <w:rsid w:val="00F23DA8"/>
    <w:rsid w:val="00F24030"/>
    <w:rsid w:val="00F2403C"/>
    <w:rsid w:val="00F2404B"/>
    <w:rsid w:val="00F242DC"/>
    <w:rsid w:val="00F247FA"/>
    <w:rsid w:val="00F2495A"/>
    <w:rsid w:val="00F24D21"/>
    <w:rsid w:val="00F24DF2"/>
    <w:rsid w:val="00F24E23"/>
    <w:rsid w:val="00F25377"/>
    <w:rsid w:val="00F25693"/>
    <w:rsid w:val="00F256CD"/>
    <w:rsid w:val="00F258C7"/>
    <w:rsid w:val="00F25BEA"/>
    <w:rsid w:val="00F25D17"/>
    <w:rsid w:val="00F25EFD"/>
    <w:rsid w:val="00F25F2A"/>
    <w:rsid w:val="00F25FD6"/>
    <w:rsid w:val="00F26018"/>
    <w:rsid w:val="00F261F1"/>
    <w:rsid w:val="00F26395"/>
    <w:rsid w:val="00F26639"/>
    <w:rsid w:val="00F2672E"/>
    <w:rsid w:val="00F2674D"/>
    <w:rsid w:val="00F268A3"/>
    <w:rsid w:val="00F26C40"/>
    <w:rsid w:val="00F26ECC"/>
    <w:rsid w:val="00F26F9C"/>
    <w:rsid w:val="00F27055"/>
    <w:rsid w:val="00F27074"/>
    <w:rsid w:val="00F270C1"/>
    <w:rsid w:val="00F272E5"/>
    <w:rsid w:val="00F273F3"/>
    <w:rsid w:val="00F27414"/>
    <w:rsid w:val="00F274AB"/>
    <w:rsid w:val="00F27518"/>
    <w:rsid w:val="00F275D4"/>
    <w:rsid w:val="00F27770"/>
    <w:rsid w:val="00F27C38"/>
    <w:rsid w:val="00F27C67"/>
    <w:rsid w:val="00F27CEA"/>
    <w:rsid w:val="00F27E56"/>
    <w:rsid w:val="00F3006D"/>
    <w:rsid w:val="00F30380"/>
    <w:rsid w:val="00F3048E"/>
    <w:rsid w:val="00F3062C"/>
    <w:rsid w:val="00F30938"/>
    <w:rsid w:val="00F30DF5"/>
    <w:rsid w:val="00F30E1F"/>
    <w:rsid w:val="00F3109E"/>
    <w:rsid w:val="00F3123B"/>
    <w:rsid w:val="00F317D8"/>
    <w:rsid w:val="00F318CB"/>
    <w:rsid w:val="00F318CD"/>
    <w:rsid w:val="00F3191E"/>
    <w:rsid w:val="00F3192C"/>
    <w:rsid w:val="00F31B96"/>
    <w:rsid w:val="00F31D3B"/>
    <w:rsid w:val="00F31ECC"/>
    <w:rsid w:val="00F31EF0"/>
    <w:rsid w:val="00F31F04"/>
    <w:rsid w:val="00F31F37"/>
    <w:rsid w:val="00F322C9"/>
    <w:rsid w:val="00F322E7"/>
    <w:rsid w:val="00F32304"/>
    <w:rsid w:val="00F32389"/>
    <w:rsid w:val="00F32629"/>
    <w:rsid w:val="00F3267C"/>
    <w:rsid w:val="00F32969"/>
    <w:rsid w:val="00F32B63"/>
    <w:rsid w:val="00F32B81"/>
    <w:rsid w:val="00F32BB5"/>
    <w:rsid w:val="00F32E03"/>
    <w:rsid w:val="00F33123"/>
    <w:rsid w:val="00F33272"/>
    <w:rsid w:val="00F332DB"/>
    <w:rsid w:val="00F33B87"/>
    <w:rsid w:val="00F34022"/>
    <w:rsid w:val="00F3408C"/>
    <w:rsid w:val="00F34366"/>
    <w:rsid w:val="00F34410"/>
    <w:rsid w:val="00F34468"/>
    <w:rsid w:val="00F345C0"/>
    <w:rsid w:val="00F34688"/>
    <w:rsid w:val="00F3476C"/>
    <w:rsid w:val="00F34A4E"/>
    <w:rsid w:val="00F34C97"/>
    <w:rsid w:val="00F34EA3"/>
    <w:rsid w:val="00F34F00"/>
    <w:rsid w:val="00F351E2"/>
    <w:rsid w:val="00F35538"/>
    <w:rsid w:val="00F35782"/>
    <w:rsid w:val="00F357CB"/>
    <w:rsid w:val="00F3582A"/>
    <w:rsid w:val="00F359C0"/>
    <w:rsid w:val="00F35C8F"/>
    <w:rsid w:val="00F35DED"/>
    <w:rsid w:val="00F35F13"/>
    <w:rsid w:val="00F35F5B"/>
    <w:rsid w:val="00F360B0"/>
    <w:rsid w:val="00F36176"/>
    <w:rsid w:val="00F361B0"/>
    <w:rsid w:val="00F36844"/>
    <w:rsid w:val="00F36982"/>
    <w:rsid w:val="00F36ACB"/>
    <w:rsid w:val="00F36B15"/>
    <w:rsid w:val="00F37078"/>
    <w:rsid w:val="00F370B7"/>
    <w:rsid w:val="00F370D1"/>
    <w:rsid w:val="00F37246"/>
    <w:rsid w:val="00F372D5"/>
    <w:rsid w:val="00F37549"/>
    <w:rsid w:val="00F37643"/>
    <w:rsid w:val="00F37AA1"/>
    <w:rsid w:val="00F37B06"/>
    <w:rsid w:val="00F4018A"/>
    <w:rsid w:val="00F403FF"/>
    <w:rsid w:val="00F404FB"/>
    <w:rsid w:val="00F40A2A"/>
    <w:rsid w:val="00F40E8F"/>
    <w:rsid w:val="00F40F69"/>
    <w:rsid w:val="00F4122D"/>
    <w:rsid w:val="00F4161A"/>
    <w:rsid w:val="00F41B82"/>
    <w:rsid w:val="00F41E1F"/>
    <w:rsid w:val="00F4217A"/>
    <w:rsid w:val="00F421FB"/>
    <w:rsid w:val="00F4247E"/>
    <w:rsid w:val="00F4297A"/>
    <w:rsid w:val="00F42ACB"/>
    <w:rsid w:val="00F42C81"/>
    <w:rsid w:val="00F42F98"/>
    <w:rsid w:val="00F431F7"/>
    <w:rsid w:val="00F43678"/>
    <w:rsid w:val="00F439E5"/>
    <w:rsid w:val="00F43F43"/>
    <w:rsid w:val="00F43F4F"/>
    <w:rsid w:val="00F44162"/>
    <w:rsid w:val="00F445FE"/>
    <w:rsid w:val="00F446AC"/>
    <w:rsid w:val="00F44AE1"/>
    <w:rsid w:val="00F44AFB"/>
    <w:rsid w:val="00F44CAE"/>
    <w:rsid w:val="00F44E27"/>
    <w:rsid w:val="00F4526F"/>
    <w:rsid w:val="00F45360"/>
    <w:rsid w:val="00F45598"/>
    <w:rsid w:val="00F45673"/>
    <w:rsid w:val="00F45681"/>
    <w:rsid w:val="00F45692"/>
    <w:rsid w:val="00F456A9"/>
    <w:rsid w:val="00F457F3"/>
    <w:rsid w:val="00F458E2"/>
    <w:rsid w:val="00F45A00"/>
    <w:rsid w:val="00F46028"/>
    <w:rsid w:val="00F463EA"/>
    <w:rsid w:val="00F46424"/>
    <w:rsid w:val="00F4643D"/>
    <w:rsid w:val="00F47215"/>
    <w:rsid w:val="00F472D8"/>
    <w:rsid w:val="00F47851"/>
    <w:rsid w:val="00F479CC"/>
    <w:rsid w:val="00F47B1F"/>
    <w:rsid w:val="00F47C19"/>
    <w:rsid w:val="00F50170"/>
    <w:rsid w:val="00F506DA"/>
    <w:rsid w:val="00F508A1"/>
    <w:rsid w:val="00F50946"/>
    <w:rsid w:val="00F50BD8"/>
    <w:rsid w:val="00F50D75"/>
    <w:rsid w:val="00F50E51"/>
    <w:rsid w:val="00F50F14"/>
    <w:rsid w:val="00F5159C"/>
    <w:rsid w:val="00F51BB4"/>
    <w:rsid w:val="00F51C4D"/>
    <w:rsid w:val="00F51D7D"/>
    <w:rsid w:val="00F51EC2"/>
    <w:rsid w:val="00F52064"/>
    <w:rsid w:val="00F52297"/>
    <w:rsid w:val="00F52494"/>
    <w:rsid w:val="00F525C2"/>
    <w:rsid w:val="00F525F3"/>
    <w:rsid w:val="00F527E3"/>
    <w:rsid w:val="00F527F2"/>
    <w:rsid w:val="00F52828"/>
    <w:rsid w:val="00F52B70"/>
    <w:rsid w:val="00F52C40"/>
    <w:rsid w:val="00F52C67"/>
    <w:rsid w:val="00F52F2A"/>
    <w:rsid w:val="00F53350"/>
    <w:rsid w:val="00F53D30"/>
    <w:rsid w:val="00F53E0C"/>
    <w:rsid w:val="00F53EF1"/>
    <w:rsid w:val="00F54006"/>
    <w:rsid w:val="00F5450E"/>
    <w:rsid w:val="00F54576"/>
    <w:rsid w:val="00F5462E"/>
    <w:rsid w:val="00F54647"/>
    <w:rsid w:val="00F546B7"/>
    <w:rsid w:val="00F547E6"/>
    <w:rsid w:val="00F54948"/>
    <w:rsid w:val="00F549CF"/>
    <w:rsid w:val="00F549D5"/>
    <w:rsid w:val="00F54DD6"/>
    <w:rsid w:val="00F551EA"/>
    <w:rsid w:val="00F552A8"/>
    <w:rsid w:val="00F5541F"/>
    <w:rsid w:val="00F55728"/>
    <w:rsid w:val="00F55901"/>
    <w:rsid w:val="00F55CEE"/>
    <w:rsid w:val="00F5600D"/>
    <w:rsid w:val="00F560B9"/>
    <w:rsid w:val="00F564B8"/>
    <w:rsid w:val="00F5652D"/>
    <w:rsid w:val="00F56854"/>
    <w:rsid w:val="00F56C38"/>
    <w:rsid w:val="00F56E94"/>
    <w:rsid w:val="00F570C1"/>
    <w:rsid w:val="00F5732B"/>
    <w:rsid w:val="00F574F7"/>
    <w:rsid w:val="00F57670"/>
    <w:rsid w:val="00F57685"/>
    <w:rsid w:val="00F5775C"/>
    <w:rsid w:val="00F57AC2"/>
    <w:rsid w:val="00F57E58"/>
    <w:rsid w:val="00F57F1B"/>
    <w:rsid w:val="00F57F4B"/>
    <w:rsid w:val="00F57F53"/>
    <w:rsid w:val="00F60242"/>
    <w:rsid w:val="00F602BB"/>
    <w:rsid w:val="00F607B7"/>
    <w:rsid w:val="00F608CC"/>
    <w:rsid w:val="00F60F0E"/>
    <w:rsid w:val="00F60FD3"/>
    <w:rsid w:val="00F61503"/>
    <w:rsid w:val="00F61588"/>
    <w:rsid w:val="00F61606"/>
    <w:rsid w:val="00F61664"/>
    <w:rsid w:val="00F618F0"/>
    <w:rsid w:val="00F619DB"/>
    <w:rsid w:val="00F61B37"/>
    <w:rsid w:val="00F61B71"/>
    <w:rsid w:val="00F61D4F"/>
    <w:rsid w:val="00F61E4D"/>
    <w:rsid w:val="00F61EBD"/>
    <w:rsid w:val="00F621BA"/>
    <w:rsid w:val="00F623DD"/>
    <w:rsid w:val="00F623FB"/>
    <w:rsid w:val="00F623FF"/>
    <w:rsid w:val="00F62594"/>
    <w:rsid w:val="00F6280B"/>
    <w:rsid w:val="00F62C06"/>
    <w:rsid w:val="00F62EAC"/>
    <w:rsid w:val="00F62FB7"/>
    <w:rsid w:val="00F62FEE"/>
    <w:rsid w:val="00F62FF1"/>
    <w:rsid w:val="00F632F1"/>
    <w:rsid w:val="00F63684"/>
    <w:rsid w:val="00F637C0"/>
    <w:rsid w:val="00F637E3"/>
    <w:rsid w:val="00F63C2D"/>
    <w:rsid w:val="00F63CE6"/>
    <w:rsid w:val="00F63ED5"/>
    <w:rsid w:val="00F640F6"/>
    <w:rsid w:val="00F64294"/>
    <w:rsid w:val="00F643F8"/>
    <w:rsid w:val="00F6457E"/>
    <w:rsid w:val="00F64595"/>
    <w:rsid w:val="00F646A3"/>
    <w:rsid w:val="00F648E4"/>
    <w:rsid w:val="00F64F2F"/>
    <w:rsid w:val="00F64FD9"/>
    <w:rsid w:val="00F6567A"/>
    <w:rsid w:val="00F656E1"/>
    <w:rsid w:val="00F65AC2"/>
    <w:rsid w:val="00F65ACC"/>
    <w:rsid w:val="00F65B0D"/>
    <w:rsid w:val="00F65BA6"/>
    <w:rsid w:val="00F65C46"/>
    <w:rsid w:val="00F65C9F"/>
    <w:rsid w:val="00F65DC3"/>
    <w:rsid w:val="00F65E28"/>
    <w:rsid w:val="00F66008"/>
    <w:rsid w:val="00F660E0"/>
    <w:rsid w:val="00F663DC"/>
    <w:rsid w:val="00F67279"/>
    <w:rsid w:val="00F672C4"/>
    <w:rsid w:val="00F675E5"/>
    <w:rsid w:val="00F67C78"/>
    <w:rsid w:val="00F67EE5"/>
    <w:rsid w:val="00F700BC"/>
    <w:rsid w:val="00F701AF"/>
    <w:rsid w:val="00F706FB"/>
    <w:rsid w:val="00F70842"/>
    <w:rsid w:val="00F709BC"/>
    <w:rsid w:val="00F70CD7"/>
    <w:rsid w:val="00F710C6"/>
    <w:rsid w:val="00F71136"/>
    <w:rsid w:val="00F71220"/>
    <w:rsid w:val="00F715CE"/>
    <w:rsid w:val="00F717A6"/>
    <w:rsid w:val="00F71E41"/>
    <w:rsid w:val="00F72026"/>
    <w:rsid w:val="00F723FE"/>
    <w:rsid w:val="00F726BA"/>
    <w:rsid w:val="00F727FA"/>
    <w:rsid w:val="00F7281C"/>
    <w:rsid w:val="00F72A62"/>
    <w:rsid w:val="00F72ADA"/>
    <w:rsid w:val="00F72B43"/>
    <w:rsid w:val="00F72C31"/>
    <w:rsid w:val="00F72D7A"/>
    <w:rsid w:val="00F72F95"/>
    <w:rsid w:val="00F7363E"/>
    <w:rsid w:val="00F73723"/>
    <w:rsid w:val="00F73BFD"/>
    <w:rsid w:val="00F73DC0"/>
    <w:rsid w:val="00F73E21"/>
    <w:rsid w:val="00F73F93"/>
    <w:rsid w:val="00F74091"/>
    <w:rsid w:val="00F7449D"/>
    <w:rsid w:val="00F7490A"/>
    <w:rsid w:val="00F74A16"/>
    <w:rsid w:val="00F74CD2"/>
    <w:rsid w:val="00F74CD9"/>
    <w:rsid w:val="00F74E37"/>
    <w:rsid w:val="00F75049"/>
    <w:rsid w:val="00F75190"/>
    <w:rsid w:val="00F753E8"/>
    <w:rsid w:val="00F758B1"/>
    <w:rsid w:val="00F758D2"/>
    <w:rsid w:val="00F75A3B"/>
    <w:rsid w:val="00F75BAD"/>
    <w:rsid w:val="00F75BD1"/>
    <w:rsid w:val="00F761CC"/>
    <w:rsid w:val="00F76591"/>
    <w:rsid w:val="00F76A5D"/>
    <w:rsid w:val="00F76AF4"/>
    <w:rsid w:val="00F76B32"/>
    <w:rsid w:val="00F76CDE"/>
    <w:rsid w:val="00F77061"/>
    <w:rsid w:val="00F7707F"/>
    <w:rsid w:val="00F77144"/>
    <w:rsid w:val="00F77241"/>
    <w:rsid w:val="00F77522"/>
    <w:rsid w:val="00F7778E"/>
    <w:rsid w:val="00F778E5"/>
    <w:rsid w:val="00F77CAD"/>
    <w:rsid w:val="00F77DFC"/>
    <w:rsid w:val="00F77EA6"/>
    <w:rsid w:val="00F8000E"/>
    <w:rsid w:val="00F80148"/>
    <w:rsid w:val="00F802E1"/>
    <w:rsid w:val="00F80302"/>
    <w:rsid w:val="00F806FB"/>
    <w:rsid w:val="00F80C3F"/>
    <w:rsid w:val="00F80E07"/>
    <w:rsid w:val="00F80E60"/>
    <w:rsid w:val="00F80EA2"/>
    <w:rsid w:val="00F80EF6"/>
    <w:rsid w:val="00F80F22"/>
    <w:rsid w:val="00F812F0"/>
    <w:rsid w:val="00F8145C"/>
    <w:rsid w:val="00F815F1"/>
    <w:rsid w:val="00F81816"/>
    <w:rsid w:val="00F818DD"/>
    <w:rsid w:val="00F81B8E"/>
    <w:rsid w:val="00F81D7F"/>
    <w:rsid w:val="00F81E6D"/>
    <w:rsid w:val="00F821F3"/>
    <w:rsid w:val="00F823E3"/>
    <w:rsid w:val="00F825A4"/>
    <w:rsid w:val="00F82958"/>
    <w:rsid w:val="00F82FDD"/>
    <w:rsid w:val="00F836F5"/>
    <w:rsid w:val="00F83767"/>
    <w:rsid w:val="00F839E5"/>
    <w:rsid w:val="00F839EC"/>
    <w:rsid w:val="00F83B88"/>
    <w:rsid w:val="00F83F1A"/>
    <w:rsid w:val="00F83FFF"/>
    <w:rsid w:val="00F84006"/>
    <w:rsid w:val="00F84848"/>
    <w:rsid w:val="00F84B81"/>
    <w:rsid w:val="00F84E5F"/>
    <w:rsid w:val="00F851C7"/>
    <w:rsid w:val="00F8582B"/>
    <w:rsid w:val="00F85838"/>
    <w:rsid w:val="00F858A9"/>
    <w:rsid w:val="00F85994"/>
    <w:rsid w:val="00F85A50"/>
    <w:rsid w:val="00F85A51"/>
    <w:rsid w:val="00F861C6"/>
    <w:rsid w:val="00F8699D"/>
    <w:rsid w:val="00F86CA7"/>
    <w:rsid w:val="00F86F64"/>
    <w:rsid w:val="00F87247"/>
    <w:rsid w:val="00F8756A"/>
    <w:rsid w:val="00F877B6"/>
    <w:rsid w:val="00F87970"/>
    <w:rsid w:val="00F87A91"/>
    <w:rsid w:val="00F87B68"/>
    <w:rsid w:val="00F87E21"/>
    <w:rsid w:val="00F9000B"/>
    <w:rsid w:val="00F902D3"/>
    <w:rsid w:val="00F90CE9"/>
    <w:rsid w:val="00F90D51"/>
    <w:rsid w:val="00F91091"/>
    <w:rsid w:val="00F9144F"/>
    <w:rsid w:val="00F9155A"/>
    <w:rsid w:val="00F915A5"/>
    <w:rsid w:val="00F91779"/>
    <w:rsid w:val="00F91FF6"/>
    <w:rsid w:val="00F924FD"/>
    <w:rsid w:val="00F9266E"/>
    <w:rsid w:val="00F92914"/>
    <w:rsid w:val="00F92EB9"/>
    <w:rsid w:val="00F92EFC"/>
    <w:rsid w:val="00F93379"/>
    <w:rsid w:val="00F93402"/>
    <w:rsid w:val="00F93A67"/>
    <w:rsid w:val="00F93E6B"/>
    <w:rsid w:val="00F940F3"/>
    <w:rsid w:val="00F9416A"/>
    <w:rsid w:val="00F94268"/>
    <w:rsid w:val="00F9428E"/>
    <w:rsid w:val="00F944BB"/>
    <w:rsid w:val="00F94514"/>
    <w:rsid w:val="00F945FD"/>
    <w:rsid w:val="00F9462F"/>
    <w:rsid w:val="00F94825"/>
    <w:rsid w:val="00F9482C"/>
    <w:rsid w:val="00F94A89"/>
    <w:rsid w:val="00F94BF5"/>
    <w:rsid w:val="00F94E27"/>
    <w:rsid w:val="00F94E79"/>
    <w:rsid w:val="00F951F4"/>
    <w:rsid w:val="00F95201"/>
    <w:rsid w:val="00F95637"/>
    <w:rsid w:val="00F957A0"/>
    <w:rsid w:val="00F957F2"/>
    <w:rsid w:val="00F9588D"/>
    <w:rsid w:val="00F95A02"/>
    <w:rsid w:val="00F95D43"/>
    <w:rsid w:val="00F95E78"/>
    <w:rsid w:val="00F95F2F"/>
    <w:rsid w:val="00F961D1"/>
    <w:rsid w:val="00F964E5"/>
    <w:rsid w:val="00F967A0"/>
    <w:rsid w:val="00F96834"/>
    <w:rsid w:val="00F96EB4"/>
    <w:rsid w:val="00F973FD"/>
    <w:rsid w:val="00F974E2"/>
    <w:rsid w:val="00F97505"/>
    <w:rsid w:val="00F9750D"/>
    <w:rsid w:val="00F97990"/>
    <w:rsid w:val="00F97AE1"/>
    <w:rsid w:val="00F97B22"/>
    <w:rsid w:val="00F97D81"/>
    <w:rsid w:val="00F97E4A"/>
    <w:rsid w:val="00F97FEC"/>
    <w:rsid w:val="00FA060C"/>
    <w:rsid w:val="00FA0720"/>
    <w:rsid w:val="00FA0870"/>
    <w:rsid w:val="00FA0B71"/>
    <w:rsid w:val="00FA0C0D"/>
    <w:rsid w:val="00FA0C7B"/>
    <w:rsid w:val="00FA0D04"/>
    <w:rsid w:val="00FA0E47"/>
    <w:rsid w:val="00FA0F56"/>
    <w:rsid w:val="00FA137A"/>
    <w:rsid w:val="00FA1771"/>
    <w:rsid w:val="00FA18BC"/>
    <w:rsid w:val="00FA1D70"/>
    <w:rsid w:val="00FA2348"/>
    <w:rsid w:val="00FA236D"/>
    <w:rsid w:val="00FA26B3"/>
    <w:rsid w:val="00FA2A90"/>
    <w:rsid w:val="00FA3068"/>
    <w:rsid w:val="00FA3136"/>
    <w:rsid w:val="00FA3158"/>
    <w:rsid w:val="00FA31E3"/>
    <w:rsid w:val="00FA32E9"/>
    <w:rsid w:val="00FA331A"/>
    <w:rsid w:val="00FA33A3"/>
    <w:rsid w:val="00FA3999"/>
    <w:rsid w:val="00FA3B17"/>
    <w:rsid w:val="00FA3C56"/>
    <w:rsid w:val="00FA49FC"/>
    <w:rsid w:val="00FA4C80"/>
    <w:rsid w:val="00FA4FBB"/>
    <w:rsid w:val="00FA501C"/>
    <w:rsid w:val="00FA531B"/>
    <w:rsid w:val="00FA53F7"/>
    <w:rsid w:val="00FA543A"/>
    <w:rsid w:val="00FA57B5"/>
    <w:rsid w:val="00FA596D"/>
    <w:rsid w:val="00FA5A7A"/>
    <w:rsid w:val="00FA5C1C"/>
    <w:rsid w:val="00FA5C7B"/>
    <w:rsid w:val="00FA6067"/>
    <w:rsid w:val="00FA64CB"/>
    <w:rsid w:val="00FA65C0"/>
    <w:rsid w:val="00FA68CA"/>
    <w:rsid w:val="00FA6C64"/>
    <w:rsid w:val="00FA6F35"/>
    <w:rsid w:val="00FA6FA3"/>
    <w:rsid w:val="00FA70A1"/>
    <w:rsid w:val="00FA70D3"/>
    <w:rsid w:val="00FA7246"/>
    <w:rsid w:val="00FA734C"/>
    <w:rsid w:val="00FA77C7"/>
    <w:rsid w:val="00FA7807"/>
    <w:rsid w:val="00FA7857"/>
    <w:rsid w:val="00FA78C5"/>
    <w:rsid w:val="00FA7A09"/>
    <w:rsid w:val="00FA7C6E"/>
    <w:rsid w:val="00FA7F83"/>
    <w:rsid w:val="00FA7FA2"/>
    <w:rsid w:val="00FA7FDC"/>
    <w:rsid w:val="00FB035A"/>
    <w:rsid w:val="00FB04F6"/>
    <w:rsid w:val="00FB0AAB"/>
    <w:rsid w:val="00FB0F5A"/>
    <w:rsid w:val="00FB0F88"/>
    <w:rsid w:val="00FB1022"/>
    <w:rsid w:val="00FB12DC"/>
    <w:rsid w:val="00FB13A4"/>
    <w:rsid w:val="00FB1493"/>
    <w:rsid w:val="00FB1A95"/>
    <w:rsid w:val="00FB1B5F"/>
    <w:rsid w:val="00FB1C2A"/>
    <w:rsid w:val="00FB1D28"/>
    <w:rsid w:val="00FB1FB3"/>
    <w:rsid w:val="00FB20D7"/>
    <w:rsid w:val="00FB210D"/>
    <w:rsid w:val="00FB2480"/>
    <w:rsid w:val="00FB2A92"/>
    <w:rsid w:val="00FB2E82"/>
    <w:rsid w:val="00FB30D2"/>
    <w:rsid w:val="00FB32C8"/>
    <w:rsid w:val="00FB3548"/>
    <w:rsid w:val="00FB38C5"/>
    <w:rsid w:val="00FB3A37"/>
    <w:rsid w:val="00FB3A6D"/>
    <w:rsid w:val="00FB3ED1"/>
    <w:rsid w:val="00FB4221"/>
    <w:rsid w:val="00FB472F"/>
    <w:rsid w:val="00FB4AFC"/>
    <w:rsid w:val="00FB4F01"/>
    <w:rsid w:val="00FB51DD"/>
    <w:rsid w:val="00FB5279"/>
    <w:rsid w:val="00FB52FD"/>
    <w:rsid w:val="00FB55BC"/>
    <w:rsid w:val="00FB58AD"/>
    <w:rsid w:val="00FB59BB"/>
    <w:rsid w:val="00FB5B35"/>
    <w:rsid w:val="00FB5CE8"/>
    <w:rsid w:val="00FB5D25"/>
    <w:rsid w:val="00FB5E95"/>
    <w:rsid w:val="00FB61C3"/>
    <w:rsid w:val="00FB6938"/>
    <w:rsid w:val="00FB6B71"/>
    <w:rsid w:val="00FB755C"/>
    <w:rsid w:val="00FB767C"/>
    <w:rsid w:val="00FB7D4F"/>
    <w:rsid w:val="00FB7E53"/>
    <w:rsid w:val="00FC0018"/>
    <w:rsid w:val="00FC01CF"/>
    <w:rsid w:val="00FC03CA"/>
    <w:rsid w:val="00FC05B7"/>
    <w:rsid w:val="00FC0927"/>
    <w:rsid w:val="00FC09B2"/>
    <w:rsid w:val="00FC0D56"/>
    <w:rsid w:val="00FC1194"/>
    <w:rsid w:val="00FC141E"/>
    <w:rsid w:val="00FC1528"/>
    <w:rsid w:val="00FC15ED"/>
    <w:rsid w:val="00FC189E"/>
    <w:rsid w:val="00FC19E3"/>
    <w:rsid w:val="00FC1DC7"/>
    <w:rsid w:val="00FC2016"/>
    <w:rsid w:val="00FC20B7"/>
    <w:rsid w:val="00FC24AC"/>
    <w:rsid w:val="00FC27DC"/>
    <w:rsid w:val="00FC28A0"/>
    <w:rsid w:val="00FC2981"/>
    <w:rsid w:val="00FC2A41"/>
    <w:rsid w:val="00FC2B63"/>
    <w:rsid w:val="00FC2C1A"/>
    <w:rsid w:val="00FC2CA4"/>
    <w:rsid w:val="00FC2D53"/>
    <w:rsid w:val="00FC304A"/>
    <w:rsid w:val="00FC3065"/>
    <w:rsid w:val="00FC319F"/>
    <w:rsid w:val="00FC32AA"/>
    <w:rsid w:val="00FC34FC"/>
    <w:rsid w:val="00FC37EF"/>
    <w:rsid w:val="00FC3FBD"/>
    <w:rsid w:val="00FC40F4"/>
    <w:rsid w:val="00FC410E"/>
    <w:rsid w:val="00FC447A"/>
    <w:rsid w:val="00FC4802"/>
    <w:rsid w:val="00FC4804"/>
    <w:rsid w:val="00FC484B"/>
    <w:rsid w:val="00FC48DF"/>
    <w:rsid w:val="00FC4907"/>
    <w:rsid w:val="00FC49A4"/>
    <w:rsid w:val="00FC4BF4"/>
    <w:rsid w:val="00FC4F8E"/>
    <w:rsid w:val="00FC5154"/>
    <w:rsid w:val="00FC51FD"/>
    <w:rsid w:val="00FC531F"/>
    <w:rsid w:val="00FC55EA"/>
    <w:rsid w:val="00FC5725"/>
    <w:rsid w:val="00FC5BA1"/>
    <w:rsid w:val="00FC5D17"/>
    <w:rsid w:val="00FC5DB5"/>
    <w:rsid w:val="00FC5DB7"/>
    <w:rsid w:val="00FC5E82"/>
    <w:rsid w:val="00FC5E8C"/>
    <w:rsid w:val="00FC5FC7"/>
    <w:rsid w:val="00FC5FD9"/>
    <w:rsid w:val="00FC64AB"/>
    <w:rsid w:val="00FC663A"/>
    <w:rsid w:val="00FC6689"/>
    <w:rsid w:val="00FC6839"/>
    <w:rsid w:val="00FC68E9"/>
    <w:rsid w:val="00FC6A89"/>
    <w:rsid w:val="00FC6E83"/>
    <w:rsid w:val="00FC6F48"/>
    <w:rsid w:val="00FC70A9"/>
    <w:rsid w:val="00FC72BC"/>
    <w:rsid w:val="00FC73B5"/>
    <w:rsid w:val="00FC7663"/>
    <w:rsid w:val="00FC7704"/>
    <w:rsid w:val="00FC77CA"/>
    <w:rsid w:val="00FC7A31"/>
    <w:rsid w:val="00FC7C37"/>
    <w:rsid w:val="00FC7CF7"/>
    <w:rsid w:val="00FC7D2E"/>
    <w:rsid w:val="00FC7DB6"/>
    <w:rsid w:val="00FC7DD4"/>
    <w:rsid w:val="00FC7E0A"/>
    <w:rsid w:val="00FC7E8A"/>
    <w:rsid w:val="00FC7FDC"/>
    <w:rsid w:val="00FD0202"/>
    <w:rsid w:val="00FD0296"/>
    <w:rsid w:val="00FD042E"/>
    <w:rsid w:val="00FD048C"/>
    <w:rsid w:val="00FD04DE"/>
    <w:rsid w:val="00FD0642"/>
    <w:rsid w:val="00FD0A70"/>
    <w:rsid w:val="00FD0C5C"/>
    <w:rsid w:val="00FD0F4F"/>
    <w:rsid w:val="00FD0F56"/>
    <w:rsid w:val="00FD10CE"/>
    <w:rsid w:val="00FD12D3"/>
    <w:rsid w:val="00FD1313"/>
    <w:rsid w:val="00FD160B"/>
    <w:rsid w:val="00FD16C6"/>
    <w:rsid w:val="00FD16DE"/>
    <w:rsid w:val="00FD1713"/>
    <w:rsid w:val="00FD19AE"/>
    <w:rsid w:val="00FD19CF"/>
    <w:rsid w:val="00FD1D26"/>
    <w:rsid w:val="00FD1E05"/>
    <w:rsid w:val="00FD2203"/>
    <w:rsid w:val="00FD2698"/>
    <w:rsid w:val="00FD2876"/>
    <w:rsid w:val="00FD2A00"/>
    <w:rsid w:val="00FD38E6"/>
    <w:rsid w:val="00FD3948"/>
    <w:rsid w:val="00FD3A13"/>
    <w:rsid w:val="00FD3BD7"/>
    <w:rsid w:val="00FD3C5D"/>
    <w:rsid w:val="00FD4297"/>
    <w:rsid w:val="00FD42D0"/>
    <w:rsid w:val="00FD4341"/>
    <w:rsid w:val="00FD448F"/>
    <w:rsid w:val="00FD4B09"/>
    <w:rsid w:val="00FD4C91"/>
    <w:rsid w:val="00FD4EA0"/>
    <w:rsid w:val="00FD4EEE"/>
    <w:rsid w:val="00FD52E7"/>
    <w:rsid w:val="00FD5382"/>
    <w:rsid w:val="00FD54F9"/>
    <w:rsid w:val="00FD56D8"/>
    <w:rsid w:val="00FD5759"/>
    <w:rsid w:val="00FD5D77"/>
    <w:rsid w:val="00FD5EFF"/>
    <w:rsid w:val="00FD6090"/>
    <w:rsid w:val="00FD67A6"/>
    <w:rsid w:val="00FD6AB9"/>
    <w:rsid w:val="00FD6B4C"/>
    <w:rsid w:val="00FD6FF3"/>
    <w:rsid w:val="00FD7156"/>
    <w:rsid w:val="00FD71CB"/>
    <w:rsid w:val="00FD71D5"/>
    <w:rsid w:val="00FD7271"/>
    <w:rsid w:val="00FD769B"/>
    <w:rsid w:val="00FD7AB3"/>
    <w:rsid w:val="00FD7DB9"/>
    <w:rsid w:val="00FD7F6E"/>
    <w:rsid w:val="00FE0026"/>
    <w:rsid w:val="00FE005C"/>
    <w:rsid w:val="00FE00A0"/>
    <w:rsid w:val="00FE0169"/>
    <w:rsid w:val="00FE0238"/>
    <w:rsid w:val="00FE023D"/>
    <w:rsid w:val="00FE0267"/>
    <w:rsid w:val="00FE042C"/>
    <w:rsid w:val="00FE0492"/>
    <w:rsid w:val="00FE07BD"/>
    <w:rsid w:val="00FE09FB"/>
    <w:rsid w:val="00FE0D6E"/>
    <w:rsid w:val="00FE0DF1"/>
    <w:rsid w:val="00FE0F2B"/>
    <w:rsid w:val="00FE0F6B"/>
    <w:rsid w:val="00FE0F7E"/>
    <w:rsid w:val="00FE1AC1"/>
    <w:rsid w:val="00FE1D57"/>
    <w:rsid w:val="00FE1FC1"/>
    <w:rsid w:val="00FE218B"/>
    <w:rsid w:val="00FE2864"/>
    <w:rsid w:val="00FE2948"/>
    <w:rsid w:val="00FE29FF"/>
    <w:rsid w:val="00FE2E75"/>
    <w:rsid w:val="00FE2F82"/>
    <w:rsid w:val="00FE3299"/>
    <w:rsid w:val="00FE3463"/>
    <w:rsid w:val="00FE3539"/>
    <w:rsid w:val="00FE3590"/>
    <w:rsid w:val="00FE3672"/>
    <w:rsid w:val="00FE3975"/>
    <w:rsid w:val="00FE3984"/>
    <w:rsid w:val="00FE3AB1"/>
    <w:rsid w:val="00FE3D81"/>
    <w:rsid w:val="00FE3DBC"/>
    <w:rsid w:val="00FE3E88"/>
    <w:rsid w:val="00FE424E"/>
    <w:rsid w:val="00FE4C3C"/>
    <w:rsid w:val="00FE5258"/>
    <w:rsid w:val="00FE5820"/>
    <w:rsid w:val="00FE5970"/>
    <w:rsid w:val="00FE5A08"/>
    <w:rsid w:val="00FE5DEF"/>
    <w:rsid w:val="00FE63D0"/>
    <w:rsid w:val="00FE6A46"/>
    <w:rsid w:val="00FE6BEB"/>
    <w:rsid w:val="00FE6D4C"/>
    <w:rsid w:val="00FE6D56"/>
    <w:rsid w:val="00FE7564"/>
    <w:rsid w:val="00FE75E2"/>
    <w:rsid w:val="00FE775E"/>
    <w:rsid w:val="00FE7A64"/>
    <w:rsid w:val="00FE7F1C"/>
    <w:rsid w:val="00FE7F97"/>
    <w:rsid w:val="00FF0220"/>
    <w:rsid w:val="00FF0523"/>
    <w:rsid w:val="00FF0597"/>
    <w:rsid w:val="00FF064E"/>
    <w:rsid w:val="00FF0818"/>
    <w:rsid w:val="00FF0B2F"/>
    <w:rsid w:val="00FF0E3E"/>
    <w:rsid w:val="00FF12C3"/>
    <w:rsid w:val="00FF18A9"/>
    <w:rsid w:val="00FF1CD6"/>
    <w:rsid w:val="00FF1FD0"/>
    <w:rsid w:val="00FF208F"/>
    <w:rsid w:val="00FF2154"/>
    <w:rsid w:val="00FF2715"/>
    <w:rsid w:val="00FF2933"/>
    <w:rsid w:val="00FF2D84"/>
    <w:rsid w:val="00FF2E1F"/>
    <w:rsid w:val="00FF2E21"/>
    <w:rsid w:val="00FF33D7"/>
    <w:rsid w:val="00FF37E9"/>
    <w:rsid w:val="00FF395E"/>
    <w:rsid w:val="00FF3FB6"/>
    <w:rsid w:val="00FF40C0"/>
    <w:rsid w:val="00FF4208"/>
    <w:rsid w:val="00FF466A"/>
    <w:rsid w:val="00FF4F69"/>
    <w:rsid w:val="00FF5461"/>
    <w:rsid w:val="00FF5470"/>
    <w:rsid w:val="00FF557A"/>
    <w:rsid w:val="00FF56C9"/>
    <w:rsid w:val="00FF57F0"/>
    <w:rsid w:val="00FF5866"/>
    <w:rsid w:val="00FF5BE3"/>
    <w:rsid w:val="00FF5F56"/>
    <w:rsid w:val="00FF6172"/>
    <w:rsid w:val="00FF6264"/>
    <w:rsid w:val="00FF6374"/>
    <w:rsid w:val="00FF6AA7"/>
    <w:rsid w:val="00FF6BEA"/>
    <w:rsid w:val="00FF6C70"/>
    <w:rsid w:val="00FF6E83"/>
    <w:rsid w:val="00FF6FDF"/>
    <w:rsid w:val="00FF750F"/>
    <w:rsid w:val="00FF758D"/>
    <w:rsid w:val="00FF76CD"/>
    <w:rsid w:val="00FF7753"/>
    <w:rsid w:val="00FF77AC"/>
    <w:rsid w:val="00FF7956"/>
    <w:rsid w:val="00FF7DE1"/>
    <w:rsid w:val="00FF7E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D6E7D89"/>
  <w14:defaultImageDpi w14:val="0"/>
  <w15:docId w15:val="{F6B76AD6-1681-4813-A6B8-4E2B60E9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2BBB"/>
    <w:pPr>
      <w:spacing w:after="200" w:line="276" w:lineRule="auto"/>
    </w:pPr>
    <w:rPr>
      <w:rFonts w:cs="Times New Roman"/>
      <w:sz w:val="22"/>
      <w:szCs w:val="36"/>
      <w:lang w:eastAsia="en-US"/>
    </w:rPr>
  </w:style>
  <w:style w:type="paragraph" w:styleId="Nadpis1">
    <w:name w:val="heading 1"/>
    <w:basedOn w:val="Normlny"/>
    <w:next w:val="Normlny"/>
    <w:link w:val="Nadpis1Char"/>
    <w:uiPriority w:val="99"/>
    <w:qFormat/>
    <w:rsid w:val="005B24CB"/>
    <w:pPr>
      <w:keepNext/>
      <w:spacing w:before="240" w:after="60" w:line="240" w:lineRule="auto"/>
      <w:outlineLvl w:val="0"/>
    </w:pPr>
    <w:rPr>
      <w:rFonts w:ascii="Cambria" w:hAnsi="Cambria"/>
      <w:b/>
      <w:bCs/>
      <w:kern w:val="32"/>
      <w:sz w:val="32"/>
      <w:szCs w:val="32"/>
      <w:lang w:eastAsia="cs-CZ"/>
    </w:rPr>
  </w:style>
  <w:style w:type="paragraph" w:styleId="Nadpis2">
    <w:name w:val="heading 2"/>
    <w:basedOn w:val="Normlny"/>
    <w:next w:val="Normlny"/>
    <w:link w:val="Nadpis2Char"/>
    <w:autoRedefine/>
    <w:uiPriority w:val="99"/>
    <w:qFormat/>
    <w:rsid w:val="00886CD7"/>
    <w:pPr>
      <w:keepNext/>
      <w:tabs>
        <w:tab w:val="left" w:pos="420"/>
      </w:tabs>
      <w:spacing w:before="240" w:after="240" w:line="240" w:lineRule="auto"/>
      <w:outlineLvl w:val="1"/>
    </w:pPr>
    <w:rPr>
      <w:rFonts w:ascii="Times New Roman" w:hAnsi="Times New Roman"/>
      <w:b/>
      <w:bCs/>
      <w:iCs/>
      <w:sz w:val="24"/>
      <w:szCs w:val="24"/>
      <w:lang w:eastAsia="sk-SK"/>
    </w:rPr>
  </w:style>
  <w:style w:type="paragraph" w:styleId="Nadpis3">
    <w:name w:val="heading 3"/>
    <w:basedOn w:val="Normlny"/>
    <w:next w:val="Normlny"/>
    <w:link w:val="Nadpis3Char"/>
    <w:uiPriority w:val="99"/>
    <w:qFormat/>
    <w:rsid w:val="005B24CB"/>
    <w:pPr>
      <w:keepNext/>
      <w:spacing w:after="0" w:line="240" w:lineRule="auto"/>
      <w:outlineLvl w:val="2"/>
    </w:pPr>
    <w:rPr>
      <w:rFonts w:ascii="Times New Roman" w:hAnsi="Times New Roman"/>
      <w:b/>
      <w:sz w:val="24"/>
      <w:szCs w:val="20"/>
      <w:lang w:eastAsia="cs-CZ"/>
    </w:rPr>
  </w:style>
  <w:style w:type="paragraph" w:styleId="Nadpis4">
    <w:name w:val="heading 4"/>
    <w:basedOn w:val="Normlny"/>
    <w:next w:val="Normlny"/>
    <w:link w:val="Nadpis4Char"/>
    <w:uiPriority w:val="99"/>
    <w:qFormat/>
    <w:rsid w:val="005B24CB"/>
    <w:pPr>
      <w:keepNext/>
      <w:spacing w:before="240" w:after="60" w:line="240" w:lineRule="auto"/>
      <w:outlineLvl w:val="3"/>
    </w:pPr>
    <w:rPr>
      <w:rFonts w:ascii="Calibri" w:hAnsi="Calibri"/>
      <w:b/>
      <w:bCs/>
      <w:sz w:val="28"/>
      <w:szCs w:val="28"/>
      <w:lang w:eastAsia="sk-SK"/>
    </w:rPr>
  </w:style>
  <w:style w:type="paragraph" w:styleId="Nadpis5">
    <w:name w:val="heading 5"/>
    <w:basedOn w:val="Normlny"/>
    <w:next w:val="Normlny"/>
    <w:link w:val="Nadpis5Char"/>
    <w:uiPriority w:val="99"/>
    <w:qFormat/>
    <w:rsid w:val="005B24CB"/>
    <w:pPr>
      <w:keepNext/>
      <w:tabs>
        <w:tab w:val="num" w:pos="1008"/>
      </w:tabs>
      <w:spacing w:after="0" w:line="240" w:lineRule="auto"/>
      <w:ind w:left="1008" w:hanging="1008"/>
      <w:jc w:val="center"/>
      <w:outlineLvl w:val="4"/>
    </w:pPr>
    <w:rPr>
      <w:rFonts w:ascii="Times New Roman" w:hAnsi="Times New Roman"/>
      <w:b/>
      <w:bCs/>
      <w:sz w:val="20"/>
      <w:szCs w:val="20"/>
      <w:lang w:eastAsia="cs-CZ"/>
    </w:rPr>
  </w:style>
  <w:style w:type="paragraph" w:styleId="Nadpis6">
    <w:name w:val="heading 6"/>
    <w:basedOn w:val="Normlny"/>
    <w:next w:val="Normlny"/>
    <w:link w:val="Nadpis6Char"/>
    <w:uiPriority w:val="99"/>
    <w:qFormat/>
    <w:rsid w:val="005B24CB"/>
    <w:pPr>
      <w:tabs>
        <w:tab w:val="num" w:pos="1152"/>
      </w:tabs>
      <w:spacing w:before="240" w:after="60" w:line="240" w:lineRule="auto"/>
      <w:ind w:left="1152" w:hanging="1152"/>
      <w:outlineLvl w:val="5"/>
    </w:pPr>
    <w:rPr>
      <w:rFonts w:ascii="Times New Roman" w:hAnsi="Times New Roman"/>
      <w:b/>
      <w:bCs/>
      <w:sz w:val="20"/>
      <w:szCs w:val="22"/>
      <w:lang w:eastAsia="sk-SK"/>
    </w:rPr>
  </w:style>
  <w:style w:type="paragraph" w:styleId="Nadpis7">
    <w:name w:val="heading 7"/>
    <w:basedOn w:val="Normlny"/>
    <w:next w:val="Normlny"/>
    <w:link w:val="Nadpis7Char"/>
    <w:uiPriority w:val="99"/>
    <w:qFormat/>
    <w:rsid w:val="005B24CB"/>
    <w:pPr>
      <w:tabs>
        <w:tab w:val="num" w:pos="1296"/>
      </w:tabs>
      <w:spacing w:before="240" w:after="60" w:line="240" w:lineRule="auto"/>
      <w:ind w:left="1296" w:hanging="1296"/>
      <w:outlineLvl w:val="6"/>
    </w:pPr>
    <w:rPr>
      <w:rFonts w:ascii="Times New Roman" w:hAnsi="Times New Roman"/>
      <w:sz w:val="24"/>
      <w:szCs w:val="24"/>
      <w:lang w:eastAsia="sk-SK"/>
    </w:rPr>
  </w:style>
  <w:style w:type="paragraph" w:styleId="Nadpis8">
    <w:name w:val="heading 8"/>
    <w:basedOn w:val="Normlny"/>
    <w:next w:val="Normlny"/>
    <w:link w:val="Nadpis8Char"/>
    <w:uiPriority w:val="99"/>
    <w:qFormat/>
    <w:rsid w:val="005B24CB"/>
    <w:pPr>
      <w:tabs>
        <w:tab w:val="num" w:pos="1440"/>
      </w:tabs>
      <w:spacing w:before="240" w:after="60" w:line="240" w:lineRule="auto"/>
      <w:ind w:left="1440" w:hanging="1440"/>
      <w:outlineLvl w:val="7"/>
    </w:pPr>
    <w:rPr>
      <w:rFonts w:ascii="Times New Roman" w:hAnsi="Times New Roman"/>
      <w:i/>
      <w:iCs/>
      <w:sz w:val="24"/>
      <w:szCs w:val="24"/>
      <w:lang w:eastAsia="sk-SK"/>
    </w:rPr>
  </w:style>
  <w:style w:type="paragraph" w:styleId="Nadpis9">
    <w:name w:val="heading 9"/>
    <w:basedOn w:val="Normlny"/>
    <w:next w:val="Normlny"/>
    <w:link w:val="Nadpis9Char"/>
    <w:uiPriority w:val="99"/>
    <w:qFormat/>
    <w:rsid w:val="005B24CB"/>
    <w:pPr>
      <w:tabs>
        <w:tab w:val="num" w:pos="1584"/>
      </w:tabs>
      <w:spacing w:before="240" w:after="60" w:line="240" w:lineRule="auto"/>
      <w:ind w:left="1584" w:hanging="1584"/>
      <w:outlineLvl w:val="8"/>
    </w:pPr>
    <w:rPr>
      <w:rFonts w:ascii="Arial" w:hAnsi="Arial"/>
      <w:sz w:val="20"/>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B24CB"/>
    <w:rPr>
      <w:rFonts w:ascii="Cambria" w:hAnsi="Cambria" w:cs="Times New Roman"/>
      <w:b/>
      <w:kern w:val="32"/>
      <w:sz w:val="32"/>
      <w:lang w:val="x-none" w:eastAsia="cs-CZ"/>
    </w:rPr>
  </w:style>
  <w:style w:type="character" w:customStyle="1" w:styleId="Nadpis2Char">
    <w:name w:val="Nadpis 2 Char"/>
    <w:basedOn w:val="Predvolenpsmoodseku"/>
    <w:link w:val="Nadpis2"/>
    <w:uiPriority w:val="99"/>
    <w:locked/>
    <w:rsid w:val="00886CD7"/>
    <w:rPr>
      <w:rFonts w:ascii="Times New Roman" w:hAnsi="Times New Roman" w:cs="Times New Roman"/>
      <w:b/>
      <w:bCs/>
      <w:iCs/>
      <w:sz w:val="24"/>
      <w:szCs w:val="24"/>
    </w:rPr>
  </w:style>
  <w:style w:type="character" w:customStyle="1" w:styleId="Nadpis3Char">
    <w:name w:val="Nadpis 3 Char"/>
    <w:basedOn w:val="Predvolenpsmoodseku"/>
    <w:link w:val="Nadpis3"/>
    <w:uiPriority w:val="99"/>
    <w:locked/>
    <w:rsid w:val="005B24CB"/>
    <w:rPr>
      <w:rFonts w:ascii="Times New Roman" w:hAnsi="Times New Roman" w:cs="Times New Roman"/>
      <w:b/>
      <w:sz w:val="20"/>
      <w:lang w:val="x-none" w:eastAsia="cs-CZ"/>
    </w:rPr>
  </w:style>
  <w:style w:type="character" w:customStyle="1" w:styleId="Nadpis4Char">
    <w:name w:val="Nadpis 4 Char"/>
    <w:basedOn w:val="Predvolenpsmoodseku"/>
    <w:link w:val="Nadpis4"/>
    <w:uiPriority w:val="99"/>
    <w:locked/>
    <w:rsid w:val="005B24CB"/>
    <w:rPr>
      <w:rFonts w:ascii="Calibri" w:hAnsi="Calibri" w:cs="Times New Roman"/>
      <w:b/>
      <w:sz w:val="28"/>
    </w:rPr>
  </w:style>
  <w:style w:type="character" w:customStyle="1" w:styleId="Nadpis5Char">
    <w:name w:val="Nadpis 5 Char"/>
    <w:basedOn w:val="Predvolenpsmoodseku"/>
    <w:link w:val="Nadpis5"/>
    <w:uiPriority w:val="99"/>
    <w:locked/>
    <w:rsid w:val="005B24CB"/>
    <w:rPr>
      <w:rFonts w:ascii="Times New Roman" w:hAnsi="Times New Roman" w:cs="Times New Roman"/>
      <w:b/>
      <w:sz w:val="20"/>
      <w:lang w:val="x-none" w:eastAsia="cs-CZ"/>
    </w:rPr>
  </w:style>
  <w:style w:type="character" w:customStyle="1" w:styleId="Nadpis6Char">
    <w:name w:val="Nadpis 6 Char"/>
    <w:basedOn w:val="Predvolenpsmoodseku"/>
    <w:link w:val="Nadpis6"/>
    <w:uiPriority w:val="99"/>
    <w:locked/>
    <w:rsid w:val="005B24CB"/>
    <w:rPr>
      <w:rFonts w:ascii="Times New Roman" w:hAnsi="Times New Roman" w:cs="Times New Roman"/>
      <w:b/>
      <w:sz w:val="22"/>
    </w:rPr>
  </w:style>
  <w:style w:type="character" w:customStyle="1" w:styleId="Nadpis7Char">
    <w:name w:val="Nadpis 7 Char"/>
    <w:basedOn w:val="Predvolenpsmoodseku"/>
    <w:link w:val="Nadpis7"/>
    <w:uiPriority w:val="99"/>
    <w:locked/>
    <w:rsid w:val="005B24CB"/>
    <w:rPr>
      <w:rFonts w:ascii="Times New Roman" w:hAnsi="Times New Roman" w:cs="Times New Roman"/>
      <w:sz w:val="24"/>
    </w:rPr>
  </w:style>
  <w:style w:type="character" w:customStyle="1" w:styleId="Nadpis8Char">
    <w:name w:val="Nadpis 8 Char"/>
    <w:basedOn w:val="Predvolenpsmoodseku"/>
    <w:link w:val="Nadpis8"/>
    <w:uiPriority w:val="99"/>
    <w:locked/>
    <w:rsid w:val="005B24CB"/>
    <w:rPr>
      <w:rFonts w:ascii="Times New Roman" w:hAnsi="Times New Roman" w:cs="Times New Roman"/>
      <w:i/>
      <w:sz w:val="24"/>
    </w:rPr>
  </w:style>
  <w:style w:type="character" w:customStyle="1" w:styleId="Nadpis9Char">
    <w:name w:val="Nadpis 9 Char"/>
    <w:basedOn w:val="Predvolenpsmoodseku"/>
    <w:link w:val="Nadpis9"/>
    <w:uiPriority w:val="99"/>
    <w:locked/>
    <w:rsid w:val="005B24CB"/>
    <w:rPr>
      <w:rFonts w:ascii="Arial" w:hAnsi="Arial" w:cs="Times New Roman"/>
      <w:sz w:val="22"/>
    </w:rPr>
  </w:style>
  <w:style w:type="paragraph" w:styleId="Textbubliny">
    <w:name w:val="Balloon Text"/>
    <w:basedOn w:val="Normlny"/>
    <w:link w:val="TextbublinyChar"/>
    <w:uiPriority w:val="99"/>
    <w:semiHidden/>
    <w:rsid w:val="00582CDA"/>
    <w:pPr>
      <w:spacing w:after="0" w:line="240" w:lineRule="auto"/>
    </w:pPr>
    <w:rPr>
      <w:rFonts w:ascii="Tahoma" w:hAnsi="Tahoma"/>
      <w:sz w:val="16"/>
      <w:szCs w:val="16"/>
      <w:lang w:eastAsia="sk-SK"/>
    </w:rPr>
  </w:style>
  <w:style w:type="character" w:customStyle="1" w:styleId="TextbublinyChar">
    <w:name w:val="Text bubliny Char"/>
    <w:basedOn w:val="Predvolenpsmoodseku"/>
    <w:link w:val="Textbubliny"/>
    <w:uiPriority w:val="99"/>
    <w:semiHidden/>
    <w:locked/>
    <w:rsid w:val="00582CDA"/>
    <w:rPr>
      <w:rFonts w:ascii="Tahoma" w:hAnsi="Tahoma" w:cs="Times New Roman"/>
      <w:sz w:val="16"/>
    </w:rPr>
  </w:style>
  <w:style w:type="paragraph" w:styleId="Normlnywebov">
    <w:name w:val="Normal (Web)"/>
    <w:basedOn w:val="Normlny"/>
    <w:uiPriority w:val="99"/>
    <w:rsid w:val="00582CDA"/>
    <w:pPr>
      <w:spacing w:after="100" w:afterAutospacing="1" w:line="240" w:lineRule="auto"/>
    </w:pPr>
    <w:rPr>
      <w:rFonts w:ascii="Times New Roman" w:hAnsi="Times New Roman"/>
      <w:sz w:val="24"/>
      <w:szCs w:val="24"/>
      <w:lang w:eastAsia="sk-SK"/>
    </w:rPr>
  </w:style>
  <w:style w:type="paragraph" w:styleId="Hlavika">
    <w:name w:val="header"/>
    <w:basedOn w:val="Normlny"/>
    <w:link w:val="HlavikaChar"/>
    <w:uiPriority w:val="99"/>
    <w:rsid w:val="002F68AE"/>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2F68AE"/>
    <w:rPr>
      <w:rFonts w:cs="Times New Roman"/>
    </w:rPr>
  </w:style>
  <w:style w:type="paragraph" w:styleId="Pta">
    <w:name w:val="footer"/>
    <w:basedOn w:val="Normlny"/>
    <w:link w:val="PtaChar"/>
    <w:uiPriority w:val="99"/>
    <w:rsid w:val="002F68AE"/>
    <w:pPr>
      <w:tabs>
        <w:tab w:val="center" w:pos="4536"/>
        <w:tab w:val="right" w:pos="9072"/>
      </w:tabs>
      <w:spacing w:after="0" w:line="240" w:lineRule="auto"/>
    </w:pPr>
  </w:style>
  <w:style w:type="character" w:customStyle="1" w:styleId="PtaChar">
    <w:name w:val="Päta Char"/>
    <w:basedOn w:val="Predvolenpsmoodseku"/>
    <w:link w:val="Pta"/>
    <w:uiPriority w:val="99"/>
    <w:locked/>
    <w:rsid w:val="002F68AE"/>
    <w:rPr>
      <w:rFonts w:cs="Times New Roman"/>
    </w:rPr>
  </w:style>
  <w:style w:type="paragraph" w:styleId="Odsekzoznamu">
    <w:name w:val="List Paragraph"/>
    <w:basedOn w:val="Normlny"/>
    <w:link w:val="OdsekzoznamuChar"/>
    <w:uiPriority w:val="34"/>
    <w:qFormat/>
    <w:rsid w:val="00C927E0"/>
    <w:pPr>
      <w:ind w:left="720"/>
      <w:contextualSpacing/>
    </w:pPr>
  </w:style>
  <w:style w:type="character" w:styleId="Hypertextovprepojenie">
    <w:name w:val="Hyperlink"/>
    <w:basedOn w:val="Predvolenpsmoodseku"/>
    <w:uiPriority w:val="99"/>
    <w:rsid w:val="00C62BEC"/>
    <w:rPr>
      <w:rFonts w:cs="Times New Roman"/>
      <w:color w:val="9E150F"/>
      <w:u w:val="single"/>
    </w:rPr>
  </w:style>
  <w:style w:type="character" w:styleId="Siln">
    <w:name w:val="Strong"/>
    <w:basedOn w:val="Predvolenpsmoodseku"/>
    <w:uiPriority w:val="22"/>
    <w:qFormat/>
    <w:rsid w:val="00C62BEC"/>
    <w:rPr>
      <w:rFonts w:cs="Times New Roman"/>
      <w:b/>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Plonk,f"/>
    <w:basedOn w:val="Normlny"/>
    <w:link w:val="TextpoznmkypodiarouChar"/>
    <w:uiPriority w:val="99"/>
    <w:qFormat/>
    <w:rsid w:val="00DE7E84"/>
    <w:rPr>
      <w:sz w:val="20"/>
      <w:szCs w:val="20"/>
      <w:lang w:eastAsia="sk-SK"/>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Plonk Char,f Char"/>
    <w:basedOn w:val="Predvolenpsmoodseku"/>
    <w:link w:val="Textpoznmkypodiarou"/>
    <w:uiPriority w:val="99"/>
    <w:locked/>
    <w:rsid w:val="00DE7E84"/>
    <w:rPr>
      <w:rFonts w:eastAsia="Times New Roman" w:cs="Times New Roman"/>
      <w:sz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link w:val="Char2"/>
    <w:uiPriority w:val="99"/>
    <w:qFormat/>
    <w:rsid w:val="00DE7E84"/>
    <w:rPr>
      <w:rFonts w:cs="Times New Roman"/>
      <w:vertAlign w:val="superscript"/>
    </w:rPr>
  </w:style>
  <w:style w:type="table" w:styleId="Mriekatabuky">
    <w:name w:val="Table Grid"/>
    <w:basedOn w:val="Normlnatabuka"/>
    <w:uiPriority w:val="99"/>
    <w:rsid w:val="002D629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2D6290"/>
    <w:rPr>
      <w:rFonts w:cs="Times New Roman"/>
    </w:rPr>
  </w:style>
  <w:style w:type="paragraph" w:customStyle="1" w:styleId="Zkladntext1">
    <w:name w:val="Základní text1"/>
    <w:uiPriority w:val="99"/>
    <w:rsid w:val="002D6290"/>
    <w:pPr>
      <w:spacing w:before="144" w:after="144"/>
      <w:ind w:firstLine="709"/>
      <w:jc w:val="both"/>
    </w:pPr>
    <w:rPr>
      <w:rFonts w:ascii="Times New Roman" w:hAnsi="Times New Roman" w:cs="Times New Roman"/>
      <w:color w:val="000000"/>
      <w:sz w:val="24"/>
      <w:szCs w:val="24"/>
    </w:rPr>
  </w:style>
  <w:style w:type="paragraph" w:styleId="Zkladntext">
    <w:name w:val="Body Text"/>
    <w:basedOn w:val="Normlny"/>
    <w:link w:val="ZkladntextChar"/>
    <w:uiPriority w:val="99"/>
    <w:rsid w:val="002D6290"/>
    <w:pPr>
      <w:spacing w:after="0" w:line="240" w:lineRule="auto"/>
      <w:ind w:left="426"/>
      <w:jc w:val="both"/>
    </w:pPr>
    <w:rPr>
      <w:rFonts w:ascii="Times New Roman" w:hAnsi="Times New Roman"/>
      <w:sz w:val="18"/>
      <w:szCs w:val="18"/>
      <w:lang w:eastAsia="sk-SK"/>
    </w:rPr>
  </w:style>
  <w:style w:type="character" w:customStyle="1" w:styleId="ZkladntextChar">
    <w:name w:val="Základný text Char"/>
    <w:basedOn w:val="Predvolenpsmoodseku"/>
    <w:link w:val="Zkladntext"/>
    <w:uiPriority w:val="99"/>
    <w:locked/>
    <w:rsid w:val="002D6290"/>
    <w:rPr>
      <w:rFonts w:ascii="Times New Roman" w:hAnsi="Times New Roman" w:cs="Times New Roman"/>
      <w:sz w:val="18"/>
      <w:lang w:val="x-none" w:eastAsia="sk-SK"/>
    </w:rPr>
  </w:style>
  <w:style w:type="paragraph" w:customStyle="1" w:styleId="Pismenka">
    <w:name w:val="Pismenka"/>
    <w:basedOn w:val="Zkladntext"/>
    <w:rsid w:val="002D6290"/>
    <w:pPr>
      <w:tabs>
        <w:tab w:val="num" w:pos="426"/>
      </w:tabs>
      <w:ind w:hanging="426"/>
    </w:pPr>
    <w:rPr>
      <w:b/>
      <w:bCs/>
    </w:rPr>
  </w:style>
  <w:style w:type="paragraph" w:customStyle="1" w:styleId="odstavec">
    <w:name w:val="odstavec"/>
    <w:basedOn w:val="Normlny"/>
    <w:autoRedefine/>
    <w:uiPriority w:val="99"/>
    <w:rsid w:val="002D6290"/>
    <w:pPr>
      <w:spacing w:after="0" w:line="240" w:lineRule="auto"/>
      <w:ind w:right="-79"/>
      <w:jc w:val="both"/>
    </w:pPr>
    <w:rPr>
      <w:rFonts w:ascii="Times New Roman" w:hAnsi="Times New Roman"/>
      <w:sz w:val="20"/>
      <w:szCs w:val="24"/>
      <w:lang w:eastAsia="sk-SK"/>
    </w:rPr>
  </w:style>
  <w:style w:type="paragraph" w:customStyle="1" w:styleId="abc">
    <w:name w:val="abc"/>
    <w:basedOn w:val="Normlny"/>
    <w:autoRedefine/>
    <w:uiPriority w:val="99"/>
    <w:rsid w:val="002D6290"/>
    <w:pPr>
      <w:numPr>
        <w:numId w:val="17"/>
      </w:numPr>
      <w:spacing w:before="60" w:after="120" w:line="240" w:lineRule="auto"/>
      <w:jc w:val="both"/>
    </w:pPr>
    <w:rPr>
      <w:rFonts w:ascii="Times New Roman" w:hAnsi="Times New Roman"/>
      <w:b/>
      <w:sz w:val="20"/>
      <w:szCs w:val="20"/>
      <w:lang w:eastAsia="sk-SK"/>
    </w:rPr>
  </w:style>
  <w:style w:type="character" w:customStyle="1" w:styleId="spanr">
    <w:name w:val="span_r"/>
    <w:uiPriority w:val="99"/>
    <w:rsid w:val="005B24CB"/>
  </w:style>
  <w:style w:type="paragraph" w:customStyle="1" w:styleId="CharChar1">
    <w:name w:val="Char Char1"/>
    <w:basedOn w:val="Normlny"/>
    <w:uiPriority w:val="99"/>
    <w:rsid w:val="005B24CB"/>
    <w:pPr>
      <w:spacing w:after="160" w:line="240" w:lineRule="exact"/>
    </w:pPr>
    <w:rPr>
      <w:rFonts w:ascii="Tahoma" w:hAnsi="Tahoma"/>
      <w:sz w:val="20"/>
      <w:szCs w:val="20"/>
    </w:rPr>
  </w:style>
  <w:style w:type="paragraph" w:customStyle="1" w:styleId="CharChar11">
    <w:name w:val="Char Char11"/>
    <w:basedOn w:val="Normlny"/>
    <w:uiPriority w:val="99"/>
    <w:rsid w:val="005B24CB"/>
    <w:pPr>
      <w:spacing w:after="160" w:line="240" w:lineRule="exact"/>
    </w:pPr>
    <w:rPr>
      <w:rFonts w:ascii="Tahoma" w:hAnsi="Tahoma" w:cs="Tahoma"/>
      <w:sz w:val="20"/>
      <w:szCs w:val="20"/>
    </w:rPr>
  </w:style>
  <w:style w:type="character" w:customStyle="1" w:styleId="poradna-tl-reaguj1">
    <w:name w:val="poradna-tl-reaguj1"/>
    <w:uiPriority w:val="99"/>
    <w:rsid w:val="005B24CB"/>
    <w:rPr>
      <w:color w:val="A55570"/>
      <w:sz w:val="20"/>
    </w:rPr>
  </w:style>
  <w:style w:type="paragraph" w:customStyle="1" w:styleId="Zakladnmtext">
    <w:name w:val="Z&lt;/a&gt;kladn&lt;/m&gt; text"/>
    <w:uiPriority w:val="99"/>
    <w:rsid w:val="005B24CB"/>
    <w:rPr>
      <w:rFonts w:ascii="Times New Roman" w:hAnsi="Times New Roman" w:cs="Times New Roman"/>
      <w:color w:val="000000"/>
      <w:sz w:val="24"/>
      <w:lang w:val="en-US"/>
    </w:rPr>
  </w:style>
  <w:style w:type="paragraph" w:customStyle="1" w:styleId="Xadka">
    <w:name w:val="&lt;/X&gt;&lt;/a&gt;dka"/>
    <w:uiPriority w:val="99"/>
    <w:rsid w:val="005B24CB"/>
    <w:rPr>
      <w:rFonts w:ascii="Times New Roman" w:hAnsi="Times New Roman" w:cs="Times New Roman"/>
      <w:color w:val="000000"/>
      <w:sz w:val="24"/>
      <w:lang w:val="en-US"/>
    </w:rPr>
  </w:style>
  <w:style w:type="paragraph" w:customStyle="1" w:styleId="Znahka">
    <w:name w:val="Zna&lt;/h&gt;ka"/>
    <w:uiPriority w:val="99"/>
    <w:rsid w:val="005B24CB"/>
    <w:pPr>
      <w:ind w:left="288" w:hanging="288"/>
    </w:pPr>
    <w:rPr>
      <w:rFonts w:ascii="Times New Roman" w:hAnsi="Times New Roman" w:cs="Times New Roman"/>
      <w:color w:val="000000"/>
      <w:sz w:val="24"/>
      <w:lang w:val="en-US"/>
    </w:rPr>
  </w:style>
  <w:style w:type="paragraph" w:customStyle="1" w:styleId="Znahka1">
    <w:name w:val="Zna&lt;/h&gt;ka 1"/>
    <w:uiPriority w:val="99"/>
    <w:rsid w:val="005B24CB"/>
    <w:rPr>
      <w:rFonts w:ascii="Times New Roman" w:hAnsi="Times New Roman" w:cs="Times New Roman"/>
      <w:color w:val="000000"/>
      <w:sz w:val="24"/>
      <w:lang w:val="en-US"/>
    </w:rPr>
  </w:style>
  <w:style w:type="paragraph" w:customStyle="1" w:styleId="Hmsloseznamu">
    <w:name w:val="&lt;/H&gt;&lt;/m&gt;slo seznamu"/>
    <w:uiPriority w:val="99"/>
    <w:rsid w:val="005B24CB"/>
    <w:pPr>
      <w:tabs>
        <w:tab w:val="left" w:pos="576"/>
      </w:tabs>
    </w:pPr>
    <w:rPr>
      <w:rFonts w:ascii="Times New Roman" w:hAnsi="Times New Roman" w:cs="Times New Roman"/>
      <w:color w:val="000000"/>
      <w:sz w:val="24"/>
      <w:lang w:val="en-US"/>
    </w:rPr>
  </w:style>
  <w:style w:type="paragraph" w:customStyle="1" w:styleId="Podnadpis">
    <w:name w:val="Podnadpis"/>
    <w:uiPriority w:val="99"/>
    <w:rsid w:val="005B24CB"/>
    <w:rPr>
      <w:rFonts w:ascii="Times New Roman" w:hAnsi="Times New Roman" w:cs="Times New Roman"/>
      <w:b/>
      <w:i/>
      <w:color w:val="000000"/>
      <w:sz w:val="24"/>
      <w:lang w:val="en-US"/>
    </w:rPr>
  </w:style>
  <w:style w:type="paragraph" w:customStyle="1" w:styleId="Nadpis">
    <w:name w:val="Nadpis"/>
    <w:uiPriority w:val="99"/>
    <w:rsid w:val="005B24CB"/>
    <w:pPr>
      <w:jc w:val="center"/>
    </w:pPr>
    <w:rPr>
      <w:rFonts w:ascii="Arial" w:hAnsi="Arial" w:cs="Times New Roman"/>
      <w:b/>
      <w:color w:val="000000"/>
      <w:sz w:val="36"/>
      <w:lang w:val="en-US"/>
    </w:rPr>
  </w:style>
  <w:style w:type="paragraph" w:customStyle="1" w:styleId="Zahlavm">
    <w:name w:val="Z&lt;/a&gt;hlav&lt;/m&gt;"/>
    <w:uiPriority w:val="99"/>
    <w:rsid w:val="005B24CB"/>
    <w:rPr>
      <w:rFonts w:ascii="Times New Roman" w:hAnsi="Times New Roman" w:cs="Times New Roman"/>
      <w:color w:val="000000"/>
      <w:sz w:val="24"/>
      <w:lang w:val="en-US"/>
    </w:rPr>
  </w:style>
  <w:style w:type="paragraph" w:customStyle="1" w:styleId="Pata">
    <w:name w:val="Pata"/>
    <w:uiPriority w:val="99"/>
    <w:rsid w:val="005B24CB"/>
    <w:rPr>
      <w:rFonts w:ascii="Times New Roman" w:hAnsi="Times New Roman" w:cs="Times New Roman"/>
      <w:color w:val="000000"/>
      <w:sz w:val="24"/>
      <w:lang w:val="en-US"/>
    </w:rPr>
  </w:style>
  <w:style w:type="paragraph" w:customStyle="1" w:styleId="Texttabulky">
    <w:name w:val="Text tabulky"/>
    <w:uiPriority w:val="99"/>
    <w:rsid w:val="005B24CB"/>
    <w:rPr>
      <w:rFonts w:ascii="Times New Roman" w:hAnsi="Times New Roman" w:cs="Times New Roman"/>
      <w:color w:val="000000"/>
      <w:sz w:val="24"/>
      <w:lang w:val="en-US"/>
    </w:rPr>
  </w:style>
  <w:style w:type="paragraph" w:customStyle="1" w:styleId="Zkladntext10">
    <w:name w:val="Základný text1"/>
    <w:uiPriority w:val="99"/>
    <w:rsid w:val="005B24CB"/>
    <w:rPr>
      <w:rFonts w:ascii="Dutch801 SWC" w:hAnsi="Dutch801 SWC" w:cs="Times New Roman"/>
      <w:color w:val="000000"/>
      <w:sz w:val="24"/>
      <w:lang w:val="en-US"/>
    </w:rPr>
  </w:style>
  <w:style w:type="paragraph" w:customStyle="1" w:styleId="Zkladntext0">
    <w:name w:val="Základní text"/>
    <w:uiPriority w:val="99"/>
    <w:rsid w:val="005B24CB"/>
    <w:pPr>
      <w:autoSpaceDE w:val="0"/>
      <w:autoSpaceDN w:val="0"/>
      <w:adjustRightInd w:val="0"/>
    </w:pPr>
    <w:rPr>
      <w:rFonts w:ascii="Times New Roman" w:hAnsi="Times New Roman" w:cs="Times New Roman"/>
      <w:color w:val="000000"/>
      <w:szCs w:val="24"/>
    </w:rPr>
  </w:style>
  <w:style w:type="paragraph" w:styleId="Zkladntext2">
    <w:name w:val="Body Text 2"/>
    <w:aliases w:val="Char"/>
    <w:basedOn w:val="Normlny"/>
    <w:link w:val="Zkladntext2Char"/>
    <w:uiPriority w:val="99"/>
    <w:rsid w:val="005B24CB"/>
    <w:pPr>
      <w:spacing w:after="160" w:line="240" w:lineRule="exact"/>
    </w:pPr>
    <w:rPr>
      <w:rFonts w:ascii="Tahoma" w:hAnsi="Tahoma" w:cs="Tahoma"/>
      <w:sz w:val="20"/>
      <w:szCs w:val="20"/>
      <w:lang w:val="en-US"/>
    </w:rPr>
  </w:style>
  <w:style w:type="character" w:customStyle="1" w:styleId="Zkladntext2Char">
    <w:name w:val="Základný text 2 Char"/>
    <w:aliases w:val="Char Char"/>
    <w:basedOn w:val="Predvolenpsmoodseku"/>
    <w:link w:val="Zkladntext2"/>
    <w:uiPriority w:val="99"/>
    <w:locked/>
    <w:rsid w:val="005B24CB"/>
    <w:rPr>
      <w:rFonts w:ascii="Times New Roman" w:hAnsi="Times New Roman" w:cs="Times New Roman"/>
      <w:sz w:val="20"/>
    </w:rPr>
  </w:style>
  <w:style w:type="paragraph" w:styleId="Zarkazkladnhotextu">
    <w:name w:val="Body Text Indent"/>
    <w:basedOn w:val="Normlny"/>
    <w:link w:val="ZarkazkladnhotextuChar"/>
    <w:uiPriority w:val="99"/>
    <w:rsid w:val="005B24CB"/>
    <w:pPr>
      <w:spacing w:after="0" w:line="240" w:lineRule="auto"/>
      <w:ind w:firstLine="708"/>
      <w:jc w:val="both"/>
    </w:pPr>
    <w:rPr>
      <w:rFonts w:ascii="Dutch801 SWC" w:hAnsi="Dutch801 SWC"/>
      <w:sz w:val="24"/>
      <w:szCs w:val="20"/>
      <w:lang w:eastAsia="sk-SK"/>
    </w:rPr>
  </w:style>
  <w:style w:type="character" w:customStyle="1" w:styleId="ZarkazkladnhotextuChar">
    <w:name w:val="Zarážka základného textu Char"/>
    <w:basedOn w:val="Predvolenpsmoodseku"/>
    <w:link w:val="Zarkazkladnhotextu"/>
    <w:uiPriority w:val="99"/>
    <w:locked/>
    <w:rsid w:val="005B24CB"/>
    <w:rPr>
      <w:rFonts w:ascii="Dutch801 SWC" w:hAnsi="Dutch801 SWC" w:cs="Times New Roman"/>
      <w:sz w:val="20"/>
    </w:rPr>
  </w:style>
  <w:style w:type="paragraph" w:styleId="Zkladntext3">
    <w:name w:val="Body Text 3"/>
    <w:basedOn w:val="Normlny"/>
    <w:link w:val="Zkladntext3Char"/>
    <w:uiPriority w:val="99"/>
    <w:rsid w:val="005B24C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21" w:lineRule="atLeast"/>
    </w:pPr>
    <w:rPr>
      <w:rFonts w:ascii="Times New Roman" w:hAnsi="Times New Roman"/>
      <w:b/>
      <w:bCs/>
      <w:sz w:val="28"/>
      <w:szCs w:val="24"/>
      <w:lang w:eastAsia="sk-SK"/>
    </w:rPr>
  </w:style>
  <w:style w:type="character" w:customStyle="1" w:styleId="Zkladntext3Char">
    <w:name w:val="Základný text 3 Char"/>
    <w:basedOn w:val="Predvolenpsmoodseku"/>
    <w:link w:val="Zkladntext3"/>
    <w:uiPriority w:val="99"/>
    <w:locked/>
    <w:rsid w:val="005B24CB"/>
    <w:rPr>
      <w:rFonts w:ascii="Times New Roman" w:hAnsi="Times New Roman" w:cs="Times New Roman"/>
      <w:b/>
      <w:sz w:val="24"/>
    </w:rPr>
  </w:style>
  <w:style w:type="paragraph" w:customStyle="1" w:styleId="Zkladntext21">
    <w:name w:val="Základný text 21"/>
    <w:basedOn w:val="Normlny"/>
    <w:uiPriority w:val="99"/>
    <w:rsid w:val="005B24CB"/>
    <w:pPr>
      <w:widowControl w:val="0"/>
      <w:spacing w:before="120" w:after="120" w:line="240" w:lineRule="auto"/>
      <w:ind w:left="426"/>
      <w:jc w:val="both"/>
    </w:pPr>
    <w:rPr>
      <w:rFonts w:ascii="Times New Roman" w:hAnsi="Times New Roman"/>
      <w:sz w:val="24"/>
      <w:szCs w:val="20"/>
      <w:lang w:val="cs-CZ"/>
    </w:rPr>
  </w:style>
  <w:style w:type="paragraph" w:customStyle="1" w:styleId="08Textsprvy">
    <w:name w:val="08. Text správy"/>
    <w:basedOn w:val="Normlny"/>
    <w:uiPriority w:val="99"/>
    <w:rsid w:val="005B24CB"/>
    <w:pPr>
      <w:spacing w:after="0" w:line="240" w:lineRule="auto"/>
      <w:jc w:val="both"/>
    </w:pPr>
    <w:rPr>
      <w:rFonts w:ascii="Times New Roman" w:hAnsi="Times New Roman"/>
      <w:sz w:val="24"/>
      <w:szCs w:val="20"/>
      <w:lang w:eastAsia="cs-CZ"/>
    </w:rPr>
  </w:style>
  <w:style w:type="table" w:customStyle="1" w:styleId="Mriekatabuky1">
    <w:name w:val="Mriežka tabuľky1"/>
    <w:uiPriority w:val="99"/>
    <w:rsid w:val="005B24C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lny"/>
    <w:uiPriority w:val="99"/>
    <w:rsid w:val="005B24CB"/>
    <w:pPr>
      <w:spacing w:after="160" w:line="240" w:lineRule="exact"/>
    </w:pPr>
    <w:rPr>
      <w:rFonts w:ascii="Tahoma" w:hAnsi="Tahoma"/>
      <w:sz w:val="20"/>
      <w:szCs w:val="20"/>
    </w:rPr>
  </w:style>
  <w:style w:type="paragraph" w:customStyle="1" w:styleId="titulok">
    <w:name w:val="titulok"/>
    <w:basedOn w:val="Normlny"/>
    <w:uiPriority w:val="99"/>
    <w:rsid w:val="005B24CB"/>
    <w:pPr>
      <w:spacing w:before="100" w:beforeAutospacing="1" w:after="100" w:afterAutospacing="1" w:line="240" w:lineRule="auto"/>
      <w:jc w:val="center"/>
    </w:pPr>
    <w:rPr>
      <w:rFonts w:ascii="Arial" w:hAnsi="Arial" w:cs="Arial"/>
      <w:b/>
      <w:bCs/>
      <w:color w:val="007060"/>
      <w:sz w:val="24"/>
      <w:szCs w:val="24"/>
      <w:lang w:eastAsia="sk-SK"/>
    </w:rPr>
  </w:style>
  <w:style w:type="paragraph" w:customStyle="1" w:styleId="CharCharCharCharCharCharCharCharChar1Char">
    <w:name w:val="Char Char Char Char Char Char Char Char Char1 Char"/>
    <w:basedOn w:val="Normlny"/>
    <w:uiPriority w:val="99"/>
    <w:rsid w:val="005B24CB"/>
    <w:pPr>
      <w:spacing w:after="160" w:line="240" w:lineRule="exact"/>
    </w:pPr>
    <w:rPr>
      <w:rFonts w:ascii="Tahoma" w:hAnsi="Tahoma"/>
      <w:sz w:val="20"/>
      <w:szCs w:val="20"/>
      <w:lang w:val="en-US"/>
    </w:rPr>
  </w:style>
  <w:style w:type="paragraph" w:customStyle="1" w:styleId="Char1">
    <w:name w:val="Char1"/>
    <w:basedOn w:val="Normlny"/>
    <w:uiPriority w:val="99"/>
    <w:rsid w:val="005B24CB"/>
    <w:pPr>
      <w:spacing w:after="160" w:line="240" w:lineRule="exact"/>
    </w:pPr>
    <w:rPr>
      <w:rFonts w:ascii="Tahoma" w:hAnsi="Tahoma" w:cs="Tahoma"/>
      <w:sz w:val="20"/>
      <w:szCs w:val="20"/>
      <w:lang w:val="en-US"/>
    </w:rPr>
  </w:style>
  <w:style w:type="paragraph" w:customStyle="1" w:styleId="tlCharCharChar1CharCharCharChar">
    <w:name w:val="Štýl Char Char Char1 Char Char Char Char"/>
    <w:basedOn w:val="Normlny"/>
    <w:uiPriority w:val="99"/>
    <w:rsid w:val="005B24CB"/>
    <w:pPr>
      <w:spacing w:after="160" w:line="240" w:lineRule="exact"/>
    </w:pPr>
    <w:rPr>
      <w:rFonts w:ascii="Tahoma" w:hAnsi="Tahoma" w:cs="Tahoma"/>
      <w:sz w:val="20"/>
      <w:szCs w:val="20"/>
      <w:lang w:val="en-US"/>
    </w:rPr>
  </w:style>
  <w:style w:type="character" w:styleId="Odkaznakomentr">
    <w:name w:val="annotation reference"/>
    <w:basedOn w:val="Predvolenpsmoodseku"/>
    <w:uiPriority w:val="99"/>
    <w:semiHidden/>
    <w:rsid w:val="005B24CB"/>
    <w:rPr>
      <w:rFonts w:cs="Times New Roman"/>
      <w:sz w:val="16"/>
    </w:rPr>
  </w:style>
  <w:style w:type="paragraph" w:styleId="Textkomentra">
    <w:name w:val="annotation text"/>
    <w:basedOn w:val="Normlny"/>
    <w:link w:val="TextkomentraChar"/>
    <w:uiPriority w:val="99"/>
    <w:semiHidden/>
    <w:rsid w:val="005B24CB"/>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semiHidden/>
    <w:locked/>
    <w:rsid w:val="005B24CB"/>
    <w:rPr>
      <w:rFonts w:ascii="Times New Roman" w:hAnsi="Times New Roman" w:cs="Times New Roman"/>
      <w:sz w:val="20"/>
    </w:rPr>
  </w:style>
  <w:style w:type="paragraph" w:styleId="Predmetkomentra">
    <w:name w:val="annotation subject"/>
    <w:basedOn w:val="Textkomentra"/>
    <w:next w:val="Textkomentra"/>
    <w:link w:val="PredmetkomentraChar"/>
    <w:uiPriority w:val="99"/>
    <w:semiHidden/>
    <w:rsid w:val="005B24CB"/>
    <w:rPr>
      <w:b/>
      <w:bCs/>
    </w:rPr>
  </w:style>
  <w:style w:type="character" w:customStyle="1" w:styleId="PredmetkomentraChar">
    <w:name w:val="Predmet komentára Char"/>
    <w:basedOn w:val="TextkomentraChar"/>
    <w:link w:val="Predmetkomentra"/>
    <w:uiPriority w:val="99"/>
    <w:semiHidden/>
    <w:locked/>
    <w:rsid w:val="005B24CB"/>
    <w:rPr>
      <w:rFonts w:ascii="Times New Roman" w:hAnsi="Times New Roman" w:cs="Times New Roman"/>
      <w:b/>
      <w:sz w:val="20"/>
    </w:rPr>
  </w:style>
  <w:style w:type="paragraph" w:customStyle="1" w:styleId="AUTunVycentrovan">
    <w:name w:val="AU Tučné Vycentrované"/>
    <w:basedOn w:val="Normlny"/>
    <w:uiPriority w:val="99"/>
    <w:rsid w:val="005B24CB"/>
    <w:pPr>
      <w:spacing w:after="0" w:line="240" w:lineRule="auto"/>
      <w:jc w:val="center"/>
    </w:pPr>
    <w:rPr>
      <w:rFonts w:ascii="Times New Roman" w:hAnsi="Times New Roman"/>
      <w:b/>
      <w:bCs/>
      <w:sz w:val="24"/>
      <w:szCs w:val="20"/>
      <w:lang w:eastAsia="cs-CZ"/>
    </w:rPr>
  </w:style>
  <w:style w:type="paragraph" w:customStyle="1" w:styleId="AUODRAKA">
    <w:name w:val="AU ODRAŽKA"/>
    <w:basedOn w:val="Normlny"/>
    <w:uiPriority w:val="99"/>
    <w:rsid w:val="005B24CB"/>
    <w:pPr>
      <w:numPr>
        <w:numId w:val="20"/>
      </w:numPr>
      <w:spacing w:before="120" w:after="0" w:line="240" w:lineRule="auto"/>
      <w:jc w:val="both"/>
    </w:pPr>
    <w:rPr>
      <w:rFonts w:ascii="Times New Roman" w:hAnsi="Times New Roman"/>
      <w:sz w:val="24"/>
      <w:szCs w:val="20"/>
      <w:lang w:eastAsia="cs-CZ"/>
    </w:rPr>
  </w:style>
  <w:style w:type="paragraph" w:customStyle="1" w:styleId="CharCharCharCharCharChar1">
    <w:name w:val="Char Char Char Char Char Char1"/>
    <w:basedOn w:val="Normlny"/>
    <w:uiPriority w:val="99"/>
    <w:rsid w:val="005B24CB"/>
    <w:pPr>
      <w:spacing w:after="160" w:line="240" w:lineRule="exact"/>
    </w:pPr>
    <w:rPr>
      <w:rFonts w:ascii="Tahoma" w:hAnsi="Tahoma" w:cs="Tahoma"/>
      <w:sz w:val="20"/>
      <w:szCs w:val="20"/>
      <w:lang w:val="en-US"/>
    </w:rPr>
  </w:style>
  <w:style w:type="paragraph" w:customStyle="1" w:styleId="Zarkazkladnhotextu21">
    <w:name w:val="Zarážka základného textu 21"/>
    <w:basedOn w:val="Normlny"/>
    <w:uiPriority w:val="99"/>
    <w:rsid w:val="005B24CB"/>
    <w:pPr>
      <w:overflowPunct w:val="0"/>
      <w:autoSpaceDE w:val="0"/>
      <w:autoSpaceDN w:val="0"/>
      <w:adjustRightInd w:val="0"/>
      <w:spacing w:before="120" w:after="0" w:line="240" w:lineRule="auto"/>
      <w:ind w:left="284" w:hanging="284"/>
      <w:jc w:val="both"/>
      <w:textAlignment w:val="baseline"/>
    </w:pPr>
    <w:rPr>
      <w:sz w:val="24"/>
      <w:szCs w:val="20"/>
      <w:lang w:eastAsia="cs-CZ"/>
    </w:rPr>
  </w:style>
  <w:style w:type="paragraph" w:styleId="Zoznamsodrkami2">
    <w:name w:val="List Bullet 2"/>
    <w:basedOn w:val="Normlny"/>
    <w:autoRedefine/>
    <w:uiPriority w:val="99"/>
    <w:rsid w:val="005B24CB"/>
    <w:pPr>
      <w:numPr>
        <w:numId w:val="2"/>
      </w:numPr>
      <w:tabs>
        <w:tab w:val="num" w:pos="284"/>
        <w:tab w:val="num" w:pos="465"/>
      </w:tabs>
      <w:spacing w:after="0" w:line="240" w:lineRule="auto"/>
    </w:pPr>
    <w:rPr>
      <w:rFonts w:ascii="Courier" w:hAnsi="Courier" w:cs="Courier"/>
      <w:sz w:val="24"/>
      <w:szCs w:val="24"/>
      <w:lang w:eastAsia="cs-CZ"/>
    </w:rPr>
  </w:style>
  <w:style w:type="paragraph" w:customStyle="1" w:styleId="CharCharChar2CharCharCharCharChar">
    <w:name w:val="Char Char Char2 Char Char Char Char Char"/>
    <w:basedOn w:val="Normlny"/>
    <w:uiPriority w:val="99"/>
    <w:rsid w:val="005B24CB"/>
    <w:pPr>
      <w:spacing w:after="160" w:line="240" w:lineRule="exact"/>
    </w:pPr>
    <w:rPr>
      <w:rFonts w:ascii="Tahoma" w:hAnsi="Tahoma"/>
      <w:sz w:val="20"/>
      <w:szCs w:val="20"/>
      <w:lang w:val="en-US"/>
    </w:rPr>
  </w:style>
  <w:style w:type="table" w:customStyle="1" w:styleId="Normlnatabuka1">
    <w:name w:val="Normálna tabuľka1"/>
    <w:uiPriority w:val="99"/>
    <w:semiHidden/>
    <w:rsid w:val="005B24CB"/>
    <w:rPr>
      <w:rFonts w:ascii="Dutch801 SWC" w:hAnsi="Dutch801 SWC" w:cs="Times New Roman"/>
    </w:rPr>
    <w:tblPr>
      <w:tblInd w:w="0" w:type="dxa"/>
      <w:tblCellMar>
        <w:top w:w="0" w:type="dxa"/>
        <w:left w:w="108" w:type="dxa"/>
        <w:bottom w:w="0" w:type="dxa"/>
        <w:right w:w="108" w:type="dxa"/>
      </w:tblCellMar>
    </w:tblPr>
  </w:style>
  <w:style w:type="character" w:customStyle="1" w:styleId="ZkladntextodsazenChar">
    <w:name w:val="Základní text odsazený Char"/>
    <w:uiPriority w:val="99"/>
    <w:rsid w:val="005B24CB"/>
    <w:rPr>
      <w:rFonts w:ascii="AT* Times New Roman" w:hAnsi="AT* Times New Roman"/>
      <w:sz w:val="24"/>
      <w:lang w:val="sk-SK" w:eastAsia="cs-CZ"/>
    </w:rPr>
  </w:style>
  <w:style w:type="table" w:customStyle="1" w:styleId="Normlnatabuka2">
    <w:name w:val="Normálna tabuľka2"/>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3">
    <w:name w:val="Normálna tabuľka3"/>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4">
    <w:name w:val="Normálna tabuľka4"/>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5">
    <w:name w:val="Normálna tabuľka5"/>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6">
    <w:name w:val="Normálna tabuľka6"/>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7">
    <w:name w:val="Normálna tabuľka7"/>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8">
    <w:name w:val="Normálna tabuľka8"/>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9">
    <w:name w:val="Normálna tabuľka9"/>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10">
    <w:name w:val="Normálna tabuľka10"/>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11">
    <w:name w:val="Normálna tabuľka11"/>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12">
    <w:name w:val="Normálna tabuľka12"/>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13">
    <w:name w:val="Normálna tabuľka13"/>
    <w:uiPriority w:val="99"/>
    <w:semiHidden/>
    <w:rsid w:val="005B24CB"/>
    <w:rPr>
      <w:rFonts w:ascii="Calibri" w:hAnsi="Calibri" w:cs="Times New Roman"/>
    </w:rPr>
    <w:tblPr>
      <w:tblInd w:w="0" w:type="dxa"/>
      <w:tblCellMar>
        <w:top w:w="0" w:type="dxa"/>
        <w:left w:w="108" w:type="dxa"/>
        <w:bottom w:w="0" w:type="dxa"/>
        <w:right w:w="108" w:type="dxa"/>
      </w:tblCellMar>
    </w:tblPr>
  </w:style>
  <w:style w:type="table" w:customStyle="1" w:styleId="Normlnatabuka14">
    <w:name w:val="Normálna tabuľka14"/>
    <w:uiPriority w:val="99"/>
    <w:semiHidden/>
    <w:rsid w:val="005B24CB"/>
    <w:rPr>
      <w:rFonts w:ascii="Calibri" w:hAnsi="Calibri" w:cs="Times New Roman"/>
    </w:rPr>
    <w:tblPr>
      <w:tblInd w:w="0" w:type="dxa"/>
      <w:tblCellMar>
        <w:top w:w="0" w:type="dxa"/>
        <w:left w:w="108" w:type="dxa"/>
        <w:bottom w:w="0" w:type="dxa"/>
        <w:right w:w="108" w:type="dxa"/>
      </w:tblCellMar>
    </w:tblPr>
  </w:style>
  <w:style w:type="paragraph" w:customStyle="1" w:styleId="CharCharCharChar1CharChar">
    <w:name w:val="Char Char Char Char1 Char Char"/>
    <w:basedOn w:val="Normlny"/>
    <w:uiPriority w:val="99"/>
    <w:rsid w:val="005B24CB"/>
    <w:pPr>
      <w:spacing w:after="160" w:line="240" w:lineRule="exact"/>
    </w:pPr>
    <w:rPr>
      <w:rFonts w:ascii="Tahoma" w:hAnsi="Tahoma" w:cs="Tahoma"/>
      <w:sz w:val="20"/>
      <w:szCs w:val="20"/>
      <w:lang w:val="en-US"/>
    </w:rPr>
  </w:style>
  <w:style w:type="table" w:customStyle="1" w:styleId="Normlnatabuka15">
    <w:name w:val="Normálna tabuľka15"/>
    <w:uiPriority w:val="99"/>
    <w:semiHidden/>
    <w:rsid w:val="005B24CB"/>
    <w:rPr>
      <w:rFonts w:ascii="Calibri" w:hAnsi="Calibri" w:cs="Times New Roman"/>
    </w:rPr>
    <w:tblPr>
      <w:tblInd w:w="0" w:type="dxa"/>
      <w:tblCellMar>
        <w:top w:w="0" w:type="dxa"/>
        <w:left w:w="108" w:type="dxa"/>
        <w:bottom w:w="0" w:type="dxa"/>
        <w:right w:w="108" w:type="dxa"/>
      </w:tblCellMar>
    </w:tblPr>
  </w:style>
  <w:style w:type="paragraph" w:styleId="Obsah1">
    <w:name w:val="toc 1"/>
    <w:basedOn w:val="Normlny"/>
    <w:next w:val="Normlny"/>
    <w:autoRedefine/>
    <w:uiPriority w:val="99"/>
    <w:rsid w:val="005B24CB"/>
    <w:pPr>
      <w:spacing w:after="0" w:line="240" w:lineRule="auto"/>
    </w:pPr>
    <w:rPr>
      <w:rFonts w:ascii="Courier" w:hAnsi="Courier" w:cs="Courier"/>
      <w:sz w:val="24"/>
      <w:szCs w:val="24"/>
      <w:lang w:eastAsia="cs-CZ"/>
    </w:rPr>
  </w:style>
  <w:style w:type="paragraph" w:styleId="Obyajntext">
    <w:name w:val="Plain Text"/>
    <w:basedOn w:val="Normlny"/>
    <w:link w:val="ObyajntextChar"/>
    <w:uiPriority w:val="99"/>
    <w:rsid w:val="005C2139"/>
    <w:pPr>
      <w:spacing w:after="0" w:line="240" w:lineRule="auto"/>
    </w:pPr>
    <w:rPr>
      <w:szCs w:val="21"/>
    </w:rPr>
  </w:style>
  <w:style w:type="character" w:customStyle="1" w:styleId="ObyajntextChar">
    <w:name w:val="Obyčajný text Char"/>
    <w:basedOn w:val="Predvolenpsmoodseku"/>
    <w:link w:val="Obyajntext"/>
    <w:uiPriority w:val="99"/>
    <w:locked/>
    <w:rsid w:val="005C2139"/>
    <w:rPr>
      <w:rFonts w:cs="Times New Roman"/>
      <w:sz w:val="21"/>
      <w:lang w:val="x-none" w:eastAsia="en-US"/>
    </w:rPr>
  </w:style>
  <w:style w:type="paragraph" w:customStyle="1" w:styleId="Default">
    <w:name w:val="Default"/>
    <w:rsid w:val="00A1290D"/>
    <w:pPr>
      <w:autoSpaceDE w:val="0"/>
      <w:autoSpaceDN w:val="0"/>
      <w:adjustRightInd w:val="0"/>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rsid w:val="006938C8"/>
    <w:rPr>
      <w:rFonts w:cs="Times New Roman"/>
      <w:color w:val="800080"/>
      <w:u w:val="single"/>
    </w:rPr>
  </w:style>
  <w:style w:type="paragraph" w:customStyle="1" w:styleId="xl687">
    <w:name w:val="xl687"/>
    <w:basedOn w:val="Normlny"/>
    <w:uiPriority w:val="99"/>
    <w:rsid w:val="006938C8"/>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88">
    <w:name w:val="xl688"/>
    <w:basedOn w:val="Normlny"/>
    <w:uiPriority w:val="99"/>
    <w:rsid w:val="006938C8"/>
    <w:pP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89">
    <w:name w:val="xl689"/>
    <w:basedOn w:val="Normlny"/>
    <w:uiPriority w:val="99"/>
    <w:rsid w:val="006938C8"/>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0">
    <w:name w:val="xl690"/>
    <w:basedOn w:val="Normlny"/>
    <w:uiPriority w:val="99"/>
    <w:rsid w:val="006938C8"/>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691">
    <w:name w:val="xl691"/>
    <w:basedOn w:val="Normlny"/>
    <w:uiPriority w:val="99"/>
    <w:rsid w:val="006938C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hAnsi="Arial" w:cs="Arial"/>
      <w:sz w:val="20"/>
      <w:szCs w:val="20"/>
      <w:lang w:eastAsia="sk-SK"/>
    </w:rPr>
  </w:style>
  <w:style w:type="paragraph" w:customStyle="1" w:styleId="xl692">
    <w:name w:val="xl692"/>
    <w:basedOn w:val="Normlny"/>
    <w:uiPriority w:val="99"/>
    <w:rsid w:val="006938C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93">
    <w:name w:val="xl693"/>
    <w:basedOn w:val="Normlny"/>
    <w:uiPriority w:val="99"/>
    <w:rsid w:val="006938C8"/>
    <w:pP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94">
    <w:name w:val="xl694"/>
    <w:basedOn w:val="Normlny"/>
    <w:uiPriority w:val="99"/>
    <w:rsid w:val="006938C8"/>
    <w:pPr>
      <w:pBdr>
        <w:bottom w:val="single" w:sz="4" w:space="0" w:color="000000"/>
      </w:pBd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95">
    <w:name w:val="xl695"/>
    <w:basedOn w:val="Normlny"/>
    <w:uiPriority w:val="99"/>
    <w:rsid w:val="006938C8"/>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96">
    <w:name w:val="xl696"/>
    <w:basedOn w:val="Normlny"/>
    <w:uiPriority w:val="99"/>
    <w:rsid w:val="006938C8"/>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97">
    <w:name w:val="xl697"/>
    <w:basedOn w:val="Normlny"/>
    <w:uiPriority w:val="99"/>
    <w:rsid w:val="006938C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98">
    <w:name w:val="xl698"/>
    <w:basedOn w:val="Normlny"/>
    <w:uiPriority w:val="99"/>
    <w:rsid w:val="006938C8"/>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9">
    <w:name w:val="xl699"/>
    <w:basedOn w:val="Normlny"/>
    <w:uiPriority w:val="99"/>
    <w:rsid w:val="006938C8"/>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700">
    <w:name w:val="xl700"/>
    <w:basedOn w:val="Normlny"/>
    <w:uiPriority w:val="99"/>
    <w:rsid w:val="006938C8"/>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701">
    <w:name w:val="xl701"/>
    <w:basedOn w:val="Normlny"/>
    <w:uiPriority w:val="99"/>
    <w:rsid w:val="006938C8"/>
    <w:pPr>
      <w:pBdr>
        <w:bottom w:val="single" w:sz="4" w:space="0" w:color="000000"/>
      </w:pBdr>
      <w:shd w:val="clear" w:color="000000" w:fill="FFFFFF"/>
      <w:spacing w:before="100" w:beforeAutospacing="1" w:after="100" w:afterAutospacing="1" w:line="240" w:lineRule="auto"/>
      <w:textAlignment w:val="center"/>
    </w:pPr>
    <w:rPr>
      <w:rFonts w:ascii="Arial" w:hAnsi="Arial" w:cs="Arial"/>
      <w:sz w:val="20"/>
      <w:szCs w:val="20"/>
      <w:lang w:eastAsia="sk-SK"/>
    </w:rPr>
  </w:style>
  <w:style w:type="paragraph" w:customStyle="1" w:styleId="xl702">
    <w:name w:val="xl702"/>
    <w:basedOn w:val="Normlny"/>
    <w:uiPriority w:val="99"/>
    <w:rsid w:val="006938C8"/>
    <w:pPr>
      <w:pBdr>
        <w:bottom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3">
    <w:name w:val="xl703"/>
    <w:basedOn w:val="Normlny"/>
    <w:uiPriority w:val="99"/>
    <w:rsid w:val="006938C8"/>
    <w:pPr>
      <w:pBdr>
        <w:left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4">
    <w:name w:val="xl704"/>
    <w:basedOn w:val="Normlny"/>
    <w:uiPriority w:val="99"/>
    <w:rsid w:val="006938C8"/>
    <w:pP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5">
    <w:name w:val="xl705"/>
    <w:basedOn w:val="Normlny"/>
    <w:uiPriority w:val="99"/>
    <w:rsid w:val="006938C8"/>
    <w:pPr>
      <w:pBdr>
        <w:bottom w:val="single" w:sz="4" w:space="0" w:color="000000"/>
      </w:pBdr>
      <w:shd w:val="clear" w:color="000000" w:fill="FFFFFF"/>
      <w:spacing w:before="100" w:beforeAutospacing="1" w:after="100" w:afterAutospacing="1" w:line="240" w:lineRule="auto"/>
      <w:textAlignment w:val="center"/>
    </w:pPr>
    <w:rPr>
      <w:rFonts w:ascii="Arial" w:hAnsi="Arial" w:cs="Arial"/>
      <w:sz w:val="20"/>
      <w:szCs w:val="20"/>
      <w:lang w:eastAsia="sk-SK"/>
    </w:rPr>
  </w:style>
  <w:style w:type="paragraph" w:customStyle="1" w:styleId="xl706">
    <w:name w:val="xl706"/>
    <w:basedOn w:val="Normlny"/>
    <w:uiPriority w:val="99"/>
    <w:rsid w:val="006938C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7">
    <w:name w:val="xl707"/>
    <w:basedOn w:val="Normlny"/>
    <w:uiPriority w:val="99"/>
    <w:rsid w:val="006938C8"/>
    <w:pPr>
      <w:pBdr>
        <w:top w:val="single" w:sz="4" w:space="0" w:color="000000"/>
        <w:lef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08">
    <w:name w:val="xl708"/>
    <w:basedOn w:val="Normlny"/>
    <w:uiPriority w:val="99"/>
    <w:rsid w:val="006938C8"/>
    <w:pPr>
      <w:pBdr>
        <w:top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09">
    <w:name w:val="xl709"/>
    <w:basedOn w:val="Normlny"/>
    <w:uiPriority w:val="99"/>
    <w:rsid w:val="006938C8"/>
    <w:pPr>
      <w:pBdr>
        <w:top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0">
    <w:name w:val="xl710"/>
    <w:basedOn w:val="Normlny"/>
    <w:uiPriority w:val="99"/>
    <w:rsid w:val="006938C8"/>
    <w:pPr>
      <w:pBdr>
        <w:lef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1">
    <w:name w:val="xl711"/>
    <w:basedOn w:val="Normlny"/>
    <w:uiPriority w:val="99"/>
    <w:rsid w:val="006938C8"/>
    <w:pP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2">
    <w:name w:val="xl712"/>
    <w:basedOn w:val="Normlny"/>
    <w:uiPriority w:val="99"/>
    <w:rsid w:val="006938C8"/>
    <w:pPr>
      <w:pBdr>
        <w:righ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3">
    <w:name w:val="xl713"/>
    <w:basedOn w:val="Normlny"/>
    <w:uiPriority w:val="99"/>
    <w:rsid w:val="006938C8"/>
    <w:pPr>
      <w:spacing w:before="100" w:beforeAutospacing="1" w:after="100" w:afterAutospacing="1" w:line="240" w:lineRule="auto"/>
      <w:textAlignment w:val="top"/>
    </w:pPr>
    <w:rPr>
      <w:rFonts w:ascii="Arial" w:hAnsi="Arial" w:cs="Arial"/>
      <w:sz w:val="20"/>
      <w:szCs w:val="20"/>
      <w:lang w:eastAsia="sk-SK"/>
    </w:rPr>
  </w:style>
  <w:style w:type="paragraph" w:customStyle="1" w:styleId="xl714">
    <w:name w:val="xl714"/>
    <w:basedOn w:val="Normlny"/>
    <w:uiPriority w:val="99"/>
    <w:rsid w:val="006938C8"/>
    <w:pPr>
      <w:pBdr>
        <w:right w:val="single" w:sz="4" w:space="0" w:color="000000"/>
      </w:pBdr>
      <w:spacing w:before="100" w:beforeAutospacing="1" w:after="100" w:afterAutospacing="1" w:line="240" w:lineRule="auto"/>
    </w:pPr>
    <w:rPr>
      <w:rFonts w:ascii="Arial" w:hAnsi="Arial" w:cs="Arial"/>
      <w:sz w:val="20"/>
      <w:szCs w:val="20"/>
      <w:lang w:eastAsia="sk-SK"/>
    </w:rPr>
  </w:style>
  <w:style w:type="paragraph" w:customStyle="1" w:styleId="xl715">
    <w:name w:val="xl715"/>
    <w:basedOn w:val="Normlny"/>
    <w:uiPriority w:val="99"/>
    <w:rsid w:val="006938C8"/>
    <w:pPr>
      <w:pBdr>
        <w:lef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6">
    <w:name w:val="xl716"/>
    <w:basedOn w:val="Normlny"/>
    <w:uiPriority w:val="99"/>
    <w:rsid w:val="006938C8"/>
    <w:pPr>
      <w:pBdr>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7">
    <w:name w:val="xl717"/>
    <w:basedOn w:val="Normlny"/>
    <w:uiPriority w:val="99"/>
    <w:rsid w:val="006938C8"/>
    <w:pPr>
      <w:pBdr>
        <w:left w:val="single" w:sz="4" w:space="0" w:color="000000"/>
        <w:bottom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8">
    <w:name w:val="xl718"/>
    <w:basedOn w:val="Normlny"/>
    <w:uiPriority w:val="99"/>
    <w:rsid w:val="006938C8"/>
    <w:pPr>
      <w:pBdr>
        <w:bottom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9">
    <w:name w:val="xl719"/>
    <w:basedOn w:val="Normlny"/>
    <w:uiPriority w:val="99"/>
    <w:rsid w:val="006938C8"/>
    <w:pPr>
      <w:pBdr>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20">
    <w:name w:val="xl720"/>
    <w:basedOn w:val="Normlny"/>
    <w:uiPriority w:val="99"/>
    <w:rsid w:val="006938C8"/>
    <w:pPr>
      <w:pBdr>
        <w:bottom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21">
    <w:name w:val="xl721"/>
    <w:basedOn w:val="Normlny"/>
    <w:uiPriority w:val="99"/>
    <w:rsid w:val="006938C8"/>
    <w:pPr>
      <w:pBdr>
        <w:left w:val="single" w:sz="4" w:space="0" w:color="000000"/>
        <w:bottom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styleId="Revzia">
    <w:name w:val="Revision"/>
    <w:hidden/>
    <w:uiPriority w:val="99"/>
    <w:semiHidden/>
    <w:rsid w:val="0096476C"/>
    <w:rPr>
      <w:rFonts w:cs="Times New Roman"/>
      <w:sz w:val="22"/>
      <w:szCs w:val="36"/>
      <w:lang w:eastAsia="en-US"/>
    </w:rPr>
  </w:style>
  <w:style w:type="paragraph" w:customStyle="1" w:styleId="CharChar1CharCharChar">
    <w:name w:val="Char Char1 Char Char Char"/>
    <w:basedOn w:val="Normlny"/>
    <w:uiPriority w:val="99"/>
    <w:rsid w:val="00A86242"/>
    <w:pPr>
      <w:spacing w:after="160" w:line="240" w:lineRule="exact"/>
    </w:pPr>
    <w:rPr>
      <w:rFonts w:ascii="Tahoma" w:hAnsi="Tahoma"/>
      <w:sz w:val="20"/>
      <w:szCs w:val="20"/>
    </w:rPr>
  </w:style>
  <w:style w:type="paragraph" w:styleId="Textvysvetlivky">
    <w:name w:val="endnote text"/>
    <w:basedOn w:val="Normlny"/>
    <w:link w:val="TextvysvetlivkyChar"/>
    <w:uiPriority w:val="99"/>
    <w:semiHidden/>
    <w:unhideWhenUsed/>
    <w:rsid w:val="004C6591"/>
    <w:rPr>
      <w:sz w:val="20"/>
      <w:szCs w:val="20"/>
    </w:rPr>
  </w:style>
  <w:style w:type="character" w:customStyle="1" w:styleId="TextvysvetlivkyChar">
    <w:name w:val="Text vysvetlivky Char"/>
    <w:basedOn w:val="Predvolenpsmoodseku"/>
    <w:link w:val="Textvysvetlivky"/>
    <w:uiPriority w:val="99"/>
    <w:semiHidden/>
    <w:locked/>
    <w:rsid w:val="004C6591"/>
    <w:rPr>
      <w:rFonts w:cs="Times New Roman"/>
      <w:sz w:val="20"/>
      <w:lang w:val="x-none" w:eastAsia="en-US"/>
    </w:rPr>
  </w:style>
  <w:style w:type="character" w:styleId="Odkaznavysvetlivku">
    <w:name w:val="endnote reference"/>
    <w:basedOn w:val="Predvolenpsmoodseku"/>
    <w:uiPriority w:val="99"/>
    <w:semiHidden/>
    <w:unhideWhenUsed/>
    <w:rsid w:val="004C6591"/>
    <w:rPr>
      <w:rFonts w:cs="Times New Roman"/>
      <w:vertAlign w:val="superscript"/>
    </w:rPr>
  </w:style>
  <w:style w:type="paragraph" w:styleId="Bezriadkovania">
    <w:name w:val="No Spacing"/>
    <w:basedOn w:val="Normlny"/>
    <w:uiPriority w:val="1"/>
    <w:qFormat/>
    <w:rsid w:val="00723E90"/>
    <w:pPr>
      <w:spacing w:after="0" w:line="240" w:lineRule="auto"/>
    </w:pPr>
    <w:rPr>
      <w:rFonts w:ascii="Calibri" w:eastAsiaTheme="minorHAnsi" w:hAnsi="Calibri"/>
      <w:szCs w:val="22"/>
    </w:rPr>
  </w:style>
  <w:style w:type="character" w:customStyle="1" w:styleId="st1">
    <w:name w:val="st1"/>
    <w:rsid w:val="002F489C"/>
  </w:style>
  <w:style w:type="paragraph" w:customStyle="1" w:styleId="pismenka0">
    <w:name w:val="pismenka"/>
    <w:basedOn w:val="Normlny"/>
    <w:rsid w:val="00C7642D"/>
    <w:pPr>
      <w:spacing w:after="0" w:line="240" w:lineRule="auto"/>
      <w:ind w:left="426" w:hanging="426"/>
      <w:jc w:val="both"/>
    </w:pPr>
    <w:rPr>
      <w:rFonts w:ascii="Times New Roman" w:eastAsia="Calibri" w:hAnsi="Times New Roman"/>
      <w:b/>
      <w:bCs/>
      <w:sz w:val="18"/>
      <w:szCs w:val="18"/>
      <w:lang w:eastAsia="sk-SK"/>
    </w:rPr>
  </w:style>
  <w:style w:type="paragraph" w:customStyle="1" w:styleId="Zarkazkladnhotextu1">
    <w:name w:val="Zarážka základného textu1"/>
    <w:basedOn w:val="Normlny"/>
    <w:link w:val="BodyTextIndentChar"/>
    <w:rsid w:val="000D1EE2"/>
    <w:pPr>
      <w:spacing w:after="120" w:line="240" w:lineRule="auto"/>
      <w:ind w:left="283"/>
    </w:pPr>
    <w:rPr>
      <w:rFonts w:ascii="Courier" w:hAnsi="Courier" w:cs="Courier"/>
      <w:sz w:val="24"/>
      <w:szCs w:val="24"/>
      <w:lang w:eastAsia="cs-CZ"/>
    </w:rPr>
  </w:style>
  <w:style w:type="character" w:customStyle="1" w:styleId="BodyTextIndentChar">
    <w:name w:val="Body Text Indent Char"/>
    <w:link w:val="Zarkazkladnhotextu1"/>
    <w:locked/>
    <w:rsid w:val="000D1EE2"/>
    <w:rPr>
      <w:rFonts w:ascii="Courier" w:hAnsi="Courier" w:cs="Courier"/>
      <w:sz w:val="24"/>
      <w:szCs w:val="24"/>
      <w:lang w:eastAsia="cs-CZ"/>
    </w:rPr>
  </w:style>
  <w:style w:type="paragraph" w:customStyle="1" w:styleId="msonormal0">
    <w:name w:val="msonormal"/>
    <w:basedOn w:val="Normlny"/>
    <w:rsid w:val="00FD71D5"/>
    <w:pPr>
      <w:spacing w:before="100" w:beforeAutospacing="1" w:after="100" w:afterAutospacing="1" w:line="240" w:lineRule="auto"/>
    </w:pPr>
    <w:rPr>
      <w:rFonts w:ascii="Times New Roman" w:hAnsi="Times New Roman"/>
      <w:sz w:val="24"/>
      <w:szCs w:val="24"/>
      <w:lang w:eastAsia="sk-SK"/>
    </w:rPr>
  </w:style>
  <w:style w:type="paragraph" w:customStyle="1" w:styleId="font5">
    <w:name w:val="font5"/>
    <w:basedOn w:val="Normlny"/>
    <w:rsid w:val="00FD71D5"/>
    <w:pPr>
      <w:spacing w:before="100" w:beforeAutospacing="1" w:after="100" w:afterAutospacing="1" w:line="240" w:lineRule="auto"/>
    </w:pPr>
    <w:rPr>
      <w:rFonts w:ascii="Calibri" w:hAnsi="Calibri" w:cs="Calibri"/>
      <w:sz w:val="28"/>
      <w:szCs w:val="28"/>
      <w:lang w:eastAsia="sk-SK"/>
    </w:rPr>
  </w:style>
  <w:style w:type="paragraph" w:customStyle="1" w:styleId="xl1174">
    <w:name w:val="xl1174"/>
    <w:basedOn w:val="Normlny"/>
    <w:rsid w:val="00FD71D5"/>
    <w:pPr>
      <w:shd w:val="clear" w:color="000000" w:fill="FFFFFF"/>
      <w:spacing w:before="100" w:beforeAutospacing="1" w:after="100" w:afterAutospacing="1" w:line="240" w:lineRule="auto"/>
      <w:textAlignment w:val="center"/>
    </w:pPr>
    <w:rPr>
      <w:rFonts w:ascii="Calibri" w:hAnsi="Calibri" w:cs="Calibri"/>
      <w:sz w:val="28"/>
      <w:szCs w:val="28"/>
      <w:lang w:eastAsia="sk-SK"/>
    </w:rPr>
  </w:style>
  <w:style w:type="paragraph" w:customStyle="1" w:styleId="xl1175">
    <w:name w:val="xl1175"/>
    <w:basedOn w:val="Normlny"/>
    <w:rsid w:val="00FD71D5"/>
    <w:pPr>
      <w:shd w:val="clear" w:color="000000" w:fill="FFFFFF"/>
      <w:spacing w:before="100" w:beforeAutospacing="1" w:after="100" w:afterAutospacing="1" w:line="240" w:lineRule="auto"/>
      <w:textAlignment w:val="center"/>
    </w:pPr>
    <w:rPr>
      <w:rFonts w:ascii="Calibri" w:hAnsi="Calibri" w:cs="Calibri"/>
      <w:b/>
      <w:bCs/>
      <w:sz w:val="28"/>
      <w:szCs w:val="28"/>
      <w:lang w:eastAsia="sk-SK"/>
    </w:rPr>
  </w:style>
  <w:style w:type="paragraph" w:customStyle="1" w:styleId="xl1176">
    <w:name w:val="xl1176"/>
    <w:basedOn w:val="Normlny"/>
    <w:rsid w:val="00FD71D5"/>
    <w:pPr>
      <w:shd w:val="clear" w:color="000000" w:fill="FFFFFF"/>
      <w:spacing w:before="100" w:beforeAutospacing="1" w:after="100" w:afterAutospacing="1" w:line="240" w:lineRule="auto"/>
      <w:jc w:val="center"/>
      <w:textAlignment w:val="center"/>
    </w:pPr>
    <w:rPr>
      <w:rFonts w:ascii="Calibri" w:hAnsi="Calibri" w:cs="Calibri"/>
      <w:b/>
      <w:bCs/>
      <w:sz w:val="24"/>
      <w:szCs w:val="24"/>
      <w:lang w:eastAsia="sk-SK"/>
    </w:rPr>
  </w:style>
  <w:style w:type="paragraph" w:customStyle="1" w:styleId="xl1177">
    <w:name w:val="xl1177"/>
    <w:basedOn w:val="Normlny"/>
    <w:rsid w:val="00FD71D5"/>
    <w:pPr>
      <w:shd w:val="clear" w:color="000000" w:fill="FFFFFF"/>
      <w:spacing w:before="100" w:beforeAutospacing="1" w:after="100" w:afterAutospacing="1" w:line="240" w:lineRule="auto"/>
      <w:jc w:val="center"/>
      <w:textAlignment w:val="center"/>
    </w:pPr>
    <w:rPr>
      <w:rFonts w:ascii="Calibri" w:hAnsi="Calibri" w:cs="Calibri"/>
      <w:b/>
      <w:bCs/>
      <w:sz w:val="16"/>
      <w:szCs w:val="16"/>
      <w:lang w:eastAsia="sk-SK"/>
    </w:rPr>
  </w:style>
  <w:style w:type="paragraph" w:customStyle="1" w:styleId="xl1178">
    <w:name w:val="xl1178"/>
    <w:basedOn w:val="Normlny"/>
    <w:rsid w:val="00FD71D5"/>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79">
    <w:name w:val="xl1179"/>
    <w:basedOn w:val="Normlny"/>
    <w:rsid w:val="00FD71D5"/>
    <w:pPr>
      <w:shd w:val="clear" w:color="000000" w:fill="FFFFFF"/>
      <w:spacing w:before="100" w:beforeAutospacing="1" w:after="100" w:afterAutospacing="1" w:line="240" w:lineRule="auto"/>
    </w:pPr>
    <w:rPr>
      <w:sz w:val="24"/>
      <w:szCs w:val="24"/>
      <w:lang w:eastAsia="sk-SK"/>
    </w:rPr>
  </w:style>
  <w:style w:type="paragraph" w:customStyle="1" w:styleId="xl1180">
    <w:name w:val="xl1180"/>
    <w:basedOn w:val="Normlny"/>
    <w:rsid w:val="00FD71D5"/>
    <w:pPr>
      <w:shd w:val="clear" w:color="000000" w:fill="FFFFFF"/>
      <w:spacing w:before="100" w:beforeAutospacing="1" w:after="100" w:afterAutospacing="1" w:line="240" w:lineRule="auto"/>
      <w:textAlignment w:val="center"/>
    </w:pPr>
    <w:rPr>
      <w:rFonts w:ascii="Calibri" w:hAnsi="Calibri" w:cs="Calibri"/>
      <w:sz w:val="18"/>
      <w:szCs w:val="18"/>
      <w:lang w:eastAsia="sk-SK"/>
    </w:rPr>
  </w:style>
  <w:style w:type="paragraph" w:customStyle="1" w:styleId="xl1181">
    <w:name w:val="xl1181"/>
    <w:basedOn w:val="Normlny"/>
    <w:rsid w:val="00FD71D5"/>
    <w:pP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182">
    <w:name w:val="xl1182"/>
    <w:basedOn w:val="Normlny"/>
    <w:rsid w:val="00FD71D5"/>
    <w:pPr>
      <w:shd w:val="clear" w:color="000000" w:fill="FFFFFF"/>
      <w:spacing w:before="100" w:beforeAutospacing="1" w:after="100" w:afterAutospacing="1" w:line="240" w:lineRule="auto"/>
      <w:jc w:val="right"/>
      <w:textAlignment w:val="center"/>
    </w:pPr>
    <w:rPr>
      <w:rFonts w:ascii="Calibri" w:hAnsi="Calibri" w:cs="Calibri"/>
      <w:sz w:val="24"/>
      <w:szCs w:val="24"/>
      <w:lang w:eastAsia="sk-SK"/>
    </w:rPr>
  </w:style>
  <w:style w:type="paragraph" w:customStyle="1" w:styleId="xl1183">
    <w:name w:val="xl1183"/>
    <w:basedOn w:val="Normlny"/>
    <w:rsid w:val="00FD71D5"/>
    <w:pPr>
      <w:shd w:val="clear" w:color="000000" w:fill="FFFFFF"/>
      <w:spacing w:before="100" w:beforeAutospacing="1" w:after="100" w:afterAutospacing="1" w:line="240" w:lineRule="auto"/>
      <w:jc w:val="right"/>
      <w:textAlignment w:val="center"/>
    </w:pPr>
    <w:rPr>
      <w:rFonts w:ascii="Calibri" w:hAnsi="Calibri" w:cs="Calibri"/>
      <w:b/>
      <w:bCs/>
      <w:sz w:val="24"/>
      <w:szCs w:val="24"/>
      <w:lang w:eastAsia="sk-SK"/>
    </w:rPr>
  </w:style>
  <w:style w:type="paragraph" w:customStyle="1" w:styleId="xl1184">
    <w:name w:val="xl1184"/>
    <w:basedOn w:val="Normlny"/>
    <w:rsid w:val="00FD71D5"/>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85">
    <w:name w:val="xl1185"/>
    <w:basedOn w:val="Normlny"/>
    <w:rsid w:val="00FD71D5"/>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86">
    <w:name w:val="xl1186"/>
    <w:basedOn w:val="Normlny"/>
    <w:rsid w:val="00FD71D5"/>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87">
    <w:name w:val="xl1187"/>
    <w:basedOn w:val="Normlny"/>
    <w:rsid w:val="00FD71D5"/>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pPr>
    <w:rPr>
      <w:sz w:val="24"/>
      <w:szCs w:val="24"/>
      <w:lang w:eastAsia="sk-SK"/>
    </w:rPr>
  </w:style>
  <w:style w:type="paragraph" w:customStyle="1" w:styleId="xl1188">
    <w:name w:val="xl1188"/>
    <w:basedOn w:val="Normlny"/>
    <w:rsid w:val="00FD71D5"/>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189">
    <w:name w:val="xl1189"/>
    <w:basedOn w:val="Normlny"/>
    <w:rsid w:val="00FD71D5"/>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190">
    <w:name w:val="xl1190"/>
    <w:basedOn w:val="Normlny"/>
    <w:rsid w:val="00FD71D5"/>
    <w:pPr>
      <w:pBdr>
        <w:right w:val="single" w:sz="8" w:space="0" w:color="000000"/>
      </w:pBdr>
      <w:shd w:val="clear" w:color="000000" w:fill="FFFFFF"/>
      <w:spacing w:before="100" w:beforeAutospacing="1" w:after="100" w:afterAutospacing="1" w:line="240" w:lineRule="auto"/>
    </w:pPr>
    <w:rPr>
      <w:sz w:val="24"/>
      <w:szCs w:val="24"/>
      <w:lang w:eastAsia="sk-SK"/>
    </w:rPr>
  </w:style>
  <w:style w:type="paragraph" w:customStyle="1" w:styleId="xl1191">
    <w:name w:val="xl1191"/>
    <w:basedOn w:val="Normlny"/>
    <w:rsid w:val="00FD71D5"/>
    <w:pPr>
      <w:pBdr>
        <w:bottom w:val="single" w:sz="8" w:space="0" w:color="000000"/>
        <w:right w:val="single" w:sz="8" w:space="0" w:color="000000"/>
      </w:pBdr>
      <w:shd w:val="clear" w:color="000000" w:fill="FFFFFF"/>
      <w:spacing w:before="100" w:beforeAutospacing="1" w:after="100" w:afterAutospacing="1" w:line="240" w:lineRule="auto"/>
    </w:pPr>
    <w:rPr>
      <w:sz w:val="24"/>
      <w:szCs w:val="24"/>
      <w:lang w:eastAsia="sk-SK"/>
    </w:rPr>
  </w:style>
  <w:style w:type="paragraph" w:customStyle="1" w:styleId="xl1192">
    <w:name w:val="xl1192"/>
    <w:basedOn w:val="Normlny"/>
    <w:rsid w:val="00FD71D5"/>
    <w:pPr>
      <w:pBdr>
        <w:top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193">
    <w:name w:val="xl1193"/>
    <w:basedOn w:val="Normlny"/>
    <w:rsid w:val="00FD71D5"/>
    <w:pPr>
      <w:pBdr>
        <w:top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194">
    <w:name w:val="xl1194"/>
    <w:basedOn w:val="Normlny"/>
    <w:rsid w:val="00FD71D5"/>
    <w:pP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195">
    <w:name w:val="xl1195"/>
    <w:basedOn w:val="Normlny"/>
    <w:rsid w:val="00FD71D5"/>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96">
    <w:name w:val="xl1196"/>
    <w:basedOn w:val="Normlny"/>
    <w:rsid w:val="00FD71D5"/>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197">
    <w:name w:val="xl1197"/>
    <w:basedOn w:val="Normlny"/>
    <w:rsid w:val="00FD71D5"/>
    <w:pPr>
      <w:shd w:val="clear" w:color="000000" w:fill="FFFFFF"/>
      <w:spacing w:before="100" w:beforeAutospacing="1" w:after="100" w:afterAutospacing="1" w:line="240" w:lineRule="auto"/>
      <w:textAlignment w:val="top"/>
    </w:pPr>
    <w:rPr>
      <w:sz w:val="24"/>
      <w:szCs w:val="24"/>
      <w:lang w:eastAsia="sk-SK"/>
    </w:rPr>
  </w:style>
  <w:style w:type="paragraph" w:customStyle="1" w:styleId="xl1198">
    <w:name w:val="xl1198"/>
    <w:basedOn w:val="Normlny"/>
    <w:rsid w:val="00FD71D5"/>
    <w:pPr>
      <w:pBdr>
        <w:right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199">
    <w:name w:val="xl1199"/>
    <w:basedOn w:val="Normlny"/>
    <w:rsid w:val="00FD71D5"/>
    <w:pPr>
      <w:pBdr>
        <w:bottom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00">
    <w:name w:val="xl1200"/>
    <w:basedOn w:val="Normlny"/>
    <w:rsid w:val="00FD71D5"/>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01">
    <w:name w:val="xl1201"/>
    <w:basedOn w:val="Normlny"/>
    <w:rsid w:val="00FD71D5"/>
    <w:pPr>
      <w:pBdr>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2">
    <w:name w:val="xl1202"/>
    <w:basedOn w:val="Normlny"/>
    <w:rsid w:val="00FD71D5"/>
    <w:pPr>
      <w:shd w:val="clear" w:color="000000" w:fill="FFFFFF"/>
      <w:spacing w:before="100" w:beforeAutospacing="1" w:after="100" w:afterAutospacing="1" w:line="240" w:lineRule="auto"/>
      <w:jc w:val="center"/>
      <w:textAlignment w:val="center"/>
    </w:pPr>
    <w:rPr>
      <w:rFonts w:ascii="Calibri" w:hAnsi="Calibri" w:cs="Calibri"/>
      <w:b/>
      <w:bCs/>
      <w:sz w:val="28"/>
      <w:szCs w:val="28"/>
      <w:lang w:eastAsia="sk-SK"/>
    </w:rPr>
  </w:style>
  <w:style w:type="paragraph" w:customStyle="1" w:styleId="xl1203">
    <w:name w:val="xl1203"/>
    <w:basedOn w:val="Normlny"/>
    <w:rsid w:val="00FD71D5"/>
    <w:pP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04">
    <w:name w:val="xl1204"/>
    <w:basedOn w:val="Normlny"/>
    <w:rsid w:val="00FD71D5"/>
    <w:pP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5">
    <w:name w:val="xl1205"/>
    <w:basedOn w:val="Normlny"/>
    <w:rsid w:val="00FD71D5"/>
    <w:pPr>
      <w:pBdr>
        <w:top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6">
    <w:name w:val="xl1206"/>
    <w:basedOn w:val="Normlny"/>
    <w:rsid w:val="00FD71D5"/>
    <w:pPr>
      <w:pBdr>
        <w:left w:val="single" w:sz="8" w:space="0" w:color="000000"/>
        <w:bottom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7">
    <w:name w:val="xl1207"/>
    <w:basedOn w:val="Normlny"/>
    <w:rsid w:val="00FD71D5"/>
    <w:pPr>
      <w:pBdr>
        <w:bottom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8">
    <w:name w:val="xl1208"/>
    <w:basedOn w:val="Normlny"/>
    <w:rsid w:val="00FD71D5"/>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09">
    <w:name w:val="xl1209"/>
    <w:basedOn w:val="Normlny"/>
    <w:rsid w:val="00FD71D5"/>
    <w:pPr>
      <w:pBdr>
        <w:bottom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10">
    <w:name w:val="xl1210"/>
    <w:basedOn w:val="Normlny"/>
    <w:rsid w:val="00FD71D5"/>
    <w:pPr>
      <w:pBdr>
        <w:bottom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11">
    <w:name w:val="xl1211"/>
    <w:basedOn w:val="Normlny"/>
    <w:rsid w:val="00FD71D5"/>
    <w:pPr>
      <w:shd w:val="clear" w:color="000000" w:fill="FFFFFF"/>
      <w:spacing w:before="100" w:beforeAutospacing="1" w:after="100" w:afterAutospacing="1" w:line="240" w:lineRule="auto"/>
      <w:jc w:val="center"/>
      <w:textAlignment w:val="center"/>
    </w:pPr>
    <w:rPr>
      <w:rFonts w:ascii="Calibri" w:hAnsi="Calibri" w:cs="Calibri"/>
      <w:sz w:val="24"/>
      <w:szCs w:val="24"/>
      <w:lang w:eastAsia="sk-SK"/>
    </w:rPr>
  </w:style>
  <w:style w:type="paragraph" w:customStyle="1" w:styleId="xl1212">
    <w:name w:val="xl1212"/>
    <w:basedOn w:val="Normlny"/>
    <w:rsid w:val="00FD71D5"/>
    <w:pPr>
      <w:shd w:val="clear" w:color="000000" w:fill="FFFFFF"/>
      <w:spacing w:before="100" w:beforeAutospacing="1" w:after="100" w:afterAutospacing="1" w:line="240" w:lineRule="auto"/>
      <w:jc w:val="center"/>
    </w:pPr>
    <w:rPr>
      <w:sz w:val="24"/>
      <w:szCs w:val="24"/>
      <w:lang w:eastAsia="sk-SK"/>
    </w:rPr>
  </w:style>
  <w:style w:type="paragraph" w:customStyle="1" w:styleId="xl1213">
    <w:name w:val="xl1213"/>
    <w:basedOn w:val="Normlny"/>
    <w:rsid w:val="00FD71D5"/>
    <w:pPr>
      <w:pBdr>
        <w:right w:val="single" w:sz="8" w:space="0" w:color="000000"/>
      </w:pBdr>
      <w:shd w:val="clear" w:color="000000" w:fill="FFFFFF"/>
      <w:spacing w:before="100" w:beforeAutospacing="1" w:after="100" w:afterAutospacing="1" w:line="240" w:lineRule="auto"/>
      <w:textAlignment w:val="center"/>
    </w:pPr>
    <w:rPr>
      <w:rFonts w:ascii="Calibri" w:hAnsi="Calibri" w:cs="Calibri"/>
      <w:b/>
      <w:bCs/>
      <w:sz w:val="24"/>
      <w:szCs w:val="24"/>
      <w:lang w:eastAsia="sk-SK"/>
    </w:rPr>
  </w:style>
  <w:style w:type="paragraph" w:customStyle="1" w:styleId="xl1214">
    <w:name w:val="xl1214"/>
    <w:basedOn w:val="Normlny"/>
    <w:rsid w:val="00FD71D5"/>
    <w:pPr>
      <w:pBdr>
        <w:lef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15">
    <w:name w:val="xl1215"/>
    <w:basedOn w:val="Normlny"/>
    <w:rsid w:val="00FD71D5"/>
    <w:pPr>
      <w:pBdr>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16">
    <w:name w:val="xl1216"/>
    <w:basedOn w:val="Normlny"/>
    <w:rsid w:val="00FD71D5"/>
    <w:pPr>
      <w:pBdr>
        <w:top w:val="single" w:sz="8" w:space="0" w:color="000000"/>
        <w:lef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xl1217">
    <w:name w:val="xl1217"/>
    <w:basedOn w:val="Normlny"/>
    <w:rsid w:val="00FD71D5"/>
    <w:pPr>
      <w:pBdr>
        <w:top w:val="single" w:sz="8" w:space="0" w:color="000000"/>
        <w:right w:val="single" w:sz="8" w:space="0" w:color="000000"/>
      </w:pBdr>
      <w:shd w:val="clear" w:color="000000" w:fill="FFFFFF"/>
      <w:spacing w:before="100" w:beforeAutospacing="1" w:after="100" w:afterAutospacing="1" w:line="240" w:lineRule="auto"/>
      <w:textAlignment w:val="center"/>
    </w:pPr>
    <w:rPr>
      <w:rFonts w:ascii="Calibri" w:hAnsi="Calibri" w:cs="Calibri"/>
      <w:sz w:val="24"/>
      <w:szCs w:val="24"/>
      <w:lang w:eastAsia="sk-SK"/>
    </w:rPr>
  </w:style>
  <w:style w:type="paragraph" w:customStyle="1" w:styleId="Char2">
    <w:name w:val="Char2"/>
    <w:basedOn w:val="Normlny"/>
    <w:link w:val="Odkaznapoznmkupodiarou"/>
    <w:uiPriority w:val="99"/>
    <w:rsid w:val="000D0306"/>
    <w:pPr>
      <w:spacing w:after="0" w:line="240" w:lineRule="exact"/>
    </w:pPr>
    <w:rPr>
      <w:sz w:val="20"/>
      <w:szCs w:val="20"/>
      <w:vertAlign w:val="superscript"/>
      <w:lang w:eastAsia="sk-SK"/>
    </w:rPr>
  </w:style>
  <w:style w:type="character" w:customStyle="1" w:styleId="OdsekzoznamuChar">
    <w:name w:val="Odsek zoznamu Char"/>
    <w:link w:val="Odsekzoznamu"/>
    <w:uiPriority w:val="34"/>
    <w:locked/>
    <w:rsid w:val="00477562"/>
    <w:rPr>
      <w:rFonts w:cs="Times New Roman"/>
      <w:sz w:val="22"/>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780">
      <w:bodyDiv w:val="1"/>
      <w:marLeft w:val="0"/>
      <w:marRight w:val="0"/>
      <w:marTop w:val="0"/>
      <w:marBottom w:val="0"/>
      <w:divBdr>
        <w:top w:val="none" w:sz="0" w:space="0" w:color="auto"/>
        <w:left w:val="none" w:sz="0" w:space="0" w:color="auto"/>
        <w:bottom w:val="none" w:sz="0" w:space="0" w:color="auto"/>
        <w:right w:val="none" w:sz="0" w:space="0" w:color="auto"/>
      </w:divBdr>
    </w:div>
    <w:div w:id="16198279">
      <w:bodyDiv w:val="1"/>
      <w:marLeft w:val="0"/>
      <w:marRight w:val="0"/>
      <w:marTop w:val="0"/>
      <w:marBottom w:val="0"/>
      <w:divBdr>
        <w:top w:val="none" w:sz="0" w:space="0" w:color="auto"/>
        <w:left w:val="none" w:sz="0" w:space="0" w:color="auto"/>
        <w:bottom w:val="none" w:sz="0" w:space="0" w:color="auto"/>
        <w:right w:val="none" w:sz="0" w:space="0" w:color="auto"/>
      </w:divBdr>
    </w:div>
    <w:div w:id="16734410">
      <w:bodyDiv w:val="1"/>
      <w:marLeft w:val="0"/>
      <w:marRight w:val="0"/>
      <w:marTop w:val="0"/>
      <w:marBottom w:val="0"/>
      <w:divBdr>
        <w:top w:val="none" w:sz="0" w:space="0" w:color="auto"/>
        <w:left w:val="none" w:sz="0" w:space="0" w:color="auto"/>
        <w:bottom w:val="none" w:sz="0" w:space="0" w:color="auto"/>
        <w:right w:val="none" w:sz="0" w:space="0" w:color="auto"/>
      </w:divBdr>
    </w:div>
    <w:div w:id="16929601">
      <w:bodyDiv w:val="1"/>
      <w:marLeft w:val="0"/>
      <w:marRight w:val="0"/>
      <w:marTop w:val="0"/>
      <w:marBottom w:val="0"/>
      <w:divBdr>
        <w:top w:val="none" w:sz="0" w:space="0" w:color="auto"/>
        <w:left w:val="none" w:sz="0" w:space="0" w:color="auto"/>
        <w:bottom w:val="none" w:sz="0" w:space="0" w:color="auto"/>
        <w:right w:val="none" w:sz="0" w:space="0" w:color="auto"/>
      </w:divBdr>
    </w:div>
    <w:div w:id="54936176">
      <w:bodyDiv w:val="1"/>
      <w:marLeft w:val="0"/>
      <w:marRight w:val="0"/>
      <w:marTop w:val="0"/>
      <w:marBottom w:val="0"/>
      <w:divBdr>
        <w:top w:val="none" w:sz="0" w:space="0" w:color="auto"/>
        <w:left w:val="none" w:sz="0" w:space="0" w:color="auto"/>
        <w:bottom w:val="none" w:sz="0" w:space="0" w:color="auto"/>
        <w:right w:val="none" w:sz="0" w:space="0" w:color="auto"/>
      </w:divBdr>
    </w:div>
    <w:div w:id="65542483">
      <w:bodyDiv w:val="1"/>
      <w:marLeft w:val="0"/>
      <w:marRight w:val="0"/>
      <w:marTop w:val="0"/>
      <w:marBottom w:val="0"/>
      <w:divBdr>
        <w:top w:val="none" w:sz="0" w:space="0" w:color="auto"/>
        <w:left w:val="none" w:sz="0" w:space="0" w:color="auto"/>
        <w:bottom w:val="none" w:sz="0" w:space="0" w:color="auto"/>
        <w:right w:val="none" w:sz="0" w:space="0" w:color="auto"/>
      </w:divBdr>
    </w:div>
    <w:div w:id="66221964">
      <w:bodyDiv w:val="1"/>
      <w:marLeft w:val="0"/>
      <w:marRight w:val="0"/>
      <w:marTop w:val="0"/>
      <w:marBottom w:val="0"/>
      <w:divBdr>
        <w:top w:val="none" w:sz="0" w:space="0" w:color="auto"/>
        <w:left w:val="none" w:sz="0" w:space="0" w:color="auto"/>
        <w:bottom w:val="none" w:sz="0" w:space="0" w:color="auto"/>
        <w:right w:val="none" w:sz="0" w:space="0" w:color="auto"/>
      </w:divBdr>
    </w:div>
    <w:div w:id="72358950">
      <w:bodyDiv w:val="1"/>
      <w:marLeft w:val="0"/>
      <w:marRight w:val="0"/>
      <w:marTop w:val="0"/>
      <w:marBottom w:val="0"/>
      <w:divBdr>
        <w:top w:val="none" w:sz="0" w:space="0" w:color="auto"/>
        <w:left w:val="none" w:sz="0" w:space="0" w:color="auto"/>
        <w:bottom w:val="none" w:sz="0" w:space="0" w:color="auto"/>
        <w:right w:val="none" w:sz="0" w:space="0" w:color="auto"/>
      </w:divBdr>
    </w:div>
    <w:div w:id="90128960">
      <w:bodyDiv w:val="1"/>
      <w:marLeft w:val="0"/>
      <w:marRight w:val="0"/>
      <w:marTop w:val="0"/>
      <w:marBottom w:val="0"/>
      <w:divBdr>
        <w:top w:val="none" w:sz="0" w:space="0" w:color="auto"/>
        <w:left w:val="none" w:sz="0" w:space="0" w:color="auto"/>
        <w:bottom w:val="none" w:sz="0" w:space="0" w:color="auto"/>
        <w:right w:val="none" w:sz="0" w:space="0" w:color="auto"/>
      </w:divBdr>
    </w:div>
    <w:div w:id="95175477">
      <w:bodyDiv w:val="1"/>
      <w:marLeft w:val="0"/>
      <w:marRight w:val="0"/>
      <w:marTop w:val="0"/>
      <w:marBottom w:val="0"/>
      <w:divBdr>
        <w:top w:val="none" w:sz="0" w:space="0" w:color="auto"/>
        <w:left w:val="none" w:sz="0" w:space="0" w:color="auto"/>
        <w:bottom w:val="none" w:sz="0" w:space="0" w:color="auto"/>
        <w:right w:val="none" w:sz="0" w:space="0" w:color="auto"/>
      </w:divBdr>
    </w:div>
    <w:div w:id="104232916">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31603866">
      <w:bodyDiv w:val="1"/>
      <w:marLeft w:val="0"/>
      <w:marRight w:val="0"/>
      <w:marTop w:val="0"/>
      <w:marBottom w:val="0"/>
      <w:divBdr>
        <w:top w:val="none" w:sz="0" w:space="0" w:color="auto"/>
        <w:left w:val="none" w:sz="0" w:space="0" w:color="auto"/>
        <w:bottom w:val="none" w:sz="0" w:space="0" w:color="auto"/>
        <w:right w:val="none" w:sz="0" w:space="0" w:color="auto"/>
      </w:divBdr>
    </w:div>
    <w:div w:id="140924963">
      <w:bodyDiv w:val="1"/>
      <w:marLeft w:val="0"/>
      <w:marRight w:val="0"/>
      <w:marTop w:val="0"/>
      <w:marBottom w:val="0"/>
      <w:divBdr>
        <w:top w:val="none" w:sz="0" w:space="0" w:color="auto"/>
        <w:left w:val="none" w:sz="0" w:space="0" w:color="auto"/>
        <w:bottom w:val="none" w:sz="0" w:space="0" w:color="auto"/>
        <w:right w:val="none" w:sz="0" w:space="0" w:color="auto"/>
      </w:divBdr>
    </w:div>
    <w:div w:id="169177981">
      <w:bodyDiv w:val="1"/>
      <w:marLeft w:val="0"/>
      <w:marRight w:val="0"/>
      <w:marTop w:val="0"/>
      <w:marBottom w:val="0"/>
      <w:divBdr>
        <w:top w:val="none" w:sz="0" w:space="0" w:color="auto"/>
        <w:left w:val="none" w:sz="0" w:space="0" w:color="auto"/>
        <w:bottom w:val="none" w:sz="0" w:space="0" w:color="auto"/>
        <w:right w:val="none" w:sz="0" w:space="0" w:color="auto"/>
      </w:divBdr>
    </w:div>
    <w:div w:id="203563498">
      <w:bodyDiv w:val="1"/>
      <w:marLeft w:val="0"/>
      <w:marRight w:val="0"/>
      <w:marTop w:val="0"/>
      <w:marBottom w:val="0"/>
      <w:divBdr>
        <w:top w:val="none" w:sz="0" w:space="0" w:color="auto"/>
        <w:left w:val="none" w:sz="0" w:space="0" w:color="auto"/>
        <w:bottom w:val="none" w:sz="0" w:space="0" w:color="auto"/>
        <w:right w:val="none" w:sz="0" w:space="0" w:color="auto"/>
      </w:divBdr>
    </w:div>
    <w:div w:id="220291824">
      <w:bodyDiv w:val="1"/>
      <w:marLeft w:val="0"/>
      <w:marRight w:val="0"/>
      <w:marTop w:val="0"/>
      <w:marBottom w:val="0"/>
      <w:divBdr>
        <w:top w:val="none" w:sz="0" w:space="0" w:color="auto"/>
        <w:left w:val="none" w:sz="0" w:space="0" w:color="auto"/>
        <w:bottom w:val="none" w:sz="0" w:space="0" w:color="auto"/>
        <w:right w:val="none" w:sz="0" w:space="0" w:color="auto"/>
      </w:divBdr>
    </w:div>
    <w:div w:id="222958012">
      <w:bodyDiv w:val="1"/>
      <w:marLeft w:val="0"/>
      <w:marRight w:val="0"/>
      <w:marTop w:val="0"/>
      <w:marBottom w:val="0"/>
      <w:divBdr>
        <w:top w:val="none" w:sz="0" w:space="0" w:color="auto"/>
        <w:left w:val="none" w:sz="0" w:space="0" w:color="auto"/>
        <w:bottom w:val="none" w:sz="0" w:space="0" w:color="auto"/>
        <w:right w:val="none" w:sz="0" w:space="0" w:color="auto"/>
      </w:divBdr>
    </w:div>
    <w:div w:id="232005940">
      <w:bodyDiv w:val="1"/>
      <w:marLeft w:val="0"/>
      <w:marRight w:val="0"/>
      <w:marTop w:val="0"/>
      <w:marBottom w:val="0"/>
      <w:divBdr>
        <w:top w:val="none" w:sz="0" w:space="0" w:color="auto"/>
        <w:left w:val="none" w:sz="0" w:space="0" w:color="auto"/>
        <w:bottom w:val="none" w:sz="0" w:space="0" w:color="auto"/>
        <w:right w:val="none" w:sz="0" w:space="0" w:color="auto"/>
      </w:divBdr>
    </w:div>
    <w:div w:id="253633685">
      <w:bodyDiv w:val="1"/>
      <w:marLeft w:val="0"/>
      <w:marRight w:val="0"/>
      <w:marTop w:val="0"/>
      <w:marBottom w:val="0"/>
      <w:divBdr>
        <w:top w:val="none" w:sz="0" w:space="0" w:color="auto"/>
        <w:left w:val="none" w:sz="0" w:space="0" w:color="auto"/>
        <w:bottom w:val="none" w:sz="0" w:space="0" w:color="auto"/>
        <w:right w:val="none" w:sz="0" w:space="0" w:color="auto"/>
      </w:divBdr>
    </w:div>
    <w:div w:id="257174745">
      <w:bodyDiv w:val="1"/>
      <w:marLeft w:val="0"/>
      <w:marRight w:val="0"/>
      <w:marTop w:val="0"/>
      <w:marBottom w:val="0"/>
      <w:divBdr>
        <w:top w:val="none" w:sz="0" w:space="0" w:color="auto"/>
        <w:left w:val="none" w:sz="0" w:space="0" w:color="auto"/>
        <w:bottom w:val="none" w:sz="0" w:space="0" w:color="auto"/>
        <w:right w:val="none" w:sz="0" w:space="0" w:color="auto"/>
      </w:divBdr>
    </w:div>
    <w:div w:id="265309842">
      <w:bodyDiv w:val="1"/>
      <w:marLeft w:val="0"/>
      <w:marRight w:val="0"/>
      <w:marTop w:val="0"/>
      <w:marBottom w:val="0"/>
      <w:divBdr>
        <w:top w:val="none" w:sz="0" w:space="0" w:color="auto"/>
        <w:left w:val="none" w:sz="0" w:space="0" w:color="auto"/>
        <w:bottom w:val="none" w:sz="0" w:space="0" w:color="auto"/>
        <w:right w:val="none" w:sz="0" w:space="0" w:color="auto"/>
      </w:divBdr>
    </w:div>
    <w:div w:id="283117422">
      <w:bodyDiv w:val="1"/>
      <w:marLeft w:val="0"/>
      <w:marRight w:val="0"/>
      <w:marTop w:val="0"/>
      <w:marBottom w:val="0"/>
      <w:divBdr>
        <w:top w:val="none" w:sz="0" w:space="0" w:color="auto"/>
        <w:left w:val="none" w:sz="0" w:space="0" w:color="auto"/>
        <w:bottom w:val="none" w:sz="0" w:space="0" w:color="auto"/>
        <w:right w:val="none" w:sz="0" w:space="0" w:color="auto"/>
      </w:divBdr>
    </w:div>
    <w:div w:id="292367155">
      <w:bodyDiv w:val="1"/>
      <w:marLeft w:val="0"/>
      <w:marRight w:val="0"/>
      <w:marTop w:val="0"/>
      <w:marBottom w:val="0"/>
      <w:divBdr>
        <w:top w:val="none" w:sz="0" w:space="0" w:color="auto"/>
        <w:left w:val="none" w:sz="0" w:space="0" w:color="auto"/>
        <w:bottom w:val="none" w:sz="0" w:space="0" w:color="auto"/>
        <w:right w:val="none" w:sz="0" w:space="0" w:color="auto"/>
      </w:divBdr>
    </w:div>
    <w:div w:id="304088898">
      <w:bodyDiv w:val="1"/>
      <w:marLeft w:val="0"/>
      <w:marRight w:val="0"/>
      <w:marTop w:val="0"/>
      <w:marBottom w:val="0"/>
      <w:divBdr>
        <w:top w:val="none" w:sz="0" w:space="0" w:color="auto"/>
        <w:left w:val="none" w:sz="0" w:space="0" w:color="auto"/>
        <w:bottom w:val="none" w:sz="0" w:space="0" w:color="auto"/>
        <w:right w:val="none" w:sz="0" w:space="0" w:color="auto"/>
      </w:divBdr>
    </w:div>
    <w:div w:id="322007697">
      <w:bodyDiv w:val="1"/>
      <w:marLeft w:val="0"/>
      <w:marRight w:val="0"/>
      <w:marTop w:val="0"/>
      <w:marBottom w:val="0"/>
      <w:divBdr>
        <w:top w:val="none" w:sz="0" w:space="0" w:color="auto"/>
        <w:left w:val="none" w:sz="0" w:space="0" w:color="auto"/>
        <w:bottom w:val="none" w:sz="0" w:space="0" w:color="auto"/>
        <w:right w:val="none" w:sz="0" w:space="0" w:color="auto"/>
      </w:divBdr>
    </w:div>
    <w:div w:id="326325898">
      <w:bodyDiv w:val="1"/>
      <w:marLeft w:val="0"/>
      <w:marRight w:val="0"/>
      <w:marTop w:val="0"/>
      <w:marBottom w:val="0"/>
      <w:divBdr>
        <w:top w:val="none" w:sz="0" w:space="0" w:color="auto"/>
        <w:left w:val="none" w:sz="0" w:space="0" w:color="auto"/>
        <w:bottom w:val="none" w:sz="0" w:space="0" w:color="auto"/>
        <w:right w:val="none" w:sz="0" w:space="0" w:color="auto"/>
      </w:divBdr>
    </w:div>
    <w:div w:id="350650343">
      <w:bodyDiv w:val="1"/>
      <w:marLeft w:val="0"/>
      <w:marRight w:val="0"/>
      <w:marTop w:val="0"/>
      <w:marBottom w:val="0"/>
      <w:divBdr>
        <w:top w:val="none" w:sz="0" w:space="0" w:color="auto"/>
        <w:left w:val="none" w:sz="0" w:space="0" w:color="auto"/>
        <w:bottom w:val="none" w:sz="0" w:space="0" w:color="auto"/>
        <w:right w:val="none" w:sz="0" w:space="0" w:color="auto"/>
      </w:divBdr>
    </w:div>
    <w:div w:id="352150556">
      <w:bodyDiv w:val="1"/>
      <w:marLeft w:val="0"/>
      <w:marRight w:val="0"/>
      <w:marTop w:val="0"/>
      <w:marBottom w:val="0"/>
      <w:divBdr>
        <w:top w:val="none" w:sz="0" w:space="0" w:color="auto"/>
        <w:left w:val="none" w:sz="0" w:space="0" w:color="auto"/>
        <w:bottom w:val="none" w:sz="0" w:space="0" w:color="auto"/>
        <w:right w:val="none" w:sz="0" w:space="0" w:color="auto"/>
      </w:divBdr>
    </w:div>
    <w:div w:id="402456859">
      <w:bodyDiv w:val="1"/>
      <w:marLeft w:val="0"/>
      <w:marRight w:val="0"/>
      <w:marTop w:val="0"/>
      <w:marBottom w:val="0"/>
      <w:divBdr>
        <w:top w:val="none" w:sz="0" w:space="0" w:color="auto"/>
        <w:left w:val="none" w:sz="0" w:space="0" w:color="auto"/>
        <w:bottom w:val="none" w:sz="0" w:space="0" w:color="auto"/>
        <w:right w:val="none" w:sz="0" w:space="0" w:color="auto"/>
      </w:divBdr>
    </w:div>
    <w:div w:id="413166192">
      <w:bodyDiv w:val="1"/>
      <w:marLeft w:val="0"/>
      <w:marRight w:val="0"/>
      <w:marTop w:val="0"/>
      <w:marBottom w:val="0"/>
      <w:divBdr>
        <w:top w:val="none" w:sz="0" w:space="0" w:color="auto"/>
        <w:left w:val="none" w:sz="0" w:space="0" w:color="auto"/>
        <w:bottom w:val="none" w:sz="0" w:space="0" w:color="auto"/>
        <w:right w:val="none" w:sz="0" w:space="0" w:color="auto"/>
      </w:divBdr>
    </w:div>
    <w:div w:id="431243193">
      <w:bodyDiv w:val="1"/>
      <w:marLeft w:val="0"/>
      <w:marRight w:val="0"/>
      <w:marTop w:val="0"/>
      <w:marBottom w:val="0"/>
      <w:divBdr>
        <w:top w:val="none" w:sz="0" w:space="0" w:color="auto"/>
        <w:left w:val="none" w:sz="0" w:space="0" w:color="auto"/>
        <w:bottom w:val="none" w:sz="0" w:space="0" w:color="auto"/>
        <w:right w:val="none" w:sz="0" w:space="0" w:color="auto"/>
      </w:divBdr>
    </w:div>
    <w:div w:id="434177504">
      <w:bodyDiv w:val="1"/>
      <w:marLeft w:val="0"/>
      <w:marRight w:val="0"/>
      <w:marTop w:val="0"/>
      <w:marBottom w:val="0"/>
      <w:divBdr>
        <w:top w:val="none" w:sz="0" w:space="0" w:color="auto"/>
        <w:left w:val="none" w:sz="0" w:space="0" w:color="auto"/>
        <w:bottom w:val="none" w:sz="0" w:space="0" w:color="auto"/>
        <w:right w:val="none" w:sz="0" w:space="0" w:color="auto"/>
      </w:divBdr>
    </w:div>
    <w:div w:id="436407243">
      <w:bodyDiv w:val="1"/>
      <w:marLeft w:val="0"/>
      <w:marRight w:val="0"/>
      <w:marTop w:val="0"/>
      <w:marBottom w:val="0"/>
      <w:divBdr>
        <w:top w:val="none" w:sz="0" w:space="0" w:color="auto"/>
        <w:left w:val="none" w:sz="0" w:space="0" w:color="auto"/>
        <w:bottom w:val="none" w:sz="0" w:space="0" w:color="auto"/>
        <w:right w:val="none" w:sz="0" w:space="0" w:color="auto"/>
      </w:divBdr>
    </w:div>
    <w:div w:id="439952161">
      <w:bodyDiv w:val="1"/>
      <w:marLeft w:val="0"/>
      <w:marRight w:val="0"/>
      <w:marTop w:val="0"/>
      <w:marBottom w:val="0"/>
      <w:divBdr>
        <w:top w:val="none" w:sz="0" w:space="0" w:color="auto"/>
        <w:left w:val="none" w:sz="0" w:space="0" w:color="auto"/>
        <w:bottom w:val="none" w:sz="0" w:space="0" w:color="auto"/>
        <w:right w:val="none" w:sz="0" w:space="0" w:color="auto"/>
      </w:divBdr>
    </w:div>
    <w:div w:id="444693911">
      <w:bodyDiv w:val="1"/>
      <w:marLeft w:val="0"/>
      <w:marRight w:val="0"/>
      <w:marTop w:val="0"/>
      <w:marBottom w:val="0"/>
      <w:divBdr>
        <w:top w:val="none" w:sz="0" w:space="0" w:color="auto"/>
        <w:left w:val="none" w:sz="0" w:space="0" w:color="auto"/>
        <w:bottom w:val="none" w:sz="0" w:space="0" w:color="auto"/>
        <w:right w:val="none" w:sz="0" w:space="0" w:color="auto"/>
      </w:divBdr>
    </w:div>
    <w:div w:id="486170960">
      <w:bodyDiv w:val="1"/>
      <w:marLeft w:val="0"/>
      <w:marRight w:val="0"/>
      <w:marTop w:val="0"/>
      <w:marBottom w:val="0"/>
      <w:divBdr>
        <w:top w:val="none" w:sz="0" w:space="0" w:color="auto"/>
        <w:left w:val="none" w:sz="0" w:space="0" w:color="auto"/>
        <w:bottom w:val="none" w:sz="0" w:space="0" w:color="auto"/>
        <w:right w:val="none" w:sz="0" w:space="0" w:color="auto"/>
      </w:divBdr>
    </w:div>
    <w:div w:id="487210123">
      <w:bodyDiv w:val="1"/>
      <w:marLeft w:val="0"/>
      <w:marRight w:val="0"/>
      <w:marTop w:val="0"/>
      <w:marBottom w:val="0"/>
      <w:divBdr>
        <w:top w:val="none" w:sz="0" w:space="0" w:color="auto"/>
        <w:left w:val="none" w:sz="0" w:space="0" w:color="auto"/>
        <w:bottom w:val="none" w:sz="0" w:space="0" w:color="auto"/>
        <w:right w:val="none" w:sz="0" w:space="0" w:color="auto"/>
      </w:divBdr>
    </w:div>
    <w:div w:id="530384677">
      <w:bodyDiv w:val="1"/>
      <w:marLeft w:val="0"/>
      <w:marRight w:val="0"/>
      <w:marTop w:val="0"/>
      <w:marBottom w:val="0"/>
      <w:divBdr>
        <w:top w:val="none" w:sz="0" w:space="0" w:color="auto"/>
        <w:left w:val="none" w:sz="0" w:space="0" w:color="auto"/>
        <w:bottom w:val="none" w:sz="0" w:space="0" w:color="auto"/>
        <w:right w:val="none" w:sz="0" w:space="0" w:color="auto"/>
      </w:divBdr>
    </w:div>
    <w:div w:id="534462411">
      <w:bodyDiv w:val="1"/>
      <w:marLeft w:val="0"/>
      <w:marRight w:val="0"/>
      <w:marTop w:val="0"/>
      <w:marBottom w:val="0"/>
      <w:divBdr>
        <w:top w:val="none" w:sz="0" w:space="0" w:color="auto"/>
        <w:left w:val="none" w:sz="0" w:space="0" w:color="auto"/>
        <w:bottom w:val="none" w:sz="0" w:space="0" w:color="auto"/>
        <w:right w:val="none" w:sz="0" w:space="0" w:color="auto"/>
      </w:divBdr>
    </w:div>
    <w:div w:id="542715467">
      <w:bodyDiv w:val="1"/>
      <w:marLeft w:val="0"/>
      <w:marRight w:val="0"/>
      <w:marTop w:val="0"/>
      <w:marBottom w:val="0"/>
      <w:divBdr>
        <w:top w:val="none" w:sz="0" w:space="0" w:color="auto"/>
        <w:left w:val="none" w:sz="0" w:space="0" w:color="auto"/>
        <w:bottom w:val="none" w:sz="0" w:space="0" w:color="auto"/>
        <w:right w:val="none" w:sz="0" w:space="0" w:color="auto"/>
      </w:divBdr>
    </w:div>
    <w:div w:id="547887047">
      <w:bodyDiv w:val="1"/>
      <w:marLeft w:val="0"/>
      <w:marRight w:val="0"/>
      <w:marTop w:val="0"/>
      <w:marBottom w:val="0"/>
      <w:divBdr>
        <w:top w:val="none" w:sz="0" w:space="0" w:color="auto"/>
        <w:left w:val="none" w:sz="0" w:space="0" w:color="auto"/>
        <w:bottom w:val="none" w:sz="0" w:space="0" w:color="auto"/>
        <w:right w:val="none" w:sz="0" w:space="0" w:color="auto"/>
      </w:divBdr>
    </w:div>
    <w:div w:id="554850226">
      <w:bodyDiv w:val="1"/>
      <w:marLeft w:val="0"/>
      <w:marRight w:val="0"/>
      <w:marTop w:val="0"/>
      <w:marBottom w:val="0"/>
      <w:divBdr>
        <w:top w:val="none" w:sz="0" w:space="0" w:color="auto"/>
        <w:left w:val="none" w:sz="0" w:space="0" w:color="auto"/>
        <w:bottom w:val="none" w:sz="0" w:space="0" w:color="auto"/>
        <w:right w:val="none" w:sz="0" w:space="0" w:color="auto"/>
      </w:divBdr>
    </w:div>
    <w:div w:id="557666879">
      <w:bodyDiv w:val="1"/>
      <w:marLeft w:val="0"/>
      <w:marRight w:val="0"/>
      <w:marTop w:val="0"/>
      <w:marBottom w:val="0"/>
      <w:divBdr>
        <w:top w:val="none" w:sz="0" w:space="0" w:color="auto"/>
        <w:left w:val="none" w:sz="0" w:space="0" w:color="auto"/>
        <w:bottom w:val="none" w:sz="0" w:space="0" w:color="auto"/>
        <w:right w:val="none" w:sz="0" w:space="0" w:color="auto"/>
      </w:divBdr>
    </w:div>
    <w:div w:id="584220091">
      <w:bodyDiv w:val="1"/>
      <w:marLeft w:val="0"/>
      <w:marRight w:val="0"/>
      <w:marTop w:val="0"/>
      <w:marBottom w:val="0"/>
      <w:divBdr>
        <w:top w:val="none" w:sz="0" w:space="0" w:color="auto"/>
        <w:left w:val="none" w:sz="0" w:space="0" w:color="auto"/>
        <w:bottom w:val="none" w:sz="0" w:space="0" w:color="auto"/>
        <w:right w:val="none" w:sz="0" w:space="0" w:color="auto"/>
      </w:divBdr>
    </w:div>
    <w:div w:id="592132493">
      <w:bodyDiv w:val="1"/>
      <w:marLeft w:val="0"/>
      <w:marRight w:val="0"/>
      <w:marTop w:val="0"/>
      <w:marBottom w:val="0"/>
      <w:divBdr>
        <w:top w:val="none" w:sz="0" w:space="0" w:color="auto"/>
        <w:left w:val="none" w:sz="0" w:space="0" w:color="auto"/>
        <w:bottom w:val="none" w:sz="0" w:space="0" w:color="auto"/>
        <w:right w:val="none" w:sz="0" w:space="0" w:color="auto"/>
      </w:divBdr>
    </w:div>
    <w:div w:id="595333498">
      <w:bodyDiv w:val="1"/>
      <w:marLeft w:val="0"/>
      <w:marRight w:val="0"/>
      <w:marTop w:val="0"/>
      <w:marBottom w:val="0"/>
      <w:divBdr>
        <w:top w:val="none" w:sz="0" w:space="0" w:color="auto"/>
        <w:left w:val="none" w:sz="0" w:space="0" w:color="auto"/>
        <w:bottom w:val="none" w:sz="0" w:space="0" w:color="auto"/>
        <w:right w:val="none" w:sz="0" w:space="0" w:color="auto"/>
      </w:divBdr>
    </w:div>
    <w:div w:id="595871689">
      <w:bodyDiv w:val="1"/>
      <w:marLeft w:val="0"/>
      <w:marRight w:val="0"/>
      <w:marTop w:val="0"/>
      <w:marBottom w:val="0"/>
      <w:divBdr>
        <w:top w:val="none" w:sz="0" w:space="0" w:color="auto"/>
        <w:left w:val="none" w:sz="0" w:space="0" w:color="auto"/>
        <w:bottom w:val="none" w:sz="0" w:space="0" w:color="auto"/>
        <w:right w:val="none" w:sz="0" w:space="0" w:color="auto"/>
      </w:divBdr>
    </w:div>
    <w:div w:id="598028797">
      <w:bodyDiv w:val="1"/>
      <w:marLeft w:val="0"/>
      <w:marRight w:val="0"/>
      <w:marTop w:val="0"/>
      <w:marBottom w:val="0"/>
      <w:divBdr>
        <w:top w:val="none" w:sz="0" w:space="0" w:color="auto"/>
        <w:left w:val="none" w:sz="0" w:space="0" w:color="auto"/>
        <w:bottom w:val="none" w:sz="0" w:space="0" w:color="auto"/>
        <w:right w:val="none" w:sz="0" w:space="0" w:color="auto"/>
      </w:divBdr>
    </w:div>
    <w:div w:id="598484915">
      <w:bodyDiv w:val="1"/>
      <w:marLeft w:val="0"/>
      <w:marRight w:val="0"/>
      <w:marTop w:val="0"/>
      <w:marBottom w:val="0"/>
      <w:divBdr>
        <w:top w:val="none" w:sz="0" w:space="0" w:color="auto"/>
        <w:left w:val="none" w:sz="0" w:space="0" w:color="auto"/>
        <w:bottom w:val="none" w:sz="0" w:space="0" w:color="auto"/>
        <w:right w:val="none" w:sz="0" w:space="0" w:color="auto"/>
      </w:divBdr>
    </w:div>
    <w:div w:id="616453896">
      <w:bodyDiv w:val="1"/>
      <w:marLeft w:val="0"/>
      <w:marRight w:val="0"/>
      <w:marTop w:val="0"/>
      <w:marBottom w:val="0"/>
      <w:divBdr>
        <w:top w:val="none" w:sz="0" w:space="0" w:color="auto"/>
        <w:left w:val="none" w:sz="0" w:space="0" w:color="auto"/>
        <w:bottom w:val="none" w:sz="0" w:space="0" w:color="auto"/>
        <w:right w:val="none" w:sz="0" w:space="0" w:color="auto"/>
      </w:divBdr>
    </w:div>
    <w:div w:id="622267011">
      <w:bodyDiv w:val="1"/>
      <w:marLeft w:val="0"/>
      <w:marRight w:val="0"/>
      <w:marTop w:val="0"/>
      <w:marBottom w:val="0"/>
      <w:divBdr>
        <w:top w:val="none" w:sz="0" w:space="0" w:color="auto"/>
        <w:left w:val="none" w:sz="0" w:space="0" w:color="auto"/>
        <w:bottom w:val="none" w:sz="0" w:space="0" w:color="auto"/>
        <w:right w:val="none" w:sz="0" w:space="0" w:color="auto"/>
      </w:divBdr>
    </w:div>
    <w:div w:id="639578968">
      <w:bodyDiv w:val="1"/>
      <w:marLeft w:val="0"/>
      <w:marRight w:val="0"/>
      <w:marTop w:val="0"/>
      <w:marBottom w:val="0"/>
      <w:divBdr>
        <w:top w:val="none" w:sz="0" w:space="0" w:color="auto"/>
        <w:left w:val="none" w:sz="0" w:space="0" w:color="auto"/>
        <w:bottom w:val="none" w:sz="0" w:space="0" w:color="auto"/>
        <w:right w:val="none" w:sz="0" w:space="0" w:color="auto"/>
      </w:divBdr>
    </w:div>
    <w:div w:id="661659094">
      <w:bodyDiv w:val="1"/>
      <w:marLeft w:val="0"/>
      <w:marRight w:val="0"/>
      <w:marTop w:val="0"/>
      <w:marBottom w:val="0"/>
      <w:divBdr>
        <w:top w:val="none" w:sz="0" w:space="0" w:color="auto"/>
        <w:left w:val="none" w:sz="0" w:space="0" w:color="auto"/>
        <w:bottom w:val="none" w:sz="0" w:space="0" w:color="auto"/>
        <w:right w:val="none" w:sz="0" w:space="0" w:color="auto"/>
      </w:divBdr>
    </w:div>
    <w:div w:id="696007538">
      <w:bodyDiv w:val="1"/>
      <w:marLeft w:val="0"/>
      <w:marRight w:val="0"/>
      <w:marTop w:val="0"/>
      <w:marBottom w:val="0"/>
      <w:divBdr>
        <w:top w:val="none" w:sz="0" w:space="0" w:color="auto"/>
        <w:left w:val="none" w:sz="0" w:space="0" w:color="auto"/>
        <w:bottom w:val="none" w:sz="0" w:space="0" w:color="auto"/>
        <w:right w:val="none" w:sz="0" w:space="0" w:color="auto"/>
      </w:divBdr>
    </w:div>
    <w:div w:id="706611621">
      <w:bodyDiv w:val="1"/>
      <w:marLeft w:val="0"/>
      <w:marRight w:val="0"/>
      <w:marTop w:val="0"/>
      <w:marBottom w:val="0"/>
      <w:divBdr>
        <w:top w:val="none" w:sz="0" w:space="0" w:color="auto"/>
        <w:left w:val="none" w:sz="0" w:space="0" w:color="auto"/>
        <w:bottom w:val="none" w:sz="0" w:space="0" w:color="auto"/>
        <w:right w:val="none" w:sz="0" w:space="0" w:color="auto"/>
      </w:divBdr>
    </w:div>
    <w:div w:id="708384356">
      <w:bodyDiv w:val="1"/>
      <w:marLeft w:val="0"/>
      <w:marRight w:val="0"/>
      <w:marTop w:val="0"/>
      <w:marBottom w:val="0"/>
      <w:divBdr>
        <w:top w:val="none" w:sz="0" w:space="0" w:color="auto"/>
        <w:left w:val="none" w:sz="0" w:space="0" w:color="auto"/>
        <w:bottom w:val="none" w:sz="0" w:space="0" w:color="auto"/>
        <w:right w:val="none" w:sz="0" w:space="0" w:color="auto"/>
      </w:divBdr>
    </w:div>
    <w:div w:id="712540149">
      <w:bodyDiv w:val="1"/>
      <w:marLeft w:val="0"/>
      <w:marRight w:val="0"/>
      <w:marTop w:val="0"/>
      <w:marBottom w:val="0"/>
      <w:divBdr>
        <w:top w:val="none" w:sz="0" w:space="0" w:color="auto"/>
        <w:left w:val="none" w:sz="0" w:space="0" w:color="auto"/>
        <w:bottom w:val="none" w:sz="0" w:space="0" w:color="auto"/>
        <w:right w:val="none" w:sz="0" w:space="0" w:color="auto"/>
      </w:divBdr>
    </w:div>
    <w:div w:id="725883420">
      <w:bodyDiv w:val="1"/>
      <w:marLeft w:val="0"/>
      <w:marRight w:val="0"/>
      <w:marTop w:val="0"/>
      <w:marBottom w:val="0"/>
      <w:divBdr>
        <w:top w:val="none" w:sz="0" w:space="0" w:color="auto"/>
        <w:left w:val="none" w:sz="0" w:space="0" w:color="auto"/>
        <w:bottom w:val="none" w:sz="0" w:space="0" w:color="auto"/>
        <w:right w:val="none" w:sz="0" w:space="0" w:color="auto"/>
      </w:divBdr>
    </w:div>
    <w:div w:id="738984264">
      <w:bodyDiv w:val="1"/>
      <w:marLeft w:val="0"/>
      <w:marRight w:val="0"/>
      <w:marTop w:val="0"/>
      <w:marBottom w:val="0"/>
      <w:divBdr>
        <w:top w:val="none" w:sz="0" w:space="0" w:color="auto"/>
        <w:left w:val="none" w:sz="0" w:space="0" w:color="auto"/>
        <w:bottom w:val="none" w:sz="0" w:space="0" w:color="auto"/>
        <w:right w:val="none" w:sz="0" w:space="0" w:color="auto"/>
      </w:divBdr>
    </w:div>
    <w:div w:id="751582953">
      <w:bodyDiv w:val="1"/>
      <w:marLeft w:val="0"/>
      <w:marRight w:val="0"/>
      <w:marTop w:val="0"/>
      <w:marBottom w:val="0"/>
      <w:divBdr>
        <w:top w:val="none" w:sz="0" w:space="0" w:color="auto"/>
        <w:left w:val="none" w:sz="0" w:space="0" w:color="auto"/>
        <w:bottom w:val="none" w:sz="0" w:space="0" w:color="auto"/>
        <w:right w:val="none" w:sz="0" w:space="0" w:color="auto"/>
      </w:divBdr>
    </w:div>
    <w:div w:id="764351156">
      <w:bodyDiv w:val="1"/>
      <w:marLeft w:val="0"/>
      <w:marRight w:val="0"/>
      <w:marTop w:val="0"/>
      <w:marBottom w:val="0"/>
      <w:divBdr>
        <w:top w:val="none" w:sz="0" w:space="0" w:color="auto"/>
        <w:left w:val="none" w:sz="0" w:space="0" w:color="auto"/>
        <w:bottom w:val="none" w:sz="0" w:space="0" w:color="auto"/>
        <w:right w:val="none" w:sz="0" w:space="0" w:color="auto"/>
      </w:divBdr>
    </w:div>
    <w:div w:id="792941617">
      <w:bodyDiv w:val="1"/>
      <w:marLeft w:val="0"/>
      <w:marRight w:val="0"/>
      <w:marTop w:val="0"/>
      <w:marBottom w:val="0"/>
      <w:divBdr>
        <w:top w:val="none" w:sz="0" w:space="0" w:color="auto"/>
        <w:left w:val="none" w:sz="0" w:space="0" w:color="auto"/>
        <w:bottom w:val="none" w:sz="0" w:space="0" w:color="auto"/>
        <w:right w:val="none" w:sz="0" w:space="0" w:color="auto"/>
      </w:divBdr>
    </w:div>
    <w:div w:id="807433556">
      <w:bodyDiv w:val="1"/>
      <w:marLeft w:val="0"/>
      <w:marRight w:val="0"/>
      <w:marTop w:val="0"/>
      <w:marBottom w:val="0"/>
      <w:divBdr>
        <w:top w:val="none" w:sz="0" w:space="0" w:color="auto"/>
        <w:left w:val="none" w:sz="0" w:space="0" w:color="auto"/>
        <w:bottom w:val="none" w:sz="0" w:space="0" w:color="auto"/>
        <w:right w:val="none" w:sz="0" w:space="0" w:color="auto"/>
      </w:divBdr>
    </w:div>
    <w:div w:id="809715834">
      <w:bodyDiv w:val="1"/>
      <w:marLeft w:val="0"/>
      <w:marRight w:val="0"/>
      <w:marTop w:val="0"/>
      <w:marBottom w:val="0"/>
      <w:divBdr>
        <w:top w:val="none" w:sz="0" w:space="0" w:color="auto"/>
        <w:left w:val="none" w:sz="0" w:space="0" w:color="auto"/>
        <w:bottom w:val="none" w:sz="0" w:space="0" w:color="auto"/>
        <w:right w:val="none" w:sz="0" w:space="0" w:color="auto"/>
      </w:divBdr>
    </w:div>
    <w:div w:id="827592808">
      <w:bodyDiv w:val="1"/>
      <w:marLeft w:val="0"/>
      <w:marRight w:val="0"/>
      <w:marTop w:val="0"/>
      <w:marBottom w:val="0"/>
      <w:divBdr>
        <w:top w:val="none" w:sz="0" w:space="0" w:color="auto"/>
        <w:left w:val="none" w:sz="0" w:space="0" w:color="auto"/>
        <w:bottom w:val="none" w:sz="0" w:space="0" w:color="auto"/>
        <w:right w:val="none" w:sz="0" w:space="0" w:color="auto"/>
      </w:divBdr>
    </w:div>
    <w:div w:id="862015038">
      <w:bodyDiv w:val="1"/>
      <w:marLeft w:val="0"/>
      <w:marRight w:val="0"/>
      <w:marTop w:val="0"/>
      <w:marBottom w:val="0"/>
      <w:divBdr>
        <w:top w:val="none" w:sz="0" w:space="0" w:color="auto"/>
        <w:left w:val="none" w:sz="0" w:space="0" w:color="auto"/>
        <w:bottom w:val="none" w:sz="0" w:space="0" w:color="auto"/>
        <w:right w:val="none" w:sz="0" w:space="0" w:color="auto"/>
      </w:divBdr>
    </w:div>
    <w:div w:id="869151384">
      <w:bodyDiv w:val="1"/>
      <w:marLeft w:val="0"/>
      <w:marRight w:val="0"/>
      <w:marTop w:val="0"/>
      <w:marBottom w:val="0"/>
      <w:divBdr>
        <w:top w:val="none" w:sz="0" w:space="0" w:color="auto"/>
        <w:left w:val="none" w:sz="0" w:space="0" w:color="auto"/>
        <w:bottom w:val="none" w:sz="0" w:space="0" w:color="auto"/>
        <w:right w:val="none" w:sz="0" w:space="0" w:color="auto"/>
      </w:divBdr>
    </w:div>
    <w:div w:id="882523257">
      <w:bodyDiv w:val="1"/>
      <w:marLeft w:val="0"/>
      <w:marRight w:val="0"/>
      <w:marTop w:val="0"/>
      <w:marBottom w:val="0"/>
      <w:divBdr>
        <w:top w:val="none" w:sz="0" w:space="0" w:color="auto"/>
        <w:left w:val="none" w:sz="0" w:space="0" w:color="auto"/>
        <w:bottom w:val="none" w:sz="0" w:space="0" w:color="auto"/>
        <w:right w:val="none" w:sz="0" w:space="0" w:color="auto"/>
      </w:divBdr>
    </w:div>
    <w:div w:id="886799089">
      <w:bodyDiv w:val="1"/>
      <w:marLeft w:val="0"/>
      <w:marRight w:val="0"/>
      <w:marTop w:val="0"/>
      <w:marBottom w:val="0"/>
      <w:divBdr>
        <w:top w:val="none" w:sz="0" w:space="0" w:color="auto"/>
        <w:left w:val="none" w:sz="0" w:space="0" w:color="auto"/>
        <w:bottom w:val="none" w:sz="0" w:space="0" w:color="auto"/>
        <w:right w:val="none" w:sz="0" w:space="0" w:color="auto"/>
      </w:divBdr>
    </w:div>
    <w:div w:id="897664331">
      <w:bodyDiv w:val="1"/>
      <w:marLeft w:val="0"/>
      <w:marRight w:val="0"/>
      <w:marTop w:val="0"/>
      <w:marBottom w:val="0"/>
      <w:divBdr>
        <w:top w:val="none" w:sz="0" w:space="0" w:color="auto"/>
        <w:left w:val="none" w:sz="0" w:space="0" w:color="auto"/>
        <w:bottom w:val="none" w:sz="0" w:space="0" w:color="auto"/>
        <w:right w:val="none" w:sz="0" w:space="0" w:color="auto"/>
      </w:divBdr>
    </w:div>
    <w:div w:id="914049864">
      <w:bodyDiv w:val="1"/>
      <w:marLeft w:val="0"/>
      <w:marRight w:val="0"/>
      <w:marTop w:val="0"/>
      <w:marBottom w:val="0"/>
      <w:divBdr>
        <w:top w:val="none" w:sz="0" w:space="0" w:color="auto"/>
        <w:left w:val="none" w:sz="0" w:space="0" w:color="auto"/>
        <w:bottom w:val="none" w:sz="0" w:space="0" w:color="auto"/>
        <w:right w:val="none" w:sz="0" w:space="0" w:color="auto"/>
      </w:divBdr>
    </w:div>
    <w:div w:id="924076880">
      <w:bodyDiv w:val="1"/>
      <w:marLeft w:val="0"/>
      <w:marRight w:val="0"/>
      <w:marTop w:val="0"/>
      <w:marBottom w:val="0"/>
      <w:divBdr>
        <w:top w:val="none" w:sz="0" w:space="0" w:color="auto"/>
        <w:left w:val="none" w:sz="0" w:space="0" w:color="auto"/>
        <w:bottom w:val="none" w:sz="0" w:space="0" w:color="auto"/>
        <w:right w:val="none" w:sz="0" w:space="0" w:color="auto"/>
      </w:divBdr>
    </w:div>
    <w:div w:id="935677166">
      <w:bodyDiv w:val="1"/>
      <w:marLeft w:val="0"/>
      <w:marRight w:val="0"/>
      <w:marTop w:val="0"/>
      <w:marBottom w:val="0"/>
      <w:divBdr>
        <w:top w:val="none" w:sz="0" w:space="0" w:color="auto"/>
        <w:left w:val="none" w:sz="0" w:space="0" w:color="auto"/>
        <w:bottom w:val="none" w:sz="0" w:space="0" w:color="auto"/>
        <w:right w:val="none" w:sz="0" w:space="0" w:color="auto"/>
      </w:divBdr>
    </w:div>
    <w:div w:id="940456058">
      <w:bodyDiv w:val="1"/>
      <w:marLeft w:val="0"/>
      <w:marRight w:val="0"/>
      <w:marTop w:val="0"/>
      <w:marBottom w:val="0"/>
      <w:divBdr>
        <w:top w:val="none" w:sz="0" w:space="0" w:color="auto"/>
        <w:left w:val="none" w:sz="0" w:space="0" w:color="auto"/>
        <w:bottom w:val="none" w:sz="0" w:space="0" w:color="auto"/>
        <w:right w:val="none" w:sz="0" w:space="0" w:color="auto"/>
      </w:divBdr>
    </w:div>
    <w:div w:id="943609720">
      <w:bodyDiv w:val="1"/>
      <w:marLeft w:val="0"/>
      <w:marRight w:val="0"/>
      <w:marTop w:val="0"/>
      <w:marBottom w:val="0"/>
      <w:divBdr>
        <w:top w:val="none" w:sz="0" w:space="0" w:color="auto"/>
        <w:left w:val="none" w:sz="0" w:space="0" w:color="auto"/>
        <w:bottom w:val="none" w:sz="0" w:space="0" w:color="auto"/>
        <w:right w:val="none" w:sz="0" w:space="0" w:color="auto"/>
      </w:divBdr>
    </w:div>
    <w:div w:id="973876744">
      <w:bodyDiv w:val="1"/>
      <w:marLeft w:val="0"/>
      <w:marRight w:val="0"/>
      <w:marTop w:val="0"/>
      <w:marBottom w:val="0"/>
      <w:divBdr>
        <w:top w:val="none" w:sz="0" w:space="0" w:color="auto"/>
        <w:left w:val="none" w:sz="0" w:space="0" w:color="auto"/>
        <w:bottom w:val="none" w:sz="0" w:space="0" w:color="auto"/>
        <w:right w:val="none" w:sz="0" w:space="0" w:color="auto"/>
      </w:divBdr>
    </w:div>
    <w:div w:id="987437073">
      <w:bodyDiv w:val="1"/>
      <w:marLeft w:val="0"/>
      <w:marRight w:val="0"/>
      <w:marTop w:val="0"/>
      <w:marBottom w:val="0"/>
      <w:divBdr>
        <w:top w:val="none" w:sz="0" w:space="0" w:color="auto"/>
        <w:left w:val="none" w:sz="0" w:space="0" w:color="auto"/>
        <w:bottom w:val="none" w:sz="0" w:space="0" w:color="auto"/>
        <w:right w:val="none" w:sz="0" w:space="0" w:color="auto"/>
      </w:divBdr>
    </w:div>
    <w:div w:id="991057183">
      <w:bodyDiv w:val="1"/>
      <w:marLeft w:val="0"/>
      <w:marRight w:val="0"/>
      <w:marTop w:val="0"/>
      <w:marBottom w:val="0"/>
      <w:divBdr>
        <w:top w:val="none" w:sz="0" w:space="0" w:color="auto"/>
        <w:left w:val="none" w:sz="0" w:space="0" w:color="auto"/>
        <w:bottom w:val="none" w:sz="0" w:space="0" w:color="auto"/>
        <w:right w:val="none" w:sz="0" w:space="0" w:color="auto"/>
      </w:divBdr>
    </w:div>
    <w:div w:id="995691788">
      <w:bodyDiv w:val="1"/>
      <w:marLeft w:val="0"/>
      <w:marRight w:val="0"/>
      <w:marTop w:val="0"/>
      <w:marBottom w:val="0"/>
      <w:divBdr>
        <w:top w:val="none" w:sz="0" w:space="0" w:color="auto"/>
        <w:left w:val="none" w:sz="0" w:space="0" w:color="auto"/>
        <w:bottom w:val="none" w:sz="0" w:space="0" w:color="auto"/>
        <w:right w:val="none" w:sz="0" w:space="0" w:color="auto"/>
      </w:divBdr>
    </w:div>
    <w:div w:id="1011445363">
      <w:bodyDiv w:val="1"/>
      <w:marLeft w:val="0"/>
      <w:marRight w:val="0"/>
      <w:marTop w:val="0"/>
      <w:marBottom w:val="0"/>
      <w:divBdr>
        <w:top w:val="none" w:sz="0" w:space="0" w:color="auto"/>
        <w:left w:val="none" w:sz="0" w:space="0" w:color="auto"/>
        <w:bottom w:val="none" w:sz="0" w:space="0" w:color="auto"/>
        <w:right w:val="none" w:sz="0" w:space="0" w:color="auto"/>
      </w:divBdr>
    </w:div>
    <w:div w:id="1039823197">
      <w:bodyDiv w:val="1"/>
      <w:marLeft w:val="0"/>
      <w:marRight w:val="0"/>
      <w:marTop w:val="0"/>
      <w:marBottom w:val="0"/>
      <w:divBdr>
        <w:top w:val="none" w:sz="0" w:space="0" w:color="auto"/>
        <w:left w:val="none" w:sz="0" w:space="0" w:color="auto"/>
        <w:bottom w:val="none" w:sz="0" w:space="0" w:color="auto"/>
        <w:right w:val="none" w:sz="0" w:space="0" w:color="auto"/>
      </w:divBdr>
    </w:div>
    <w:div w:id="1053383522">
      <w:bodyDiv w:val="1"/>
      <w:marLeft w:val="0"/>
      <w:marRight w:val="0"/>
      <w:marTop w:val="0"/>
      <w:marBottom w:val="0"/>
      <w:divBdr>
        <w:top w:val="none" w:sz="0" w:space="0" w:color="auto"/>
        <w:left w:val="none" w:sz="0" w:space="0" w:color="auto"/>
        <w:bottom w:val="none" w:sz="0" w:space="0" w:color="auto"/>
        <w:right w:val="none" w:sz="0" w:space="0" w:color="auto"/>
      </w:divBdr>
    </w:div>
    <w:div w:id="1068264715">
      <w:bodyDiv w:val="1"/>
      <w:marLeft w:val="0"/>
      <w:marRight w:val="0"/>
      <w:marTop w:val="0"/>
      <w:marBottom w:val="0"/>
      <w:divBdr>
        <w:top w:val="none" w:sz="0" w:space="0" w:color="auto"/>
        <w:left w:val="none" w:sz="0" w:space="0" w:color="auto"/>
        <w:bottom w:val="none" w:sz="0" w:space="0" w:color="auto"/>
        <w:right w:val="none" w:sz="0" w:space="0" w:color="auto"/>
      </w:divBdr>
    </w:div>
    <w:div w:id="1076168552">
      <w:bodyDiv w:val="1"/>
      <w:marLeft w:val="0"/>
      <w:marRight w:val="0"/>
      <w:marTop w:val="0"/>
      <w:marBottom w:val="0"/>
      <w:divBdr>
        <w:top w:val="none" w:sz="0" w:space="0" w:color="auto"/>
        <w:left w:val="none" w:sz="0" w:space="0" w:color="auto"/>
        <w:bottom w:val="none" w:sz="0" w:space="0" w:color="auto"/>
        <w:right w:val="none" w:sz="0" w:space="0" w:color="auto"/>
      </w:divBdr>
    </w:div>
    <w:div w:id="1079594137">
      <w:bodyDiv w:val="1"/>
      <w:marLeft w:val="0"/>
      <w:marRight w:val="0"/>
      <w:marTop w:val="0"/>
      <w:marBottom w:val="0"/>
      <w:divBdr>
        <w:top w:val="none" w:sz="0" w:space="0" w:color="auto"/>
        <w:left w:val="none" w:sz="0" w:space="0" w:color="auto"/>
        <w:bottom w:val="none" w:sz="0" w:space="0" w:color="auto"/>
        <w:right w:val="none" w:sz="0" w:space="0" w:color="auto"/>
      </w:divBdr>
    </w:div>
    <w:div w:id="1082264276">
      <w:bodyDiv w:val="1"/>
      <w:marLeft w:val="0"/>
      <w:marRight w:val="0"/>
      <w:marTop w:val="0"/>
      <w:marBottom w:val="0"/>
      <w:divBdr>
        <w:top w:val="none" w:sz="0" w:space="0" w:color="auto"/>
        <w:left w:val="none" w:sz="0" w:space="0" w:color="auto"/>
        <w:bottom w:val="none" w:sz="0" w:space="0" w:color="auto"/>
        <w:right w:val="none" w:sz="0" w:space="0" w:color="auto"/>
      </w:divBdr>
    </w:div>
    <w:div w:id="1084957306">
      <w:bodyDiv w:val="1"/>
      <w:marLeft w:val="0"/>
      <w:marRight w:val="0"/>
      <w:marTop w:val="0"/>
      <w:marBottom w:val="0"/>
      <w:divBdr>
        <w:top w:val="none" w:sz="0" w:space="0" w:color="auto"/>
        <w:left w:val="none" w:sz="0" w:space="0" w:color="auto"/>
        <w:bottom w:val="none" w:sz="0" w:space="0" w:color="auto"/>
        <w:right w:val="none" w:sz="0" w:space="0" w:color="auto"/>
      </w:divBdr>
    </w:div>
    <w:div w:id="1093551455">
      <w:bodyDiv w:val="1"/>
      <w:marLeft w:val="0"/>
      <w:marRight w:val="0"/>
      <w:marTop w:val="0"/>
      <w:marBottom w:val="0"/>
      <w:divBdr>
        <w:top w:val="none" w:sz="0" w:space="0" w:color="auto"/>
        <w:left w:val="none" w:sz="0" w:space="0" w:color="auto"/>
        <w:bottom w:val="none" w:sz="0" w:space="0" w:color="auto"/>
        <w:right w:val="none" w:sz="0" w:space="0" w:color="auto"/>
      </w:divBdr>
    </w:div>
    <w:div w:id="1100174155">
      <w:bodyDiv w:val="1"/>
      <w:marLeft w:val="0"/>
      <w:marRight w:val="0"/>
      <w:marTop w:val="0"/>
      <w:marBottom w:val="0"/>
      <w:divBdr>
        <w:top w:val="none" w:sz="0" w:space="0" w:color="auto"/>
        <w:left w:val="none" w:sz="0" w:space="0" w:color="auto"/>
        <w:bottom w:val="none" w:sz="0" w:space="0" w:color="auto"/>
        <w:right w:val="none" w:sz="0" w:space="0" w:color="auto"/>
      </w:divBdr>
    </w:div>
    <w:div w:id="1106849128">
      <w:bodyDiv w:val="1"/>
      <w:marLeft w:val="0"/>
      <w:marRight w:val="0"/>
      <w:marTop w:val="0"/>
      <w:marBottom w:val="0"/>
      <w:divBdr>
        <w:top w:val="none" w:sz="0" w:space="0" w:color="auto"/>
        <w:left w:val="none" w:sz="0" w:space="0" w:color="auto"/>
        <w:bottom w:val="none" w:sz="0" w:space="0" w:color="auto"/>
        <w:right w:val="none" w:sz="0" w:space="0" w:color="auto"/>
      </w:divBdr>
    </w:div>
    <w:div w:id="1109083809">
      <w:bodyDiv w:val="1"/>
      <w:marLeft w:val="0"/>
      <w:marRight w:val="0"/>
      <w:marTop w:val="0"/>
      <w:marBottom w:val="0"/>
      <w:divBdr>
        <w:top w:val="none" w:sz="0" w:space="0" w:color="auto"/>
        <w:left w:val="none" w:sz="0" w:space="0" w:color="auto"/>
        <w:bottom w:val="none" w:sz="0" w:space="0" w:color="auto"/>
        <w:right w:val="none" w:sz="0" w:space="0" w:color="auto"/>
      </w:divBdr>
    </w:div>
    <w:div w:id="1110470539">
      <w:bodyDiv w:val="1"/>
      <w:marLeft w:val="0"/>
      <w:marRight w:val="0"/>
      <w:marTop w:val="0"/>
      <w:marBottom w:val="0"/>
      <w:divBdr>
        <w:top w:val="none" w:sz="0" w:space="0" w:color="auto"/>
        <w:left w:val="none" w:sz="0" w:space="0" w:color="auto"/>
        <w:bottom w:val="none" w:sz="0" w:space="0" w:color="auto"/>
        <w:right w:val="none" w:sz="0" w:space="0" w:color="auto"/>
      </w:divBdr>
    </w:div>
    <w:div w:id="1116944027">
      <w:bodyDiv w:val="1"/>
      <w:marLeft w:val="0"/>
      <w:marRight w:val="0"/>
      <w:marTop w:val="0"/>
      <w:marBottom w:val="0"/>
      <w:divBdr>
        <w:top w:val="none" w:sz="0" w:space="0" w:color="auto"/>
        <w:left w:val="none" w:sz="0" w:space="0" w:color="auto"/>
        <w:bottom w:val="none" w:sz="0" w:space="0" w:color="auto"/>
        <w:right w:val="none" w:sz="0" w:space="0" w:color="auto"/>
      </w:divBdr>
    </w:div>
    <w:div w:id="1119571847">
      <w:bodyDiv w:val="1"/>
      <w:marLeft w:val="0"/>
      <w:marRight w:val="0"/>
      <w:marTop w:val="0"/>
      <w:marBottom w:val="0"/>
      <w:divBdr>
        <w:top w:val="none" w:sz="0" w:space="0" w:color="auto"/>
        <w:left w:val="none" w:sz="0" w:space="0" w:color="auto"/>
        <w:bottom w:val="none" w:sz="0" w:space="0" w:color="auto"/>
        <w:right w:val="none" w:sz="0" w:space="0" w:color="auto"/>
      </w:divBdr>
    </w:div>
    <w:div w:id="1135298606">
      <w:bodyDiv w:val="1"/>
      <w:marLeft w:val="0"/>
      <w:marRight w:val="0"/>
      <w:marTop w:val="0"/>
      <w:marBottom w:val="0"/>
      <w:divBdr>
        <w:top w:val="none" w:sz="0" w:space="0" w:color="auto"/>
        <w:left w:val="none" w:sz="0" w:space="0" w:color="auto"/>
        <w:bottom w:val="none" w:sz="0" w:space="0" w:color="auto"/>
        <w:right w:val="none" w:sz="0" w:space="0" w:color="auto"/>
      </w:divBdr>
    </w:div>
    <w:div w:id="1156846122">
      <w:bodyDiv w:val="1"/>
      <w:marLeft w:val="0"/>
      <w:marRight w:val="0"/>
      <w:marTop w:val="0"/>
      <w:marBottom w:val="0"/>
      <w:divBdr>
        <w:top w:val="none" w:sz="0" w:space="0" w:color="auto"/>
        <w:left w:val="none" w:sz="0" w:space="0" w:color="auto"/>
        <w:bottom w:val="none" w:sz="0" w:space="0" w:color="auto"/>
        <w:right w:val="none" w:sz="0" w:space="0" w:color="auto"/>
      </w:divBdr>
    </w:div>
    <w:div w:id="1162040610">
      <w:bodyDiv w:val="1"/>
      <w:marLeft w:val="0"/>
      <w:marRight w:val="0"/>
      <w:marTop w:val="0"/>
      <w:marBottom w:val="0"/>
      <w:divBdr>
        <w:top w:val="none" w:sz="0" w:space="0" w:color="auto"/>
        <w:left w:val="none" w:sz="0" w:space="0" w:color="auto"/>
        <w:bottom w:val="none" w:sz="0" w:space="0" w:color="auto"/>
        <w:right w:val="none" w:sz="0" w:space="0" w:color="auto"/>
      </w:divBdr>
    </w:div>
    <w:div w:id="1172450923">
      <w:bodyDiv w:val="1"/>
      <w:marLeft w:val="0"/>
      <w:marRight w:val="0"/>
      <w:marTop w:val="0"/>
      <w:marBottom w:val="0"/>
      <w:divBdr>
        <w:top w:val="none" w:sz="0" w:space="0" w:color="auto"/>
        <w:left w:val="none" w:sz="0" w:space="0" w:color="auto"/>
        <w:bottom w:val="none" w:sz="0" w:space="0" w:color="auto"/>
        <w:right w:val="none" w:sz="0" w:space="0" w:color="auto"/>
      </w:divBdr>
    </w:div>
    <w:div w:id="1175993595">
      <w:bodyDiv w:val="1"/>
      <w:marLeft w:val="0"/>
      <w:marRight w:val="0"/>
      <w:marTop w:val="0"/>
      <w:marBottom w:val="0"/>
      <w:divBdr>
        <w:top w:val="none" w:sz="0" w:space="0" w:color="auto"/>
        <w:left w:val="none" w:sz="0" w:space="0" w:color="auto"/>
        <w:bottom w:val="none" w:sz="0" w:space="0" w:color="auto"/>
        <w:right w:val="none" w:sz="0" w:space="0" w:color="auto"/>
      </w:divBdr>
    </w:div>
    <w:div w:id="1194005151">
      <w:bodyDiv w:val="1"/>
      <w:marLeft w:val="0"/>
      <w:marRight w:val="0"/>
      <w:marTop w:val="0"/>
      <w:marBottom w:val="0"/>
      <w:divBdr>
        <w:top w:val="none" w:sz="0" w:space="0" w:color="auto"/>
        <w:left w:val="none" w:sz="0" w:space="0" w:color="auto"/>
        <w:bottom w:val="none" w:sz="0" w:space="0" w:color="auto"/>
        <w:right w:val="none" w:sz="0" w:space="0" w:color="auto"/>
      </w:divBdr>
    </w:div>
    <w:div w:id="1197817633">
      <w:bodyDiv w:val="1"/>
      <w:marLeft w:val="0"/>
      <w:marRight w:val="0"/>
      <w:marTop w:val="0"/>
      <w:marBottom w:val="0"/>
      <w:divBdr>
        <w:top w:val="none" w:sz="0" w:space="0" w:color="auto"/>
        <w:left w:val="none" w:sz="0" w:space="0" w:color="auto"/>
        <w:bottom w:val="none" w:sz="0" w:space="0" w:color="auto"/>
        <w:right w:val="none" w:sz="0" w:space="0" w:color="auto"/>
      </w:divBdr>
    </w:div>
    <w:div w:id="1219829061">
      <w:bodyDiv w:val="1"/>
      <w:marLeft w:val="0"/>
      <w:marRight w:val="0"/>
      <w:marTop w:val="0"/>
      <w:marBottom w:val="0"/>
      <w:divBdr>
        <w:top w:val="none" w:sz="0" w:space="0" w:color="auto"/>
        <w:left w:val="none" w:sz="0" w:space="0" w:color="auto"/>
        <w:bottom w:val="none" w:sz="0" w:space="0" w:color="auto"/>
        <w:right w:val="none" w:sz="0" w:space="0" w:color="auto"/>
      </w:divBdr>
    </w:div>
    <w:div w:id="1228996845">
      <w:bodyDiv w:val="1"/>
      <w:marLeft w:val="0"/>
      <w:marRight w:val="0"/>
      <w:marTop w:val="0"/>
      <w:marBottom w:val="0"/>
      <w:divBdr>
        <w:top w:val="none" w:sz="0" w:space="0" w:color="auto"/>
        <w:left w:val="none" w:sz="0" w:space="0" w:color="auto"/>
        <w:bottom w:val="none" w:sz="0" w:space="0" w:color="auto"/>
        <w:right w:val="none" w:sz="0" w:space="0" w:color="auto"/>
      </w:divBdr>
    </w:div>
    <w:div w:id="1261065644">
      <w:bodyDiv w:val="1"/>
      <w:marLeft w:val="0"/>
      <w:marRight w:val="0"/>
      <w:marTop w:val="0"/>
      <w:marBottom w:val="0"/>
      <w:divBdr>
        <w:top w:val="none" w:sz="0" w:space="0" w:color="auto"/>
        <w:left w:val="none" w:sz="0" w:space="0" w:color="auto"/>
        <w:bottom w:val="none" w:sz="0" w:space="0" w:color="auto"/>
        <w:right w:val="none" w:sz="0" w:space="0" w:color="auto"/>
      </w:divBdr>
    </w:div>
    <w:div w:id="1269923124">
      <w:bodyDiv w:val="1"/>
      <w:marLeft w:val="0"/>
      <w:marRight w:val="0"/>
      <w:marTop w:val="0"/>
      <w:marBottom w:val="0"/>
      <w:divBdr>
        <w:top w:val="none" w:sz="0" w:space="0" w:color="auto"/>
        <w:left w:val="none" w:sz="0" w:space="0" w:color="auto"/>
        <w:bottom w:val="none" w:sz="0" w:space="0" w:color="auto"/>
        <w:right w:val="none" w:sz="0" w:space="0" w:color="auto"/>
      </w:divBdr>
    </w:div>
    <w:div w:id="1279218629">
      <w:bodyDiv w:val="1"/>
      <w:marLeft w:val="0"/>
      <w:marRight w:val="0"/>
      <w:marTop w:val="0"/>
      <w:marBottom w:val="0"/>
      <w:divBdr>
        <w:top w:val="none" w:sz="0" w:space="0" w:color="auto"/>
        <w:left w:val="none" w:sz="0" w:space="0" w:color="auto"/>
        <w:bottom w:val="none" w:sz="0" w:space="0" w:color="auto"/>
        <w:right w:val="none" w:sz="0" w:space="0" w:color="auto"/>
      </w:divBdr>
    </w:div>
    <w:div w:id="1314020226">
      <w:bodyDiv w:val="1"/>
      <w:marLeft w:val="0"/>
      <w:marRight w:val="0"/>
      <w:marTop w:val="0"/>
      <w:marBottom w:val="0"/>
      <w:divBdr>
        <w:top w:val="none" w:sz="0" w:space="0" w:color="auto"/>
        <w:left w:val="none" w:sz="0" w:space="0" w:color="auto"/>
        <w:bottom w:val="none" w:sz="0" w:space="0" w:color="auto"/>
        <w:right w:val="none" w:sz="0" w:space="0" w:color="auto"/>
      </w:divBdr>
    </w:div>
    <w:div w:id="1316953958">
      <w:bodyDiv w:val="1"/>
      <w:marLeft w:val="0"/>
      <w:marRight w:val="0"/>
      <w:marTop w:val="0"/>
      <w:marBottom w:val="0"/>
      <w:divBdr>
        <w:top w:val="none" w:sz="0" w:space="0" w:color="auto"/>
        <w:left w:val="none" w:sz="0" w:space="0" w:color="auto"/>
        <w:bottom w:val="none" w:sz="0" w:space="0" w:color="auto"/>
        <w:right w:val="none" w:sz="0" w:space="0" w:color="auto"/>
      </w:divBdr>
    </w:div>
    <w:div w:id="1319653328">
      <w:bodyDiv w:val="1"/>
      <w:marLeft w:val="0"/>
      <w:marRight w:val="0"/>
      <w:marTop w:val="0"/>
      <w:marBottom w:val="0"/>
      <w:divBdr>
        <w:top w:val="none" w:sz="0" w:space="0" w:color="auto"/>
        <w:left w:val="none" w:sz="0" w:space="0" w:color="auto"/>
        <w:bottom w:val="none" w:sz="0" w:space="0" w:color="auto"/>
        <w:right w:val="none" w:sz="0" w:space="0" w:color="auto"/>
      </w:divBdr>
    </w:div>
    <w:div w:id="1356929051">
      <w:bodyDiv w:val="1"/>
      <w:marLeft w:val="0"/>
      <w:marRight w:val="0"/>
      <w:marTop w:val="0"/>
      <w:marBottom w:val="0"/>
      <w:divBdr>
        <w:top w:val="none" w:sz="0" w:space="0" w:color="auto"/>
        <w:left w:val="none" w:sz="0" w:space="0" w:color="auto"/>
        <w:bottom w:val="none" w:sz="0" w:space="0" w:color="auto"/>
        <w:right w:val="none" w:sz="0" w:space="0" w:color="auto"/>
      </w:divBdr>
    </w:div>
    <w:div w:id="1359162342">
      <w:bodyDiv w:val="1"/>
      <w:marLeft w:val="0"/>
      <w:marRight w:val="0"/>
      <w:marTop w:val="0"/>
      <w:marBottom w:val="0"/>
      <w:divBdr>
        <w:top w:val="none" w:sz="0" w:space="0" w:color="auto"/>
        <w:left w:val="none" w:sz="0" w:space="0" w:color="auto"/>
        <w:bottom w:val="none" w:sz="0" w:space="0" w:color="auto"/>
        <w:right w:val="none" w:sz="0" w:space="0" w:color="auto"/>
      </w:divBdr>
    </w:div>
    <w:div w:id="1378626300">
      <w:bodyDiv w:val="1"/>
      <w:marLeft w:val="0"/>
      <w:marRight w:val="0"/>
      <w:marTop w:val="0"/>
      <w:marBottom w:val="0"/>
      <w:divBdr>
        <w:top w:val="none" w:sz="0" w:space="0" w:color="auto"/>
        <w:left w:val="none" w:sz="0" w:space="0" w:color="auto"/>
        <w:bottom w:val="none" w:sz="0" w:space="0" w:color="auto"/>
        <w:right w:val="none" w:sz="0" w:space="0" w:color="auto"/>
      </w:divBdr>
    </w:div>
    <w:div w:id="1388721650">
      <w:bodyDiv w:val="1"/>
      <w:marLeft w:val="0"/>
      <w:marRight w:val="0"/>
      <w:marTop w:val="0"/>
      <w:marBottom w:val="0"/>
      <w:divBdr>
        <w:top w:val="none" w:sz="0" w:space="0" w:color="auto"/>
        <w:left w:val="none" w:sz="0" w:space="0" w:color="auto"/>
        <w:bottom w:val="none" w:sz="0" w:space="0" w:color="auto"/>
        <w:right w:val="none" w:sz="0" w:space="0" w:color="auto"/>
      </w:divBdr>
    </w:div>
    <w:div w:id="1395546038">
      <w:bodyDiv w:val="1"/>
      <w:marLeft w:val="0"/>
      <w:marRight w:val="0"/>
      <w:marTop w:val="0"/>
      <w:marBottom w:val="0"/>
      <w:divBdr>
        <w:top w:val="none" w:sz="0" w:space="0" w:color="auto"/>
        <w:left w:val="none" w:sz="0" w:space="0" w:color="auto"/>
        <w:bottom w:val="none" w:sz="0" w:space="0" w:color="auto"/>
        <w:right w:val="none" w:sz="0" w:space="0" w:color="auto"/>
      </w:divBdr>
    </w:div>
    <w:div w:id="1432162821">
      <w:bodyDiv w:val="1"/>
      <w:marLeft w:val="0"/>
      <w:marRight w:val="0"/>
      <w:marTop w:val="0"/>
      <w:marBottom w:val="0"/>
      <w:divBdr>
        <w:top w:val="none" w:sz="0" w:space="0" w:color="auto"/>
        <w:left w:val="none" w:sz="0" w:space="0" w:color="auto"/>
        <w:bottom w:val="none" w:sz="0" w:space="0" w:color="auto"/>
        <w:right w:val="none" w:sz="0" w:space="0" w:color="auto"/>
      </w:divBdr>
    </w:div>
    <w:div w:id="1442530014">
      <w:bodyDiv w:val="1"/>
      <w:marLeft w:val="0"/>
      <w:marRight w:val="0"/>
      <w:marTop w:val="0"/>
      <w:marBottom w:val="0"/>
      <w:divBdr>
        <w:top w:val="none" w:sz="0" w:space="0" w:color="auto"/>
        <w:left w:val="none" w:sz="0" w:space="0" w:color="auto"/>
        <w:bottom w:val="none" w:sz="0" w:space="0" w:color="auto"/>
        <w:right w:val="none" w:sz="0" w:space="0" w:color="auto"/>
      </w:divBdr>
    </w:div>
    <w:div w:id="1490631567">
      <w:bodyDiv w:val="1"/>
      <w:marLeft w:val="0"/>
      <w:marRight w:val="0"/>
      <w:marTop w:val="0"/>
      <w:marBottom w:val="0"/>
      <w:divBdr>
        <w:top w:val="none" w:sz="0" w:space="0" w:color="auto"/>
        <w:left w:val="none" w:sz="0" w:space="0" w:color="auto"/>
        <w:bottom w:val="none" w:sz="0" w:space="0" w:color="auto"/>
        <w:right w:val="none" w:sz="0" w:space="0" w:color="auto"/>
      </w:divBdr>
    </w:div>
    <w:div w:id="1507134512">
      <w:bodyDiv w:val="1"/>
      <w:marLeft w:val="0"/>
      <w:marRight w:val="0"/>
      <w:marTop w:val="0"/>
      <w:marBottom w:val="0"/>
      <w:divBdr>
        <w:top w:val="none" w:sz="0" w:space="0" w:color="auto"/>
        <w:left w:val="none" w:sz="0" w:space="0" w:color="auto"/>
        <w:bottom w:val="none" w:sz="0" w:space="0" w:color="auto"/>
        <w:right w:val="none" w:sz="0" w:space="0" w:color="auto"/>
      </w:divBdr>
    </w:div>
    <w:div w:id="1515682432">
      <w:bodyDiv w:val="1"/>
      <w:marLeft w:val="0"/>
      <w:marRight w:val="0"/>
      <w:marTop w:val="0"/>
      <w:marBottom w:val="0"/>
      <w:divBdr>
        <w:top w:val="none" w:sz="0" w:space="0" w:color="auto"/>
        <w:left w:val="none" w:sz="0" w:space="0" w:color="auto"/>
        <w:bottom w:val="none" w:sz="0" w:space="0" w:color="auto"/>
        <w:right w:val="none" w:sz="0" w:space="0" w:color="auto"/>
      </w:divBdr>
    </w:div>
    <w:div w:id="1535649949">
      <w:bodyDiv w:val="1"/>
      <w:marLeft w:val="0"/>
      <w:marRight w:val="0"/>
      <w:marTop w:val="0"/>
      <w:marBottom w:val="0"/>
      <w:divBdr>
        <w:top w:val="none" w:sz="0" w:space="0" w:color="auto"/>
        <w:left w:val="none" w:sz="0" w:space="0" w:color="auto"/>
        <w:bottom w:val="none" w:sz="0" w:space="0" w:color="auto"/>
        <w:right w:val="none" w:sz="0" w:space="0" w:color="auto"/>
      </w:divBdr>
    </w:div>
    <w:div w:id="1560437287">
      <w:bodyDiv w:val="1"/>
      <w:marLeft w:val="0"/>
      <w:marRight w:val="0"/>
      <w:marTop w:val="0"/>
      <w:marBottom w:val="0"/>
      <w:divBdr>
        <w:top w:val="none" w:sz="0" w:space="0" w:color="auto"/>
        <w:left w:val="none" w:sz="0" w:space="0" w:color="auto"/>
        <w:bottom w:val="none" w:sz="0" w:space="0" w:color="auto"/>
        <w:right w:val="none" w:sz="0" w:space="0" w:color="auto"/>
      </w:divBdr>
    </w:div>
    <w:div w:id="1563371625">
      <w:bodyDiv w:val="1"/>
      <w:marLeft w:val="0"/>
      <w:marRight w:val="0"/>
      <w:marTop w:val="0"/>
      <w:marBottom w:val="0"/>
      <w:divBdr>
        <w:top w:val="none" w:sz="0" w:space="0" w:color="auto"/>
        <w:left w:val="none" w:sz="0" w:space="0" w:color="auto"/>
        <w:bottom w:val="none" w:sz="0" w:space="0" w:color="auto"/>
        <w:right w:val="none" w:sz="0" w:space="0" w:color="auto"/>
      </w:divBdr>
    </w:div>
    <w:div w:id="1598825813">
      <w:bodyDiv w:val="1"/>
      <w:marLeft w:val="0"/>
      <w:marRight w:val="0"/>
      <w:marTop w:val="0"/>
      <w:marBottom w:val="0"/>
      <w:divBdr>
        <w:top w:val="none" w:sz="0" w:space="0" w:color="auto"/>
        <w:left w:val="none" w:sz="0" w:space="0" w:color="auto"/>
        <w:bottom w:val="none" w:sz="0" w:space="0" w:color="auto"/>
        <w:right w:val="none" w:sz="0" w:space="0" w:color="auto"/>
      </w:divBdr>
    </w:div>
    <w:div w:id="1607039949">
      <w:bodyDiv w:val="1"/>
      <w:marLeft w:val="0"/>
      <w:marRight w:val="0"/>
      <w:marTop w:val="0"/>
      <w:marBottom w:val="0"/>
      <w:divBdr>
        <w:top w:val="none" w:sz="0" w:space="0" w:color="auto"/>
        <w:left w:val="none" w:sz="0" w:space="0" w:color="auto"/>
        <w:bottom w:val="none" w:sz="0" w:space="0" w:color="auto"/>
        <w:right w:val="none" w:sz="0" w:space="0" w:color="auto"/>
      </w:divBdr>
    </w:div>
    <w:div w:id="1612663165">
      <w:bodyDiv w:val="1"/>
      <w:marLeft w:val="0"/>
      <w:marRight w:val="0"/>
      <w:marTop w:val="0"/>
      <w:marBottom w:val="0"/>
      <w:divBdr>
        <w:top w:val="none" w:sz="0" w:space="0" w:color="auto"/>
        <w:left w:val="none" w:sz="0" w:space="0" w:color="auto"/>
        <w:bottom w:val="none" w:sz="0" w:space="0" w:color="auto"/>
        <w:right w:val="none" w:sz="0" w:space="0" w:color="auto"/>
      </w:divBdr>
    </w:div>
    <w:div w:id="1652634448">
      <w:bodyDiv w:val="1"/>
      <w:marLeft w:val="0"/>
      <w:marRight w:val="0"/>
      <w:marTop w:val="0"/>
      <w:marBottom w:val="0"/>
      <w:divBdr>
        <w:top w:val="none" w:sz="0" w:space="0" w:color="auto"/>
        <w:left w:val="none" w:sz="0" w:space="0" w:color="auto"/>
        <w:bottom w:val="none" w:sz="0" w:space="0" w:color="auto"/>
        <w:right w:val="none" w:sz="0" w:space="0" w:color="auto"/>
      </w:divBdr>
    </w:div>
    <w:div w:id="1666592891">
      <w:bodyDiv w:val="1"/>
      <w:marLeft w:val="0"/>
      <w:marRight w:val="0"/>
      <w:marTop w:val="0"/>
      <w:marBottom w:val="0"/>
      <w:divBdr>
        <w:top w:val="none" w:sz="0" w:space="0" w:color="auto"/>
        <w:left w:val="none" w:sz="0" w:space="0" w:color="auto"/>
        <w:bottom w:val="none" w:sz="0" w:space="0" w:color="auto"/>
        <w:right w:val="none" w:sz="0" w:space="0" w:color="auto"/>
      </w:divBdr>
    </w:div>
    <w:div w:id="1671518886">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716854640">
      <w:bodyDiv w:val="1"/>
      <w:marLeft w:val="0"/>
      <w:marRight w:val="0"/>
      <w:marTop w:val="0"/>
      <w:marBottom w:val="0"/>
      <w:divBdr>
        <w:top w:val="none" w:sz="0" w:space="0" w:color="auto"/>
        <w:left w:val="none" w:sz="0" w:space="0" w:color="auto"/>
        <w:bottom w:val="none" w:sz="0" w:space="0" w:color="auto"/>
        <w:right w:val="none" w:sz="0" w:space="0" w:color="auto"/>
      </w:divBdr>
    </w:div>
    <w:div w:id="1717048974">
      <w:bodyDiv w:val="1"/>
      <w:marLeft w:val="0"/>
      <w:marRight w:val="0"/>
      <w:marTop w:val="0"/>
      <w:marBottom w:val="0"/>
      <w:divBdr>
        <w:top w:val="none" w:sz="0" w:space="0" w:color="auto"/>
        <w:left w:val="none" w:sz="0" w:space="0" w:color="auto"/>
        <w:bottom w:val="none" w:sz="0" w:space="0" w:color="auto"/>
        <w:right w:val="none" w:sz="0" w:space="0" w:color="auto"/>
      </w:divBdr>
    </w:div>
    <w:div w:id="1737821159">
      <w:bodyDiv w:val="1"/>
      <w:marLeft w:val="0"/>
      <w:marRight w:val="0"/>
      <w:marTop w:val="0"/>
      <w:marBottom w:val="0"/>
      <w:divBdr>
        <w:top w:val="none" w:sz="0" w:space="0" w:color="auto"/>
        <w:left w:val="none" w:sz="0" w:space="0" w:color="auto"/>
        <w:bottom w:val="none" w:sz="0" w:space="0" w:color="auto"/>
        <w:right w:val="none" w:sz="0" w:space="0" w:color="auto"/>
      </w:divBdr>
    </w:div>
    <w:div w:id="1772504347">
      <w:bodyDiv w:val="1"/>
      <w:marLeft w:val="0"/>
      <w:marRight w:val="0"/>
      <w:marTop w:val="0"/>
      <w:marBottom w:val="0"/>
      <w:divBdr>
        <w:top w:val="none" w:sz="0" w:space="0" w:color="auto"/>
        <w:left w:val="none" w:sz="0" w:space="0" w:color="auto"/>
        <w:bottom w:val="none" w:sz="0" w:space="0" w:color="auto"/>
        <w:right w:val="none" w:sz="0" w:space="0" w:color="auto"/>
      </w:divBdr>
    </w:div>
    <w:div w:id="1778478624">
      <w:bodyDiv w:val="1"/>
      <w:marLeft w:val="0"/>
      <w:marRight w:val="0"/>
      <w:marTop w:val="0"/>
      <w:marBottom w:val="0"/>
      <w:divBdr>
        <w:top w:val="none" w:sz="0" w:space="0" w:color="auto"/>
        <w:left w:val="none" w:sz="0" w:space="0" w:color="auto"/>
        <w:bottom w:val="none" w:sz="0" w:space="0" w:color="auto"/>
        <w:right w:val="none" w:sz="0" w:space="0" w:color="auto"/>
      </w:divBdr>
    </w:div>
    <w:div w:id="1788621996">
      <w:marLeft w:val="0"/>
      <w:marRight w:val="0"/>
      <w:marTop w:val="0"/>
      <w:marBottom w:val="0"/>
      <w:divBdr>
        <w:top w:val="none" w:sz="0" w:space="0" w:color="auto"/>
        <w:left w:val="none" w:sz="0" w:space="0" w:color="auto"/>
        <w:bottom w:val="none" w:sz="0" w:space="0" w:color="auto"/>
        <w:right w:val="none" w:sz="0" w:space="0" w:color="auto"/>
      </w:divBdr>
      <w:divsChild>
        <w:div w:id="1788622012">
          <w:marLeft w:val="0"/>
          <w:marRight w:val="0"/>
          <w:marTop w:val="0"/>
          <w:marBottom w:val="0"/>
          <w:divBdr>
            <w:top w:val="none" w:sz="0" w:space="0" w:color="auto"/>
            <w:left w:val="none" w:sz="0" w:space="0" w:color="auto"/>
            <w:bottom w:val="none" w:sz="0" w:space="0" w:color="auto"/>
            <w:right w:val="none" w:sz="0" w:space="0" w:color="auto"/>
          </w:divBdr>
          <w:divsChild>
            <w:div w:id="1788622008">
              <w:marLeft w:val="0"/>
              <w:marRight w:val="0"/>
              <w:marTop w:val="0"/>
              <w:marBottom w:val="0"/>
              <w:divBdr>
                <w:top w:val="none" w:sz="0" w:space="0" w:color="auto"/>
                <w:left w:val="none" w:sz="0" w:space="0" w:color="auto"/>
                <w:bottom w:val="none" w:sz="0" w:space="0" w:color="auto"/>
                <w:right w:val="none" w:sz="0" w:space="0" w:color="auto"/>
              </w:divBdr>
              <w:divsChild>
                <w:div w:id="1788622007">
                  <w:marLeft w:val="0"/>
                  <w:marRight w:val="0"/>
                  <w:marTop w:val="0"/>
                  <w:marBottom w:val="0"/>
                  <w:divBdr>
                    <w:top w:val="none" w:sz="0" w:space="0" w:color="auto"/>
                    <w:left w:val="none" w:sz="0" w:space="0" w:color="auto"/>
                    <w:bottom w:val="none" w:sz="0" w:space="0" w:color="auto"/>
                    <w:right w:val="none" w:sz="0" w:space="0" w:color="auto"/>
                  </w:divBdr>
                  <w:divsChild>
                    <w:div w:id="17886220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88621997">
      <w:marLeft w:val="0"/>
      <w:marRight w:val="0"/>
      <w:marTop w:val="0"/>
      <w:marBottom w:val="0"/>
      <w:divBdr>
        <w:top w:val="none" w:sz="0" w:space="0" w:color="auto"/>
        <w:left w:val="none" w:sz="0" w:space="0" w:color="auto"/>
        <w:bottom w:val="none" w:sz="0" w:space="0" w:color="auto"/>
        <w:right w:val="none" w:sz="0" w:space="0" w:color="auto"/>
      </w:divBdr>
    </w:div>
    <w:div w:id="1788621998">
      <w:marLeft w:val="0"/>
      <w:marRight w:val="0"/>
      <w:marTop w:val="0"/>
      <w:marBottom w:val="0"/>
      <w:divBdr>
        <w:top w:val="none" w:sz="0" w:space="0" w:color="auto"/>
        <w:left w:val="none" w:sz="0" w:space="0" w:color="auto"/>
        <w:bottom w:val="none" w:sz="0" w:space="0" w:color="auto"/>
        <w:right w:val="none" w:sz="0" w:space="0" w:color="auto"/>
      </w:divBdr>
    </w:div>
    <w:div w:id="1788621999">
      <w:marLeft w:val="0"/>
      <w:marRight w:val="0"/>
      <w:marTop w:val="0"/>
      <w:marBottom w:val="0"/>
      <w:divBdr>
        <w:top w:val="none" w:sz="0" w:space="0" w:color="auto"/>
        <w:left w:val="none" w:sz="0" w:space="0" w:color="auto"/>
        <w:bottom w:val="none" w:sz="0" w:space="0" w:color="auto"/>
        <w:right w:val="none" w:sz="0" w:space="0" w:color="auto"/>
      </w:divBdr>
    </w:div>
    <w:div w:id="1788622000">
      <w:marLeft w:val="0"/>
      <w:marRight w:val="0"/>
      <w:marTop w:val="0"/>
      <w:marBottom w:val="0"/>
      <w:divBdr>
        <w:top w:val="none" w:sz="0" w:space="0" w:color="auto"/>
        <w:left w:val="none" w:sz="0" w:space="0" w:color="auto"/>
        <w:bottom w:val="none" w:sz="0" w:space="0" w:color="auto"/>
        <w:right w:val="none" w:sz="0" w:space="0" w:color="auto"/>
      </w:divBdr>
    </w:div>
    <w:div w:id="1788622002">
      <w:marLeft w:val="0"/>
      <w:marRight w:val="0"/>
      <w:marTop w:val="0"/>
      <w:marBottom w:val="0"/>
      <w:divBdr>
        <w:top w:val="none" w:sz="0" w:space="0" w:color="auto"/>
        <w:left w:val="none" w:sz="0" w:space="0" w:color="auto"/>
        <w:bottom w:val="none" w:sz="0" w:space="0" w:color="auto"/>
        <w:right w:val="none" w:sz="0" w:space="0" w:color="auto"/>
      </w:divBdr>
    </w:div>
    <w:div w:id="1788622003">
      <w:marLeft w:val="0"/>
      <w:marRight w:val="0"/>
      <w:marTop w:val="0"/>
      <w:marBottom w:val="0"/>
      <w:divBdr>
        <w:top w:val="none" w:sz="0" w:space="0" w:color="auto"/>
        <w:left w:val="none" w:sz="0" w:space="0" w:color="auto"/>
        <w:bottom w:val="none" w:sz="0" w:space="0" w:color="auto"/>
        <w:right w:val="none" w:sz="0" w:space="0" w:color="auto"/>
      </w:divBdr>
    </w:div>
    <w:div w:id="1788622004">
      <w:marLeft w:val="0"/>
      <w:marRight w:val="0"/>
      <w:marTop w:val="0"/>
      <w:marBottom w:val="0"/>
      <w:divBdr>
        <w:top w:val="none" w:sz="0" w:space="0" w:color="auto"/>
        <w:left w:val="none" w:sz="0" w:space="0" w:color="auto"/>
        <w:bottom w:val="none" w:sz="0" w:space="0" w:color="auto"/>
        <w:right w:val="none" w:sz="0" w:space="0" w:color="auto"/>
      </w:divBdr>
      <w:divsChild>
        <w:div w:id="1788622015">
          <w:marLeft w:val="0"/>
          <w:marRight w:val="0"/>
          <w:marTop w:val="0"/>
          <w:marBottom w:val="0"/>
          <w:divBdr>
            <w:top w:val="none" w:sz="0" w:space="0" w:color="auto"/>
            <w:left w:val="none" w:sz="0" w:space="0" w:color="auto"/>
            <w:bottom w:val="none" w:sz="0" w:space="0" w:color="auto"/>
            <w:right w:val="none" w:sz="0" w:space="0" w:color="auto"/>
          </w:divBdr>
          <w:divsChild>
            <w:div w:id="1788622001">
              <w:marLeft w:val="0"/>
              <w:marRight w:val="0"/>
              <w:marTop w:val="0"/>
              <w:marBottom w:val="0"/>
              <w:divBdr>
                <w:top w:val="none" w:sz="0" w:space="0" w:color="auto"/>
                <w:left w:val="none" w:sz="0" w:space="0" w:color="auto"/>
                <w:bottom w:val="none" w:sz="0" w:space="0" w:color="auto"/>
                <w:right w:val="none" w:sz="0" w:space="0" w:color="auto"/>
              </w:divBdr>
              <w:divsChild>
                <w:div w:id="1788622027">
                  <w:marLeft w:val="0"/>
                  <w:marRight w:val="0"/>
                  <w:marTop w:val="0"/>
                  <w:marBottom w:val="0"/>
                  <w:divBdr>
                    <w:top w:val="none" w:sz="0" w:space="0" w:color="auto"/>
                    <w:left w:val="none" w:sz="0" w:space="0" w:color="auto"/>
                    <w:bottom w:val="none" w:sz="0" w:space="0" w:color="auto"/>
                    <w:right w:val="none" w:sz="0" w:space="0" w:color="auto"/>
                  </w:divBdr>
                  <w:divsChild>
                    <w:div w:id="1788622023">
                      <w:marLeft w:val="0"/>
                      <w:marRight w:val="0"/>
                      <w:marTop w:val="0"/>
                      <w:marBottom w:val="0"/>
                      <w:divBdr>
                        <w:top w:val="none" w:sz="0" w:space="0" w:color="auto"/>
                        <w:left w:val="none" w:sz="0" w:space="0" w:color="auto"/>
                        <w:bottom w:val="none" w:sz="0" w:space="0" w:color="auto"/>
                        <w:right w:val="none" w:sz="0" w:space="0" w:color="auto"/>
                      </w:divBdr>
                      <w:divsChild>
                        <w:div w:id="1788622026">
                          <w:marLeft w:val="0"/>
                          <w:marRight w:val="0"/>
                          <w:marTop w:val="0"/>
                          <w:marBottom w:val="0"/>
                          <w:divBdr>
                            <w:top w:val="none" w:sz="0" w:space="0" w:color="auto"/>
                            <w:left w:val="none" w:sz="0" w:space="0" w:color="auto"/>
                            <w:bottom w:val="none" w:sz="0" w:space="0" w:color="auto"/>
                            <w:right w:val="none" w:sz="0" w:space="0" w:color="auto"/>
                          </w:divBdr>
                          <w:divsChild>
                            <w:div w:id="1788622014">
                              <w:marLeft w:val="120"/>
                              <w:marRight w:val="120"/>
                              <w:marTop w:val="195"/>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622005">
      <w:marLeft w:val="0"/>
      <w:marRight w:val="0"/>
      <w:marTop w:val="0"/>
      <w:marBottom w:val="0"/>
      <w:divBdr>
        <w:top w:val="none" w:sz="0" w:space="0" w:color="auto"/>
        <w:left w:val="none" w:sz="0" w:space="0" w:color="auto"/>
        <w:bottom w:val="none" w:sz="0" w:space="0" w:color="auto"/>
        <w:right w:val="none" w:sz="0" w:space="0" w:color="auto"/>
      </w:divBdr>
    </w:div>
    <w:div w:id="1788622006">
      <w:marLeft w:val="0"/>
      <w:marRight w:val="0"/>
      <w:marTop w:val="0"/>
      <w:marBottom w:val="0"/>
      <w:divBdr>
        <w:top w:val="none" w:sz="0" w:space="0" w:color="auto"/>
        <w:left w:val="none" w:sz="0" w:space="0" w:color="auto"/>
        <w:bottom w:val="none" w:sz="0" w:space="0" w:color="auto"/>
        <w:right w:val="none" w:sz="0" w:space="0" w:color="auto"/>
      </w:divBdr>
    </w:div>
    <w:div w:id="1788622009">
      <w:marLeft w:val="0"/>
      <w:marRight w:val="0"/>
      <w:marTop w:val="0"/>
      <w:marBottom w:val="0"/>
      <w:divBdr>
        <w:top w:val="none" w:sz="0" w:space="0" w:color="auto"/>
        <w:left w:val="none" w:sz="0" w:space="0" w:color="auto"/>
        <w:bottom w:val="none" w:sz="0" w:space="0" w:color="auto"/>
        <w:right w:val="none" w:sz="0" w:space="0" w:color="auto"/>
      </w:divBdr>
    </w:div>
    <w:div w:id="1788622010">
      <w:marLeft w:val="0"/>
      <w:marRight w:val="0"/>
      <w:marTop w:val="0"/>
      <w:marBottom w:val="0"/>
      <w:divBdr>
        <w:top w:val="none" w:sz="0" w:space="0" w:color="auto"/>
        <w:left w:val="none" w:sz="0" w:space="0" w:color="auto"/>
        <w:bottom w:val="none" w:sz="0" w:space="0" w:color="auto"/>
        <w:right w:val="none" w:sz="0" w:space="0" w:color="auto"/>
      </w:divBdr>
    </w:div>
    <w:div w:id="1788622011">
      <w:marLeft w:val="0"/>
      <w:marRight w:val="0"/>
      <w:marTop w:val="0"/>
      <w:marBottom w:val="0"/>
      <w:divBdr>
        <w:top w:val="none" w:sz="0" w:space="0" w:color="auto"/>
        <w:left w:val="none" w:sz="0" w:space="0" w:color="auto"/>
        <w:bottom w:val="none" w:sz="0" w:space="0" w:color="auto"/>
        <w:right w:val="none" w:sz="0" w:space="0" w:color="auto"/>
      </w:divBdr>
    </w:div>
    <w:div w:id="1788622013">
      <w:marLeft w:val="0"/>
      <w:marRight w:val="0"/>
      <w:marTop w:val="0"/>
      <w:marBottom w:val="0"/>
      <w:divBdr>
        <w:top w:val="none" w:sz="0" w:space="0" w:color="auto"/>
        <w:left w:val="none" w:sz="0" w:space="0" w:color="auto"/>
        <w:bottom w:val="none" w:sz="0" w:space="0" w:color="auto"/>
        <w:right w:val="none" w:sz="0" w:space="0" w:color="auto"/>
      </w:divBdr>
    </w:div>
    <w:div w:id="1788622016">
      <w:marLeft w:val="0"/>
      <w:marRight w:val="0"/>
      <w:marTop w:val="0"/>
      <w:marBottom w:val="0"/>
      <w:divBdr>
        <w:top w:val="none" w:sz="0" w:space="0" w:color="auto"/>
        <w:left w:val="none" w:sz="0" w:space="0" w:color="auto"/>
        <w:bottom w:val="none" w:sz="0" w:space="0" w:color="auto"/>
        <w:right w:val="none" w:sz="0" w:space="0" w:color="auto"/>
      </w:divBdr>
    </w:div>
    <w:div w:id="1788622017">
      <w:marLeft w:val="0"/>
      <w:marRight w:val="0"/>
      <w:marTop w:val="0"/>
      <w:marBottom w:val="0"/>
      <w:divBdr>
        <w:top w:val="none" w:sz="0" w:space="0" w:color="auto"/>
        <w:left w:val="none" w:sz="0" w:space="0" w:color="auto"/>
        <w:bottom w:val="none" w:sz="0" w:space="0" w:color="auto"/>
        <w:right w:val="none" w:sz="0" w:space="0" w:color="auto"/>
      </w:divBdr>
    </w:div>
    <w:div w:id="1788622018">
      <w:marLeft w:val="0"/>
      <w:marRight w:val="0"/>
      <w:marTop w:val="0"/>
      <w:marBottom w:val="0"/>
      <w:divBdr>
        <w:top w:val="none" w:sz="0" w:space="0" w:color="auto"/>
        <w:left w:val="none" w:sz="0" w:space="0" w:color="auto"/>
        <w:bottom w:val="none" w:sz="0" w:space="0" w:color="auto"/>
        <w:right w:val="none" w:sz="0" w:space="0" w:color="auto"/>
      </w:divBdr>
    </w:div>
    <w:div w:id="1788622019">
      <w:marLeft w:val="0"/>
      <w:marRight w:val="0"/>
      <w:marTop w:val="0"/>
      <w:marBottom w:val="0"/>
      <w:divBdr>
        <w:top w:val="none" w:sz="0" w:space="0" w:color="auto"/>
        <w:left w:val="none" w:sz="0" w:space="0" w:color="auto"/>
        <w:bottom w:val="none" w:sz="0" w:space="0" w:color="auto"/>
        <w:right w:val="none" w:sz="0" w:space="0" w:color="auto"/>
      </w:divBdr>
    </w:div>
    <w:div w:id="1788622020">
      <w:marLeft w:val="0"/>
      <w:marRight w:val="0"/>
      <w:marTop w:val="0"/>
      <w:marBottom w:val="0"/>
      <w:divBdr>
        <w:top w:val="none" w:sz="0" w:space="0" w:color="auto"/>
        <w:left w:val="none" w:sz="0" w:space="0" w:color="auto"/>
        <w:bottom w:val="none" w:sz="0" w:space="0" w:color="auto"/>
        <w:right w:val="none" w:sz="0" w:space="0" w:color="auto"/>
      </w:divBdr>
    </w:div>
    <w:div w:id="1788622022">
      <w:marLeft w:val="0"/>
      <w:marRight w:val="0"/>
      <w:marTop w:val="0"/>
      <w:marBottom w:val="0"/>
      <w:divBdr>
        <w:top w:val="none" w:sz="0" w:space="0" w:color="auto"/>
        <w:left w:val="none" w:sz="0" w:space="0" w:color="auto"/>
        <w:bottom w:val="none" w:sz="0" w:space="0" w:color="auto"/>
        <w:right w:val="none" w:sz="0" w:space="0" w:color="auto"/>
      </w:divBdr>
    </w:div>
    <w:div w:id="1788622024">
      <w:marLeft w:val="0"/>
      <w:marRight w:val="0"/>
      <w:marTop w:val="0"/>
      <w:marBottom w:val="0"/>
      <w:divBdr>
        <w:top w:val="none" w:sz="0" w:space="0" w:color="auto"/>
        <w:left w:val="none" w:sz="0" w:space="0" w:color="auto"/>
        <w:bottom w:val="none" w:sz="0" w:space="0" w:color="auto"/>
        <w:right w:val="none" w:sz="0" w:space="0" w:color="auto"/>
      </w:divBdr>
    </w:div>
    <w:div w:id="1788622028">
      <w:marLeft w:val="0"/>
      <w:marRight w:val="0"/>
      <w:marTop w:val="0"/>
      <w:marBottom w:val="0"/>
      <w:divBdr>
        <w:top w:val="none" w:sz="0" w:space="0" w:color="auto"/>
        <w:left w:val="none" w:sz="0" w:space="0" w:color="auto"/>
        <w:bottom w:val="none" w:sz="0" w:space="0" w:color="auto"/>
        <w:right w:val="none" w:sz="0" w:space="0" w:color="auto"/>
      </w:divBdr>
    </w:div>
    <w:div w:id="1788622029">
      <w:marLeft w:val="0"/>
      <w:marRight w:val="0"/>
      <w:marTop w:val="0"/>
      <w:marBottom w:val="0"/>
      <w:divBdr>
        <w:top w:val="none" w:sz="0" w:space="0" w:color="auto"/>
        <w:left w:val="none" w:sz="0" w:space="0" w:color="auto"/>
        <w:bottom w:val="none" w:sz="0" w:space="0" w:color="auto"/>
        <w:right w:val="none" w:sz="0" w:space="0" w:color="auto"/>
      </w:divBdr>
      <w:divsChild>
        <w:div w:id="1788622021">
          <w:marLeft w:val="0"/>
          <w:marRight w:val="0"/>
          <w:marTop w:val="0"/>
          <w:marBottom w:val="0"/>
          <w:divBdr>
            <w:top w:val="none" w:sz="0" w:space="0" w:color="auto"/>
            <w:left w:val="none" w:sz="0" w:space="0" w:color="auto"/>
            <w:bottom w:val="none" w:sz="0" w:space="0" w:color="auto"/>
            <w:right w:val="none" w:sz="0" w:space="0" w:color="auto"/>
          </w:divBdr>
        </w:div>
      </w:divsChild>
    </w:div>
    <w:div w:id="1812668440">
      <w:bodyDiv w:val="1"/>
      <w:marLeft w:val="0"/>
      <w:marRight w:val="0"/>
      <w:marTop w:val="0"/>
      <w:marBottom w:val="0"/>
      <w:divBdr>
        <w:top w:val="none" w:sz="0" w:space="0" w:color="auto"/>
        <w:left w:val="none" w:sz="0" w:space="0" w:color="auto"/>
        <w:bottom w:val="none" w:sz="0" w:space="0" w:color="auto"/>
        <w:right w:val="none" w:sz="0" w:space="0" w:color="auto"/>
      </w:divBdr>
    </w:div>
    <w:div w:id="1845583022">
      <w:bodyDiv w:val="1"/>
      <w:marLeft w:val="0"/>
      <w:marRight w:val="0"/>
      <w:marTop w:val="0"/>
      <w:marBottom w:val="0"/>
      <w:divBdr>
        <w:top w:val="none" w:sz="0" w:space="0" w:color="auto"/>
        <w:left w:val="none" w:sz="0" w:space="0" w:color="auto"/>
        <w:bottom w:val="none" w:sz="0" w:space="0" w:color="auto"/>
        <w:right w:val="none" w:sz="0" w:space="0" w:color="auto"/>
      </w:divBdr>
    </w:div>
    <w:div w:id="1863471054">
      <w:bodyDiv w:val="1"/>
      <w:marLeft w:val="0"/>
      <w:marRight w:val="0"/>
      <w:marTop w:val="0"/>
      <w:marBottom w:val="0"/>
      <w:divBdr>
        <w:top w:val="none" w:sz="0" w:space="0" w:color="auto"/>
        <w:left w:val="none" w:sz="0" w:space="0" w:color="auto"/>
        <w:bottom w:val="none" w:sz="0" w:space="0" w:color="auto"/>
        <w:right w:val="none" w:sz="0" w:space="0" w:color="auto"/>
      </w:divBdr>
    </w:div>
    <w:div w:id="1881016556">
      <w:bodyDiv w:val="1"/>
      <w:marLeft w:val="0"/>
      <w:marRight w:val="0"/>
      <w:marTop w:val="0"/>
      <w:marBottom w:val="0"/>
      <w:divBdr>
        <w:top w:val="none" w:sz="0" w:space="0" w:color="auto"/>
        <w:left w:val="none" w:sz="0" w:space="0" w:color="auto"/>
        <w:bottom w:val="none" w:sz="0" w:space="0" w:color="auto"/>
        <w:right w:val="none" w:sz="0" w:space="0" w:color="auto"/>
      </w:divBdr>
    </w:div>
    <w:div w:id="1886523870">
      <w:bodyDiv w:val="1"/>
      <w:marLeft w:val="0"/>
      <w:marRight w:val="0"/>
      <w:marTop w:val="0"/>
      <w:marBottom w:val="0"/>
      <w:divBdr>
        <w:top w:val="none" w:sz="0" w:space="0" w:color="auto"/>
        <w:left w:val="none" w:sz="0" w:space="0" w:color="auto"/>
        <w:bottom w:val="none" w:sz="0" w:space="0" w:color="auto"/>
        <w:right w:val="none" w:sz="0" w:space="0" w:color="auto"/>
      </w:divBdr>
    </w:div>
    <w:div w:id="1886716689">
      <w:bodyDiv w:val="1"/>
      <w:marLeft w:val="0"/>
      <w:marRight w:val="0"/>
      <w:marTop w:val="0"/>
      <w:marBottom w:val="0"/>
      <w:divBdr>
        <w:top w:val="none" w:sz="0" w:space="0" w:color="auto"/>
        <w:left w:val="none" w:sz="0" w:space="0" w:color="auto"/>
        <w:bottom w:val="none" w:sz="0" w:space="0" w:color="auto"/>
        <w:right w:val="none" w:sz="0" w:space="0" w:color="auto"/>
      </w:divBdr>
    </w:div>
    <w:div w:id="1891769034">
      <w:bodyDiv w:val="1"/>
      <w:marLeft w:val="0"/>
      <w:marRight w:val="0"/>
      <w:marTop w:val="0"/>
      <w:marBottom w:val="0"/>
      <w:divBdr>
        <w:top w:val="none" w:sz="0" w:space="0" w:color="auto"/>
        <w:left w:val="none" w:sz="0" w:space="0" w:color="auto"/>
        <w:bottom w:val="none" w:sz="0" w:space="0" w:color="auto"/>
        <w:right w:val="none" w:sz="0" w:space="0" w:color="auto"/>
      </w:divBdr>
    </w:div>
    <w:div w:id="1917325601">
      <w:bodyDiv w:val="1"/>
      <w:marLeft w:val="0"/>
      <w:marRight w:val="0"/>
      <w:marTop w:val="0"/>
      <w:marBottom w:val="0"/>
      <w:divBdr>
        <w:top w:val="none" w:sz="0" w:space="0" w:color="auto"/>
        <w:left w:val="none" w:sz="0" w:space="0" w:color="auto"/>
        <w:bottom w:val="none" w:sz="0" w:space="0" w:color="auto"/>
        <w:right w:val="none" w:sz="0" w:space="0" w:color="auto"/>
      </w:divBdr>
    </w:div>
    <w:div w:id="1926453234">
      <w:bodyDiv w:val="1"/>
      <w:marLeft w:val="0"/>
      <w:marRight w:val="0"/>
      <w:marTop w:val="0"/>
      <w:marBottom w:val="0"/>
      <w:divBdr>
        <w:top w:val="none" w:sz="0" w:space="0" w:color="auto"/>
        <w:left w:val="none" w:sz="0" w:space="0" w:color="auto"/>
        <w:bottom w:val="none" w:sz="0" w:space="0" w:color="auto"/>
        <w:right w:val="none" w:sz="0" w:space="0" w:color="auto"/>
      </w:divBdr>
    </w:div>
    <w:div w:id="1929078042">
      <w:bodyDiv w:val="1"/>
      <w:marLeft w:val="0"/>
      <w:marRight w:val="0"/>
      <w:marTop w:val="0"/>
      <w:marBottom w:val="0"/>
      <w:divBdr>
        <w:top w:val="none" w:sz="0" w:space="0" w:color="auto"/>
        <w:left w:val="none" w:sz="0" w:space="0" w:color="auto"/>
        <w:bottom w:val="none" w:sz="0" w:space="0" w:color="auto"/>
        <w:right w:val="none" w:sz="0" w:space="0" w:color="auto"/>
      </w:divBdr>
    </w:div>
    <w:div w:id="1965958367">
      <w:bodyDiv w:val="1"/>
      <w:marLeft w:val="0"/>
      <w:marRight w:val="0"/>
      <w:marTop w:val="0"/>
      <w:marBottom w:val="0"/>
      <w:divBdr>
        <w:top w:val="none" w:sz="0" w:space="0" w:color="auto"/>
        <w:left w:val="none" w:sz="0" w:space="0" w:color="auto"/>
        <w:bottom w:val="none" w:sz="0" w:space="0" w:color="auto"/>
        <w:right w:val="none" w:sz="0" w:space="0" w:color="auto"/>
      </w:divBdr>
    </w:div>
    <w:div w:id="1997030696">
      <w:bodyDiv w:val="1"/>
      <w:marLeft w:val="0"/>
      <w:marRight w:val="0"/>
      <w:marTop w:val="0"/>
      <w:marBottom w:val="0"/>
      <w:divBdr>
        <w:top w:val="none" w:sz="0" w:space="0" w:color="auto"/>
        <w:left w:val="none" w:sz="0" w:space="0" w:color="auto"/>
        <w:bottom w:val="none" w:sz="0" w:space="0" w:color="auto"/>
        <w:right w:val="none" w:sz="0" w:space="0" w:color="auto"/>
      </w:divBdr>
    </w:div>
    <w:div w:id="1998074660">
      <w:bodyDiv w:val="1"/>
      <w:marLeft w:val="0"/>
      <w:marRight w:val="0"/>
      <w:marTop w:val="0"/>
      <w:marBottom w:val="0"/>
      <w:divBdr>
        <w:top w:val="none" w:sz="0" w:space="0" w:color="auto"/>
        <w:left w:val="none" w:sz="0" w:space="0" w:color="auto"/>
        <w:bottom w:val="none" w:sz="0" w:space="0" w:color="auto"/>
        <w:right w:val="none" w:sz="0" w:space="0" w:color="auto"/>
      </w:divBdr>
    </w:div>
    <w:div w:id="2014331245">
      <w:bodyDiv w:val="1"/>
      <w:marLeft w:val="0"/>
      <w:marRight w:val="0"/>
      <w:marTop w:val="0"/>
      <w:marBottom w:val="0"/>
      <w:divBdr>
        <w:top w:val="none" w:sz="0" w:space="0" w:color="auto"/>
        <w:left w:val="none" w:sz="0" w:space="0" w:color="auto"/>
        <w:bottom w:val="none" w:sz="0" w:space="0" w:color="auto"/>
        <w:right w:val="none" w:sz="0" w:space="0" w:color="auto"/>
      </w:divBdr>
    </w:div>
    <w:div w:id="2020427101">
      <w:bodyDiv w:val="1"/>
      <w:marLeft w:val="0"/>
      <w:marRight w:val="0"/>
      <w:marTop w:val="0"/>
      <w:marBottom w:val="0"/>
      <w:divBdr>
        <w:top w:val="none" w:sz="0" w:space="0" w:color="auto"/>
        <w:left w:val="none" w:sz="0" w:space="0" w:color="auto"/>
        <w:bottom w:val="none" w:sz="0" w:space="0" w:color="auto"/>
        <w:right w:val="none" w:sz="0" w:space="0" w:color="auto"/>
      </w:divBdr>
    </w:div>
    <w:div w:id="2025399408">
      <w:bodyDiv w:val="1"/>
      <w:marLeft w:val="0"/>
      <w:marRight w:val="0"/>
      <w:marTop w:val="0"/>
      <w:marBottom w:val="0"/>
      <w:divBdr>
        <w:top w:val="none" w:sz="0" w:space="0" w:color="auto"/>
        <w:left w:val="none" w:sz="0" w:space="0" w:color="auto"/>
        <w:bottom w:val="none" w:sz="0" w:space="0" w:color="auto"/>
        <w:right w:val="none" w:sz="0" w:space="0" w:color="auto"/>
      </w:divBdr>
    </w:div>
    <w:div w:id="2027175116">
      <w:bodyDiv w:val="1"/>
      <w:marLeft w:val="0"/>
      <w:marRight w:val="0"/>
      <w:marTop w:val="0"/>
      <w:marBottom w:val="0"/>
      <w:divBdr>
        <w:top w:val="none" w:sz="0" w:space="0" w:color="auto"/>
        <w:left w:val="none" w:sz="0" w:space="0" w:color="auto"/>
        <w:bottom w:val="none" w:sz="0" w:space="0" w:color="auto"/>
        <w:right w:val="none" w:sz="0" w:space="0" w:color="auto"/>
      </w:divBdr>
    </w:div>
    <w:div w:id="2029603481">
      <w:bodyDiv w:val="1"/>
      <w:marLeft w:val="0"/>
      <w:marRight w:val="0"/>
      <w:marTop w:val="0"/>
      <w:marBottom w:val="0"/>
      <w:divBdr>
        <w:top w:val="none" w:sz="0" w:space="0" w:color="auto"/>
        <w:left w:val="none" w:sz="0" w:space="0" w:color="auto"/>
        <w:bottom w:val="none" w:sz="0" w:space="0" w:color="auto"/>
        <w:right w:val="none" w:sz="0" w:space="0" w:color="auto"/>
      </w:divBdr>
    </w:div>
    <w:div w:id="2041002837">
      <w:bodyDiv w:val="1"/>
      <w:marLeft w:val="0"/>
      <w:marRight w:val="0"/>
      <w:marTop w:val="0"/>
      <w:marBottom w:val="0"/>
      <w:divBdr>
        <w:top w:val="none" w:sz="0" w:space="0" w:color="auto"/>
        <w:left w:val="none" w:sz="0" w:space="0" w:color="auto"/>
        <w:bottom w:val="none" w:sz="0" w:space="0" w:color="auto"/>
        <w:right w:val="none" w:sz="0" w:space="0" w:color="auto"/>
      </w:divBdr>
    </w:div>
    <w:div w:id="2066903657">
      <w:bodyDiv w:val="1"/>
      <w:marLeft w:val="0"/>
      <w:marRight w:val="0"/>
      <w:marTop w:val="0"/>
      <w:marBottom w:val="0"/>
      <w:divBdr>
        <w:top w:val="none" w:sz="0" w:space="0" w:color="auto"/>
        <w:left w:val="none" w:sz="0" w:space="0" w:color="auto"/>
        <w:bottom w:val="none" w:sz="0" w:space="0" w:color="auto"/>
        <w:right w:val="none" w:sz="0" w:space="0" w:color="auto"/>
      </w:divBdr>
    </w:div>
    <w:div w:id="2088569998">
      <w:bodyDiv w:val="1"/>
      <w:marLeft w:val="0"/>
      <w:marRight w:val="0"/>
      <w:marTop w:val="0"/>
      <w:marBottom w:val="0"/>
      <w:divBdr>
        <w:top w:val="none" w:sz="0" w:space="0" w:color="auto"/>
        <w:left w:val="none" w:sz="0" w:space="0" w:color="auto"/>
        <w:bottom w:val="none" w:sz="0" w:space="0" w:color="auto"/>
        <w:right w:val="none" w:sz="0" w:space="0" w:color="auto"/>
      </w:divBdr>
    </w:div>
    <w:div w:id="2101830325">
      <w:bodyDiv w:val="1"/>
      <w:marLeft w:val="0"/>
      <w:marRight w:val="0"/>
      <w:marTop w:val="0"/>
      <w:marBottom w:val="0"/>
      <w:divBdr>
        <w:top w:val="none" w:sz="0" w:space="0" w:color="auto"/>
        <w:left w:val="none" w:sz="0" w:space="0" w:color="auto"/>
        <w:bottom w:val="none" w:sz="0" w:space="0" w:color="auto"/>
        <w:right w:val="none" w:sz="0" w:space="0" w:color="auto"/>
      </w:divBdr>
    </w:div>
    <w:div w:id="214291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eru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isteruz.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fsr.sk/sk/financie/statne-vykaznictvo/klucove-dokumenty-uctovne-zavierky/suhrnna-vyrocna-sprava-sr/"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341E-F841-4C9C-91F7-AD8F7923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76</Pages>
  <Words>41086</Words>
  <Characters>233679</Characters>
  <Application>Microsoft Office Word</Application>
  <DocSecurity>0</DocSecurity>
  <Lines>1947</Lines>
  <Paragraphs>548</Paragraphs>
  <ScaleCrop>false</ScaleCrop>
  <HeadingPairs>
    <vt:vector size="2" baseType="variant">
      <vt:variant>
        <vt:lpstr>Názov</vt:lpstr>
      </vt:variant>
      <vt:variant>
        <vt:i4>1</vt:i4>
      </vt:variant>
    </vt:vector>
  </HeadingPairs>
  <TitlesOfParts>
    <vt:vector size="1" baseType="lpstr">
      <vt:lpstr>Súhrnná výročná správa Slovenskej republiky za rok 2011</vt:lpstr>
    </vt:vector>
  </TitlesOfParts>
  <Company>Ministerstvo financií</Company>
  <LinksUpToDate>false</LinksUpToDate>
  <CharactersWithSpaces>274217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Súhrnná výročná správa Slovenskej republiky za rok 2011</dc:title>
  <dc:creator>mmajorova</dc:creator>
  <cp:lastModifiedBy>Stefkovicova Zuzana</cp:lastModifiedBy>
  <cp:revision>67</cp:revision>
  <cp:lastPrinted>2023-09-19T10:50:00Z</cp:lastPrinted>
  <dcterms:created xsi:type="dcterms:W3CDTF">2023-10-26T07:27:00Z</dcterms:created>
  <dcterms:modified xsi:type="dcterms:W3CDTF">2023-11-09T09:04:00Z</dcterms:modified>
</cp:coreProperties>
</file>