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DCEE5" w14:textId="77777777" w:rsidR="00354C87" w:rsidRPr="0093420D" w:rsidRDefault="00354C87" w:rsidP="00354C87">
      <w:pPr>
        <w:rPr>
          <w:color w:val="FF0000"/>
        </w:rPr>
      </w:pPr>
    </w:p>
    <w:p w14:paraId="5C970E24" w14:textId="77777777" w:rsidR="00354C87" w:rsidRPr="0093420D" w:rsidRDefault="00354C87" w:rsidP="00354C87">
      <w:pPr>
        <w:pStyle w:val="Normlnywebov"/>
        <w:jc w:val="center"/>
        <w:rPr>
          <w:color w:val="FF0000"/>
        </w:rPr>
      </w:pPr>
    </w:p>
    <w:p w14:paraId="2A066AF3" w14:textId="77777777" w:rsidR="00354C87" w:rsidRPr="0093420D" w:rsidRDefault="00354C87" w:rsidP="00354C87">
      <w:pPr>
        <w:pStyle w:val="Normlnywebov"/>
        <w:jc w:val="center"/>
        <w:rPr>
          <w:color w:val="FF0000"/>
        </w:rPr>
      </w:pPr>
    </w:p>
    <w:p w14:paraId="5341A705" w14:textId="77777777" w:rsidR="00354C87" w:rsidRPr="00EE151F" w:rsidRDefault="00211C2A" w:rsidP="00354C87">
      <w:pPr>
        <w:pStyle w:val="Normlnywebov"/>
        <w:jc w:val="center"/>
        <w:rPr>
          <w:color w:val="FF0000"/>
          <w:highlight w:val="yellow"/>
        </w:rPr>
      </w:pPr>
      <w:r w:rsidRPr="00EE151F">
        <w:rPr>
          <w:noProof/>
          <w:color w:val="FF0000"/>
          <w:highlight w:val="yellow"/>
        </w:rPr>
        <w:drawing>
          <wp:inline distT="0" distB="0" distL="0" distR="0" wp14:anchorId="6837B1F8" wp14:editId="3BB36384">
            <wp:extent cx="1419225" cy="1695450"/>
            <wp:effectExtent l="0" t="0" r="0" b="0"/>
            <wp:docPr id="1" name="Obrázok 56" descr="Popis: štátny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6" descr="Popis: štátny 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695450"/>
                    </a:xfrm>
                    <a:prstGeom prst="rect">
                      <a:avLst/>
                    </a:prstGeom>
                    <a:noFill/>
                    <a:ln>
                      <a:noFill/>
                    </a:ln>
                  </pic:spPr>
                </pic:pic>
              </a:graphicData>
            </a:graphic>
          </wp:inline>
        </w:drawing>
      </w:r>
    </w:p>
    <w:p w14:paraId="18B1543E" w14:textId="77777777" w:rsidR="00354C87" w:rsidRPr="00EE151F" w:rsidRDefault="00354C87" w:rsidP="00354C87">
      <w:pPr>
        <w:rPr>
          <w:color w:val="FF0000"/>
          <w:highlight w:val="yellow"/>
        </w:rPr>
      </w:pPr>
    </w:p>
    <w:p w14:paraId="65F997CD" w14:textId="77777777" w:rsidR="00354C87" w:rsidRPr="00EE151F" w:rsidRDefault="00354C87" w:rsidP="00354C87">
      <w:pPr>
        <w:rPr>
          <w:color w:val="FF0000"/>
          <w:highlight w:val="yellow"/>
        </w:rPr>
      </w:pPr>
    </w:p>
    <w:p w14:paraId="3341860A" w14:textId="77777777" w:rsidR="00354C87" w:rsidRPr="00EE151F" w:rsidRDefault="00354C87" w:rsidP="00354C87">
      <w:pPr>
        <w:rPr>
          <w:color w:val="FF0000"/>
          <w:highlight w:val="yellow"/>
        </w:rPr>
      </w:pPr>
    </w:p>
    <w:p w14:paraId="73BFFD0E" w14:textId="77777777" w:rsidR="00354C87" w:rsidRPr="00EE151F" w:rsidRDefault="00354C87" w:rsidP="00354C87">
      <w:pPr>
        <w:rPr>
          <w:color w:val="FF0000"/>
          <w:highlight w:val="yellow"/>
        </w:rPr>
      </w:pPr>
    </w:p>
    <w:p w14:paraId="275BF09B" w14:textId="77777777" w:rsidR="00354C87" w:rsidRPr="000231EB" w:rsidRDefault="00354C87" w:rsidP="00354C87">
      <w:pPr>
        <w:jc w:val="center"/>
        <w:rPr>
          <w:b/>
          <w:sz w:val="40"/>
          <w:szCs w:val="40"/>
        </w:rPr>
      </w:pPr>
      <w:r w:rsidRPr="000231EB">
        <w:rPr>
          <w:b/>
          <w:sz w:val="40"/>
          <w:szCs w:val="40"/>
        </w:rPr>
        <w:t>Súhrnná výročná správa</w:t>
      </w:r>
    </w:p>
    <w:p w14:paraId="0D2A4127" w14:textId="77777777" w:rsidR="00354C87" w:rsidRPr="000231EB" w:rsidRDefault="00354C87" w:rsidP="00354C87">
      <w:pPr>
        <w:jc w:val="center"/>
        <w:rPr>
          <w:b/>
          <w:sz w:val="40"/>
          <w:szCs w:val="40"/>
        </w:rPr>
      </w:pPr>
      <w:r w:rsidRPr="000231EB">
        <w:rPr>
          <w:b/>
          <w:sz w:val="40"/>
          <w:szCs w:val="40"/>
        </w:rPr>
        <w:t>Slovenskej republiky</w:t>
      </w:r>
    </w:p>
    <w:p w14:paraId="29123CA7" w14:textId="218161A6" w:rsidR="00354C87" w:rsidRPr="000231EB" w:rsidRDefault="00354C87" w:rsidP="00354C87">
      <w:pPr>
        <w:jc w:val="center"/>
        <w:rPr>
          <w:b/>
          <w:sz w:val="40"/>
          <w:szCs w:val="40"/>
        </w:rPr>
      </w:pPr>
      <w:r w:rsidRPr="000231EB">
        <w:rPr>
          <w:b/>
          <w:sz w:val="40"/>
          <w:szCs w:val="40"/>
        </w:rPr>
        <w:t>za rok 20</w:t>
      </w:r>
      <w:r w:rsidR="001D77FC" w:rsidRPr="000231EB">
        <w:rPr>
          <w:b/>
          <w:sz w:val="40"/>
          <w:szCs w:val="40"/>
        </w:rPr>
        <w:t>2</w:t>
      </w:r>
      <w:r w:rsidR="000720E8">
        <w:rPr>
          <w:b/>
          <w:sz w:val="40"/>
          <w:szCs w:val="40"/>
        </w:rPr>
        <w:t>2</w:t>
      </w:r>
    </w:p>
    <w:p w14:paraId="3BAD9115" w14:textId="77777777" w:rsidR="00354C87" w:rsidRPr="00EE151F" w:rsidRDefault="00354C87" w:rsidP="00354C87">
      <w:pPr>
        <w:rPr>
          <w:sz w:val="40"/>
          <w:szCs w:val="40"/>
          <w:highlight w:val="yellow"/>
        </w:rPr>
      </w:pPr>
    </w:p>
    <w:p w14:paraId="0CA3B83C" w14:textId="77777777" w:rsidR="00354C87" w:rsidRPr="00EE151F" w:rsidRDefault="00354C87" w:rsidP="00354C87">
      <w:pPr>
        <w:rPr>
          <w:highlight w:val="yellow"/>
        </w:rPr>
      </w:pPr>
    </w:p>
    <w:p w14:paraId="7FDF94F5" w14:textId="77777777" w:rsidR="00354C87" w:rsidRPr="00EE151F" w:rsidRDefault="00354C87" w:rsidP="00354C87">
      <w:pPr>
        <w:rPr>
          <w:highlight w:val="yellow"/>
        </w:rPr>
      </w:pPr>
    </w:p>
    <w:p w14:paraId="3F627FED" w14:textId="77777777" w:rsidR="00354C87" w:rsidRPr="00EE151F" w:rsidRDefault="00354C87" w:rsidP="00354C87">
      <w:pPr>
        <w:rPr>
          <w:highlight w:val="yellow"/>
        </w:rPr>
      </w:pPr>
    </w:p>
    <w:p w14:paraId="40D289EE" w14:textId="77777777" w:rsidR="00354C87" w:rsidRPr="00EE151F" w:rsidRDefault="00354C87" w:rsidP="00354C87">
      <w:pPr>
        <w:rPr>
          <w:highlight w:val="yellow"/>
        </w:rPr>
      </w:pPr>
    </w:p>
    <w:p w14:paraId="68023957" w14:textId="77777777" w:rsidR="00354C87" w:rsidRPr="00EE151F" w:rsidRDefault="00354C87" w:rsidP="00354C87">
      <w:pPr>
        <w:rPr>
          <w:highlight w:val="yellow"/>
        </w:rPr>
      </w:pPr>
    </w:p>
    <w:p w14:paraId="385E9C31" w14:textId="77777777" w:rsidR="00354C87" w:rsidRPr="00EE151F" w:rsidRDefault="00354C87" w:rsidP="00354C87">
      <w:pPr>
        <w:rPr>
          <w:highlight w:val="yellow"/>
        </w:rPr>
      </w:pPr>
    </w:p>
    <w:p w14:paraId="209AD89F" w14:textId="77777777" w:rsidR="00354C87" w:rsidRPr="00EE151F" w:rsidRDefault="00354C87" w:rsidP="00354C87">
      <w:pPr>
        <w:rPr>
          <w:highlight w:val="yellow"/>
        </w:rPr>
      </w:pPr>
    </w:p>
    <w:p w14:paraId="6F7516EA" w14:textId="49B24AAF" w:rsidR="00651A0E" w:rsidRPr="000231EB" w:rsidRDefault="00C32B83" w:rsidP="00651A0E">
      <w:pPr>
        <w:tabs>
          <w:tab w:val="left" w:pos="0"/>
          <w:tab w:val="left" w:pos="284"/>
        </w:tabs>
        <w:spacing w:before="120" w:after="120" w:line="360" w:lineRule="auto"/>
        <w:jc w:val="center"/>
        <w:rPr>
          <w:b/>
          <w:sz w:val="32"/>
          <w:szCs w:val="32"/>
        </w:rPr>
        <w:sectPr w:rsidR="00651A0E" w:rsidRPr="000231EB" w:rsidSect="00234A6C">
          <w:footerReference w:type="default" r:id="rId9"/>
          <w:pgSz w:w="11906" w:h="16838" w:code="9"/>
          <w:pgMar w:top="1418" w:right="1134" w:bottom="1418" w:left="1134" w:header="709" w:footer="709" w:gutter="567"/>
          <w:cols w:space="708"/>
          <w:docGrid w:linePitch="360"/>
        </w:sectPr>
      </w:pPr>
      <w:r w:rsidRPr="000231EB">
        <w:rPr>
          <w:b/>
          <w:sz w:val="32"/>
          <w:szCs w:val="32"/>
        </w:rPr>
        <w:t>O</w:t>
      </w:r>
      <w:r w:rsidR="00354C87" w:rsidRPr="000231EB">
        <w:rPr>
          <w:b/>
          <w:sz w:val="32"/>
          <w:szCs w:val="32"/>
        </w:rPr>
        <w:t>któber 20</w:t>
      </w:r>
      <w:r w:rsidR="0033338B" w:rsidRPr="000231EB">
        <w:rPr>
          <w:b/>
          <w:sz w:val="32"/>
          <w:szCs w:val="32"/>
        </w:rPr>
        <w:t>2</w:t>
      </w:r>
      <w:r w:rsidR="000720E8">
        <w:rPr>
          <w:b/>
          <w:sz w:val="32"/>
          <w:szCs w:val="32"/>
        </w:rPr>
        <w:t>3</w:t>
      </w:r>
    </w:p>
    <w:p w14:paraId="79FCEFF6" w14:textId="77777777" w:rsidR="00B34B9C" w:rsidRPr="00EB029C" w:rsidRDefault="00B34B9C" w:rsidP="00894E53">
      <w:pPr>
        <w:spacing w:after="0" w:line="336" w:lineRule="auto"/>
        <w:rPr>
          <w:b/>
          <w:sz w:val="26"/>
          <w:szCs w:val="26"/>
        </w:rPr>
      </w:pPr>
      <w:bookmarkStart w:id="0" w:name="_Toc401920003"/>
      <w:bookmarkStart w:id="1" w:name="_Toc399324354"/>
      <w:r w:rsidRPr="00EB029C">
        <w:rPr>
          <w:b/>
          <w:sz w:val="26"/>
          <w:szCs w:val="26"/>
        </w:rPr>
        <w:lastRenderedPageBreak/>
        <w:t>Obsah</w:t>
      </w:r>
    </w:p>
    <w:p w14:paraId="79D88617" w14:textId="53206755" w:rsidR="008C1831" w:rsidRDefault="00F74AB3">
      <w:pPr>
        <w:pStyle w:val="Obsah1"/>
        <w:rPr>
          <w:rFonts w:asciiTheme="minorHAnsi" w:eastAsiaTheme="minorEastAsia" w:hAnsiTheme="minorHAnsi" w:cstheme="minorBidi"/>
          <w:lang w:eastAsia="sk-SK"/>
        </w:rPr>
      </w:pPr>
      <w:r w:rsidRPr="00EE151F">
        <w:rPr>
          <w:rFonts w:cs="Times New Roman"/>
          <w:highlight w:val="yellow"/>
        </w:rPr>
        <w:fldChar w:fldCharType="begin"/>
      </w:r>
      <w:r w:rsidRPr="00EE151F">
        <w:rPr>
          <w:rFonts w:cs="Times New Roman"/>
          <w:highlight w:val="yellow"/>
        </w:rPr>
        <w:instrText xml:space="preserve"> TOC \o "1-3" \u </w:instrText>
      </w:r>
      <w:r w:rsidRPr="00EE151F">
        <w:rPr>
          <w:rFonts w:cs="Times New Roman"/>
          <w:highlight w:val="yellow"/>
        </w:rPr>
        <w:fldChar w:fldCharType="separate"/>
      </w:r>
      <w:r w:rsidR="008C1831">
        <w:t>Úvod</w:t>
      </w:r>
      <w:r w:rsidR="008C1831">
        <w:tab/>
      </w:r>
      <w:r w:rsidR="008C1831">
        <w:fldChar w:fldCharType="begin"/>
      </w:r>
      <w:r w:rsidR="008C1831">
        <w:instrText xml:space="preserve"> PAGEREF _Toc148704460 \h </w:instrText>
      </w:r>
      <w:r w:rsidR="008C1831">
        <w:fldChar w:fldCharType="separate"/>
      </w:r>
      <w:r w:rsidR="00BC0484">
        <w:t>2</w:t>
      </w:r>
      <w:r w:rsidR="008C1831">
        <w:fldChar w:fldCharType="end"/>
      </w:r>
    </w:p>
    <w:p w14:paraId="029D2608" w14:textId="4C447E36" w:rsidR="008C1831" w:rsidRDefault="008C1831">
      <w:pPr>
        <w:pStyle w:val="Obsah1"/>
        <w:rPr>
          <w:rFonts w:asciiTheme="minorHAnsi" w:eastAsiaTheme="minorEastAsia" w:hAnsiTheme="minorHAnsi" w:cstheme="minorBidi"/>
          <w:lang w:eastAsia="sk-SK"/>
        </w:rPr>
      </w:pPr>
      <w:r>
        <w:t>Zhrnutie</w:t>
      </w:r>
      <w:r>
        <w:tab/>
      </w:r>
      <w:r>
        <w:fldChar w:fldCharType="begin"/>
      </w:r>
      <w:r>
        <w:instrText xml:space="preserve"> PAGEREF _Toc148704461 \h </w:instrText>
      </w:r>
      <w:r>
        <w:fldChar w:fldCharType="separate"/>
      </w:r>
      <w:r w:rsidR="00BC0484">
        <w:t>4</w:t>
      </w:r>
      <w:r>
        <w:fldChar w:fldCharType="end"/>
      </w:r>
    </w:p>
    <w:p w14:paraId="61C8B62E" w14:textId="005B8B8E" w:rsidR="008C1831" w:rsidRDefault="008C1831">
      <w:pPr>
        <w:pStyle w:val="Obsah1"/>
        <w:rPr>
          <w:rFonts w:asciiTheme="minorHAnsi" w:eastAsiaTheme="minorEastAsia" w:hAnsiTheme="minorHAnsi" w:cstheme="minorBidi"/>
          <w:lang w:eastAsia="sk-SK"/>
        </w:rPr>
      </w:pPr>
      <w:r w:rsidRPr="003E7EAB">
        <w:t>1.</w:t>
      </w:r>
      <w:r>
        <w:rPr>
          <w:rFonts w:asciiTheme="minorHAnsi" w:eastAsiaTheme="minorEastAsia" w:hAnsiTheme="minorHAnsi" w:cstheme="minorBidi"/>
          <w:lang w:eastAsia="sk-SK"/>
        </w:rPr>
        <w:tab/>
      </w:r>
      <w:r w:rsidRPr="003E7EAB">
        <w:t>Hospodárenie verejnej správy v metodike ESA 2010</w:t>
      </w:r>
      <w:r>
        <w:tab/>
      </w:r>
      <w:r>
        <w:fldChar w:fldCharType="begin"/>
      </w:r>
      <w:r>
        <w:instrText xml:space="preserve"> PAGEREF _Toc148704462 \h </w:instrText>
      </w:r>
      <w:r>
        <w:fldChar w:fldCharType="separate"/>
      </w:r>
      <w:r w:rsidR="00BC0484">
        <w:t>5</w:t>
      </w:r>
      <w:r>
        <w:fldChar w:fldCharType="end"/>
      </w:r>
    </w:p>
    <w:p w14:paraId="6C01E22B" w14:textId="11B5E5AF" w:rsidR="008C1831" w:rsidRDefault="008C1831">
      <w:pPr>
        <w:pStyle w:val="Obsah2"/>
        <w:rPr>
          <w:rFonts w:asciiTheme="minorHAnsi" w:eastAsiaTheme="minorEastAsia" w:hAnsiTheme="minorHAnsi" w:cstheme="minorBidi"/>
          <w:noProof/>
          <w:szCs w:val="22"/>
          <w:lang w:eastAsia="sk-SK"/>
        </w:rPr>
      </w:pPr>
      <w:r>
        <w:rPr>
          <w:noProof/>
        </w:rPr>
        <w:t>1.1.</w:t>
      </w:r>
      <w:r>
        <w:rPr>
          <w:rFonts w:asciiTheme="minorHAnsi" w:eastAsiaTheme="minorEastAsia" w:hAnsiTheme="minorHAnsi" w:cstheme="minorBidi"/>
          <w:noProof/>
          <w:szCs w:val="22"/>
          <w:lang w:eastAsia="sk-SK"/>
        </w:rPr>
        <w:tab/>
      </w:r>
      <w:r>
        <w:rPr>
          <w:noProof/>
        </w:rPr>
        <w:t>Rozdiely medzi októbrovou a aprílovou notifikáciou údajov</w:t>
      </w:r>
      <w:r>
        <w:rPr>
          <w:noProof/>
        </w:rPr>
        <w:tab/>
      </w:r>
      <w:r>
        <w:rPr>
          <w:noProof/>
        </w:rPr>
        <w:fldChar w:fldCharType="begin"/>
      </w:r>
      <w:r>
        <w:rPr>
          <w:noProof/>
        </w:rPr>
        <w:instrText xml:space="preserve"> PAGEREF _Toc148704463 \h </w:instrText>
      </w:r>
      <w:r>
        <w:rPr>
          <w:noProof/>
        </w:rPr>
      </w:r>
      <w:r>
        <w:rPr>
          <w:noProof/>
        </w:rPr>
        <w:fldChar w:fldCharType="separate"/>
      </w:r>
      <w:r w:rsidR="00BC0484">
        <w:rPr>
          <w:noProof/>
        </w:rPr>
        <w:t>5</w:t>
      </w:r>
      <w:r>
        <w:rPr>
          <w:noProof/>
        </w:rPr>
        <w:fldChar w:fldCharType="end"/>
      </w:r>
    </w:p>
    <w:p w14:paraId="1F4E8C33" w14:textId="4B00B8E1" w:rsidR="008C1831" w:rsidRDefault="008C1831">
      <w:pPr>
        <w:pStyle w:val="Obsah2"/>
        <w:rPr>
          <w:rFonts w:asciiTheme="minorHAnsi" w:eastAsiaTheme="minorEastAsia" w:hAnsiTheme="minorHAnsi" w:cstheme="minorBidi"/>
          <w:noProof/>
          <w:szCs w:val="22"/>
          <w:lang w:eastAsia="sk-SK"/>
        </w:rPr>
      </w:pPr>
      <w:r>
        <w:rPr>
          <w:noProof/>
        </w:rPr>
        <w:t xml:space="preserve">1.2. </w:t>
      </w:r>
      <w:r>
        <w:rPr>
          <w:rFonts w:asciiTheme="minorHAnsi" w:eastAsiaTheme="minorEastAsia" w:hAnsiTheme="minorHAnsi" w:cstheme="minorBidi"/>
          <w:noProof/>
          <w:szCs w:val="22"/>
          <w:lang w:eastAsia="sk-SK"/>
        </w:rPr>
        <w:tab/>
      </w:r>
      <w:r>
        <w:rPr>
          <w:noProof/>
        </w:rPr>
        <w:t>Saldo verejnej správy</w:t>
      </w:r>
      <w:r>
        <w:rPr>
          <w:noProof/>
        </w:rPr>
        <w:tab/>
      </w:r>
      <w:r>
        <w:rPr>
          <w:noProof/>
        </w:rPr>
        <w:fldChar w:fldCharType="begin"/>
      </w:r>
      <w:r>
        <w:rPr>
          <w:noProof/>
        </w:rPr>
        <w:instrText xml:space="preserve"> PAGEREF _Toc148704464 \h </w:instrText>
      </w:r>
      <w:r>
        <w:rPr>
          <w:noProof/>
        </w:rPr>
      </w:r>
      <w:r>
        <w:rPr>
          <w:noProof/>
        </w:rPr>
        <w:fldChar w:fldCharType="separate"/>
      </w:r>
      <w:r w:rsidR="00BC0484">
        <w:rPr>
          <w:noProof/>
        </w:rPr>
        <w:t>9</w:t>
      </w:r>
      <w:r>
        <w:rPr>
          <w:noProof/>
        </w:rPr>
        <w:fldChar w:fldCharType="end"/>
      </w:r>
    </w:p>
    <w:p w14:paraId="23654EAE" w14:textId="1818E326" w:rsidR="008C1831" w:rsidRDefault="008C1831">
      <w:pPr>
        <w:pStyle w:val="Obsah2"/>
        <w:rPr>
          <w:rFonts w:asciiTheme="minorHAnsi" w:eastAsiaTheme="minorEastAsia" w:hAnsiTheme="minorHAnsi" w:cstheme="minorBidi"/>
          <w:noProof/>
          <w:szCs w:val="22"/>
          <w:lang w:eastAsia="sk-SK"/>
        </w:rPr>
      </w:pPr>
      <w:r>
        <w:rPr>
          <w:noProof/>
        </w:rPr>
        <w:t>1.3.</w:t>
      </w:r>
      <w:r>
        <w:rPr>
          <w:rFonts w:asciiTheme="minorHAnsi" w:eastAsiaTheme="minorEastAsia" w:hAnsiTheme="minorHAnsi" w:cstheme="minorBidi"/>
          <w:noProof/>
          <w:szCs w:val="22"/>
          <w:lang w:eastAsia="sk-SK"/>
        </w:rPr>
        <w:tab/>
      </w:r>
      <w:r>
        <w:rPr>
          <w:noProof/>
        </w:rPr>
        <w:t>Dlh verejnej správy</w:t>
      </w:r>
      <w:r>
        <w:rPr>
          <w:noProof/>
        </w:rPr>
        <w:tab/>
      </w:r>
      <w:r>
        <w:rPr>
          <w:noProof/>
        </w:rPr>
        <w:fldChar w:fldCharType="begin"/>
      </w:r>
      <w:r>
        <w:rPr>
          <w:noProof/>
        </w:rPr>
        <w:instrText xml:space="preserve"> PAGEREF _Toc148704465 \h </w:instrText>
      </w:r>
      <w:r>
        <w:rPr>
          <w:noProof/>
        </w:rPr>
      </w:r>
      <w:r>
        <w:rPr>
          <w:noProof/>
        </w:rPr>
        <w:fldChar w:fldCharType="separate"/>
      </w:r>
      <w:r w:rsidR="00BC0484">
        <w:rPr>
          <w:noProof/>
        </w:rPr>
        <w:t>23</w:t>
      </w:r>
      <w:r>
        <w:rPr>
          <w:noProof/>
        </w:rPr>
        <w:fldChar w:fldCharType="end"/>
      </w:r>
    </w:p>
    <w:p w14:paraId="00882E00" w14:textId="53670D84" w:rsidR="008C1831" w:rsidRDefault="008C1831">
      <w:pPr>
        <w:pStyle w:val="Obsah2"/>
        <w:rPr>
          <w:rFonts w:asciiTheme="minorHAnsi" w:eastAsiaTheme="minorEastAsia" w:hAnsiTheme="minorHAnsi" w:cstheme="minorBidi"/>
          <w:noProof/>
          <w:szCs w:val="22"/>
          <w:lang w:eastAsia="sk-SK"/>
        </w:rPr>
      </w:pPr>
      <w:r>
        <w:rPr>
          <w:noProof/>
        </w:rPr>
        <w:t>1.4.</w:t>
      </w:r>
      <w:r>
        <w:rPr>
          <w:rFonts w:asciiTheme="minorHAnsi" w:eastAsiaTheme="minorEastAsia" w:hAnsiTheme="minorHAnsi" w:cstheme="minorBidi"/>
          <w:noProof/>
          <w:szCs w:val="22"/>
          <w:lang w:eastAsia="sk-SK"/>
        </w:rPr>
        <w:tab/>
      </w:r>
      <w:r>
        <w:rPr>
          <w:noProof/>
        </w:rPr>
        <w:t>Čistý dlh verejnej správy</w:t>
      </w:r>
      <w:r>
        <w:rPr>
          <w:noProof/>
        </w:rPr>
        <w:tab/>
      </w:r>
      <w:r>
        <w:rPr>
          <w:noProof/>
        </w:rPr>
        <w:fldChar w:fldCharType="begin"/>
      </w:r>
      <w:r>
        <w:rPr>
          <w:noProof/>
        </w:rPr>
        <w:instrText xml:space="preserve"> PAGEREF _Toc148704466 \h </w:instrText>
      </w:r>
      <w:r>
        <w:rPr>
          <w:noProof/>
        </w:rPr>
      </w:r>
      <w:r>
        <w:rPr>
          <w:noProof/>
        </w:rPr>
        <w:fldChar w:fldCharType="separate"/>
      </w:r>
      <w:r w:rsidR="00BC0484">
        <w:rPr>
          <w:noProof/>
        </w:rPr>
        <w:t>26</w:t>
      </w:r>
      <w:r>
        <w:rPr>
          <w:noProof/>
        </w:rPr>
        <w:fldChar w:fldCharType="end"/>
      </w:r>
    </w:p>
    <w:p w14:paraId="03595FBD" w14:textId="158A0016" w:rsidR="008C1831" w:rsidRDefault="008C1831">
      <w:pPr>
        <w:pStyle w:val="Obsah2"/>
        <w:rPr>
          <w:rFonts w:asciiTheme="minorHAnsi" w:eastAsiaTheme="minorEastAsia" w:hAnsiTheme="minorHAnsi" w:cstheme="minorBidi"/>
          <w:noProof/>
          <w:szCs w:val="22"/>
          <w:lang w:eastAsia="sk-SK"/>
        </w:rPr>
      </w:pPr>
      <w:r w:rsidRPr="00E919D6">
        <w:rPr>
          <w:noProof/>
        </w:rPr>
        <w:t>1.5.</w:t>
      </w:r>
      <w:r w:rsidRPr="00E919D6">
        <w:rPr>
          <w:rFonts w:asciiTheme="minorHAnsi" w:eastAsiaTheme="minorEastAsia" w:hAnsiTheme="minorHAnsi" w:cstheme="minorBidi"/>
          <w:noProof/>
          <w:szCs w:val="22"/>
          <w:lang w:eastAsia="sk-SK"/>
        </w:rPr>
        <w:tab/>
      </w:r>
      <w:r w:rsidRPr="00E919D6">
        <w:rPr>
          <w:noProof/>
        </w:rPr>
        <w:t>Porovnanie salda a dlhu verejnej správy v rámci Európskej únie</w:t>
      </w:r>
      <w:r>
        <w:rPr>
          <w:noProof/>
        </w:rPr>
        <w:tab/>
      </w:r>
      <w:r>
        <w:rPr>
          <w:noProof/>
        </w:rPr>
        <w:fldChar w:fldCharType="begin"/>
      </w:r>
      <w:r>
        <w:rPr>
          <w:noProof/>
        </w:rPr>
        <w:instrText xml:space="preserve"> PAGEREF _Toc148704467 \h </w:instrText>
      </w:r>
      <w:r>
        <w:rPr>
          <w:noProof/>
        </w:rPr>
      </w:r>
      <w:r>
        <w:rPr>
          <w:noProof/>
        </w:rPr>
        <w:fldChar w:fldCharType="separate"/>
      </w:r>
      <w:r w:rsidR="00BC0484">
        <w:rPr>
          <w:noProof/>
        </w:rPr>
        <w:t>27</w:t>
      </w:r>
      <w:r>
        <w:rPr>
          <w:noProof/>
        </w:rPr>
        <w:fldChar w:fldCharType="end"/>
      </w:r>
    </w:p>
    <w:p w14:paraId="16BA8FCF" w14:textId="1EFF43C8" w:rsidR="008C1831" w:rsidRDefault="008C1831">
      <w:pPr>
        <w:pStyle w:val="Obsah1"/>
        <w:rPr>
          <w:rFonts w:asciiTheme="minorHAnsi" w:eastAsiaTheme="minorEastAsia" w:hAnsiTheme="minorHAnsi" w:cstheme="minorBidi"/>
          <w:lang w:eastAsia="sk-SK"/>
        </w:rPr>
      </w:pPr>
      <w:r>
        <w:t>2.</w:t>
      </w:r>
      <w:r>
        <w:rPr>
          <w:rFonts w:asciiTheme="minorHAnsi" w:eastAsiaTheme="minorEastAsia" w:hAnsiTheme="minorHAnsi" w:cstheme="minorBidi"/>
          <w:lang w:eastAsia="sk-SK"/>
        </w:rPr>
        <w:tab/>
      </w:r>
      <w:r>
        <w:t>Hospodárenie verejnej správy – požiadavky ústavného zákona o rozpočtovej zodpovednosti</w:t>
      </w:r>
      <w:r>
        <w:tab/>
      </w:r>
      <w:r>
        <w:fldChar w:fldCharType="begin"/>
      </w:r>
      <w:r>
        <w:instrText xml:space="preserve"> PAGEREF _Toc148704468 \h </w:instrText>
      </w:r>
      <w:r>
        <w:fldChar w:fldCharType="separate"/>
      </w:r>
      <w:r w:rsidR="00BC0484">
        <w:t>29</w:t>
      </w:r>
      <w:r>
        <w:fldChar w:fldCharType="end"/>
      </w:r>
    </w:p>
    <w:p w14:paraId="0E2BB560" w14:textId="1730BEB3" w:rsidR="008C1831" w:rsidRDefault="008C1831">
      <w:pPr>
        <w:pStyle w:val="Obsah2"/>
        <w:rPr>
          <w:rFonts w:asciiTheme="minorHAnsi" w:eastAsiaTheme="minorEastAsia" w:hAnsiTheme="minorHAnsi" w:cstheme="minorBidi"/>
          <w:noProof/>
          <w:szCs w:val="22"/>
          <w:lang w:eastAsia="sk-SK"/>
        </w:rPr>
      </w:pPr>
      <w:r>
        <w:rPr>
          <w:noProof/>
        </w:rPr>
        <w:t>2.1.</w:t>
      </w:r>
      <w:r>
        <w:rPr>
          <w:rFonts w:asciiTheme="minorHAnsi" w:eastAsiaTheme="minorEastAsia" w:hAnsiTheme="minorHAnsi" w:cstheme="minorBidi"/>
          <w:noProof/>
          <w:szCs w:val="22"/>
          <w:lang w:eastAsia="sk-SK"/>
        </w:rPr>
        <w:tab/>
      </w:r>
      <w:r>
        <w:rPr>
          <w:noProof/>
        </w:rPr>
        <w:t>Bilancia rozpočtu verejnej správy</w:t>
      </w:r>
      <w:r>
        <w:rPr>
          <w:noProof/>
        </w:rPr>
        <w:tab/>
      </w:r>
      <w:r>
        <w:rPr>
          <w:noProof/>
        </w:rPr>
        <w:fldChar w:fldCharType="begin"/>
      </w:r>
      <w:r>
        <w:rPr>
          <w:noProof/>
        </w:rPr>
        <w:instrText xml:space="preserve"> PAGEREF _Toc148704469 \h </w:instrText>
      </w:r>
      <w:r>
        <w:rPr>
          <w:noProof/>
        </w:rPr>
      </w:r>
      <w:r>
        <w:rPr>
          <w:noProof/>
        </w:rPr>
        <w:fldChar w:fldCharType="separate"/>
      </w:r>
      <w:r w:rsidR="00BC0484">
        <w:rPr>
          <w:noProof/>
        </w:rPr>
        <w:t>29</w:t>
      </w:r>
      <w:r>
        <w:rPr>
          <w:noProof/>
        </w:rPr>
        <w:fldChar w:fldCharType="end"/>
      </w:r>
    </w:p>
    <w:p w14:paraId="3DD9EEC9" w14:textId="4A3B7EEA" w:rsidR="008C1831" w:rsidRDefault="008C1831">
      <w:pPr>
        <w:pStyle w:val="Obsah3"/>
        <w:rPr>
          <w:rFonts w:asciiTheme="minorHAnsi" w:eastAsiaTheme="minorEastAsia" w:hAnsiTheme="minorHAnsi" w:cstheme="minorBidi"/>
          <w:noProof/>
          <w:szCs w:val="22"/>
          <w:lang w:eastAsia="sk-SK"/>
        </w:rPr>
      </w:pPr>
      <w:r>
        <w:rPr>
          <w:noProof/>
        </w:rPr>
        <w:t>2.1.1.</w:t>
      </w:r>
      <w:r>
        <w:rPr>
          <w:rFonts w:asciiTheme="minorHAnsi" w:eastAsiaTheme="minorEastAsia" w:hAnsiTheme="minorHAnsi" w:cstheme="minorBidi"/>
          <w:noProof/>
          <w:szCs w:val="22"/>
          <w:lang w:eastAsia="sk-SK"/>
        </w:rPr>
        <w:tab/>
      </w:r>
      <w:r>
        <w:rPr>
          <w:noProof/>
        </w:rPr>
        <w:t>Príjmy verejnej správy</w:t>
      </w:r>
      <w:r>
        <w:rPr>
          <w:noProof/>
        </w:rPr>
        <w:tab/>
      </w:r>
      <w:r>
        <w:rPr>
          <w:noProof/>
        </w:rPr>
        <w:fldChar w:fldCharType="begin"/>
      </w:r>
      <w:r>
        <w:rPr>
          <w:noProof/>
        </w:rPr>
        <w:instrText xml:space="preserve"> PAGEREF _Toc148704470 \h </w:instrText>
      </w:r>
      <w:r>
        <w:rPr>
          <w:noProof/>
        </w:rPr>
      </w:r>
      <w:r>
        <w:rPr>
          <w:noProof/>
        </w:rPr>
        <w:fldChar w:fldCharType="separate"/>
      </w:r>
      <w:r w:rsidR="00BC0484">
        <w:rPr>
          <w:noProof/>
        </w:rPr>
        <w:t>29</w:t>
      </w:r>
      <w:r>
        <w:rPr>
          <w:noProof/>
        </w:rPr>
        <w:fldChar w:fldCharType="end"/>
      </w:r>
    </w:p>
    <w:p w14:paraId="6CAA68EB" w14:textId="4EF087CC" w:rsidR="008C1831" w:rsidRDefault="008C1831">
      <w:pPr>
        <w:pStyle w:val="Obsah3"/>
        <w:rPr>
          <w:rFonts w:asciiTheme="minorHAnsi" w:eastAsiaTheme="minorEastAsia" w:hAnsiTheme="minorHAnsi" w:cstheme="minorBidi"/>
          <w:noProof/>
          <w:szCs w:val="22"/>
          <w:lang w:eastAsia="sk-SK"/>
        </w:rPr>
      </w:pPr>
      <w:r>
        <w:rPr>
          <w:noProof/>
        </w:rPr>
        <w:t xml:space="preserve">2.1.2. </w:t>
      </w:r>
      <w:r>
        <w:rPr>
          <w:rFonts w:asciiTheme="minorHAnsi" w:eastAsiaTheme="minorEastAsia" w:hAnsiTheme="minorHAnsi" w:cstheme="minorBidi"/>
          <w:noProof/>
          <w:szCs w:val="22"/>
          <w:lang w:eastAsia="sk-SK"/>
        </w:rPr>
        <w:tab/>
      </w:r>
      <w:r>
        <w:rPr>
          <w:noProof/>
        </w:rPr>
        <w:t>Výdavky verejnej správy</w:t>
      </w:r>
      <w:r>
        <w:rPr>
          <w:noProof/>
        </w:rPr>
        <w:tab/>
      </w:r>
      <w:r>
        <w:rPr>
          <w:noProof/>
        </w:rPr>
        <w:fldChar w:fldCharType="begin"/>
      </w:r>
      <w:r>
        <w:rPr>
          <w:noProof/>
        </w:rPr>
        <w:instrText xml:space="preserve"> PAGEREF _Toc148704471 \h </w:instrText>
      </w:r>
      <w:r>
        <w:rPr>
          <w:noProof/>
        </w:rPr>
      </w:r>
      <w:r>
        <w:rPr>
          <w:noProof/>
        </w:rPr>
        <w:fldChar w:fldCharType="separate"/>
      </w:r>
      <w:r w:rsidR="00BC0484">
        <w:rPr>
          <w:noProof/>
        </w:rPr>
        <w:t>35</w:t>
      </w:r>
      <w:r>
        <w:rPr>
          <w:noProof/>
        </w:rPr>
        <w:fldChar w:fldCharType="end"/>
      </w:r>
    </w:p>
    <w:p w14:paraId="6087F1DC" w14:textId="33BA15D0" w:rsidR="008C1831" w:rsidRDefault="008C1831">
      <w:pPr>
        <w:pStyle w:val="Obsah2"/>
        <w:rPr>
          <w:rFonts w:asciiTheme="minorHAnsi" w:eastAsiaTheme="minorEastAsia" w:hAnsiTheme="minorHAnsi" w:cstheme="minorBidi"/>
          <w:noProof/>
          <w:szCs w:val="22"/>
          <w:lang w:eastAsia="sk-SK"/>
        </w:rPr>
      </w:pPr>
      <w:r>
        <w:rPr>
          <w:noProof/>
        </w:rPr>
        <w:t>2.2.</w:t>
      </w:r>
      <w:r>
        <w:rPr>
          <w:rFonts w:asciiTheme="minorHAnsi" w:eastAsiaTheme="minorEastAsia" w:hAnsiTheme="minorHAnsi" w:cstheme="minorBidi"/>
          <w:noProof/>
          <w:szCs w:val="22"/>
          <w:lang w:eastAsia="sk-SK"/>
        </w:rPr>
        <w:tab/>
      </w:r>
      <w:r>
        <w:rPr>
          <w:noProof/>
        </w:rPr>
        <w:t>Štrukturálne saldo, cyklická zložka a jednorazové vplyvy</w:t>
      </w:r>
      <w:r>
        <w:rPr>
          <w:noProof/>
        </w:rPr>
        <w:tab/>
      </w:r>
      <w:r>
        <w:rPr>
          <w:noProof/>
        </w:rPr>
        <w:fldChar w:fldCharType="begin"/>
      </w:r>
      <w:r>
        <w:rPr>
          <w:noProof/>
        </w:rPr>
        <w:instrText xml:space="preserve"> PAGEREF _Toc148704472 \h </w:instrText>
      </w:r>
      <w:r>
        <w:rPr>
          <w:noProof/>
        </w:rPr>
      </w:r>
      <w:r>
        <w:rPr>
          <w:noProof/>
        </w:rPr>
        <w:fldChar w:fldCharType="separate"/>
      </w:r>
      <w:r w:rsidR="00BC0484">
        <w:rPr>
          <w:noProof/>
        </w:rPr>
        <w:t>38</w:t>
      </w:r>
      <w:r>
        <w:rPr>
          <w:noProof/>
        </w:rPr>
        <w:fldChar w:fldCharType="end"/>
      </w:r>
    </w:p>
    <w:p w14:paraId="5A5673BD" w14:textId="29E42C94" w:rsidR="008C1831" w:rsidRDefault="008C1831">
      <w:pPr>
        <w:pStyle w:val="Obsah2"/>
        <w:rPr>
          <w:rFonts w:asciiTheme="minorHAnsi" w:eastAsiaTheme="minorEastAsia" w:hAnsiTheme="minorHAnsi" w:cstheme="minorBidi"/>
          <w:noProof/>
          <w:szCs w:val="22"/>
          <w:lang w:eastAsia="sk-SK"/>
        </w:rPr>
      </w:pPr>
      <w:r>
        <w:rPr>
          <w:noProof/>
        </w:rPr>
        <w:t>2.3.</w:t>
      </w:r>
      <w:r>
        <w:rPr>
          <w:rFonts w:asciiTheme="minorHAnsi" w:eastAsiaTheme="minorEastAsia" w:hAnsiTheme="minorHAnsi" w:cstheme="minorBidi"/>
          <w:noProof/>
          <w:szCs w:val="22"/>
          <w:lang w:eastAsia="sk-SK"/>
        </w:rPr>
        <w:tab/>
      </w:r>
      <w:r>
        <w:rPr>
          <w:noProof/>
        </w:rPr>
        <w:t>Vyhodnotenie plnenia cieľov stratégie riadenia štátneho dlhu</w:t>
      </w:r>
      <w:r>
        <w:rPr>
          <w:noProof/>
        </w:rPr>
        <w:tab/>
      </w:r>
      <w:r>
        <w:rPr>
          <w:noProof/>
        </w:rPr>
        <w:fldChar w:fldCharType="begin"/>
      </w:r>
      <w:r>
        <w:rPr>
          <w:noProof/>
        </w:rPr>
        <w:instrText xml:space="preserve"> PAGEREF _Toc148704473 \h </w:instrText>
      </w:r>
      <w:r>
        <w:rPr>
          <w:noProof/>
        </w:rPr>
      </w:r>
      <w:r>
        <w:rPr>
          <w:noProof/>
        </w:rPr>
        <w:fldChar w:fldCharType="separate"/>
      </w:r>
      <w:r w:rsidR="00BC0484">
        <w:rPr>
          <w:noProof/>
        </w:rPr>
        <w:t>39</w:t>
      </w:r>
      <w:r>
        <w:rPr>
          <w:noProof/>
        </w:rPr>
        <w:fldChar w:fldCharType="end"/>
      </w:r>
    </w:p>
    <w:p w14:paraId="41A30C4D" w14:textId="538D8561" w:rsidR="008C1831" w:rsidRDefault="008C1831">
      <w:pPr>
        <w:pStyle w:val="Obsah3"/>
        <w:rPr>
          <w:rFonts w:asciiTheme="minorHAnsi" w:eastAsiaTheme="minorEastAsia" w:hAnsiTheme="minorHAnsi" w:cstheme="minorBidi"/>
          <w:noProof/>
          <w:szCs w:val="22"/>
          <w:lang w:eastAsia="sk-SK"/>
        </w:rPr>
      </w:pPr>
      <w:r>
        <w:rPr>
          <w:noProof/>
        </w:rPr>
        <w:t>2.3.1.</w:t>
      </w:r>
      <w:r>
        <w:rPr>
          <w:rFonts w:asciiTheme="minorHAnsi" w:eastAsiaTheme="minorEastAsia" w:hAnsiTheme="minorHAnsi" w:cstheme="minorBidi"/>
          <w:noProof/>
          <w:szCs w:val="22"/>
          <w:lang w:eastAsia="sk-SK"/>
        </w:rPr>
        <w:tab/>
      </w:r>
      <w:r>
        <w:rPr>
          <w:noProof/>
        </w:rPr>
        <w:t>Vyhodnotenie plnenia cieľov stratégie riadenia štátneho dlhu</w:t>
      </w:r>
      <w:r>
        <w:rPr>
          <w:noProof/>
        </w:rPr>
        <w:tab/>
      </w:r>
      <w:r>
        <w:rPr>
          <w:noProof/>
        </w:rPr>
        <w:fldChar w:fldCharType="begin"/>
      </w:r>
      <w:r>
        <w:rPr>
          <w:noProof/>
        </w:rPr>
        <w:instrText xml:space="preserve"> PAGEREF _Toc148704474 \h </w:instrText>
      </w:r>
      <w:r>
        <w:rPr>
          <w:noProof/>
        </w:rPr>
      </w:r>
      <w:r>
        <w:rPr>
          <w:noProof/>
        </w:rPr>
        <w:fldChar w:fldCharType="separate"/>
      </w:r>
      <w:r w:rsidR="00BC0484">
        <w:rPr>
          <w:noProof/>
        </w:rPr>
        <w:t>40</w:t>
      </w:r>
      <w:r>
        <w:rPr>
          <w:noProof/>
        </w:rPr>
        <w:fldChar w:fldCharType="end"/>
      </w:r>
    </w:p>
    <w:p w14:paraId="271BBC5E" w14:textId="583F0FB1" w:rsidR="008C1831" w:rsidRDefault="008C1831">
      <w:pPr>
        <w:pStyle w:val="Obsah3"/>
        <w:rPr>
          <w:rFonts w:asciiTheme="minorHAnsi" w:eastAsiaTheme="minorEastAsia" w:hAnsiTheme="minorHAnsi" w:cstheme="minorBidi"/>
          <w:noProof/>
          <w:szCs w:val="22"/>
          <w:lang w:eastAsia="sk-SK"/>
        </w:rPr>
      </w:pPr>
      <w:r>
        <w:rPr>
          <w:noProof/>
        </w:rPr>
        <w:t>2.3.2.</w:t>
      </w:r>
      <w:r>
        <w:rPr>
          <w:rFonts w:asciiTheme="minorHAnsi" w:eastAsiaTheme="minorEastAsia" w:hAnsiTheme="minorHAnsi" w:cstheme="minorBidi"/>
          <w:noProof/>
          <w:szCs w:val="22"/>
          <w:lang w:eastAsia="sk-SK"/>
        </w:rPr>
        <w:tab/>
      </w:r>
      <w:r>
        <w:rPr>
          <w:noProof/>
        </w:rPr>
        <w:t>Riadenie štátneho dlhu v roku 2022</w:t>
      </w:r>
      <w:r>
        <w:rPr>
          <w:noProof/>
        </w:rPr>
        <w:tab/>
      </w:r>
      <w:r>
        <w:rPr>
          <w:noProof/>
        </w:rPr>
        <w:fldChar w:fldCharType="begin"/>
      </w:r>
      <w:r>
        <w:rPr>
          <w:noProof/>
        </w:rPr>
        <w:instrText xml:space="preserve"> PAGEREF _Toc148704475 \h </w:instrText>
      </w:r>
      <w:r>
        <w:rPr>
          <w:noProof/>
        </w:rPr>
      </w:r>
      <w:r>
        <w:rPr>
          <w:noProof/>
        </w:rPr>
        <w:fldChar w:fldCharType="separate"/>
      </w:r>
      <w:r w:rsidR="00BC0484">
        <w:rPr>
          <w:noProof/>
        </w:rPr>
        <w:t>41</w:t>
      </w:r>
      <w:r>
        <w:rPr>
          <w:noProof/>
        </w:rPr>
        <w:fldChar w:fldCharType="end"/>
      </w:r>
    </w:p>
    <w:p w14:paraId="6E16262E" w14:textId="59865A21" w:rsidR="008C1831" w:rsidRDefault="008C1831">
      <w:pPr>
        <w:pStyle w:val="Obsah1"/>
        <w:rPr>
          <w:rFonts w:asciiTheme="minorHAnsi" w:eastAsiaTheme="minorEastAsia" w:hAnsiTheme="minorHAnsi" w:cstheme="minorBidi"/>
          <w:lang w:eastAsia="sk-SK"/>
        </w:rPr>
      </w:pPr>
      <w:r w:rsidRPr="003E7EAB">
        <w:t>3. Čisté bohatstvo</w:t>
      </w:r>
      <w:r>
        <w:tab/>
      </w:r>
      <w:r>
        <w:fldChar w:fldCharType="begin"/>
      </w:r>
      <w:r>
        <w:instrText xml:space="preserve"> PAGEREF _Toc148704476 \h </w:instrText>
      </w:r>
      <w:r>
        <w:fldChar w:fldCharType="separate"/>
      </w:r>
      <w:r w:rsidR="00BC0484">
        <w:t>42</w:t>
      </w:r>
      <w:r>
        <w:fldChar w:fldCharType="end"/>
      </w:r>
    </w:p>
    <w:p w14:paraId="62C3B037" w14:textId="359740FB" w:rsidR="008C1831" w:rsidRDefault="008C1831">
      <w:pPr>
        <w:pStyle w:val="Obsah2"/>
        <w:rPr>
          <w:rFonts w:asciiTheme="minorHAnsi" w:eastAsiaTheme="minorEastAsia" w:hAnsiTheme="minorHAnsi" w:cstheme="minorBidi"/>
          <w:noProof/>
          <w:szCs w:val="22"/>
          <w:lang w:eastAsia="sk-SK"/>
        </w:rPr>
      </w:pPr>
      <w:r>
        <w:rPr>
          <w:noProof/>
        </w:rPr>
        <w:t>3.1.</w:t>
      </w:r>
      <w:r>
        <w:rPr>
          <w:rFonts w:asciiTheme="minorHAnsi" w:eastAsiaTheme="minorEastAsia" w:hAnsiTheme="minorHAnsi" w:cstheme="minorBidi"/>
          <w:noProof/>
          <w:szCs w:val="22"/>
          <w:lang w:eastAsia="sk-SK"/>
        </w:rPr>
        <w:tab/>
      </w:r>
      <w:r>
        <w:rPr>
          <w:noProof/>
        </w:rPr>
        <w:t>Koncept čistého bohatstva</w:t>
      </w:r>
      <w:r>
        <w:rPr>
          <w:noProof/>
        </w:rPr>
        <w:tab/>
      </w:r>
      <w:r>
        <w:rPr>
          <w:noProof/>
        </w:rPr>
        <w:fldChar w:fldCharType="begin"/>
      </w:r>
      <w:r>
        <w:rPr>
          <w:noProof/>
        </w:rPr>
        <w:instrText xml:space="preserve"> PAGEREF _Toc148704477 \h </w:instrText>
      </w:r>
      <w:r>
        <w:rPr>
          <w:noProof/>
        </w:rPr>
      </w:r>
      <w:r>
        <w:rPr>
          <w:noProof/>
        </w:rPr>
        <w:fldChar w:fldCharType="separate"/>
      </w:r>
      <w:r w:rsidR="00BC0484">
        <w:rPr>
          <w:noProof/>
        </w:rPr>
        <w:t>42</w:t>
      </w:r>
      <w:r>
        <w:rPr>
          <w:noProof/>
        </w:rPr>
        <w:fldChar w:fldCharType="end"/>
      </w:r>
    </w:p>
    <w:p w14:paraId="084C116A" w14:textId="786A2EB6" w:rsidR="008C1831" w:rsidRDefault="008C1831">
      <w:pPr>
        <w:pStyle w:val="Obsah2"/>
        <w:rPr>
          <w:rFonts w:asciiTheme="minorHAnsi" w:eastAsiaTheme="minorEastAsia" w:hAnsiTheme="minorHAnsi" w:cstheme="minorBidi"/>
          <w:noProof/>
          <w:szCs w:val="22"/>
          <w:lang w:eastAsia="sk-SK"/>
        </w:rPr>
      </w:pPr>
      <w:r>
        <w:rPr>
          <w:noProof/>
        </w:rPr>
        <w:t>3.2.</w:t>
      </w:r>
      <w:r>
        <w:rPr>
          <w:rFonts w:asciiTheme="minorHAnsi" w:eastAsiaTheme="minorEastAsia" w:hAnsiTheme="minorHAnsi" w:cstheme="minorBidi"/>
          <w:noProof/>
          <w:szCs w:val="22"/>
          <w:lang w:eastAsia="sk-SK"/>
        </w:rPr>
        <w:tab/>
      </w:r>
      <w:r>
        <w:rPr>
          <w:noProof/>
        </w:rPr>
        <w:t>Odhad čistého bohatstva za rok 2022</w:t>
      </w:r>
      <w:r>
        <w:rPr>
          <w:noProof/>
        </w:rPr>
        <w:tab/>
      </w:r>
      <w:r>
        <w:rPr>
          <w:noProof/>
        </w:rPr>
        <w:fldChar w:fldCharType="begin"/>
      </w:r>
      <w:r>
        <w:rPr>
          <w:noProof/>
        </w:rPr>
        <w:instrText xml:space="preserve"> PAGEREF _Toc148704478 \h </w:instrText>
      </w:r>
      <w:r>
        <w:rPr>
          <w:noProof/>
        </w:rPr>
      </w:r>
      <w:r>
        <w:rPr>
          <w:noProof/>
        </w:rPr>
        <w:fldChar w:fldCharType="separate"/>
      </w:r>
      <w:r w:rsidR="00BC0484">
        <w:rPr>
          <w:noProof/>
        </w:rPr>
        <w:t>42</w:t>
      </w:r>
      <w:r>
        <w:rPr>
          <w:noProof/>
        </w:rPr>
        <w:fldChar w:fldCharType="end"/>
      </w:r>
    </w:p>
    <w:p w14:paraId="6944C468" w14:textId="31DD8548" w:rsidR="008C1831" w:rsidRDefault="008C1831">
      <w:pPr>
        <w:pStyle w:val="Obsah3"/>
        <w:rPr>
          <w:rFonts w:asciiTheme="minorHAnsi" w:eastAsiaTheme="minorEastAsia" w:hAnsiTheme="minorHAnsi" w:cstheme="minorBidi"/>
          <w:noProof/>
          <w:szCs w:val="22"/>
          <w:lang w:eastAsia="sk-SK"/>
        </w:rPr>
      </w:pPr>
      <w:r>
        <w:rPr>
          <w:noProof/>
        </w:rPr>
        <w:t>3.2.1.</w:t>
      </w:r>
      <w:r>
        <w:rPr>
          <w:rFonts w:asciiTheme="minorHAnsi" w:eastAsiaTheme="minorEastAsia" w:hAnsiTheme="minorHAnsi" w:cstheme="minorBidi"/>
          <w:noProof/>
          <w:szCs w:val="22"/>
          <w:lang w:eastAsia="sk-SK"/>
        </w:rPr>
        <w:tab/>
      </w:r>
      <w:r>
        <w:rPr>
          <w:noProof/>
        </w:rPr>
        <w:t>Vlastné imanie súhrnného celku verejnej správy</w:t>
      </w:r>
      <w:r>
        <w:rPr>
          <w:noProof/>
        </w:rPr>
        <w:tab/>
      </w:r>
      <w:r>
        <w:rPr>
          <w:noProof/>
        </w:rPr>
        <w:fldChar w:fldCharType="begin"/>
      </w:r>
      <w:r>
        <w:rPr>
          <w:noProof/>
        </w:rPr>
        <w:instrText xml:space="preserve"> PAGEREF _Toc148704479 \h </w:instrText>
      </w:r>
      <w:r>
        <w:rPr>
          <w:noProof/>
        </w:rPr>
      </w:r>
      <w:r>
        <w:rPr>
          <w:noProof/>
        </w:rPr>
        <w:fldChar w:fldCharType="separate"/>
      </w:r>
      <w:r w:rsidR="00BC0484">
        <w:rPr>
          <w:noProof/>
        </w:rPr>
        <w:t>43</w:t>
      </w:r>
      <w:r>
        <w:rPr>
          <w:noProof/>
        </w:rPr>
        <w:fldChar w:fldCharType="end"/>
      </w:r>
    </w:p>
    <w:p w14:paraId="0E2FACC4" w14:textId="61649474" w:rsidR="008C1831" w:rsidRDefault="008C1831">
      <w:pPr>
        <w:pStyle w:val="Obsah3"/>
        <w:rPr>
          <w:rFonts w:asciiTheme="minorHAnsi" w:eastAsiaTheme="minorEastAsia" w:hAnsiTheme="minorHAnsi" w:cstheme="minorBidi"/>
          <w:noProof/>
          <w:szCs w:val="22"/>
          <w:lang w:eastAsia="sk-SK"/>
        </w:rPr>
      </w:pPr>
      <w:r>
        <w:rPr>
          <w:noProof/>
        </w:rPr>
        <w:t>3.2.2.</w:t>
      </w:r>
      <w:r>
        <w:rPr>
          <w:rFonts w:asciiTheme="minorHAnsi" w:eastAsiaTheme="minorEastAsia" w:hAnsiTheme="minorHAnsi" w:cstheme="minorBidi"/>
          <w:noProof/>
          <w:szCs w:val="22"/>
          <w:lang w:eastAsia="sk-SK"/>
        </w:rPr>
        <w:tab/>
      </w:r>
      <w:r>
        <w:rPr>
          <w:noProof/>
        </w:rPr>
        <w:t>Vlastné imanie podnikov štátnej správy</w:t>
      </w:r>
      <w:r>
        <w:rPr>
          <w:noProof/>
        </w:rPr>
        <w:tab/>
      </w:r>
      <w:r>
        <w:rPr>
          <w:noProof/>
        </w:rPr>
        <w:fldChar w:fldCharType="begin"/>
      </w:r>
      <w:r>
        <w:rPr>
          <w:noProof/>
        </w:rPr>
        <w:instrText xml:space="preserve"> PAGEREF _Toc148704480 \h </w:instrText>
      </w:r>
      <w:r>
        <w:rPr>
          <w:noProof/>
        </w:rPr>
      </w:r>
      <w:r>
        <w:rPr>
          <w:noProof/>
        </w:rPr>
        <w:fldChar w:fldCharType="separate"/>
      </w:r>
      <w:r w:rsidR="00BC0484">
        <w:rPr>
          <w:noProof/>
        </w:rPr>
        <w:t>44</w:t>
      </w:r>
      <w:r>
        <w:rPr>
          <w:noProof/>
        </w:rPr>
        <w:fldChar w:fldCharType="end"/>
      </w:r>
    </w:p>
    <w:p w14:paraId="56038CA8" w14:textId="1B847FCF" w:rsidR="008C1831" w:rsidRDefault="008C1831">
      <w:pPr>
        <w:pStyle w:val="Obsah3"/>
        <w:rPr>
          <w:rFonts w:asciiTheme="minorHAnsi" w:eastAsiaTheme="minorEastAsia" w:hAnsiTheme="minorHAnsi" w:cstheme="minorBidi"/>
          <w:noProof/>
          <w:szCs w:val="22"/>
          <w:lang w:eastAsia="sk-SK"/>
        </w:rPr>
      </w:pPr>
      <w:r>
        <w:rPr>
          <w:noProof/>
        </w:rPr>
        <w:t>3.2.3</w:t>
      </w:r>
      <w:r>
        <w:rPr>
          <w:rFonts w:asciiTheme="minorHAnsi" w:eastAsiaTheme="minorEastAsia" w:hAnsiTheme="minorHAnsi" w:cstheme="minorBidi"/>
          <w:noProof/>
          <w:szCs w:val="22"/>
          <w:lang w:eastAsia="sk-SK"/>
        </w:rPr>
        <w:tab/>
      </w:r>
      <w:r w:rsidRPr="003E7EAB">
        <w:rPr>
          <w:rFonts w:eastAsiaTheme="minorHAnsi"/>
          <w:noProof/>
        </w:rPr>
        <w:t>Vlastné imanie Národnej banky Slovenska</w:t>
      </w:r>
      <w:r>
        <w:rPr>
          <w:noProof/>
        </w:rPr>
        <w:tab/>
      </w:r>
      <w:r>
        <w:rPr>
          <w:noProof/>
        </w:rPr>
        <w:fldChar w:fldCharType="begin"/>
      </w:r>
      <w:r>
        <w:rPr>
          <w:noProof/>
        </w:rPr>
        <w:instrText xml:space="preserve"> PAGEREF _Toc148704481 \h </w:instrText>
      </w:r>
      <w:r>
        <w:rPr>
          <w:noProof/>
        </w:rPr>
      </w:r>
      <w:r>
        <w:rPr>
          <w:noProof/>
        </w:rPr>
        <w:fldChar w:fldCharType="separate"/>
      </w:r>
      <w:r w:rsidR="00BC0484">
        <w:rPr>
          <w:noProof/>
        </w:rPr>
        <w:t>55</w:t>
      </w:r>
      <w:r>
        <w:rPr>
          <w:noProof/>
        </w:rPr>
        <w:fldChar w:fldCharType="end"/>
      </w:r>
    </w:p>
    <w:p w14:paraId="6137DE5F" w14:textId="278791FA" w:rsidR="008C1831" w:rsidRDefault="008C1831">
      <w:pPr>
        <w:pStyle w:val="Obsah3"/>
        <w:rPr>
          <w:rFonts w:asciiTheme="minorHAnsi" w:eastAsiaTheme="minorEastAsia" w:hAnsiTheme="minorHAnsi" w:cstheme="minorBidi"/>
          <w:noProof/>
          <w:szCs w:val="22"/>
          <w:lang w:eastAsia="sk-SK"/>
        </w:rPr>
      </w:pPr>
      <w:r>
        <w:rPr>
          <w:noProof/>
        </w:rPr>
        <w:t>3.2.4</w:t>
      </w:r>
      <w:r>
        <w:rPr>
          <w:rFonts w:asciiTheme="minorHAnsi" w:eastAsiaTheme="minorEastAsia" w:hAnsiTheme="minorHAnsi" w:cstheme="minorBidi"/>
          <w:noProof/>
          <w:szCs w:val="22"/>
          <w:lang w:eastAsia="sk-SK"/>
        </w:rPr>
        <w:tab/>
      </w:r>
      <w:r>
        <w:rPr>
          <w:noProof/>
        </w:rPr>
        <w:t>Implicitné záväzky</w:t>
      </w:r>
      <w:r>
        <w:rPr>
          <w:noProof/>
        </w:rPr>
        <w:tab/>
      </w:r>
      <w:r>
        <w:rPr>
          <w:noProof/>
        </w:rPr>
        <w:fldChar w:fldCharType="begin"/>
      </w:r>
      <w:r>
        <w:rPr>
          <w:noProof/>
        </w:rPr>
        <w:instrText xml:space="preserve"> PAGEREF _Toc148704482 \h </w:instrText>
      </w:r>
      <w:r>
        <w:rPr>
          <w:noProof/>
        </w:rPr>
      </w:r>
      <w:r>
        <w:rPr>
          <w:noProof/>
        </w:rPr>
        <w:fldChar w:fldCharType="separate"/>
      </w:r>
      <w:r w:rsidR="00BC0484">
        <w:rPr>
          <w:noProof/>
        </w:rPr>
        <w:t>56</w:t>
      </w:r>
      <w:r>
        <w:rPr>
          <w:noProof/>
        </w:rPr>
        <w:fldChar w:fldCharType="end"/>
      </w:r>
    </w:p>
    <w:p w14:paraId="375ADE72" w14:textId="3DA9692B" w:rsidR="008C1831" w:rsidRDefault="008C1831">
      <w:pPr>
        <w:pStyle w:val="Obsah3"/>
        <w:rPr>
          <w:rFonts w:asciiTheme="minorHAnsi" w:eastAsiaTheme="minorEastAsia" w:hAnsiTheme="minorHAnsi" w:cstheme="minorBidi"/>
          <w:noProof/>
          <w:szCs w:val="22"/>
          <w:lang w:eastAsia="sk-SK"/>
        </w:rPr>
      </w:pPr>
      <w:r>
        <w:rPr>
          <w:noProof/>
        </w:rPr>
        <w:t>3.2.5.</w:t>
      </w:r>
      <w:r>
        <w:rPr>
          <w:rFonts w:asciiTheme="minorHAnsi" w:eastAsiaTheme="minorEastAsia" w:hAnsiTheme="minorHAnsi" w:cstheme="minorBidi"/>
          <w:noProof/>
          <w:szCs w:val="22"/>
          <w:lang w:eastAsia="sk-SK"/>
        </w:rPr>
        <w:tab/>
      </w:r>
      <w:r>
        <w:rPr>
          <w:noProof/>
        </w:rPr>
        <w:t>Podmienené záväzky</w:t>
      </w:r>
      <w:r>
        <w:rPr>
          <w:noProof/>
        </w:rPr>
        <w:tab/>
      </w:r>
      <w:r>
        <w:rPr>
          <w:noProof/>
        </w:rPr>
        <w:fldChar w:fldCharType="begin"/>
      </w:r>
      <w:r>
        <w:rPr>
          <w:noProof/>
        </w:rPr>
        <w:instrText xml:space="preserve"> PAGEREF _Toc148704483 \h </w:instrText>
      </w:r>
      <w:r>
        <w:rPr>
          <w:noProof/>
        </w:rPr>
      </w:r>
      <w:r>
        <w:rPr>
          <w:noProof/>
        </w:rPr>
        <w:fldChar w:fldCharType="separate"/>
      </w:r>
      <w:r w:rsidR="00BC0484">
        <w:rPr>
          <w:noProof/>
        </w:rPr>
        <w:t>59</w:t>
      </w:r>
      <w:r>
        <w:rPr>
          <w:noProof/>
        </w:rPr>
        <w:fldChar w:fldCharType="end"/>
      </w:r>
    </w:p>
    <w:p w14:paraId="34147F86" w14:textId="22410B3D" w:rsidR="008C1831" w:rsidRDefault="008C1831">
      <w:pPr>
        <w:pStyle w:val="Obsah3"/>
        <w:rPr>
          <w:rFonts w:asciiTheme="minorHAnsi" w:eastAsiaTheme="minorEastAsia" w:hAnsiTheme="minorHAnsi" w:cstheme="minorBidi"/>
          <w:noProof/>
          <w:szCs w:val="22"/>
          <w:lang w:eastAsia="sk-SK"/>
        </w:rPr>
      </w:pPr>
      <w:r>
        <w:rPr>
          <w:noProof/>
        </w:rPr>
        <w:t>3.2.6.</w:t>
      </w:r>
      <w:r>
        <w:rPr>
          <w:rFonts w:asciiTheme="minorHAnsi" w:eastAsiaTheme="minorEastAsia" w:hAnsiTheme="minorHAnsi" w:cstheme="minorBidi"/>
          <w:noProof/>
          <w:szCs w:val="22"/>
          <w:lang w:eastAsia="sk-SK"/>
        </w:rPr>
        <w:tab/>
      </w:r>
      <w:r>
        <w:rPr>
          <w:noProof/>
        </w:rPr>
        <w:t>Iné aktíva ako súčasť čistého bohatstva</w:t>
      </w:r>
      <w:r>
        <w:rPr>
          <w:noProof/>
        </w:rPr>
        <w:tab/>
      </w:r>
      <w:r>
        <w:rPr>
          <w:noProof/>
        </w:rPr>
        <w:fldChar w:fldCharType="begin"/>
      </w:r>
      <w:r>
        <w:rPr>
          <w:noProof/>
        </w:rPr>
        <w:instrText xml:space="preserve"> PAGEREF _Toc148704484 \h </w:instrText>
      </w:r>
      <w:r>
        <w:rPr>
          <w:noProof/>
        </w:rPr>
      </w:r>
      <w:r>
        <w:rPr>
          <w:noProof/>
        </w:rPr>
        <w:fldChar w:fldCharType="separate"/>
      </w:r>
      <w:r w:rsidR="00BC0484">
        <w:rPr>
          <w:noProof/>
        </w:rPr>
        <w:t>65</w:t>
      </w:r>
      <w:r>
        <w:rPr>
          <w:noProof/>
        </w:rPr>
        <w:fldChar w:fldCharType="end"/>
      </w:r>
    </w:p>
    <w:p w14:paraId="116D15CB" w14:textId="528A7638" w:rsidR="008C1831" w:rsidRDefault="008C1831">
      <w:pPr>
        <w:pStyle w:val="Obsah1"/>
        <w:rPr>
          <w:rFonts w:asciiTheme="minorHAnsi" w:eastAsiaTheme="minorEastAsia" w:hAnsiTheme="minorHAnsi" w:cstheme="minorBidi"/>
          <w:lang w:eastAsia="sk-SK"/>
        </w:rPr>
      </w:pPr>
      <w:r>
        <w:t>Zoznam skratiek</w:t>
      </w:r>
      <w:r>
        <w:tab/>
      </w:r>
      <w:r>
        <w:fldChar w:fldCharType="begin"/>
      </w:r>
      <w:r>
        <w:instrText xml:space="preserve"> PAGEREF _Toc148704485 \h </w:instrText>
      </w:r>
      <w:r>
        <w:fldChar w:fldCharType="separate"/>
      </w:r>
      <w:r w:rsidR="00BC0484">
        <w:t>68</w:t>
      </w:r>
      <w:r>
        <w:fldChar w:fldCharType="end"/>
      </w:r>
    </w:p>
    <w:p w14:paraId="20E9C59E" w14:textId="2A13716A" w:rsidR="008C1831" w:rsidRDefault="008C1831">
      <w:pPr>
        <w:pStyle w:val="Obsah1"/>
        <w:rPr>
          <w:rFonts w:asciiTheme="minorHAnsi" w:eastAsiaTheme="minorEastAsia" w:hAnsiTheme="minorHAnsi" w:cstheme="minorBidi"/>
          <w:lang w:eastAsia="sk-SK"/>
        </w:rPr>
      </w:pPr>
      <w:r>
        <w:t>Slovník odborných pojmov</w:t>
      </w:r>
      <w:r>
        <w:tab/>
      </w:r>
      <w:r>
        <w:fldChar w:fldCharType="begin"/>
      </w:r>
      <w:r>
        <w:instrText xml:space="preserve"> PAGEREF _Toc148704486 \h </w:instrText>
      </w:r>
      <w:r>
        <w:fldChar w:fldCharType="separate"/>
      </w:r>
      <w:r w:rsidR="00BC0484">
        <w:t>69</w:t>
      </w:r>
      <w:r>
        <w:fldChar w:fldCharType="end"/>
      </w:r>
    </w:p>
    <w:p w14:paraId="4250B670" w14:textId="0492411C" w:rsidR="005A1C55" w:rsidRPr="00EE151F" w:rsidRDefault="00F74AB3" w:rsidP="0009732B">
      <w:pPr>
        <w:spacing w:after="0" w:line="336" w:lineRule="auto"/>
        <w:rPr>
          <w:szCs w:val="22"/>
          <w:highlight w:val="yellow"/>
        </w:rPr>
      </w:pPr>
      <w:r w:rsidRPr="00EE151F">
        <w:rPr>
          <w:szCs w:val="22"/>
          <w:highlight w:val="yellow"/>
        </w:rPr>
        <w:fldChar w:fldCharType="end"/>
      </w:r>
    </w:p>
    <w:p w14:paraId="6A20C968" w14:textId="06DB9239" w:rsidR="00872FE7" w:rsidRPr="00866477" w:rsidRDefault="00872FE7" w:rsidP="0009732B">
      <w:pPr>
        <w:spacing w:after="0" w:line="336" w:lineRule="auto"/>
        <w:rPr>
          <w:szCs w:val="22"/>
        </w:rPr>
      </w:pPr>
      <w:r w:rsidRPr="00866477">
        <w:rPr>
          <w:szCs w:val="22"/>
        </w:rPr>
        <w:t>Prílohy:</w:t>
      </w:r>
    </w:p>
    <w:p w14:paraId="2D73C39A" w14:textId="77777777" w:rsidR="0009732B" w:rsidRPr="00866477" w:rsidRDefault="0009732B" w:rsidP="0009732B">
      <w:pPr>
        <w:spacing w:after="0" w:line="336" w:lineRule="auto"/>
        <w:rPr>
          <w:szCs w:val="22"/>
        </w:rPr>
      </w:pPr>
      <w:r w:rsidRPr="00866477">
        <w:rPr>
          <w:szCs w:val="22"/>
        </w:rPr>
        <w:t>Príloha č. 1 Prehľad hospodá</w:t>
      </w:r>
      <w:r w:rsidR="00706FC1" w:rsidRPr="00866477">
        <w:rPr>
          <w:szCs w:val="22"/>
        </w:rPr>
        <w:t>renia podnikov štátnej správy</w:t>
      </w:r>
    </w:p>
    <w:p w14:paraId="4D23A769" w14:textId="504A2FD4" w:rsidR="00651A0E" w:rsidRPr="00866477" w:rsidRDefault="0009732B" w:rsidP="00651A0E">
      <w:pPr>
        <w:spacing w:after="0" w:line="336" w:lineRule="auto"/>
        <w:rPr>
          <w:szCs w:val="22"/>
        </w:rPr>
      </w:pPr>
      <w:r w:rsidRPr="00866477">
        <w:rPr>
          <w:szCs w:val="22"/>
        </w:rPr>
        <w:t xml:space="preserve">Príloha č. 2 </w:t>
      </w:r>
      <w:r w:rsidR="00DA243F" w:rsidRPr="00866477">
        <w:rPr>
          <w:szCs w:val="22"/>
        </w:rPr>
        <w:t>Vlastné imanie podnikov štátnej správy</w:t>
      </w:r>
    </w:p>
    <w:p w14:paraId="6D099216" w14:textId="78FA4940" w:rsidR="001960E5" w:rsidRDefault="001960E5" w:rsidP="00651A0E">
      <w:pPr>
        <w:spacing w:after="0" w:line="336" w:lineRule="auto"/>
        <w:rPr>
          <w:szCs w:val="22"/>
        </w:rPr>
      </w:pPr>
      <w:r w:rsidRPr="00866477">
        <w:rPr>
          <w:szCs w:val="22"/>
        </w:rPr>
        <w:t>Príloha č. 3 Súhrnná účtovná závierka verejnej správy SR za rok 20</w:t>
      </w:r>
      <w:r w:rsidR="0068099F" w:rsidRPr="00866477">
        <w:rPr>
          <w:szCs w:val="22"/>
        </w:rPr>
        <w:t>2</w:t>
      </w:r>
      <w:r w:rsidR="000720E8">
        <w:rPr>
          <w:szCs w:val="22"/>
        </w:rPr>
        <w:t>2</w:t>
      </w:r>
    </w:p>
    <w:p w14:paraId="6BDA5762" w14:textId="77777777" w:rsidR="00651A0E" w:rsidRPr="00EE151F" w:rsidRDefault="00651A0E">
      <w:pPr>
        <w:rPr>
          <w:color w:val="FF0000"/>
          <w:szCs w:val="22"/>
          <w:highlight w:val="yellow"/>
        </w:rPr>
      </w:pPr>
      <w:r w:rsidRPr="00EE151F">
        <w:rPr>
          <w:color w:val="FF0000"/>
          <w:szCs w:val="22"/>
          <w:highlight w:val="yellow"/>
        </w:rPr>
        <w:br w:type="page"/>
      </w:r>
    </w:p>
    <w:p w14:paraId="3EE12ECB" w14:textId="77777777" w:rsidR="00183FF7" w:rsidRPr="00ED284C" w:rsidRDefault="00183FF7" w:rsidP="00183FF7">
      <w:pPr>
        <w:pStyle w:val="Nadpis1"/>
        <w:numPr>
          <w:ilvl w:val="0"/>
          <w:numId w:val="0"/>
        </w:numPr>
        <w:spacing w:after="120" w:line="336" w:lineRule="auto"/>
      </w:pPr>
      <w:bookmarkStart w:id="2" w:name="_Toc399324355"/>
      <w:bookmarkStart w:id="3" w:name="_Toc401920004"/>
      <w:bookmarkStart w:id="4" w:name="_Toc465255006"/>
      <w:bookmarkStart w:id="5" w:name="_Toc495990479"/>
      <w:bookmarkStart w:id="6" w:name="_Toc148704460"/>
      <w:bookmarkStart w:id="7" w:name="_Toc399324356"/>
      <w:bookmarkStart w:id="8" w:name="_Toc401920005"/>
      <w:bookmarkEnd w:id="0"/>
      <w:bookmarkEnd w:id="1"/>
      <w:r w:rsidRPr="00ED284C">
        <w:lastRenderedPageBreak/>
        <w:t>Úvod</w:t>
      </w:r>
      <w:bookmarkEnd w:id="2"/>
      <w:bookmarkEnd w:id="3"/>
      <w:bookmarkEnd w:id="4"/>
      <w:bookmarkEnd w:id="5"/>
      <w:bookmarkEnd w:id="6"/>
    </w:p>
    <w:p w14:paraId="272AF39F" w14:textId="0D196585" w:rsidR="00860537" w:rsidRDefault="00860537" w:rsidP="00860537">
      <w:pPr>
        <w:spacing w:after="120" w:line="240" w:lineRule="auto"/>
        <w:jc w:val="both"/>
        <w:rPr>
          <w:lang w:eastAsia="cs-CZ"/>
        </w:rPr>
      </w:pPr>
      <w:r w:rsidRPr="00953A12">
        <w:rPr>
          <w:b/>
          <w:color w:val="4F81BD" w:themeColor="accent1"/>
          <w:lang w:eastAsia="cs-CZ"/>
        </w:rPr>
        <w:t>Súhrnná výročná správa Slovenskej republiky</w:t>
      </w:r>
      <w:r w:rsidRPr="00953A12">
        <w:rPr>
          <w:b/>
          <w:lang w:eastAsia="cs-CZ"/>
        </w:rPr>
        <w:t xml:space="preserve"> </w:t>
      </w:r>
      <w:r w:rsidRPr="008C23EA">
        <w:rPr>
          <w:lang w:eastAsia="cs-CZ"/>
        </w:rPr>
        <w:t>sum</w:t>
      </w:r>
      <w:r>
        <w:rPr>
          <w:lang w:eastAsia="cs-CZ"/>
        </w:rPr>
        <w:t>a</w:t>
      </w:r>
      <w:r w:rsidRPr="008C23EA">
        <w:rPr>
          <w:lang w:eastAsia="cs-CZ"/>
        </w:rPr>
        <w:t>rizuje</w:t>
      </w:r>
      <w:r>
        <w:rPr>
          <w:lang w:eastAsia="cs-CZ"/>
        </w:rPr>
        <w:t xml:space="preserve"> celkové hospodárenie s verejnými financiami krajiny za predchádzajúci rozpočtový rok. Pravidelnú publikáciu od roku 2012 </w:t>
      </w:r>
      <w:r w:rsidRPr="00953A12">
        <w:rPr>
          <w:lang w:eastAsia="cs-CZ"/>
        </w:rPr>
        <w:t xml:space="preserve">verejnosti prináša Ministerstvo financií SR </w:t>
      </w:r>
      <w:r>
        <w:rPr>
          <w:lang w:eastAsia="cs-CZ"/>
        </w:rPr>
        <w:t>a spolu s ďalšími strategickými dokumentami dotvára komplexným spôsobom obraz o prerozdeľovaní verejných prostriedkov a nakladaním s bohatstvom štátu. Správa je svojím obsahom zameraná na vyhodnocovanie medziročnej zmeny v salde a dlhu verejnej správy, v celkových príjmoch a celkových výdavkoch verejnej správy, a obsahuje aj ďalšie hodnotenia z pohľadu čistého bohatstva štátu a dlhodobej udržateľnosti verejných financií. Súhrnná účtovná závierka poskytuje unikátny zdroj účtovných dát a predstavuje pomyselnú závierku štátu.</w:t>
      </w:r>
    </w:p>
    <w:p w14:paraId="35D0E89D" w14:textId="77777777" w:rsidR="00860537" w:rsidRDefault="00860537" w:rsidP="00860537">
      <w:pPr>
        <w:spacing w:after="120" w:line="240" w:lineRule="auto"/>
        <w:jc w:val="both"/>
        <w:rPr>
          <w:lang w:eastAsia="cs-CZ"/>
        </w:rPr>
      </w:pPr>
      <w:r>
        <w:rPr>
          <w:lang w:eastAsia="cs-CZ"/>
        </w:rPr>
        <w:t xml:space="preserve">Na verejné financie aj v uplynulom roku vplývalo množstvo vnútorných, ale hlavne externých faktorov. Zďaleka nie všetky boli pozitívneho charakteru a nie len slovenské verejné financie, ale aj financie ostatných krajín EÚ a sveta čelili bezprecedentnej výzve v reakcii na rodiace sa nové krízy. Pritom platí, že politické, spoločenské aj bezpečnostné problémy sa pretavia do ekonomiky štátu, otázkou je vždy len kedy a v akej intenzite.  </w:t>
      </w:r>
    </w:p>
    <w:p w14:paraId="2A789E50" w14:textId="77777777" w:rsidR="00860537" w:rsidRDefault="00860537" w:rsidP="00860537">
      <w:pPr>
        <w:spacing w:after="120" w:line="240" w:lineRule="auto"/>
        <w:jc w:val="both"/>
        <w:rPr>
          <w:lang w:eastAsia="cs-CZ"/>
        </w:rPr>
      </w:pPr>
      <w:r>
        <w:rPr>
          <w:lang w:eastAsia="cs-CZ"/>
        </w:rPr>
        <w:t xml:space="preserve">V roku 2022 Slovensko po vyše dvojročnom boji s pandémiou COVID-19 od jej vypuknutia konečne pocítilo úľavu. Aj keď prvé mesiace roka 2022 sa ešte niesli v znamení vysokého počtu nakazených a obmedzení vo fungovaní krajiny, citeľný ústup pandémie v priebehu roka sa prejavil vo všetkých sférach života obyvateľstva a hospodárstva krajiny. Ekonomika sa postupne vracala do svojich štandardných koľají, najmä v oblastiach kde </w:t>
      </w:r>
      <w:proofErr w:type="spellStart"/>
      <w:r>
        <w:rPr>
          <w:lang w:eastAsia="cs-CZ"/>
        </w:rPr>
        <w:t>pandemické</w:t>
      </w:r>
      <w:proofErr w:type="spellEnd"/>
      <w:r>
        <w:rPr>
          <w:lang w:eastAsia="cs-CZ"/>
        </w:rPr>
        <w:t xml:space="preserve"> opatrenia výraznejšie zasiahli do chodu hospodárstva. Verejné financie tomu neboli výnimkou a náklady štátu na </w:t>
      </w:r>
      <w:proofErr w:type="spellStart"/>
      <w:r>
        <w:rPr>
          <w:lang w:eastAsia="cs-CZ"/>
        </w:rPr>
        <w:t>sanovanie</w:t>
      </w:r>
      <w:proofErr w:type="spellEnd"/>
      <w:r>
        <w:rPr>
          <w:lang w:eastAsia="cs-CZ"/>
        </w:rPr>
        <w:t xml:space="preserve"> dôsledkov pandémie sa znížili zhruba na jednu štvrtinu predchádzajúceho roka. </w:t>
      </w:r>
    </w:p>
    <w:p w14:paraId="705E1D47" w14:textId="77777777" w:rsidR="00860537" w:rsidRDefault="00860537" w:rsidP="00860537">
      <w:pPr>
        <w:spacing w:after="120" w:line="240" w:lineRule="auto"/>
        <w:jc w:val="both"/>
        <w:rPr>
          <w:lang w:eastAsia="cs-CZ"/>
        </w:rPr>
      </w:pPr>
      <w:r>
        <w:rPr>
          <w:lang w:eastAsia="cs-CZ"/>
        </w:rPr>
        <w:t>Do slovníka Európy sa po dlhom období vrátilo slovo vojna. Invázia</w:t>
      </w:r>
      <w:r w:rsidRPr="00C321A2">
        <w:rPr>
          <w:lang w:eastAsia="cs-CZ"/>
        </w:rPr>
        <w:t xml:space="preserve"> ruských ozbrojených síl na územie Ukrajiny</w:t>
      </w:r>
      <w:r>
        <w:rPr>
          <w:lang w:eastAsia="cs-CZ"/>
        </w:rPr>
        <w:t xml:space="preserve"> zvrátila vnímanie bezpečnosti v Európe</w:t>
      </w:r>
      <w:r w:rsidRPr="00C321A2">
        <w:rPr>
          <w:lang w:eastAsia="cs-CZ"/>
        </w:rPr>
        <w:t xml:space="preserve">. </w:t>
      </w:r>
      <w:r>
        <w:rPr>
          <w:lang w:eastAsia="cs-CZ"/>
        </w:rPr>
        <w:t>V</w:t>
      </w:r>
      <w:r w:rsidRPr="00C321A2">
        <w:rPr>
          <w:lang w:eastAsia="cs-CZ"/>
        </w:rPr>
        <w:t xml:space="preserve">ývoj ozbrojeného konfliktu </w:t>
      </w:r>
      <w:r>
        <w:rPr>
          <w:lang w:eastAsia="cs-CZ"/>
        </w:rPr>
        <w:t xml:space="preserve">zároveň </w:t>
      </w:r>
      <w:r w:rsidRPr="00C321A2">
        <w:rPr>
          <w:lang w:eastAsia="cs-CZ"/>
        </w:rPr>
        <w:t>zdvihol vlnu utečencov z Ukrajiny smerom do krajín EÚ</w:t>
      </w:r>
      <w:r>
        <w:rPr>
          <w:lang w:eastAsia="cs-CZ"/>
        </w:rPr>
        <w:t xml:space="preserve"> a </w:t>
      </w:r>
      <w:r w:rsidRPr="00C321A2">
        <w:rPr>
          <w:lang w:eastAsia="cs-CZ"/>
        </w:rPr>
        <w:t>Slovensk</w:t>
      </w:r>
      <w:r>
        <w:rPr>
          <w:lang w:eastAsia="cs-CZ"/>
        </w:rPr>
        <w:t>o ako susediaci štát čelilo výzve sa s týmto náporom vysporiadať a solidárne prispieť k pomoci nášmu susedovi. Spolu s vojnovým konfliktom sa otázka bezpečnosti Európy rozšírila aj o rozmer energetickej a surovinovej závislosti od Ruska, neistoty ich dodávok a skokovitého rastu cien. Dosah na ekonomiku bol citeľný a potreba hľadania riešení týchto otázok nabrala turbulentné tempo.</w:t>
      </w:r>
    </w:p>
    <w:p w14:paraId="6596322A" w14:textId="77777777" w:rsidR="00860537" w:rsidRDefault="00860537" w:rsidP="00860537">
      <w:pPr>
        <w:spacing w:after="120" w:line="240" w:lineRule="auto"/>
        <w:jc w:val="both"/>
        <w:rPr>
          <w:lang w:eastAsia="cs-CZ"/>
        </w:rPr>
      </w:pPr>
      <w:r>
        <w:rPr>
          <w:lang w:eastAsia="cs-CZ"/>
        </w:rPr>
        <w:t>Rast cien prinavrátil menovú politiku eurozóny po dlhom období uvoľneného pôsobenia späť do pásiem, na ktoré sme posledné roky neboli zvyknutí. Rastúce úrokové sadzby sa postupne preniesli do všetkých sfér finančného života. Tomu sa nevyhli ani náklady na financovanie štátu, ktoré po dlhom období lacných peňazí zažili strmý rast nahor. Z dôvodu nestability na finančných trhoch a potreby financovania výdavkoch plynúcich z novej legislatívy prijatej v roku 2022, vláda SR udržiavala nadpriemerná hotovostnú rezervu v štátnej pokladnici.</w:t>
      </w:r>
    </w:p>
    <w:p w14:paraId="6A26E7A8" w14:textId="77777777" w:rsidR="00934EA5" w:rsidRDefault="00860537" w:rsidP="00934EA5">
      <w:pPr>
        <w:spacing w:after="120" w:line="240" w:lineRule="auto"/>
        <w:jc w:val="both"/>
        <w:rPr>
          <w:lang w:eastAsia="cs-CZ"/>
        </w:rPr>
      </w:pPr>
      <w:r>
        <w:rPr>
          <w:lang w:eastAsia="cs-CZ"/>
        </w:rPr>
        <w:t xml:space="preserve">Vzhľadom na uplynulé turbulentné roky sa do popredia viac a viac dostáva potreba dosiahnuť dlhodobú udržateľnosť verejných financií Slovenska. Napriek lepšiemu ako predpokladanému výsledku hospodáreniu s úrovňou štrukturálneho salda 1,4 % HDP, ani v roku 2022 nebola dosiahnutá dlhodobá udržateľnosti verejných financií a nie je možné hovoriť o nastolenom pozitívnom trende v ich vývoji. Príjmy verejných financií boli výrazne pozitívne ovplyvnené rastom cenovej hladiny, ale vo výdavkoch sa </w:t>
      </w:r>
      <w:r w:rsidR="00934EA5">
        <w:rPr>
          <w:lang w:eastAsia="cs-CZ"/>
        </w:rPr>
        <w:t xml:space="preserve">inflácia </w:t>
      </w:r>
      <w:r>
        <w:rPr>
          <w:lang w:eastAsia="cs-CZ"/>
        </w:rPr>
        <w:t xml:space="preserve">premietne s časovým oneskorením. Poskytovaná pomoc pri riešení </w:t>
      </w:r>
      <w:proofErr w:type="spellStart"/>
      <w:r>
        <w:rPr>
          <w:lang w:eastAsia="cs-CZ"/>
        </w:rPr>
        <w:t>energokrízy</w:t>
      </w:r>
      <w:proofErr w:type="spellEnd"/>
      <w:r>
        <w:rPr>
          <w:lang w:eastAsia="cs-CZ"/>
        </w:rPr>
        <w:t xml:space="preserve"> ukrojí z výdavkov štátu výraznejšie sumu v roku 2023. </w:t>
      </w:r>
      <w:r w:rsidR="00934EA5">
        <w:rPr>
          <w:lang w:eastAsia="cs-CZ"/>
        </w:rPr>
        <w:t xml:space="preserve">Pokračujúca vojna na Ukrajine, rast úrokových sadzieb a nová legislatíva predstavujú dodatočné náklady na verejné financie. Tie si do budúcnosti budú vyžadovať potrebu ozdravného procesu a vytvorenie priestoru na riešenie ,,domácich“ úloh vo viacerých oblastiach hospodárstva a spoločnosti. </w:t>
      </w:r>
    </w:p>
    <w:p w14:paraId="3E31AE8B" w14:textId="16C6EEE9" w:rsidR="00860537" w:rsidRDefault="00934EA5" w:rsidP="00934EA5">
      <w:pPr>
        <w:spacing w:after="120" w:line="240" w:lineRule="auto"/>
        <w:jc w:val="both"/>
        <w:rPr>
          <w:lang w:eastAsia="cs-CZ"/>
        </w:rPr>
      </w:pPr>
      <w:r>
        <w:rPr>
          <w:lang w:eastAsia="cs-CZ"/>
        </w:rPr>
        <w:t>Pre ich zvládnutie a pre zníženie tlaku na príjmovú stranu generovanú z národného hospodárstva budú veľmi dôležité (dočasné) zdroje z fondov Európskej únie a Plánu obnovy a odolnosti. Slovensko musí ďalej pracovať na ich efektívnom poskytovaní a používaní, aj s ohľadom na dosahovanie vyššej hodnoty za peniaze a </w:t>
      </w:r>
      <w:proofErr w:type="spellStart"/>
      <w:r>
        <w:rPr>
          <w:lang w:eastAsia="cs-CZ"/>
        </w:rPr>
        <w:t>prioritizáciu</w:t>
      </w:r>
      <w:proofErr w:type="spellEnd"/>
      <w:r>
        <w:rPr>
          <w:lang w:eastAsia="cs-CZ"/>
        </w:rPr>
        <w:t xml:space="preserve"> realizovateľných projektov v dohľadnej dobe. </w:t>
      </w:r>
      <w:r w:rsidR="00860537">
        <w:rPr>
          <w:lang w:eastAsia="cs-CZ"/>
        </w:rPr>
        <w:t xml:space="preserve">    </w:t>
      </w:r>
    </w:p>
    <w:p w14:paraId="403B2E5B" w14:textId="522ECECD" w:rsidR="008D0E40" w:rsidRPr="00953A12" w:rsidRDefault="008D0E40" w:rsidP="008D0E40">
      <w:pPr>
        <w:spacing w:after="120" w:line="240" w:lineRule="auto"/>
        <w:jc w:val="both"/>
        <w:rPr>
          <w:lang w:eastAsia="cs-CZ"/>
        </w:rPr>
      </w:pPr>
      <w:r w:rsidRPr="00953A12">
        <w:rPr>
          <w:lang w:eastAsia="cs-CZ"/>
        </w:rPr>
        <w:t xml:space="preserve">   </w:t>
      </w:r>
    </w:p>
    <w:p w14:paraId="21177C6D" w14:textId="77777777" w:rsidR="001670B8" w:rsidRDefault="001670B8">
      <w:pPr>
        <w:rPr>
          <w:rFonts w:eastAsia="Calibri"/>
          <w:b/>
        </w:rPr>
      </w:pPr>
      <w:r>
        <w:rPr>
          <w:rFonts w:eastAsia="Calibri"/>
          <w:b/>
        </w:rPr>
        <w:br w:type="page"/>
      </w:r>
    </w:p>
    <w:p w14:paraId="7AE3A0B9" w14:textId="7B41A9AE" w:rsidR="00183FF7" w:rsidRPr="00F85F5E" w:rsidRDefault="00183FF7" w:rsidP="00183FF7">
      <w:pPr>
        <w:spacing w:after="120" w:line="336" w:lineRule="auto"/>
        <w:jc w:val="both"/>
        <w:rPr>
          <w:rFonts w:eastAsia="Calibri"/>
          <w:b/>
        </w:rPr>
      </w:pPr>
      <w:r w:rsidRPr="00F85F5E">
        <w:rPr>
          <w:rFonts w:eastAsia="Calibri"/>
          <w:b/>
        </w:rPr>
        <w:lastRenderedPageBreak/>
        <w:t>Štruktúra dokumentu:</w:t>
      </w:r>
    </w:p>
    <w:p w14:paraId="20B4CABC" w14:textId="77777777" w:rsidR="00803FAF" w:rsidRPr="00642FF8" w:rsidRDefault="00803FAF" w:rsidP="00642FF8">
      <w:pPr>
        <w:spacing w:after="120" w:line="240" w:lineRule="auto"/>
        <w:jc w:val="both"/>
        <w:rPr>
          <w:rFonts w:cs="Book Antiqua"/>
          <w:lang w:eastAsia="sk-SK"/>
        </w:rPr>
      </w:pPr>
      <w:r w:rsidRPr="00953A12">
        <w:t xml:space="preserve">Súhrnná výročná správa podáva informácie o stave a vývoji verejných financií na základe troch </w:t>
      </w:r>
      <w:r w:rsidRPr="00642FF8">
        <w:rPr>
          <w:rFonts w:cs="Book Antiqua"/>
          <w:lang w:eastAsia="sk-SK"/>
        </w:rPr>
        <w:t>prelínajúcich sa zákonných noriem:</w:t>
      </w:r>
    </w:p>
    <w:p w14:paraId="1EFE555B" w14:textId="77777777" w:rsidR="001D3BB3" w:rsidRDefault="00803FAF" w:rsidP="001D3BB3">
      <w:pPr>
        <w:pStyle w:val="Odsekzoznamu"/>
        <w:numPr>
          <w:ilvl w:val="0"/>
          <w:numId w:val="30"/>
        </w:numPr>
        <w:spacing w:before="120" w:after="120"/>
        <w:ind w:left="714" w:hanging="357"/>
        <w:jc w:val="both"/>
      </w:pPr>
      <w:r w:rsidRPr="00642FF8">
        <w:t>zákon</w:t>
      </w:r>
      <w:r w:rsidRPr="00642FF8">
        <w:rPr>
          <w:u w:val="single"/>
        </w:rPr>
        <w:t xml:space="preserve"> č. 523/2004 Z. z.</w:t>
      </w:r>
      <w:r w:rsidRPr="00953A12">
        <w:t xml:space="preserve"> o rozpočtových pravidlách verejnej správy a o zmene a doplnení </w:t>
      </w:r>
      <w:r w:rsidRPr="00642FF8">
        <w:t>niektorých zákonov v znení neskorších predpisov (§ 29a),</w:t>
      </w:r>
    </w:p>
    <w:p w14:paraId="376D3B42" w14:textId="0B1AD231" w:rsidR="00803FAF" w:rsidRPr="00953A12" w:rsidRDefault="00803FAF" w:rsidP="001D3BB3">
      <w:pPr>
        <w:pStyle w:val="Odsekzoznamu"/>
        <w:numPr>
          <w:ilvl w:val="0"/>
          <w:numId w:val="30"/>
        </w:numPr>
        <w:spacing w:before="120" w:after="120"/>
        <w:ind w:left="714" w:hanging="357"/>
        <w:jc w:val="both"/>
      </w:pPr>
      <w:r w:rsidRPr="001D3BB3">
        <w:t>z</w:t>
      </w:r>
      <w:r w:rsidRPr="001D3BB3">
        <w:rPr>
          <w:u w:val="single"/>
        </w:rPr>
        <w:t>ákon č. 431/2002 Z. z.</w:t>
      </w:r>
      <w:r w:rsidRPr="00953A12">
        <w:t xml:space="preserve"> o účtovníctve v znení neskorších predpisov, ktorý </w:t>
      </w:r>
      <w:r>
        <w:t xml:space="preserve">okrem iného ustanovuje </w:t>
      </w:r>
      <w:r w:rsidRPr="00953A12">
        <w:t>pre Ministerstvo financií SR povinnosť zostaviť konsolidovanú účtovnú závierku ústrednej správy a súhrnnú účtovnú závierku verejnej správy (§ 22a),</w:t>
      </w:r>
    </w:p>
    <w:p w14:paraId="74872851" w14:textId="32E8C8B6" w:rsidR="00803FAF" w:rsidRPr="00642FF8" w:rsidRDefault="00803FAF" w:rsidP="00642FF8">
      <w:pPr>
        <w:pStyle w:val="Odsekzoznamu"/>
        <w:numPr>
          <w:ilvl w:val="0"/>
          <w:numId w:val="30"/>
        </w:numPr>
        <w:spacing w:after="120"/>
        <w:jc w:val="both"/>
      </w:pPr>
      <w:r w:rsidRPr="00642FF8">
        <w:rPr>
          <w:u w:val="single"/>
        </w:rPr>
        <w:t>ústavný zákon č. 493/2011 Z. z.</w:t>
      </w:r>
      <w:r w:rsidRPr="00953A12">
        <w:t xml:space="preserve">  o rozpočtovej zodpovednosti, ktorý okrem údajov podľa zákona o rozpočtových pravidlách verejnej správy ustanovuje aj ďalšie údaje, ktoré má súhrnná výročná </w:t>
      </w:r>
      <w:r w:rsidRPr="00642FF8">
        <w:t>správa obsahovať (čl. 9 ods. 5).</w:t>
      </w:r>
    </w:p>
    <w:p w14:paraId="0ED150A6" w14:textId="7B401D43" w:rsidR="001F43C8" w:rsidRPr="001F43C8" w:rsidRDefault="001F43C8" w:rsidP="00642FF8">
      <w:pPr>
        <w:spacing w:after="120" w:line="240" w:lineRule="auto"/>
        <w:jc w:val="both"/>
      </w:pPr>
      <w:r w:rsidRPr="00642FF8">
        <w:rPr>
          <w:rFonts w:cs="Book Antiqua"/>
          <w:lang w:eastAsia="sk-SK"/>
        </w:rPr>
        <w:t>Na zákla</w:t>
      </w:r>
      <w:r w:rsidRPr="001F43C8">
        <w:t>de uvedeného je štruktúra správy koncipovaná do troch hlavných kapitol:</w:t>
      </w:r>
    </w:p>
    <w:p w14:paraId="411714F5" w14:textId="77777777" w:rsidR="00642FF8" w:rsidRDefault="008D0E40" w:rsidP="00BF1954">
      <w:pPr>
        <w:pStyle w:val="Odsekzoznamu"/>
        <w:numPr>
          <w:ilvl w:val="0"/>
          <w:numId w:val="31"/>
        </w:numPr>
        <w:spacing w:after="120"/>
        <w:jc w:val="both"/>
        <w:rPr>
          <w:lang w:eastAsia="cs-CZ"/>
        </w:rPr>
      </w:pPr>
      <w:r w:rsidRPr="00642FF8">
        <w:rPr>
          <w:i/>
        </w:rPr>
        <w:t>Zhrnutie</w:t>
      </w:r>
      <w:r w:rsidRPr="00642FF8">
        <w:t xml:space="preserve"> prezentuje krátky prehľad údajov o hospodárení verejných financií Slovenskej republiky za rok 2022. Detailnejšie informácie sú poskytnuté v jednotlivých kapitolách správy.</w:t>
      </w:r>
    </w:p>
    <w:p w14:paraId="73C69622" w14:textId="5465F6A5" w:rsidR="008D0E40" w:rsidRPr="001F43C8" w:rsidRDefault="008D0E40" w:rsidP="00642FF8">
      <w:pPr>
        <w:pStyle w:val="Odsekzoznamu"/>
        <w:numPr>
          <w:ilvl w:val="0"/>
          <w:numId w:val="31"/>
        </w:numPr>
        <w:spacing w:before="120" w:after="120"/>
        <w:ind w:left="714" w:hanging="357"/>
        <w:jc w:val="both"/>
        <w:rPr>
          <w:lang w:eastAsia="cs-CZ"/>
        </w:rPr>
      </w:pPr>
      <w:r w:rsidRPr="00642FF8">
        <w:t>Prvá</w:t>
      </w:r>
      <w:r w:rsidRPr="00642FF8">
        <w:rPr>
          <w:i/>
        </w:rPr>
        <w:t xml:space="preserve"> kapitola</w:t>
      </w:r>
      <w:r w:rsidRPr="00642FF8">
        <w:t xml:space="preserve"> prezentuje verejné financie z pohľadu sektorového členenia verejnej správy podľa metodiky ESA 2010</w:t>
      </w:r>
      <w:r w:rsidR="00F055A9">
        <w:rPr>
          <w:rStyle w:val="Odkaznapoznmkupodiarou"/>
        </w:rPr>
        <w:footnoteReference w:id="1"/>
      </w:r>
      <w:r w:rsidRPr="00642FF8">
        <w:t xml:space="preserve">. Dôraz sa kladie na príspevok jednotlivých (skupín) subjektov verejnej správy k výsledku rozpočtového hospodárenia verejnej správy a k jeho medziročnej zmene. Hlavnými údajmi tejto časti sú saldo a dlh verejnej správy podľa maastrichtských kritérií. Údaje zohľadňujú závery z pravidelnej jesennej notifikácie údajov za predchádzajúci rok zo strany </w:t>
      </w:r>
      <w:proofErr w:type="spellStart"/>
      <w:r w:rsidRPr="00642FF8">
        <w:t>Eurostatu</w:t>
      </w:r>
      <w:proofErr w:type="spellEnd"/>
      <w:r w:rsidRPr="00642FF8">
        <w:t xml:space="preserve">, ako aj prípadné </w:t>
      </w:r>
      <w:r w:rsidRPr="001F43C8">
        <w:rPr>
          <w:lang w:eastAsia="cs-CZ"/>
        </w:rPr>
        <w:t>revízie obdobia n-2.</w:t>
      </w:r>
    </w:p>
    <w:p w14:paraId="0C144CC0" w14:textId="77777777" w:rsidR="008D0E40" w:rsidRPr="00642FF8" w:rsidRDefault="008D0E40" w:rsidP="00642FF8">
      <w:pPr>
        <w:pStyle w:val="Odsekzoznamu"/>
        <w:numPr>
          <w:ilvl w:val="0"/>
          <w:numId w:val="31"/>
        </w:numPr>
        <w:spacing w:after="120"/>
        <w:jc w:val="both"/>
      </w:pPr>
      <w:r w:rsidRPr="001F43C8">
        <w:rPr>
          <w:lang w:eastAsia="cs-CZ"/>
        </w:rPr>
        <w:t>D</w:t>
      </w:r>
      <w:r w:rsidRPr="00642FF8">
        <w:rPr>
          <w:i/>
        </w:rPr>
        <w:t>ruhá kapitola</w:t>
      </w:r>
      <w:r w:rsidRPr="00642FF8">
        <w:t xml:space="preserve"> nadväzuje na prvú v hodnotení verejných financií z pohľadu sektora verejnej správy. Pokiaľ sa však prvá kapitola zameriava striktne na údaje v metodike ESA 2010 a na medziročné porovnanie dosiahnutej skutočnosti, druhá kapitola hodnotí vývoj verejnej správy najmä z pohľadu údajov, ktoré má obsahovať súhrnná správa na základe ústavného zákona o rozpočtovej zodpovednosti. Tieto údaje prehlbujú analytický pohľad na hospodárenie verejnej správy.</w:t>
      </w:r>
    </w:p>
    <w:p w14:paraId="64AA2B26" w14:textId="6EA6D4B6" w:rsidR="008D0E40" w:rsidRPr="001F43C8" w:rsidRDefault="008D0E40" w:rsidP="00642FF8">
      <w:pPr>
        <w:pStyle w:val="Odsekzoznamu"/>
        <w:numPr>
          <w:ilvl w:val="0"/>
          <w:numId w:val="31"/>
        </w:numPr>
        <w:spacing w:after="120"/>
        <w:jc w:val="both"/>
        <w:rPr>
          <w:lang w:eastAsia="cs-CZ"/>
        </w:rPr>
      </w:pPr>
      <w:r w:rsidRPr="00642FF8">
        <w:rPr>
          <w:i/>
        </w:rPr>
        <w:t xml:space="preserve">Tretia </w:t>
      </w:r>
      <w:r w:rsidRPr="00642FF8">
        <w:rPr>
          <w:rFonts w:eastAsia="Cambria"/>
          <w:i/>
        </w:rPr>
        <w:t>kapitola</w:t>
      </w:r>
      <w:r w:rsidRPr="00642FF8">
        <w:rPr>
          <w:rFonts w:eastAsia="Cambria"/>
        </w:rPr>
        <w:t xml:space="preserve"> rozširuje pohľad na verejné financie z verejnej správy na verejný sektor a jeho hlavný ukazovateľ čisté bohatstvo.</w:t>
      </w:r>
      <w:r w:rsidRPr="00642FF8">
        <w:t xml:space="preserve"> V tejto časti je popísaná štruktúra a medziročné zmeny čistého bohatstva, v súlade s ústavným zákonom o rozpočtovej zodpovednosti je dôraz kladený na </w:t>
      </w:r>
      <w:proofErr w:type="spellStart"/>
      <w:r w:rsidRPr="00642FF8">
        <w:t>mimobilančné</w:t>
      </w:r>
      <w:proofErr w:type="spellEnd"/>
      <w:r w:rsidRPr="00642FF8">
        <w:t xml:space="preserve"> </w:t>
      </w:r>
      <w:r w:rsidRPr="001F43C8">
        <w:rPr>
          <w:lang w:eastAsia="cs-CZ"/>
        </w:rPr>
        <w:t xml:space="preserve">položky ako sú implicitné záväzky, podmienené záväzky, iné aktíva. </w:t>
      </w:r>
    </w:p>
    <w:p w14:paraId="49CC0EE7" w14:textId="77777777" w:rsidR="001D3BB3" w:rsidRDefault="001D3BB3" w:rsidP="001D3BB3">
      <w:pPr>
        <w:pStyle w:val="Odsekzoznamu"/>
        <w:spacing w:after="120"/>
        <w:jc w:val="both"/>
      </w:pPr>
    </w:p>
    <w:p w14:paraId="6F4644A4" w14:textId="5E825A38" w:rsidR="008D0E40" w:rsidRPr="00642FF8" w:rsidRDefault="008D0E40" w:rsidP="00642FF8">
      <w:pPr>
        <w:pStyle w:val="Odsekzoznamu"/>
        <w:numPr>
          <w:ilvl w:val="0"/>
          <w:numId w:val="30"/>
        </w:numPr>
        <w:spacing w:after="120"/>
        <w:jc w:val="both"/>
      </w:pPr>
      <w:r w:rsidRPr="001F43C8">
        <w:rPr>
          <w:lang w:eastAsia="cs-CZ"/>
        </w:rPr>
        <w:t>Príloha</w:t>
      </w:r>
      <w:r w:rsidRPr="00642FF8">
        <w:rPr>
          <w:i/>
        </w:rPr>
        <w:t xml:space="preserve"> č. 1</w:t>
      </w:r>
      <w:r w:rsidRPr="00642FF8">
        <w:t xml:space="preserve"> má tabuľkovú podobu a viaže sa k tretej kapitole. Obsahuje zoznam podnikov štátnej správy s údajmi o ich výsledku hospodárenia, výške vlastného imania za posledné tri roky a o výške vlastníckeho podielu štátu v podnikoch.</w:t>
      </w:r>
    </w:p>
    <w:p w14:paraId="04F46190" w14:textId="77777777" w:rsidR="008D0E40" w:rsidRPr="00A51AE5" w:rsidRDefault="008D0E40" w:rsidP="00642FF8">
      <w:pPr>
        <w:pStyle w:val="Odsekzoznamu"/>
        <w:numPr>
          <w:ilvl w:val="0"/>
          <w:numId w:val="30"/>
        </w:numPr>
        <w:spacing w:after="120"/>
        <w:jc w:val="both"/>
        <w:rPr>
          <w:lang w:eastAsia="cs-CZ"/>
        </w:rPr>
      </w:pPr>
      <w:r w:rsidRPr="00642FF8">
        <w:rPr>
          <w:i/>
        </w:rPr>
        <w:t>Príloha č. 2</w:t>
      </w:r>
      <w:r w:rsidRPr="00642FF8">
        <w:t xml:space="preserve"> má tabuľkovú podobu, obsahuje údaje o vlastnom imaní všetkých podnikov štátnej správy </w:t>
      </w:r>
      <w:r w:rsidRPr="001F43C8">
        <w:rPr>
          <w:lang w:eastAsia="cs-CZ"/>
        </w:rPr>
        <w:t>s vyčíslením najdôležitejších zmien vo vlastnom imaní.</w:t>
      </w:r>
    </w:p>
    <w:p w14:paraId="3D32B935" w14:textId="3D7A6057" w:rsidR="008D0E40" w:rsidRPr="00F85F5E" w:rsidRDefault="008D0E40" w:rsidP="00642FF8">
      <w:pPr>
        <w:pStyle w:val="Odsekzoznamu"/>
        <w:numPr>
          <w:ilvl w:val="0"/>
          <w:numId w:val="30"/>
        </w:numPr>
        <w:spacing w:after="120"/>
        <w:jc w:val="both"/>
        <w:rPr>
          <w:lang w:eastAsia="cs-CZ"/>
        </w:rPr>
      </w:pPr>
      <w:r w:rsidRPr="001F43C8">
        <w:rPr>
          <w:lang w:eastAsia="cs-CZ"/>
        </w:rPr>
        <w:t>Príloha č. 3 predstavuje súhrnnú účtovnú závierku verejnej správy Slovenskej republiky za príslušný</w:t>
      </w:r>
      <w:r w:rsidRPr="00642FF8">
        <w:t xml:space="preserve"> rok, ktorá je povinnou súčasťou tejto správy v súlade so zákonom o rozpočtových pravidlách. </w:t>
      </w:r>
    </w:p>
    <w:p w14:paraId="0F19DF88" w14:textId="35794928" w:rsidR="008D0E40" w:rsidRPr="00F85F5E" w:rsidRDefault="008D0E40" w:rsidP="008D0E40">
      <w:pPr>
        <w:spacing w:after="120" w:line="240" w:lineRule="auto"/>
        <w:jc w:val="both"/>
        <w:rPr>
          <w:lang w:eastAsia="cs-CZ"/>
        </w:rPr>
      </w:pPr>
      <w:r w:rsidRPr="00F85F5E">
        <w:rPr>
          <w:lang w:eastAsia="cs-CZ"/>
        </w:rPr>
        <w:t xml:space="preserve">K správe je priložená aj </w:t>
      </w:r>
      <w:r w:rsidRPr="00F85F5E">
        <w:rPr>
          <w:rFonts w:cs="Book Antiqua"/>
          <w:i/>
          <w:lang w:eastAsia="sk-SK"/>
        </w:rPr>
        <w:t>elektronická príloha</w:t>
      </w:r>
      <w:r w:rsidRPr="00F85F5E">
        <w:rPr>
          <w:lang w:eastAsia="cs-CZ"/>
        </w:rPr>
        <w:t>, ktorá sa viaže k prvej kapitole a je zverejnená len na internetovej stránke MF SR spolu s hlavným dokumentom. Elektronická príloha obsahuje štruktúru schodku verejnej správy a jeho financovanie v roku 202</w:t>
      </w:r>
      <w:r>
        <w:rPr>
          <w:lang w:eastAsia="cs-CZ"/>
        </w:rPr>
        <w:t>2</w:t>
      </w:r>
      <w:r w:rsidRPr="00F85F5E">
        <w:rPr>
          <w:lang w:eastAsia="cs-CZ"/>
        </w:rPr>
        <w:t xml:space="preserve"> podľa jednotlivých skupín subjektov</w:t>
      </w:r>
      <w:r>
        <w:rPr>
          <w:lang w:eastAsia="cs-CZ"/>
        </w:rPr>
        <w:t xml:space="preserve"> </w:t>
      </w:r>
      <w:r w:rsidRPr="00F85F5E">
        <w:rPr>
          <w:lang w:eastAsia="cs-CZ"/>
        </w:rPr>
        <w:t xml:space="preserve">(prechod od hotovostného schodku ku schodku </w:t>
      </w:r>
      <w:r>
        <w:rPr>
          <w:lang w:eastAsia="cs-CZ"/>
        </w:rPr>
        <w:t>na akruálnej báze</w:t>
      </w:r>
      <w:r w:rsidRPr="00F85F5E">
        <w:rPr>
          <w:lang w:eastAsia="cs-CZ"/>
        </w:rPr>
        <w:t>).</w:t>
      </w:r>
    </w:p>
    <w:p w14:paraId="52551EA9" w14:textId="49EC5091" w:rsidR="00B97A5B" w:rsidRPr="00EE151F" w:rsidRDefault="008D0E40" w:rsidP="001D3BB3">
      <w:pPr>
        <w:spacing w:after="0" w:line="240" w:lineRule="auto"/>
        <w:jc w:val="both"/>
        <w:rPr>
          <w:highlight w:val="yellow"/>
          <w:lang w:eastAsia="cs-CZ"/>
        </w:rPr>
      </w:pPr>
      <w:r w:rsidRPr="00F85F5E">
        <w:rPr>
          <w:lang w:eastAsia="cs-CZ"/>
        </w:rPr>
        <w:t>Pri výpočte podielových ukazovateľov</w:t>
      </w:r>
      <w:r>
        <w:rPr>
          <w:rStyle w:val="Odkaznapoznmkupodiarou"/>
          <w:lang w:eastAsia="cs-CZ"/>
        </w:rPr>
        <w:footnoteReference w:id="2"/>
      </w:r>
      <w:r w:rsidRPr="00F85F5E">
        <w:rPr>
          <w:lang w:eastAsia="cs-CZ"/>
        </w:rPr>
        <w:t xml:space="preserve"> verejných financií boli použité údaje o HDP v bežných cenách, ktoré boli notifikované v rámci októbrovej notifikácie</w:t>
      </w:r>
      <w:r>
        <w:rPr>
          <w:lang w:eastAsia="cs-CZ"/>
        </w:rPr>
        <w:t>:</w:t>
      </w:r>
      <w:r w:rsidRPr="009F7834">
        <w:rPr>
          <w:lang w:eastAsia="cs-CZ"/>
        </w:rPr>
        <w:t xml:space="preserve"> 202</w:t>
      </w:r>
      <w:r>
        <w:rPr>
          <w:lang w:eastAsia="cs-CZ"/>
        </w:rPr>
        <w:t>2:</w:t>
      </w:r>
      <w:r w:rsidRPr="009F7834">
        <w:rPr>
          <w:lang w:eastAsia="cs-CZ"/>
        </w:rPr>
        <w:t xml:space="preserve"> </w:t>
      </w:r>
      <w:r>
        <w:rPr>
          <w:lang w:eastAsia="cs-CZ"/>
        </w:rPr>
        <w:t>109</w:t>
      </w:r>
      <w:r w:rsidR="00CE6D75">
        <w:rPr>
          <w:lang w:eastAsia="cs-CZ"/>
        </w:rPr>
        <w:t> </w:t>
      </w:r>
      <w:r>
        <w:rPr>
          <w:lang w:eastAsia="cs-CZ"/>
        </w:rPr>
        <w:t>645</w:t>
      </w:r>
      <w:r w:rsidR="00CE6D75">
        <w:rPr>
          <w:lang w:eastAsia="cs-CZ"/>
        </w:rPr>
        <w:t> </w:t>
      </w:r>
      <w:r>
        <w:rPr>
          <w:lang w:eastAsia="cs-CZ"/>
        </w:rPr>
        <w:t>184</w:t>
      </w:r>
      <w:r w:rsidRPr="009F7834">
        <w:rPr>
          <w:lang w:eastAsia="cs-CZ"/>
        </w:rPr>
        <w:t> tis. eur, 202</w:t>
      </w:r>
      <w:r>
        <w:rPr>
          <w:lang w:eastAsia="cs-CZ"/>
        </w:rPr>
        <w:t>1</w:t>
      </w:r>
      <w:r w:rsidRPr="009F7834">
        <w:rPr>
          <w:lang w:eastAsia="cs-CZ"/>
        </w:rPr>
        <w:t>:</w:t>
      </w:r>
      <w:r w:rsidR="00CE6D75">
        <w:rPr>
          <w:lang w:eastAsia="cs-CZ"/>
        </w:rPr>
        <w:t> </w:t>
      </w:r>
      <w:r>
        <w:rPr>
          <w:lang w:eastAsia="cs-CZ"/>
        </w:rPr>
        <w:t>100</w:t>
      </w:r>
      <w:r w:rsidR="00CE6D75">
        <w:rPr>
          <w:lang w:eastAsia="cs-CZ"/>
        </w:rPr>
        <w:t> </w:t>
      </w:r>
      <w:r>
        <w:rPr>
          <w:lang w:eastAsia="cs-CZ"/>
        </w:rPr>
        <w:t>255</w:t>
      </w:r>
      <w:r w:rsidR="00CE6D75">
        <w:rPr>
          <w:lang w:eastAsia="cs-CZ"/>
        </w:rPr>
        <w:t> </w:t>
      </w:r>
      <w:r>
        <w:rPr>
          <w:lang w:eastAsia="cs-CZ"/>
        </w:rPr>
        <w:t>721</w:t>
      </w:r>
      <w:r w:rsidR="00CE6D75">
        <w:rPr>
          <w:lang w:eastAsia="cs-CZ"/>
        </w:rPr>
        <w:t> </w:t>
      </w:r>
      <w:r w:rsidRPr="009F7834">
        <w:rPr>
          <w:lang w:eastAsia="cs-CZ"/>
        </w:rPr>
        <w:t>tis. eur, 20</w:t>
      </w:r>
      <w:r>
        <w:rPr>
          <w:lang w:eastAsia="cs-CZ"/>
        </w:rPr>
        <w:t>20</w:t>
      </w:r>
      <w:r w:rsidRPr="009F7834">
        <w:rPr>
          <w:lang w:eastAsia="cs-CZ"/>
        </w:rPr>
        <w:t>:</w:t>
      </w:r>
      <w:r>
        <w:rPr>
          <w:lang w:eastAsia="cs-CZ"/>
        </w:rPr>
        <w:t xml:space="preserve"> 93 444</w:t>
      </w:r>
      <w:r w:rsidR="00CE6D75">
        <w:rPr>
          <w:lang w:eastAsia="cs-CZ"/>
        </w:rPr>
        <w:t> </w:t>
      </w:r>
      <w:r>
        <w:rPr>
          <w:lang w:eastAsia="cs-CZ"/>
        </w:rPr>
        <w:t>096</w:t>
      </w:r>
      <w:r w:rsidR="00CE6D75">
        <w:rPr>
          <w:lang w:eastAsia="cs-CZ"/>
        </w:rPr>
        <w:t> tis. eur</w:t>
      </w:r>
      <w:r w:rsidRPr="009F7834">
        <w:rPr>
          <w:lang w:eastAsia="cs-CZ"/>
        </w:rPr>
        <w:t>. Oproti minuloročnej správe sa revidovali hodnoty HDP v  časovom rade za roky 20</w:t>
      </w:r>
      <w:r>
        <w:rPr>
          <w:lang w:eastAsia="cs-CZ"/>
        </w:rPr>
        <w:t>20</w:t>
      </w:r>
      <w:r w:rsidRPr="009F7834">
        <w:rPr>
          <w:lang w:eastAsia="cs-CZ"/>
        </w:rPr>
        <w:t xml:space="preserve"> - 202</w:t>
      </w:r>
      <w:r>
        <w:rPr>
          <w:lang w:eastAsia="cs-CZ"/>
        </w:rPr>
        <w:t>1</w:t>
      </w:r>
      <w:r w:rsidRPr="009F7834">
        <w:rPr>
          <w:lang w:eastAsia="cs-CZ"/>
        </w:rPr>
        <w:t>, čo mohlo mať dopad na</w:t>
      </w:r>
      <w:r w:rsidRPr="00BF2419">
        <w:rPr>
          <w:lang w:eastAsia="cs-CZ"/>
        </w:rPr>
        <w:t xml:space="preserve"> zmenu veľkosti podielových ukazovateľov na HDP v týchto rokoch.</w:t>
      </w:r>
      <w:r w:rsidR="00B97A5B" w:rsidRPr="00EE151F">
        <w:rPr>
          <w:highlight w:val="yellow"/>
          <w:lang w:eastAsia="cs-CZ"/>
        </w:rPr>
        <w:br w:type="page"/>
      </w:r>
    </w:p>
    <w:p w14:paraId="0590931B" w14:textId="180116C5" w:rsidR="0086315B" w:rsidRPr="003C1501" w:rsidRDefault="0086315B" w:rsidP="006C6327">
      <w:pPr>
        <w:pStyle w:val="Nadpis1"/>
        <w:numPr>
          <w:ilvl w:val="0"/>
          <w:numId w:val="0"/>
        </w:numPr>
        <w:spacing w:after="120" w:line="336" w:lineRule="auto"/>
      </w:pPr>
      <w:bookmarkStart w:id="9" w:name="_Toc465255005"/>
      <w:bookmarkStart w:id="10" w:name="_Toc495990478"/>
      <w:bookmarkStart w:id="11" w:name="_Toc148704461"/>
      <w:r w:rsidRPr="003C1501">
        <w:lastRenderedPageBreak/>
        <w:t>Zhrn</w:t>
      </w:r>
      <w:r w:rsidR="006C6327" w:rsidRPr="003C1501">
        <w:t>u</w:t>
      </w:r>
      <w:r w:rsidRPr="003C1501">
        <w:t>tie</w:t>
      </w:r>
      <w:bookmarkEnd w:id="9"/>
      <w:bookmarkEnd w:id="10"/>
      <w:bookmarkEnd w:id="11"/>
      <w:r w:rsidRPr="003C1501">
        <w:t xml:space="preserve"> </w:t>
      </w:r>
    </w:p>
    <w:p w14:paraId="7497AFB2" w14:textId="2D0BDD23" w:rsidR="00A13F85" w:rsidRDefault="00A13F85" w:rsidP="00FA1620">
      <w:pPr>
        <w:pStyle w:val="Odsekzoznamu"/>
        <w:numPr>
          <w:ilvl w:val="0"/>
          <w:numId w:val="26"/>
        </w:numPr>
        <w:spacing w:after="120"/>
        <w:ind w:left="426" w:hanging="426"/>
        <w:jc w:val="both"/>
        <w:rPr>
          <w:lang w:eastAsia="cs-CZ"/>
        </w:rPr>
      </w:pPr>
      <w:bookmarkStart w:id="12" w:name="_Toc496786973"/>
      <w:bookmarkStart w:id="13" w:name="_Toc465255007"/>
      <w:bookmarkStart w:id="14" w:name="_Toc495990480"/>
      <w:r w:rsidRPr="00A02A44">
        <w:rPr>
          <w:b/>
          <w:color w:val="4F81BD" w:themeColor="accent1"/>
        </w:rPr>
        <w:t>Schodok verejnej správy</w:t>
      </w:r>
      <w:r w:rsidRPr="00A02A44">
        <w:rPr>
          <w:color w:val="4F81BD" w:themeColor="accent1"/>
        </w:rPr>
        <w:t xml:space="preserve"> </w:t>
      </w:r>
      <w:r w:rsidRPr="009F7834">
        <w:t>Slovenskej republiky vykázaný v jednotnej metodike (</w:t>
      </w:r>
      <w:r>
        <w:t>ESA 2010</w:t>
      </w:r>
      <w:r w:rsidRPr="009F7834">
        <w:t>) pre</w:t>
      </w:r>
      <w:r w:rsidR="00144672">
        <w:t> </w:t>
      </w:r>
      <w:r w:rsidRPr="009F7834">
        <w:t xml:space="preserve">členské krajiny EÚ </w:t>
      </w:r>
      <w:r w:rsidRPr="00A02A44">
        <w:rPr>
          <w:b/>
        </w:rPr>
        <w:t>dosiahol v roku 202</w:t>
      </w:r>
      <w:r>
        <w:rPr>
          <w:b/>
        </w:rPr>
        <w:t>2</w:t>
      </w:r>
      <w:r w:rsidRPr="00A02A44">
        <w:rPr>
          <w:b/>
        </w:rPr>
        <w:t xml:space="preserve"> úroveň </w:t>
      </w:r>
      <w:r>
        <w:rPr>
          <w:b/>
        </w:rPr>
        <w:t>2</w:t>
      </w:r>
      <w:r w:rsidRPr="00A02A44">
        <w:rPr>
          <w:b/>
        </w:rPr>
        <w:t>,</w:t>
      </w:r>
      <w:r>
        <w:rPr>
          <w:b/>
        </w:rPr>
        <w:t>02</w:t>
      </w:r>
      <w:r w:rsidRPr="00A02A44">
        <w:rPr>
          <w:b/>
        </w:rPr>
        <w:t> % HDP</w:t>
      </w:r>
      <w:r w:rsidRPr="009F7834">
        <w:t xml:space="preserve"> </w:t>
      </w:r>
      <w:r w:rsidRPr="00A02A44">
        <w:rPr>
          <w:b/>
        </w:rPr>
        <w:t>(-</w:t>
      </w:r>
      <w:r>
        <w:rPr>
          <w:b/>
        </w:rPr>
        <w:t>2 215 563</w:t>
      </w:r>
      <w:r w:rsidRPr="00A02A44">
        <w:rPr>
          <w:b/>
        </w:rPr>
        <w:t> tis. eur</w:t>
      </w:r>
      <w:r w:rsidR="00144672">
        <w:t>). Oproti </w:t>
      </w:r>
      <w:r w:rsidRPr="009F7834">
        <w:t xml:space="preserve">predbežným výsledkom z jarnej notifikácie prezentovaným v Štátnom záverečnom účte, sa schodok znížil </w:t>
      </w:r>
      <w:r>
        <w:t xml:space="preserve">len minimálne </w:t>
      </w:r>
      <w:r w:rsidRPr="009F7834">
        <w:t>o 0,</w:t>
      </w:r>
      <w:r>
        <w:t>02 p. </w:t>
      </w:r>
      <w:r w:rsidRPr="009F7834">
        <w:t>b. resp. o</w:t>
      </w:r>
      <w:r>
        <w:t> 18 218</w:t>
      </w:r>
      <w:r w:rsidRPr="009F7834">
        <w:t xml:space="preserve"> tis. eur. Medziročná zmena salda tak dosiahla (po štandardnej revízii </w:t>
      </w:r>
      <w:r w:rsidRPr="009F7834">
        <w:rPr>
          <w:lang w:eastAsia="cs-CZ"/>
        </w:rPr>
        <w:t>aj roku 202</w:t>
      </w:r>
      <w:r>
        <w:rPr>
          <w:lang w:eastAsia="cs-CZ"/>
        </w:rPr>
        <w:t>1</w:t>
      </w:r>
      <w:r w:rsidRPr="009F7834">
        <w:rPr>
          <w:lang w:eastAsia="cs-CZ"/>
        </w:rPr>
        <w:t>)</w:t>
      </w:r>
      <w:r>
        <w:rPr>
          <w:lang w:eastAsia="cs-CZ"/>
        </w:rPr>
        <w:t xml:space="preserve"> až</w:t>
      </w:r>
      <w:r w:rsidRPr="009F7834">
        <w:rPr>
          <w:lang w:eastAsia="cs-CZ"/>
        </w:rPr>
        <w:t xml:space="preserve"> </w:t>
      </w:r>
      <w:r>
        <w:rPr>
          <w:lang w:eastAsia="cs-CZ"/>
        </w:rPr>
        <w:t>3,16</w:t>
      </w:r>
      <w:r w:rsidRPr="009F7834">
        <w:rPr>
          <w:lang w:eastAsia="cs-CZ"/>
        </w:rPr>
        <w:t> p.</w:t>
      </w:r>
      <w:r>
        <w:rPr>
          <w:lang w:eastAsia="cs-CZ"/>
        </w:rPr>
        <w:t> </w:t>
      </w:r>
      <w:r w:rsidRPr="009F7834">
        <w:rPr>
          <w:lang w:eastAsia="cs-CZ"/>
        </w:rPr>
        <w:t xml:space="preserve">b., čo predstavuje </w:t>
      </w:r>
      <w:r>
        <w:rPr>
          <w:lang w:eastAsia="cs-CZ"/>
        </w:rPr>
        <w:t>pokles schodku</w:t>
      </w:r>
      <w:r>
        <w:rPr>
          <w:lang w:eastAsia="cs-CZ"/>
        </w:rPr>
        <w:br/>
      </w:r>
      <w:r w:rsidRPr="009F7834">
        <w:rPr>
          <w:lang w:eastAsia="cs-CZ"/>
        </w:rPr>
        <w:t>o</w:t>
      </w:r>
      <w:r>
        <w:rPr>
          <w:lang w:eastAsia="cs-CZ"/>
        </w:rPr>
        <w:t> 2 979 116</w:t>
      </w:r>
      <w:r w:rsidRPr="009F7834">
        <w:rPr>
          <w:lang w:eastAsia="cs-CZ"/>
        </w:rPr>
        <w:t> tis. eur.</w:t>
      </w:r>
    </w:p>
    <w:p w14:paraId="7A3C408A" w14:textId="5811440F" w:rsidR="00A13F85" w:rsidRPr="00653945" w:rsidRDefault="00A13F85" w:rsidP="00C37C5F">
      <w:pPr>
        <w:spacing w:after="120" w:line="240" w:lineRule="auto"/>
        <w:ind w:left="425"/>
        <w:jc w:val="both"/>
      </w:pPr>
      <w:r w:rsidRPr="007321DA">
        <w:rPr>
          <w:lang w:eastAsia="cs-CZ"/>
        </w:rPr>
        <w:t xml:space="preserve">Celkové príjmy verejnej správy za rok 2022 dosiahli </w:t>
      </w:r>
      <w:r w:rsidR="007321DA" w:rsidRPr="007321DA">
        <w:rPr>
          <w:lang w:eastAsia="cs-CZ"/>
        </w:rPr>
        <w:t>44 119 088</w:t>
      </w:r>
      <w:r w:rsidRPr="007321DA">
        <w:rPr>
          <w:lang w:eastAsia="cs-CZ"/>
        </w:rPr>
        <w:t> tis. eur (40,</w:t>
      </w:r>
      <w:r w:rsidR="007321DA" w:rsidRPr="007321DA">
        <w:rPr>
          <w:lang w:eastAsia="cs-CZ"/>
        </w:rPr>
        <w:t>2</w:t>
      </w:r>
      <w:r w:rsidRPr="007321DA">
        <w:rPr>
          <w:lang w:eastAsia="cs-CZ"/>
        </w:rPr>
        <w:t> % HDP) a celkové</w:t>
      </w:r>
      <w:r w:rsidRPr="007321DA">
        <w:t xml:space="preserve"> výdavky verejnej správy dosiahli </w:t>
      </w:r>
      <w:r w:rsidR="007321DA" w:rsidRPr="007321DA">
        <w:t>46 334 651</w:t>
      </w:r>
      <w:r w:rsidRPr="007321DA">
        <w:t> tis. eur (</w:t>
      </w:r>
      <w:r w:rsidR="007321DA" w:rsidRPr="007321DA">
        <w:t>42,3</w:t>
      </w:r>
      <w:r w:rsidRPr="007321DA">
        <w:t xml:space="preserve">% HDP) pri vyčíslenom HDP </w:t>
      </w:r>
      <w:r w:rsidR="007321DA" w:rsidRPr="007321DA">
        <w:t>109 645 184</w:t>
      </w:r>
      <w:r w:rsidRPr="007321DA">
        <w:t> tis. eur.</w:t>
      </w:r>
    </w:p>
    <w:p w14:paraId="27655145" w14:textId="49F59A3B" w:rsidR="00A13F85" w:rsidRPr="00653945" w:rsidRDefault="00A13F85" w:rsidP="00A13F85">
      <w:pPr>
        <w:pStyle w:val="Odsekzoznamu"/>
        <w:numPr>
          <w:ilvl w:val="0"/>
          <w:numId w:val="8"/>
        </w:numPr>
        <w:ind w:left="357" w:hanging="357"/>
        <w:jc w:val="both"/>
        <w:rPr>
          <w:rFonts w:eastAsiaTheme="minorHAnsi"/>
        </w:rPr>
      </w:pPr>
      <w:r w:rsidRPr="00653945">
        <w:rPr>
          <w:rFonts w:eastAsiaTheme="minorHAnsi"/>
          <w:b/>
          <w:color w:val="4F81BD" w:themeColor="accent1"/>
        </w:rPr>
        <w:t>Hrubý dlh verejnej správy</w:t>
      </w:r>
      <w:r w:rsidRPr="00653945">
        <w:rPr>
          <w:rFonts w:eastAsiaTheme="minorHAnsi"/>
          <w:color w:val="4F81BD" w:themeColor="accent1"/>
        </w:rPr>
        <w:t xml:space="preserve"> </w:t>
      </w:r>
      <w:r w:rsidRPr="00653945">
        <w:rPr>
          <w:rFonts w:eastAsiaTheme="minorHAnsi"/>
        </w:rPr>
        <w:t xml:space="preserve">podľa metodiky </w:t>
      </w:r>
      <w:r>
        <w:rPr>
          <w:rFonts w:eastAsiaTheme="minorHAnsi"/>
        </w:rPr>
        <w:t>ESA 2010 k 31.12.2022</w:t>
      </w:r>
      <w:r w:rsidRPr="00653945">
        <w:rPr>
          <w:rFonts w:eastAsiaTheme="minorHAnsi"/>
        </w:rPr>
        <w:t xml:space="preserve"> dosiahol </w:t>
      </w:r>
      <w:r w:rsidRPr="00653945">
        <w:rPr>
          <w:rFonts w:eastAsiaTheme="minorHAnsi"/>
          <w:b/>
        </w:rPr>
        <w:t>6</w:t>
      </w:r>
      <w:r>
        <w:rPr>
          <w:rFonts w:eastAsiaTheme="minorHAnsi"/>
          <w:b/>
        </w:rPr>
        <w:t>3 377 974</w:t>
      </w:r>
      <w:r w:rsidRPr="00653945">
        <w:rPr>
          <w:rFonts w:eastAsiaTheme="minorHAnsi"/>
          <w:b/>
        </w:rPr>
        <w:t> tis. eur (</w:t>
      </w:r>
      <w:r>
        <w:rPr>
          <w:rFonts w:eastAsiaTheme="minorHAnsi"/>
          <w:b/>
        </w:rPr>
        <w:t>57,8</w:t>
      </w:r>
      <w:r w:rsidRPr="00653945">
        <w:rPr>
          <w:rFonts w:eastAsiaTheme="minorHAnsi"/>
          <w:b/>
        </w:rPr>
        <w:t xml:space="preserve"> % HDP). </w:t>
      </w:r>
      <w:r w:rsidRPr="00653945">
        <w:rPr>
          <w:rFonts w:eastAsiaTheme="minorHAnsi"/>
        </w:rPr>
        <w:t>Oproti</w:t>
      </w:r>
      <w:r w:rsidRPr="00653945">
        <w:rPr>
          <w:rFonts w:eastAsiaTheme="minorHAnsi" w:cs="Times New Roman"/>
          <w:iCs/>
        </w:rPr>
        <w:t xml:space="preserve"> jarnej notifikácii došlo k jeho </w:t>
      </w:r>
      <w:r>
        <w:rPr>
          <w:rFonts w:eastAsiaTheme="minorHAnsi" w:cs="Times New Roman"/>
          <w:iCs/>
        </w:rPr>
        <w:t>revízie smerom nadol</w:t>
      </w:r>
      <w:r w:rsidRPr="00653945">
        <w:rPr>
          <w:rFonts w:eastAsiaTheme="minorHAnsi" w:cs="Times New Roman"/>
          <w:iCs/>
        </w:rPr>
        <w:t xml:space="preserve"> o</w:t>
      </w:r>
      <w:r w:rsidR="00144672">
        <w:rPr>
          <w:rFonts w:eastAsiaTheme="minorHAnsi" w:cs="Times New Roman"/>
          <w:iCs/>
        </w:rPr>
        <w:t> 808 tis. eur, pričom </w:t>
      </w:r>
      <w:r>
        <w:rPr>
          <w:rFonts w:eastAsiaTheme="minorHAnsi" w:cs="Times New Roman"/>
          <w:iCs/>
        </w:rPr>
        <w:t>v percentuálnom vyjadrení voči HDP sa dlh nezmenil.</w:t>
      </w:r>
      <w:r w:rsidRPr="00653945">
        <w:rPr>
          <w:rFonts w:eastAsiaTheme="minorHAnsi" w:cs="Times New Roman"/>
          <w:iCs/>
        </w:rPr>
        <w:t xml:space="preserve"> Medziročne sa dlh </w:t>
      </w:r>
      <w:r>
        <w:rPr>
          <w:rFonts w:eastAsiaTheme="minorHAnsi" w:cs="Times New Roman"/>
          <w:iCs/>
        </w:rPr>
        <w:t>znížil</w:t>
      </w:r>
      <w:r w:rsidRPr="00653945">
        <w:rPr>
          <w:rFonts w:eastAsiaTheme="minorHAnsi" w:cs="Times New Roman"/>
          <w:iCs/>
        </w:rPr>
        <w:t xml:space="preserve"> o</w:t>
      </w:r>
      <w:r>
        <w:rPr>
          <w:rFonts w:eastAsiaTheme="minorHAnsi" w:cs="Times New Roman"/>
          <w:iCs/>
        </w:rPr>
        <w:t> 3</w:t>
      </w:r>
      <w:r w:rsidR="00DC0F15">
        <w:rPr>
          <w:rFonts w:eastAsiaTheme="minorHAnsi" w:cs="Times New Roman"/>
          <w:iCs/>
        </w:rPr>
        <w:t>,3</w:t>
      </w:r>
      <w:r w:rsidRPr="00653945">
        <w:rPr>
          <w:rFonts w:eastAsiaTheme="minorHAnsi" w:cs="Times New Roman"/>
          <w:iCs/>
        </w:rPr>
        <w:t xml:space="preserve">  p. b., v nominálnom vyjadrení </w:t>
      </w:r>
      <w:r w:rsidR="00144672">
        <w:rPr>
          <w:rFonts w:eastAsiaTheme="minorHAnsi" w:cs="Times New Roman"/>
          <w:iCs/>
        </w:rPr>
        <w:t>však vzrástol o 2 140 217 tis. </w:t>
      </w:r>
      <w:r>
        <w:rPr>
          <w:rFonts w:eastAsiaTheme="minorHAnsi" w:cs="Times New Roman"/>
          <w:iCs/>
        </w:rPr>
        <w:t>eur</w:t>
      </w:r>
      <w:r w:rsidRPr="00653945">
        <w:rPr>
          <w:rFonts w:eastAsiaTheme="minorHAnsi" w:cs="Times New Roman"/>
          <w:iCs/>
        </w:rPr>
        <w:t>.</w:t>
      </w:r>
    </w:p>
    <w:p w14:paraId="74EB9CB4" w14:textId="77777777" w:rsidR="00A13F85" w:rsidRPr="00653945" w:rsidRDefault="00A13F85" w:rsidP="00A13F85">
      <w:pPr>
        <w:pStyle w:val="Odsekzoznamu"/>
        <w:ind w:left="357"/>
        <w:jc w:val="both"/>
        <w:rPr>
          <w:rFonts w:eastAsiaTheme="minorHAnsi"/>
        </w:rPr>
      </w:pPr>
    </w:p>
    <w:p w14:paraId="0DE7A107" w14:textId="7086BDE1" w:rsidR="00A13F85" w:rsidRPr="000E6732" w:rsidRDefault="00A13F85" w:rsidP="00A13F85">
      <w:pPr>
        <w:pStyle w:val="Odsekzoznamu"/>
        <w:numPr>
          <w:ilvl w:val="0"/>
          <w:numId w:val="8"/>
        </w:numPr>
        <w:ind w:left="357" w:hanging="357"/>
        <w:jc w:val="both"/>
        <w:rPr>
          <w:rFonts w:eastAsiaTheme="minorHAnsi"/>
        </w:rPr>
      </w:pPr>
      <w:r w:rsidRPr="000E6732">
        <w:rPr>
          <w:b/>
          <w:color w:val="4F81BD" w:themeColor="accent1"/>
        </w:rPr>
        <w:t>V rámci Európskej únie (27 krajín)</w:t>
      </w:r>
      <w:r w:rsidRPr="000E6732">
        <w:rPr>
          <w:color w:val="4F81BD" w:themeColor="accent1"/>
        </w:rPr>
        <w:t xml:space="preserve"> </w:t>
      </w:r>
      <w:r w:rsidRPr="000E6732">
        <w:t>v roku 202</w:t>
      </w:r>
      <w:r w:rsidR="000E6732" w:rsidRPr="000E6732">
        <w:t>2</w:t>
      </w:r>
      <w:r w:rsidRPr="000E6732">
        <w:t xml:space="preserve"> dosiahlo 1</w:t>
      </w:r>
      <w:r w:rsidR="000E6732" w:rsidRPr="000E6732">
        <w:t>5</w:t>
      </w:r>
      <w:r w:rsidRPr="000E6732">
        <w:t xml:space="preserve"> krajín vyšší schodok a 13 krajín dosiahlo vyšší dlh verejnej správy ako Slovenská republika. </w:t>
      </w:r>
      <w:r w:rsidRPr="000E6732">
        <w:rPr>
          <w:b/>
        </w:rPr>
        <w:t>Priemerný schodok EÚ27 bol </w:t>
      </w:r>
      <w:r w:rsidR="000E6732" w:rsidRPr="000E6732">
        <w:rPr>
          <w:b/>
        </w:rPr>
        <w:t>3,3</w:t>
      </w:r>
      <w:r w:rsidRPr="000E6732">
        <w:rPr>
          <w:b/>
        </w:rPr>
        <w:t> % HDP a priemerný dlh verejnej správy EÚ27 bol </w:t>
      </w:r>
      <w:r w:rsidR="000E6732" w:rsidRPr="000E6732">
        <w:rPr>
          <w:b/>
        </w:rPr>
        <w:t>83,5</w:t>
      </w:r>
      <w:r w:rsidRPr="000E6732">
        <w:rPr>
          <w:b/>
        </w:rPr>
        <w:t> % HDP v roku 202</w:t>
      </w:r>
      <w:r w:rsidR="000E6732" w:rsidRPr="000E6732">
        <w:rPr>
          <w:b/>
        </w:rPr>
        <w:t>2</w:t>
      </w:r>
      <w:r w:rsidRPr="000E6732">
        <w:rPr>
          <w:b/>
        </w:rPr>
        <w:t xml:space="preserve">. </w:t>
      </w:r>
      <w:r w:rsidRPr="000E6732">
        <w:t>V priemere sa schodok EÚ27 medziročne zlepšil o </w:t>
      </w:r>
      <w:r w:rsidR="000E6732">
        <w:t>1,4</w:t>
      </w:r>
      <w:r w:rsidRPr="000E6732">
        <w:t xml:space="preserve"> p. b. (deficit SR </w:t>
      </w:r>
      <w:r w:rsidR="000E6732">
        <w:t>kles</w:t>
      </w:r>
      <w:r w:rsidRPr="000E6732">
        <w:t>o</w:t>
      </w:r>
      <w:r w:rsidR="000E6732">
        <w:t>l o 3,2</w:t>
      </w:r>
      <w:r w:rsidRPr="000E6732">
        <w:t> p. b.) a hrubý d</w:t>
      </w:r>
      <w:r w:rsidR="000E6732">
        <w:t>lh EÚ27 sa medziročne znížil o 3,9 p. b. (dlh SR pokles</w:t>
      </w:r>
      <w:r w:rsidRPr="000E6732">
        <w:t>ol o 3,3 p. b.).</w:t>
      </w:r>
    </w:p>
    <w:p w14:paraId="0B75476C" w14:textId="77777777" w:rsidR="003C1501" w:rsidRPr="003C1501" w:rsidRDefault="003C1501" w:rsidP="003C1501">
      <w:pPr>
        <w:pStyle w:val="Odsekzoznamu"/>
        <w:rPr>
          <w:rFonts w:eastAsiaTheme="minorHAnsi"/>
        </w:rPr>
      </w:pPr>
    </w:p>
    <w:p w14:paraId="44B7EEFB" w14:textId="49DCEF8B" w:rsidR="00A13F85" w:rsidRPr="003C1501" w:rsidRDefault="003C1501" w:rsidP="003C1501">
      <w:pPr>
        <w:pStyle w:val="Odsekzoznamu"/>
        <w:numPr>
          <w:ilvl w:val="0"/>
          <w:numId w:val="8"/>
        </w:numPr>
        <w:ind w:left="357" w:hanging="357"/>
        <w:jc w:val="both"/>
        <w:rPr>
          <w:rFonts w:eastAsiaTheme="minorHAnsi"/>
        </w:rPr>
      </w:pPr>
      <w:r w:rsidRPr="003C1501">
        <w:rPr>
          <w:b/>
          <w:color w:val="4F81BD" w:themeColor="accent1"/>
        </w:rPr>
        <w:t>Štrukturálne saldo dosiahlo</w:t>
      </w:r>
      <w:r w:rsidRPr="003C1501">
        <w:rPr>
          <w:color w:val="4F81BD" w:themeColor="accent1"/>
        </w:rPr>
        <w:t xml:space="preserve"> </w:t>
      </w:r>
      <w:r w:rsidRPr="003C1501">
        <w:t xml:space="preserve">v roku 2022 hodnotu -1,4 % HDP a medziročne kleslo o 0,7 p. b. v pomere k HDP. V roku 2022 boli identifikované </w:t>
      </w:r>
      <w:r w:rsidRPr="003C1501">
        <w:rPr>
          <w:u w:val="single"/>
        </w:rPr>
        <w:t>jednorazové vplyvy</w:t>
      </w:r>
      <w:r w:rsidRPr="003C1501">
        <w:t xml:space="preserve"> o 2,6 p. b. voči HDP nižšie ako v roku 2021. Jednorazové vplyvy súviseli najmä s pandémiou COVID-19 približne za 698 mil. eur. </w:t>
      </w:r>
      <w:r w:rsidRPr="003C1501">
        <w:rPr>
          <w:u w:val="single"/>
        </w:rPr>
        <w:t>Cyklický vývoj</w:t>
      </w:r>
      <w:r w:rsidRPr="003C1501">
        <w:t xml:space="preserve"> mal v roku 2022 mierne negatívny vplyv na štrukturálne sal</w:t>
      </w:r>
      <w:r w:rsidR="00C37C5F">
        <w:t>do verejnej správy vo výške 0,3 </w:t>
      </w:r>
      <w:r w:rsidRPr="003C1501">
        <w:t>% HDP, čo je o 0,2</w:t>
      </w:r>
      <w:r w:rsidR="00C37C5F">
        <w:t> </w:t>
      </w:r>
      <w:r w:rsidRPr="003C1501">
        <w:t>p. b. viac ako v roku 2021.V roku 2022  sa ekonomika oproti predošlému roku dostala mierne nad svoj potenciál v súvislosti s odznievaním pandémie COVID-19 a oživením globálnej ekonomiky, no na druhej strane vyšší rast ekonomiky bol brzdený vojenským konfliktom</w:t>
      </w:r>
      <w:r w:rsidR="00144672">
        <w:t xml:space="preserve"> na </w:t>
      </w:r>
      <w:r w:rsidRPr="003C1501">
        <w:t>Ukrajine.</w:t>
      </w:r>
    </w:p>
    <w:p w14:paraId="1C38C4F1" w14:textId="77777777" w:rsidR="003C1501" w:rsidRPr="005F5625" w:rsidRDefault="003C1501" w:rsidP="00A13F85">
      <w:pPr>
        <w:pStyle w:val="Odsekzoznamu"/>
        <w:ind w:left="357"/>
        <w:jc w:val="both"/>
      </w:pPr>
    </w:p>
    <w:p w14:paraId="5F57F6B0" w14:textId="37EBE534" w:rsidR="00A13F85" w:rsidRPr="007A7425" w:rsidRDefault="00A13F85" w:rsidP="00A13F85">
      <w:pPr>
        <w:pStyle w:val="Odsekzoznamu"/>
        <w:numPr>
          <w:ilvl w:val="0"/>
          <w:numId w:val="8"/>
        </w:numPr>
        <w:jc w:val="both"/>
        <w:rPr>
          <w:rFonts w:eastAsia="Calibri" w:cs="Times New Roman"/>
        </w:rPr>
      </w:pPr>
      <w:r w:rsidRPr="007A7425">
        <w:rPr>
          <w:rFonts w:eastAsia="Calibri" w:cs="Times New Roman"/>
          <w:b/>
          <w:color w:val="4F81BD" w:themeColor="accent1"/>
        </w:rPr>
        <w:t xml:space="preserve">Čisté bohatstvo </w:t>
      </w:r>
      <w:r w:rsidRPr="007A7425">
        <w:rPr>
          <w:rFonts w:eastAsia="Calibri" w:cs="Times New Roman"/>
          <w:b/>
        </w:rPr>
        <w:t>verejného sektora dosiahlo k 31.12.202</w:t>
      </w:r>
      <w:r w:rsidR="007A7425" w:rsidRPr="007A7425">
        <w:rPr>
          <w:rFonts w:eastAsia="Calibri" w:cs="Times New Roman"/>
          <w:b/>
        </w:rPr>
        <w:t>2</w:t>
      </w:r>
      <w:r w:rsidRPr="007A7425">
        <w:rPr>
          <w:rFonts w:eastAsia="Calibri" w:cs="Times New Roman"/>
          <w:b/>
        </w:rPr>
        <w:t xml:space="preserve"> zápornú hodnotu </w:t>
      </w:r>
      <w:r w:rsidR="007A7425" w:rsidRPr="007A7425">
        <w:rPr>
          <w:rFonts w:eastAsia="Calibri" w:cs="Times New Roman"/>
          <w:b/>
        </w:rPr>
        <w:t>385,</w:t>
      </w:r>
      <w:r w:rsidR="00D27136">
        <w:rPr>
          <w:rFonts w:eastAsia="Calibri" w:cs="Times New Roman"/>
          <w:b/>
        </w:rPr>
        <w:t>89</w:t>
      </w:r>
      <w:r w:rsidRPr="007A7425">
        <w:rPr>
          <w:rFonts w:eastAsia="Calibri" w:cs="Times New Roman"/>
          <w:b/>
        </w:rPr>
        <w:t> % HDP</w:t>
      </w:r>
      <w:r w:rsidR="00144672">
        <w:rPr>
          <w:rFonts w:eastAsia="Calibri" w:cs="Times New Roman"/>
        </w:rPr>
        <w:t>. Oproti </w:t>
      </w:r>
      <w:r w:rsidRPr="007A7425">
        <w:rPr>
          <w:rFonts w:eastAsia="Calibri" w:cs="Times New Roman"/>
        </w:rPr>
        <w:t xml:space="preserve">predchádzajúcemu roku sa </w:t>
      </w:r>
      <w:r w:rsidR="007A7425" w:rsidRPr="007A7425">
        <w:rPr>
          <w:rFonts w:eastAsia="Calibri" w:cs="Times New Roman"/>
        </w:rPr>
        <w:t>znížil</w:t>
      </w:r>
      <w:r w:rsidRPr="007A7425">
        <w:rPr>
          <w:rFonts w:eastAsia="Calibri" w:cs="Times New Roman"/>
        </w:rPr>
        <w:t xml:space="preserve"> negatívny podiel na HDP o takmer </w:t>
      </w:r>
      <w:r w:rsidR="007A7425" w:rsidRPr="007A7425">
        <w:rPr>
          <w:rFonts w:eastAsia="Calibri" w:cs="Times New Roman"/>
        </w:rPr>
        <w:t xml:space="preserve">63 </w:t>
      </w:r>
      <w:r w:rsidRPr="007A7425">
        <w:rPr>
          <w:rFonts w:eastAsia="Calibri" w:cs="Times New Roman"/>
        </w:rPr>
        <w:t xml:space="preserve">p. b. Zníženie </w:t>
      </w:r>
      <w:r w:rsidR="007A7425" w:rsidRPr="007A7425">
        <w:rPr>
          <w:rFonts w:eastAsia="Calibri" w:cs="Times New Roman"/>
        </w:rPr>
        <w:t xml:space="preserve">záporného </w:t>
      </w:r>
      <w:r w:rsidRPr="007A7425">
        <w:rPr>
          <w:rFonts w:eastAsia="Calibri" w:cs="Times New Roman"/>
        </w:rPr>
        <w:t>čistého bohatstva bolo spôsobené najmä medziročnou zmenou v implicitných záväzkoch (</w:t>
      </w:r>
      <w:r w:rsidR="007A7425" w:rsidRPr="007A7425">
        <w:rPr>
          <w:rFonts w:eastAsia="Calibri" w:cs="Times New Roman"/>
        </w:rPr>
        <w:t xml:space="preserve">pozitívna </w:t>
      </w:r>
      <w:r w:rsidRPr="007A7425">
        <w:rPr>
          <w:rFonts w:eastAsia="Calibri" w:cs="Times New Roman"/>
        </w:rPr>
        <w:t>zmena </w:t>
      </w:r>
      <w:r w:rsidR="007A7425" w:rsidRPr="007A7425">
        <w:rPr>
          <w:rFonts w:eastAsia="Calibri" w:cs="Times New Roman"/>
        </w:rPr>
        <w:t>o takmer 68</w:t>
      </w:r>
      <w:r w:rsidRPr="007A7425">
        <w:rPr>
          <w:rFonts w:eastAsia="Calibri" w:cs="Times New Roman"/>
        </w:rPr>
        <w:t xml:space="preserve"> p. b.), ktoré zároveň tvoria najväčšiu časť záporného čistého bohatstva. </w:t>
      </w:r>
      <w:r w:rsidRPr="007A7425">
        <w:rPr>
          <w:rFonts w:eastAsia="Calibri"/>
        </w:rPr>
        <w:t xml:space="preserve">K medziročnému </w:t>
      </w:r>
      <w:r w:rsidR="007A7425" w:rsidRPr="007A7425">
        <w:rPr>
          <w:rFonts w:eastAsia="Calibri"/>
        </w:rPr>
        <w:t>zníženiu</w:t>
      </w:r>
      <w:r w:rsidRPr="007A7425">
        <w:rPr>
          <w:rFonts w:eastAsia="Calibri"/>
        </w:rPr>
        <w:t xml:space="preserve"> implicitných záväzkov v roku 202</w:t>
      </w:r>
      <w:r w:rsidR="007A7425" w:rsidRPr="007A7425">
        <w:rPr>
          <w:rFonts w:eastAsia="Calibri"/>
        </w:rPr>
        <w:t>2</w:t>
      </w:r>
      <w:r w:rsidRPr="007A7425">
        <w:rPr>
          <w:rFonts w:eastAsia="Calibri"/>
        </w:rPr>
        <w:t xml:space="preserve"> prispeli </w:t>
      </w:r>
      <w:r w:rsidR="007A7425" w:rsidRPr="007A7425">
        <w:rPr>
          <w:rFonts w:eastAsia="Calibri"/>
        </w:rPr>
        <w:t>najmä</w:t>
      </w:r>
      <w:r w:rsidRPr="007A7425">
        <w:rPr>
          <w:rFonts w:eastAsia="Calibri"/>
        </w:rPr>
        <w:t xml:space="preserve"> zmeny ovplyvňujúce záväzky zo starnutia populácie, ktoré </w:t>
      </w:r>
      <w:r w:rsidR="007A7425" w:rsidRPr="007A7425">
        <w:rPr>
          <w:rFonts w:eastAsia="Calibri"/>
        </w:rPr>
        <w:t>poklesli</w:t>
      </w:r>
      <w:r w:rsidRPr="007A7425">
        <w:rPr>
          <w:rFonts w:eastAsia="Calibri"/>
        </w:rPr>
        <w:t xml:space="preserve"> o</w:t>
      </w:r>
      <w:r w:rsidR="00144672">
        <w:rPr>
          <w:rFonts w:eastAsia="Calibri"/>
        </w:rPr>
        <w:t> 29,4 </w:t>
      </w:r>
      <w:r w:rsidR="007A7425" w:rsidRPr="007A7425">
        <w:rPr>
          <w:rFonts w:eastAsia="Calibri"/>
        </w:rPr>
        <w:t>p.</w:t>
      </w:r>
      <w:r w:rsidR="00144672">
        <w:rPr>
          <w:rFonts w:eastAsia="Calibri"/>
        </w:rPr>
        <w:t> </w:t>
      </w:r>
      <w:r w:rsidR="007A7425" w:rsidRPr="007A7425">
        <w:rPr>
          <w:rFonts w:eastAsia="Calibri"/>
        </w:rPr>
        <w:t>b. a záväzky</w:t>
      </w:r>
      <w:r w:rsidRPr="007A7425">
        <w:rPr>
          <w:rFonts w:cs="Times New Roman"/>
        </w:rPr>
        <w:t xml:space="preserve"> </w:t>
      </w:r>
      <w:r w:rsidR="007A7425" w:rsidRPr="007A7425">
        <w:rPr>
          <w:rFonts w:cs="Times New Roman"/>
        </w:rPr>
        <w:t>na zdravotníctvo o 21,7 p.</w:t>
      </w:r>
      <w:r w:rsidR="00144672">
        <w:rPr>
          <w:rFonts w:cs="Times New Roman"/>
        </w:rPr>
        <w:t> </w:t>
      </w:r>
      <w:r w:rsidR="007A7425" w:rsidRPr="007A7425">
        <w:rPr>
          <w:rFonts w:cs="Times New Roman"/>
        </w:rPr>
        <w:t>b.</w:t>
      </w:r>
    </w:p>
    <w:p w14:paraId="4C9FA02B" w14:textId="77777777" w:rsidR="00A13F85" w:rsidRPr="00905F22" w:rsidRDefault="00A13F85" w:rsidP="00A13F85">
      <w:pPr>
        <w:pStyle w:val="Odsekzoznamu"/>
        <w:ind w:left="360"/>
        <w:jc w:val="both"/>
        <w:rPr>
          <w:rFonts w:eastAsia="Calibri" w:cs="Times New Roman"/>
        </w:rPr>
      </w:pPr>
    </w:p>
    <w:p w14:paraId="22D0707B" w14:textId="1F9C1B85" w:rsidR="00A13F85" w:rsidRPr="00167C30" w:rsidRDefault="00A13F85" w:rsidP="00A13F85">
      <w:pPr>
        <w:pStyle w:val="Odsekzoznamu"/>
        <w:numPr>
          <w:ilvl w:val="0"/>
          <w:numId w:val="8"/>
        </w:numPr>
        <w:ind w:left="357" w:hanging="357"/>
        <w:jc w:val="both"/>
        <w:rPr>
          <w:rFonts w:eastAsia="Calibri" w:cs="Times New Roman"/>
        </w:rPr>
      </w:pPr>
      <w:r w:rsidRPr="00167C30">
        <w:rPr>
          <w:rFonts w:eastAsia="Calibri" w:cs="Times New Roman"/>
          <w:b/>
          <w:color w:val="4F81BD" w:themeColor="accent1"/>
        </w:rPr>
        <w:t>Hodnota aktív ako</w:t>
      </w:r>
      <w:r>
        <w:rPr>
          <w:rFonts w:eastAsia="Calibri" w:cs="Times New Roman"/>
          <w:b/>
          <w:color w:val="4F81BD" w:themeColor="accent1"/>
        </w:rPr>
        <w:t xml:space="preserve"> </w:t>
      </w:r>
      <w:r w:rsidRPr="00167C30">
        <w:rPr>
          <w:rFonts w:eastAsia="Calibri" w:cs="Times New Roman"/>
          <w:b/>
          <w:color w:val="4F81BD" w:themeColor="accent1"/>
        </w:rPr>
        <w:t>aj pasív súhrnného celku</w:t>
      </w:r>
      <w:r w:rsidRPr="00167C30">
        <w:rPr>
          <w:rFonts w:eastAsia="Calibri" w:cs="Times New Roman"/>
          <w:b/>
        </w:rPr>
        <w:t xml:space="preserve"> verejnej správy k 31.12.202</w:t>
      </w:r>
      <w:r>
        <w:rPr>
          <w:rFonts w:eastAsia="Calibri" w:cs="Times New Roman"/>
          <w:b/>
        </w:rPr>
        <w:t>2</w:t>
      </w:r>
      <w:r w:rsidRPr="00167C30">
        <w:rPr>
          <w:rFonts w:eastAsia="Calibri" w:cs="Times New Roman"/>
          <w:b/>
        </w:rPr>
        <w:t xml:space="preserve"> bola</w:t>
      </w:r>
      <w:r w:rsidRPr="00167C30">
        <w:rPr>
          <w:rFonts w:eastAsia="Calibri" w:cs="Times New Roman"/>
          <w:b/>
        </w:rPr>
        <w:br/>
      </w:r>
      <w:r>
        <w:rPr>
          <w:rFonts w:eastAsia="Calibri" w:cs="Times New Roman"/>
          <w:b/>
        </w:rPr>
        <w:t>85</w:t>
      </w:r>
      <w:r w:rsidR="001B5F32">
        <w:rPr>
          <w:rFonts w:eastAsia="Calibri" w:cs="Times New Roman"/>
          <w:b/>
        </w:rPr>
        <w:t> </w:t>
      </w:r>
      <w:r>
        <w:rPr>
          <w:rFonts w:eastAsia="Calibri" w:cs="Times New Roman"/>
          <w:b/>
        </w:rPr>
        <w:t>585</w:t>
      </w:r>
      <w:r w:rsidR="001B5F32">
        <w:rPr>
          <w:rFonts w:eastAsia="Calibri" w:cs="Times New Roman"/>
          <w:b/>
        </w:rPr>
        <w:t> </w:t>
      </w:r>
      <w:r>
        <w:rPr>
          <w:rFonts w:eastAsia="Calibri" w:cs="Times New Roman"/>
          <w:b/>
        </w:rPr>
        <w:t>278 tis. </w:t>
      </w:r>
      <w:r w:rsidRPr="00167C30">
        <w:rPr>
          <w:rFonts w:eastAsia="Calibri" w:cs="Times New Roman"/>
          <w:b/>
        </w:rPr>
        <w:t>eur</w:t>
      </w:r>
      <w:r w:rsidRPr="00167C30">
        <w:rPr>
          <w:rFonts w:eastAsia="Calibri" w:cs="Times New Roman"/>
        </w:rPr>
        <w:t xml:space="preserve"> (81,3</w:t>
      </w:r>
      <w:r>
        <w:rPr>
          <w:rFonts w:eastAsia="Calibri" w:cs="Times New Roman"/>
        </w:rPr>
        <w:t> % </w:t>
      </w:r>
      <w:r w:rsidRPr="00167C30">
        <w:rPr>
          <w:rFonts w:eastAsia="Calibri" w:cs="Times New Roman"/>
        </w:rPr>
        <w:t>HDP) a medziročne sa zvýšili o</w:t>
      </w:r>
      <w:r>
        <w:rPr>
          <w:rFonts w:eastAsia="Calibri" w:cs="Times New Roman"/>
        </w:rPr>
        <w:t> 6</w:t>
      </w:r>
      <w:r w:rsidR="00144672">
        <w:rPr>
          <w:rFonts w:eastAsia="Calibri" w:cs="Times New Roman"/>
        </w:rPr>
        <w:t> 517 442 tis. </w:t>
      </w:r>
      <w:r>
        <w:rPr>
          <w:rFonts w:eastAsia="Calibri" w:cs="Times New Roman"/>
        </w:rPr>
        <w:t>eur</w:t>
      </w:r>
      <w:r w:rsidRPr="00167C30">
        <w:rPr>
          <w:rFonts w:eastAsia="Calibri" w:cs="Times New Roman"/>
        </w:rPr>
        <w:t xml:space="preserve"> (9,2</w:t>
      </w:r>
      <w:r>
        <w:rPr>
          <w:rFonts w:eastAsia="Calibri" w:cs="Times New Roman"/>
        </w:rPr>
        <w:t> % </w:t>
      </w:r>
      <w:r w:rsidRPr="00167C30">
        <w:rPr>
          <w:rFonts w:eastAsia="Calibri" w:cs="Times New Roman"/>
        </w:rPr>
        <w:t>HDP). Z položiek aktív rástla najmä hodnota stavieb o 1 761</w:t>
      </w:r>
      <w:r>
        <w:rPr>
          <w:rFonts w:eastAsia="Calibri" w:cs="Times New Roman"/>
        </w:rPr>
        <w:t> </w:t>
      </w:r>
      <w:r w:rsidRPr="00167C30">
        <w:rPr>
          <w:rFonts w:eastAsia="Calibri" w:cs="Times New Roman"/>
        </w:rPr>
        <w:t>855</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eur (za</w:t>
      </w:r>
      <w:r w:rsidR="00144672">
        <w:rPr>
          <w:rFonts w:eastAsia="Calibri" w:cs="Times New Roman"/>
        </w:rPr>
        <w:t>radenie dopravných projektov do </w:t>
      </w:r>
      <w:r w:rsidRPr="00167C30">
        <w:rPr>
          <w:rFonts w:eastAsia="Calibri" w:cs="Times New Roman"/>
        </w:rPr>
        <w:t>užívania, diaľnice, cesty, železničné objekty a podobne), poskytnuté preddavky na majetok o 399</w:t>
      </w:r>
      <w:r>
        <w:rPr>
          <w:rFonts w:eastAsia="Calibri" w:cs="Times New Roman"/>
        </w:rPr>
        <w:t> </w:t>
      </w:r>
      <w:r w:rsidRPr="00167C30">
        <w:rPr>
          <w:rFonts w:eastAsia="Calibri" w:cs="Times New Roman"/>
        </w:rPr>
        <w:t>052</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eur (napríklad</w:t>
      </w:r>
      <w:r>
        <w:rPr>
          <w:rFonts w:eastAsia="Calibri" w:cs="Times New Roman"/>
        </w:rPr>
        <w:t xml:space="preserve"> v rámci kontraktu na</w:t>
      </w:r>
      <w:r w:rsidRPr="00167C30">
        <w:rPr>
          <w:rFonts w:eastAsia="Calibri" w:cs="Times New Roman"/>
        </w:rPr>
        <w:t xml:space="preserve"> dodávku bojových lietadiel pre armádu SR), pohľadávky</w:t>
      </w:r>
      <w:r>
        <w:rPr>
          <w:rFonts w:eastAsia="Calibri" w:cs="Times New Roman"/>
        </w:rPr>
        <w:t xml:space="preserve"> o </w:t>
      </w:r>
      <w:r w:rsidRPr="00167C30">
        <w:rPr>
          <w:rFonts w:eastAsia="Calibri" w:cs="Times New Roman"/>
        </w:rPr>
        <w:t>1 055</w:t>
      </w:r>
      <w:r>
        <w:rPr>
          <w:rFonts w:eastAsia="Calibri" w:cs="Times New Roman"/>
        </w:rPr>
        <w:t> </w:t>
      </w:r>
      <w:r w:rsidRPr="00167C30">
        <w:rPr>
          <w:rFonts w:eastAsia="Calibri" w:cs="Times New Roman"/>
        </w:rPr>
        <w:t>347</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eur a účty Štátnej pokladnice o 1 542</w:t>
      </w:r>
      <w:r>
        <w:rPr>
          <w:rFonts w:eastAsia="Calibri" w:cs="Times New Roman"/>
        </w:rPr>
        <w:t> </w:t>
      </w:r>
      <w:r w:rsidRPr="00167C30">
        <w:rPr>
          <w:rFonts w:eastAsia="Calibri" w:cs="Times New Roman"/>
        </w:rPr>
        <w:t>244</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eur. Z pasív vzrástli najmä záväzky, ako napríklad vydané štátne dlhopisy o 5 341</w:t>
      </w:r>
      <w:r>
        <w:rPr>
          <w:rFonts w:eastAsia="Calibri" w:cs="Times New Roman"/>
        </w:rPr>
        <w:t> </w:t>
      </w:r>
      <w:r w:rsidRPr="00167C30">
        <w:rPr>
          <w:rFonts w:eastAsia="Calibri" w:cs="Times New Roman"/>
        </w:rPr>
        <w:t>572</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eur, rezervy na zamestnanecké požitky o 7 323</w:t>
      </w:r>
      <w:r>
        <w:rPr>
          <w:rFonts w:eastAsia="Calibri" w:cs="Times New Roman"/>
        </w:rPr>
        <w:t> </w:t>
      </w:r>
      <w:r w:rsidRPr="00167C30">
        <w:rPr>
          <w:rFonts w:eastAsia="Calibri" w:cs="Times New Roman"/>
        </w:rPr>
        <w:t>712</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 xml:space="preserve">eur </w:t>
      </w:r>
      <w:r>
        <w:rPr>
          <w:rFonts w:eastAsia="Calibri" w:cs="Times New Roman"/>
        </w:rPr>
        <w:t>a časové rozlíšenie o 1 447 384 </w:t>
      </w:r>
      <w:r w:rsidRPr="00167C30">
        <w:rPr>
          <w:rFonts w:eastAsia="Calibri" w:cs="Times New Roman"/>
        </w:rPr>
        <w:t>tis.</w:t>
      </w:r>
      <w:r>
        <w:rPr>
          <w:rFonts w:eastAsia="Calibri" w:cs="Times New Roman"/>
        </w:rPr>
        <w:t> </w:t>
      </w:r>
      <w:r w:rsidRPr="00167C30">
        <w:rPr>
          <w:rFonts w:eastAsia="Calibri" w:cs="Times New Roman"/>
        </w:rPr>
        <w:t>eur. Vlastné imanie vykázané v súhrnnej účtovnej závierke medziročne pokleslo o 12 600</w:t>
      </w:r>
      <w:r>
        <w:rPr>
          <w:rFonts w:eastAsia="Calibri" w:cs="Times New Roman"/>
        </w:rPr>
        <w:t> </w:t>
      </w:r>
      <w:r w:rsidRPr="00167C30">
        <w:rPr>
          <w:rFonts w:eastAsia="Calibri" w:cs="Times New Roman"/>
        </w:rPr>
        <w:t>519</w:t>
      </w:r>
      <w:r>
        <w:rPr>
          <w:rFonts w:eastAsia="Calibri" w:cs="Times New Roman"/>
        </w:rPr>
        <w:t> </w:t>
      </w:r>
      <w:r w:rsidRPr="00167C30">
        <w:rPr>
          <w:rFonts w:eastAsia="Calibri" w:cs="Times New Roman"/>
        </w:rPr>
        <w:t>tis.</w:t>
      </w:r>
      <w:r>
        <w:rPr>
          <w:rFonts w:eastAsia="Calibri" w:cs="Times New Roman"/>
        </w:rPr>
        <w:t> </w:t>
      </w:r>
      <w:r w:rsidRPr="00167C30">
        <w:rPr>
          <w:rFonts w:eastAsia="Calibri" w:cs="Times New Roman"/>
        </w:rPr>
        <w:t xml:space="preserve">eur. </w:t>
      </w:r>
    </w:p>
    <w:p w14:paraId="3177F6E0" w14:textId="77777777" w:rsidR="00A13F85" w:rsidRPr="00FD1FEA" w:rsidRDefault="00A13F85" w:rsidP="00A13F85">
      <w:pPr>
        <w:pStyle w:val="Odsekzoznamu"/>
        <w:rPr>
          <w:rFonts w:eastAsia="Calibri" w:cs="Times New Roman"/>
          <w:highlight w:val="yellow"/>
        </w:rPr>
      </w:pPr>
    </w:p>
    <w:p w14:paraId="6246C132" w14:textId="47533453" w:rsidR="00A13F85" w:rsidRPr="00A13F85" w:rsidRDefault="00A13F85" w:rsidP="00A13F85">
      <w:pPr>
        <w:pStyle w:val="Odsekzoznamu"/>
        <w:numPr>
          <w:ilvl w:val="0"/>
          <w:numId w:val="8"/>
        </w:numPr>
        <w:ind w:left="357" w:hanging="357"/>
        <w:jc w:val="both"/>
      </w:pPr>
      <w:r w:rsidRPr="005E7420">
        <w:rPr>
          <w:rFonts w:eastAsia="Calibri" w:cs="Times New Roman"/>
          <w:b/>
          <w:color w:val="4F81BD" w:themeColor="accent1"/>
        </w:rPr>
        <w:t xml:space="preserve">Účtovný výsledok hospodárenia </w:t>
      </w:r>
      <w:r w:rsidRPr="005E7420">
        <w:rPr>
          <w:rFonts w:eastAsia="Calibri" w:cs="Times New Roman"/>
          <w:b/>
        </w:rPr>
        <w:t>dosiahol </w:t>
      </w:r>
      <w:r>
        <w:rPr>
          <w:rFonts w:eastAsia="Calibri" w:cs="Times New Roman"/>
          <w:b/>
        </w:rPr>
        <w:t xml:space="preserve">12 973 732 </w:t>
      </w:r>
      <w:r w:rsidRPr="005E7420">
        <w:rPr>
          <w:rFonts w:eastAsia="Calibri" w:cs="Times New Roman"/>
          <w:b/>
        </w:rPr>
        <w:t>tis. eur</w:t>
      </w:r>
      <w:r w:rsidRPr="005E7420">
        <w:rPr>
          <w:rFonts w:eastAsia="Calibri" w:cs="Times New Roman"/>
        </w:rPr>
        <w:t>, čo j</w:t>
      </w:r>
      <w:r>
        <w:rPr>
          <w:rFonts w:eastAsia="Calibri" w:cs="Times New Roman"/>
        </w:rPr>
        <w:t>e lepší výsledok ako minulý rok až o 19</w:t>
      </w:r>
      <w:r w:rsidR="00C37C5F">
        <w:rPr>
          <w:rFonts w:eastAsia="Calibri" w:cs="Times New Roman"/>
        </w:rPr>
        <w:t> </w:t>
      </w:r>
      <w:r>
        <w:rPr>
          <w:rFonts w:eastAsia="Calibri" w:cs="Times New Roman"/>
        </w:rPr>
        <w:t>216</w:t>
      </w:r>
      <w:r w:rsidR="00C37C5F">
        <w:rPr>
          <w:rFonts w:eastAsia="Calibri" w:cs="Times New Roman"/>
        </w:rPr>
        <w:t> </w:t>
      </w:r>
      <w:r>
        <w:rPr>
          <w:rFonts w:eastAsia="Calibri" w:cs="Times New Roman"/>
        </w:rPr>
        <w:t>493</w:t>
      </w:r>
      <w:r w:rsidRPr="005E7420">
        <w:rPr>
          <w:rFonts w:eastAsia="Calibri" w:cs="Times New Roman"/>
        </w:rPr>
        <w:t> tis. eur. Celkové náklady z výkazu</w:t>
      </w:r>
      <w:r>
        <w:rPr>
          <w:rFonts w:eastAsia="Calibri" w:cs="Times New Roman"/>
        </w:rPr>
        <w:t xml:space="preserve"> ziskov a strát súhrnného celku </w:t>
      </w:r>
      <w:r w:rsidRPr="005E7420">
        <w:rPr>
          <w:rFonts w:eastAsia="Calibri" w:cs="Times New Roman"/>
        </w:rPr>
        <w:t>dosiahli </w:t>
      </w:r>
      <w:r>
        <w:rPr>
          <w:rFonts w:eastAsia="Calibri" w:cs="Times New Roman"/>
        </w:rPr>
        <w:t>65</w:t>
      </w:r>
      <w:r w:rsidR="00C37C5F">
        <w:rPr>
          <w:rFonts w:eastAsia="Calibri" w:cs="Times New Roman"/>
        </w:rPr>
        <w:t> </w:t>
      </w:r>
      <w:r>
        <w:rPr>
          <w:rFonts w:eastAsia="Calibri" w:cs="Times New Roman"/>
        </w:rPr>
        <w:t>481</w:t>
      </w:r>
      <w:r w:rsidR="00C37C5F">
        <w:rPr>
          <w:rFonts w:eastAsia="Calibri" w:cs="Times New Roman"/>
        </w:rPr>
        <w:t> </w:t>
      </w:r>
      <w:r>
        <w:rPr>
          <w:rFonts w:eastAsia="Calibri" w:cs="Times New Roman"/>
        </w:rPr>
        <w:t>864</w:t>
      </w:r>
      <w:r w:rsidRPr="005E7420">
        <w:rPr>
          <w:rFonts w:eastAsia="Calibri" w:cs="Times New Roman"/>
        </w:rPr>
        <w:t> tis. eur a celkové výnosy dosiahli </w:t>
      </w:r>
      <w:r>
        <w:rPr>
          <w:rFonts w:eastAsia="Calibri" w:cs="Times New Roman"/>
        </w:rPr>
        <w:t>78</w:t>
      </w:r>
      <w:r w:rsidR="00C37C5F">
        <w:rPr>
          <w:rFonts w:eastAsia="Calibri" w:cs="Times New Roman"/>
        </w:rPr>
        <w:t> </w:t>
      </w:r>
      <w:r>
        <w:rPr>
          <w:rFonts w:eastAsia="Calibri" w:cs="Times New Roman"/>
        </w:rPr>
        <w:t>455</w:t>
      </w:r>
      <w:r w:rsidR="00C37C5F">
        <w:rPr>
          <w:rFonts w:eastAsia="Calibri" w:cs="Times New Roman"/>
        </w:rPr>
        <w:t> </w:t>
      </w:r>
      <w:r>
        <w:rPr>
          <w:rFonts w:eastAsia="Calibri" w:cs="Times New Roman"/>
        </w:rPr>
        <w:t>596</w:t>
      </w:r>
      <w:r w:rsidRPr="005E7420">
        <w:rPr>
          <w:rFonts w:eastAsia="Calibri" w:cs="Times New Roman"/>
        </w:rPr>
        <w:t xml:space="preserve"> tis. eur. </w:t>
      </w:r>
    </w:p>
    <w:p w14:paraId="3EA05333" w14:textId="77777777" w:rsidR="00A13F85" w:rsidRDefault="00A13F85" w:rsidP="00A13F85">
      <w:pPr>
        <w:pStyle w:val="Odsekzoznamu"/>
      </w:pPr>
    </w:p>
    <w:p w14:paraId="3553C2A8" w14:textId="2A12FB19" w:rsidR="00A13F85" w:rsidRDefault="00A13F85">
      <w:pPr>
        <w:rPr>
          <w:rFonts w:cs="Book Antiqua"/>
          <w:szCs w:val="22"/>
          <w:lang w:eastAsia="sk-SK"/>
        </w:rPr>
      </w:pPr>
      <w:r>
        <w:br w:type="page"/>
      </w:r>
    </w:p>
    <w:p w14:paraId="4FAEB168" w14:textId="394585C4" w:rsidR="003D050C" w:rsidRPr="00AF4A8D" w:rsidRDefault="003D050C" w:rsidP="003D050C">
      <w:pPr>
        <w:pStyle w:val="Nadpis1"/>
        <w:spacing w:line="336" w:lineRule="auto"/>
        <w:ind w:left="425" w:hanging="425"/>
        <w:rPr>
          <w:rFonts w:eastAsia="Times New Roman"/>
        </w:rPr>
      </w:pPr>
      <w:bookmarkStart w:id="15" w:name="_Toc148704462"/>
      <w:r w:rsidRPr="00AF4A8D">
        <w:rPr>
          <w:rFonts w:eastAsia="Times New Roman"/>
        </w:rPr>
        <w:lastRenderedPageBreak/>
        <w:t xml:space="preserve">Hospodárenie verejnej správy v metodike </w:t>
      </w:r>
      <w:r w:rsidR="00F40ABA" w:rsidRPr="00AF4A8D">
        <w:rPr>
          <w:rFonts w:eastAsia="Times New Roman"/>
        </w:rPr>
        <w:t>ESA 2010</w:t>
      </w:r>
      <w:bookmarkEnd w:id="12"/>
      <w:bookmarkEnd w:id="15"/>
      <w:r w:rsidRPr="00AF4A8D">
        <w:rPr>
          <w:rFonts w:eastAsia="Times New Roman"/>
        </w:rPr>
        <w:t xml:space="preserve"> </w:t>
      </w:r>
    </w:p>
    <w:p w14:paraId="556D797A" w14:textId="2934778C" w:rsidR="009A116D" w:rsidRPr="00AF4A8D" w:rsidRDefault="009A116D" w:rsidP="00FC0FBF">
      <w:pPr>
        <w:spacing w:after="120" w:line="240" w:lineRule="auto"/>
        <w:jc w:val="both"/>
        <w:rPr>
          <w:szCs w:val="22"/>
        </w:rPr>
      </w:pPr>
      <w:r w:rsidRPr="00AF4A8D">
        <w:rPr>
          <w:szCs w:val="22"/>
        </w:rPr>
        <w:t>Kapitola obsahuje údaje, ktoré boli predmetom hodnotenia zo strany Európskeho štatistického úradu (</w:t>
      </w:r>
      <w:proofErr w:type="spellStart"/>
      <w:r w:rsidRPr="00AF4A8D">
        <w:rPr>
          <w:szCs w:val="22"/>
        </w:rPr>
        <w:t>Eurostatu</w:t>
      </w:r>
      <w:proofErr w:type="spellEnd"/>
      <w:r w:rsidRPr="00AF4A8D">
        <w:rPr>
          <w:szCs w:val="22"/>
        </w:rPr>
        <w:t xml:space="preserve">) v rámci októbrovej notifikácie. Okrem výsledného salda príjmov a výdavkov a hodnoty hrubého dlhu verejnej správy sa analyzuje príspevok jednotlivých </w:t>
      </w:r>
      <w:r w:rsidR="00830629" w:rsidRPr="00AF4A8D">
        <w:rPr>
          <w:szCs w:val="22"/>
        </w:rPr>
        <w:t>zložiek</w:t>
      </w:r>
      <w:r w:rsidRPr="00AF4A8D">
        <w:rPr>
          <w:szCs w:val="22"/>
        </w:rPr>
        <w:t xml:space="preserve"> verejnej správy k saldu a pri analýze dlhu príspevok faktorov, ktoré vysvetľujú jeho medziročnú zmenu. </w:t>
      </w:r>
      <w:r w:rsidR="00F055A9">
        <w:rPr>
          <w:szCs w:val="22"/>
        </w:rPr>
        <w:t>Pre úplnosť je uvedené aj</w:t>
      </w:r>
      <w:r w:rsidRPr="00AF4A8D">
        <w:rPr>
          <w:szCs w:val="22"/>
        </w:rPr>
        <w:t xml:space="preserve"> </w:t>
      </w:r>
      <w:r w:rsidR="00830629" w:rsidRPr="00AF4A8D">
        <w:rPr>
          <w:szCs w:val="22"/>
        </w:rPr>
        <w:t xml:space="preserve">vysvetlenie </w:t>
      </w:r>
      <w:r w:rsidRPr="00AF4A8D">
        <w:rPr>
          <w:szCs w:val="22"/>
        </w:rPr>
        <w:t>rozdiel</w:t>
      </w:r>
      <w:r w:rsidR="00830629" w:rsidRPr="00AF4A8D">
        <w:rPr>
          <w:szCs w:val="22"/>
        </w:rPr>
        <w:t>ov</w:t>
      </w:r>
      <w:r w:rsidRPr="00AF4A8D">
        <w:rPr>
          <w:szCs w:val="22"/>
        </w:rPr>
        <w:t xml:space="preserve"> medzi jarnou a jesennou notifikáciou</w:t>
      </w:r>
      <w:r w:rsidR="00830629" w:rsidRPr="00AF4A8D">
        <w:rPr>
          <w:szCs w:val="22"/>
        </w:rPr>
        <w:t xml:space="preserve"> a porovnanie notifikovaných údajov o salde a dlhu verejnej správy za všetky členské krajiny Európskej únie.</w:t>
      </w:r>
    </w:p>
    <w:p w14:paraId="551A139C" w14:textId="01FD161A" w:rsidR="00801893" w:rsidRPr="00AF4A8D" w:rsidRDefault="006C0DD0" w:rsidP="00424A0B">
      <w:pPr>
        <w:spacing w:after="0" w:line="240" w:lineRule="auto"/>
        <w:jc w:val="both"/>
        <w:rPr>
          <w:b/>
          <w:szCs w:val="22"/>
        </w:rPr>
      </w:pPr>
      <w:r w:rsidRPr="00AF4A8D">
        <w:rPr>
          <w:b/>
          <w:szCs w:val="22"/>
        </w:rPr>
        <w:t>Z dôvodu prehľadnosti opisu výsledkov hospodárenia verejnej správy za rok 20</w:t>
      </w:r>
      <w:r w:rsidR="00927B2F" w:rsidRPr="00AF4A8D">
        <w:rPr>
          <w:b/>
          <w:szCs w:val="22"/>
        </w:rPr>
        <w:t>2</w:t>
      </w:r>
      <w:r w:rsidR="00AF4A8D" w:rsidRPr="00AF4A8D">
        <w:rPr>
          <w:b/>
          <w:szCs w:val="22"/>
        </w:rPr>
        <w:t>2</w:t>
      </w:r>
      <w:r w:rsidRPr="00AF4A8D">
        <w:rPr>
          <w:b/>
          <w:szCs w:val="22"/>
        </w:rPr>
        <w:t xml:space="preserve"> ako aj z dôvodu vykonanej rutinnej revízie predchádzajúcich rokov, sú v nasledovnom texte porovnávané už len revidované </w:t>
      </w:r>
      <w:r w:rsidR="00EC369F" w:rsidRPr="00AF4A8D">
        <w:rPr>
          <w:b/>
          <w:szCs w:val="22"/>
        </w:rPr>
        <w:t>h</w:t>
      </w:r>
      <w:r w:rsidR="00AF4A8D" w:rsidRPr="00AF4A8D">
        <w:rPr>
          <w:b/>
          <w:szCs w:val="22"/>
        </w:rPr>
        <w:t>odnoty (saldo, dlh) za roky 2021</w:t>
      </w:r>
      <w:r w:rsidRPr="00AF4A8D">
        <w:rPr>
          <w:b/>
          <w:szCs w:val="22"/>
        </w:rPr>
        <w:t xml:space="preserve"> a 20</w:t>
      </w:r>
      <w:r w:rsidR="00AF4A8D" w:rsidRPr="00AF4A8D">
        <w:rPr>
          <w:b/>
          <w:szCs w:val="22"/>
        </w:rPr>
        <w:t>20</w:t>
      </w:r>
      <w:r w:rsidRPr="00AF4A8D">
        <w:rPr>
          <w:b/>
          <w:szCs w:val="22"/>
        </w:rPr>
        <w:t>. Dôraz sa kladie na porovnávanie dosiahnutej skutočnosti za rok 20</w:t>
      </w:r>
      <w:r w:rsidR="00927B2F" w:rsidRPr="00AF4A8D">
        <w:rPr>
          <w:b/>
          <w:szCs w:val="22"/>
        </w:rPr>
        <w:t>2</w:t>
      </w:r>
      <w:r w:rsidR="00AF4A8D" w:rsidRPr="00AF4A8D">
        <w:rPr>
          <w:b/>
          <w:szCs w:val="22"/>
        </w:rPr>
        <w:t>2</w:t>
      </w:r>
      <w:r w:rsidR="0068249C" w:rsidRPr="00AF4A8D">
        <w:rPr>
          <w:b/>
          <w:szCs w:val="22"/>
        </w:rPr>
        <w:t xml:space="preserve"> oproti roku 20</w:t>
      </w:r>
      <w:r w:rsidR="00EC369F" w:rsidRPr="00AF4A8D">
        <w:rPr>
          <w:b/>
          <w:szCs w:val="22"/>
        </w:rPr>
        <w:t>2</w:t>
      </w:r>
      <w:r w:rsidR="00AF4A8D" w:rsidRPr="00AF4A8D">
        <w:rPr>
          <w:b/>
          <w:szCs w:val="22"/>
        </w:rPr>
        <w:t>1</w:t>
      </w:r>
      <w:r w:rsidR="00A55D2C" w:rsidRPr="00AF4A8D">
        <w:rPr>
          <w:b/>
          <w:szCs w:val="22"/>
        </w:rPr>
        <w:t xml:space="preserve">, pričom príjmy a výdavky </w:t>
      </w:r>
      <w:r w:rsidR="00801893" w:rsidRPr="00AF4A8D">
        <w:rPr>
          <w:b/>
          <w:szCs w:val="22"/>
        </w:rPr>
        <w:t xml:space="preserve">pri skupine subjektov alebo konkrétnom subjekte verejnej správy </w:t>
      </w:r>
      <w:r w:rsidR="00A55D2C" w:rsidRPr="00AF4A8D">
        <w:rPr>
          <w:b/>
          <w:szCs w:val="22"/>
        </w:rPr>
        <w:t xml:space="preserve">sú </w:t>
      </w:r>
      <w:r w:rsidR="007168E9" w:rsidRPr="00AF4A8D">
        <w:rPr>
          <w:b/>
          <w:szCs w:val="22"/>
        </w:rPr>
        <w:t xml:space="preserve">z dôvodu väčšieho detailu </w:t>
      </w:r>
      <w:r w:rsidR="00A55D2C" w:rsidRPr="00AF4A8D">
        <w:rPr>
          <w:b/>
          <w:szCs w:val="22"/>
        </w:rPr>
        <w:t>opisované na nekonsolidovanej báze</w:t>
      </w:r>
      <w:r w:rsidRPr="00AF4A8D">
        <w:rPr>
          <w:b/>
          <w:szCs w:val="22"/>
        </w:rPr>
        <w:t>.</w:t>
      </w:r>
    </w:p>
    <w:p w14:paraId="6ADD8E7A" w14:textId="4F0592EA" w:rsidR="008E7556" w:rsidRPr="00CF5332" w:rsidRDefault="008E7556" w:rsidP="008E7556">
      <w:pPr>
        <w:pStyle w:val="Nadpis2"/>
        <w:numPr>
          <w:ilvl w:val="0"/>
          <w:numId w:val="0"/>
        </w:numPr>
        <w:ind w:left="1020" w:right="-427"/>
      </w:pPr>
      <w:bookmarkStart w:id="16" w:name="_Toc148704463"/>
      <w:r w:rsidRPr="00CF5332">
        <w:t>1.1.</w:t>
      </w:r>
      <w:r w:rsidRPr="00CF5332">
        <w:tab/>
        <w:t>Rozdiely medzi októbrovou a aprílovou notifikáciou údajov</w:t>
      </w:r>
      <w:bookmarkEnd w:id="16"/>
      <w:r w:rsidRPr="00CF5332">
        <w:t xml:space="preserve"> </w:t>
      </w:r>
    </w:p>
    <w:p w14:paraId="44A94A9B" w14:textId="77777777" w:rsidR="00DC1800" w:rsidRPr="00CF5332" w:rsidRDefault="00DC1800" w:rsidP="00DC1800">
      <w:pPr>
        <w:spacing w:after="120" w:line="240" w:lineRule="auto"/>
        <w:jc w:val="both"/>
        <w:rPr>
          <w:szCs w:val="22"/>
        </w:rPr>
      </w:pPr>
      <w:r w:rsidRPr="00CF5332">
        <w:rPr>
          <w:szCs w:val="22"/>
        </w:rPr>
        <w:t>Nariadenie Rady (ES) o uplatňovaní Protokolu o postupe pri nadmernom schodku stanovuje podrobné pravidlá pre organizovanie rýchleho a pravidelného vykazovania plánovaných a skutočných výsledkov hospodárenia s financiami verejnej správy. Podľa tohto nariadenia sa Európskej komisii (</w:t>
      </w:r>
      <w:proofErr w:type="spellStart"/>
      <w:r w:rsidRPr="00CF5332">
        <w:rPr>
          <w:szCs w:val="22"/>
        </w:rPr>
        <w:t>Eurostatu</w:t>
      </w:r>
      <w:proofErr w:type="spellEnd"/>
      <w:r w:rsidRPr="00CF5332">
        <w:rPr>
          <w:szCs w:val="22"/>
        </w:rPr>
        <w:t>) predkladajú výsledky hospodárenia verejnej správy za uplynulé obdobie dvakrát ročne, prvýkrát do 1. apríla bežného roka (tzv. aprílová notifikácia) a aktualizované údaje druhýkrát do 1. októbra bežného roka (tzv. októbrová notifikácia).</w:t>
      </w:r>
    </w:p>
    <w:p w14:paraId="2D9FECA2" w14:textId="316399AF" w:rsidR="00DC1800" w:rsidRDefault="005E1709" w:rsidP="00DC1800">
      <w:pPr>
        <w:spacing w:after="120" w:line="240" w:lineRule="auto"/>
        <w:jc w:val="both"/>
        <w:rPr>
          <w:szCs w:val="22"/>
        </w:rPr>
      </w:pPr>
      <w:r>
        <w:rPr>
          <w:b/>
          <w:szCs w:val="22"/>
        </w:rPr>
        <w:t>Predbežný s</w:t>
      </w:r>
      <w:r w:rsidR="00DC1800" w:rsidRPr="00CF5332">
        <w:rPr>
          <w:b/>
          <w:szCs w:val="22"/>
        </w:rPr>
        <w:t>chodok hospodárenia</w:t>
      </w:r>
      <w:r w:rsidR="00DC1800" w:rsidRPr="00CF5332">
        <w:rPr>
          <w:szCs w:val="22"/>
        </w:rPr>
        <w:t xml:space="preserve">, ktorý bol </w:t>
      </w:r>
      <w:r>
        <w:rPr>
          <w:szCs w:val="22"/>
        </w:rPr>
        <w:t>notifikovaný na základe jarnej notifikácie</w:t>
      </w:r>
      <w:r w:rsidR="00DC1800" w:rsidRPr="00456B04">
        <w:rPr>
          <w:szCs w:val="22"/>
        </w:rPr>
        <w:t xml:space="preserve"> (</w:t>
      </w:r>
      <w:r w:rsidR="00CF5332" w:rsidRPr="00456B04">
        <w:rPr>
          <w:szCs w:val="22"/>
        </w:rPr>
        <w:t>2,04</w:t>
      </w:r>
      <w:r w:rsidR="00DC1800" w:rsidRPr="00456B04">
        <w:rPr>
          <w:szCs w:val="22"/>
        </w:rPr>
        <w:t xml:space="preserve"> % HDP) sa </w:t>
      </w:r>
      <w:r>
        <w:rPr>
          <w:szCs w:val="22"/>
        </w:rPr>
        <w:t xml:space="preserve">dodatočne </w:t>
      </w:r>
      <w:r w:rsidR="00DC1800" w:rsidRPr="00456B04">
        <w:rPr>
          <w:szCs w:val="22"/>
        </w:rPr>
        <w:t xml:space="preserve">znížil v rámci jesennej notifikácie </w:t>
      </w:r>
      <w:r>
        <w:rPr>
          <w:szCs w:val="22"/>
        </w:rPr>
        <w:t xml:space="preserve">len mierne </w:t>
      </w:r>
      <w:r w:rsidR="00DC1800" w:rsidRPr="00456B04">
        <w:rPr>
          <w:szCs w:val="22"/>
        </w:rPr>
        <w:t>o 0,</w:t>
      </w:r>
      <w:r w:rsidR="00CF5332" w:rsidRPr="00456B04">
        <w:rPr>
          <w:szCs w:val="22"/>
        </w:rPr>
        <w:t>02</w:t>
      </w:r>
      <w:r w:rsidR="00DC1800" w:rsidRPr="00456B04">
        <w:rPr>
          <w:szCs w:val="22"/>
        </w:rPr>
        <w:t xml:space="preserve"> p. b. </w:t>
      </w:r>
      <w:r>
        <w:rPr>
          <w:szCs w:val="22"/>
        </w:rPr>
        <w:t xml:space="preserve">voči </w:t>
      </w:r>
      <w:r w:rsidR="00DC1800" w:rsidRPr="00456B04">
        <w:rPr>
          <w:szCs w:val="22"/>
        </w:rPr>
        <w:t>revidované</w:t>
      </w:r>
      <w:r>
        <w:rPr>
          <w:szCs w:val="22"/>
        </w:rPr>
        <w:t>mu</w:t>
      </w:r>
      <w:r w:rsidR="00DC1800" w:rsidRPr="00456B04">
        <w:rPr>
          <w:szCs w:val="22"/>
        </w:rPr>
        <w:t xml:space="preserve"> HDP.</w:t>
      </w:r>
      <w:r w:rsidR="00DC1800" w:rsidRPr="00CF5332">
        <w:rPr>
          <w:szCs w:val="22"/>
        </w:rPr>
        <w:t xml:space="preserve"> Najvýznamnejšie položky revízie schodku ukazuje nasledovná tabuľka.</w:t>
      </w:r>
    </w:p>
    <w:p w14:paraId="39D73A94" w14:textId="77777777" w:rsidR="00AF4A8D" w:rsidRPr="00CF5332" w:rsidRDefault="00AF4A8D" w:rsidP="00AF4A8D">
      <w:pPr>
        <w:keepLines/>
        <w:spacing w:after="0" w:line="240" w:lineRule="auto"/>
        <w:rPr>
          <w:b/>
          <w:bCs/>
          <w:color w:val="4F81BD"/>
          <w:sz w:val="20"/>
          <w:szCs w:val="20"/>
          <w:lang w:eastAsia="sk-SK"/>
        </w:rPr>
      </w:pPr>
      <w:r w:rsidRPr="00CF5332">
        <w:rPr>
          <w:b/>
          <w:bCs/>
          <w:color w:val="4F81BD"/>
          <w:sz w:val="20"/>
          <w:szCs w:val="20"/>
          <w:lang w:eastAsia="sk-SK"/>
        </w:rPr>
        <w:t xml:space="preserve">Tabuľka 1 </w:t>
      </w:r>
      <w:r w:rsidRPr="00CF5332">
        <w:rPr>
          <w:bCs/>
          <w:color w:val="4F81BD"/>
          <w:sz w:val="20"/>
          <w:szCs w:val="20"/>
          <w:lang w:eastAsia="sk-SK"/>
        </w:rPr>
        <w:t>-</w:t>
      </w:r>
      <w:r w:rsidRPr="00CF5332">
        <w:rPr>
          <w:b/>
          <w:bCs/>
          <w:color w:val="4F81BD"/>
          <w:sz w:val="20"/>
          <w:szCs w:val="20"/>
          <w:lang w:eastAsia="sk-SK"/>
        </w:rPr>
        <w:t xml:space="preserve"> Úpravy schodku VS za rok 2022 pri jesennej notifikácii v metodike ESA 2010</w:t>
      </w:r>
    </w:p>
    <w:tbl>
      <w:tblPr>
        <w:tblW w:w="9413" w:type="dxa"/>
        <w:tblCellMar>
          <w:left w:w="70" w:type="dxa"/>
          <w:right w:w="70" w:type="dxa"/>
        </w:tblCellMar>
        <w:tblLook w:val="04A0" w:firstRow="1" w:lastRow="0" w:firstColumn="1" w:lastColumn="0" w:noHBand="0" w:noVBand="1"/>
      </w:tblPr>
      <w:tblGrid>
        <w:gridCol w:w="3388"/>
        <w:gridCol w:w="1044"/>
        <w:gridCol w:w="1282"/>
        <w:gridCol w:w="3699"/>
      </w:tblGrid>
      <w:tr w:rsidR="00AF4A8D" w:rsidRPr="00CF5332" w14:paraId="61CAB379" w14:textId="77777777" w:rsidTr="00AF4A8D">
        <w:trPr>
          <w:trHeight w:val="284"/>
        </w:trPr>
        <w:tc>
          <w:tcPr>
            <w:tcW w:w="3388" w:type="dxa"/>
            <w:tcBorders>
              <w:top w:val="single" w:sz="4" w:space="0" w:color="auto"/>
              <w:left w:val="nil"/>
              <w:bottom w:val="single" w:sz="4" w:space="0" w:color="auto"/>
              <w:right w:val="nil"/>
            </w:tcBorders>
            <w:shd w:val="clear" w:color="auto" w:fill="auto"/>
            <w:vAlign w:val="center"/>
            <w:hideMark/>
          </w:tcPr>
          <w:p w14:paraId="10EF12F0" w14:textId="77777777" w:rsidR="00AF4A8D" w:rsidRPr="00CF5332" w:rsidRDefault="00AF4A8D" w:rsidP="00AF4A8D">
            <w:pPr>
              <w:keepLines/>
              <w:spacing w:after="0" w:line="240" w:lineRule="auto"/>
              <w:rPr>
                <w:b/>
                <w:bCs/>
                <w:sz w:val="20"/>
                <w:szCs w:val="20"/>
                <w:lang w:eastAsia="sk-SK"/>
              </w:rPr>
            </w:pPr>
            <w:r w:rsidRPr="00CF5332">
              <w:rPr>
                <w:b/>
                <w:bCs/>
                <w:sz w:val="20"/>
                <w:szCs w:val="20"/>
                <w:lang w:eastAsia="sk-SK"/>
              </w:rPr>
              <w:t>Upravené položky</w:t>
            </w:r>
          </w:p>
        </w:tc>
        <w:tc>
          <w:tcPr>
            <w:tcW w:w="1044" w:type="dxa"/>
            <w:tcBorders>
              <w:top w:val="single" w:sz="4" w:space="0" w:color="auto"/>
              <w:left w:val="nil"/>
              <w:bottom w:val="single" w:sz="4" w:space="0" w:color="auto"/>
              <w:right w:val="nil"/>
            </w:tcBorders>
            <w:shd w:val="clear" w:color="auto" w:fill="auto"/>
            <w:vAlign w:val="center"/>
            <w:hideMark/>
          </w:tcPr>
          <w:p w14:paraId="3EB64C7E" w14:textId="77777777" w:rsidR="00AF4A8D" w:rsidRPr="00CF5332" w:rsidRDefault="00AF4A8D" w:rsidP="00AF4A8D">
            <w:pPr>
              <w:keepLines/>
              <w:spacing w:after="0" w:line="240" w:lineRule="auto"/>
              <w:jc w:val="right"/>
              <w:rPr>
                <w:b/>
                <w:bCs/>
                <w:sz w:val="20"/>
                <w:szCs w:val="20"/>
                <w:lang w:eastAsia="sk-SK"/>
              </w:rPr>
            </w:pPr>
            <w:r w:rsidRPr="00CF5332">
              <w:rPr>
                <w:b/>
                <w:bCs/>
                <w:sz w:val="20"/>
                <w:szCs w:val="20"/>
                <w:lang w:eastAsia="sk-SK"/>
              </w:rPr>
              <w:t>tis. eur</w:t>
            </w:r>
          </w:p>
        </w:tc>
        <w:tc>
          <w:tcPr>
            <w:tcW w:w="1282" w:type="dxa"/>
            <w:tcBorders>
              <w:top w:val="single" w:sz="4" w:space="0" w:color="auto"/>
              <w:left w:val="nil"/>
              <w:bottom w:val="single" w:sz="4" w:space="0" w:color="auto"/>
              <w:right w:val="nil"/>
            </w:tcBorders>
            <w:shd w:val="clear" w:color="auto" w:fill="auto"/>
            <w:vAlign w:val="center"/>
            <w:hideMark/>
          </w:tcPr>
          <w:p w14:paraId="72A1464D" w14:textId="77777777" w:rsidR="00AF4A8D" w:rsidRPr="00CF5332" w:rsidRDefault="00AF4A8D" w:rsidP="00AF4A8D">
            <w:pPr>
              <w:keepLines/>
              <w:spacing w:after="0" w:line="240" w:lineRule="auto"/>
              <w:jc w:val="center"/>
              <w:rPr>
                <w:b/>
                <w:bCs/>
                <w:sz w:val="20"/>
                <w:szCs w:val="20"/>
                <w:lang w:eastAsia="sk-SK"/>
              </w:rPr>
            </w:pPr>
            <w:r w:rsidRPr="00CF5332">
              <w:rPr>
                <w:b/>
                <w:bCs/>
                <w:sz w:val="20"/>
                <w:szCs w:val="20"/>
                <w:lang w:eastAsia="sk-SK"/>
              </w:rPr>
              <w:t>% HDP</w:t>
            </w:r>
          </w:p>
        </w:tc>
        <w:tc>
          <w:tcPr>
            <w:tcW w:w="3699" w:type="dxa"/>
            <w:tcBorders>
              <w:top w:val="single" w:sz="4" w:space="0" w:color="auto"/>
              <w:left w:val="nil"/>
              <w:bottom w:val="single" w:sz="4" w:space="0" w:color="auto"/>
              <w:right w:val="nil"/>
            </w:tcBorders>
            <w:shd w:val="clear" w:color="auto" w:fill="auto"/>
            <w:vAlign w:val="center"/>
            <w:hideMark/>
          </w:tcPr>
          <w:p w14:paraId="3012F195" w14:textId="77777777" w:rsidR="00AF4A8D" w:rsidRPr="00CF5332" w:rsidRDefault="00AF4A8D" w:rsidP="00AF4A8D">
            <w:pPr>
              <w:keepLines/>
              <w:spacing w:after="0" w:line="240" w:lineRule="auto"/>
              <w:jc w:val="center"/>
              <w:rPr>
                <w:b/>
                <w:bCs/>
                <w:sz w:val="20"/>
                <w:szCs w:val="20"/>
                <w:lang w:eastAsia="sk-SK"/>
              </w:rPr>
            </w:pPr>
            <w:r w:rsidRPr="00CF5332">
              <w:rPr>
                <w:b/>
                <w:bCs/>
                <w:sz w:val="20"/>
                <w:szCs w:val="20"/>
                <w:lang w:eastAsia="sk-SK"/>
              </w:rPr>
              <w:t>Zdôvodnenie úprav</w:t>
            </w:r>
          </w:p>
        </w:tc>
      </w:tr>
      <w:tr w:rsidR="00AF4A8D" w:rsidRPr="00CF5332" w14:paraId="0BF709F5" w14:textId="77777777" w:rsidTr="00AF4A8D">
        <w:trPr>
          <w:trHeight w:val="284"/>
        </w:trPr>
        <w:tc>
          <w:tcPr>
            <w:tcW w:w="3388" w:type="dxa"/>
            <w:tcBorders>
              <w:top w:val="single" w:sz="4" w:space="0" w:color="auto"/>
              <w:left w:val="nil"/>
              <w:bottom w:val="single" w:sz="4" w:space="0" w:color="auto"/>
              <w:right w:val="nil"/>
            </w:tcBorders>
            <w:shd w:val="clear" w:color="auto" w:fill="auto"/>
            <w:noWrap/>
            <w:vAlign w:val="center"/>
            <w:hideMark/>
          </w:tcPr>
          <w:p w14:paraId="38541AB3" w14:textId="77777777" w:rsidR="00AF4A8D" w:rsidRPr="00CF5332" w:rsidRDefault="00AF4A8D" w:rsidP="00AF4A8D">
            <w:pPr>
              <w:keepLines/>
              <w:spacing w:after="0" w:line="240" w:lineRule="auto"/>
              <w:rPr>
                <w:b/>
                <w:bCs/>
                <w:sz w:val="20"/>
                <w:szCs w:val="20"/>
                <w:lang w:eastAsia="sk-SK"/>
              </w:rPr>
            </w:pPr>
            <w:r w:rsidRPr="00CF5332">
              <w:rPr>
                <w:b/>
                <w:bCs/>
                <w:sz w:val="20"/>
                <w:szCs w:val="20"/>
                <w:lang w:eastAsia="sk-SK"/>
              </w:rPr>
              <w:t>Schodok VS - apríl 2023</w:t>
            </w:r>
            <w:r w:rsidRPr="00CF5332">
              <w:rPr>
                <w:b/>
                <w:bCs/>
                <w:sz w:val="16"/>
                <w:szCs w:val="16"/>
                <w:vertAlign w:val="superscript"/>
                <w:lang w:eastAsia="sk-SK"/>
              </w:rPr>
              <w:t>)</w:t>
            </w:r>
          </w:p>
        </w:tc>
        <w:tc>
          <w:tcPr>
            <w:tcW w:w="1044" w:type="dxa"/>
            <w:tcBorders>
              <w:top w:val="single" w:sz="4" w:space="0" w:color="auto"/>
              <w:left w:val="nil"/>
              <w:bottom w:val="single" w:sz="4" w:space="0" w:color="auto"/>
              <w:right w:val="nil"/>
            </w:tcBorders>
            <w:shd w:val="clear" w:color="auto" w:fill="auto"/>
            <w:noWrap/>
            <w:vAlign w:val="center"/>
            <w:hideMark/>
          </w:tcPr>
          <w:p w14:paraId="0D911488" w14:textId="77777777" w:rsidR="00AF4A8D" w:rsidRPr="00CF5332" w:rsidRDefault="00AF4A8D" w:rsidP="00AF4A8D">
            <w:pPr>
              <w:keepLines/>
              <w:spacing w:after="0" w:line="240" w:lineRule="auto"/>
              <w:jc w:val="right"/>
              <w:rPr>
                <w:b/>
                <w:bCs/>
                <w:sz w:val="20"/>
                <w:szCs w:val="20"/>
                <w:lang w:eastAsia="sk-SK"/>
              </w:rPr>
            </w:pPr>
            <w:r w:rsidRPr="00CF5332">
              <w:rPr>
                <w:b/>
                <w:bCs/>
                <w:sz w:val="20"/>
                <w:szCs w:val="20"/>
                <w:lang w:eastAsia="sk-SK"/>
              </w:rPr>
              <w:t>-2 233 781</w:t>
            </w:r>
          </w:p>
        </w:tc>
        <w:tc>
          <w:tcPr>
            <w:tcW w:w="1282" w:type="dxa"/>
            <w:tcBorders>
              <w:top w:val="single" w:sz="4" w:space="0" w:color="auto"/>
              <w:left w:val="nil"/>
              <w:bottom w:val="single" w:sz="4" w:space="0" w:color="auto"/>
              <w:right w:val="nil"/>
            </w:tcBorders>
            <w:shd w:val="clear" w:color="auto" w:fill="auto"/>
            <w:noWrap/>
            <w:vAlign w:val="center"/>
            <w:hideMark/>
          </w:tcPr>
          <w:p w14:paraId="11CD4E2C" w14:textId="77777777" w:rsidR="00AF4A8D" w:rsidRPr="00CF5332" w:rsidRDefault="00AF4A8D" w:rsidP="00AF4A8D">
            <w:pPr>
              <w:keepLines/>
              <w:spacing w:after="0" w:line="240" w:lineRule="auto"/>
              <w:jc w:val="center"/>
              <w:rPr>
                <w:b/>
                <w:bCs/>
                <w:sz w:val="20"/>
                <w:szCs w:val="20"/>
                <w:lang w:eastAsia="sk-SK"/>
              </w:rPr>
            </w:pPr>
            <w:r w:rsidRPr="00CF5332">
              <w:rPr>
                <w:b/>
                <w:bCs/>
                <w:sz w:val="20"/>
                <w:szCs w:val="20"/>
                <w:lang w:eastAsia="sk-SK"/>
              </w:rPr>
              <w:t>-2,04</w:t>
            </w:r>
          </w:p>
        </w:tc>
        <w:tc>
          <w:tcPr>
            <w:tcW w:w="3699" w:type="dxa"/>
            <w:tcBorders>
              <w:top w:val="single" w:sz="4" w:space="0" w:color="auto"/>
              <w:left w:val="nil"/>
              <w:bottom w:val="single" w:sz="4" w:space="0" w:color="auto"/>
              <w:right w:val="nil"/>
            </w:tcBorders>
            <w:shd w:val="clear" w:color="auto" w:fill="auto"/>
            <w:vAlign w:val="center"/>
            <w:hideMark/>
          </w:tcPr>
          <w:p w14:paraId="0C3C9A45"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 </w:t>
            </w:r>
          </w:p>
        </w:tc>
      </w:tr>
      <w:tr w:rsidR="00AF4A8D" w:rsidRPr="00CF5332" w14:paraId="63749DF1" w14:textId="77777777" w:rsidTr="00AF4A8D">
        <w:trPr>
          <w:trHeight w:val="510"/>
        </w:trPr>
        <w:tc>
          <w:tcPr>
            <w:tcW w:w="3388" w:type="dxa"/>
            <w:tcBorders>
              <w:top w:val="nil"/>
              <w:left w:val="nil"/>
              <w:bottom w:val="nil"/>
              <w:right w:val="nil"/>
            </w:tcBorders>
            <w:shd w:val="clear" w:color="auto" w:fill="auto"/>
            <w:noWrap/>
            <w:vAlign w:val="center"/>
            <w:hideMark/>
          </w:tcPr>
          <w:p w14:paraId="1F45BB05" w14:textId="77777777" w:rsidR="00AF4A8D" w:rsidRPr="00CF5332" w:rsidRDefault="00AF4A8D" w:rsidP="00AF4A8D">
            <w:pPr>
              <w:keepLines/>
              <w:spacing w:after="0" w:line="240" w:lineRule="auto"/>
              <w:rPr>
                <w:sz w:val="20"/>
                <w:szCs w:val="20"/>
                <w:lang w:eastAsia="sk-SK"/>
              </w:rPr>
            </w:pPr>
            <w:r w:rsidRPr="00CF5332">
              <w:rPr>
                <w:sz w:val="20"/>
                <w:szCs w:val="20"/>
                <w:lang w:eastAsia="sk-SK"/>
              </w:rPr>
              <w:t xml:space="preserve">Akruálne príjmy z daní </w:t>
            </w:r>
          </w:p>
        </w:tc>
        <w:tc>
          <w:tcPr>
            <w:tcW w:w="1044" w:type="dxa"/>
            <w:tcBorders>
              <w:top w:val="nil"/>
              <w:left w:val="nil"/>
              <w:bottom w:val="nil"/>
              <w:right w:val="nil"/>
            </w:tcBorders>
            <w:shd w:val="clear" w:color="auto" w:fill="auto"/>
            <w:noWrap/>
            <w:vAlign w:val="center"/>
            <w:hideMark/>
          </w:tcPr>
          <w:p w14:paraId="51247F70" w14:textId="67E6A316" w:rsidR="00AF4A8D" w:rsidRPr="00CF5332" w:rsidRDefault="002C033D" w:rsidP="00AF4A8D">
            <w:pPr>
              <w:keepLines/>
              <w:spacing w:after="0" w:line="240" w:lineRule="auto"/>
              <w:jc w:val="right"/>
              <w:rPr>
                <w:sz w:val="20"/>
                <w:szCs w:val="20"/>
                <w:lang w:eastAsia="sk-SK"/>
              </w:rPr>
            </w:pPr>
            <w:r>
              <w:rPr>
                <w:sz w:val="20"/>
                <w:szCs w:val="20"/>
                <w:lang w:eastAsia="sk-SK"/>
              </w:rPr>
              <w:t>118 782</w:t>
            </w:r>
          </w:p>
        </w:tc>
        <w:tc>
          <w:tcPr>
            <w:tcW w:w="1282" w:type="dxa"/>
            <w:tcBorders>
              <w:top w:val="nil"/>
              <w:left w:val="nil"/>
              <w:bottom w:val="nil"/>
              <w:right w:val="nil"/>
            </w:tcBorders>
            <w:shd w:val="clear" w:color="auto" w:fill="auto"/>
            <w:noWrap/>
            <w:vAlign w:val="center"/>
            <w:hideMark/>
          </w:tcPr>
          <w:p w14:paraId="0039D69D" w14:textId="7B3EB612" w:rsidR="00AF4A8D" w:rsidRPr="00CF5332" w:rsidRDefault="002C033D" w:rsidP="002C033D">
            <w:pPr>
              <w:keepLines/>
              <w:spacing w:after="0" w:line="240" w:lineRule="auto"/>
              <w:jc w:val="center"/>
              <w:rPr>
                <w:sz w:val="20"/>
                <w:szCs w:val="20"/>
                <w:lang w:eastAsia="sk-SK"/>
              </w:rPr>
            </w:pPr>
            <w:r>
              <w:rPr>
                <w:sz w:val="20"/>
                <w:szCs w:val="20"/>
                <w:lang w:eastAsia="sk-SK"/>
              </w:rPr>
              <w:t>0,108</w:t>
            </w:r>
          </w:p>
        </w:tc>
        <w:tc>
          <w:tcPr>
            <w:tcW w:w="3699" w:type="dxa"/>
            <w:tcBorders>
              <w:top w:val="nil"/>
              <w:left w:val="nil"/>
              <w:bottom w:val="nil"/>
              <w:right w:val="nil"/>
            </w:tcBorders>
            <w:shd w:val="clear" w:color="auto" w:fill="auto"/>
            <w:noWrap/>
            <w:vAlign w:val="center"/>
            <w:hideMark/>
          </w:tcPr>
          <w:p w14:paraId="45EB003A" w14:textId="77777777" w:rsidR="00AF4A8D" w:rsidRPr="00CF5332" w:rsidRDefault="00AF4A8D" w:rsidP="009D1292">
            <w:pPr>
              <w:keepLines/>
              <w:spacing w:after="0" w:line="240" w:lineRule="auto"/>
              <w:rPr>
                <w:sz w:val="20"/>
                <w:szCs w:val="20"/>
                <w:lang w:eastAsia="sk-SK"/>
              </w:rPr>
            </w:pPr>
            <w:r w:rsidRPr="00CF5332">
              <w:rPr>
                <w:sz w:val="20"/>
                <w:szCs w:val="20"/>
                <w:lang w:eastAsia="sk-SK"/>
              </w:rPr>
              <w:t xml:space="preserve">aktualizácia na základe daňových priznaní </w:t>
            </w:r>
          </w:p>
        </w:tc>
      </w:tr>
      <w:tr w:rsidR="00AF4A8D" w:rsidRPr="00CF5332" w14:paraId="67B993CB" w14:textId="77777777" w:rsidTr="00AF4A8D">
        <w:trPr>
          <w:trHeight w:val="510"/>
        </w:trPr>
        <w:tc>
          <w:tcPr>
            <w:tcW w:w="3388" w:type="dxa"/>
            <w:tcBorders>
              <w:top w:val="nil"/>
              <w:left w:val="nil"/>
              <w:bottom w:val="nil"/>
              <w:right w:val="nil"/>
            </w:tcBorders>
            <w:shd w:val="clear" w:color="auto" w:fill="auto"/>
            <w:vAlign w:val="center"/>
            <w:hideMark/>
          </w:tcPr>
          <w:p w14:paraId="0BDC0BDB" w14:textId="77777777" w:rsidR="00AF4A8D" w:rsidRPr="00CF5332" w:rsidRDefault="00AF4A8D" w:rsidP="00AF4A8D">
            <w:pPr>
              <w:keepLines/>
              <w:spacing w:after="0" w:line="240" w:lineRule="auto"/>
              <w:rPr>
                <w:sz w:val="20"/>
                <w:szCs w:val="20"/>
                <w:lang w:eastAsia="sk-SK"/>
              </w:rPr>
            </w:pPr>
            <w:r w:rsidRPr="00CF5332">
              <w:rPr>
                <w:sz w:val="20"/>
                <w:szCs w:val="20"/>
                <w:lang w:eastAsia="sk-SK"/>
              </w:rPr>
              <w:t>Zmena stavu záväzkov na samostatných účtoch štátneho rozpočtu</w:t>
            </w:r>
          </w:p>
        </w:tc>
        <w:tc>
          <w:tcPr>
            <w:tcW w:w="1044" w:type="dxa"/>
            <w:tcBorders>
              <w:top w:val="nil"/>
              <w:left w:val="nil"/>
              <w:bottom w:val="nil"/>
              <w:right w:val="nil"/>
            </w:tcBorders>
            <w:shd w:val="clear" w:color="auto" w:fill="auto"/>
            <w:noWrap/>
            <w:vAlign w:val="center"/>
            <w:hideMark/>
          </w:tcPr>
          <w:p w14:paraId="13BF9A37" w14:textId="77777777" w:rsidR="00AF4A8D" w:rsidRPr="00CF5332" w:rsidRDefault="00AF4A8D" w:rsidP="00AF4A8D">
            <w:pPr>
              <w:keepLines/>
              <w:spacing w:after="0" w:line="240" w:lineRule="auto"/>
              <w:jc w:val="right"/>
              <w:rPr>
                <w:sz w:val="20"/>
                <w:szCs w:val="20"/>
                <w:lang w:eastAsia="sk-SK"/>
              </w:rPr>
            </w:pPr>
            <w:r w:rsidRPr="00CF5332">
              <w:rPr>
                <w:sz w:val="20"/>
                <w:szCs w:val="20"/>
                <w:lang w:eastAsia="sk-SK"/>
              </w:rPr>
              <w:t>-92 000</w:t>
            </w:r>
          </w:p>
        </w:tc>
        <w:tc>
          <w:tcPr>
            <w:tcW w:w="1282" w:type="dxa"/>
            <w:tcBorders>
              <w:top w:val="nil"/>
              <w:left w:val="nil"/>
              <w:bottom w:val="nil"/>
              <w:right w:val="nil"/>
            </w:tcBorders>
            <w:shd w:val="clear" w:color="auto" w:fill="auto"/>
            <w:noWrap/>
            <w:vAlign w:val="center"/>
            <w:hideMark/>
          </w:tcPr>
          <w:p w14:paraId="388BF8A9"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-0,084</w:t>
            </w:r>
          </w:p>
        </w:tc>
        <w:tc>
          <w:tcPr>
            <w:tcW w:w="3699" w:type="dxa"/>
            <w:tcBorders>
              <w:top w:val="nil"/>
              <w:left w:val="nil"/>
              <w:bottom w:val="nil"/>
              <w:right w:val="nil"/>
            </w:tcBorders>
            <w:shd w:val="clear" w:color="auto" w:fill="auto"/>
            <w:vAlign w:val="center"/>
            <w:hideMark/>
          </w:tcPr>
          <w:p w14:paraId="6CCF4C93" w14:textId="437FB0C5" w:rsidR="00AF4A8D" w:rsidRPr="00CF5332" w:rsidRDefault="00AF4A8D" w:rsidP="005E1709">
            <w:pPr>
              <w:keepLines/>
              <w:spacing w:after="0" w:line="240" w:lineRule="auto"/>
              <w:rPr>
                <w:sz w:val="20"/>
                <w:szCs w:val="20"/>
                <w:lang w:eastAsia="sk-SK"/>
              </w:rPr>
            </w:pPr>
            <w:r w:rsidRPr="00CF5332">
              <w:rPr>
                <w:sz w:val="20"/>
                <w:szCs w:val="20"/>
                <w:lang w:eastAsia="sk-SK"/>
              </w:rPr>
              <w:t xml:space="preserve">imputovanie záväzku v súvislosti s prijatím finančných prostriedkov na </w:t>
            </w:r>
            <w:r w:rsidR="005E1709">
              <w:rPr>
                <w:sz w:val="20"/>
                <w:szCs w:val="20"/>
                <w:lang w:eastAsia="sk-SK"/>
              </w:rPr>
              <w:t>výrobu</w:t>
            </w:r>
            <w:r w:rsidRPr="00CF5332">
              <w:rPr>
                <w:sz w:val="20"/>
                <w:szCs w:val="20"/>
                <w:lang w:eastAsia="sk-SK"/>
              </w:rPr>
              <w:t xml:space="preserve"> húfnic pre Ukrajinu</w:t>
            </w:r>
          </w:p>
        </w:tc>
      </w:tr>
      <w:tr w:rsidR="00AF4A8D" w:rsidRPr="00CF5332" w14:paraId="1A6F1A3F" w14:textId="77777777" w:rsidTr="00AF4A8D">
        <w:trPr>
          <w:trHeight w:val="510"/>
        </w:trPr>
        <w:tc>
          <w:tcPr>
            <w:tcW w:w="3388" w:type="dxa"/>
            <w:tcBorders>
              <w:top w:val="nil"/>
              <w:left w:val="nil"/>
              <w:bottom w:val="nil"/>
              <w:right w:val="nil"/>
            </w:tcBorders>
            <w:shd w:val="clear" w:color="auto" w:fill="auto"/>
            <w:vAlign w:val="center"/>
            <w:hideMark/>
          </w:tcPr>
          <w:p w14:paraId="5567BE44" w14:textId="77777777" w:rsidR="00AF4A8D" w:rsidRPr="00CF5332" w:rsidRDefault="00AF4A8D" w:rsidP="00AF4A8D">
            <w:pPr>
              <w:keepLines/>
              <w:spacing w:after="0" w:line="240" w:lineRule="auto"/>
              <w:rPr>
                <w:sz w:val="20"/>
                <w:szCs w:val="20"/>
                <w:lang w:eastAsia="sk-SK"/>
              </w:rPr>
            </w:pPr>
            <w:r w:rsidRPr="00CF5332">
              <w:rPr>
                <w:sz w:val="20"/>
                <w:szCs w:val="20"/>
                <w:lang w:eastAsia="sk-SK"/>
              </w:rPr>
              <w:t xml:space="preserve">Akruálne príjmy z odvodov                          </w:t>
            </w:r>
          </w:p>
        </w:tc>
        <w:tc>
          <w:tcPr>
            <w:tcW w:w="1044" w:type="dxa"/>
            <w:tcBorders>
              <w:top w:val="nil"/>
              <w:left w:val="nil"/>
              <w:bottom w:val="nil"/>
              <w:right w:val="nil"/>
            </w:tcBorders>
            <w:shd w:val="clear" w:color="auto" w:fill="auto"/>
            <w:noWrap/>
            <w:vAlign w:val="center"/>
            <w:hideMark/>
          </w:tcPr>
          <w:p w14:paraId="07FB29A6" w14:textId="22818117" w:rsidR="00AF4A8D" w:rsidRPr="00CF5332" w:rsidRDefault="00AF4A8D" w:rsidP="002C033D">
            <w:pPr>
              <w:keepLines/>
              <w:spacing w:after="0" w:line="240" w:lineRule="auto"/>
              <w:jc w:val="right"/>
              <w:rPr>
                <w:sz w:val="20"/>
                <w:szCs w:val="20"/>
                <w:lang w:eastAsia="sk-SK"/>
              </w:rPr>
            </w:pPr>
            <w:r w:rsidRPr="00CF5332">
              <w:rPr>
                <w:sz w:val="20"/>
                <w:szCs w:val="20"/>
                <w:lang w:eastAsia="sk-SK"/>
              </w:rPr>
              <w:t>-</w:t>
            </w:r>
            <w:r w:rsidR="002C033D">
              <w:rPr>
                <w:sz w:val="20"/>
                <w:szCs w:val="20"/>
                <w:lang w:eastAsia="sk-SK"/>
              </w:rPr>
              <w:t>49 508</w:t>
            </w:r>
          </w:p>
        </w:tc>
        <w:tc>
          <w:tcPr>
            <w:tcW w:w="1282" w:type="dxa"/>
            <w:tcBorders>
              <w:top w:val="nil"/>
              <w:left w:val="nil"/>
              <w:bottom w:val="nil"/>
              <w:right w:val="nil"/>
            </w:tcBorders>
            <w:shd w:val="clear" w:color="auto" w:fill="auto"/>
            <w:noWrap/>
            <w:vAlign w:val="center"/>
            <w:hideMark/>
          </w:tcPr>
          <w:p w14:paraId="49796AD8" w14:textId="14AD9302" w:rsidR="00AF4A8D" w:rsidRPr="00CF5332" w:rsidRDefault="00AF4A8D" w:rsidP="002C033D">
            <w:pPr>
              <w:keepLines/>
              <w:spacing w:after="0" w:line="240" w:lineRule="auto"/>
              <w:jc w:val="center"/>
              <w:rPr>
                <w:sz w:val="20"/>
                <w:szCs w:val="20"/>
                <w:lang w:eastAsia="sk-SK"/>
              </w:rPr>
            </w:pPr>
            <w:r w:rsidRPr="00CF5332">
              <w:rPr>
                <w:sz w:val="20"/>
                <w:szCs w:val="20"/>
                <w:lang w:eastAsia="sk-SK"/>
              </w:rPr>
              <w:t>-0,0</w:t>
            </w:r>
            <w:r w:rsidR="002C033D">
              <w:rPr>
                <w:sz w:val="20"/>
                <w:szCs w:val="20"/>
                <w:lang w:eastAsia="sk-SK"/>
              </w:rPr>
              <w:t>45</w:t>
            </w:r>
          </w:p>
        </w:tc>
        <w:tc>
          <w:tcPr>
            <w:tcW w:w="3699" w:type="dxa"/>
            <w:tcBorders>
              <w:top w:val="nil"/>
              <w:left w:val="nil"/>
              <w:bottom w:val="nil"/>
              <w:right w:val="nil"/>
            </w:tcBorders>
            <w:shd w:val="clear" w:color="auto" w:fill="auto"/>
            <w:vAlign w:val="center"/>
            <w:hideMark/>
          </w:tcPr>
          <w:p w14:paraId="5204BA62" w14:textId="77777777" w:rsidR="00AF4A8D" w:rsidRPr="00CF5332" w:rsidRDefault="00AF4A8D" w:rsidP="009D1292">
            <w:pPr>
              <w:keepLines/>
              <w:spacing w:after="0" w:line="240" w:lineRule="auto"/>
              <w:rPr>
                <w:sz w:val="20"/>
                <w:szCs w:val="20"/>
                <w:lang w:eastAsia="sk-SK"/>
              </w:rPr>
            </w:pPr>
            <w:r w:rsidRPr="00CF5332">
              <w:rPr>
                <w:sz w:val="20"/>
                <w:szCs w:val="20"/>
                <w:lang w:eastAsia="sk-SK"/>
              </w:rPr>
              <w:t>aktualizácia na základe zúčtovania sociálneho a zdravotného poistenia</w:t>
            </w:r>
          </w:p>
        </w:tc>
      </w:tr>
      <w:tr w:rsidR="00AF4A8D" w:rsidRPr="00CF5332" w14:paraId="3FC92A1D" w14:textId="77777777" w:rsidTr="00AF4A8D">
        <w:trPr>
          <w:trHeight w:val="510"/>
        </w:trPr>
        <w:tc>
          <w:tcPr>
            <w:tcW w:w="3388" w:type="dxa"/>
            <w:tcBorders>
              <w:top w:val="nil"/>
              <w:left w:val="nil"/>
              <w:bottom w:val="nil"/>
              <w:right w:val="nil"/>
            </w:tcBorders>
            <w:shd w:val="clear" w:color="000000" w:fill="FFFFFF"/>
            <w:vAlign w:val="center"/>
            <w:hideMark/>
          </w:tcPr>
          <w:p w14:paraId="334E91CB" w14:textId="77777777" w:rsidR="00AF4A8D" w:rsidRPr="00CF5332" w:rsidRDefault="00AF4A8D" w:rsidP="00AF4A8D">
            <w:pPr>
              <w:keepLines/>
              <w:spacing w:after="0" w:line="240" w:lineRule="auto"/>
              <w:rPr>
                <w:sz w:val="20"/>
                <w:szCs w:val="20"/>
                <w:lang w:eastAsia="sk-SK"/>
              </w:rPr>
            </w:pPr>
            <w:r w:rsidRPr="00CF5332">
              <w:rPr>
                <w:sz w:val="20"/>
                <w:szCs w:val="20"/>
                <w:lang w:eastAsia="sk-SK"/>
              </w:rPr>
              <w:t>Platené daňové kredity</w:t>
            </w:r>
          </w:p>
        </w:tc>
        <w:tc>
          <w:tcPr>
            <w:tcW w:w="1044" w:type="dxa"/>
            <w:tcBorders>
              <w:top w:val="nil"/>
              <w:left w:val="nil"/>
              <w:bottom w:val="nil"/>
              <w:right w:val="nil"/>
            </w:tcBorders>
            <w:shd w:val="clear" w:color="auto" w:fill="auto"/>
            <w:noWrap/>
            <w:vAlign w:val="center"/>
            <w:hideMark/>
          </w:tcPr>
          <w:p w14:paraId="683BE758" w14:textId="77777777" w:rsidR="00AF4A8D" w:rsidRPr="00CF5332" w:rsidRDefault="00AF4A8D" w:rsidP="00AF4A8D">
            <w:pPr>
              <w:keepLines/>
              <w:spacing w:after="0" w:line="240" w:lineRule="auto"/>
              <w:jc w:val="right"/>
              <w:rPr>
                <w:sz w:val="20"/>
                <w:szCs w:val="20"/>
                <w:lang w:eastAsia="sk-SK"/>
              </w:rPr>
            </w:pPr>
            <w:r w:rsidRPr="00CF5332">
              <w:rPr>
                <w:sz w:val="20"/>
                <w:szCs w:val="20"/>
                <w:lang w:eastAsia="sk-SK"/>
              </w:rPr>
              <w:t>34 340</w:t>
            </w:r>
          </w:p>
        </w:tc>
        <w:tc>
          <w:tcPr>
            <w:tcW w:w="1282" w:type="dxa"/>
            <w:tcBorders>
              <w:top w:val="nil"/>
              <w:left w:val="nil"/>
              <w:bottom w:val="nil"/>
              <w:right w:val="nil"/>
            </w:tcBorders>
            <w:shd w:val="clear" w:color="auto" w:fill="auto"/>
            <w:noWrap/>
            <w:vAlign w:val="center"/>
            <w:hideMark/>
          </w:tcPr>
          <w:p w14:paraId="5D270990"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0,031</w:t>
            </w:r>
          </w:p>
        </w:tc>
        <w:tc>
          <w:tcPr>
            <w:tcW w:w="3699" w:type="dxa"/>
            <w:tcBorders>
              <w:top w:val="nil"/>
              <w:left w:val="nil"/>
              <w:bottom w:val="nil"/>
              <w:right w:val="nil"/>
            </w:tcBorders>
            <w:shd w:val="clear" w:color="000000" w:fill="FFFFFF"/>
            <w:vAlign w:val="center"/>
            <w:hideMark/>
          </w:tcPr>
          <w:p w14:paraId="3DA6B70C" w14:textId="41B7AE1B" w:rsidR="00AF4A8D" w:rsidRPr="00CF5332" w:rsidRDefault="00F74C90" w:rsidP="009D1292">
            <w:pPr>
              <w:keepLines/>
              <w:spacing w:after="0" w:line="240" w:lineRule="auto"/>
              <w:rPr>
                <w:sz w:val="20"/>
                <w:szCs w:val="20"/>
                <w:lang w:eastAsia="sk-SK"/>
              </w:rPr>
            </w:pPr>
            <w:r>
              <w:rPr>
                <w:sz w:val="20"/>
                <w:szCs w:val="20"/>
                <w:lang w:eastAsia="sk-SK"/>
              </w:rPr>
              <w:t>aktualizácia</w:t>
            </w:r>
            <w:r w:rsidR="00AF4A8D" w:rsidRPr="00CF5332">
              <w:rPr>
                <w:sz w:val="20"/>
                <w:szCs w:val="20"/>
                <w:lang w:eastAsia="sk-SK"/>
              </w:rPr>
              <w:t xml:space="preserve"> daňových príjmov</w:t>
            </w:r>
          </w:p>
        </w:tc>
      </w:tr>
      <w:tr w:rsidR="00AF4A8D" w:rsidRPr="00CF5332" w14:paraId="4A271EF5" w14:textId="77777777" w:rsidTr="00AF4A8D">
        <w:trPr>
          <w:trHeight w:val="510"/>
        </w:trPr>
        <w:tc>
          <w:tcPr>
            <w:tcW w:w="3388" w:type="dxa"/>
            <w:tcBorders>
              <w:top w:val="nil"/>
              <w:left w:val="nil"/>
              <w:bottom w:val="nil"/>
              <w:right w:val="nil"/>
            </w:tcBorders>
            <w:shd w:val="clear" w:color="auto" w:fill="auto"/>
            <w:vAlign w:val="center"/>
            <w:hideMark/>
          </w:tcPr>
          <w:p w14:paraId="236183D0" w14:textId="77777777" w:rsidR="00AF4A8D" w:rsidRPr="00CF5332" w:rsidRDefault="00AF4A8D" w:rsidP="00AF4A8D">
            <w:pPr>
              <w:keepLines/>
              <w:spacing w:after="0" w:line="240" w:lineRule="auto"/>
              <w:rPr>
                <w:sz w:val="20"/>
                <w:szCs w:val="20"/>
                <w:lang w:eastAsia="sk-SK"/>
              </w:rPr>
            </w:pPr>
            <w:r w:rsidRPr="00CF5332">
              <w:rPr>
                <w:sz w:val="20"/>
                <w:szCs w:val="20"/>
                <w:lang w:eastAsia="sk-SK"/>
              </w:rPr>
              <w:t>Ostatné pohľadávky a záväzky</w:t>
            </w:r>
          </w:p>
        </w:tc>
        <w:tc>
          <w:tcPr>
            <w:tcW w:w="1044" w:type="dxa"/>
            <w:tcBorders>
              <w:top w:val="nil"/>
              <w:left w:val="nil"/>
              <w:bottom w:val="nil"/>
              <w:right w:val="nil"/>
            </w:tcBorders>
            <w:shd w:val="clear" w:color="auto" w:fill="auto"/>
            <w:noWrap/>
            <w:vAlign w:val="center"/>
            <w:hideMark/>
          </w:tcPr>
          <w:p w14:paraId="6F0A7DE7" w14:textId="77777777" w:rsidR="00AF4A8D" w:rsidRPr="00CF5332" w:rsidRDefault="00AF4A8D" w:rsidP="00AF4A8D">
            <w:pPr>
              <w:keepLines/>
              <w:spacing w:after="0" w:line="240" w:lineRule="auto"/>
              <w:jc w:val="right"/>
              <w:rPr>
                <w:sz w:val="20"/>
                <w:szCs w:val="20"/>
                <w:lang w:eastAsia="sk-SK"/>
              </w:rPr>
            </w:pPr>
            <w:r w:rsidRPr="00CF5332">
              <w:rPr>
                <w:sz w:val="20"/>
                <w:szCs w:val="20"/>
                <w:lang w:eastAsia="sk-SK"/>
              </w:rPr>
              <w:t>13 263</w:t>
            </w:r>
          </w:p>
        </w:tc>
        <w:tc>
          <w:tcPr>
            <w:tcW w:w="1282" w:type="dxa"/>
            <w:tcBorders>
              <w:top w:val="nil"/>
              <w:left w:val="nil"/>
              <w:bottom w:val="nil"/>
              <w:right w:val="nil"/>
            </w:tcBorders>
            <w:shd w:val="clear" w:color="auto" w:fill="auto"/>
            <w:noWrap/>
            <w:vAlign w:val="center"/>
            <w:hideMark/>
          </w:tcPr>
          <w:p w14:paraId="008D01BB"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0,012</w:t>
            </w:r>
          </w:p>
        </w:tc>
        <w:tc>
          <w:tcPr>
            <w:tcW w:w="3699" w:type="dxa"/>
            <w:tcBorders>
              <w:top w:val="nil"/>
              <w:left w:val="nil"/>
              <w:bottom w:val="nil"/>
              <w:right w:val="nil"/>
            </w:tcBorders>
            <w:shd w:val="clear" w:color="auto" w:fill="auto"/>
            <w:vAlign w:val="center"/>
            <w:hideMark/>
          </w:tcPr>
          <w:p w14:paraId="3C880B52" w14:textId="77777777" w:rsidR="00AF4A8D" w:rsidRPr="00CF5332" w:rsidRDefault="00AF4A8D" w:rsidP="009D1292">
            <w:pPr>
              <w:keepLines/>
              <w:spacing w:after="0" w:line="240" w:lineRule="auto"/>
              <w:rPr>
                <w:sz w:val="20"/>
                <w:szCs w:val="20"/>
                <w:lang w:eastAsia="sk-SK"/>
              </w:rPr>
            </w:pPr>
            <w:r w:rsidRPr="00CF5332">
              <w:rPr>
                <w:sz w:val="20"/>
                <w:szCs w:val="20"/>
                <w:lang w:eastAsia="sk-SK"/>
              </w:rPr>
              <w:t>revízia aprílových údajov na základe riadnych účtovných závierok vybraných subjektov VS</w:t>
            </w:r>
          </w:p>
        </w:tc>
      </w:tr>
      <w:tr w:rsidR="00AF4A8D" w:rsidRPr="00CF5332" w14:paraId="46012919" w14:textId="77777777" w:rsidTr="00AF4A8D">
        <w:trPr>
          <w:trHeight w:val="510"/>
        </w:trPr>
        <w:tc>
          <w:tcPr>
            <w:tcW w:w="3388" w:type="dxa"/>
            <w:tcBorders>
              <w:top w:val="nil"/>
              <w:left w:val="nil"/>
              <w:bottom w:val="nil"/>
              <w:right w:val="nil"/>
            </w:tcBorders>
            <w:shd w:val="clear" w:color="auto" w:fill="auto"/>
            <w:vAlign w:val="center"/>
            <w:hideMark/>
          </w:tcPr>
          <w:p w14:paraId="59DB7DF6" w14:textId="77777777" w:rsidR="00AF4A8D" w:rsidRPr="00CF5332" w:rsidRDefault="00AF4A8D" w:rsidP="00AF4A8D">
            <w:pPr>
              <w:keepLines/>
              <w:spacing w:after="0" w:line="240" w:lineRule="auto"/>
              <w:rPr>
                <w:sz w:val="20"/>
                <w:szCs w:val="20"/>
                <w:lang w:eastAsia="sk-SK"/>
              </w:rPr>
            </w:pPr>
            <w:proofErr w:type="spellStart"/>
            <w:r w:rsidRPr="00CF5332">
              <w:rPr>
                <w:sz w:val="20"/>
                <w:szCs w:val="20"/>
                <w:lang w:eastAsia="sk-SK"/>
              </w:rPr>
              <w:t>Superdividenda</w:t>
            </w:r>
            <w:proofErr w:type="spellEnd"/>
          </w:p>
        </w:tc>
        <w:tc>
          <w:tcPr>
            <w:tcW w:w="1044" w:type="dxa"/>
            <w:tcBorders>
              <w:top w:val="nil"/>
              <w:left w:val="nil"/>
              <w:bottom w:val="nil"/>
              <w:right w:val="nil"/>
            </w:tcBorders>
            <w:shd w:val="clear" w:color="auto" w:fill="auto"/>
            <w:noWrap/>
            <w:vAlign w:val="center"/>
            <w:hideMark/>
          </w:tcPr>
          <w:p w14:paraId="547C21DB" w14:textId="77777777" w:rsidR="00AF4A8D" w:rsidRPr="00CF5332" w:rsidRDefault="00AF4A8D" w:rsidP="00AF4A8D">
            <w:pPr>
              <w:keepLines/>
              <w:spacing w:after="0" w:line="240" w:lineRule="auto"/>
              <w:jc w:val="right"/>
              <w:rPr>
                <w:sz w:val="20"/>
                <w:szCs w:val="20"/>
                <w:lang w:eastAsia="sk-SK"/>
              </w:rPr>
            </w:pPr>
            <w:r w:rsidRPr="00CF5332">
              <w:rPr>
                <w:sz w:val="20"/>
                <w:szCs w:val="20"/>
                <w:lang w:eastAsia="sk-SK"/>
              </w:rPr>
              <w:t>-3 800</w:t>
            </w:r>
          </w:p>
        </w:tc>
        <w:tc>
          <w:tcPr>
            <w:tcW w:w="1282" w:type="dxa"/>
            <w:tcBorders>
              <w:top w:val="nil"/>
              <w:left w:val="nil"/>
              <w:bottom w:val="nil"/>
              <w:right w:val="nil"/>
            </w:tcBorders>
            <w:shd w:val="clear" w:color="auto" w:fill="auto"/>
            <w:noWrap/>
            <w:vAlign w:val="center"/>
            <w:hideMark/>
          </w:tcPr>
          <w:p w14:paraId="392BA015"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-0,003</w:t>
            </w:r>
          </w:p>
        </w:tc>
        <w:tc>
          <w:tcPr>
            <w:tcW w:w="3699" w:type="dxa"/>
            <w:tcBorders>
              <w:top w:val="nil"/>
              <w:left w:val="nil"/>
              <w:bottom w:val="nil"/>
              <w:right w:val="nil"/>
            </w:tcBorders>
            <w:shd w:val="clear" w:color="auto" w:fill="auto"/>
            <w:vAlign w:val="center"/>
            <w:hideMark/>
          </w:tcPr>
          <w:p w14:paraId="59A91115" w14:textId="61307678" w:rsidR="00AF4A8D" w:rsidRPr="00CF5332" w:rsidRDefault="00AF4A8D" w:rsidP="009D1292">
            <w:pPr>
              <w:keepLines/>
              <w:spacing w:after="0" w:line="240" w:lineRule="auto"/>
              <w:rPr>
                <w:sz w:val="20"/>
                <w:szCs w:val="20"/>
                <w:lang w:eastAsia="sk-SK"/>
              </w:rPr>
            </w:pPr>
            <w:r w:rsidRPr="00CF5332">
              <w:rPr>
                <w:sz w:val="20"/>
                <w:szCs w:val="20"/>
                <w:lang w:eastAsia="sk-SK"/>
              </w:rPr>
              <w:t xml:space="preserve">aktualizácie výšky </w:t>
            </w:r>
            <w:proofErr w:type="spellStart"/>
            <w:r w:rsidRPr="00CF5332">
              <w:rPr>
                <w:sz w:val="20"/>
                <w:szCs w:val="20"/>
                <w:lang w:eastAsia="sk-SK"/>
              </w:rPr>
              <w:t>superdividendy</w:t>
            </w:r>
            <w:proofErr w:type="spellEnd"/>
            <w:r w:rsidRPr="00CF5332">
              <w:rPr>
                <w:sz w:val="20"/>
                <w:szCs w:val="20"/>
                <w:lang w:eastAsia="sk-SK"/>
              </w:rPr>
              <w:t xml:space="preserve"> SPP, </w:t>
            </w:r>
            <w:proofErr w:type="spellStart"/>
            <w:r w:rsidRPr="00CF5332">
              <w:rPr>
                <w:sz w:val="20"/>
                <w:szCs w:val="20"/>
                <w:lang w:eastAsia="sk-SK"/>
              </w:rPr>
              <w:t>a.s</w:t>
            </w:r>
            <w:proofErr w:type="spellEnd"/>
            <w:r w:rsidRPr="00CF5332">
              <w:rPr>
                <w:sz w:val="20"/>
                <w:szCs w:val="20"/>
                <w:lang w:eastAsia="sk-SK"/>
              </w:rPr>
              <w:t>.</w:t>
            </w:r>
          </w:p>
        </w:tc>
      </w:tr>
      <w:tr w:rsidR="00AF4A8D" w:rsidRPr="00CF5332" w14:paraId="00B07D50" w14:textId="77777777" w:rsidTr="00AF4A8D">
        <w:trPr>
          <w:trHeight w:val="510"/>
        </w:trPr>
        <w:tc>
          <w:tcPr>
            <w:tcW w:w="3388" w:type="dxa"/>
            <w:tcBorders>
              <w:top w:val="nil"/>
              <w:left w:val="nil"/>
              <w:bottom w:val="nil"/>
              <w:right w:val="nil"/>
            </w:tcBorders>
            <w:shd w:val="clear" w:color="auto" w:fill="auto"/>
            <w:noWrap/>
            <w:vAlign w:val="center"/>
            <w:hideMark/>
          </w:tcPr>
          <w:p w14:paraId="35926F16" w14:textId="77777777" w:rsidR="00AF4A8D" w:rsidRPr="00CF5332" w:rsidRDefault="00AF4A8D" w:rsidP="00AF4A8D">
            <w:pPr>
              <w:keepLines/>
              <w:spacing w:after="0" w:line="240" w:lineRule="auto"/>
              <w:rPr>
                <w:sz w:val="20"/>
                <w:szCs w:val="20"/>
                <w:lang w:eastAsia="sk-SK"/>
              </w:rPr>
            </w:pPr>
            <w:r w:rsidRPr="00CF5332">
              <w:rPr>
                <w:sz w:val="20"/>
                <w:szCs w:val="20"/>
                <w:lang w:eastAsia="sk-SK"/>
              </w:rPr>
              <w:t>Upravujúca položka voči EÚ</w:t>
            </w:r>
          </w:p>
        </w:tc>
        <w:tc>
          <w:tcPr>
            <w:tcW w:w="1044" w:type="dxa"/>
            <w:tcBorders>
              <w:top w:val="nil"/>
              <w:left w:val="nil"/>
              <w:bottom w:val="nil"/>
              <w:right w:val="nil"/>
            </w:tcBorders>
            <w:shd w:val="clear" w:color="auto" w:fill="auto"/>
            <w:noWrap/>
            <w:vAlign w:val="center"/>
            <w:hideMark/>
          </w:tcPr>
          <w:p w14:paraId="4DBC7203" w14:textId="77777777" w:rsidR="00AF4A8D" w:rsidRPr="00CF5332" w:rsidRDefault="00AF4A8D" w:rsidP="00AF4A8D">
            <w:pPr>
              <w:keepLines/>
              <w:spacing w:after="0" w:line="240" w:lineRule="auto"/>
              <w:jc w:val="right"/>
              <w:rPr>
                <w:sz w:val="20"/>
                <w:szCs w:val="20"/>
                <w:lang w:eastAsia="sk-SK"/>
              </w:rPr>
            </w:pPr>
            <w:r w:rsidRPr="00CF5332">
              <w:rPr>
                <w:sz w:val="20"/>
                <w:szCs w:val="20"/>
                <w:lang w:eastAsia="sk-SK"/>
              </w:rPr>
              <w:t>-2 859</w:t>
            </w:r>
          </w:p>
        </w:tc>
        <w:tc>
          <w:tcPr>
            <w:tcW w:w="1282" w:type="dxa"/>
            <w:tcBorders>
              <w:top w:val="nil"/>
              <w:left w:val="nil"/>
              <w:bottom w:val="nil"/>
              <w:right w:val="nil"/>
            </w:tcBorders>
            <w:shd w:val="clear" w:color="auto" w:fill="auto"/>
            <w:noWrap/>
            <w:vAlign w:val="center"/>
            <w:hideMark/>
          </w:tcPr>
          <w:p w14:paraId="516EC0D2" w14:textId="77777777" w:rsidR="00AF4A8D" w:rsidRPr="00CF5332" w:rsidRDefault="00AF4A8D" w:rsidP="00AF4A8D">
            <w:pPr>
              <w:keepLines/>
              <w:spacing w:after="0" w:line="240" w:lineRule="auto"/>
              <w:jc w:val="center"/>
              <w:rPr>
                <w:sz w:val="20"/>
                <w:szCs w:val="20"/>
                <w:lang w:eastAsia="sk-SK"/>
              </w:rPr>
            </w:pPr>
            <w:r w:rsidRPr="00CF5332">
              <w:rPr>
                <w:sz w:val="20"/>
                <w:szCs w:val="20"/>
                <w:lang w:eastAsia="sk-SK"/>
              </w:rPr>
              <w:t>-0,003</w:t>
            </w:r>
          </w:p>
        </w:tc>
        <w:tc>
          <w:tcPr>
            <w:tcW w:w="3699" w:type="dxa"/>
            <w:tcBorders>
              <w:top w:val="nil"/>
              <w:left w:val="nil"/>
              <w:bottom w:val="nil"/>
              <w:right w:val="nil"/>
            </w:tcBorders>
            <w:shd w:val="clear" w:color="auto" w:fill="auto"/>
            <w:vAlign w:val="center"/>
            <w:hideMark/>
          </w:tcPr>
          <w:p w14:paraId="20E80910" w14:textId="19501EDE" w:rsidR="00AF4A8D" w:rsidRPr="00CF5332" w:rsidRDefault="00AF4A8D" w:rsidP="009D1292">
            <w:pPr>
              <w:keepLines/>
              <w:spacing w:after="0" w:line="240" w:lineRule="auto"/>
              <w:rPr>
                <w:sz w:val="20"/>
                <w:szCs w:val="20"/>
                <w:lang w:eastAsia="sk-SK"/>
              </w:rPr>
            </w:pPr>
            <w:r w:rsidRPr="00CF5332">
              <w:rPr>
                <w:sz w:val="20"/>
                <w:szCs w:val="20"/>
                <w:lang w:eastAsia="sk-SK"/>
              </w:rPr>
              <w:t>revidovanie zmeny</w:t>
            </w:r>
            <w:r w:rsidR="00D87B73">
              <w:rPr>
                <w:sz w:val="20"/>
                <w:szCs w:val="20"/>
                <w:lang w:eastAsia="sk-SK"/>
              </w:rPr>
              <w:t xml:space="preserve"> stavu pohľadávky voči EÚ z Plán</w:t>
            </w:r>
            <w:r w:rsidRPr="00CF5332">
              <w:rPr>
                <w:sz w:val="20"/>
                <w:szCs w:val="20"/>
                <w:lang w:eastAsia="sk-SK"/>
              </w:rPr>
              <w:t>u obnovy a odolnosti</w:t>
            </w:r>
          </w:p>
        </w:tc>
      </w:tr>
      <w:tr w:rsidR="00AF4A8D" w:rsidRPr="00CF5332" w14:paraId="1AC4D910" w14:textId="77777777" w:rsidTr="00AF4A8D">
        <w:trPr>
          <w:trHeight w:val="284"/>
        </w:trPr>
        <w:tc>
          <w:tcPr>
            <w:tcW w:w="3388" w:type="dxa"/>
            <w:tcBorders>
              <w:top w:val="single" w:sz="4" w:space="0" w:color="auto"/>
              <w:left w:val="nil"/>
              <w:bottom w:val="single" w:sz="8" w:space="0" w:color="auto"/>
              <w:right w:val="nil"/>
            </w:tcBorders>
            <w:shd w:val="clear" w:color="auto" w:fill="auto"/>
            <w:noWrap/>
            <w:vAlign w:val="center"/>
            <w:hideMark/>
          </w:tcPr>
          <w:p w14:paraId="0DC41904" w14:textId="77777777" w:rsidR="00AF4A8D" w:rsidRPr="00CF5332" w:rsidRDefault="00AF4A8D" w:rsidP="00AF4A8D">
            <w:pPr>
              <w:keepLines/>
              <w:spacing w:after="0" w:line="240" w:lineRule="auto"/>
              <w:rPr>
                <w:b/>
                <w:bCs/>
                <w:sz w:val="20"/>
                <w:szCs w:val="20"/>
                <w:lang w:eastAsia="sk-SK"/>
              </w:rPr>
            </w:pPr>
            <w:r w:rsidRPr="00CF5332">
              <w:rPr>
                <w:b/>
                <w:bCs/>
                <w:sz w:val="20"/>
                <w:szCs w:val="20"/>
                <w:lang w:eastAsia="sk-SK"/>
              </w:rPr>
              <w:t>Zmena celkom</w:t>
            </w:r>
          </w:p>
        </w:tc>
        <w:tc>
          <w:tcPr>
            <w:tcW w:w="1044" w:type="dxa"/>
            <w:tcBorders>
              <w:top w:val="single" w:sz="4" w:space="0" w:color="auto"/>
              <w:left w:val="nil"/>
              <w:bottom w:val="single" w:sz="8" w:space="0" w:color="auto"/>
              <w:right w:val="nil"/>
            </w:tcBorders>
            <w:shd w:val="clear" w:color="auto" w:fill="auto"/>
            <w:noWrap/>
            <w:vAlign w:val="center"/>
            <w:hideMark/>
          </w:tcPr>
          <w:p w14:paraId="370075B6" w14:textId="77777777" w:rsidR="00AF4A8D" w:rsidRPr="00CF5332" w:rsidRDefault="00AF4A8D" w:rsidP="00AF4A8D">
            <w:pPr>
              <w:keepLines/>
              <w:spacing w:after="0" w:line="240" w:lineRule="auto"/>
              <w:jc w:val="right"/>
              <w:rPr>
                <w:b/>
                <w:bCs/>
                <w:sz w:val="20"/>
                <w:szCs w:val="20"/>
                <w:lang w:eastAsia="sk-SK"/>
              </w:rPr>
            </w:pPr>
            <w:r w:rsidRPr="00CF5332">
              <w:rPr>
                <w:b/>
                <w:bCs/>
                <w:sz w:val="20"/>
                <w:szCs w:val="20"/>
                <w:lang w:eastAsia="sk-SK"/>
              </w:rPr>
              <w:t>18 218</w:t>
            </w:r>
          </w:p>
        </w:tc>
        <w:tc>
          <w:tcPr>
            <w:tcW w:w="1282" w:type="dxa"/>
            <w:tcBorders>
              <w:top w:val="single" w:sz="4" w:space="0" w:color="auto"/>
              <w:left w:val="nil"/>
              <w:bottom w:val="single" w:sz="8" w:space="0" w:color="auto"/>
              <w:right w:val="nil"/>
            </w:tcBorders>
            <w:shd w:val="clear" w:color="auto" w:fill="auto"/>
            <w:noWrap/>
            <w:vAlign w:val="center"/>
            <w:hideMark/>
          </w:tcPr>
          <w:p w14:paraId="27B0A27E" w14:textId="77777777" w:rsidR="00AF4A8D" w:rsidRPr="00CF5332" w:rsidRDefault="00AF4A8D" w:rsidP="00AF4A8D">
            <w:pPr>
              <w:keepLines/>
              <w:spacing w:after="0" w:line="240" w:lineRule="auto"/>
              <w:jc w:val="center"/>
              <w:rPr>
                <w:b/>
                <w:bCs/>
                <w:sz w:val="20"/>
                <w:szCs w:val="20"/>
                <w:lang w:eastAsia="sk-SK"/>
              </w:rPr>
            </w:pPr>
            <w:r w:rsidRPr="00CF5332">
              <w:rPr>
                <w:b/>
                <w:bCs/>
                <w:sz w:val="20"/>
                <w:szCs w:val="20"/>
                <w:lang w:eastAsia="sk-SK"/>
              </w:rPr>
              <w:t> </w:t>
            </w:r>
          </w:p>
        </w:tc>
        <w:tc>
          <w:tcPr>
            <w:tcW w:w="3699" w:type="dxa"/>
            <w:tcBorders>
              <w:top w:val="single" w:sz="4" w:space="0" w:color="auto"/>
              <w:left w:val="nil"/>
              <w:bottom w:val="single" w:sz="8" w:space="0" w:color="auto"/>
              <w:right w:val="nil"/>
            </w:tcBorders>
            <w:shd w:val="clear" w:color="auto" w:fill="auto"/>
            <w:noWrap/>
            <w:vAlign w:val="bottom"/>
            <w:hideMark/>
          </w:tcPr>
          <w:p w14:paraId="3E5695FD" w14:textId="77777777" w:rsidR="00AF4A8D" w:rsidRPr="00CF5332" w:rsidRDefault="00AF4A8D" w:rsidP="00AF4A8D">
            <w:pPr>
              <w:keepLines/>
              <w:spacing w:after="0" w:line="240" w:lineRule="auto"/>
              <w:jc w:val="center"/>
              <w:rPr>
                <w:b/>
                <w:bCs/>
                <w:sz w:val="20"/>
                <w:szCs w:val="20"/>
                <w:lang w:eastAsia="sk-SK"/>
              </w:rPr>
            </w:pPr>
            <w:r w:rsidRPr="00CF5332">
              <w:rPr>
                <w:b/>
                <w:bCs/>
                <w:sz w:val="20"/>
                <w:szCs w:val="20"/>
                <w:lang w:eastAsia="sk-SK"/>
              </w:rPr>
              <w:t> </w:t>
            </w:r>
          </w:p>
        </w:tc>
      </w:tr>
      <w:tr w:rsidR="00AF4A8D" w:rsidRPr="00CF5332" w14:paraId="59CFF559" w14:textId="77777777" w:rsidTr="00AF4A8D">
        <w:trPr>
          <w:trHeight w:val="284"/>
        </w:trPr>
        <w:tc>
          <w:tcPr>
            <w:tcW w:w="3388" w:type="dxa"/>
            <w:tcBorders>
              <w:top w:val="nil"/>
              <w:left w:val="nil"/>
              <w:bottom w:val="single" w:sz="8" w:space="0" w:color="auto"/>
              <w:right w:val="nil"/>
            </w:tcBorders>
            <w:shd w:val="clear" w:color="auto" w:fill="auto"/>
            <w:vAlign w:val="center"/>
            <w:hideMark/>
          </w:tcPr>
          <w:p w14:paraId="0CC7FF9A" w14:textId="77777777" w:rsidR="00AF4A8D" w:rsidRPr="00CF5332" w:rsidRDefault="00AF4A8D" w:rsidP="00AF4A8D">
            <w:pPr>
              <w:keepLines/>
              <w:spacing w:after="0" w:line="240" w:lineRule="auto"/>
              <w:rPr>
                <w:b/>
                <w:bCs/>
                <w:color w:val="000000"/>
                <w:sz w:val="20"/>
                <w:szCs w:val="20"/>
                <w:lang w:eastAsia="sk-SK"/>
              </w:rPr>
            </w:pPr>
            <w:r w:rsidRPr="00CF5332">
              <w:rPr>
                <w:b/>
                <w:bCs/>
                <w:color w:val="000000"/>
                <w:sz w:val="20"/>
                <w:szCs w:val="20"/>
                <w:lang w:eastAsia="sk-SK"/>
              </w:rPr>
              <w:t>Schodok VS - október 2023</w:t>
            </w:r>
          </w:p>
        </w:tc>
        <w:tc>
          <w:tcPr>
            <w:tcW w:w="1044" w:type="dxa"/>
            <w:tcBorders>
              <w:top w:val="nil"/>
              <w:left w:val="nil"/>
              <w:bottom w:val="single" w:sz="8" w:space="0" w:color="auto"/>
              <w:right w:val="nil"/>
            </w:tcBorders>
            <w:shd w:val="clear" w:color="auto" w:fill="auto"/>
            <w:vAlign w:val="center"/>
            <w:hideMark/>
          </w:tcPr>
          <w:p w14:paraId="6FA560AE" w14:textId="77777777" w:rsidR="00AF4A8D" w:rsidRPr="00CF5332" w:rsidRDefault="00AF4A8D" w:rsidP="00AF4A8D">
            <w:pPr>
              <w:keepLines/>
              <w:spacing w:after="0" w:line="240" w:lineRule="auto"/>
              <w:jc w:val="right"/>
              <w:rPr>
                <w:b/>
                <w:bCs/>
                <w:color w:val="000000"/>
                <w:sz w:val="20"/>
                <w:szCs w:val="20"/>
                <w:lang w:eastAsia="sk-SK"/>
              </w:rPr>
            </w:pPr>
            <w:r w:rsidRPr="00CF5332">
              <w:rPr>
                <w:b/>
                <w:bCs/>
                <w:color w:val="000000"/>
                <w:sz w:val="20"/>
                <w:szCs w:val="20"/>
                <w:lang w:eastAsia="sk-SK"/>
              </w:rPr>
              <w:t>-2 215 563</w:t>
            </w:r>
          </w:p>
        </w:tc>
        <w:tc>
          <w:tcPr>
            <w:tcW w:w="1282" w:type="dxa"/>
            <w:tcBorders>
              <w:top w:val="nil"/>
              <w:left w:val="nil"/>
              <w:bottom w:val="single" w:sz="8" w:space="0" w:color="auto"/>
              <w:right w:val="nil"/>
            </w:tcBorders>
            <w:shd w:val="clear" w:color="auto" w:fill="auto"/>
            <w:vAlign w:val="center"/>
            <w:hideMark/>
          </w:tcPr>
          <w:p w14:paraId="367AD3B8" w14:textId="77777777" w:rsidR="00AF4A8D" w:rsidRPr="00CF5332" w:rsidRDefault="00AF4A8D" w:rsidP="00AF4A8D">
            <w:pPr>
              <w:keepLines/>
              <w:spacing w:after="0" w:line="240" w:lineRule="auto"/>
              <w:jc w:val="center"/>
              <w:rPr>
                <w:b/>
                <w:bCs/>
                <w:color w:val="000000"/>
                <w:sz w:val="20"/>
                <w:szCs w:val="20"/>
                <w:lang w:eastAsia="sk-SK"/>
              </w:rPr>
            </w:pPr>
            <w:r w:rsidRPr="00CF5332">
              <w:rPr>
                <w:b/>
                <w:bCs/>
                <w:color w:val="000000"/>
                <w:sz w:val="20"/>
                <w:szCs w:val="20"/>
                <w:lang w:eastAsia="sk-SK"/>
              </w:rPr>
              <w:t>-2,02</w:t>
            </w:r>
          </w:p>
        </w:tc>
        <w:tc>
          <w:tcPr>
            <w:tcW w:w="3699" w:type="dxa"/>
            <w:tcBorders>
              <w:top w:val="nil"/>
              <w:left w:val="nil"/>
              <w:bottom w:val="single" w:sz="8" w:space="0" w:color="auto"/>
              <w:right w:val="nil"/>
            </w:tcBorders>
            <w:shd w:val="clear" w:color="auto" w:fill="auto"/>
            <w:vAlign w:val="bottom"/>
            <w:hideMark/>
          </w:tcPr>
          <w:p w14:paraId="211911E3" w14:textId="77777777" w:rsidR="00AF4A8D" w:rsidRPr="00CF5332" w:rsidRDefault="00AF4A8D" w:rsidP="00AF4A8D">
            <w:pPr>
              <w:keepLines/>
              <w:spacing w:after="0" w:line="240" w:lineRule="auto"/>
              <w:jc w:val="center"/>
              <w:rPr>
                <w:b/>
                <w:bCs/>
                <w:color w:val="000000"/>
                <w:sz w:val="20"/>
                <w:szCs w:val="20"/>
                <w:lang w:eastAsia="sk-SK"/>
              </w:rPr>
            </w:pPr>
            <w:r w:rsidRPr="00CF5332">
              <w:rPr>
                <w:b/>
                <w:bCs/>
                <w:color w:val="000000"/>
                <w:sz w:val="20"/>
                <w:szCs w:val="20"/>
                <w:lang w:eastAsia="sk-SK"/>
              </w:rPr>
              <w:t> </w:t>
            </w:r>
          </w:p>
        </w:tc>
      </w:tr>
    </w:tbl>
    <w:p w14:paraId="1A0446E7" w14:textId="0F5985B6" w:rsidR="00AF4A8D" w:rsidRPr="00CF5332" w:rsidRDefault="00AF4A8D" w:rsidP="00AF4A8D">
      <w:pPr>
        <w:keepLines/>
        <w:widowControl w:val="0"/>
        <w:spacing w:after="0" w:line="240" w:lineRule="auto"/>
        <w:jc w:val="both"/>
        <w:rPr>
          <w:sz w:val="16"/>
          <w:szCs w:val="16"/>
          <w:lang w:eastAsia="sk-SK"/>
        </w:rPr>
      </w:pPr>
      <w:r w:rsidRPr="00CF5332">
        <w:rPr>
          <w:sz w:val="16"/>
          <w:szCs w:val="16"/>
          <w:lang w:eastAsia="sk-SK"/>
        </w:rPr>
        <w:t xml:space="preserve">1) Percento schodku z aprílovej notifikácie je vyčíslené v pomere k HDP notifikovanom v apríli 2023. </w:t>
      </w:r>
      <w:r>
        <w:rPr>
          <w:sz w:val="16"/>
          <w:szCs w:val="16"/>
          <w:lang w:eastAsia="sk-SK"/>
        </w:rPr>
        <w:t xml:space="preserve">  </w:t>
      </w:r>
      <w:r w:rsidRPr="00CF5332">
        <w:rPr>
          <w:sz w:val="16"/>
          <w:szCs w:val="16"/>
          <w:lang w:eastAsia="sk-SK"/>
        </w:rPr>
        <w:t xml:space="preserve">                     </w:t>
      </w:r>
      <w:r w:rsidRPr="00CF5332">
        <w:rPr>
          <w:sz w:val="16"/>
          <w:szCs w:val="16"/>
          <w:lang w:eastAsia="sk-SK"/>
        </w:rPr>
        <w:tab/>
      </w:r>
      <w:r>
        <w:rPr>
          <w:sz w:val="16"/>
          <w:szCs w:val="16"/>
          <w:lang w:eastAsia="sk-SK"/>
        </w:rPr>
        <w:t xml:space="preserve">    </w:t>
      </w:r>
      <w:r w:rsidR="000720E8">
        <w:rPr>
          <w:sz w:val="16"/>
          <w:szCs w:val="16"/>
          <w:lang w:eastAsia="sk-SK"/>
        </w:rPr>
        <w:t xml:space="preserve">   </w:t>
      </w:r>
      <w:r>
        <w:rPr>
          <w:sz w:val="16"/>
          <w:szCs w:val="16"/>
          <w:lang w:eastAsia="sk-SK"/>
        </w:rPr>
        <w:t xml:space="preserve">       </w:t>
      </w:r>
      <w:r w:rsidRPr="00CF5332">
        <w:rPr>
          <w:sz w:val="16"/>
          <w:szCs w:val="16"/>
          <w:lang w:eastAsia="sk-SK"/>
        </w:rPr>
        <w:t xml:space="preserve">  Zdroj: MF SR</w:t>
      </w:r>
    </w:p>
    <w:p w14:paraId="3120D127" w14:textId="77777777" w:rsidR="00AF4A8D" w:rsidRPr="00CF5332" w:rsidRDefault="00AF4A8D" w:rsidP="00AF4A8D">
      <w:pPr>
        <w:keepLines/>
        <w:spacing w:after="0" w:line="240" w:lineRule="auto"/>
        <w:rPr>
          <w:b/>
          <w:bCs/>
          <w:color w:val="4F81BD"/>
          <w:sz w:val="20"/>
          <w:szCs w:val="20"/>
          <w:lang w:eastAsia="sk-SK"/>
        </w:rPr>
      </w:pPr>
      <w:r w:rsidRPr="00CF5332">
        <w:rPr>
          <w:sz w:val="16"/>
          <w:szCs w:val="16"/>
          <w:lang w:eastAsia="sk-SK"/>
        </w:rPr>
        <w:t xml:space="preserve">    Ostatné percentá sa vyčíslujú v pomere k HDP notifikovanom v októbri 2023.       </w:t>
      </w:r>
    </w:p>
    <w:p w14:paraId="5630A4DE" w14:textId="77777777" w:rsidR="005E1709" w:rsidRDefault="005E1709">
      <w:r>
        <w:br w:type="page"/>
      </w:r>
    </w:p>
    <w:p w14:paraId="181B5A44" w14:textId="5451838D" w:rsidR="00DC1800" w:rsidRPr="00AF4A8D" w:rsidRDefault="00DC1800" w:rsidP="00F76E57">
      <w:pPr>
        <w:widowControl w:val="0"/>
        <w:spacing w:before="120" w:after="120" w:line="240" w:lineRule="auto"/>
        <w:jc w:val="both"/>
      </w:pPr>
      <w:r w:rsidRPr="00AF4A8D">
        <w:lastRenderedPageBreak/>
        <w:t>Úprava</w:t>
      </w:r>
      <w:r w:rsidRPr="00AF4A8D">
        <w:rPr>
          <w:rStyle w:val="Odkaznapoznmkupodiarou"/>
        </w:rPr>
        <w:footnoteReference w:id="3"/>
      </w:r>
      <w:r w:rsidRPr="00AF4A8D">
        <w:t xml:space="preserve"> hodnoty schodku verejnej správy vyčísleného v ap</w:t>
      </w:r>
      <w:r w:rsidR="00A476CC" w:rsidRPr="00AF4A8D">
        <w:t>ríli v Štátnom záverečnom účte bola</w:t>
      </w:r>
      <w:r w:rsidRPr="00AF4A8D">
        <w:t xml:space="preserve"> pri jesennej notifikácii ovplyvnená aktualizáciami a metodickými zmenami. Aktualizácie sú každoročne sa opakujúce spresnenia zdrojových dát (napríklad príjem z daní a odvodov) alebo jednorazovo sa vyskytujúce úpravy v danom roku na základe zistenia nových skutočností. Metodickými zmenami rozumieme úpravy napríklad na základe rozhodnutia </w:t>
      </w:r>
      <w:proofErr w:type="spellStart"/>
      <w:r w:rsidRPr="00AF4A8D">
        <w:t>Eurostatu</w:t>
      </w:r>
      <w:proofErr w:type="spellEnd"/>
      <w:r w:rsidRPr="00AF4A8D">
        <w:t xml:space="preserve"> o posúdení zaznamenania predmetnej transakcie alebo na základe záverov dialógovej misie </w:t>
      </w:r>
      <w:proofErr w:type="spellStart"/>
      <w:r w:rsidRPr="00AF4A8D">
        <w:t>Eurostatu</w:t>
      </w:r>
      <w:proofErr w:type="spellEnd"/>
      <w:r w:rsidRPr="00AF4A8D">
        <w:t xml:space="preserve">. </w:t>
      </w:r>
    </w:p>
    <w:p w14:paraId="6C62B0A0" w14:textId="757D0CAB" w:rsidR="00DC1800" w:rsidRPr="00A3009E" w:rsidRDefault="00DC1800" w:rsidP="00DC1800">
      <w:pPr>
        <w:widowControl w:val="0"/>
        <w:spacing w:after="120" w:line="240" w:lineRule="auto"/>
        <w:jc w:val="both"/>
      </w:pPr>
      <w:r w:rsidRPr="009D7C2D">
        <w:t xml:space="preserve">Vplyv </w:t>
      </w:r>
      <w:r w:rsidRPr="00456B04">
        <w:t xml:space="preserve">metodických zmien bol </w:t>
      </w:r>
      <w:r w:rsidR="00F76E57" w:rsidRPr="00456B04">
        <w:t>negatívny</w:t>
      </w:r>
      <w:r w:rsidRPr="00456B04">
        <w:t xml:space="preserve"> a predstavoval spolu</w:t>
      </w:r>
      <w:r w:rsidR="00E44677" w:rsidRPr="00456B04">
        <w:t> </w:t>
      </w:r>
      <w:r w:rsidR="00A3009E" w:rsidRPr="00456B04">
        <w:t>92 000</w:t>
      </w:r>
      <w:r w:rsidR="00E44677" w:rsidRPr="00456B04">
        <w:t> tis. eur resp. </w:t>
      </w:r>
      <w:r w:rsidRPr="00456B04">
        <w:t>0,</w:t>
      </w:r>
      <w:r w:rsidR="00A3009E" w:rsidRPr="00456B04">
        <w:t>1</w:t>
      </w:r>
      <w:r w:rsidRPr="00456B04">
        <w:t xml:space="preserve"> % HDP. Vplyv aktualizácie údajov sa podieľal na úpravách pozitívne sumou </w:t>
      </w:r>
      <w:r w:rsidR="00A3009E" w:rsidRPr="00456B04">
        <w:t>110 218 </w:t>
      </w:r>
      <w:r w:rsidR="00F76E57" w:rsidRPr="00456B04">
        <w:t>tis</w:t>
      </w:r>
      <w:r w:rsidR="009D5C48" w:rsidRPr="00456B04">
        <w:t>. </w:t>
      </w:r>
      <w:r w:rsidR="00F76E57" w:rsidRPr="00456B04">
        <w:t>eur, čo prestavuje</w:t>
      </w:r>
      <w:r w:rsidR="00A3009E" w:rsidRPr="00456B04">
        <w:t xml:space="preserve"> </w:t>
      </w:r>
      <w:r w:rsidR="00F76E57" w:rsidRPr="00456B04">
        <w:t>0,</w:t>
      </w:r>
      <w:r w:rsidR="00A3009E" w:rsidRPr="00456B04">
        <w:t>1</w:t>
      </w:r>
      <w:r w:rsidR="00F76E57" w:rsidRPr="00456B04">
        <w:t> </w:t>
      </w:r>
      <w:r w:rsidR="009D5C48" w:rsidRPr="00456B04">
        <w:t>% </w:t>
      </w:r>
      <w:r w:rsidRPr="00456B04">
        <w:t>HDP</w:t>
      </w:r>
      <w:r w:rsidRPr="00A3009E">
        <w:t xml:space="preserve">. </w:t>
      </w:r>
    </w:p>
    <w:p w14:paraId="211EE6BC" w14:textId="77777777" w:rsidR="00DC1800" w:rsidRPr="00A3009E" w:rsidRDefault="00DC1800" w:rsidP="00DC1800">
      <w:pPr>
        <w:spacing w:after="120" w:line="240" w:lineRule="auto"/>
        <w:jc w:val="both"/>
        <w:rPr>
          <w:b/>
          <w:color w:val="4F81BD" w:themeColor="accent1"/>
          <w:sz w:val="24"/>
          <w:szCs w:val="24"/>
        </w:rPr>
      </w:pPr>
      <w:r w:rsidRPr="00A3009E">
        <w:rPr>
          <w:b/>
          <w:color w:val="4F81BD" w:themeColor="accent1"/>
          <w:sz w:val="24"/>
          <w:szCs w:val="24"/>
        </w:rPr>
        <w:t>Aktualizácie schodku verejnej správy pri jesennej notifikácii</w:t>
      </w:r>
    </w:p>
    <w:p w14:paraId="3729B1F8" w14:textId="578BA9E6" w:rsidR="003F68A8" w:rsidRPr="00A3009E" w:rsidRDefault="0089657A" w:rsidP="00FA1620">
      <w:pPr>
        <w:pStyle w:val="Odsekzoznamu"/>
        <w:numPr>
          <w:ilvl w:val="0"/>
          <w:numId w:val="25"/>
        </w:numPr>
        <w:spacing w:before="120" w:after="120"/>
        <w:ind w:left="568" w:hanging="284"/>
        <w:jc w:val="both"/>
        <w:rPr>
          <w:rFonts w:cs="Times New Roman"/>
        </w:rPr>
      </w:pPr>
      <w:r w:rsidRPr="00A3009E">
        <w:rPr>
          <w:rFonts w:cs="Times New Roman"/>
          <w:b/>
        </w:rPr>
        <w:t>A</w:t>
      </w:r>
      <w:r w:rsidR="00DC1800" w:rsidRPr="00A3009E">
        <w:rPr>
          <w:rFonts w:cs="Times New Roman"/>
          <w:b/>
        </w:rPr>
        <w:t>ktualizácia údajov o výške akruálnych daní</w:t>
      </w:r>
      <w:r w:rsidR="00DC1800" w:rsidRPr="00A3009E">
        <w:rPr>
          <w:rFonts w:cs="Times New Roman"/>
        </w:rPr>
        <w:t xml:space="preserve"> na základe daňových priznaní za rok 202</w:t>
      </w:r>
      <w:r w:rsidR="00AF4A8D" w:rsidRPr="00A3009E">
        <w:rPr>
          <w:rFonts w:cs="Times New Roman"/>
        </w:rPr>
        <w:t>2</w:t>
      </w:r>
      <w:r w:rsidR="00DC1800" w:rsidRPr="00A3009E">
        <w:rPr>
          <w:rFonts w:cs="Times New Roman"/>
        </w:rPr>
        <w:t>. Celkový vplyv aktualizácie príjmov z daní bol pozitívny v</w:t>
      </w:r>
      <w:r w:rsidR="009D5C48" w:rsidRPr="00A3009E">
        <w:rPr>
          <w:rFonts w:cs="Times New Roman"/>
        </w:rPr>
        <w:t> </w:t>
      </w:r>
      <w:r w:rsidR="00DC1800" w:rsidRPr="00A3009E">
        <w:rPr>
          <w:rFonts w:cs="Times New Roman"/>
        </w:rPr>
        <w:t>hodnote</w:t>
      </w:r>
      <w:r w:rsidR="009D5C48" w:rsidRPr="00A3009E">
        <w:rPr>
          <w:rFonts w:cs="Times New Roman"/>
        </w:rPr>
        <w:t> </w:t>
      </w:r>
      <w:r w:rsidR="002C033D" w:rsidRPr="00A3009E">
        <w:rPr>
          <w:rFonts w:cs="Times New Roman"/>
        </w:rPr>
        <w:t>118 782</w:t>
      </w:r>
      <w:r w:rsidR="00DC1800" w:rsidRPr="00A3009E">
        <w:rPr>
          <w:rFonts w:cs="Times New Roman"/>
        </w:rPr>
        <w:t> tis. eur, z toho najväčší vplyv mala DPPO (</w:t>
      </w:r>
      <w:r w:rsidR="002F15C7" w:rsidRPr="00A3009E">
        <w:rPr>
          <w:rFonts w:cs="Times New Roman"/>
        </w:rPr>
        <w:t xml:space="preserve">nárast o 235 344 tis. eur). Negatívne vplývali príjmy z </w:t>
      </w:r>
      <w:r w:rsidR="00DC1800" w:rsidRPr="00A3009E">
        <w:rPr>
          <w:rFonts w:cs="Times New Roman"/>
        </w:rPr>
        <w:t xml:space="preserve"> DPFO (</w:t>
      </w:r>
      <w:r w:rsidR="002F15C7" w:rsidRPr="00A3009E">
        <w:rPr>
          <w:rFonts w:cs="Times New Roman"/>
        </w:rPr>
        <w:t xml:space="preserve">pokles o 62 150 tis. eur), DPH (pokles </w:t>
      </w:r>
      <w:r w:rsidR="002F15C7" w:rsidRPr="00A3009E">
        <w:t>o 43</w:t>
      </w:r>
      <w:r w:rsidR="002F15C7" w:rsidRPr="00A3009E">
        <w:rPr>
          <w:rFonts w:cs="Times New Roman"/>
        </w:rPr>
        <w:t> 607 tis. eur) a ostatné dane (pokles celkom o 10 805 tis. eur)</w:t>
      </w:r>
      <w:r w:rsidR="00DE4215" w:rsidRPr="00A3009E">
        <w:rPr>
          <w:rFonts w:cs="Times New Roman"/>
        </w:rPr>
        <w:t>.</w:t>
      </w:r>
    </w:p>
    <w:p w14:paraId="2401C455" w14:textId="77777777" w:rsidR="00962A29" w:rsidRPr="00BB4B6F" w:rsidRDefault="00962A29" w:rsidP="00962A29">
      <w:pPr>
        <w:pStyle w:val="Odsekzoznamu"/>
        <w:spacing w:before="120" w:after="120"/>
        <w:ind w:left="568"/>
        <w:jc w:val="both"/>
        <w:rPr>
          <w:rFonts w:cs="Times New Roman"/>
          <w:highlight w:val="yellow"/>
        </w:rPr>
      </w:pPr>
    </w:p>
    <w:p w14:paraId="12349DE1" w14:textId="671EB835" w:rsidR="00962A29" w:rsidRPr="00962A29" w:rsidRDefault="00962A29" w:rsidP="00A3009E">
      <w:pPr>
        <w:pStyle w:val="Odsekzoznamu"/>
        <w:spacing w:before="120" w:after="120"/>
        <w:ind w:left="567"/>
        <w:contextualSpacing w:val="0"/>
        <w:jc w:val="both"/>
        <w:rPr>
          <w:rFonts w:cs="Times New Roman"/>
        </w:rPr>
      </w:pPr>
      <w:r w:rsidRPr="00962A29">
        <w:rPr>
          <w:rFonts w:cs="Times New Roman"/>
          <w:b/>
        </w:rPr>
        <w:t>Výraznejšia revízia daňovo-odvodových príjmov medzi aprílovou a októbrovou notifikáciou</w:t>
      </w:r>
      <w:r w:rsidRPr="00962A29">
        <w:rPr>
          <w:rFonts w:cs="Times New Roman"/>
        </w:rPr>
        <w:t xml:space="preserve"> ide na vrub najmä </w:t>
      </w:r>
      <w:proofErr w:type="spellStart"/>
      <w:r w:rsidRPr="00962A29">
        <w:rPr>
          <w:rFonts w:cs="Times New Roman"/>
        </w:rPr>
        <w:t>korporátnej</w:t>
      </w:r>
      <w:proofErr w:type="spellEnd"/>
      <w:r w:rsidRPr="00962A29">
        <w:rPr>
          <w:rFonts w:cs="Times New Roman"/>
        </w:rPr>
        <w:t xml:space="preserve"> dani. Odhad </w:t>
      </w:r>
      <w:proofErr w:type="spellStart"/>
      <w:r w:rsidRPr="00962A29">
        <w:rPr>
          <w:rFonts w:cs="Times New Roman"/>
        </w:rPr>
        <w:t>korporátnej</w:t>
      </w:r>
      <w:proofErr w:type="spellEnd"/>
      <w:r w:rsidRPr="00962A29">
        <w:rPr>
          <w:rFonts w:cs="Times New Roman"/>
        </w:rPr>
        <w:t xml:space="preserve"> dane bol revidovaný o 235 mil. eur nahor. V apríli 2023 neboli dostupné kompletné údaje z daňových priznaní za rok 2022 a predpokladalo sa, že rast dane bude pomalší z </w:t>
      </w:r>
      <w:r w:rsidRPr="00A3009E">
        <w:rPr>
          <w:rFonts w:cs="Times New Roman"/>
        </w:rPr>
        <w:t>titulu</w:t>
      </w:r>
      <w:r w:rsidRPr="00962A29">
        <w:rPr>
          <w:rFonts w:cs="Times New Roman"/>
        </w:rPr>
        <w:t xml:space="preserve"> rastu cien energií. Aktuálne čísla na základe takmer finálnych daňových priznaní za rok 2022 naznačujú, že vývoj </w:t>
      </w:r>
      <w:proofErr w:type="spellStart"/>
      <w:r w:rsidRPr="00962A29">
        <w:rPr>
          <w:rFonts w:cs="Times New Roman"/>
        </w:rPr>
        <w:t>korporátnej</w:t>
      </w:r>
      <w:proofErr w:type="spellEnd"/>
      <w:r w:rsidRPr="00962A29">
        <w:rPr>
          <w:rFonts w:cs="Times New Roman"/>
        </w:rPr>
        <w:t xml:space="preserve"> dane prekonal očakávania z apríla, čo sa týka rastu dane. Daň medziročne rástla o 8,3</w:t>
      </w:r>
      <w:r w:rsidR="00F814EE">
        <w:rPr>
          <w:rFonts w:cs="Times New Roman"/>
        </w:rPr>
        <w:t xml:space="preserve"> </w:t>
      </w:r>
      <w:r w:rsidRPr="00962A29">
        <w:rPr>
          <w:rFonts w:cs="Times New Roman"/>
        </w:rPr>
        <w:t xml:space="preserve">%, čo sú nižšie hodnoty, ako tomu bolo v roku 2021, kedy niektoré sektory (Priemysel, Obchod, Financie) dosahovali </w:t>
      </w:r>
      <w:r w:rsidR="00F814EE">
        <w:rPr>
          <w:rFonts w:cs="Times New Roman"/>
        </w:rPr>
        <w:t xml:space="preserve">po uvoľňovaní opatrení proti COVID-19 </w:t>
      </w:r>
      <w:r w:rsidRPr="00962A29">
        <w:rPr>
          <w:rFonts w:cs="Times New Roman"/>
        </w:rPr>
        <w:t>rekordné rasty a daň tak rástla 30 % medziročne (Graf 1). Situácia v roku 2022 pomohla hlavne sektorom ako Poľnohospodárstvo, Priemysel a Obchod,  ktoré pokračovali v silných rastoch aj v roku 2022 (Graf 2).</w:t>
      </w:r>
    </w:p>
    <w:tbl>
      <w:tblPr>
        <w:tblpPr w:leftFromText="141" w:rightFromText="141" w:vertAnchor="text" w:horzAnchor="margin" w:tblpXSpec="right" w:tblpY="172"/>
        <w:tblOverlap w:val="never"/>
        <w:tblW w:w="492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541"/>
        <w:gridCol w:w="182"/>
        <w:gridCol w:w="4494"/>
      </w:tblGrid>
      <w:tr w:rsidR="00BF2419" w:rsidRPr="00BB4B6F" w14:paraId="74E47B8B" w14:textId="77777777" w:rsidTr="00EB54C1">
        <w:trPr>
          <w:trHeight w:hRule="exact" w:val="551"/>
        </w:trPr>
        <w:tc>
          <w:tcPr>
            <w:tcW w:w="2463" w:type="pct"/>
            <w:tcBorders>
              <w:top w:val="nil"/>
              <w:left w:val="nil"/>
              <w:bottom w:val="single" w:sz="4" w:space="0" w:color="auto"/>
              <w:right w:val="nil"/>
            </w:tcBorders>
            <w:shd w:val="clear" w:color="auto" w:fill="auto"/>
            <w:vAlign w:val="center"/>
          </w:tcPr>
          <w:p w14:paraId="68AA33A0" w14:textId="05824EC6" w:rsidR="00BF2419" w:rsidRPr="00962A29" w:rsidRDefault="00B3446A" w:rsidP="00BF2419">
            <w:pPr>
              <w:spacing w:after="0" w:line="240" w:lineRule="auto"/>
              <w:rPr>
                <w:b/>
                <w:bCs/>
                <w:color w:val="4F81BD" w:themeColor="accent1"/>
                <w:sz w:val="20"/>
              </w:rPr>
            </w:pPr>
            <w:r w:rsidRPr="00962A29">
              <w:rPr>
                <w:b/>
                <w:bCs/>
                <w:color w:val="4F81BD" w:themeColor="accent1"/>
                <w:sz w:val="20"/>
              </w:rPr>
              <w:t xml:space="preserve">Graf 1 </w:t>
            </w:r>
            <w:r w:rsidRPr="00962A29">
              <w:rPr>
                <w:bCs/>
                <w:color w:val="4F81BD" w:themeColor="accent1"/>
                <w:sz w:val="20"/>
              </w:rPr>
              <w:t>-</w:t>
            </w:r>
            <w:r w:rsidR="00BF2419" w:rsidRPr="00962A29">
              <w:rPr>
                <w:b/>
                <w:bCs/>
                <w:color w:val="4F81BD" w:themeColor="accent1"/>
                <w:sz w:val="20"/>
              </w:rPr>
              <w:t xml:space="preserve"> </w:t>
            </w:r>
            <w:r w:rsidR="00BF2419" w:rsidRPr="00962A29">
              <w:rPr>
                <w:b/>
                <w:color w:val="4F81BD" w:themeColor="accent1"/>
                <w:sz w:val="20"/>
              </w:rPr>
              <w:t xml:space="preserve"> </w:t>
            </w:r>
            <w:r w:rsidR="00BF2419" w:rsidRPr="00962A29">
              <w:rPr>
                <w:b/>
                <w:bCs/>
                <w:color w:val="4F81BD" w:themeColor="accent1"/>
                <w:sz w:val="20"/>
              </w:rPr>
              <w:t>Porovnanie medziro</w:t>
            </w:r>
            <w:r w:rsidR="00962A29" w:rsidRPr="00962A29">
              <w:rPr>
                <w:b/>
                <w:bCs/>
                <w:color w:val="4F81BD" w:themeColor="accent1"/>
                <w:sz w:val="20"/>
              </w:rPr>
              <w:t>čných rastov DPPO v rokoch 2020,</w:t>
            </w:r>
            <w:r w:rsidR="00BF2419" w:rsidRPr="00962A29">
              <w:rPr>
                <w:b/>
                <w:bCs/>
                <w:color w:val="4F81BD" w:themeColor="accent1"/>
                <w:sz w:val="20"/>
              </w:rPr>
              <w:t> 2021</w:t>
            </w:r>
            <w:r w:rsidR="00962A29" w:rsidRPr="00962A29">
              <w:rPr>
                <w:b/>
                <w:bCs/>
                <w:color w:val="4F81BD" w:themeColor="accent1"/>
                <w:sz w:val="20"/>
              </w:rPr>
              <w:t xml:space="preserve"> a 2022</w:t>
            </w:r>
            <w:r w:rsidR="00BF2419" w:rsidRPr="00962A29">
              <w:rPr>
                <w:b/>
                <w:bCs/>
                <w:color w:val="4F81BD" w:themeColor="accent1"/>
                <w:sz w:val="20"/>
              </w:rPr>
              <w:t xml:space="preserve"> za vybrané sektory</w:t>
            </w:r>
          </w:p>
          <w:p w14:paraId="648B63A7" w14:textId="77777777" w:rsidR="00BF2419" w:rsidRPr="00962A29" w:rsidRDefault="00BF2419" w:rsidP="00BF2419">
            <w:pPr>
              <w:spacing w:after="0" w:line="240" w:lineRule="auto"/>
              <w:rPr>
                <w:rFonts w:ascii="Arial Narrow" w:hAnsi="Arial Narrow"/>
                <w:b/>
                <w:bCs/>
                <w:color w:val="4F81BD" w:themeColor="accent1"/>
                <w:sz w:val="20"/>
              </w:rPr>
            </w:pPr>
          </w:p>
          <w:p w14:paraId="40D0F9A6" w14:textId="77777777" w:rsidR="00BF2419" w:rsidRPr="00962A29" w:rsidRDefault="00BF2419" w:rsidP="00BF2419">
            <w:pPr>
              <w:spacing w:after="0" w:line="240" w:lineRule="auto"/>
              <w:rPr>
                <w:rFonts w:ascii="Arial Narrow" w:hAnsi="Arial Narrow"/>
                <w:b/>
                <w:bCs/>
                <w:color w:val="4F81BD" w:themeColor="accent1"/>
                <w:sz w:val="20"/>
              </w:rPr>
            </w:pPr>
          </w:p>
        </w:tc>
        <w:tc>
          <w:tcPr>
            <w:tcW w:w="99" w:type="pct"/>
            <w:tcBorders>
              <w:top w:val="nil"/>
              <w:left w:val="nil"/>
              <w:bottom w:val="nil"/>
              <w:right w:val="nil"/>
            </w:tcBorders>
            <w:shd w:val="clear" w:color="auto" w:fill="auto"/>
            <w:vAlign w:val="center"/>
          </w:tcPr>
          <w:p w14:paraId="2C06288D" w14:textId="77777777" w:rsidR="00BF2419" w:rsidRPr="00962A29" w:rsidRDefault="00BF2419" w:rsidP="00BF2419">
            <w:pPr>
              <w:spacing w:after="0" w:line="240" w:lineRule="auto"/>
              <w:rPr>
                <w:rFonts w:ascii="Arial Narrow" w:hAnsi="Arial Narrow" w:cs="Arial"/>
                <w:b/>
                <w:color w:val="4F81BD" w:themeColor="accent1"/>
                <w:sz w:val="20"/>
              </w:rPr>
            </w:pPr>
          </w:p>
        </w:tc>
        <w:tc>
          <w:tcPr>
            <w:tcW w:w="2438" w:type="pct"/>
            <w:tcBorders>
              <w:top w:val="nil"/>
              <w:left w:val="nil"/>
              <w:bottom w:val="single" w:sz="4" w:space="0" w:color="auto"/>
              <w:right w:val="nil"/>
            </w:tcBorders>
            <w:shd w:val="clear" w:color="auto" w:fill="auto"/>
            <w:vAlign w:val="center"/>
          </w:tcPr>
          <w:p w14:paraId="034E7B7F" w14:textId="52582136" w:rsidR="00BF2419" w:rsidRPr="00962A29" w:rsidRDefault="00B3446A" w:rsidP="00962A29">
            <w:pPr>
              <w:spacing w:after="0" w:line="240" w:lineRule="auto"/>
              <w:rPr>
                <w:rFonts w:ascii="Arial Narrow" w:hAnsi="Arial Narrow" w:cs="Arial"/>
                <w:b/>
                <w:color w:val="4F81BD" w:themeColor="accent1"/>
                <w:sz w:val="20"/>
              </w:rPr>
            </w:pPr>
            <w:r w:rsidRPr="00962A29">
              <w:rPr>
                <w:b/>
                <w:bCs/>
                <w:color w:val="4F81BD" w:themeColor="accent1"/>
                <w:sz w:val="20"/>
              </w:rPr>
              <w:t xml:space="preserve">Graf 2 </w:t>
            </w:r>
            <w:r w:rsidRPr="00962A29">
              <w:rPr>
                <w:bCs/>
                <w:color w:val="4F81BD" w:themeColor="accent1"/>
                <w:sz w:val="20"/>
              </w:rPr>
              <w:t>-</w:t>
            </w:r>
            <w:r w:rsidR="00BF2419" w:rsidRPr="00962A29">
              <w:rPr>
                <w:bCs/>
                <w:color w:val="4F81BD" w:themeColor="accent1"/>
                <w:sz w:val="20"/>
              </w:rPr>
              <w:t xml:space="preserve"> </w:t>
            </w:r>
            <w:r w:rsidR="00BF2419" w:rsidRPr="00962A29">
              <w:rPr>
                <w:b/>
                <w:bCs/>
                <w:color w:val="4F81BD" w:themeColor="accent1"/>
                <w:sz w:val="20"/>
              </w:rPr>
              <w:t>Medziročný rast dane v roku 202</w:t>
            </w:r>
            <w:r w:rsidR="00962A29" w:rsidRPr="00962A29">
              <w:rPr>
                <w:b/>
                <w:bCs/>
                <w:color w:val="4F81BD" w:themeColor="accent1"/>
                <w:sz w:val="20"/>
              </w:rPr>
              <w:t>2</w:t>
            </w:r>
          </w:p>
        </w:tc>
      </w:tr>
      <w:tr w:rsidR="00BF2419" w:rsidRPr="00BB4B6F" w14:paraId="568CEB76" w14:textId="77777777" w:rsidTr="00EB54C1">
        <w:trPr>
          <w:trHeight w:val="3582"/>
        </w:trPr>
        <w:tc>
          <w:tcPr>
            <w:tcW w:w="2463" w:type="pct"/>
            <w:tcBorders>
              <w:top w:val="single" w:sz="4" w:space="0" w:color="auto"/>
              <w:left w:val="nil"/>
              <w:bottom w:val="single" w:sz="4" w:space="0" w:color="auto"/>
              <w:right w:val="nil"/>
            </w:tcBorders>
            <w:shd w:val="clear" w:color="auto" w:fill="auto"/>
            <w:vAlign w:val="center"/>
          </w:tcPr>
          <w:p w14:paraId="7C647D7A" w14:textId="554BE632" w:rsidR="00BF2419" w:rsidRPr="00BB4B6F" w:rsidRDefault="00962A29" w:rsidP="00BF2419">
            <w:pPr>
              <w:spacing w:before="40" w:after="40"/>
              <w:jc w:val="center"/>
              <w:rPr>
                <w:rFonts w:ascii="Arial Narrow" w:hAnsi="Arial Narrow" w:cs="Arial"/>
                <w:b/>
                <w:color w:val="4F81BD" w:themeColor="accent1"/>
                <w:highlight w:val="yellow"/>
              </w:rPr>
            </w:pPr>
            <w:r>
              <w:rPr>
                <w:rFonts w:ascii="Arial Narrow" w:hAnsi="Arial Narrow" w:cs="Arial"/>
                <w:b/>
                <w:noProof/>
                <w:lang w:eastAsia="sk-SK"/>
              </w:rPr>
              <w:drawing>
                <wp:inline distT="0" distB="0" distL="0" distR="0" wp14:anchorId="5BCB009A" wp14:editId="5A4F6B40">
                  <wp:extent cx="2796064" cy="1967789"/>
                  <wp:effectExtent l="0" t="0" r="444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4786" cy="2030229"/>
                          </a:xfrm>
                          <a:prstGeom prst="rect">
                            <a:avLst/>
                          </a:prstGeom>
                          <a:noFill/>
                        </pic:spPr>
                      </pic:pic>
                    </a:graphicData>
                  </a:graphic>
                </wp:inline>
              </w:drawing>
            </w:r>
          </w:p>
        </w:tc>
        <w:tc>
          <w:tcPr>
            <w:tcW w:w="99" w:type="pct"/>
            <w:tcBorders>
              <w:top w:val="nil"/>
              <w:left w:val="nil"/>
              <w:bottom w:val="nil"/>
              <w:right w:val="nil"/>
            </w:tcBorders>
            <w:vAlign w:val="center"/>
          </w:tcPr>
          <w:p w14:paraId="362EBD83" w14:textId="77777777" w:rsidR="00BF2419" w:rsidRPr="00BB4B6F" w:rsidRDefault="00BF2419" w:rsidP="00BF2419">
            <w:pPr>
              <w:spacing w:before="40" w:after="40"/>
              <w:jc w:val="center"/>
              <w:rPr>
                <w:rFonts w:ascii="Arial Narrow" w:hAnsi="Arial Narrow" w:cs="Arial"/>
                <w:b/>
                <w:color w:val="4F81BD" w:themeColor="accent1"/>
                <w:highlight w:val="yellow"/>
              </w:rPr>
            </w:pPr>
          </w:p>
        </w:tc>
        <w:tc>
          <w:tcPr>
            <w:tcW w:w="2438" w:type="pct"/>
            <w:tcBorders>
              <w:top w:val="single" w:sz="4" w:space="0" w:color="auto"/>
              <w:left w:val="nil"/>
              <w:bottom w:val="single" w:sz="4" w:space="0" w:color="auto"/>
              <w:right w:val="nil"/>
            </w:tcBorders>
            <w:shd w:val="clear" w:color="auto" w:fill="auto"/>
            <w:vAlign w:val="center"/>
          </w:tcPr>
          <w:p w14:paraId="3A291EBC" w14:textId="19C3DDFE" w:rsidR="00BF2419" w:rsidRPr="00BB4B6F" w:rsidRDefault="00962A29" w:rsidP="00BF2419">
            <w:pPr>
              <w:spacing w:after="0"/>
              <w:rPr>
                <w:color w:val="4F81BD" w:themeColor="accent1"/>
                <w:highlight w:val="yellow"/>
              </w:rPr>
            </w:pPr>
            <w:r>
              <w:rPr>
                <w:noProof/>
                <w:lang w:eastAsia="sk-SK"/>
              </w:rPr>
              <w:drawing>
                <wp:inline distT="0" distB="0" distL="0" distR="0" wp14:anchorId="0A2819DE" wp14:editId="1D420BF0">
                  <wp:extent cx="2744470" cy="2048256"/>
                  <wp:effectExtent l="0" t="0" r="0" b="952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3860" cy="2092580"/>
                          </a:xfrm>
                          <a:prstGeom prst="rect">
                            <a:avLst/>
                          </a:prstGeom>
                          <a:noFill/>
                        </pic:spPr>
                      </pic:pic>
                    </a:graphicData>
                  </a:graphic>
                </wp:inline>
              </w:drawing>
            </w:r>
          </w:p>
        </w:tc>
      </w:tr>
      <w:tr w:rsidR="00BF2419" w:rsidRPr="00F814EE" w14:paraId="1E9B99F4" w14:textId="77777777" w:rsidTr="00EB54C1">
        <w:trPr>
          <w:trHeight w:hRule="exact" w:val="411"/>
        </w:trPr>
        <w:tc>
          <w:tcPr>
            <w:tcW w:w="2463" w:type="pct"/>
            <w:tcBorders>
              <w:top w:val="single" w:sz="4" w:space="0" w:color="auto"/>
              <w:left w:val="nil"/>
              <w:bottom w:val="nil"/>
              <w:right w:val="nil"/>
            </w:tcBorders>
          </w:tcPr>
          <w:p w14:paraId="7731ED8C" w14:textId="33946E31" w:rsidR="00BF2419" w:rsidRPr="00BB4B6F" w:rsidRDefault="00BF2419" w:rsidP="00BF2419">
            <w:pPr>
              <w:spacing w:before="40" w:after="40"/>
              <w:contextualSpacing/>
              <w:jc w:val="right"/>
              <w:rPr>
                <w:rFonts w:ascii="Arial Narrow" w:hAnsi="Arial Narrow" w:cs="Arial"/>
                <w:i/>
                <w:sz w:val="18"/>
                <w:highlight w:val="yellow"/>
              </w:rPr>
            </w:pPr>
          </w:p>
        </w:tc>
        <w:tc>
          <w:tcPr>
            <w:tcW w:w="99" w:type="pct"/>
            <w:tcBorders>
              <w:top w:val="nil"/>
              <w:left w:val="nil"/>
              <w:bottom w:val="nil"/>
              <w:right w:val="nil"/>
            </w:tcBorders>
          </w:tcPr>
          <w:p w14:paraId="51731256" w14:textId="77777777" w:rsidR="00BF2419" w:rsidRPr="00BB4B6F" w:rsidRDefault="00BF2419" w:rsidP="00BF2419">
            <w:pPr>
              <w:contextualSpacing/>
              <w:jc w:val="center"/>
              <w:rPr>
                <w:rFonts w:ascii="Arial Narrow" w:hAnsi="Arial Narrow" w:cs="Arial"/>
                <w:i/>
                <w:sz w:val="18"/>
                <w:highlight w:val="yellow"/>
              </w:rPr>
            </w:pPr>
          </w:p>
        </w:tc>
        <w:tc>
          <w:tcPr>
            <w:tcW w:w="2438" w:type="pct"/>
            <w:tcBorders>
              <w:top w:val="single" w:sz="4" w:space="0" w:color="auto"/>
              <w:left w:val="nil"/>
              <w:bottom w:val="nil"/>
              <w:right w:val="nil"/>
            </w:tcBorders>
          </w:tcPr>
          <w:p w14:paraId="46935E75" w14:textId="5265877E" w:rsidR="00BF2419" w:rsidRPr="00F814EE" w:rsidRDefault="00962A29" w:rsidP="00BF2419">
            <w:pPr>
              <w:spacing w:before="40" w:after="40"/>
              <w:contextualSpacing/>
              <w:jc w:val="right"/>
              <w:rPr>
                <w:sz w:val="16"/>
                <w:szCs w:val="16"/>
              </w:rPr>
            </w:pPr>
            <w:r w:rsidRPr="00F814EE">
              <w:rPr>
                <w:iCs/>
                <w:sz w:val="16"/>
                <w:szCs w:val="16"/>
              </w:rPr>
              <w:t>Z</w:t>
            </w:r>
            <w:r w:rsidR="00BF2419" w:rsidRPr="00F814EE">
              <w:rPr>
                <w:iCs/>
                <w:sz w:val="16"/>
                <w:szCs w:val="16"/>
              </w:rPr>
              <w:t>droj: IFP, Priznania DP</w:t>
            </w:r>
          </w:p>
        </w:tc>
      </w:tr>
    </w:tbl>
    <w:p w14:paraId="0E6688C2" w14:textId="77777777" w:rsidR="00EB54C1" w:rsidRDefault="00EB54C1" w:rsidP="00A3009E">
      <w:pPr>
        <w:pStyle w:val="Odsekzoznamu"/>
        <w:spacing w:before="120" w:after="120"/>
        <w:ind w:left="567"/>
        <w:contextualSpacing w:val="0"/>
        <w:jc w:val="both"/>
        <w:rPr>
          <w:rFonts w:cs="Times New Roman"/>
          <w:b/>
        </w:rPr>
      </w:pPr>
    </w:p>
    <w:p w14:paraId="25C6D857" w14:textId="77777777" w:rsidR="00EB54C1" w:rsidRDefault="00EB54C1">
      <w:pPr>
        <w:rPr>
          <w:b/>
          <w:szCs w:val="22"/>
          <w:lang w:eastAsia="sk-SK"/>
        </w:rPr>
      </w:pPr>
      <w:r>
        <w:rPr>
          <w:b/>
        </w:rPr>
        <w:br w:type="page"/>
      </w:r>
    </w:p>
    <w:p w14:paraId="40E25B19" w14:textId="0E992FAE" w:rsidR="00962A29" w:rsidRPr="00A3009E" w:rsidRDefault="00962A29" w:rsidP="00EB54C1">
      <w:pPr>
        <w:pStyle w:val="Odsekzoznamu"/>
        <w:spacing w:before="120"/>
        <w:ind w:left="567"/>
        <w:contextualSpacing w:val="0"/>
        <w:jc w:val="both"/>
        <w:rPr>
          <w:rFonts w:cs="Times New Roman"/>
        </w:rPr>
      </w:pPr>
      <w:r w:rsidRPr="00A3009E">
        <w:rPr>
          <w:rFonts w:cs="Times New Roman"/>
          <w:b/>
        </w:rPr>
        <w:lastRenderedPageBreak/>
        <w:t>Silný rast sektorov Poľnohospodárstva či Umenia sa v malej miere prejaví na raste dane, nakoľko tvoria pomerne zanedbateľnú časť na celkovom výnose DPPO.</w:t>
      </w:r>
      <w:r w:rsidRPr="00A3009E">
        <w:rPr>
          <w:rFonts w:cs="Times New Roman"/>
        </w:rPr>
        <w:t xml:space="preserve"> Oba sektory pokryjú okolo 2 až 3 % zaplatenej dane. Firemnej dani naďalej dominuje Priemysel, nakoľko až 1/4 výnosov je práve od firiem z tohto sektora. Ten aj v roku 2022 zaznamenal silný rast daňovej povinnosti presahujúci 20 %. Trošku pomenej sa darilo aj iným daňovo-výživným sektorom, ako sú Maloobchod, Financie a Informatizácia, kde je  podiel na dani na úrovni 10 % (Graf 3). </w:t>
      </w:r>
    </w:p>
    <w:tbl>
      <w:tblPr>
        <w:tblpPr w:leftFromText="141" w:rightFromText="141" w:vertAnchor="text" w:horzAnchor="margin" w:tblpXSpec="right" w:tblpY="64"/>
        <w:tblOverlap w:val="never"/>
        <w:tblW w:w="477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8937"/>
      </w:tblGrid>
      <w:tr w:rsidR="00962A29" w:rsidRPr="00DB66EA" w14:paraId="76FC2AD3" w14:textId="77777777" w:rsidTr="00EB54C1">
        <w:trPr>
          <w:trHeight w:hRule="exact" w:val="340"/>
        </w:trPr>
        <w:tc>
          <w:tcPr>
            <w:tcW w:w="5000" w:type="pct"/>
            <w:tcBorders>
              <w:top w:val="nil"/>
              <w:left w:val="nil"/>
              <w:bottom w:val="single" w:sz="4" w:space="0" w:color="auto"/>
              <w:right w:val="nil"/>
            </w:tcBorders>
            <w:shd w:val="clear" w:color="auto" w:fill="auto"/>
            <w:vAlign w:val="center"/>
          </w:tcPr>
          <w:p w14:paraId="3C7BDDE3" w14:textId="66B86D0C" w:rsidR="00962A29" w:rsidRPr="00962A29" w:rsidRDefault="00962A29" w:rsidP="00EB54C1">
            <w:pPr>
              <w:spacing w:after="0" w:line="240" w:lineRule="auto"/>
              <w:ind w:left="67"/>
              <w:rPr>
                <w:b/>
                <w:bCs/>
                <w:color w:val="4F81BD" w:themeColor="accent1"/>
                <w:sz w:val="20"/>
              </w:rPr>
            </w:pPr>
            <w:r w:rsidRPr="00962A29">
              <w:rPr>
                <w:b/>
                <w:bCs/>
                <w:color w:val="4F81BD" w:themeColor="accent1"/>
                <w:sz w:val="20"/>
              </w:rPr>
              <w:t xml:space="preserve">Graf </w:t>
            </w:r>
            <w:r>
              <w:rPr>
                <w:b/>
                <w:bCs/>
                <w:color w:val="4F81BD" w:themeColor="accent1"/>
                <w:sz w:val="20"/>
              </w:rPr>
              <w:t>3</w:t>
            </w:r>
            <w:r w:rsidRPr="00962A29">
              <w:rPr>
                <w:b/>
                <w:bCs/>
                <w:color w:val="4F81BD" w:themeColor="accent1"/>
                <w:sz w:val="20"/>
              </w:rPr>
              <w:t>:  Porovnanie medziročného rastu dane a podielu na celkovej dani v roku 2022</w:t>
            </w:r>
          </w:p>
        </w:tc>
      </w:tr>
      <w:tr w:rsidR="00962A29" w:rsidRPr="00DB66EA" w14:paraId="02F3700E" w14:textId="77777777" w:rsidTr="00EB54C1">
        <w:trPr>
          <w:trHeight w:val="2454"/>
        </w:trPr>
        <w:tc>
          <w:tcPr>
            <w:tcW w:w="5000" w:type="pct"/>
            <w:tcBorders>
              <w:top w:val="single" w:sz="4" w:space="0" w:color="auto"/>
              <w:left w:val="nil"/>
              <w:bottom w:val="single" w:sz="4" w:space="0" w:color="auto"/>
              <w:right w:val="nil"/>
            </w:tcBorders>
            <w:shd w:val="clear" w:color="auto" w:fill="auto"/>
            <w:vAlign w:val="center"/>
          </w:tcPr>
          <w:p w14:paraId="4303C6EE" w14:textId="77777777" w:rsidR="00962A29" w:rsidRPr="00DB66EA" w:rsidRDefault="00962A29" w:rsidP="00EB54C1">
            <w:pPr>
              <w:spacing w:before="40" w:after="40"/>
              <w:jc w:val="center"/>
              <w:rPr>
                <w:rFonts w:ascii="Arial Narrow" w:hAnsi="Arial Narrow" w:cs="Arial"/>
                <w:b/>
              </w:rPr>
            </w:pPr>
            <w:r>
              <w:rPr>
                <w:rFonts w:ascii="Arial Narrow" w:hAnsi="Arial Narrow" w:cs="Arial"/>
                <w:b/>
                <w:noProof/>
                <w:lang w:eastAsia="sk-SK"/>
              </w:rPr>
              <w:drawing>
                <wp:inline distT="0" distB="0" distL="0" distR="0" wp14:anchorId="501E8986" wp14:editId="26ADD0C9">
                  <wp:extent cx="5114823" cy="2648103"/>
                  <wp:effectExtent l="0" t="0" r="0" b="0"/>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8466" cy="2660344"/>
                          </a:xfrm>
                          <a:prstGeom prst="rect">
                            <a:avLst/>
                          </a:prstGeom>
                          <a:noFill/>
                        </pic:spPr>
                      </pic:pic>
                    </a:graphicData>
                  </a:graphic>
                </wp:inline>
              </w:drawing>
            </w:r>
          </w:p>
        </w:tc>
      </w:tr>
    </w:tbl>
    <w:p w14:paraId="359B406B" w14:textId="00A9C5F1" w:rsidR="00F75FF2" w:rsidRPr="00381BD4" w:rsidRDefault="00A3009E" w:rsidP="00962A29">
      <w:pPr>
        <w:pStyle w:val="Obyajntext"/>
        <w:spacing w:after="120"/>
        <w:ind w:left="7090"/>
        <w:jc w:val="both"/>
        <w:rPr>
          <w:szCs w:val="22"/>
          <w:highlight w:val="yellow"/>
        </w:rPr>
      </w:pPr>
      <w:r w:rsidRPr="00381BD4">
        <w:rPr>
          <w:iCs/>
          <w:sz w:val="16"/>
          <w:szCs w:val="16"/>
        </w:rPr>
        <w:t xml:space="preserve">   </w:t>
      </w:r>
      <w:r w:rsidR="008604F3" w:rsidRPr="00381BD4">
        <w:rPr>
          <w:iCs/>
          <w:sz w:val="16"/>
          <w:szCs w:val="16"/>
        </w:rPr>
        <w:t xml:space="preserve">      </w:t>
      </w:r>
      <w:r w:rsidRPr="00381BD4">
        <w:rPr>
          <w:iCs/>
          <w:sz w:val="16"/>
          <w:szCs w:val="16"/>
        </w:rPr>
        <w:t xml:space="preserve">  </w:t>
      </w:r>
      <w:r w:rsidR="00962A29" w:rsidRPr="00381BD4">
        <w:rPr>
          <w:iCs/>
          <w:sz w:val="16"/>
          <w:szCs w:val="16"/>
        </w:rPr>
        <w:t>Zdroj: IFP, Priznania DP</w:t>
      </w:r>
    </w:p>
    <w:p w14:paraId="4F0C4A54" w14:textId="0636A3CA" w:rsidR="008470AC" w:rsidRPr="00302921" w:rsidRDefault="00F76E57" w:rsidP="00FA1620">
      <w:pPr>
        <w:pStyle w:val="Obyajntext"/>
        <w:numPr>
          <w:ilvl w:val="0"/>
          <w:numId w:val="24"/>
        </w:numPr>
        <w:spacing w:before="120" w:after="120"/>
        <w:ind w:left="709" w:hanging="425"/>
        <w:jc w:val="both"/>
        <w:rPr>
          <w:szCs w:val="22"/>
        </w:rPr>
      </w:pPr>
      <w:r w:rsidRPr="00ED5963">
        <w:rPr>
          <w:b/>
        </w:rPr>
        <w:t>A</w:t>
      </w:r>
      <w:r w:rsidR="00DC1800" w:rsidRPr="00ED5963">
        <w:rPr>
          <w:b/>
        </w:rPr>
        <w:t xml:space="preserve">ktualizácia príjmov z odvodov </w:t>
      </w:r>
      <w:r w:rsidR="00DC1800" w:rsidRPr="00ED5963">
        <w:t>o</w:t>
      </w:r>
      <w:r w:rsidR="00ED5963">
        <w:t> 49 508</w:t>
      </w:r>
      <w:r w:rsidR="00DC1800" w:rsidRPr="00ED5963">
        <w:t> tis. eur patriacich do roku 202</w:t>
      </w:r>
      <w:r w:rsidR="000C098E" w:rsidRPr="00ED5963">
        <w:t>2</w:t>
      </w:r>
      <w:r w:rsidR="00DC1800" w:rsidRPr="00ED5963">
        <w:t xml:space="preserve"> </w:t>
      </w:r>
      <w:r w:rsidR="00DC1800" w:rsidRPr="00ED5963">
        <w:rPr>
          <w:szCs w:val="22"/>
        </w:rPr>
        <w:t>na základe zúčtovania sociálneho</w:t>
      </w:r>
      <w:r w:rsidR="000C098E" w:rsidRPr="00ED5963">
        <w:rPr>
          <w:szCs w:val="22"/>
        </w:rPr>
        <w:t xml:space="preserve"> a zdravotného</w:t>
      </w:r>
      <w:r w:rsidR="00DC1800" w:rsidRPr="00ED5963">
        <w:rPr>
          <w:szCs w:val="22"/>
        </w:rPr>
        <w:t xml:space="preserve"> poistenia za predchádzajúci rok</w:t>
      </w:r>
      <w:r w:rsidR="000C098E" w:rsidRPr="00ED5963">
        <w:rPr>
          <w:szCs w:val="22"/>
        </w:rPr>
        <w:t xml:space="preserve"> v</w:t>
      </w:r>
      <w:r w:rsidR="000C098E" w:rsidRPr="00ED5963">
        <w:t xml:space="preserve"> Sociálnej poisťovni </w:t>
      </w:r>
      <w:r w:rsidR="00ED5963">
        <w:t xml:space="preserve">(pokles o 48 832 tis. eur) </w:t>
      </w:r>
      <w:r w:rsidR="000C098E" w:rsidRPr="00ED5963">
        <w:t>a zdravotných poisťovniach</w:t>
      </w:r>
      <w:r w:rsidR="00ED5963">
        <w:t xml:space="preserve"> (pokles o 676 tis. eur).</w:t>
      </w:r>
      <w:r w:rsidR="000C098E" w:rsidRPr="00ED5963">
        <w:t xml:space="preserve"> </w:t>
      </w:r>
    </w:p>
    <w:p w14:paraId="7AD1FC57" w14:textId="2FCC3CED" w:rsidR="00302921" w:rsidRPr="00302921" w:rsidRDefault="00302921" w:rsidP="00FA1620">
      <w:pPr>
        <w:pStyle w:val="Odsekzoznamu"/>
        <w:numPr>
          <w:ilvl w:val="0"/>
          <w:numId w:val="24"/>
        </w:numPr>
        <w:spacing w:before="120" w:after="120"/>
        <w:ind w:left="709" w:hanging="425"/>
        <w:contextualSpacing w:val="0"/>
        <w:jc w:val="both"/>
      </w:pPr>
      <w:r>
        <w:rPr>
          <w:b/>
        </w:rPr>
        <w:t>Aktualizácia výšky</w:t>
      </w:r>
      <w:r w:rsidRPr="00ED5963">
        <w:rPr>
          <w:b/>
        </w:rPr>
        <w:t xml:space="preserve"> platených daňových kreditov </w:t>
      </w:r>
      <w:r w:rsidRPr="00245F7B">
        <w:t>ovplyvnila schodok</w:t>
      </w:r>
      <w:r>
        <w:rPr>
          <w:b/>
        </w:rPr>
        <w:t xml:space="preserve"> </w:t>
      </w:r>
      <w:r w:rsidRPr="00ED5963">
        <w:t>v sume 34 340 tis. eur.</w:t>
      </w:r>
    </w:p>
    <w:p w14:paraId="0E1EA912" w14:textId="1CBAB982" w:rsidR="00DC1800" w:rsidRDefault="00EE151F" w:rsidP="00FA1620">
      <w:pPr>
        <w:pStyle w:val="Obyajntext"/>
        <w:numPr>
          <w:ilvl w:val="0"/>
          <w:numId w:val="24"/>
        </w:numPr>
        <w:spacing w:after="120"/>
        <w:ind w:left="709" w:hanging="425"/>
        <w:jc w:val="both"/>
      </w:pPr>
      <w:r w:rsidRPr="00ED5963">
        <w:rPr>
          <w:b/>
        </w:rPr>
        <w:t>A</w:t>
      </w:r>
      <w:r w:rsidR="00DC1800" w:rsidRPr="00ED5963">
        <w:rPr>
          <w:b/>
        </w:rPr>
        <w:t xml:space="preserve">ktualizácia pohľadávok a záväzkov subjektov verejnej správy </w:t>
      </w:r>
      <w:r w:rsidR="00DC1800" w:rsidRPr="00ED5963">
        <w:t>o</w:t>
      </w:r>
      <w:r w:rsidR="00ED5963" w:rsidRPr="00ED5963">
        <w:t> 13</w:t>
      </w:r>
      <w:r w:rsidR="00921698">
        <w:t> </w:t>
      </w:r>
      <w:r w:rsidR="00ED5963" w:rsidRPr="00ED5963">
        <w:t>263</w:t>
      </w:r>
      <w:r w:rsidR="00921698">
        <w:t> </w:t>
      </w:r>
      <w:r w:rsidR="00DC1800" w:rsidRPr="00ED5963">
        <w:t>tis.</w:t>
      </w:r>
      <w:r w:rsidR="00921698">
        <w:t> </w:t>
      </w:r>
      <w:r w:rsidR="00DC1800" w:rsidRPr="00ED5963">
        <w:t>eur, na základe predložených účtovných závierok po termíne jarnej notifikácie schodku a dlhu.</w:t>
      </w:r>
    </w:p>
    <w:p w14:paraId="5A3AD0E2" w14:textId="338A2A97" w:rsidR="00D87B73" w:rsidRPr="00A3009E" w:rsidRDefault="00D87B73" w:rsidP="00FA1620">
      <w:pPr>
        <w:pStyle w:val="Odsekzoznamu"/>
        <w:numPr>
          <w:ilvl w:val="0"/>
          <w:numId w:val="24"/>
        </w:numPr>
        <w:spacing w:before="120" w:after="120"/>
        <w:ind w:left="709" w:hanging="425"/>
        <w:jc w:val="both"/>
        <w:rPr>
          <w:rFonts w:cs="Times New Roman"/>
          <w:szCs w:val="21"/>
          <w:lang w:eastAsia="en-US"/>
        </w:rPr>
      </w:pPr>
      <w:r w:rsidRPr="00A3009E">
        <w:rPr>
          <w:rFonts w:cs="Times New Roman"/>
          <w:b/>
          <w:szCs w:val="21"/>
          <w:lang w:eastAsia="en-US"/>
        </w:rPr>
        <w:t xml:space="preserve">Aktualizácia výšky superdividendy </w:t>
      </w:r>
      <w:r w:rsidRPr="00A3009E">
        <w:rPr>
          <w:rFonts w:cs="Times New Roman"/>
          <w:szCs w:val="21"/>
          <w:lang w:eastAsia="en-US"/>
        </w:rPr>
        <w:t>Slovenského plynárenského priem</w:t>
      </w:r>
      <w:r w:rsidR="00921698">
        <w:rPr>
          <w:rFonts w:cs="Times New Roman"/>
          <w:szCs w:val="21"/>
          <w:lang w:eastAsia="en-US"/>
        </w:rPr>
        <w:t>yslu o 3 800 tis. eur na </w:t>
      </w:r>
      <w:r w:rsidRPr="00A3009E">
        <w:rPr>
          <w:rFonts w:cs="Times New Roman"/>
          <w:szCs w:val="21"/>
          <w:lang w:eastAsia="en-US"/>
        </w:rPr>
        <w:t xml:space="preserve">základe aktualizovaných informácií </w:t>
      </w:r>
      <w:r w:rsidR="00562FA9" w:rsidRPr="00A3009E">
        <w:rPr>
          <w:rFonts w:cs="Times New Roman"/>
          <w:szCs w:val="21"/>
          <w:lang w:eastAsia="en-US"/>
        </w:rPr>
        <w:t>o poskytnutí darov Nadácii SPP a Nadácii MH SR</w:t>
      </w:r>
      <w:r w:rsidRPr="00A3009E">
        <w:rPr>
          <w:rFonts w:cs="Times New Roman"/>
          <w:szCs w:val="21"/>
          <w:lang w:eastAsia="en-US"/>
        </w:rPr>
        <w:t>.</w:t>
      </w:r>
    </w:p>
    <w:p w14:paraId="43740775" w14:textId="77777777" w:rsidR="00381BD4" w:rsidRDefault="00ED5963" w:rsidP="00381BD4">
      <w:pPr>
        <w:pStyle w:val="Obyajntext"/>
        <w:numPr>
          <w:ilvl w:val="0"/>
          <w:numId w:val="24"/>
        </w:numPr>
        <w:spacing w:after="120"/>
        <w:ind w:left="709" w:hanging="425"/>
        <w:jc w:val="both"/>
        <w:rPr>
          <w:b/>
          <w:color w:val="4F81BD" w:themeColor="accent1"/>
          <w:sz w:val="24"/>
          <w:szCs w:val="24"/>
        </w:rPr>
      </w:pPr>
      <w:r w:rsidRPr="00A3009E">
        <w:t xml:space="preserve">Revidovanie </w:t>
      </w:r>
      <w:r w:rsidRPr="00A3009E">
        <w:rPr>
          <w:b/>
        </w:rPr>
        <w:t>zmeny stavu pohľadávky voči EÚ z</w:t>
      </w:r>
      <w:r w:rsidR="00D87B73" w:rsidRPr="00A3009E">
        <w:rPr>
          <w:b/>
        </w:rPr>
        <w:t>o zdroja</w:t>
      </w:r>
      <w:r w:rsidRPr="00A3009E">
        <w:rPr>
          <w:b/>
        </w:rPr>
        <w:t xml:space="preserve"> </w:t>
      </w:r>
      <w:r w:rsidR="00D87B73" w:rsidRPr="00A3009E">
        <w:rPr>
          <w:b/>
        </w:rPr>
        <w:t>Plánu</w:t>
      </w:r>
      <w:r w:rsidRPr="00A3009E">
        <w:rPr>
          <w:b/>
        </w:rPr>
        <w:t xml:space="preserve"> obnovy a odolnosti</w:t>
      </w:r>
      <w:r w:rsidRPr="00A3009E">
        <w:t xml:space="preserve"> o 2 859 tis. </w:t>
      </w:r>
      <w:r w:rsidR="00381BD4">
        <w:t>eur.</w:t>
      </w:r>
    </w:p>
    <w:p w14:paraId="53F1C2E0" w14:textId="0EFE0E37" w:rsidR="00DC1800" w:rsidRPr="00381BD4" w:rsidRDefault="00DC1800" w:rsidP="00381BD4">
      <w:pPr>
        <w:pStyle w:val="Obyajntext"/>
        <w:spacing w:after="120"/>
        <w:jc w:val="both"/>
        <w:rPr>
          <w:b/>
          <w:color w:val="4F81BD" w:themeColor="accent1"/>
          <w:sz w:val="24"/>
          <w:szCs w:val="24"/>
        </w:rPr>
      </w:pPr>
      <w:r w:rsidRPr="00381BD4">
        <w:rPr>
          <w:b/>
          <w:color w:val="4F81BD" w:themeColor="accent1"/>
          <w:sz w:val="24"/>
          <w:szCs w:val="24"/>
        </w:rPr>
        <w:t>Metodické zmeny výpočtu schodku verejnej správy pri jesennej notifikácii</w:t>
      </w:r>
    </w:p>
    <w:p w14:paraId="602CFB94" w14:textId="0603676A" w:rsidR="002F15C7" w:rsidRDefault="002F15C7" w:rsidP="00FA1620">
      <w:pPr>
        <w:pStyle w:val="Odsekzoznamu"/>
        <w:numPr>
          <w:ilvl w:val="0"/>
          <w:numId w:val="24"/>
        </w:numPr>
        <w:ind w:left="709" w:hanging="425"/>
        <w:jc w:val="both"/>
        <w:rPr>
          <w:szCs w:val="21"/>
        </w:rPr>
      </w:pPr>
      <w:r w:rsidRPr="00A3009E">
        <w:rPr>
          <w:szCs w:val="21"/>
        </w:rPr>
        <w:t>Imputovaný</w:t>
      </w:r>
      <w:r w:rsidRPr="00A3009E">
        <w:rPr>
          <w:b/>
          <w:szCs w:val="21"/>
        </w:rPr>
        <w:t xml:space="preserve"> záväzok v súvislosti s prijatím finančných prostriedkov na </w:t>
      </w:r>
      <w:r w:rsidR="000B4000" w:rsidRPr="00A3009E">
        <w:rPr>
          <w:b/>
          <w:szCs w:val="21"/>
        </w:rPr>
        <w:t>výrobu</w:t>
      </w:r>
      <w:r w:rsidRPr="00A3009E">
        <w:rPr>
          <w:b/>
          <w:szCs w:val="21"/>
        </w:rPr>
        <w:t xml:space="preserve"> húfnic pre Ukrajinu </w:t>
      </w:r>
      <w:r w:rsidRPr="00A3009E">
        <w:rPr>
          <w:szCs w:val="21"/>
        </w:rPr>
        <w:t xml:space="preserve">v sume 92 000 tis. eur. </w:t>
      </w:r>
      <w:r w:rsidR="000B4000" w:rsidRPr="00A3009E">
        <w:rPr>
          <w:szCs w:val="21"/>
        </w:rPr>
        <w:t xml:space="preserve">Štátna akciová spoločnosť </w:t>
      </w:r>
      <w:proofErr w:type="spellStart"/>
      <w:r w:rsidR="000B4000" w:rsidRPr="00A3009E">
        <w:rPr>
          <w:szCs w:val="21"/>
        </w:rPr>
        <w:t>Konštrukta</w:t>
      </w:r>
      <w:proofErr w:type="spellEnd"/>
      <w:r w:rsidR="000B4000" w:rsidRPr="00A3009E">
        <w:rPr>
          <w:szCs w:val="21"/>
        </w:rPr>
        <w:t xml:space="preserve"> </w:t>
      </w:r>
      <w:proofErr w:type="spellStart"/>
      <w:r w:rsidR="000B4000" w:rsidRPr="00A3009E">
        <w:rPr>
          <w:szCs w:val="21"/>
        </w:rPr>
        <w:t>Defence</w:t>
      </w:r>
      <w:proofErr w:type="spellEnd"/>
      <w:r w:rsidR="000B4000" w:rsidRPr="00A3009E">
        <w:rPr>
          <w:szCs w:val="21"/>
        </w:rPr>
        <w:t xml:space="preserve"> sa zaviazala vyrobiť pre Ukrajinu 16 kusov samohybných kanónových húfnic Zuzana 2. Výrobu novej techniky pre Ukrajinu financujú spoločne Dánsko, Nemecko </w:t>
      </w:r>
      <w:r w:rsidR="00703BC7">
        <w:rPr>
          <w:szCs w:val="21"/>
        </w:rPr>
        <w:t>a Nórsko v sume 92 000 tis. eur</w:t>
      </w:r>
      <w:r w:rsidR="00381BD4">
        <w:rPr>
          <w:szCs w:val="21"/>
        </w:rPr>
        <w:t>. Tieto prostriedky preto nepredstavujú pre verejnú správu hotovostný príjem ani výdavok</w:t>
      </w:r>
      <w:r w:rsidR="00302921" w:rsidRPr="00A3009E">
        <w:rPr>
          <w:szCs w:val="21"/>
        </w:rPr>
        <w:t>.</w:t>
      </w:r>
      <w:r w:rsidR="00381BD4">
        <w:rPr>
          <w:szCs w:val="21"/>
        </w:rPr>
        <w:t xml:space="preserve"> Po vyrobení húfnic a ich odovzdaní Ukrajine bude imputovaný pokles záväzku z účelového použitia prostriedkov. </w:t>
      </w:r>
    </w:p>
    <w:p w14:paraId="006872AB" w14:textId="77777777" w:rsidR="00EB54C1" w:rsidRPr="00A3009E" w:rsidRDefault="00EB54C1" w:rsidP="00EB54C1">
      <w:pPr>
        <w:pStyle w:val="Odsekzoznamu"/>
        <w:ind w:left="709"/>
        <w:jc w:val="both"/>
        <w:rPr>
          <w:szCs w:val="21"/>
        </w:rPr>
      </w:pPr>
    </w:p>
    <w:p w14:paraId="075E522B" w14:textId="77777777" w:rsidR="00731361" w:rsidRDefault="00731361">
      <w:pPr>
        <w:rPr>
          <w:b/>
          <w:color w:val="4F81BD" w:themeColor="accent1"/>
        </w:rPr>
      </w:pPr>
      <w:r>
        <w:rPr>
          <w:b/>
          <w:color w:val="4F81BD" w:themeColor="accent1"/>
        </w:rPr>
        <w:br w:type="page"/>
      </w:r>
    </w:p>
    <w:p w14:paraId="1936AC99" w14:textId="0E922F85" w:rsidR="00EB54C1" w:rsidRDefault="00DC1800" w:rsidP="00731361">
      <w:pPr>
        <w:spacing w:after="120" w:line="240" w:lineRule="auto"/>
        <w:jc w:val="both"/>
      </w:pPr>
      <w:r w:rsidRPr="00A3009E">
        <w:rPr>
          <w:b/>
          <w:color w:val="4F81BD" w:themeColor="accent1"/>
        </w:rPr>
        <w:lastRenderedPageBreak/>
        <w:t>Dlh verejnej správy</w:t>
      </w:r>
      <w:r w:rsidR="00DC0F15" w:rsidRPr="00DC0F15">
        <w:t xml:space="preserve">, ktorý bol vykázaný </w:t>
      </w:r>
      <w:r w:rsidR="00381BD4">
        <w:t>v rámci jarnej notifikácie</w:t>
      </w:r>
      <w:r w:rsidR="00DC0F15" w:rsidRPr="00DC0F15">
        <w:t xml:space="preserve"> (57,8 % HDP) sa pri jesennej notifikácii v percentuálnom vyjadrení k HDP nezmenil. Jednotlivé revízie, popísané v nasledovnej tabuľke, spôsobili pokles konsolidovaného dlhu verejnej správy za rok 2022 v absolútnom vyjadrení o 808 tis. eur (menej ako 0,1 % HDP). Ani revízia HDP nemala na podiel maastrichtského dlhu na HDP žiaden zásadný vplyv (menej ako 0,1 %).</w:t>
      </w:r>
    </w:p>
    <w:tbl>
      <w:tblPr>
        <w:tblW w:w="5006" w:type="pct"/>
        <w:tblCellMar>
          <w:left w:w="70" w:type="dxa"/>
          <w:right w:w="70" w:type="dxa"/>
        </w:tblCellMar>
        <w:tblLook w:val="04A0" w:firstRow="1" w:lastRow="0" w:firstColumn="1" w:lastColumn="0" w:noHBand="0" w:noVBand="1"/>
      </w:tblPr>
      <w:tblGrid>
        <w:gridCol w:w="3987"/>
        <w:gridCol w:w="1276"/>
        <w:gridCol w:w="658"/>
        <w:gridCol w:w="3444"/>
      </w:tblGrid>
      <w:tr w:rsidR="00DC0F15" w:rsidRPr="00DC0F15" w14:paraId="2B8BAFD0" w14:textId="77777777" w:rsidTr="00EB54C1">
        <w:trPr>
          <w:trHeight w:val="312"/>
        </w:trPr>
        <w:tc>
          <w:tcPr>
            <w:tcW w:w="5000" w:type="pct"/>
            <w:gridSpan w:val="4"/>
            <w:tcBorders>
              <w:top w:val="nil"/>
              <w:left w:val="nil"/>
              <w:bottom w:val="single" w:sz="4" w:space="0" w:color="auto"/>
              <w:right w:val="nil"/>
            </w:tcBorders>
            <w:shd w:val="clear" w:color="auto" w:fill="auto"/>
            <w:noWrap/>
            <w:vAlign w:val="center"/>
            <w:hideMark/>
          </w:tcPr>
          <w:p w14:paraId="11C772CC" w14:textId="77777777" w:rsidR="00DC0F15" w:rsidRPr="00DC0F15" w:rsidRDefault="00DC0F15" w:rsidP="003C5653">
            <w:pPr>
              <w:spacing w:after="0" w:line="240" w:lineRule="auto"/>
              <w:rPr>
                <w:b/>
                <w:bCs/>
                <w:color w:val="4F81BD"/>
                <w:sz w:val="20"/>
                <w:szCs w:val="20"/>
                <w:lang w:eastAsia="sk-SK"/>
              </w:rPr>
            </w:pPr>
            <w:r w:rsidRPr="00DC0F15">
              <w:rPr>
                <w:b/>
                <w:bCs/>
                <w:color w:val="4F81BD"/>
                <w:sz w:val="20"/>
                <w:szCs w:val="20"/>
                <w:lang w:eastAsia="sk-SK"/>
              </w:rPr>
              <w:t>Tabuľka 2 - Úpravy maastrichtského dlhu VS za rok 2022 pri jesennej notifikácii v metodike ESA 2010</w:t>
            </w:r>
          </w:p>
        </w:tc>
      </w:tr>
      <w:tr w:rsidR="00DC0F15" w:rsidRPr="00DC0F15" w14:paraId="09C67398" w14:textId="77777777" w:rsidTr="00EB54C1">
        <w:trPr>
          <w:trHeight w:val="312"/>
        </w:trPr>
        <w:tc>
          <w:tcPr>
            <w:tcW w:w="2129" w:type="pct"/>
            <w:tcBorders>
              <w:top w:val="nil"/>
              <w:left w:val="nil"/>
              <w:bottom w:val="nil"/>
              <w:right w:val="nil"/>
            </w:tcBorders>
            <w:shd w:val="clear" w:color="auto" w:fill="auto"/>
            <w:vAlign w:val="center"/>
            <w:hideMark/>
          </w:tcPr>
          <w:p w14:paraId="28E47EC7"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Upravené položky</w:t>
            </w:r>
          </w:p>
        </w:tc>
        <w:tc>
          <w:tcPr>
            <w:tcW w:w="681" w:type="pct"/>
            <w:tcBorders>
              <w:top w:val="nil"/>
              <w:left w:val="nil"/>
              <w:bottom w:val="nil"/>
              <w:right w:val="nil"/>
            </w:tcBorders>
            <w:shd w:val="clear" w:color="auto" w:fill="auto"/>
            <w:vAlign w:val="center"/>
            <w:hideMark/>
          </w:tcPr>
          <w:p w14:paraId="60E06551"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tis. eur</w:t>
            </w:r>
          </w:p>
        </w:tc>
        <w:tc>
          <w:tcPr>
            <w:tcW w:w="351" w:type="pct"/>
            <w:tcBorders>
              <w:top w:val="nil"/>
              <w:left w:val="nil"/>
              <w:bottom w:val="nil"/>
              <w:right w:val="nil"/>
            </w:tcBorders>
            <w:shd w:val="clear" w:color="auto" w:fill="auto"/>
            <w:noWrap/>
            <w:vAlign w:val="center"/>
            <w:hideMark/>
          </w:tcPr>
          <w:p w14:paraId="1B9BCA24" w14:textId="77777777" w:rsidR="00DC0F15" w:rsidRPr="00DC0F15" w:rsidRDefault="00DC0F15" w:rsidP="00EB54C1">
            <w:pPr>
              <w:spacing w:after="0" w:line="240" w:lineRule="auto"/>
              <w:ind w:left="-13" w:firstLine="13"/>
              <w:jc w:val="center"/>
              <w:rPr>
                <w:b/>
                <w:bCs/>
                <w:sz w:val="20"/>
                <w:szCs w:val="20"/>
                <w:lang w:eastAsia="sk-SK"/>
              </w:rPr>
            </w:pPr>
            <w:r w:rsidRPr="00DC0F15">
              <w:rPr>
                <w:b/>
                <w:bCs/>
                <w:sz w:val="20"/>
                <w:szCs w:val="20"/>
                <w:lang w:eastAsia="sk-SK"/>
              </w:rPr>
              <w:t xml:space="preserve">% </w:t>
            </w:r>
            <w:r w:rsidRPr="00DC0F15">
              <w:rPr>
                <w:b/>
                <w:bCs/>
                <w:sz w:val="20"/>
                <w:szCs w:val="20"/>
                <w:lang w:eastAsia="sk-SK"/>
              </w:rPr>
              <w:br/>
              <w:t>HDP</w:t>
            </w:r>
          </w:p>
        </w:tc>
        <w:tc>
          <w:tcPr>
            <w:tcW w:w="1838" w:type="pct"/>
            <w:tcBorders>
              <w:top w:val="nil"/>
              <w:left w:val="nil"/>
              <w:bottom w:val="nil"/>
              <w:right w:val="nil"/>
            </w:tcBorders>
            <w:shd w:val="clear" w:color="auto" w:fill="auto"/>
            <w:vAlign w:val="center"/>
            <w:hideMark/>
          </w:tcPr>
          <w:p w14:paraId="42A68844"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Zdôvodnenie úprav</w:t>
            </w:r>
          </w:p>
        </w:tc>
      </w:tr>
      <w:tr w:rsidR="00DC0F15" w:rsidRPr="00DC0F15" w14:paraId="4143BC61" w14:textId="77777777" w:rsidTr="00EB54C1">
        <w:trPr>
          <w:trHeight w:val="312"/>
        </w:trPr>
        <w:tc>
          <w:tcPr>
            <w:tcW w:w="2129" w:type="pct"/>
            <w:tcBorders>
              <w:top w:val="single" w:sz="4" w:space="0" w:color="auto"/>
              <w:left w:val="nil"/>
              <w:bottom w:val="single" w:sz="4" w:space="0" w:color="auto"/>
              <w:right w:val="nil"/>
            </w:tcBorders>
            <w:shd w:val="clear" w:color="auto" w:fill="auto"/>
            <w:noWrap/>
            <w:vAlign w:val="center"/>
            <w:hideMark/>
          </w:tcPr>
          <w:p w14:paraId="1D4D4E5C"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Maastrichtský dlh VS - apríl 2023</w:t>
            </w:r>
          </w:p>
        </w:tc>
        <w:tc>
          <w:tcPr>
            <w:tcW w:w="681" w:type="pct"/>
            <w:tcBorders>
              <w:top w:val="single" w:sz="4" w:space="0" w:color="auto"/>
              <w:left w:val="nil"/>
              <w:bottom w:val="single" w:sz="4" w:space="0" w:color="auto"/>
              <w:right w:val="nil"/>
            </w:tcBorders>
            <w:shd w:val="clear" w:color="auto" w:fill="auto"/>
            <w:noWrap/>
            <w:vAlign w:val="center"/>
            <w:hideMark/>
          </w:tcPr>
          <w:p w14:paraId="39C3E57B"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63 378 782</w:t>
            </w:r>
          </w:p>
        </w:tc>
        <w:tc>
          <w:tcPr>
            <w:tcW w:w="351" w:type="pct"/>
            <w:tcBorders>
              <w:top w:val="single" w:sz="4" w:space="0" w:color="auto"/>
              <w:left w:val="nil"/>
              <w:bottom w:val="single" w:sz="4" w:space="0" w:color="auto"/>
              <w:right w:val="nil"/>
            </w:tcBorders>
            <w:shd w:val="clear" w:color="auto" w:fill="auto"/>
            <w:noWrap/>
            <w:vAlign w:val="center"/>
            <w:hideMark/>
          </w:tcPr>
          <w:p w14:paraId="2B477328" w14:textId="77777777" w:rsidR="00DC0F15" w:rsidRPr="00DC0F15" w:rsidRDefault="00DC0F15" w:rsidP="00EB54C1">
            <w:pPr>
              <w:spacing w:after="0" w:line="240" w:lineRule="auto"/>
              <w:ind w:left="-13" w:firstLine="13"/>
              <w:jc w:val="right"/>
              <w:rPr>
                <w:b/>
                <w:bCs/>
                <w:sz w:val="20"/>
                <w:szCs w:val="20"/>
                <w:lang w:eastAsia="sk-SK"/>
              </w:rPr>
            </w:pPr>
            <w:r w:rsidRPr="00DC0F15">
              <w:rPr>
                <w:b/>
                <w:bCs/>
                <w:sz w:val="20"/>
                <w:szCs w:val="20"/>
                <w:lang w:eastAsia="sk-SK"/>
              </w:rPr>
              <w:t>57,8</w:t>
            </w:r>
          </w:p>
        </w:tc>
        <w:tc>
          <w:tcPr>
            <w:tcW w:w="1838" w:type="pct"/>
            <w:tcBorders>
              <w:top w:val="single" w:sz="4" w:space="0" w:color="auto"/>
              <w:left w:val="nil"/>
              <w:bottom w:val="single" w:sz="4" w:space="0" w:color="auto"/>
              <w:right w:val="nil"/>
            </w:tcBorders>
            <w:shd w:val="clear" w:color="auto" w:fill="auto"/>
            <w:noWrap/>
            <w:vAlign w:val="center"/>
            <w:hideMark/>
          </w:tcPr>
          <w:p w14:paraId="6F198657" w14:textId="77777777" w:rsidR="00DC0F15" w:rsidRPr="00DC0F15" w:rsidRDefault="00DC0F15" w:rsidP="003C5653">
            <w:pPr>
              <w:spacing w:after="0" w:line="240" w:lineRule="auto"/>
              <w:jc w:val="center"/>
              <w:rPr>
                <w:sz w:val="20"/>
                <w:szCs w:val="20"/>
                <w:lang w:eastAsia="sk-SK"/>
              </w:rPr>
            </w:pPr>
            <w:r w:rsidRPr="00DC0F15">
              <w:rPr>
                <w:sz w:val="20"/>
                <w:szCs w:val="20"/>
                <w:lang w:eastAsia="sk-SK"/>
              </w:rPr>
              <w:t> </w:t>
            </w:r>
          </w:p>
        </w:tc>
      </w:tr>
      <w:tr w:rsidR="00DC0F15" w:rsidRPr="00DC0F15" w14:paraId="421914F0" w14:textId="77777777" w:rsidTr="00EB54C1">
        <w:trPr>
          <w:trHeight w:val="567"/>
        </w:trPr>
        <w:tc>
          <w:tcPr>
            <w:tcW w:w="2129" w:type="pct"/>
            <w:tcBorders>
              <w:top w:val="nil"/>
              <w:left w:val="nil"/>
              <w:bottom w:val="nil"/>
              <w:right w:val="nil"/>
            </w:tcBorders>
            <w:shd w:val="clear" w:color="auto" w:fill="auto"/>
            <w:vAlign w:val="center"/>
            <w:hideMark/>
          </w:tcPr>
          <w:p w14:paraId="5E9EA9FB" w14:textId="77777777" w:rsidR="00DC0F15" w:rsidRPr="00DC0F15" w:rsidRDefault="00DC0F15" w:rsidP="003C5653">
            <w:pPr>
              <w:spacing w:after="0" w:line="240" w:lineRule="auto"/>
              <w:rPr>
                <w:sz w:val="20"/>
                <w:szCs w:val="20"/>
                <w:lang w:eastAsia="sk-SK"/>
              </w:rPr>
            </w:pPr>
            <w:r w:rsidRPr="00DC0F15">
              <w:rPr>
                <w:sz w:val="20"/>
                <w:szCs w:val="20"/>
                <w:lang w:eastAsia="sk-SK"/>
              </w:rPr>
              <w:t>Ostatné malé jednotky miestne</w:t>
            </w:r>
          </w:p>
        </w:tc>
        <w:tc>
          <w:tcPr>
            <w:tcW w:w="681" w:type="pct"/>
            <w:tcBorders>
              <w:top w:val="nil"/>
              <w:left w:val="nil"/>
              <w:bottom w:val="nil"/>
              <w:right w:val="nil"/>
            </w:tcBorders>
            <w:shd w:val="clear" w:color="auto" w:fill="auto"/>
            <w:noWrap/>
            <w:vAlign w:val="center"/>
            <w:hideMark/>
          </w:tcPr>
          <w:p w14:paraId="07EBECB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2 569</w:t>
            </w:r>
          </w:p>
        </w:tc>
        <w:tc>
          <w:tcPr>
            <w:tcW w:w="351" w:type="pct"/>
            <w:tcBorders>
              <w:top w:val="nil"/>
              <w:left w:val="nil"/>
              <w:bottom w:val="nil"/>
              <w:right w:val="nil"/>
            </w:tcBorders>
            <w:shd w:val="clear" w:color="auto" w:fill="auto"/>
            <w:noWrap/>
            <w:vAlign w:val="center"/>
            <w:hideMark/>
          </w:tcPr>
          <w:p w14:paraId="00E5A704" w14:textId="77777777" w:rsidR="00DC0F15" w:rsidRPr="00DC0F15" w:rsidRDefault="00DC0F15" w:rsidP="00EB54C1">
            <w:pPr>
              <w:spacing w:after="0" w:line="240" w:lineRule="auto"/>
              <w:ind w:left="-13" w:firstLine="13"/>
              <w:jc w:val="right"/>
              <w:rPr>
                <w:sz w:val="20"/>
                <w:szCs w:val="20"/>
                <w:lang w:eastAsia="sk-SK"/>
              </w:rPr>
            </w:pPr>
            <w:r w:rsidRPr="00DC0F15">
              <w:rPr>
                <w:sz w:val="20"/>
                <w:szCs w:val="20"/>
                <w:lang w:eastAsia="sk-SK"/>
              </w:rPr>
              <w:t>0,002</w:t>
            </w:r>
          </w:p>
        </w:tc>
        <w:tc>
          <w:tcPr>
            <w:tcW w:w="1838" w:type="pct"/>
            <w:tcBorders>
              <w:top w:val="nil"/>
              <w:left w:val="nil"/>
              <w:bottom w:val="nil"/>
              <w:right w:val="nil"/>
            </w:tcBorders>
            <w:shd w:val="clear" w:color="auto" w:fill="auto"/>
            <w:vAlign w:val="center"/>
            <w:hideMark/>
          </w:tcPr>
          <w:p w14:paraId="0544F935" w14:textId="77777777" w:rsidR="00DC0F15" w:rsidRPr="00DC0F15" w:rsidRDefault="00DC0F15" w:rsidP="00EB54C1">
            <w:pPr>
              <w:spacing w:after="0" w:line="240" w:lineRule="auto"/>
              <w:ind w:right="-65" w:firstLine="381"/>
              <w:rPr>
                <w:sz w:val="20"/>
                <w:szCs w:val="20"/>
                <w:lang w:eastAsia="sk-SK"/>
              </w:rPr>
            </w:pPr>
            <w:r w:rsidRPr="00DC0F15">
              <w:rPr>
                <w:sz w:val="20"/>
                <w:szCs w:val="20"/>
                <w:lang w:eastAsia="sk-SK"/>
              </w:rPr>
              <w:t>aktualizácia na základe súvah</w:t>
            </w:r>
          </w:p>
        </w:tc>
      </w:tr>
      <w:tr w:rsidR="00DC0F15" w:rsidRPr="00DC0F15" w14:paraId="2E164FEF" w14:textId="77777777" w:rsidTr="00EB54C1">
        <w:trPr>
          <w:trHeight w:val="567"/>
        </w:trPr>
        <w:tc>
          <w:tcPr>
            <w:tcW w:w="2129" w:type="pct"/>
            <w:tcBorders>
              <w:top w:val="nil"/>
              <w:left w:val="nil"/>
              <w:bottom w:val="nil"/>
              <w:right w:val="nil"/>
            </w:tcBorders>
            <w:shd w:val="clear" w:color="auto" w:fill="auto"/>
            <w:vAlign w:val="center"/>
            <w:hideMark/>
          </w:tcPr>
          <w:p w14:paraId="57450061" w14:textId="77777777" w:rsidR="00DC0F15" w:rsidRPr="00DC0F15" w:rsidRDefault="00DC0F15" w:rsidP="003C5653">
            <w:pPr>
              <w:spacing w:after="0" w:line="240" w:lineRule="auto"/>
              <w:rPr>
                <w:sz w:val="20"/>
                <w:szCs w:val="20"/>
                <w:lang w:eastAsia="sk-SK"/>
              </w:rPr>
            </w:pPr>
            <w:r w:rsidRPr="00DC0F15">
              <w:rPr>
                <w:sz w:val="20"/>
                <w:szCs w:val="20"/>
                <w:lang w:eastAsia="sk-SK"/>
              </w:rPr>
              <w:t>Dopravné podniky</w:t>
            </w:r>
          </w:p>
        </w:tc>
        <w:tc>
          <w:tcPr>
            <w:tcW w:w="681" w:type="pct"/>
            <w:tcBorders>
              <w:top w:val="nil"/>
              <w:left w:val="nil"/>
              <w:bottom w:val="nil"/>
              <w:right w:val="nil"/>
            </w:tcBorders>
            <w:shd w:val="clear" w:color="auto" w:fill="auto"/>
            <w:noWrap/>
            <w:vAlign w:val="center"/>
            <w:hideMark/>
          </w:tcPr>
          <w:p w14:paraId="0D2C64E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-2 150</w:t>
            </w:r>
          </w:p>
        </w:tc>
        <w:tc>
          <w:tcPr>
            <w:tcW w:w="351" w:type="pct"/>
            <w:tcBorders>
              <w:top w:val="nil"/>
              <w:left w:val="nil"/>
              <w:bottom w:val="nil"/>
              <w:right w:val="nil"/>
            </w:tcBorders>
            <w:shd w:val="clear" w:color="auto" w:fill="auto"/>
            <w:noWrap/>
            <w:vAlign w:val="center"/>
            <w:hideMark/>
          </w:tcPr>
          <w:p w14:paraId="7B26C4D5" w14:textId="77777777" w:rsidR="00DC0F15" w:rsidRPr="00DC0F15" w:rsidRDefault="00DC0F15" w:rsidP="00EB54C1">
            <w:pPr>
              <w:spacing w:after="0" w:line="240" w:lineRule="auto"/>
              <w:ind w:left="-13" w:firstLine="13"/>
              <w:jc w:val="right"/>
              <w:rPr>
                <w:sz w:val="20"/>
                <w:szCs w:val="20"/>
                <w:lang w:eastAsia="sk-SK"/>
              </w:rPr>
            </w:pPr>
            <w:r w:rsidRPr="00DC0F15">
              <w:rPr>
                <w:sz w:val="20"/>
                <w:szCs w:val="20"/>
                <w:lang w:eastAsia="sk-SK"/>
              </w:rPr>
              <w:t>-0,002</w:t>
            </w:r>
          </w:p>
        </w:tc>
        <w:tc>
          <w:tcPr>
            <w:tcW w:w="1838" w:type="pct"/>
            <w:tcBorders>
              <w:top w:val="nil"/>
              <w:left w:val="nil"/>
              <w:bottom w:val="nil"/>
              <w:right w:val="nil"/>
            </w:tcBorders>
            <w:shd w:val="clear" w:color="auto" w:fill="auto"/>
            <w:vAlign w:val="center"/>
            <w:hideMark/>
          </w:tcPr>
          <w:p w14:paraId="195A08F5" w14:textId="77777777" w:rsidR="00DC0F15" w:rsidRPr="00DC0F15" w:rsidRDefault="00DC0F15" w:rsidP="00EB54C1">
            <w:pPr>
              <w:spacing w:after="0" w:line="240" w:lineRule="auto"/>
              <w:ind w:right="-65" w:firstLine="381"/>
              <w:rPr>
                <w:sz w:val="20"/>
                <w:szCs w:val="20"/>
                <w:lang w:eastAsia="sk-SK"/>
              </w:rPr>
            </w:pPr>
            <w:r w:rsidRPr="00DC0F15">
              <w:rPr>
                <w:sz w:val="20"/>
                <w:szCs w:val="20"/>
                <w:lang w:eastAsia="sk-SK"/>
              </w:rPr>
              <w:t>aktualizácia na základe 5.zberu</w:t>
            </w:r>
          </w:p>
        </w:tc>
      </w:tr>
      <w:tr w:rsidR="00DC0F15" w:rsidRPr="00DC0F15" w14:paraId="199DC222" w14:textId="77777777" w:rsidTr="00EB54C1">
        <w:trPr>
          <w:trHeight w:val="567"/>
        </w:trPr>
        <w:tc>
          <w:tcPr>
            <w:tcW w:w="2129" w:type="pct"/>
            <w:tcBorders>
              <w:top w:val="nil"/>
              <w:left w:val="nil"/>
              <w:bottom w:val="nil"/>
              <w:right w:val="nil"/>
            </w:tcBorders>
            <w:shd w:val="clear" w:color="auto" w:fill="auto"/>
            <w:noWrap/>
            <w:vAlign w:val="center"/>
            <w:hideMark/>
          </w:tcPr>
          <w:p w14:paraId="29054EC1" w14:textId="77777777" w:rsidR="00DC0F15" w:rsidRPr="00DC0F15" w:rsidRDefault="00DC0F15" w:rsidP="003C5653">
            <w:pPr>
              <w:spacing w:after="0" w:line="240" w:lineRule="auto"/>
              <w:rPr>
                <w:sz w:val="20"/>
                <w:szCs w:val="20"/>
                <w:lang w:eastAsia="sk-SK"/>
              </w:rPr>
            </w:pPr>
            <w:r w:rsidRPr="00DC0F15">
              <w:rPr>
                <w:sz w:val="20"/>
                <w:szCs w:val="20"/>
                <w:lang w:eastAsia="sk-SK"/>
              </w:rPr>
              <w:t>JAVYS</w:t>
            </w:r>
          </w:p>
        </w:tc>
        <w:tc>
          <w:tcPr>
            <w:tcW w:w="681" w:type="pct"/>
            <w:tcBorders>
              <w:top w:val="nil"/>
              <w:left w:val="nil"/>
              <w:bottom w:val="nil"/>
              <w:right w:val="nil"/>
            </w:tcBorders>
            <w:shd w:val="clear" w:color="auto" w:fill="auto"/>
            <w:noWrap/>
            <w:vAlign w:val="center"/>
            <w:hideMark/>
          </w:tcPr>
          <w:p w14:paraId="4BAB0E2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-1 228</w:t>
            </w:r>
          </w:p>
        </w:tc>
        <w:tc>
          <w:tcPr>
            <w:tcW w:w="351" w:type="pct"/>
            <w:tcBorders>
              <w:top w:val="nil"/>
              <w:left w:val="nil"/>
              <w:bottom w:val="nil"/>
              <w:right w:val="nil"/>
            </w:tcBorders>
            <w:shd w:val="clear" w:color="auto" w:fill="auto"/>
            <w:noWrap/>
            <w:vAlign w:val="center"/>
            <w:hideMark/>
          </w:tcPr>
          <w:p w14:paraId="7C4B491B" w14:textId="77777777" w:rsidR="00DC0F15" w:rsidRPr="00DC0F15" w:rsidRDefault="00DC0F15" w:rsidP="00EB54C1">
            <w:pPr>
              <w:spacing w:after="0" w:line="240" w:lineRule="auto"/>
              <w:ind w:left="-13" w:firstLine="13"/>
              <w:jc w:val="right"/>
              <w:rPr>
                <w:sz w:val="20"/>
                <w:szCs w:val="20"/>
                <w:lang w:eastAsia="sk-SK"/>
              </w:rPr>
            </w:pPr>
            <w:r w:rsidRPr="00DC0F15">
              <w:rPr>
                <w:sz w:val="20"/>
                <w:szCs w:val="20"/>
                <w:lang w:eastAsia="sk-SK"/>
              </w:rPr>
              <w:t>-0,001</w:t>
            </w:r>
          </w:p>
        </w:tc>
        <w:tc>
          <w:tcPr>
            <w:tcW w:w="1838" w:type="pct"/>
            <w:tcBorders>
              <w:top w:val="nil"/>
              <w:left w:val="nil"/>
              <w:bottom w:val="nil"/>
              <w:right w:val="nil"/>
            </w:tcBorders>
            <w:shd w:val="clear" w:color="auto" w:fill="auto"/>
            <w:vAlign w:val="center"/>
            <w:hideMark/>
          </w:tcPr>
          <w:p w14:paraId="6F408791" w14:textId="77777777" w:rsidR="00DC0F15" w:rsidRPr="00DC0F15" w:rsidRDefault="00DC0F15" w:rsidP="00EB54C1">
            <w:pPr>
              <w:spacing w:after="0" w:line="240" w:lineRule="auto"/>
              <w:ind w:right="-65" w:firstLine="381"/>
              <w:rPr>
                <w:sz w:val="20"/>
                <w:szCs w:val="20"/>
                <w:lang w:eastAsia="sk-SK"/>
              </w:rPr>
            </w:pPr>
            <w:r w:rsidRPr="00DC0F15">
              <w:rPr>
                <w:sz w:val="20"/>
                <w:szCs w:val="20"/>
                <w:lang w:eastAsia="sk-SK"/>
              </w:rPr>
              <w:t>aktualizácia na základe 5.zberu</w:t>
            </w:r>
          </w:p>
        </w:tc>
      </w:tr>
      <w:tr w:rsidR="00DC0F15" w:rsidRPr="00DC0F15" w14:paraId="74560838" w14:textId="77777777" w:rsidTr="00EB54C1">
        <w:trPr>
          <w:trHeight w:val="567"/>
        </w:trPr>
        <w:tc>
          <w:tcPr>
            <w:tcW w:w="2129" w:type="pct"/>
            <w:tcBorders>
              <w:top w:val="nil"/>
              <w:left w:val="nil"/>
              <w:bottom w:val="nil"/>
              <w:right w:val="nil"/>
            </w:tcBorders>
            <w:shd w:val="clear" w:color="auto" w:fill="auto"/>
            <w:vAlign w:val="center"/>
            <w:hideMark/>
          </w:tcPr>
          <w:p w14:paraId="542D60F3" w14:textId="77777777" w:rsidR="00DC0F15" w:rsidRPr="00DC0F15" w:rsidRDefault="00DC0F15" w:rsidP="003C5653">
            <w:pPr>
              <w:spacing w:after="0" w:line="240" w:lineRule="auto"/>
              <w:rPr>
                <w:sz w:val="20"/>
                <w:szCs w:val="20"/>
                <w:lang w:eastAsia="sk-SK"/>
              </w:rPr>
            </w:pPr>
            <w:r w:rsidRPr="00DC0F15">
              <w:rPr>
                <w:sz w:val="20"/>
                <w:szCs w:val="20"/>
                <w:lang w:eastAsia="sk-SK"/>
              </w:rPr>
              <w:t>Ostatné malé jednotky ústredné</w:t>
            </w:r>
          </w:p>
        </w:tc>
        <w:tc>
          <w:tcPr>
            <w:tcW w:w="681" w:type="pct"/>
            <w:tcBorders>
              <w:top w:val="nil"/>
              <w:left w:val="nil"/>
              <w:bottom w:val="nil"/>
              <w:right w:val="nil"/>
            </w:tcBorders>
            <w:shd w:val="clear" w:color="auto" w:fill="auto"/>
            <w:noWrap/>
            <w:vAlign w:val="center"/>
            <w:hideMark/>
          </w:tcPr>
          <w:p w14:paraId="6BED38D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w:t>
            </w:r>
          </w:p>
        </w:tc>
        <w:tc>
          <w:tcPr>
            <w:tcW w:w="351" w:type="pct"/>
            <w:tcBorders>
              <w:top w:val="nil"/>
              <w:left w:val="nil"/>
              <w:bottom w:val="nil"/>
              <w:right w:val="nil"/>
            </w:tcBorders>
            <w:shd w:val="clear" w:color="auto" w:fill="auto"/>
            <w:noWrap/>
            <w:vAlign w:val="center"/>
            <w:hideMark/>
          </w:tcPr>
          <w:p w14:paraId="06ABA0C0" w14:textId="77777777" w:rsidR="00DC0F15" w:rsidRPr="00DC0F15" w:rsidRDefault="00DC0F15" w:rsidP="00EB54C1">
            <w:pPr>
              <w:spacing w:after="0" w:line="240" w:lineRule="auto"/>
              <w:ind w:left="-13" w:firstLine="13"/>
              <w:jc w:val="right"/>
              <w:rPr>
                <w:sz w:val="20"/>
                <w:szCs w:val="20"/>
                <w:lang w:eastAsia="sk-SK"/>
              </w:rPr>
            </w:pPr>
            <w:r w:rsidRPr="00DC0F15">
              <w:rPr>
                <w:sz w:val="20"/>
                <w:szCs w:val="20"/>
                <w:lang w:eastAsia="sk-SK"/>
              </w:rPr>
              <w:t>0,000</w:t>
            </w:r>
          </w:p>
        </w:tc>
        <w:tc>
          <w:tcPr>
            <w:tcW w:w="1838" w:type="pct"/>
            <w:tcBorders>
              <w:top w:val="nil"/>
              <w:left w:val="nil"/>
              <w:bottom w:val="nil"/>
              <w:right w:val="nil"/>
            </w:tcBorders>
            <w:shd w:val="clear" w:color="auto" w:fill="auto"/>
            <w:vAlign w:val="center"/>
            <w:hideMark/>
          </w:tcPr>
          <w:p w14:paraId="0142A239" w14:textId="77777777" w:rsidR="00DC0F15" w:rsidRPr="00DC0F15" w:rsidRDefault="00DC0F15" w:rsidP="00EB54C1">
            <w:pPr>
              <w:spacing w:after="0" w:line="240" w:lineRule="auto"/>
              <w:ind w:right="-65" w:firstLine="381"/>
              <w:rPr>
                <w:sz w:val="20"/>
                <w:szCs w:val="20"/>
                <w:lang w:eastAsia="sk-SK"/>
              </w:rPr>
            </w:pPr>
            <w:r w:rsidRPr="00DC0F15">
              <w:rPr>
                <w:sz w:val="20"/>
                <w:szCs w:val="20"/>
                <w:lang w:eastAsia="sk-SK"/>
              </w:rPr>
              <w:t>aktualizácia na základe súvah</w:t>
            </w:r>
          </w:p>
        </w:tc>
      </w:tr>
      <w:tr w:rsidR="00DC0F15" w:rsidRPr="00DC0F15" w14:paraId="6BE9809D" w14:textId="77777777" w:rsidTr="00EB54C1">
        <w:trPr>
          <w:trHeight w:val="567"/>
        </w:trPr>
        <w:tc>
          <w:tcPr>
            <w:tcW w:w="2129" w:type="pct"/>
            <w:tcBorders>
              <w:top w:val="nil"/>
              <w:left w:val="nil"/>
              <w:bottom w:val="nil"/>
              <w:right w:val="nil"/>
            </w:tcBorders>
            <w:shd w:val="clear" w:color="auto" w:fill="auto"/>
            <w:vAlign w:val="center"/>
            <w:hideMark/>
          </w:tcPr>
          <w:p w14:paraId="2386504C" w14:textId="77777777" w:rsidR="00DC0F15" w:rsidRPr="00DC0F15" w:rsidRDefault="00DC0F15" w:rsidP="003C5653">
            <w:pPr>
              <w:spacing w:after="0" w:line="240" w:lineRule="auto"/>
              <w:rPr>
                <w:sz w:val="20"/>
                <w:szCs w:val="20"/>
                <w:lang w:eastAsia="sk-SK"/>
              </w:rPr>
            </w:pPr>
            <w:r w:rsidRPr="00DC0F15">
              <w:rPr>
                <w:sz w:val="20"/>
                <w:szCs w:val="20"/>
                <w:lang w:eastAsia="sk-SK"/>
              </w:rPr>
              <w:t>Preradené jednotky</w:t>
            </w:r>
          </w:p>
        </w:tc>
        <w:tc>
          <w:tcPr>
            <w:tcW w:w="681" w:type="pct"/>
            <w:tcBorders>
              <w:top w:val="nil"/>
              <w:left w:val="nil"/>
              <w:bottom w:val="nil"/>
              <w:right w:val="nil"/>
            </w:tcBorders>
            <w:shd w:val="clear" w:color="auto" w:fill="auto"/>
            <w:noWrap/>
            <w:vAlign w:val="center"/>
            <w:hideMark/>
          </w:tcPr>
          <w:p w14:paraId="72C32DA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0</w:t>
            </w:r>
          </w:p>
        </w:tc>
        <w:tc>
          <w:tcPr>
            <w:tcW w:w="351" w:type="pct"/>
            <w:tcBorders>
              <w:top w:val="nil"/>
              <w:left w:val="nil"/>
              <w:bottom w:val="nil"/>
              <w:right w:val="nil"/>
            </w:tcBorders>
            <w:shd w:val="clear" w:color="auto" w:fill="auto"/>
            <w:noWrap/>
            <w:vAlign w:val="center"/>
            <w:hideMark/>
          </w:tcPr>
          <w:p w14:paraId="44BC3D49" w14:textId="77777777" w:rsidR="00DC0F15" w:rsidRPr="00DC0F15" w:rsidRDefault="00DC0F15" w:rsidP="00EB54C1">
            <w:pPr>
              <w:spacing w:after="0" w:line="240" w:lineRule="auto"/>
              <w:ind w:left="-13" w:firstLine="13"/>
              <w:jc w:val="right"/>
              <w:rPr>
                <w:sz w:val="20"/>
                <w:szCs w:val="20"/>
                <w:lang w:eastAsia="sk-SK"/>
              </w:rPr>
            </w:pPr>
            <w:r w:rsidRPr="00DC0F15">
              <w:rPr>
                <w:sz w:val="20"/>
                <w:szCs w:val="20"/>
                <w:lang w:eastAsia="sk-SK"/>
              </w:rPr>
              <w:t>0,000</w:t>
            </w:r>
          </w:p>
        </w:tc>
        <w:tc>
          <w:tcPr>
            <w:tcW w:w="1838" w:type="pct"/>
            <w:tcBorders>
              <w:top w:val="nil"/>
              <w:left w:val="nil"/>
              <w:bottom w:val="nil"/>
              <w:right w:val="nil"/>
            </w:tcBorders>
            <w:shd w:val="clear" w:color="auto" w:fill="auto"/>
            <w:vAlign w:val="center"/>
            <w:hideMark/>
          </w:tcPr>
          <w:p w14:paraId="0487E1AE" w14:textId="77777777" w:rsidR="00DC0F15" w:rsidRPr="00DC0F15" w:rsidRDefault="00DC0F15" w:rsidP="00EB54C1">
            <w:pPr>
              <w:spacing w:after="0" w:line="240" w:lineRule="auto"/>
              <w:ind w:right="-65" w:firstLine="381"/>
              <w:rPr>
                <w:sz w:val="20"/>
                <w:szCs w:val="20"/>
                <w:lang w:eastAsia="sk-SK"/>
              </w:rPr>
            </w:pPr>
            <w:r w:rsidRPr="00DC0F15">
              <w:rPr>
                <w:sz w:val="20"/>
                <w:szCs w:val="20"/>
                <w:lang w:eastAsia="sk-SK"/>
              </w:rPr>
              <w:t>bez vplyvu na dlh v r. 2022</w:t>
            </w:r>
          </w:p>
        </w:tc>
      </w:tr>
      <w:tr w:rsidR="00DC0F15" w:rsidRPr="00DC0F15" w14:paraId="4C1501BE" w14:textId="77777777" w:rsidTr="00EB54C1">
        <w:trPr>
          <w:trHeight w:val="312"/>
        </w:trPr>
        <w:tc>
          <w:tcPr>
            <w:tcW w:w="2129" w:type="pct"/>
            <w:tcBorders>
              <w:top w:val="single" w:sz="4" w:space="0" w:color="auto"/>
              <w:left w:val="nil"/>
              <w:bottom w:val="nil"/>
              <w:right w:val="nil"/>
            </w:tcBorders>
            <w:shd w:val="clear" w:color="auto" w:fill="auto"/>
            <w:noWrap/>
            <w:vAlign w:val="bottom"/>
            <w:hideMark/>
          </w:tcPr>
          <w:p w14:paraId="77F7EDE9" w14:textId="77777777" w:rsidR="00DC0F15" w:rsidRPr="00DC0F15" w:rsidRDefault="00DC0F15" w:rsidP="003C5653">
            <w:pPr>
              <w:spacing w:after="0" w:line="240" w:lineRule="auto"/>
              <w:rPr>
                <w:b/>
                <w:bCs/>
                <w:color w:val="000000"/>
                <w:sz w:val="20"/>
                <w:szCs w:val="20"/>
                <w:lang w:eastAsia="sk-SK"/>
              </w:rPr>
            </w:pPr>
            <w:r w:rsidRPr="00DC0F15">
              <w:rPr>
                <w:b/>
                <w:bCs/>
                <w:color w:val="000000"/>
                <w:sz w:val="20"/>
                <w:szCs w:val="20"/>
                <w:lang w:eastAsia="sk-SK"/>
              </w:rPr>
              <w:t>Zmena celkom</w:t>
            </w:r>
          </w:p>
        </w:tc>
        <w:tc>
          <w:tcPr>
            <w:tcW w:w="681" w:type="pct"/>
            <w:tcBorders>
              <w:top w:val="single" w:sz="4" w:space="0" w:color="auto"/>
              <w:left w:val="nil"/>
              <w:bottom w:val="single" w:sz="4" w:space="0" w:color="auto"/>
              <w:right w:val="nil"/>
            </w:tcBorders>
            <w:shd w:val="clear" w:color="auto" w:fill="auto"/>
            <w:noWrap/>
            <w:vAlign w:val="center"/>
            <w:hideMark/>
          </w:tcPr>
          <w:p w14:paraId="7D6EEC9E"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-808</w:t>
            </w:r>
          </w:p>
        </w:tc>
        <w:tc>
          <w:tcPr>
            <w:tcW w:w="351" w:type="pct"/>
            <w:tcBorders>
              <w:top w:val="single" w:sz="4" w:space="0" w:color="auto"/>
              <w:left w:val="nil"/>
              <w:bottom w:val="nil"/>
              <w:right w:val="nil"/>
            </w:tcBorders>
            <w:shd w:val="clear" w:color="auto" w:fill="auto"/>
            <w:noWrap/>
            <w:vAlign w:val="center"/>
            <w:hideMark/>
          </w:tcPr>
          <w:p w14:paraId="237855AC" w14:textId="77777777" w:rsidR="00DC0F15" w:rsidRPr="00DC0F15" w:rsidRDefault="00DC0F15" w:rsidP="00EB54C1">
            <w:pPr>
              <w:spacing w:after="0" w:line="240" w:lineRule="auto"/>
              <w:ind w:left="-13" w:firstLine="13"/>
              <w:jc w:val="right"/>
              <w:rPr>
                <w:b/>
                <w:bCs/>
                <w:sz w:val="20"/>
                <w:szCs w:val="20"/>
                <w:lang w:eastAsia="sk-SK"/>
              </w:rPr>
            </w:pPr>
            <w:r w:rsidRPr="00DC0F15">
              <w:rPr>
                <w:b/>
                <w:bCs/>
                <w:sz w:val="20"/>
                <w:szCs w:val="20"/>
                <w:lang w:eastAsia="sk-SK"/>
              </w:rPr>
              <w:t>-0,001</w:t>
            </w:r>
          </w:p>
        </w:tc>
        <w:tc>
          <w:tcPr>
            <w:tcW w:w="1838" w:type="pct"/>
            <w:tcBorders>
              <w:top w:val="single" w:sz="4" w:space="0" w:color="auto"/>
              <w:left w:val="nil"/>
              <w:bottom w:val="nil"/>
              <w:right w:val="nil"/>
            </w:tcBorders>
            <w:shd w:val="clear" w:color="auto" w:fill="auto"/>
            <w:noWrap/>
            <w:vAlign w:val="bottom"/>
            <w:hideMark/>
          </w:tcPr>
          <w:p w14:paraId="5A7B6D17" w14:textId="77777777" w:rsidR="00DC0F15" w:rsidRPr="00DC0F15" w:rsidRDefault="00DC0F15" w:rsidP="003C5653">
            <w:pPr>
              <w:spacing w:after="0" w:line="240" w:lineRule="auto"/>
              <w:rPr>
                <w:b/>
                <w:bCs/>
                <w:color w:val="000000"/>
                <w:sz w:val="20"/>
                <w:szCs w:val="20"/>
                <w:lang w:eastAsia="sk-SK"/>
              </w:rPr>
            </w:pPr>
            <w:r w:rsidRPr="00DC0F15">
              <w:rPr>
                <w:b/>
                <w:bCs/>
                <w:color w:val="000000"/>
                <w:sz w:val="20"/>
                <w:szCs w:val="20"/>
                <w:lang w:eastAsia="sk-SK"/>
              </w:rPr>
              <w:t> </w:t>
            </w:r>
          </w:p>
        </w:tc>
      </w:tr>
      <w:tr w:rsidR="00DC0F15" w:rsidRPr="00DC0F15" w14:paraId="5F326FA5" w14:textId="77777777" w:rsidTr="00EB54C1">
        <w:trPr>
          <w:trHeight w:val="312"/>
        </w:trPr>
        <w:tc>
          <w:tcPr>
            <w:tcW w:w="2129" w:type="pct"/>
            <w:tcBorders>
              <w:top w:val="single" w:sz="4" w:space="0" w:color="auto"/>
              <w:left w:val="nil"/>
              <w:bottom w:val="single" w:sz="4" w:space="0" w:color="auto"/>
              <w:right w:val="nil"/>
            </w:tcBorders>
            <w:shd w:val="clear" w:color="auto" w:fill="auto"/>
            <w:noWrap/>
            <w:vAlign w:val="bottom"/>
            <w:hideMark/>
          </w:tcPr>
          <w:p w14:paraId="5CF0AF90" w14:textId="77777777" w:rsidR="00DC0F15" w:rsidRPr="00DC0F15" w:rsidRDefault="00DC0F15" w:rsidP="003C5653">
            <w:pPr>
              <w:spacing w:after="0" w:line="240" w:lineRule="auto"/>
              <w:rPr>
                <w:b/>
                <w:bCs/>
                <w:color w:val="000000"/>
                <w:sz w:val="20"/>
                <w:szCs w:val="20"/>
                <w:lang w:eastAsia="sk-SK"/>
              </w:rPr>
            </w:pPr>
            <w:r w:rsidRPr="00DC0F15">
              <w:rPr>
                <w:b/>
                <w:bCs/>
                <w:color w:val="000000"/>
                <w:sz w:val="20"/>
                <w:szCs w:val="20"/>
                <w:lang w:eastAsia="sk-SK"/>
              </w:rPr>
              <w:t>Maastrichtský dlh  VS - október 2023</w:t>
            </w:r>
          </w:p>
        </w:tc>
        <w:tc>
          <w:tcPr>
            <w:tcW w:w="681" w:type="pct"/>
            <w:tcBorders>
              <w:top w:val="nil"/>
              <w:left w:val="nil"/>
              <w:bottom w:val="single" w:sz="4" w:space="0" w:color="auto"/>
              <w:right w:val="nil"/>
            </w:tcBorders>
            <w:shd w:val="clear" w:color="auto" w:fill="auto"/>
            <w:noWrap/>
            <w:vAlign w:val="center"/>
            <w:hideMark/>
          </w:tcPr>
          <w:p w14:paraId="188C037A"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63 377 974</w:t>
            </w:r>
          </w:p>
        </w:tc>
        <w:tc>
          <w:tcPr>
            <w:tcW w:w="351" w:type="pct"/>
            <w:tcBorders>
              <w:top w:val="single" w:sz="4" w:space="0" w:color="auto"/>
              <w:left w:val="nil"/>
              <w:bottom w:val="single" w:sz="4" w:space="0" w:color="auto"/>
              <w:right w:val="nil"/>
            </w:tcBorders>
            <w:shd w:val="clear" w:color="auto" w:fill="auto"/>
            <w:noWrap/>
            <w:vAlign w:val="center"/>
            <w:hideMark/>
          </w:tcPr>
          <w:p w14:paraId="4E6E22D5" w14:textId="77777777" w:rsidR="00DC0F15" w:rsidRPr="00DC0F15" w:rsidRDefault="00DC0F15" w:rsidP="00EB54C1">
            <w:pPr>
              <w:spacing w:after="0" w:line="240" w:lineRule="auto"/>
              <w:ind w:left="-13" w:firstLine="13"/>
              <w:jc w:val="right"/>
              <w:rPr>
                <w:b/>
                <w:bCs/>
                <w:color w:val="000000"/>
                <w:sz w:val="20"/>
                <w:szCs w:val="20"/>
                <w:lang w:eastAsia="sk-SK"/>
              </w:rPr>
            </w:pPr>
            <w:r w:rsidRPr="00DC0F15">
              <w:rPr>
                <w:b/>
                <w:bCs/>
                <w:color w:val="000000"/>
                <w:sz w:val="20"/>
                <w:szCs w:val="20"/>
                <w:lang w:eastAsia="sk-SK"/>
              </w:rPr>
              <w:t>57,8</w:t>
            </w:r>
          </w:p>
        </w:tc>
        <w:tc>
          <w:tcPr>
            <w:tcW w:w="1838" w:type="pct"/>
            <w:tcBorders>
              <w:top w:val="single" w:sz="4" w:space="0" w:color="auto"/>
              <w:left w:val="nil"/>
              <w:bottom w:val="single" w:sz="4" w:space="0" w:color="auto"/>
              <w:right w:val="nil"/>
            </w:tcBorders>
            <w:shd w:val="clear" w:color="auto" w:fill="auto"/>
            <w:noWrap/>
            <w:vAlign w:val="bottom"/>
            <w:hideMark/>
          </w:tcPr>
          <w:p w14:paraId="723B121A" w14:textId="77777777" w:rsidR="00DC0F15" w:rsidRPr="00DC0F15" w:rsidRDefault="00DC0F15" w:rsidP="003C5653">
            <w:pPr>
              <w:spacing w:after="0" w:line="240" w:lineRule="auto"/>
              <w:rPr>
                <w:b/>
                <w:bCs/>
                <w:color w:val="000000"/>
                <w:sz w:val="20"/>
                <w:szCs w:val="20"/>
                <w:lang w:eastAsia="sk-SK"/>
              </w:rPr>
            </w:pPr>
            <w:r w:rsidRPr="00DC0F15">
              <w:rPr>
                <w:b/>
                <w:bCs/>
                <w:color w:val="000000"/>
                <w:sz w:val="20"/>
                <w:szCs w:val="20"/>
                <w:lang w:eastAsia="sk-SK"/>
              </w:rPr>
              <w:t> </w:t>
            </w:r>
          </w:p>
        </w:tc>
      </w:tr>
    </w:tbl>
    <w:p w14:paraId="2CF2050E" w14:textId="77777777" w:rsidR="00DC0F15" w:rsidRPr="00DC0F15" w:rsidRDefault="00DC0F15" w:rsidP="00DC0F15">
      <w:pPr>
        <w:widowControl w:val="0"/>
        <w:spacing w:after="0" w:line="240" w:lineRule="auto"/>
        <w:jc w:val="both"/>
        <w:rPr>
          <w:sz w:val="16"/>
          <w:szCs w:val="16"/>
          <w:lang w:eastAsia="sk-SK"/>
        </w:rPr>
      </w:pPr>
      <w:r w:rsidRPr="00DC0F15">
        <w:fldChar w:fldCharType="begin"/>
      </w:r>
      <w:r w:rsidRPr="00DC0F15">
        <w:instrText xml:space="preserve"> LINK Excel.Sheet.8 "\\\\mf.mfsr.sk\\DfsRoot\\ADRESARE\\OISS_313\\STATVERFIN\\SZU\\2021\\SVS\\SVS 2021_Tab schodku_19.9.2022.xls" "Úpravy schodku 2020 !R14C2" \a \f 4 \h  \* MERGEFORMAT </w:instrText>
      </w:r>
      <w:r w:rsidRPr="00DC0F15">
        <w:fldChar w:fldCharType="separate"/>
      </w:r>
      <w:r w:rsidRPr="00DC0F15">
        <w:rPr>
          <w:sz w:val="16"/>
          <w:szCs w:val="16"/>
          <w:lang w:eastAsia="sk-SK"/>
        </w:rPr>
        <w:t xml:space="preserve">1) Percento schodku z aprílovej notifikácie je vyčíslené v pomere k HDP notifikovanom v apríli 2023. </w:t>
      </w:r>
      <w:r w:rsidRPr="00DC0F15">
        <w:rPr>
          <w:sz w:val="16"/>
          <w:szCs w:val="16"/>
          <w:lang w:eastAsia="sk-SK"/>
        </w:rPr>
        <w:tab/>
      </w:r>
      <w:r w:rsidRPr="00DC0F15">
        <w:rPr>
          <w:sz w:val="16"/>
          <w:szCs w:val="16"/>
          <w:lang w:eastAsia="sk-SK"/>
        </w:rPr>
        <w:tab/>
        <w:t xml:space="preserve">               Zdroj: MF SR</w:t>
      </w:r>
    </w:p>
    <w:p w14:paraId="5BB8A414" w14:textId="77777777" w:rsidR="00DC0F15" w:rsidRPr="00DC0F15" w:rsidRDefault="00DC0F15" w:rsidP="00EB54C1">
      <w:pPr>
        <w:widowControl w:val="0"/>
        <w:spacing w:after="120" w:line="240" w:lineRule="auto"/>
        <w:jc w:val="both"/>
        <w:rPr>
          <w:rFonts w:ascii="Arial Narrow" w:hAnsi="Arial Narrow" w:cs="Arial Narrow"/>
          <w:szCs w:val="22"/>
        </w:rPr>
      </w:pPr>
      <w:r w:rsidRPr="00DC0F15">
        <w:rPr>
          <w:sz w:val="16"/>
          <w:szCs w:val="16"/>
          <w:lang w:eastAsia="sk-SK"/>
        </w:rPr>
        <w:t xml:space="preserve">    Ostatné percentá sa vyčíslujú v pomere k HDP notifikovanom v októbri 2023.                       </w:t>
      </w:r>
    </w:p>
    <w:p w14:paraId="7E798F6C" w14:textId="5E0B11F8" w:rsidR="00DC0F15" w:rsidRPr="00DC0F15" w:rsidRDefault="00DC0F15" w:rsidP="000B1F5C">
      <w:pPr>
        <w:spacing w:before="120" w:after="120" w:line="240" w:lineRule="auto"/>
        <w:contextualSpacing/>
        <w:jc w:val="both"/>
      </w:pPr>
      <w:r w:rsidRPr="00DC0F15">
        <w:fldChar w:fldCharType="end"/>
      </w:r>
      <w:r w:rsidRPr="00DC0F15">
        <w:t>Revízie v maastrichtskom dlhu sa udiali z dôvodu podania definitívnych výkazov za ostatné malé jednotky ústredné a miestne,  dopravný podnik Bratislava, a. s. a Jadrovú a vyraďovaciu spoločnosť, a. s. Tieto revízie spôsobili zníženie maastrichtského dlhu oproti jarnej notifikácii v súhrnnej výške o 808 tis. eur. Preradenie subjektov do sektora verejnej správy nezmenilo úroveň dlhu za rok 2022.</w:t>
      </w:r>
    </w:p>
    <w:tbl>
      <w:tblPr>
        <w:tblW w:w="9400" w:type="dxa"/>
        <w:tblCellMar>
          <w:left w:w="70" w:type="dxa"/>
          <w:right w:w="70" w:type="dxa"/>
        </w:tblCellMar>
        <w:tblLook w:val="04A0" w:firstRow="1" w:lastRow="0" w:firstColumn="1" w:lastColumn="0" w:noHBand="0" w:noVBand="1"/>
      </w:tblPr>
      <w:tblGrid>
        <w:gridCol w:w="1344"/>
        <w:gridCol w:w="964"/>
        <w:gridCol w:w="675"/>
        <w:gridCol w:w="675"/>
        <w:gridCol w:w="675"/>
        <w:gridCol w:w="675"/>
        <w:gridCol w:w="680"/>
        <w:gridCol w:w="701"/>
        <w:gridCol w:w="675"/>
        <w:gridCol w:w="19"/>
        <w:gridCol w:w="656"/>
        <w:gridCol w:w="19"/>
        <w:gridCol w:w="675"/>
        <w:gridCol w:w="76"/>
        <w:gridCol w:w="694"/>
        <w:gridCol w:w="197"/>
      </w:tblGrid>
      <w:tr w:rsidR="00A4725F" w:rsidRPr="002D2371" w14:paraId="12674D66" w14:textId="77777777" w:rsidTr="000B1F5C">
        <w:trPr>
          <w:trHeight w:val="454"/>
        </w:trPr>
        <w:tc>
          <w:tcPr>
            <w:tcW w:w="7083" w:type="dxa"/>
            <w:gridSpan w:val="10"/>
            <w:tcBorders>
              <w:left w:val="nil"/>
              <w:bottom w:val="single" w:sz="4" w:space="0" w:color="auto"/>
              <w:right w:val="nil"/>
            </w:tcBorders>
            <w:shd w:val="clear" w:color="auto" w:fill="auto"/>
            <w:noWrap/>
            <w:vAlign w:val="bottom"/>
            <w:hideMark/>
          </w:tcPr>
          <w:p w14:paraId="1C5A1174" w14:textId="679F18BC" w:rsidR="00A4725F" w:rsidRPr="002D2371" w:rsidRDefault="00CB776D" w:rsidP="000B1F5C">
            <w:pPr>
              <w:tabs>
                <w:tab w:val="left" w:pos="6871"/>
              </w:tabs>
              <w:spacing w:after="0" w:line="240" w:lineRule="auto"/>
              <w:ind w:right="66"/>
              <w:rPr>
                <w:b/>
                <w:bCs/>
                <w:color w:val="4F81BD"/>
                <w:sz w:val="20"/>
                <w:szCs w:val="20"/>
                <w:lang w:eastAsia="sk-SK"/>
              </w:rPr>
            </w:pPr>
            <w:r w:rsidRPr="002D2371">
              <w:rPr>
                <w:b/>
                <w:bCs/>
                <w:color w:val="4F81BD"/>
                <w:sz w:val="20"/>
                <w:szCs w:val="20"/>
                <w:lang w:eastAsia="sk-SK"/>
              </w:rPr>
              <w:t>Tabuľka 3</w:t>
            </w:r>
            <w:r w:rsidR="00A4725F" w:rsidRPr="002D2371">
              <w:rPr>
                <w:b/>
                <w:bCs/>
                <w:color w:val="4F81BD"/>
                <w:sz w:val="20"/>
                <w:szCs w:val="20"/>
                <w:lang w:eastAsia="sk-SK"/>
              </w:rPr>
              <w:t xml:space="preserve"> </w:t>
            </w:r>
            <w:r w:rsidR="00A4725F" w:rsidRPr="002D2371">
              <w:rPr>
                <w:bCs/>
                <w:color w:val="4F81BD"/>
                <w:sz w:val="20"/>
                <w:szCs w:val="20"/>
                <w:lang w:eastAsia="sk-SK"/>
              </w:rPr>
              <w:t>-</w:t>
            </w:r>
            <w:r w:rsidR="00A4725F" w:rsidRPr="002D2371">
              <w:rPr>
                <w:b/>
                <w:bCs/>
                <w:color w:val="4F81BD"/>
                <w:sz w:val="20"/>
                <w:szCs w:val="20"/>
                <w:lang w:eastAsia="sk-SK"/>
              </w:rPr>
              <w:t xml:space="preserve"> Vývoj schodku a dlhu sektora verejnej správy v období 10 rokov</w:t>
            </w:r>
          </w:p>
        </w:tc>
        <w:tc>
          <w:tcPr>
            <w:tcW w:w="675" w:type="dxa"/>
            <w:gridSpan w:val="2"/>
            <w:tcBorders>
              <w:left w:val="nil"/>
              <w:bottom w:val="single" w:sz="4" w:space="0" w:color="auto"/>
              <w:right w:val="nil"/>
            </w:tcBorders>
            <w:shd w:val="clear" w:color="auto" w:fill="auto"/>
            <w:noWrap/>
            <w:vAlign w:val="bottom"/>
            <w:hideMark/>
          </w:tcPr>
          <w:p w14:paraId="465C60D0" w14:textId="77777777" w:rsidR="00A4725F" w:rsidRPr="002D2371" w:rsidRDefault="00A4725F" w:rsidP="005D6D25">
            <w:pPr>
              <w:spacing w:after="0" w:line="240" w:lineRule="auto"/>
              <w:rPr>
                <w:rFonts w:ascii="Calibri" w:hAnsi="Calibri"/>
                <w:color w:val="5B9BD5"/>
                <w:sz w:val="20"/>
                <w:szCs w:val="20"/>
                <w:lang w:eastAsia="sk-SK"/>
              </w:rPr>
            </w:pPr>
            <w:r w:rsidRPr="002D2371">
              <w:rPr>
                <w:rFonts w:ascii="Calibri" w:hAnsi="Calibri"/>
                <w:color w:val="5B9BD5"/>
                <w:sz w:val="20"/>
                <w:szCs w:val="20"/>
                <w:lang w:eastAsia="sk-SK"/>
              </w:rPr>
              <w:t> </w:t>
            </w:r>
          </w:p>
        </w:tc>
        <w:tc>
          <w:tcPr>
            <w:tcW w:w="675" w:type="dxa"/>
            <w:tcBorders>
              <w:left w:val="nil"/>
              <w:bottom w:val="single" w:sz="4" w:space="0" w:color="auto"/>
              <w:right w:val="nil"/>
            </w:tcBorders>
            <w:shd w:val="clear" w:color="auto" w:fill="auto"/>
            <w:noWrap/>
            <w:vAlign w:val="bottom"/>
            <w:hideMark/>
          </w:tcPr>
          <w:p w14:paraId="60FAE4F3" w14:textId="77777777" w:rsidR="00A4725F" w:rsidRPr="002D2371" w:rsidRDefault="00A4725F" w:rsidP="005D6D25">
            <w:pPr>
              <w:spacing w:after="0" w:line="240" w:lineRule="auto"/>
              <w:rPr>
                <w:rFonts w:ascii="Calibri" w:hAnsi="Calibri"/>
                <w:color w:val="5B9BD5"/>
                <w:sz w:val="20"/>
                <w:szCs w:val="20"/>
                <w:lang w:eastAsia="sk-SK"/>
              </w:rPr>
            </w:pPr>
            <w:r w:rsidRPr="002D2371">
              <w:rPr>
                <w:rFonts w:ascii="Calibri" w:hAnsi="Calibri"/>
                <w:color w:val="5B9BD5"/>
                <w:sz w:val="20"/>
                <w:szCs w:val="20"/>
                <w:lang w:eastAsia="sk-SK"/>
              </w:rPr>
              <w:t> </w:t>
            </w:r>
          </w:p>
        </w:tc>
        <w:tc>
          <w:tcPr>
            <w:tcW w:w="770" w:type="dxa"/>
            <w:gridSpan w:val="2"/>
            <w:tcBorders>
              <w:left w:val="nil"/>
              <w:bottom w:val="single" w:sz="4" w:space="0" w:color="auto"/>
              <w:right w:val="nil"/>
            </w:tcBorders>
            <w:shd w:val="clear" w:color="auto" w:fill="auto"/>
            <w:noWrap/>
            <w:vAlign w:val="bottom"/>
            <w:hideMark/>
          </w:tcPr>
          <w:p w14:paraId="142E32DE" w14:textId="77777777" w:rsidR="00A4725F" w:rsidRPr="002D2371" w:rsidRDefault="00A4725F" w:rsidP="005D6D25">
            <w:pPr>
              <w:spacing w:after="0" w:line="240" w:lineRule="auto"/>
              <w:rPr>
                <w:rFonts w:ascii="Calibri" w:hAnsi="Calibri"/>
                <w:color w:val="5B9BD5"/>
                <w:sz w:val="20"/>
                <w:szCs w:val="20"/>
                <w:lang w:eastAsia="sk-SK"/>
              </w:rPr>
            </w:pPr>
            <w:r w:rsidRPr="002D2371">
              <w:rPr>
                <w:rFonts w:ascii="Calibri" w:hAnsi="Calibri"/>
                <w:color w:val="5B9BD5"/>
                <w:sz w:val="20"/>
                <w:szCs w:val="20"/>
                <w:lang w:eastAsia="sk-SK"/>
              </w:rPr>
              <w:t> </w:t>
            </w:r>
          </w:p>
        </w:tc>
        <w:tc>
          <w:tcPr>
            <w:tcW w:w="197" w:type="dxa"/>
            <w:tcBorders>
              <w:left w:val="nil"/>
              <w:bottom w:val="single" w:sz="4" w:space="0" w:color="auto"/>
              <w:right w:val="nil"/>
            </w:tcBorders>
            <w:shd w:val="clear" w:color="auto" w:fill="auto"/>
            <w:noWrap/>
            <w:vAlign w:val="bottom"/>
            <w:hideMark/>
          </w:tcPr>
          <w:p w14:paraId="4B623A67" w14:textId="77777777" w:rsidR="00A4725F" w:rsidRPr="002D2371" w:rsidRDefault="00A4725F" w:rsidP="005D6D25">
            <w:pPr>
              <w:spacing w:after="0" w:line="240" w:lineRule="auto"/>
              <w:jc w:val="right"/>
              <w:rPr>
                <w:b/>
                <w:bCs/>
                <w:color w:val="5B9BD5"/>
                <w:sz w:val="20"/>
                <w:szCs w:val="20"/>
                <w:lang w:eastAsia="sk-SK"/>
              </w:rPr>
            </w:pPr>
            <w:r w:rsidRPr="002D2371">
              <w:rPr>
                <w:b/>
                <w:bCs/>
                <w:color w:val="5B9BD5"/>
                <w:sz w:val="20"/>
                <w:szCs w:val="20"/>
                <w:lang w:eastAsia="sk-SK"/>
              </w:rPr>
              <w:t> </w:t>
            </w:r>
          </w:p>
        </w:tc>
      </w:tr>
      <w:tr w:rsidR="00CF4FFE" w:rsidRPr="002D2371" w14:paraId="45058F6A" w14:textId="77777777" w:rsidTr="00CF4FFE">
        <w:trPr>
          <w:trHeight w:val="201"/>
        </w:trPr>
        <w:tc>
          <w:tcPr>
            <w:tcW w:w="1344" w:type="dxa"/>
            <w:vMerge w:val="restart"/>
            <w:tcBorders>
              <w:top w:val="single" w:sz="4" w:space="0" w:color="auto"/>
              <w:left w:val="nil"/>
              <w:bottom w:val="single" w:sz="4" w:space="0" w:color="000000"/>
              <w:right w:val="nil"/>
            </w:tcBorders>
            <w:shd w:val="clear" w:color="auto" w:fill="auto"/>
            <w:noWrap/>
            <w:vAlign w:val="bottom"/>
            <w:hideMark/>
          </w:tcPr>
          <w:p w14:paraId="2010FC93" w14:textId="77777777" w:rsidR="00CF4FFE" w:rsidRPr="002D2371" w:rsidRDefault="00CF4FFE" w:rsidP="00CF4FFE">
            <w:pPr>
              <w:spacing w:after="0" w:line="240" w:lineRule="auto"/>
              <w:jc w:val="center"/>
              <w:rPr>
                <w:b/>
                <w:bCs/>
                <w:color w:val="000000"/>
                <w:sz w:val="18"/>
                <w:szCs w:val="18"/>
                <w:lang w:eastAsia="sk-SK"/>
              </w:rPr>
            </w:pPr>
            <w:r w:rsidRPr="002D2371">
              <w:rPr>
                <w:b/>
                <w:bCs/>
                <w:color w:val="000000"/>
                <w:sz w:val="18"/>
                <w:szCs w:val="18"/>
                <w:lang w:eastAsia="sk-SK"/>
              </w:rPr>
              <w:t>Ukazovateľ</w:t>
            </w:r>
          </w:p>
        </w:tc>
        <w:tc>
          <w:tcPr>
            <w:tcW w:w="964" w:type="dxa"/>
            <w:tcBorders>
              <w:top w:val="single" w:sz="4" w:space="0" w:color="auto"/>
              <w:left w:val="nil"/>
              <w:bottom w:val="nil"/>
              <w:right w:val="nil"/>
            </w:tcBorders>
            <w:shd w:val="clear" w:color="auto" w:fill="auto"/>
            <w:noWrap/>
            <w:vAlign w:val="bottom"/>
            <w:hideMark/>
          </w:tcPr>
          <w:p w14:paraId="46B667EC" w14:textId="77777777" w:rsidR="00CF4FFE" w:rsidRPr="002D2371" w:rsidRDefault="00CF4FFE" w:rsidP="00CF4FFE">
            <w:pPr>
              <w:spacing w:after="0" w:line="240" w:lineRule="auto"/>
              <w:rPr>
                <w:rFonts w:ascii="Calibri" w:hAnsi="Calibri"/>
                <w:color w:val="000000"/>
                <w:sz w:val="18"/>
                <w:szCs w:val="18"/>
                <w:lang w:eastAsia="sk-SK"/>
              </w:rPr>
            </w:pPr>
            <w:r w:rsidRPr="002D2371">
              <w:rPr>
                <w:rFonts w:ascii="Calibri" w:hAnsi="Calibri"/>
                <w:color w:val="000000"/>
                <w:sz w:val="18"/>
                <w:szCs w:val="18"/>
                <w:lang w:eastAsia="sk-SK"/>
              </w:rPr>
              <w:t> </w:t>
            </w:r>
          </w:p>
        </w:tc>
        <w:tc>
          <w:tcPr>
            <w:tcW w:w="7092" w:type="dxa"/>
            <w:gridSpan w:val="14"/>
            <w:tcBorders>
              <w:top w:val="single" w:sz="4" w:space="0" w:color="auto"/>
              <w:left w:val="nil"/>
              <w:bottom w:val="nil"/>
              <w:right w:val="nil"/>
            </w:tcBorders>
            <w:shd w:val="clear" w:color="auto" w:fill="auto"/>
            <w:noWrap/>
            <w:vAlign w:val="bottom"/>
            <w:hideMark/>
          </w:tcPr>
          <w:p w14:paraId="2B71BA51" w14:textId="462D29CE" w:rsidR="00CF4FFE" w:rsidRPr="002D2371" w:rsidRDefault="00775AA9" w:rsidP="00775AA9">
            <w:pPr>
              <w:spacing w:after="0" w:line="240" w:lineRule="auto"/>
              <w:jc w:val="center"/>
              <w:rPr>
                <w:b/>
                <w:bCs/>
                <w:color w:val="000000"/>
                <w:sz w:val="18"/>
                <w:szCs w:val="18"/>
                <w:lang w:eastAsia="sk-SK"/>
              </w:rPr>
            </w:pPr>
            <w:r w:rsidRPr="002D2371">
              <w:rPr>
                <w:b/>
                <w:bCs/>
                <w:color w:val="000000"/>
                <w:sz w:val="18"/>
                <w:szCs w:val="18"/>
                <w:lang w:eastAsia="sk-SK"/>
              </w:rPr>
              <w:t xml:space="preserve">Rok / </w:t>
            </w:r>
            <w:r w:rsidR="00CF4FFE" w:rsidRPr="002D2371">
              <w:rPr>
                <w:b/>
                <w:bCs/>
                <w:color w:val="000000"/>
                <w:sz w:val="18"/>
                <w:szCs w:val="18"/>
                <w:lang w:eastAsia="sk-SK"/>
              </w:rPr>
              <w:t>Skutočnosť</w:t>
            </w:r>
          </w:p>
        </w:tc>
      </w:tr>
      <w:tr w:rsidR="002D2371" w:rsidRPr="002D2371" w14:paraId="77823F8C" w14:textId="77777777" w:rsidTr="00DC6F21">
        <w:trPr>
          <w:trHeight w:val="357"/>
        </w:trPr>
        <w:tc>
          <w:tcPr>
            <w:tcW w:w="1344" w:type="dxa"/>
            <w:vMerge/>
            <w:tcBorders>
              <w:top w:val="nil"/>
              <w:left w:val="nil"/>
              <w:bottom w:val="single" w:sz="4" w:space="0" w:color="000000"/>
              <w:right w:val="nil"/>
            </w:tcBorders>
            <w:vAlign w:val="center"/>
            <w:hideMark/>
          </w:tcPr>
          <w:p w14:paraId="015BB51F" w14:textId="77777777" w:rsidR="002D2371" w:rsidRPr="002D2371" w:rsidRDefault="002D2371" w:rsidP="002D2371">
            <w:pPr>
              <w:spacing w:after="0" w:line="240" w:lineRule="auto"/>
              <w:rPr>
                <w:b/>
                <w:bCs/>
                <w:color w:val="000000"/>
                <w:sz w:val="18"/>
                <w:szCs w:val="18"/>
                <w:lang w:eastAsia="sk-SK"/>
              </w:rPr>
            </w:pPr>
          </w:p>
        </w:tc>
        <w:tc>
          <w:tcPr>
            <w:tcW w:w="964" w:type="dxa"/>
            <w:tcBorders>
              <w:top w:val="nil"/>
              <w:left w:val="nil"/>
              <w:bottom w:val="single" w:sz="4" w:space="0" w:color="auto"/>
              <w:right w:val="nil"/>
            </w:tcBorders>
            <w:shd w:val="clear" w:color="auto" w:fill="auto"/>
            <w:vAlign w:val="bottom"/>
            <w:hideMark/>
          </w:tcPr>
          <w:p w14:paraId="3640110C"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 </w:t>
            </w:r>
          </w:p>
        </w:tc>
        <w:tc>
          <w:tcPr>
            <w:tcW w:w="675" w:type="dxa"/>
            <w:tcBorders>
              <w:top w:val="nil"/>
              <w:left w:val="nil"/>
              <w:bottom w:val="single" w:sz="4" w:space="0" w:color="auto"/>
              <w:right w:val="nil"/>
            </w:tcBorders>
            <w:shd w:val="clear" w:color="auto" w:fill="auto"/>
            <w:vAlign w:val="bottom"/>
            <w:hideMark/>
          </w:tcPr>
          <w:p w14:paraId="2E445B6B" w14:textId="61E445D8"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2013</w:t>
            </w:r>
          </w:p>
        </w:tc>
        <w:tc>
          <w:tcPr>
            <w:tcW w:w="675" w:type="dxa"/>
            <w:tcBorders>
              <w:top w:val="nil"/>
              <w:left w:val="nil"/>
              <w:bottom w:val="single" w:sz="4" w:space="0" w:color="auto"/>
              <w:right w:val="nil"/>
            </w:tcBorders>
            <w:shd w:val="clear" w:color="auto" w:fill="auto"/>
            <w:vAlign w:val="bottom"/>
            <w:hideMark/>
          </w:tcPr>
          <w:p w14:paraId="0F73D8FD" w14:textId="13FD73F4"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2014</w:t>
            </w:r>
          </w:p>
        </w:tc>
        <w:tc>
          <w:tcPr>
            <w:tcW w:w="675" w:type="dxa"/>
            <w:tcBorders>
              <w:top w:val="nil"/>
              <w:left w:val="nil"/>
              <w:bottom w:val="single" w:sz="4" w:space="0" w:color="auto"/>
              <w:right w:val="nil"/>
            </w:tcBorders>
            <w:shd w:val="clear" w:color="auto" w:fill="auto"/>
            <w:vAlign w:val="bottom"/>
            <w:hideMark/>
          </w:tcPr>
          <w:p w14:paraId="6A580F77" w14:textId="6AA47C2B"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2015</w:t>
            </w:r>
          </w:p>
        </w:tc>
        <w:tc>
          <w:tcPr>
            <w:tcW w:w="675" w:type="dxa"/>
            <w:tcBorders>
              <w:top w:val="nil"/>
              <w:left w:val="nil"/>
              <w:bottom w:val="single" w:sz="4" w:space="0" w:color="auto"/>
              <w:right w:val="nil"/>
            </w:tcBorders>
            <w:shd w:val="clear" w:color="auto" w:fill="auto"/>
            <w:vAlign w:val="bottom"/>
            <w:hideMark/>
          </w:tcPr>
          <w:p w14:paraId="4F5632DA" w14:textId="01FBE19B"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2016</w:t>
            </w:r>
          </w:p>
        </w:tc>
        <w:tc>
          <w:tcPr>
            <w:tcW w:w="680" w:type="dxa"/>
            <w:tcBorders>
              <w:top w:val="nil"/>
              <w:left w:val="nil"/>
              <w:bottom w:val="single" w:sz="4" w:space="0" w:color="auto"/>
              <w:right w:val="nil"/>
            </w:tcBorders>
            <w:shd w:val="clear" w:color="auto" w:fill="auto"/>
            <w:vAlign w:val="bottom"/>
            <w:hideMark/>
          </w:tcPr>
          <w:p w14:paraId="38E9C13E" w14:textId="2E7D7BBF"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2017</w:t>
            </w:r>
          </w:p>
        </w:tc>
        <w:tc>
          <w:tcPr>
            <w:tcW w:w="701" w:type="dxa"/>
            <w:tcBorders>
              <w:top w:val="nil"/>
              <w:left w:val="nil"/>
              <w:bottom w:val="single" w:sz="4" w:space="0" w:color="auto"/>
              <w:right w:val="nil"/>
            </w:tcBorders>
            <w:shd w:val="clear" w:color="auto" w:fill="auto"/>
            <w:noWrap/>
            <w:vAlign w:val="bottom"/>
            <w:hideMark/>
          </w:tcPr>
          <w:p w14:paraId="7AA73E83" w14:textId="0B0F23A2"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2018</w:t>
            </w:r>
          </w:p>
        </w:tc>
        <w:tc>
          <w:tcPr>
            <w:tcW w:w="675" w:type="dxa"/>
            <w:tcBorders>
              <w:top w:val="nil"/>
              <w:left w:val="nil"/>
              <w:bottom w:val="single" w:sz="4" w:space="0" w:color="auto"/>
              <w:right w:val="nil"/>
            </w:tcBorders>
            <w:shd w:val="clear" w:color="auto" w:fill="auto"/>
            <w:noWrap/>
            <w:vAlign w:val="bottom"/>
            <w:hideMark/>
          </w:tcPr>
          <w:p w14:paraId="7D16235E" w14:textId="6DD38FE2"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2019</w:t>
            </w:r>
          </w:p>
        </w:tc>
        <w:tc>
          <w:tcPr>
            <w:tcW w:w="675" w:type="dxa"/>
            <w:gridSpan w:val="2"/>
            <w:tcBorders>
              <w:top w:val="nil"/>
              <w:left w:val="nil"/>
              <w:bottom w:val="single" w:sz="4" w:space="0" w:color="auto"/>
              <w:right w:val="nil"/>
            </w:tcBorders>
            <w:shd w:val="clear" w:color="auto" w:fill="auto"/>
            <w:noWrap/>
            <w:vAlign w:val="bottom"/>
            <w:hideMark/>
          </w:tcPr>
          <w:p w14:paraId="5557D00C" w14:textId="0A5D2AB5"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2020</w:t>
            </w:r>
          </w:p>
        </w:tc>
        <w:tc>
          <w:tcPr>
            <w:tcW w:w="770" w:type="dxa"/>
            <w:gridSpan w:val="3"/>
            <w:tcBorders>
              <w:top w:val="nil"/>
              <w:left w:val="nil"/>
              <w:bottom w:val="single" w:sz="4" w:space="0" w:color="auto"/>
              <w:right w:val="nil"/>
            </w:tcBorders>
            <w:shd w:val="clear" w:color="auto" w:fill="auto"/>
            <w:noWrap/>
            <w:vAlign w:val="bottom"/>
            <w:hideMark/>
          </w:tcPr>
          <w:p w14:paraId="24D542CA" w14:textId="245D5AB8"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2021</w:t>
            </w:r>
          </w:p>
        </w:tc>
        <w:tc>
          <w:tcPr>
            <w:tcW w:w="891" w:type="dxa"/>
            <w:gridSpan w:val="2"/>
            <w:tcBorders>
              <w:top w:val="nil"/>
              <w:left w:val="nil"/>
              <w:bottom w:val="single" w:sz="4" w:space="0" w:color="auto"/>
              <w:right w:val="nil"/>
            </w:tcBorders>
            <w:shd w:val="clear" w:color="auto" w:fill="auto"/>
            <w:noWrap/>
            <w:vAlign w:val="bottom"/>
            <w:hideMark/>
          </w:tcPr>
          <w:p w14:paraId="246FFE79" w14:textId="130A05E2" w:rsidR="002D2371" w:rsidRPr="002D2371" w:rsidRDefault="002D2371" w:rsidP="002D2371">
            <w:pPr>
              <w:spacing w:after="0" w:line="240" w:lineRule="auto"/>
              <w:jc w:val="center"/>
              <w:rPr>
                <w:b/>
                <w:bCs/>
                <w:color w:val="000000"/>
                <w:sz w:val="18"/>
                <w:szCs w:val="18"/>
                <w:lang w:eastAsia="sk-SK"/>
              </w:rPr>
            </w:pPr>
            <w:r w:rsidRPr="002D2371">
              <w:rPr>
                <w:b/>
                <w:bCs/>
                <w:color w:val="000000"/>
                <w:sz w:val="18"/>
                <w:szCs w:val="18"/>
              </w:rPr>
              <w:t>2022</w:t>
            </w:r>
          </w:p>
        </w:tc>
      </w:tr>
      <w:tr w:rsidR="002D2371" w:rsidRPr="002D2371" w14:paraId="5BDD0ABF" w14:textId="77777777" w:rsidTr="00DC6F21">
        <w:trPr>
          <w:trHeight w:val="340"/>
        </w:trPr>
        <w:tc>
          <w:tcPr>
            <w:tcW w:w="1344" w:type="dxa"/>
            <w:vMerge w:val="restart"/>
            <w:tcBorders>
              <w:top w:val="nil"/>
              <w:left w:val="nil"/>
              <w:bottom w:val="nil"/>
              <w:right w:val="nil"/>
            </w:tcBorders>
            <w:shd w:val="clear" w:color="auto" w:fill="auto"/>
            <w:noWrap/>
            <w:vAlign w:val="center"/>
            <w:hideMark/>
          </w:tcPr>
          <w:p w14:paraId="5ACCC4A9" w14:textId="77777777" w:rsidR="002D2371" w:rsidRPr="002D2371" w:rsidRDefault="002D2371" w:rsidP="002D2371">
            <w:pPr>
              <w:spacing w:after="0" w:line="240" w:lineRule="auto"/>
              <w:rPr>
                <w:b/>
                <w:bCs/>
                <w:color w:val="000000"/>
                <w:sz w:val="18"/>
                <w:szCs w:val="18"/>
                <w:lang w:eastAsia="sk-SK"/>
              </w:rPr>
            </w:pPr>
            <w:r w:rsidRPr="002D2371">
              <w:rPr>
                <w:b/>
                <w:bCs/>
                <w:color w:val="000000"/>
                <w:sz w:val="18"/>
                <w:szCs w:val="18"/>
                <w:lang w:eastAsia="sk-SK"/>
              </w:rPr>
              <w:t>ESA schodok</w:t>
            </w:r>
          </w:p>
        </w:tc>
        <w:tc>
          <w:tcPr>
            <w:tcW w:w="964" w:type="dxa"/>
            <w:tcBorders>
              <w:top w:val="nil"/>
              <w:left w:val="nil"/>
              <w:bottom w:val="nil"/>
              <w:right w:val="nil"/>
            </w:tcBorders>
            <w:shd w:val="clear" w:color="auto" w:fill="auto"/>
            <w:noWrap/>
            <w:vAlign w:val="bottom"/>
            <w:hideMark/>
          </w:tcPr>
          <w:p w14:paraId="7CA16953"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mil. EUR</w:t>
            </w:r>
          </w:p>
        </w:tc>
        <w:tc>
          <w:tcPr>
            <w:tcW w:w="675" w:type="dxa"/>
            <w:tcBorders>
              <w:top w:val="nil"/>
              <w:left w:val="nil"/>
              <w:bottom w:val="nil"/>
              <w:right w:val="nil"/>
            </w:tcBorders>
            <w:shd w:val="clear" w:color="auto" w:fill="auto"/>
            <w:noWrap/>
            <w:vAlign w:val="bottom"/>
            <w:hideMark/>
          </w:tcPr>
          <w:p w14:paraId="12CBDD54" w14:textId="7C360A7D"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-2 144</w:t>
            </w:r>
          </w:p>
        </w:tc>
        <w:tc>
          <w:tcPr>
            <w:tcW w:w="675" w:type="dxa"/>
            <w:tcBorders>
              <w:top w:val="nil"/>
              <w:left w:val="nil"/>
              <w:bottom w:val="nil"/>
              <w:right w:val="nil"/>
            </w:tcBorders>
            <w:shd w:val="clear" w:color="auto" w:fill="auto"/>
            <w:noWrap/>
            <w:vAlign w:val="bottom"/>
            <w:hideMark/>
          </w:tcPr>
          <w:p w14:paraId="31F6976A" w14:textId="0D34992D"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-2 370</w:t>
            </w:r>
          </w:p>
        </w:tc>
        <w:tc>
          <w:tcPr>
            <w:tcW w:w="675" w:type="dxa"/>
            <w:tcBorders>
              <w:top w:val="nil"/>
              <w:left w:val="nil"/>
              <w:bottom w:val="nil"/>
              <w:right w:val="nil"/>
            </w:tcBorders>
            <w:shd w:val="clear" w:color="auto" w:fill="auto"/>
            <w:noWrap/>
            <w:vAlign w:val="bottom"/>
            <w:hideMark/>
          </w:tcPr>
          <w:p w14:paraId="5C1B8450" w14:textId="2FBC2D62"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-2 135</w:t>
            </w:r>
          </w:p>
        </w:tc>
        <w:tc>
          <w:tcPr>
            <w:tcW w:w="675" w:type="dxa"/>
            <w:tcBorders>
              <w:top w:val="nil"/>
              <w:left w:val="nil"/>
              <w:bottom w:val="nil"/>
              <w:right w:val="nil"/>
            </w:tcBorders>
            <w:shd w:val="clear" w:color="auto" w:fill="auto"/>
            <w:noWrap/>
            <w:vAlign w:val="bottom"/>
            <w:hideMark/>
          </w:tcPr>
          <w:p w14:paraId="26AFE3DB" w14:textId="04F1404A"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-2 092</w:t>
            </w:r>
          </w:p>
        </w:tc>
        <w:tc>
          <w:tcPr>
            <w:tcW w:w="680" w:type="dxa"/>
            <w:tcBorders>
              <w:top w:val="nil"/>
              <w:left w:val="nil"/>
              <w:bottom w:val="nil"/>
              <w:right w:val="nil"/>
            </w:tcBorders>
            <w:shd w:val="clear" w:color="auto" w:fill="auto"/>
            <w:noWrap/>
            <w:vAlign w:val="bottom"/>
            <w:hideMark/>
          </w:tcPr>
          <w:p w14:paraId="44C50686" w14:textId="36247717"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-829</w:t>
            </w:r>
          </w:p>
        </w:tc>
        <w:tc>
          <w:tcPr>
            <w:tcW w:w="701" w:type="dxa"/>
            <w:tcBorders>
              <w:top w:val="nil"/>
              <w:left w:val="nil"/>
              <w:bottom w:val="nil"/>
              <w:right w:val="nil"/>
            </w:tcBorders>
            <w:shd w:val="clear" w:color="auto" w:fill="auto"/>
            <w:noWrap/>
            <w:vAlign w:val="bottom"/>
            <w:hideMark/>
          </w:tcPr>
          <w:p w14:paraId="559824D6" w14:textId="105A56A5" w:rsidR="002D2371" w:rsidRPr="002D2371" w:rsidRDefault="002D2371" w:rsidP="002D2371">
            <w:pPr>
              <w:spacing w:after="0" w:line="240" w:lineRule="auto"/>
              <w:jc w:val="right"/>
              <w:rPr>
                <w:color w:val="000000"/>
                <w:sz w:val="18"/>
                <w:szCs w:val="18"/>
                <w:lang w:eastAsia="sk-SK"/>
              </w:rPr>
            </w:pPr>
            <w:r w:rsidRPr="002D2371">
              <w:rPr>
                <w:sz w:val="18"/>
                <w:szCs w:val="18"/>
              </w:rPr>
              <w:t>-909</w:t>
            </w:r>
          </w:p>
        </w:tc>
        <w:tc>
          <w:tcPr>
            <w:tcW w:w="675" w:type="dxa"/>
            <w:tcBorders>
              <w:top w:val="nil"/>
              <w:left w:val="nil"/>
              <w:bottom w:val="nil"/>
              <w:right w:val="nil"/>
            </w:tcBorders>
            <w:shd w:val="clear" w:color="auto" w:fill="auto"/>
            <w:noWrap/>
            <w:vAlign w:val="bottom"/>
            <w:hideMark/>
          </w:tcPr>
          <w:p w14:paraId="48C9FDA2" w14:textId="38CA93FC" w:rsidR="002D2371" w:rsidRPr="002D2371" w:rsidRDefault="002D2371" w:rsidP="002D2371">
            <w:pPr>
              <w:spacing w:after="0" w:line="240" w:lineRule="auto"/>
              <w:jc w:val="right"/>
              <w:rPr>
                <w:sz w:val="18"/>
                <w:szCs w:val="18"/>
                <w:lang w:eastAsia="sk-SK"/>
              </w:rPr>
            </w:pPr>
            <w:r w:rsidRPr="002D2371">
              <w:rPr>
                <w:sz w:val="18"/>
                <w:szCs w:val="18"/>
              </w:rPr>
              <w:t>-1 140</w:t>
            </w:r>
          </w:p>
        </w:tc>
        <w:tc>
          <w:tcPr>
            <w:tcW w:w="675" w:type="dxa"/>
            <w:gridSpan w:val="2"/>
            <w:tcBorders>
              <w:top w:val="nil"/>
              <w:left w:val="nil"/>
              <w:bottom w:val="nil"/>
              <w:right w:val="nil"/>
            </w:tcBorders>
            <w:shd w:val="clear" w:color="auto" w:fill="auto"/>
            <w:noWrap/>
            <w:vAlign w:val="bottom"/>
            <w:hideMark/>
          </w:tcPr>
          <w:p w14:paraId="08140C2B" w14:textId="4EC38547" w:rsidR="002D2371" w:rsidRPr="002D2371" w:rsidRDefault="002D2371" w:rsidP="002D2371">
            <w:pPr>
              <w:spacing w:after="0" w:line="240" w:lineRule="auto"/>
              <w:jc w:val="right"/>
              <w:rPr>
                <w:sz w:val="18"/>
                <w:szCs w:val="18"/>
                <w:lang w:eastAsia="sk-SK"/>
              </w:rPr>
            </w:pPr>
            <w:r w:rsidRPr="002D2371">
              <w:rPr>
                <w:sz w:val="18"/>
                <w:szCs w:val="18"/>
              </w:rPr>
              <w:t>-4 999</w:t>
            </w:r>
          </w:p>
        </w:tc>
        <w:tc>
          <w:tcPr>
            <w:tcW w:w="770" w:type="dxa"/>
            <w:gridSpan w:val="3"/>
            <w:tcBorders>
              <w:top w:val="nil"/>
              <w:left w:val="nil"/>
              <w:bottom w:val="nil"/>
              <w:right w:val="nil"/>
            </w:tcBorders>
            <w:shd w:val="clear" w:color="auto" w:fill="auto"/>
            <w:noWrap/>
            <w:vAlign w:val="bottom"/>
            <w:hideMark/>
          </w:tcPr>
          <w:p w14:paraId="042378B5" w14:textId="5E42C83E" w:rsidR="002D2371" w:rsidRPr="002D2371" w:rsidRDefault="002D2371" w:rsidP="002D2371">
            <w:pPr>
              <w:spacing w:after="0" w:line="240" w:lineRule="auto"/>
              <w:jc w:val="right"/>
              <w:rPr>
                <w:sz w:val="18"/>
                <w:szCs w:val="18"/>
                <w:lang w:eastAsia="sk-SK"/>
              </w:rPr>
            </w:pPr>
            <w:r w:rsidRPr="002D2371">
              <w:rPr>
                <w:sz w:val="18"/>
                <w:szCs w:val="18"/>
              </w:rPr>
              <w:t>-5 195</w:t>
            </w:r>
          </w:p>
        </w:tc>
        <w:tc>
          <w:tcPr>
            <w:tcW w:w="891" w:type="dxa"/>
            <w:gridSpan w:val="2"/>
            <w:tcBorders>
              <w:top w:val="nil"/>
              <w:left w:val="nil"/>
              <w:bottom w:val="nil"/>
              <w:right w:val="nil"/>
            </w:tcBorders>
            <w:shd w:val="clear" w:color="auto" w:fill="auto"/>
            <w:noWrap/>
            <w:vAlign w:val="bottom"/>
            <w:hideMark/>
          </w:tcPr>
          <w:p w14:paraId="5FDA7C3D" w14:textId="44AE90C8" w:rsidR="002D2371" w:rsidRPr="002D2371" w:rsidRDefault="002D2371" w:rsidP="002D2371">
            <w:pPr>
              <w:spacing w:after="0" w:line="240" w:lineRule="auto"/>
              <w:jc w:val="right"/>
              <w:rPr>
                <w:sz w:val="18"/>
                <w:szCs w:val="18"/>
                <w:lang w:eastAsia="sk-SK"/>
              </w:rPr>
            </w:pPr>
            <w:r w:rsidRPr="002D2371">
              <w:rPr>
                <w:sz w:val="18"/>
                <w:szCs w:val="18"/>
              </w:rPr>
              <w:t>-2 216</w:t>
            </w:r>
          </w:p>
        </w:tc>
      </w:tr>
      <w:tr w:rsidR="002D2371" w:rsidRPr="002D2371" w14:paraId="7EB84D67" w14:textId="77777777" w:rsidTr="00DC6F21">
        <w:trPr>
          <w:trHeight w:val="340"/>
        </w:trPr>
        <w:tc>
          <w:tcPr>
            <w:tcW w:w="1344" w:type="dxa"/>
            <w:vMerge/>
            <w:tcBorders>
              <w:top w:val="nil"/>
              <w:left w:val="nil"/>
              <w:bottom w:val="nil"/>
              <w:right w:val="nil"/>
            </w:tcBorders>
            <w:vAlign w:val="center"/>
            <w:hideMark/>
          </w:tcPr>
          <w:p w14:paraId="49F23261" w14:textId="77777777" w:rsidR="002D2371" w:rsidRPr="002D2371" w:rsidRDefault="002D2371" w:rsidP="002D2371">
            <w:pPr>
              <w:spacing w:after="0" w:line="240" w:lineRule="auto"/>
              <w:rPr>
                <w:b/>
                <w:bCs/>
                <w:color w:val="000000"/>
                <w:sz w:val="18"/>
                <w:szCs w:val="18"/>
                <w:lang w:eastAsia="sk-SK"/>
              </w:rPr>
            </w:pPr>
          </w:p>
        </w:tc>
        <w:tc>
          <w:tcPr>
            <w:tcW w:w="964" w:type="dxa"/>
            <w:tcBorders>
              <w:top w:val="nil"/>
              <w:left w:val="nil"/>
              <w:bottom w:val="nil"/>
              <w:right w:val="nil"/>
            </w:tcBorders>
            <w:shd w:val="clear" w:color="auto" w:fill="auto"/>
            <w:noWrap/>
            <w:vAlign w:val="bottom"/>
            <w:hideMark/>
          </w:tcPr>
          <w:p w14:paraId="6B8389C7"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%HDP</w:t>
            </w:r>
          </w:p>
        </w:tc>
        <w:tc>
          <w:tcPr>
            <w:tcW w:w="675" w:type="dxa"/>
            <w:tcBorders>
              <w:top w:val="nil"/>
              <w:left w:val="nil"/>
              <w:bottom w:val="nil"/>
              <w:right w:val="nil"/>
            </w:tcBorders>
            <w:shd w:val="clear" w:color="auto" w:fill="auto"/>
            <w:noWrap/>
            <w:vAlign w:val="bottom"/>
            <w:hideMark/>
          </w:tcPr>
          <w:p w14:paraId="1117E28A" w14:textId="14DF954A"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-2,9</w:t>
            </w:r>
          </w:p>
        </w:tc>
        <w:tc>
          <w:tcPr>
            <w:tcW w:w="675" w:type="dxa"/>
            <w:tcBorders>
              <w:top w:val="nil"/>
              <w:left w:val="nil"/>
              <w:bottom w:val="nil"/>
              <w:right w:val="nil"/>
            </w:tcBorders>
            <w:shd w:val="clear" w:color="auto" w:fill="auto"/>
            <w:noWrap/>
            <w:vAlign w:val="bottom"/>
            <w:hideMark/>
          </w:tcPr>
          <w:p w14:paraId="5C5A93CF" w14:textId="1DF6CFAD"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-3,1</w:t>
            </w:r>
          </w:p>
        </w:tc>
        <w:tc>
          <w:tcPr>
            <w:tcW w:w="675" w:type="dxa"/>
            <w:tcBorders>
              <w:top w:val="nil"/>
              <w:left w:val="nil"/>
              <w:bottom w:val="nil"/>
              <w:right w:val="nil"/>
            </w:tcBorders>
            <w:shd w:val="clear" w:color="auto" w:fill="auto"/>
            <w:noWrap/>
            <w:vAlign w:val="bottom"/>
            <w:hideMark/>
          </w:tcPr>
          <w:p w14:paraId="19E55793" w14:textId="66D276E7"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-2,7</w:t>
            </w:r>
          </w:p>
        </w:tc>
        <w:tc>
          <w:tcPr>
            <w:tcW w:w="675" w:type="dxa"/>
            <w:tcBorders>
              <w:top w:val="nil"/>
              <w:left w:val="nil"/>
              <w:bottom w:val="nil"/>
              <w:right w:val="nil"/>
            </w:tcBorders>
            <w:shd w:val="clear" w:color="auto" w:fill="auto"/>
            <w:noWrap/>
            <w:vAlign w:val="bottom"/>
            <w:hideMark/>
          </w:tcPr>
          <w:p w14:paraId="0E5D610C" w14:textId="3071227E"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-2,6</w:t>
            </w:r>
          </w:p>
        </w:tc>
        <w:tc>
          <w:tcPr>
            <w:tcW w:w="680" w:type="dxa"/>
            <w:tcBorders>
              <w:top w:val="nil"/>
              <w:left w:val="nil"/>
              <w:bottom w:val="nil"/>
              <w:right w:val="nil"/>
            </w:tcBorders>
            <w:shd w:val="clear" w:color="auto" w:fill="auto"/>
            <w:noWrap/>
            <w:vAlign w:val="bottom"/>
            <w:hideMark/>
          </w:tcPr>
          <w:p w14:paraId="2F60B724" w14:textId="13C06EBC"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-1,0</w:t>
            </w:r>
          </w:p>
        </w:tc>
        <w:tc>
          <w:tcPr>
            <w:tcW w:w="701" w:type="dxa"/>
            <w:tcBorders>
              <w:top w:val="nil"/>
              <w:left w:val="nil"/>
              <w:bottom w:val="nil"/>
              <w:right w:val="nil"/>
            </w:tcBorders>
            <w:shd w:val="clear" w:color="auto" w:fill="auto"/>
            <w:noWrap/>
            <w:vAlign w:val="bottom"/>
            <w:hideMark/>
          </w:tcPr>
          <w:p w14:paraId="2C5EB93F" w14:textId="2F97DC89"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-1,0</w:t>
            </w:r>
          </w:p>
        </w:tc>
        <w:tc>
          <w:tcPr>
            <w:tcW w:w="675" w:type="dxa"/>
            <w:tcBorders>
              <w:top w:val="nil"/>
              <w:left w:val="nil"/>
              <w:bottom w:val="nil"/>
              <w:right w:val="nil"/>
            </w:tcBorders>
            <w:shd w:val="clear" w:color="auto" w:fill="auto"/>
            <w:noWrap/>
            <w:vAlign w:val="bottom"/>
            <w:hideMark/>
          </w:tcPr>
          <w:p w14:paraId="48F55F35" w14:textId="061F1BB7"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-1,2</w:t>
            </w:r>
          </w:p>
        </w:tc>
        <w:tc>
          <w:tcPr>
            <w:tcW w:w="675" w:type="dxa"/>
            <w:gridSpan w:val="2"/>
            <w:tcBorders>
              <w:top w:val="nil"/>
              <w:left w:val="nil"/>
              <w:bottom w:val="nil"/>
              <w:right w:val="nil"/>
            </w:tcBorders>
            <w:shd w:val="clear" w:color="auto" w:fill="auto"/>
            <w:noWrap/>
            <w:vAlign w:val="bottom"/>
            <w:hideMark/>
          </w:tcPr>
          <w:p w14:paraId="08524C60" w14:textId="58AB73D0"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-5,4</w:t>
            </w:r>
          </w:p>
        </w:tc>
        <w:tc>
          <w:tcPr>
            <w:tcW w:w="770" w:type="dxa"/>
            <w:gridSpan w:val="3"/>
            <w:tcBorders>
              <w:top w:val="nil"/>
              <w:left w:val="nil"/>
              <w:bottom w:val="nil"/>
              <w:right w:val="nil"/>
            </w:tcBorders>
            <w:shd w:val="clear" w:color="auto" w:fill="auto"/>
            <w:noWrap/>
            <w:vAlign w:val="bottom"/>
            <w:hideMark/>
          </w:tcPr>
          <w:p w14:paraId="5848A35D" w14:textId="022E5F2A"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-5,2</w:t>
            </w:r>
          </w:p>
        </w:tc>
        <w:tc>
          <w:tcPr>
            <w:tcW w:w="891" w:type="dxa"/>
            <w:gridSpan w:val="2"/>
            <w:tcBorders>
              <w:top w:val="nil"/>
              <w:left w:val="nil"/>
              <w:bottom w:val="nil"/>
              <w:right w:val="nil"/>
            </w:tcBorders>
            <w:shd w:val="clear" w:color="auto" w:fill="auto"/>
            <w:noWrap/>
            <w:vAlign w:val="bottom"/>
            <w:hideMark/>
          </w:tcPr>
          <w:p w14:paraId="75B0123B" w14:textId="149FAE5F"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-2,0</w:t>
            </w:r>
          </w:p>
        </w:tc>
      </w:tr>
      <w:tr w:rsidR="002D2371" w:rsidRPr="002D2371" w14:paraId="723D90D4" w14:textId="77777777" w:rsidTr="00DC6F21">
        <w:trPr>
          <w:trHeight w:val="340"/>
        </w:trPr>
        <w:tc>
          <w:tcPr>
            <w:tcW w:w="1344" w:type="dxa"/>
            <w:vMerge w:val="restart"/>
            <w:tcBorders>
              <w:top w:val="nil"/>
              <w:left w:val="nil"/>
              <w:bottom w:val="nil"/>
              <w:right w:val="nil"/>
            </w:tcBorders>
            <w:shd w:val="clear" w:color="auto" w:fill="auto"/>
            <w:vAlign w:val="center"/>
            <w:hideMark/>
          </w:tcPr>
          <w:p w14:paraId="7F7E5EE0" w14:textId="77777777" w:rsidR="002D2371" w:rsidRPr="002D2371" w:rsidRDefault="002D2371" w:rsidP="002D2371">
            <w:pPr>
              <w:spacing w:after="0" w:line="240" w:lineRule="auto"/>
              <w:rPr>
                <w:b/>
                <w:bCs/>
                <w:color w:val="000000"/>
                <w:sz w:val="18"/>
                <w:szCs w:val="18"/>
                <w:lang w:eastAsia="sk-SK"/>
              </w:rPr>
            </w:pPr>
            <w:r w:rsidRPr="002D2371">
              <w:rPr>
                <w:b/>
                <w:bCs/>
                <w:color w:val="000000"/>
                <w:sz w:val="18"/>
                <w:szCs w:val="18"/>
                <w:lang w:eastAsia="sk-SK"/>
              </w:rPr>
              <w:t>Maastrichtský dlh</w:t>
            </w:r>
          </w:p>
        </w:tc>
        <w:tc>
          <w:tcPr>
            <w:tcW w:w="964" w:type="dxa"/>
            <w:tcBorders>
              <w:top w:val="nil"/>
              <w:left w:val="nil"/>
              <w:bottom w:val="nil"/>
              <w:right w:val="nil"/>
            </w:tcBorders>
            <w:shd w:val="clear" w:color="auto" w:fill="auto"/>
            <w:noWrap/>
            <w:vAlign w:val="bottom"/>
            <w:hideMark/>
          </w:tcPr>
          <w:p w14:paraId="2E0ABE53"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mil. EUR</w:t>
            </w:r>
          </w:p>
        </w:tc>
        <w:tc>
          <w:tcPr>
            <w:tcW w:w="675" w:type="dxa"/>
            <w:tcBorders>
              <w:top w:val="nil"/>
              <w:left w:val="nil"/>
              <w:bottom w:val="nil"/>
              <w:right w:val="nil"/>
            </w:tcBorders>
            <w:shd w:val="clear" w:color="auto" w:fill="auto"/>
            <w:noWrap/>
            <w:vAlign w:val="bottom"/>
            <w:hideMark/>
          </w:tcPr>
          <w:p w14:paraId="05F70E1C" w14:textId="5E531E27"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40 742</w:t>
            </w:r>
          </w:p>
        </w:tc>
        <w:tc>
          <w:tcPr>
            <w:tcW w:w="675" w:type="dxa"/>
            <w:tcBorders>
              <w:top w:val="nil"/>
              <w:left w:val="nil"/>
              <w:bottom w:val="nil"/>
              <w:right w:val="nil"/>
            </w:tcBorders>
            <w:shd w:val="clear" w:color="auto" w:fill="auto"/>
            <w:noWrap/>
            <w:vAlign w:val="bottom"/>
            <w:hideMark/>
          </w:tcPr>
          <w:p w14:paraId="71E50DA1" w14:textId="081C1A57"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40 844</w:t>
            </w:r>
          </w:p>
        </w:tc>
        <w:tc>
          <w:tcPr>
            <w:tcW w:w="675" w:type="dxa"/>
            <w:tcBorders>
              <w:top w:val="nil"/>
              <w:left w:val="nil"/>
              <w:bottom w:val="nil"/>
              <w:right w:val="nil"/>
            </w:tcBorders>
            <w:shd w:val="clear" w:color="auto" w:fill="auto"/>
            <w:noWrap/>
            <w:vAlign w:val="bottom"/>
            <w:hideMark/>
          </w:tcPr>
          <w:p w14:paraId="7B48C1EF" w14:textId="46DFBFA4"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41 413</w:t>
            </w:r>
          </w:p>
        </w:tc>
        <w:tc>
          <w:tcPr>
            <w:tcW w:w="675" w:type="dxa"/>
            <w:tcBorders>
              <w:top w:val="nil"/>
              <w:left w:val="nil"/>
              <w:bottom w:val="nil"/>
              <w:right w:val="nil"/>
            </w:tcBorders>
            <w:shd w:val="clear" w:color="auto" w:fill="auto"/>
            <w:noWrap/>
            <w:vAlign w:val="bottom"/>
            <w:hideMark/>
          </w:tcPr>
          <w:p w14:paraId="3144F61F" w14:textId="5AECDD8D" w:rsidR="002D2371" w:rsidRPr="002D2371" w:rsidRDefault="002D2371" w:rsidP="002D2371">
            <w:pPr>
              <w:spacing w:after="0" w:line="240" w:lineRule="auto"/>
              <w:jc w:val="right"/>
              <w:rPr>
                <w:color w:val="000000"/>
                <w:sz w:val="18"/>
                <w:szCs w:val="18"/>
                <w:lang w:eastAsia="sk-SK"/>
              </w:rPr>
            </w:pPr>
            <w:r w:rsidRPr="002D2371">
              <w:rPr>
                <w:color w:val="000000"/>
                <w:sz w:val="18"/>
                <w:szCs w:val="18"/>
              </w:rPr>
              <w:t>42 481</w:t>
            </w:r>
          </w:p>
        </w:tc>
        <w:tc>
          <w:tcPr>
            <w:tcW w:w="680" w:type="dxa"/>
            <w:tcBorders>
              <w:top w:val="nil"/>
              <w:left w:val="nil"/>
              <w:bottom w:val="nil"/>
              <w:right w:val="nil"/>
            </w:tcBorders>
            <w:shd w:val="clear" w:color="auto" w:fill="auto"/>
            <w:noWrap/>
            <w:vAlign w:val="bottom"/>
            <w:hideMark/>
          </w:tcPr>
          <w:p w14:paraId="3DA2C653" w14:textId="2C46D7E3" w:rsidR="002D2371" w:rsidRPr="002D2371" w:rsidRDefault="002D2371" w:rsidP="002D2371">
            <w:pPr>
              <w:spacing w:after="0" w:line="240" w:lineRule="auto"/>
              <w:jc w:val="right"/>
              <w:rPr>
                <w:color w:val="000000"/>
                <w:sz w:val="18"/>
                <w:szCs w:val="18"/>
                <w:lang w:eastAsia="sk-SK"/>
              </w:rPr>
            </w:pPr>
            <w:r w:rsidRPr="002D2371">
              <w:rPr>
                <w:sz w:val="18"/>
                <w:szCs w:val="18"/>
              </w:rPr>
              <w:t>43 572</w:t>
            </w:r>
          </w:p>
        </w:tc>
        <w:tc>
          <w:tcPr>
            <w:tcW w:w="701" w:type="dxa"/>
            <w:tcBorders>
              <w:top w:val="nil"/>
              <w:left w:val="nil"/>
              <w:bottom w:val="nil"/>
              <w:right w:val="nil"/>
            </w:tcBorders>
            <w:shd w:val="clear" w:color="auto" w:fill="auto"/>
            <w:noWrap/>
            <w:vAlign w:val="bottom"/>
            <w:hideMark/>
          </w:tcPr>
          <w:p w14:paraId="289F276F" w14:textId="646810D1" w:rsidR="002D2371" w:rsidRPr="002D2371" w:rsidRDefault="002D2371" w:rsidP="002D2371">
            <w:pPr>
              <w:spacing w:after="0" w:line="240" w:lineRule="auto"/>
              <w:jc w:val="right"/>
              <w:rPr>
                <w:sz w:val="18"/>
                <w:szCs w:val="18"/>
                <w:lang w:eastAsia="sk-SK"/>
              </w:rPr>
            </w:pPr>
            <w:r w:rsidRPr="002D2371">
              <w:rPr>
                <w:sz w:val="18"/>
                <w:szCs w:val="18"/>
              </w:rPr>
              <w:t>44 405</w:t>
            </w:r>
          </w:p>
        </w:tc>
        <w:tc>
          <w:tcPr>
            <w:tcW w:w="675" w:type="dxa"/>
            <w:tcBorders>
              <w:top w:val="nil"/>
              <w:left w:val="nil"/>
              <w:bottom w:val="nil"/>
              <w:right w:val="nil"/>
            </w:tcBorders>
            <w:shd w:val="clear" w:color="auto" w:fill="auto"/>
            <w:noWrap/>
            <w:vAlign w:val="bottom"/>
            <w:hideMark/>
          </w:tcPr>
          <w:p w14:paraId="7CB89986" w14:textId="2224FF7D" w:rsidR="002D2371" w:rsidRPr="002D2371" w:rsidRDefault="002D2371" w:rsidP="002D2371">
            <w:pPr>
              <w:spacing w:after="0" w:line="240" w:lineRule="auto"/>
              <w:jc w:val="right"/>
              <w:rPr>
                <w:sz w:val="18"/>
                <w:szCs w:val="18"/>
                <w:lang w:eastAsia="sk-SK"/>
              </w:rPr>
            </w:pPr>
            <w:r w:rsidRPr="002D2371">
              <w:rPr>
                <w:sz w:val="18"/>
                <w:szCs w:val="18"/>
              </w:rPr>
              <w:t>45 306</w:t>
            </w:r>
          </w:p>
        </w:tc>
        <w:tc>
          <w:tcPr>
            <w:tcW w:w="675" w:type="dxa"/>
            <w:gridSpan w:val="2"/>
            <w:tcBorders>
              <w:top w:val="nil"/>
              <w:left w:val="nil"/>
              <w:bottom w:val="nil"/>
              <w:right w:val="nil"/>
            </w:tcBorders>
            <w:shd w:val="clear" w:color="auto" w:fill="auto"/>
            <w:noWrap/>
            <w:vAlign w:val="bottom"/>
            <w:hideMark/>
          </w:tcPr>
          <w:p w14:paraId="50E69F77" w14:textId="0411370A" w:rsidR="002D2371" w:rsidRPr="002D2371" w:rsidRDefault="002D2371" w:rsidP="002D2371">
            <w:pPr>
              <w:spacing w:after="0" w:line="240" w:lineRule="auto"/>
              <w:jc w:val="right"/>
              <w:rPr>
                <w:sz w:val="18"/>
                <w:szCs w:val="18"/>
                <w:lang w:eastAsia="sk-SK"/>
              </w:rPr>
            </w:pPr>
            <w:r w:rsidRPr="002D2371">
              <w:rPr>
                <w:sz w:val="18"/>
                <w:szCs w:val="18"/>
              </w:rPr>
              <w:t>54 993</w:t>
            </w:r>
          </w:p>
        </w:tc>
        <w:tc>
          <w:tcPr>
            <w:tcW w:w="770" w:type="dxa"/>
            <w:gridSpan w:val="3"/>
            <w:tcBorders>
              <w:top w:val="nil"/>
              <w:left w:val="nil"/>
              <w:bottom w:val="nil"/>
              <w:right w:val="nil"/>
            </w:tcBorders>
            <w:shd w:val="clear" w:color="auto" w:fill="auto"/>
            <w:noWrap/>
            <w:vAlign w:val="bottom"/>
            <w:hideMark/>
          </w:tcPr>
          <w:p w14:paraId="3A8086C0" w14:textId="7CF8CDAC" w:rsidR="002D2371" w:rsidRPr="002D2371" w:rsidRDefault="002D2371" w:rsidP="002D2371">
            <w:pPr>
              <w:spacing w:after="0" w:line="240" w:lineRule="auto"/>
              <w:jc w:val="right"/>
              <w:rPr>
                <w:sz w:val="18"/>
                <w:szCs w:val="18"/>
                <w:lang w:eastAsia="sk-SK"/>
              </w:rPr>
            </w:pPr>
            <w:r w:rsidRPr="002D2371">
              <w:rPr>
                <w:sz w:val="18"/>
                <w:szCs w:val="18"/>
              </w:rPr>
              <w:t>61 238</w:t>
            </w:r>
          </w:p>
        </w:tc>
        <w:tc>
          <w:tcPr>
            <w:tcW w:w="891" w:type="dxa"/>
            <w:gridSpan w:val="2"/>
            <w:tcBorders>
              <w:top w:val="nil"/>
              <w:left w:val="nil"/>
              <w:bottom w:val="nil"/>
              <w:right w:val="nil"/>
            </w:tcBorders>
            <w:shd w:val="clear" w:color="auto" w:fill="auto"/>
            <w:noWrap/>
            <w:vAlign w:val="bottom"/>
            <w:hideMark/>
          </w:tcPr>
          <w:p w14:paraId="6FBE4A84" w14:textId="7885E4E9" w:rsidR="002D2371" w:rsidRPr="002D2371" w:rsidRDefault="002D2371" w:rsidP="002D2371">
            <w:pPr>
              <w:spacing w:after="0" w:line="240" w:lineRule="auto"/>
              <w:jc w:val="right"/>
              <w:rPr>
                <w:sz w:val="18"/>
                <w:szCs w:val="18"/>
                <w:lang w:eastAsia="sk-SK"/>
              </w:rPr>
            </w:pPr>
            <w:r w:rsidRPr="002D2371">
              <w:rPr>
                <w:sz w:val="18"/>
                <w:szCs w:val="18"/>
              </w:rPr>
              <w:t>63 378</w:t>
            </w:r>
          </w:p>
        </w:tc>
      </w:tr>
      <w:tr w:rsidR="002D2371" w:rsidRPr="002D2371" w14:paraId="4207B026" w14:textId="77777777" w:rsidTr="00DC6F21">
        <w:trPr>
          <w:trHeight w:val="340"/>
        </w:trPr>
        <w:tc>
          <w:tcPr>
            <w:tcW w:w="1344" w:type="dxa"/>
            <w:vMerge/>
            <w:tcBorders>
              <w:top w:val="nil"/>
              <w:left w:val="nil"/>
              <w:bottom w:val="nil"/>
              <w:right w:val="nil"/>
            </w:tcBorders>
            <w:vAlign w:val="center"/>
            <w:hideMark/>
          </w:tcPr>
          <w:p w14:paraId="3EE9FDFE" w14:textId="77777777" w:rsidR="002D2371" w:rsidRPr="002D2371" w:rsidRDefault="002D2371" w:rsidP="002D2371">
            <w:pPr>
              <w:spacing w:after="0" w:line="240" w:lineRule="auto"/>
              <w:rPr>
                <w:b/>
                <w:bCs/>
                <w:color w:val="000000"/>
                <w:sz w:val="18"/>
                <w:szCs w:val="18"/>
                <w:lang w:eastAsia="sk-SK"/>
              </w:rPr>
            </w:pPr>
          </w:p>
        </w:tc>
        <w:tc>
          <w:tcPr>
            <w:tcW w:w="964" w:type="dxa"/>
            <w:tcBorders>
              <w:top w:val="nil"/>
              <w:left w:val="nil"/>
              <w:bottom w:val="nil"/>
              <w:right w:val="nil"/>
            </w:tcBorders>
            <w:shd w:val="clear" w:color="auto" w:fill="auto"/>
            <w:noWrap/>
            <w:vAlign w:val="bottom"/>
            <w:hideMark/>
          </w:tcPr>
          <w:p w14:paraId="31C1BF2F"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%HDP</w:t>
            </w:r>
          </w:p>
        </w:tc>
        <w:tc>
          <w:tcPr>
            <w:tcW w:w="675" w:type="dxa"/>
            <w:tcBorders>
              <w:top w:val="nil"/>
              <w:left w:val="nil"/>
              <w:bottom w:val="nil"/>
              <w:right w:val="nil"/>
            </w:tcBorders>
            <w:shd w:val="clear" w:color="auto" w:fill="auto"/>
            <w:noWrap/>
            <w:vAlign w:val="bottom"/>
            <w:hideMark/>
          </w:tcPr>
          <w:p w14:paraId="7E58B0B9" w14:textId="2E18E457"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54,7</w:t>
            </w:r>
          </w:p>
        </w:tc>
        <w:tc>
          <w:tcPr>
            <w:tcW w:w="675" w:type="dxa"/>
            <w:tcBorders>
              <w:top w:val="nil"/>
              <w:left w:val="nil"/>
              <w:bottom w:val="nil"/>
              <w:right w:val="nil"/>
            </w:tcBorders>
            <w:shd w:val="clear" w:color="auto" w:fill="auto"/>
            <w:noWrap/>
            <w:vAlign w:val="bottom"/>
            <w:hideMark/>
          </w:tcPr>
          <w:p w14:paraId="2B80AD4F" w14:textId="76E01B8F"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53,5</w:t>
            </w:r>
          </w:p>
        </w:tc>
        <w:tc>
          <w:tcPr>
            <w:tcW w:w="675" w:type="dxa"/>
            <w:tcBorders>
              <w:top w:val="nil"/>
              <w:left w:val="nil"/>
              <w:bottom w:val="nil"/>
              <w:right w:val="nil"/>
            </w:tcBorders>
            <w:shd w:val="clear" w:color="auto" w:fill="auto"/>
            <w:noWrap/>
            <w:vAlign w:val="bottom"/>
            <w:hideMark/>
          </w:tcPr>
          <w:p w14:paraId="02856C2C" w14:textId="02AA28E3"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51,7</w:t>
            </w:r>
          </w:p>
        </w:tc>
        <w:tc>
          <w:tcPr>
            <w:tcW w:w="675" w:type="dxa"/>
            <w:tcBorders>
              <w:top w:val="nil"/>
              <w:left w:val="nil"/>
              <w:bottom w:val="nil"/>
              <w:right w:val="nil"/>
            </w:tcBorders>
            <w:shd w:val="clear" w:color="auto" w:fill="auto"/>
            <w:noWrap/>
            <w:vAlign w:val="bottom"/>
            <w:hideMark/>
          </w:tcPr>
          <w:p w14:paraId="53937780" w14:textId="77D404F9"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52,3</w:t>
            </w:r>
          </w:p>
        </w:tc>
        <w:tc>
          <w:tcPr>
            <w:tcW w:w="680" w:type="dxa"/>
            <w:tcBorders>
              <w:top w:val="nil"/>
              <w:left w:val="nil"/>
              <w:bottom w:val="nil"/>
              <w:right w:val="nil"/>
            </w:tcBorders>
            <w:shd w:val="clear" w:color="auto" w:fill="auto"/>
            <w:noWrap/>
            <w:vAlign w:val="bottom"/>
            <w:hideMark/>
          </w:tcPr>
          <w:p w14:paraId="5B5C4716" w14:textId="0DA9CE48"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51,5</w:t>
            </w:r>
          </w:p>
        </w:tc>
        <w:tc>
          <w:tcPr>
            <w:tcW w:w="701" w:type="dxa"/>
            <w:tcBorders>
              <w:top w:val="nil"/>
              <w:left w:val="nil"/>
              <w:bottom w:val="nil"/>
              <w:right w:val="nil"/>
            </w:tcBorders>
            <w:shd w:val="clear" w:color="auto" w:fill="auto"/>
            <w:noWrap/>
            <w:vAlign w:val="bottom"/>
            <w:hideMark/>
          </w:tcPr>
          <w:p w14:paraId="7E2002CF" w14:textId="397BD5D3"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49,4</w:t>
            </w:r>
          </w:p>
        </w:tc>
        <w:tc>
          <w:tcPr>
            <w:tcW w:w="675" w:type="dxa"/>
            <w:tcBorders>
              <w:top w:val="nil"/>
              <w:left w:val="nil"/>
              <w:bottom w:val="nil"/>
              <w:right w:val="nil"/>
            </w:tcBorders>
            <w:shd w:val="clear" w:color="auto" w:fill="auto"/>
            <w:noWrap/>
            <w:vAlign w:val="bottom"/>
            <w:hideMark/>
          </w:tcPr>
          <w:p w14:paraId="2D18CE04" w14:textId="0D2DECFA"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48,0</w:t>
            </w:r>
          </w:p>
        </w:tc>
        <w:tc>
          <w:tcPr>
            <w:tcW w:w="675" w:type="dxa"/>
            <w:gridSpan w:val="2"/>
            <w:tcBorders>
              <w:top w:val="nil"/>
              <w:left w:val="nil"/>
              <w:bottom w:val="nil"/>
              <w:right w:val="nil"/>
            </w:tcBorders>
            <w:shd w:val="clear" w:color="auto" w:fill="auto"/>
            <w:noWrap/>
            <w:vAlign w:val="bottom"/>
            <w:hideMark/>
          </w:tcPr>
          <w:p w14:paraId="2BA42B06" w14:textId="4164F3F7"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58,9</w:t>
            </w:r>
          </w:p>
        </w:tc>
        <w:tc>
          <w:tcPr>
            <w:tcW w:w="770" w:type="dxa"/>
            <w:gridSpan w:val="3"/>
            <w:tcBorders>
              <w:top w:val="nil"/>
              <w:left w:val="nil"/>
              <w:bottom w:val="nil"/>
              <w:right w:val="nil"/>
            </w:tcBorders>
            <w:shd w:val="clear" w:color="auto" w:fill="auto"/>
            <w:noWrap/>
            <w:vAlign w:val="bottom"/>
            <w:hideMark/>
          </w:tcPr>
          <w:p w14:paraId="5413482A" w14:textId="0ED4B0EE"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61,1</w:t>
            </w:r>
          </w:p>
        </w:tc>
        <w:tc>
          <w:tcPr>
            <w:tcW w:w="891" w:type="dxa"/>
            <w:gridSpan w:val="2"/>
            <w:tcBorders>
              <w:top w:val="nil"/>
              <w:left w:val="nil"/>
              <w:bottom w:val="nil"/>
              <w:right w:val="nil"/>
            </w:tcBorders>
            <w:shd w:val="clear" w:color="auto" w:fill="auto"/>
            <w:noWrap/>
            <w:vAlign w:val="bottom"/>
            <w:hideMark/>
          </w:tcPr>
          <w:p w14:paraId="02C45BF0" w14:textId="2739426F" w:rsidR="002D2371" w:rsidRPr="002D2371" w:rsidRDefault="002D2371" w:rsidP="002D2371">
            <w:pPr>
              <w:spacing w:after="0" w:line="240" w:lineRule="auto"/>
              <w:jc w:val="right"/>
              <w:rPr>
                <w:b/>
                <w:bCs/>
                <w:color w:val="000000"/>
                <w:sz w:val="18"/>
                <w:szCs w:val="18"/>
                <w:lang w:eastAsia="sk-SK"/>
              </w:rPr>
            </w:pPr>
            <w:r w:rsidRPr="002D2371">
              <w:rPr>
                <w:b/>
                <w:bCs/>
                <w:color w:val="000000"/>
                <w:sz w:val="18"/>
                <w:szCs w:val="18"/>
              </w:rPr>
              <w:t>57,8</w:t>
            </w:r>
          </w:p>
        </w:tc>
      </w:tr>
      <w:tr w:rsidR="002D2371" w:rsidRPr="002D2371" w14:paraId="1152D235" w14:textId="77777777" w:rsidTr="00DC6F21">
        <w:trPr>
          <w:trHeight w:val="369"/>
        </w:trPr>
        <w:tc>
          <w:tcPr>
            <w:tcW w:w="1344" w:type="dxa"/>
            <w:tcBorders>
              <w:top w:val="nil"/>
              <w:left w:val="nil"/>
              <w:bottom w:val="nil"/>
              <w:right w:val="nil"/>
            </w:tcBorders>
            <w:shd w:val="clear" w:color="auto" w:fill="auto"/>
            <w:noWrap/>
            <w:vAlign w:val="bottom"/>
            <w:hideMark/>
          </w:tcPr>
          <w:p w14:paraId="3BFD70DB" w14:textId="77777777" w:rsidR="002D2371" w:rsidRPr="002D2371" w:rsidRDefault="002D2371" w:rsidP="002D2371">
            <w:pPr>
              <w:spacing w:after="0" w:line="240" w:lineRule="auto"/>
              <w:rPr>
                <w:b/>
                <w:bCs/>
                <w:color w:val="000000"/>
                <w:sz w:val="18"/>
                <w:szCs w:val="18"/>
                <w:lang w:eastAsia="sk-SK"/>
              </w:rPr>
            </w:pPr>
            <w:r w:rsidRPr="002D2371">
              <w:rPr>
                <w:b/>
                <w:bCs/>
                <w:color w:val="000000"/>
                <w:sz w:val="18"/>
                <w:szCs w:val="18"/>
                <w:lang w:eastAsia="sk-SK"/>
              </w:rPr>
              <w:t xml:space="preserve">HDP v </w:t>
            </w:r>
            <w:proofErr w:type="spellStart"/>
            <w:r w:rsidRPr="002D2371">
              <w:rPr>
                <w:b/>
                <w:bCs/>
                <w:color w:val="000000"/>
                <w:sz w:val="18"/>
                <w:szCs w:val="18"/>
                <w:lang w:eastAsia="sk-SK"/>
              </w:rPr>
              <w:t>b.c</w:t>
            </w:r>
            <w:proofErr w:type="spellEnd"/>
            <w:r w:rsidRPr="002D2371">
              <w:rPr>
                <w:b/>
                <w:bCs/>
                <w:color w:val="000000"/>
                <w:sz w:val="18"/>
                <w:szCs w:val="18"/>
                <w:lang w:eastAsia="sk-SK"/>
              </w:rPr>
              <w:t>.</w:t>
            </w:r>
          </w:p>
        </w:tc>
        <w:tc>
          <w:tcPr>
            <w:tcW w:w="964" w:type="dxa"/>
            <w:tcBorders>
              <w:top w:val="nil"/>
              <w:left w:val="nil"/>
              <w:bottom w:val="nil"/>
              <w:right w:val="nil"/>
            </w:tcBorders>
            <w:shd w:val="clear" w:color="auto" w:fill="auto"/>
            <w:noWrap/>
            <w:vAlign w:val="bottom"/>
            <w:hideMark/>
          </w:tcPr>
          <w:p w14:paraId="04DF643E" w14:textId="77777777" w:rsidR="002D2371" w:rsidRPr="002D2371" w:rsidRDefault="002D2371" w:rsidP="002D2371">
            <w:pPr>
              <w:spacing w:after="0" w:line="240" w:lineRule="auto"/>
              <w:jc w:val="center"/>
              <w:rPr>
                <w:color w:val="000000"/>
                <w:sz w:val="18"/>
                <w:szCs w:val="18"/>
                <w:lang w:eastAsia="sk-SK"/>
              </w:rPr>
            </w:pPr>
            <w:r w:rsidRPr="002D2371">
              <w:rPr>
                <w:color w:val="000000"/>
                <w:sz w:val="18"/>
                <w:szCs w:val="18"/>
                <w:lang w:eastAsia="sk-SK"/>
              </w:rPr>
              <w:t>mil. EUR</w:t>
            </w:r>
          </w:p>
        </w:tc>
        <w:tc>
          <w:tcPr>
            <w:tcW w:w="675" w:type="dxa"/>
            <w:tcBorders>
              <w:top w:val="nil"/>
              <w:left w:val="nil"/>
              <w:bottom w:val="nil"/>
              <w:right w:val="nil"/>
            </w:tcBorders>
            <w:shd w:val="clear" w:color="auto" w:fill="auto"/>
            <w:noWrap/>
            <w:vAlign w:val="bottom"/>
            <w:hideMark/>
          </w:tcPr>
          <w:p w14:paraId="133C6D10" w14:textId="24366290" w:rsidR="002D2371" w:rsidRPr="002D2371" w:rsidRDefault="002D2371" w:rsidP="002D2371">
            <w:pPr>
              <w:spacing w:after="0" w:line="240" w:lineRule="auto"/>
              <w:jc w:val="right"/>
              <w:rPr>
                <w:sz w:val="18"/>
                <w:szCs w:val="18"/>
                <w:lang w:eastAsia="sk-SK"/>
              </w:rPr>
            </w:pPr>
            <w:r w:rsidRPr="002D2371">
              <w:rPr>
                <w:sz w:val="18"/>
                <w:szCs w:val="18"/>
              </w:rPr>
              <w:t>74 493</w:t>
            </w:r>
          </w:p>
        </w:tc>
        <w:tc>
          <w:tcPr>
            <w:tcW w:w="675" w:type="dxa"/>
            <w:tcBorders>
              <w:top w:val="nil"/>
              <w:left w:val="nil"/>
              <w:bottom w:val="nil"/>
              <w:right w:val="nil"/>
            </w:tcBorders>
            <w:shd w:val="clear" w:color="auto" w:fill="auto"/>
            <w:noWrap/>
            <w:vAlign w:val="bottom"/>
            <w:hideMark/>
          </w:tcPr>
          <w:p w14:paraId="1030AC86" w14:textId="4215DE75" w:rsidR="002D2371" w:rsidRPr="002D2371" w:rsidRDefault="002D2371" w:rsidP="002D2371">
            <w:pPr>
              <w:spacing w:after="0" w:line="240" w:lineRule="auto"/>
              <w:jc w:val="right"/>
              <w:rPr>
                <w:sz w:val="18"/>
                <w:szCs w:val="18"/>
                <w:lang w:eastAsia="sk-SK"/>
              </w:rPr>
            </w:pPr>
            <w:r w:rsidRPr="002D2371">
              <w:rPr>
                <w:sz w:val="18"/>
                <w:szCs w:val="18"/>
              </w:rPr>
              <w:t>76 355</w:t>
            </w:r>
          </w:p>
        </w:tc>
        <w:tc>
          <w:tcPr>
            <w:tcW w:w="675" w:type="dxa"/>
            <w:tcBorders>
              <w:top w:val="nil"/>
              <w:left w:val="nil"/>
              <w:bottom w:val="nil"/>
              <w:right w:val="nil"/>
            </w:tcBorders>
            <w:shd w:val="clear" w:color="auto" w:fill="auto"/>
            <w:noWrap/>
            <w:vAlign w:val="bottom"/>
            <w:hideMark/>
          </w:tcPr>
          <w:p w14:paraId="36573C83" w14:textId="2208C669" w:rsidR="002D2371" w:rsidRPr="002D2371" w:rsidRDefault="002D2371" w:rsidP="002D2371">
            <w:pPr>
              <w:spacing w:after="0" w:line="240" w:lineRule="auto"/>
              <w:jc w:val="right"/>
              <w:rPr>
                <w:sz w:val="18"/>
                <w:szCs w:val="18"/>
                <w:lang w:eastAsia="sk-SK"/>
              </w:rPr>
            </w:pPr>
            <w:r w:rsidRPr="002D2371">
              <w:rPr>
                <w:sz w:val="18"/>
                <w:szCs w:val="18"/>
              </w:rPr>
              <w:t>80 126</w:t>
            </w:r>
          </w:p>
        </w:tc>
        <w:tc>
          <w:tcPr>
            <w:tcW w:w="675" w:type="dxa"/>
            <w:tcBorders>
              <w:top w:val="nil"/>
              <w:left w:val="nil"/>
              <w:bottom w:val="nil"/>
              <w:right w:val="nil"/>
            </w:tcBorders>
            <w:shd w:val="clear" w:color="auto" w:fill="auto"/>
            <w:noWrap/>
            <w:vAlign w:val="bottom"/>
            <w:hideMark/>
          </w:tcPr>
          <w:p w14:paraId="4BB95165" w14:textId="1BC1FA64" w:rsidR="002D2371" w:rsidRPr="002D2371" w:rsidRDefault="002D2371" w:rsidP="002D2371">
            <w:pPr>
              <w:spacing w:after="0" w:line="240" w:lineRule="auto"/>
              <w:jc w:val="right"/>
              <w:rPr>
                <w:sz w:val="18"/>
                <w:szCs w:val="18"/>
                <w:lang w:eastAsia="sk-SK"/>
              </w:rPr>
            </w:pPr>
            <w:r w:rsidRPr="002D2371">
              <w:rPr>
                <w:sz w:val="18"/>
                <w:szCs w:val="18"/>
              </w:rPr>
              <w:t>81 265</w:t>
            </w:r>
          </w:p>
        </w:tc>
        <w:tc>
          <w:tcPr>
            <w:tcW w:w="680" w:type="dxa"/>
            <w:tcBorders>
              <w:top w:val="nil"/>
              <w:left w:val="nil"/>
              <w:bottom w:val="nil"/>
              <w:right w:val="nil"/>
            </w:tcBorders>
            <w:shd w:val="clear" w:color="auto" w:fill="auto"/>
            <w:noWrap/>
            <w:vAlign w:val="bottom"/>
            <w:hideMark/>
          </w:tcPr>
          <w:p w14:paraId="1F74676F" w14:textId="1904D723" w:rsidR="002D2371" w:rsidRPr="002D2371" w:rsidRDefault="002D2371" w:rsidP="002D2371">
            <w:pPr>
              <w:spacing w:after="0" w:line="240" w:lineRule="auto"/>
              <w:jc w:val="right"/>
              <w:rPr>
                <w:sz w:val="18"/>
                <w:szCs w:val="18"/>
                <w:lang w:eastAsia="sk-SK"/>
              </w:rPr>
            </w:pPr>
            <w:r w:rsidRPr="002D2371">
              <w:rPr>
                <w:sz w:val="18"/>
                <w:szCs w:val="18"/>
              </w:rPr>
              <w:t>84 670</w:t>
            </w:r>
          </w:p>
        </w:tc>
        <w:tc>
          <w:tcPr>
            <w:tcW w:w="701" w:type="dxa"/>
            <w:tcBorders>
              <w:top w:val="nil"/>
              <w:left w:val="nil"/>
              <w:bottom w:val="nil"/>
              <w:right w:val="nil"/>
            </w:tcBorders>
            <w:shd w:val="clear" w:color="auto" w:fill="auto"/>
            <w:noWrap/>
            <w:vAlign w:val="bottom"/>
            <w:hideMark/>
          </w:tcPr>
          <w:p w14:paraId="4FB0DBB3" w14:textId="3D62C793" w:rsidR="002D2371" w:rsidRPr="002D2371" w:rsidRDefault="002D2371" w:rsidP="002D2371">
            <w:pPr>
              <w:spacing w:after="0" w:line="240" w:lineRule="auto"/>
              <w:jc w:val="right"/>
              <w:rPr>
                <w:sz w:val="18"/>
                <w:szCs w:val="18"/>
                <w:lang w:eastAsia="sk-SK"/>
              </w:rPr>
            </w:pPr>
            <w:r w:rsidRPr="002D2371">
              <w:rPr>
                <w:sz w:val="18"/>
                <w:szCs w:val="18"/>
              </w:rPr>
              <w:t>89 875</w:t>
            </w:r>
          </w:p>
        </w:tc>
        <w:tc>
          <w:tcPr>
            <w:tcW w:w="675" w:type="dxa"/>
            <w:tcBorders>
              <w:top w:val="nil"/>
              <w:left w:val="nil"/>
              <w:bottom w:val="nil"/>
              <w:right w:val="nil"/>
            </w:tcBorders>
            <w:shd w:val="clear" w:color="auto" w:fill="auto"/>
            <w:noWrap/>
            <w:vAlign w:val="bottom"/>
            <w:hideMark/>
          </w:tcPr>
          <w:p w14:paraId="4EE93BB7" w14:textId="3A95EFBC" w:rsidR="002D2371" w:rsidRPr="002D2371" w:rsidRDefault="002D2371" w:rsidP="002D2371">
            <w:pPr>
              <w:spacing w:after="0" w:line="240" w:lineRule="auto"/>
              <w:jc w:val="right"/>
              <w:rPr>
                <w:sz w:val="18"/>
                <w:szCs w:val="18"/>
                <w:lang w:eastAsia="sk-SK"/>
              </w:rPr>
            </w:pPr>
            <w:r w:rsidRPr="002D2371">
              <w:rPr>
                <w:sz w:val="18"/>
                <w:szCs w:val="18"/>
              </w:rPr>
              <w:t>94 430</w:t>
            </w:r>
          </w:p>
        </w:tc>
        <w:tc>
          <w:tcPr>
            <w:tcW w:w="675" w:type="dxa"/>
            <w:gridSpan w:val="2"/>
            <w:tcBorders>
              <w:top w:val="nil"/>
              <w:left w:val="nil"/>
              <w:bottom w:val="nil"/>
              <w:right w:val="nil"/>
            </w:tcBorders>
            <w:shd w:val="clear" w:color="auto" w:fill="auto"/>
            <w:noWrap/>
            <w:vAlign w:val="bottom"/>
            <w:hideMark/>
          </w:tcPr>
          <w:p w14:paraId="64A4C594" w14:textId="0F6283E9" w:rsidR="002D2371" w:rsidRPr="002D2371" w:rsidRDefault="002D2371" w:rsidP="002D2371">
            <w:pPr>
              <w:spacing w:after="0" w:line="240" w:lineRule="auto"/>
              <w:jc w:val="right"/>
              <w:rPr>
                <w:sz w:val="18"/>
                <w:szCs w:val="18"/>
                <w:lang w:eastAsia="sk-SK"/>
              </w:rPr>
            </w:pPr>
            <w:r w:rsidRPr="002D2371">
              <w:rPr>
                <w:sz w:val="18"/>
                <w:szCs w:val="18"/>
              </w:rPr>
              <w:t>93 444</w:t>
            </w:r>
          </w:p>
        </w:tc>
        <w:tc>
          <w:tcPr>
            <w:tcW w:w="770" w:type="dxa"/>
            <w:gridSpan w:val="3"/>
            <w:tcBorders>
              <w:top w:val="nil"/>
              <w:left w:val="nil"/>
              <w:bottom w:val="nil"/>
              <w:right w:val="nil"/>
            </w:tcBorders>
            <w:shd w:val="clear" w:color="auto" w:fill="auto"/>
            <w:noWrap/>
            <w:vAlign w:val="bottom"/>
            <w:hideMark/>
          </w:tcPr>
          <w:p w14:paraId="203CA066" w14:textId="1AD5E16F" w:rsidR="002D2371" w:rsidRPr="002D2371" w:rsidRDefault="002D2371" w:rsidP="002D2371">
            <w:pPr>
              <w:spacing w:after="0" w:line="240" w:lineRule="auto"/>
              <w:jc w:val="right"/>
              <w:rPr>
                <w:sz w:val="18"/>
                <w:szCs w:val="18"/>
                <w:lang w:eastAsia="sk-SK"/>
              </w:rPr>
            </w:pPr>
            <w:r w:rsidRPr="002D2371">
              <w:rPr>
                <w:sz w:val="18"/>
                <w:szCs w:val="18"/>
              </w:rPr>
              <w:t>100 256</w:t>
            </w:r>
          </w:p>
        </w:tc>
        <w:tc>
          <w:tcPr>
            <w:tcW w:w="891" w:type="dxa"/>
            <w:gridSpan w:val="2"/>
            <w:tcBorders>
              <w:top w:val="nil"/>
              <w:left w:val="nil"/>
              <w:bottom w:val="nil"/>
              <w:right w:val="nil"/>
            </w:tcBorders>
            <w:shd w:val="clear" w:color="auto" w:fill="auto"/>
            <w:noWrap/>
            <w:vAlign w:val="bottom"/>
            <w:hideMark/>
          </w:tcPr>
          <w:p w14:paraId="50E23688" w14:textId="2931007D" w:rsidR="002D2371" w:rsidRPr="002D2371" w:rsidRDefault="002D2371" w:rsidP="002D2371">
            <w:pPr>
              <w:spacing w:after="0" w:line="240" w:lineRule="auto"/>
              <w:jc w:val="right"/>
              <w:rPr>
                <w:sz w:val="18"/>
                <w:szCs w:val="18"/>
                <w:lang w:eastAsia="sk-SK"/>
              </w:rPr>
            </w:pPr>
            <w:r w:rsidRPr="002D2371">
              <w:rPr>
                <w:sz w:val="18"/>
                <w:szCs w:val="18"/>
              </w:rPr>
              <w:t>109 645</w:t>
            </w:r>
          </w:p>
        </w:tc>
      </w:tr>
      <w:tr w:rsidR="00DD5223" w:rsidRPr="002D2371" w14:paraId="179FB203" w14:textId="77777777" w:rsidTr="00DD5223">
        <w:trPr>
          <w:trHeight w:val="416"/>
        </w:trPr>
        <w:tc>
          <w:tcPr>
            <w:tcW w:w="1344" w:type="dxa"/>
            <w:tcBorders>
              <w:top w:val="nil"/>
              <w:left w:val="nil"/>
              <w:bottom w:val="single" w:sz="4" w:space="0" w:color="auto"/>
              <w:right w:val="nil"/>
            </w:tcBorders>
            <w:shd w:val="clear" w:color="auto" w:fill="auto"/>
            <w:noWrap/>
            <w:vAlign w:val="center"/>
            <w:hideMark/>
          </w:tcPr>
          <w:p w14:paraId="068DEC59" w14:textId="77777777" w:rsidR="00DD5223" w:rsidRPr="002D2371" w:rsidRDefault="00DD5223" w:rsidP="00DD5223">
            <w:pPr>
              <w:spacing w:after="0" w:line="240" w:lineRule="auto"/>
              <w:rPr>
                <w:b/>
                <w:bCs/>
                <w:color w:val="000000"/>
                <w:sz w:val="18"/>
                <w:szCs w:val="18"/>
                <w:lang w:eastAsia="sk-SK"/>
              </w:rPr>
            </w:pPr>
            <w:r w:rsidRPr="002D2371">
              <w:rPr>
                <w:b/>
                <w:bCs/>
                <w:color w:val="000000"/>
                <w:sz w:val="18"/>
                <w:szCs w:val="18"/>
                <w:lang w:eastAsia="sk-SK"/>
              </w:rPr>
              <w:t>HDP v s.c.</w:t>
            </w:r>
            <w:r w:rsidRPr="002D2371">
              <w:rPr>
                <w:b/>
                <w:bCs/>
                <w:color w:val="000000"/>
                <w:sz w:val="18"/>
                <w:szCs w:val="18"/>
                <w:vertAlign w:val="superscript"/>
                <w:lang w:eastAsia="sk-SK"/>
              </w:rPr>
              <w:t>1)</w:t>
            </w:r>
          </w:p>
        </w:tc>
        <w:tc>
          <w:tcPr>
            <w:tcW w:w="964" w:type="dxa"/>
            <w:tcBorders>
              <w:top w:val="nil"/>
              <w:left w:val="nil"/>
              <w:bottom w:val="single" w:sz="4" w:space="0" w:color="auto"/>
              <w:right w:val="nil"/>
            </w:tcBorders>
            <w:shd w:val="clear" w:color="auto" w:fill="auto"/>
            <w:noWrap/>
            <w:vAlign w:val="center"/>
            <w:hideMark/>
          </w:tcPr>
          <w:p w14:paraId="0DB0C177" w14:textId="77777777" w:rsidR="00DD5223" w:rsidRPr="002D2371" w:rsidRDefault="00DD5223" w:rsidP="00DD5223">
            <w:pPr>
              <w:spacing w:after="0" w:line="240" w:lineRule="auto"/>
              <w:jc w:val="center"/>
              <w:rPr>
                <w:color w:val="000000"/>
                <w:sz w:val="18"/>
                <w:szCs w:val="18"/>
                <w:lang w:eastAsia="sk-SK"/>
              </w:rPr>
            </w:pPr>
            <w:r w:rsidRPr="002D2371">
              <w:rPr>
                <w:color w:val="000000"/>
                <w:sz w:val="18"/>
                <w:szCs w:val="18"/>
                <w:lang w:eastAsia="sk-SK"/>
              </w:rPr>
              <w:t>%</w:t>
            </w:r>
          </w:p>
        </w:tc>
        <w:tc>
          <w:tcPr>
            <w:tcW w:w="675" w:type="dxa"/>
            <w:tcBorders>
              <w:top w:val="nil"/>
              <w:left w:val="nil"/>
              <w:bottom w:val="single" w:sz="4" w:space="0" w:color="auto"/>
              <w:right w:val="nil"/>
            </w:tcBorders>
            <w:shd w:val="clear" w:color="auto" w:fill="auto"/>
            <w:noWrap/>
            <w:vAlign w:val="center"/>
            <w:hideMark/>
          </w:tcPr>
          <w:p w14:paraId="3C26B1BE" w14:textId="4203D051" w:rsidR="00DD5223" w:rsidRPr="002D2371" w:rsidRDefault="00DD5223" w:rsidP="00DD5223">
            <w:pPr>
              <w:spacing w:after="0" w:line="240" w:lineRule="auto"/>
              <w:jc w:val="right"/>
              <w:rPr>
                <w:b/>
                <w:bCs/>
                <w:color w:val="000000"/>
                <w:sz w:val="18"/>
                <w:szCs w:val="18"/>
                <w:lang w:eastAsia="sk-SK"/>
              </w:rPr>
            </w:pPr>
            <w:r>
              <w:rPr>
                <w:b/>
                <w:bCs/>
                <w:sz w:val="20"/>
                <w:szCs w:val="20"/>
              </w:rPr>
              <w:t>0,6</w:t>
            </w:r>
          </w:p>
        </w:tc>
        <w:tc>
          <w:tcPr>
            <w:tcW w:w="675" w:type="dxa"/>
            <w:tcBorders>
              <w:top w:val="nil"/>
              <w:left w:val="nil"/>
              <w:bottom w:val="single" w:sz="4" w:space="0" w:color="auto"/>
              <w:right w:val="nil"/>
            </w:tcBorders>
            <w:shd w:val="clear" w:color="auto" w:fill="auto"/>
            <w:noWrap/>
            <w:vAlign w:val="center"/>
            <w:hideMark/>
          </w:tcPr>
          <w:p w14:paraId="337DA4E2" w14:textId="7CBA8D38" w:rsidR="00DD5223" w:rsidRPr="002D2371" w:rsidRDefault="00DD5223" w:rsidP="00DD5223">
            <w:pPr>
              <w:spacing w:after="0" w:line="240" w:lineRule="auto"/>
              <w:jc w:val="right"/>
              <w:rPr>
                <w:b/>
                <w:bCs/>
                <w:color w:val="000000"/>
                <w:sz w:val="18"/>
                <w:szCs w:val="18"/>
                <w:lang w:eastAsia="sk-SK"/>
              </w:rPr>
            </w:pPr>
            <w:r>
              <w:rPr>
                <w:b/>
                <w:bCs/>
                <w:sz w:val="20"/>
                <w:szCs w:val="20"/>
              </w:rPr>
              <w:t>2,7</w:t>
            </w:r>
          </w:p>
        </w:tc>
        <w:tc>
          <w:tcPr>
            <w:tcW w:w="675" w:type="dxa"/>
            <w:tcBorders>
              <w:top w:val="nil"/>
              <w:left w:val="nil"/>
              <w:bottom w:val="single" w:sz="4" w:space="0" w:color="auto"/>
              <w:right w:val="nil"/>
            </w:tcBorders>
            <w:shd w:val="clear" w:color="auto" w:fill="auto"/>
            <w:noWrap/>
            <w:vAlign w:val="center"/>
            <w:hideMark/>
          </w:tcPr>
          <w:p w14:paraId="762B4A4A" w14:textId="793CE205" w:rsidR="00DD5223" w:rsidRPr="002D2371" w:rsidRDefault="00DD5223" w:rsidP="00DD5223">
            <w:pPr>
              <w:spacing w:after="0" w:line="240" w:lineRule="auto"/>
              <w:jc w:val="right"/>
              <w:rPr>
                <w:b/>
                <w:bCs/>
                <w:color w:val="000000"/>
                <w:sz w:val="18"/>
                <w:szCs w:val="18"/>
                <w:lang w:eastAsia="sk-SK"/>
              </w:rPr>
            </w:pPr>
            <w:r>
              <w:rPr>
                <w:b/>
                <w:bCs/>
                <w:sz w:val="20"/>
                <w:szCs w:val="20"/>
              </w:rPr>
              <w:t>5,2</w:t>
            </w:r>
          </w:p>
        </w:tc>
        <w:tc>
          <w:tcPr>
            <w:tcW w:w="675" w:type="dxa"/>
            <w:tcBorders>
              <w:top w:val="nil"/>
              <w:left w:val="nil"/>
              <w:bottom w:val="single" w:sz="4" w:space="0" w:color="auto"/>
              <w:right w:val="nil"/>
            </w:tcBorders>
            <w:shd w:val="clear" w:color="auto" w:fill="auto"/>
            <w:noWrap/>
            <w:vAlign w:val="center"/>
            <w:hideMark/>
          </w:tcPr>
          <w:p w14:paraId="75CDF111" w14:textId="383A05E9" w:rsidR="00DD5223" w:rsidRPr="002D2371" w:rsidRDefault="00DD5223" w:rsidP="00DD5223">
            <w:pPr>
              <w:spacing w:after="0" w:line="240" w:lineRule="auto"/>
              <w:jc w:val="right"/>
              <w:rPr>
                <w:b/>
                <w:bCs/>
                <w:color w:val="000000"/>
                <w:sz w:val="18"/>
                <w:szCs w:val="18"/>
                <w:lang w:eastAsia="sk-SK"/>
              </w:rPr>
            </w:pPr>
            <w:r>
              <w:rPr>
                <w:b/>
                <w:bCs/>
                <w:sz w:val="20"/>
                <w:szCs w:val="20"/>
              </w:rPr>
              <w:t>1,9</w:t>
            </w:r>
          </w:p>
        </w:tc>
        <w:tc>
          <w:tcPr>
            <w:tcW w:w="680" w:type="dxa"/>
            <w:tcBorders>
              <w:top w:val="nil"/>
              <w:left w:val="nil"/>
              <w:bottom w:val="single" w:sz="4" w:space="0" w:color="auto"/>
              <w:right w:val="nil"/>
            </w:tcBorders>
            <w:shd w:val="clear" w:color="auto" w:fill="auto"/>
            <w:noWrap/>
            <w:vAlign w:val="center"/>
            <w:hideMark/>
          </w:tcPr>
          <w:p w14:paraId="78A60080" w14:textId="47C533BF" w:rsidR="00DD5223" w:rsidRPr="002D2371" w:rsidRDefault="00DD5223" w:rsidP="00DD5223">
            <w:pPr>
              <w:spacing w:after="0" w:line="240" w:lineRule="auto"/>
              <w:jc w:val="right"/>
              <w:rPr>
                <w:b/>
                <w:bCs/>
                <w:color w:val="000000"/>
                <w:sz w:val="18"/>
                <w:szCs w:val="18"/>
                <w:lang w:eastAsia="sk-SK"/>
              </w:rPr>
            </w:pPr>
            <w:r>
              <w:rPr>
                <w:b/>
                <w:bCs/>
                <w:sz w:val="20"/>
                <w:szCs w:val="20"/>
              </w:rPr>
              <w:t>2,9</w:t>
            </w:r>
          </w:p>
        </w:tc>
        <w:tc>
          <w:tcPr>
            <w:tcW w:w="701" w:type="dxa"/>
            <w:tcBorders>
              <w:top w:val="nil"/>
              <w:left w:val="nil"/>
              <w:bottom w:val="single" w:sz="4" w:space="0" w:color="auto"/>
              <w:right w:val="nil"/>
            </w:tcBorders>
            <w:shd w:val="clear" w:color="auto" w:fill="auto"/>
            <w:noWrap/>
            <w:vAlign w:val="center"/>
            <w:hideMark/>
          </w:tcPr>
          <w:p w14:paraId="136E1AED" w14:textId="1E78E42B" w:rsidR="00DD5223" w:rsidRPr="002D2371" w:rsidRDefault="00DD5223" w:rsidP="00DD5223">
            <w:pPr>
              <w:spacing w:after="0" w:line="240" w:lineRule="auto"/>
              <w:jc w:val="right"/>
              <w:rPr>
                <w:b/>
                <w:bCs/>
                <w:color w:val="000000"/>
                <w:sz w:val="18"/>
                <w:szCs w:val="18"/>
                <w:lang w:eastAsia="sk-SK"/>
              </w:rPr>
            </w:pPr>
            <w:r>
              <w:rPr>
                <w:b/>
                <w:bCs/>
                <w:sz w:val="20"/>
                <w:szCs w:val="20"/>
              </w:rPr>
              <w:t>4,0</w:t>
            </w:r>
          </w:p>
        </w:tc>
        <w:tc>
          <w:tcPr>
            <w:tcW w:w="675" w:type="dxa"/>
            <w:tcBorders>
              <w:top w:val="nil"/>
              <w:left w:val="nil"/>
              <w:bottom w:val="single" w:sz="4" w:space="0" w:color="auto"/>
              <w:right w:val="nil"/>
            </w:tcBorders>
            <w:shd w:val="clear" w:color="auto" w:fill="auto"/>
            <w:noWrap/>
            <w:vAlign w:val="center"/>
            <w:hideMark/>
          </w:tcPr>
          <w:p w14:paraId="020BA349" w14:textId="12BEFA60" w:rsidR="00DD5223" w:rsidRPr="002D2371" w:rsidRDefault="00DD5223" w:rsidP="00DD5223">
            <w:pPr>
              <w:spacing w:after="0" w:line="240" w:lineRule="auto"/>
              <w:jc w:val="right"/>
              <w:rPr>
                <w:b/>
                <w:bCs/>
                <w:color w:val="000000"/>
                <w:sz w:val="18"/>
                <w:szCs w:val="18"/>
                <w:lang w:eastAsia="sk-SK"/>
              </w:rPr>
            </w:pPr>
            <w:r>
              <w:rPr>
                <w:b/>
                <w:bCs/>
                <w:sz w:val="20"/>
                <w:szCs w:val="20"/>
              </w:rPr>
              <w:t>2,5</w:t>
            </w:r>
          </w:p>
        </w:tc>
        <w:tc>
          <w:tcPr>
            <w:tcW w:w="675" w:type="dxa"/>
            <w:gridSpan w:val="2"/>
            <w:tcBorders>
              <w:top w:val="nil"/>
              <w:left w:val="nil"/>
              <w:bottom w:val="single" w:sz="4" w:space="0" w:color="auto"/>
              <w:right w:val="nil"/>
            </w:tcBorders>
            <w:shd w:val="clear" w:color="auto" w:fill="auto"/>
            <w:noWrap/>
            <w:vAlign w:val="center"/>
            <w:hideMark/>
          </w:tcPr>
          <w:p w14:paraId="1383C8F1" w14:textId="38CD32EF" w:rsidR="00DD5223" w:rsidRPr="002D2371" w:rsidRDefault="00DD5223" w:rsidP="00DD5223">
            <w:pPr>
              <w:spacing w:after="0" w:line="240" w:lineRule="auto"/>
              <w:jc w:val="right"/>
              <w:rPr>
                <w:b/>
                <w:bCs/>
                <w:color w:val="000000"/>
                <w:sz w:val="18"/>
                <w:szCs w:val="18"/>
                <w:lang w:eastAsia="sk-SK"/>
              </w:rPr>
            </w:pPr>
            <w:r>
              <w:rPr>
                <w:b/>
                <w:bCs/>
                <w:sz w:val="20"/>
                <w:szCs w:val="20"/>
              </w:rPr>
              <w:t>-3,3</w:t>
            </w:r>
          </w:p>
        </w:tc>
        <w:tc>
          <w:tcPr>
            <w:tcW w:w="770" w:type="dxa"/>
            <w:gridSpan w:val="3"/>
            <w:tcBorders>
              <w:top w:val="nil"/>
              <w:left w:val="nil"/>
              <w:bottom w:val="single" w:sz="4" w:space="0" w:color="auto"/>
              <w:right w:val="nil"/>
            </w:tcBorders>
            <w:shd w:val="clear" w:color="auto" w:fill="auto"/>
            <w:noWrap/>
            <w:vAlign w:val="center"/>
            <w:hideMark/>
          </w:tcPr>
          <w:p w14:paraId="41C0797B" w14:textId="1786ECEB" w:rsidR="00DD5223" w:rsidRPr="002D2371" w:rsidRDefault="00DD5223" w:rsidP="00DD5223">
            <w:pPr>
              <w:spacing w:after="0" w:line="240" w:lineRule="auto"/>
              <w:jc w:val="right"/>
              <w:rPr>
                <w:b/>
                <w:bCs/>
                <w:color w:val="000000"/>
                <w:sz w:val="18"/>
                <w:szCs w:val="18"/>
                <w:lang w:eastAsia="sk-SK"/>
              </w:rPr>
            </w:pPr>
            <w:r>
              <w:rPr>
                <w:b/>
                <w:bCs/>
                <w:sz w:val="20"/>
                <w:szCs w:val="20"/>
              </w:rPr>
              <w:t>4,8</w:t>
            </w:r>
          </w:p>
        </w:tc>
        <w:tc>
          <w:tcPr>
            <w:tcW w:w="891" w:type="dxa"/>
            <w:gridSpan w:val="2"/>
            <w:tcBorders>
              <w:top w:val="nil"/>
              <w:left w:val="nil"/>
              <w:bottom w:val="single" w:sz="4" w:space="0" w:color="auto"/>
              <w:right w:val="nil"/>
            </w:tcBorders>
            <w:shd w:val="clear" w:color="auto" w:fill="auto"/>
            <w:noWrap/>
            <w:vAlign w:val="center"/>
            <w:hideMark/>
          </w:tcPr>
          <w:p w14:paraId="10012972" w14:textId="443FC4B1" w:rsidR="00DD5223" w:rsidRPr="002D2371" w:rsidRDefault="00DD5223" w:rsidP="00DD5223">
            <w:pPr>
              <w:spacing w:after="0" w:line="240" w:lineRule="auto"/>
              <w:jc w:val="right"/>
              <w:rPr>
                <w:b/>
                <w:bCs/>
                <w:color w:val="000000"/>
                <w:sz w:val="18"/>
                <w:szCs w:val="18"/>
                <w:lang w:eastAsia="sk-SK"/>
              </w:rPr>
            </w:pPr>
            <w:r>
              <w:rPr>
                <w:b/>
                <w:bCs/>
                <w:sz w:val="20"/>
                <w:szCs w:val="20"/>
              </w:rPr>
              <w:t>1,8</w:t>
            </w:r>
          </w:p>
        </w:tc>
      </w:tr>
    </w:tbl>
    <w:p w14:paraId="070F22A8" w14:textId="0845110A" w:rsidR="005D6D25" w:rsidRPr="002D2371" w:rsidRDefault="005D6D25" w:rsidP="005D6D25">
      <w:pPr>
        <w:ind w:right="-427"/>
        <w:rPr>
          <w:color w:val="000000"/>
          <w:sz w:val="16"/>
          <w:szCs w:val="16"/>
          <w:lang w:eastAsia="sk-SK"/>
        </w:rPr>
      </w:pPr>
      <w:r w:rsidRPr="002D2371">
        <w:rPr>
          <w:color w:val="000000"/>
          <w:sz w:val="16"/>
          <w:szCs w:val="16"/>
          <w:vertAlign w:val="superscript"/>
          <w:lang w:eastAsia="sk-SK"/>
        </w:rPr>
        <w:t xml:space="preserve">1) </w:t>
      </w:r>
      <w:r w:rsidRPr="002D2371">
        <w:rPr>
          <w:color w:val="000000"/>
          <w:sz w:val="16"/>
          <w:szCs w:val="16"/>
          <w:lang w:eastAsia="sk-SK"/>
        </w:rPr>
        <w:t>Údaje sú v stálych cenách vypočítaných reťazením objemov s použitím referenčného roka 2015.</w:t>
      </w:r>
      <w:r w:rsidRPr="002D2371">
        <w:rPr>
          <w:color w:val="000000"/>
          <w:sz w:val="16"/>
          <w:szCs w:val="16"/>
          <w:lang w:eastAsia="sk-SK"/>
        </w:rPr>
        <w:tab/>
        <w:t xml:space="preserve">                                     Zdroj: </w:t>
      </w:r>
      <w:proofErr w:type="spellStart"/>
      <w:r w:rsidRPr="002D2371">
        <w:rPr>
          <w:color w:val="000000"/>
          <w:sz w:val="16"/>
          <w:szCs w:val="16"/>
          <w:lang w:eastAsia="sk-SK"/>
        </w:rPr>
        <w:t>Eurostat</w:t>
      </w:r>
      <w:proofErr w:type="spellEnd"/>
      <w:r w:rsidRPr="002D2371">
        <w:rPr>
          <w:color w:val="000000"/>
          <w:sz w:val="16"/>
          <w:szCs w:val="16"/>
          <w:lang w:eastAsia="sk-SK"/>
        </w:rPr>
        <w:t>, ŠÚ SR</w:t>
      </w:r>
    </w:p>
    <w:p w14:paraId="78C95A41" w14:textId="77777777" w:rsidR="005E6AAB" w:rsidRDefault="005E6AAB">
      <w:pPr>
        <w:rPr>
          <w:b/>
          <w:bCs/>
          <w:sz w:val="24"/>
          <w:szCs w:val="24"/>
        </w:rPr>
      </w:pPr>
      <w:bookmarkStart w:id="17" w:name="_Toc148704464"/>
      <w:r>
        <w:br w:type="page"/>
      </w:r>
    </w:p>
    <w:p w14:paraId="1E8D5572" w14:textId="0D6863CD" w:rsidR="003D050C" w:rsidRPr="006972E2" w:rsidRDefault="00B051D3" w:rsidP="00B051D3">
      <w:pPr>
        <w:pStyle w:val="Nadpis2"/>
        <w:numPr>
          <w:ilvl w:val="0"/>
          <w:numId w:val="0"/>
        </w:numPr>
        <w:spacing w:after="120"/>
        <w:ind w:left="896"/>
      </w:pPr>
      <w:r w:rsidRPr="006972E2">
        <w:lastRenderedPageBreak/>
        <w:t>1.</w:t>
      </w:r>
      <w:r w:rsidR="008E7556" w:rsidRPr="006972E2">
        <w:t>2</w:t>
      </w:r>
      <w:r w:rsidRPr="006972E2">
        <w:t xml:space="preserve">. </w:t>
      </w:r>
      <w:bookmarkStart w:id="18" w:name="_Toc496786974"/>
      <w:r w:rsidR="00C102B8" w:rsidRPr="006972E2">
        <w:tab/>
      </w:r>
      <w:r w:rsidR="003D050C" w:rsidRPr="006972E2">
        <w:t>Saldo verejnej správy</w:t>
      </w:r>
      <w:bookmarkEnd w:id="18"/>
      <w:bookmarkEnd w:id="17"/>
    </w:p>
    <w:p w14:paraId="53CA9BBE" w14:textId="6749958D" w:rsidR="004C2429" w:rsidRDefault="004C2429" w:rsidP="004C2429">
      <w:pPr>
        <w:spacing w:after="120" w:line="240" w:lineRule="auto"/>
        <w:jc w:val="both"/>
        <w:rPr>
          <w:szCs w:val="22"/>
        </w:rPr>
      </w:pPr>
      <w:r w:rsidRPr="00C37C5F">
        <w:rPr>
          <w:b/>
          <w:szCs w:val="22"/>
        </w:rPr>
        <w:t>Verejná správa SR na základe výsledkov jesennej notifikácie hospodárila v roku 202</w:t>
      </w:r>
      <w:r w:rsidR="005C1511" w:rsidRPr="00C37C5F">
        <w:rPr>
          <w:b/>
          <w:szCs w:val="22"/>
        </w:rPr>
        <w:t>2</w:t>
      </w:r>
      <w:r w:rsidRPr="00C37C5F">
        <w:rPr>
          <w:b/>
          <w:szCs w:val="22"/>
        </w:rPr>
        <w:t xml:space="preserve"> so schodkom </w:t>
      </w:r>
      <w:r w:rsidR="006972E2" w:rsidRPr="00C37C5F">
        <w:rPr>
          <w:b/>
          <w:szCs w:val="22"/>
        </w:rPr>
        <w:t>2 215 563</w:t>
      </w:r>
      <w:r w:rsidRPr="00C37C5F">
        <w:rPr>
          <w:b/>
          <w:szCs w:val="22"/>
        </w:rPr>
        <w:t> tis. eur (</w:t>
      </w:r>
      <w:r w:rsidR="006972E2" w:rsidRPr="00C37C5F">
        <w:rPr>
          <w:b/>
          <w:szCs w:val="22"/>
        </w:rPr>
        <w:t>2,0</w:t>
      </w:r>
      <w:r w:rsidRPr="00C37C5F">
        <w:rPr>
          <w:b/>
          <w:szCs w:val="22"/>
        </w:rPr>
        <w:t> % HDP).</w:t>
      </w:r>
      <w:r w:rsidRPr="00C37C5F">
        <w:rPr>
          <w:szCs w:val="22"/>
        </w:rPr>
        <w:t xml:space="preserve"> </w:t>
      </w:r>
      <w:r w:rsidRPr="00456B04">
        <w:rPr>
          <w:szCs w:val="22"/>
        </w:rPr>
        <w:t>Schodok</w:t>
      </w:r>
      <w:r w:rsidRPr="006972E2">
        <w:rPr>
          <w:szCs w:val="22"/>
        </w:rPr>
        <w:t xml:space="preserve"> v pomere k HDP za rok 202</w:t>
      </w:r>
      <w:r w:rsidR="006972E2" w:rsidRPr="006972E2">
        <w:rPr>
          <w:szCs w:val="22"/>
        </w:rPr>
        <w:t>2 kleso</w:t>
      </w:r>
      <w:r w:rsidRPr="006972E2">
        <w:rPr>
          <w:szCs w:val="22"/>
        </w:rPr>
        <w:t>l oproti roku 202</w:t>
      </w:r>
      <w:r w:rsidR="006972E2" w:rsidRPr="006972E2">
        <w:rPr>
          <w:szCs w:val="22"/>
        </w:rPr>
        <w:t>1</w:t>
      </w:r>
      <w:r w:rsidRPr="006972E2">
        <w:rPr>
          <w:szCs w:val="22"/>
        </w:rPr>
        <w:t xml:space="preserve"> o</w:t>
      </w:r>
      <w:r w:rsidR="006972E2" w:rsidRPr="006972E2">
        <w:rPr>
          <w:szCs w:val="22"/>
        </w:rPr>
        <w:t> 3,2</w:t>
      </w:r>
      <w:r w:rsidRPr="006972E2">
        <w:rPr>
          <w:szCs w:val="22"/>
        </w:rPr>
        <w:t xml:space="preserve"> p. b. </w:t>
      </w:r>
    </w:p>
    <w:p w14:paraId="0CFB26A1" w14:textId="62F6FC07" w:rsidR="006972E2" w:rsidRDefault="006972E2" w:rsidP="006972E2">
      <w:pPr>
        <w:spacing w:after="0" w:line="240" w:lineRule="auto"/>
        <w:jc w:val="both"/>
        <w:rPr>
          <w:szCs w:val="22"/>
        </w:rPr>
      </w:pPr>
      <w:r w:rsidRPr="006972E2">
        <w:rPr>
          <w:b/>
          <w:bCs/>
          <w:color w:val="4F81BD"/>
          <w:sz w:val="20"/>
          <w:szCs w:val="20"/>
          <w:lang w:eastAsia="sk-SK"/>
        </w:rPr>
        <w:t xml:space="preserve">Tabuľka 4 </w:t>
      </w:r>
      <w:r w:rsidRPr="006972E2">
        <w:rPr>
          <w:bCs/>
          <w:color w:val="4F81BD"/>
          <w:sz w:val="20"/>
          <w:szCs w:val="20"/>
          <w:lang w:eastAsia="sk-SK"/>
        </w:rPr>
        <w:t>-</w:t>
      </w:r>
      <w:r w:rsidRPr="006972E2">
        <w:rPr>
          <w:b/>
          <w:bCs/>
          <w:color w:val="4F81BD"/>
          <w:sz w:val="20"/>
          <w:szCs w:val="20"/>
          <w:lang w:eastAsia="sk-SK"/>
        </w:rPr>
        <w:t xml:space="preserve"> Saldo verejnej správy podľa subsektorov (ESA 2010)</w:t>
      </w:r>
    </w:p>
    <w:tbl>
      <w:tblPr>
        <w:tblW w:w="9387" w:type="dxa"/>
        <w:tblCellMar>
          <w:left w:w="70" w:type="dxa"/>
          <w:right w:w="70" w:type="dxa"/>
        </w:tblCellMar>
        <w:tblLook w:val="04A0" w:firstRow="1" w:lastRow="0" w:firstColumn="1" w:lastColumn="0" w:noHBand="0" w:noVBand="1"/>
      </w:tblPr>
      <w:tblGrid>
        <w:gridCol w:w="2963"/>
        <w:gridCol w:w="978"/>
        <w:gridCol w:w="1451"/>
        <w:gridCol w:w="1451"/>
        <w:gridCol w:w="1287"/>
        <w:gridCol w:w="1257"/>
      </w:tblGrid>
      <w:tr w:rsidR="006972E2" w:rsidRPr="006972E2" w14:paraId="1EDFA9B3" w14:textId="77777777" w:rsidTr="006972E2">
        <w:trPr>
          <w:trHeight w:val="269"/>
        </w:trPr>
        <w:tc>
          <w:tcPr>
            <w:tcW w:w="2963" w:type="dxa"/>
            <w:tcBorders>
              <w:top w:val="single" w:sz="4" w:space="0" w:color="auto"/>
              <w:left w:val="nil"/>
              <w:right w:val="nil"/>
            </w:tcBorders>
            <w:shd w:val="clear" w:color="auto" w:fill="auto"/>
            <w:hideMark/>
          </w:tcPr>
          <w:p w14:paraId="71724E6E" w14:textId="77777777" w:rsidR="006972E2" w:rsidRPr="006972E2" w:rsidRDefault="006972E2" w:rsidP="006972E2">
            <w:pPr>
              <w:spacing w:after="0" w:line="240" w:lineRule="auto"/>
              <w:rPr>
                <w:sz w:val="24"/>
                <w:szCs w:val="20"/>
                <w:lang w:eastAsia="sk-SK"/>
              </w:rPr>
            </w:pPr>
          </w:p>
        </w:tc>
        <w:tc>
          <w:tcPr>
            <w:tcW w:w="978" w:type="dxa"/>
            <w:vMerge w:val="restart"/>
            <w:tcBorders>
              <w:top w:val="single" w:sz="4" w:space="0" w:color="auto"/>
              <w:left w:val="nil"/>
              <w:right w:val="nil"/>
            </w:tcBorders>
            <w:shd w:val="clear" w:color="auto" w:fill="auto"/>
            <w:hideMark/>
          </w:tcPr>
          <w:p w14:paraId="4937BE4F"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ESA kód</w:t>
            </w:r>
          </w:p>
        </w:tc>
        <w:tc>
          <w:tcPr>
            <w:tcW w:w="1451" w:type="dxa"/>
            <w:tcBorders>
              <w:top w:val="single" w:sz="4" w:space="0" w:color="auto"/>
              <w:left w:val="nil"/>
              <w:right w:val="nil"/>
            </w:tcBorders>
            <w:shd w:val="clear" w:color="auto" w:fill="auto"/>
            <w:noWrap/>
            <w:hideMark/>
          </w:tcPr>
          <w:p w14:paraId="7A8CA959"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 HDP</w:t>
            </w:r>
          </w:p>
        </w:tc>
        <w:tc>
          <w:tcPr>
            <w:tcW w:w="1451" w:type="dxa"/>
            <w:tcBorders>
              <w:top w:val="single" w:sz="4" w:space="0" w:color="auto"/>
              <w:left w:val="nil"/>
              <w:right w:val="nil"/>
            </w:tcBorders>
            <w:shd w:val="clear" w:color="auto" w:fill="auto"/>
            <w:noWrap/>
            <w:hideMark/>
          </w:tcPr>
          <w:p w14:paraId="0149B492"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 HDP</w:t>
            </w:r>
          </w:p>
        </w:tc>
        <w:tc>
          <w:tcPr>
            <w:tcW w:w="1287" w:type="dxa"/>
            <w:tcBorders>
              <w:top w:val="single" w:sz="4" w:space="0" w:color="auto"/>
              <w:left w:val="nil"/>
              <w:right w:val="nil"/>
            </w:tcBorders>
            <w:shd w:val="clear" w:color="auto" w:fill="auto"/>
            <w:noWrap/>
            <w:hideMark/>
          </w:tcPr>
          <w:p w14:paraId="03A0F49F"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 HDP</w:t>
            </w:r>
          </w:p>
        </w:tc>
        <w:tc>
          <w:tcPr>
            <w:tcW w:w="1257" w:type="dxa"/>
            <w:tcBorders>
              <w:top w:val="single" w:sz="4" w:space="0" w:color="auto"/>
              <w:left w:val="nil"/>
              <w:right w:val="nil"/>
            </w:tcBorders>
            <w:shd w:val="clear" w:color="auto" w:fill="auto"/>
            <w:hideMark/>
          </w:tcPr>
          <w:p w14:paraId="50D5385A"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tis. eur</w:t>
            </w:r>
          </w:p>
        </w:tc>
      </w:tr>
      <w:tr w:rsidR="006972E2" w:rsidRPr="006972E2" w14:paraId="7EFDF515" w14:textId="77777777" w:rsidTr="006972E2">
        <w:trPr>
          <w:trHeight w:val="269"/>
        </w:trPr>
        <w:tc>
          <w:tcPr>
            <w:tcW w:w="2963" w:type="dxa"/>
            <w:tcBorders>
              <w:left w:val="nil"/>
              <w:bottom w:val="single" w:sz="4" w:space="0" w:color="auto"/>
              <w:right w:val="nil"/>
            </w:tcBorders>
            <w:shd w:val="clear" w:color="auto" w:fill="auto"/>
            <w:hideMark/>
          </w:tcPr>
          <w:p w14:paraId="057DF9D1" w14:textId="77777777" w:rsidR="006972E2" w:rsidRPr="006972E2" w:rsidRDefault="006972E2" w:rsidP="006972E2">
            <w:pPr>
              <w:spacing w:after="0" w:line="240" w:lineRule="auto"/>
              <w:rPr>
                <w:sz w:val="20"/>
                <w:szCs w:val="20"/>
                <w:lang w:eastAsia="sk-SK"/>
              </w:rPr>
            </w:pPr>
            <w:r w:rsidRPr="006972E2">
              <w:rPr>
                <w:sz w:val="20"/>
                <w:szCs w:val="20"/>
                <w:lang w:eastAsia="sk-SK"/>
              </w:rPr>
              <w:t> </w:t>
            </w:r>
          </w:p>
        </w:tc>
        <w:tc>
          <w:tcPr>
            <w:tcW w:w="978" w:type="dxa"/>
            <w:vMerge/>
            <w:tcBorders>
              <w:left w:val="nil"/>
              <w:bottom w:val="single" w:sz="4" w:space="0" w:color="000000"/>
              <w:right w:val="nil"/>
            </w:tcBorders>
            <w:vAlign w:val="center"/>
            <w:hideMark/>
          </w:tcPr>
          <w:p w14:paraId="4CE58CD5" w14:textId="77777777" w:rsidR="006972E2" w:rsidRPr="006972E2" w:rsidRDefault="006972E2" w:rsidP="006972E2">
            <w:pPr>
              <w:spacing w:after="0" w:line="240" w:lineRule="auto"/>
              <w:rPr>
                <w:b/>
                <w:bCs/>
                <w:sz w:val="20"/>
                <w:szCs w:val="20"/>
                <w:lang w:eastAsia="sk-SK"/>
              </w:rPr>
            </w:pPr>
          </w:p>
        </w:tc>
        <w:tc>
          <w:tcPr>
            <w:tcW w:w="1451" w:type="dxa"/>
            <w:tcBorders>
              <w:left w:val="nil"/>
              <w:bottom w:val="single" w:sz="4" w:space="0" w:color="auto"/>
              <w:right w:val="nil"/>
            </w:tcBorders>
            <w:shd w:val="clear" w:color="auto" w:fill="auto"/>
            <w:hideMark/>
          </w:tcPr>
          <w:p w14:paraId="1D58B347"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2020 S</w:t>
            </w:r>
          </w:p>
        </w:tc>
        <w:tc>
          <w:tcPr>
            <w:tcW w:w="1451" w:type="dxa"/>
            <w:tcBorders>
              <w:left w:val="nil"/>
              <w:bottom w:val="single" w:sz="4" w:space="0" w:color="auto"/>
              <w:right w:val="nil"/>
            </w:tcBorders>
            <w:shd w:val="clear" w:color="auto" w:fill="auto"/>
            <w:hideMark/>
          </w:tcPr>
          <w:p w14:paraId="6EE273D8"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2021 S</w:t>
            </w:r>
          </w:p>
        </w:tc>
        <w:tc>
          <w:tcPr>
            <w:tcW w:w="1287" w:type="dxa"/>
            <w:tcBorders>
              <w:left w:val="nil"/>
              <w:bottom w:val="single" w:sz="4" w:space="0" w:color="auto"/>
              <w:right w:val="nil"/>
            </w:tcBorders>
            <w:shd w:val="clear" w:color="auto" w:fill="auto"/>
            <w:hideMark/>
          </w:tcPr>
          <w:p w14:paraId="0083297F"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2022 S</w:t>
            </w:r>
          </w:p>
        </w:tc>
        <w:tc>
          <w:tcPr>
            <w:tcW w:w="1257" w:type="dxa"/>
            <w:tcBorders>
              <w:left w:val="nil"/>
              <w:bottom w:val="single" w:sz="4" w:space="0" w:color="auto"/>
              <w:right w:val="nil"/>
            </w:tcBorders>
            <w:shd w:val="clear" w:color="auto" w:fill="auto"/>
            <w:hideMark/>
          </w:tcPr>
          <w:p w14:paraId="42DBA2B6" w14:textId="77777777" w:rsidR="006972E2" w:rsidRPr="006972E2" w:rsidRDefault="006972E2" w:rsidP="006972E2">
            <w:pPr>
              <w:spacing w:after="0" w:line="240" w:lineRule="auto"/>
              <w:jc w:val="center"/>
              <w:rPr>
                <w:b/>
                <w:bCs/>
                <w:sz w:val="20"/>
                <w:szCs w:val="20"/>
                <w:lang w:eastAsia="sk-SK"/>
              </w:rPr>
            </w:pPr>
            <w:r w:rsidRPr="006972E2">
              <w:rPr>
                <w:b/>
                <w:bCs/>
                <w:sz w:val="20"/>
                <w:szCs w:val="20"/>
                <w:lang w:eastAsia="sk-SK"/>
              </w:rPr>
              <w:t>2022 S</w:t>
            </w:r>
          </w:p>
        </w:tc>
      </w:tr>
      <w:tr w:rsidR="006972E2" w:rsidRPr="006972E2" w14:paraId="74419650" w14:textId="77777777" w:rsidTr="006972E2">
        <w:trPr>
          <w:trHeight w:val="348"/>
        </w:trPr>
        <w:tc>
          <w:tcPr>
            <w:tcW w:w="2963" w:type="dxa"/>
            <w:tcBorders>
              <w:top w:val="nil"/>
              <w:left w:val="nil"/>
              <w:bottom w:val="nil"/>
              <w:right w:val="nil"/>
            </w:tcBorders>
            <w:shd w:val="clear" w:color="auto" w:fill="auto"/>
            <w:vAlign w:val="center"/>
            <w:hideMark/>
          </w:tcPr>
          <w:p w14:paraId="6FB0318B" w14:textId="77777777" w:rsidR="006972E2" w:rsidRPr="006972E2" w:rsidRDefault="006972E2" w:rsidP="006972E2">
            <w:pPr>
              <w:spacing w:after="0" w:line="240" w:lineRule="auto"/>
              <w:rPr>
                <w:sz w:val="20"/>
                <w:szCs w:val="20"/>
                <w:lang w:eastAsia="sk-SK"/>
              </w:rPr>
            </w:pPr>
            <w:r w:rsidRPr="006972E2">
              <w:rPr>
                <w:sz w:val="20"/>
                <w:szCs w:val="20"/>
                <w:lang w:eastAsia="sk-SK"/>
              </w:rPr>
              <w:t>1. Verejná správa</w:t>
            </w:r>
          </w:p>
        </w:tc>
        <w:tc>
          <w:tcPr>
            <w:tcW w:w="978" w:type="dxa"/>
            <w:tcBorders>
              <w:top w:val="nil"/>
              <w:left w:val="nil"/>
              <w:bottom w:val="nil"/>
              <w:right w:val="nil"/>
            </w:tcBorders>
            <w:shd w:val="clear" w:color="auto" w:fill="auto"/>
            <w:vAlign w:val="center"/>
            <w:hideMark/>
          </w:tcPr>
          <w:p w14:paraId="556998B5"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S.13</w:t>
            </w:r>
          </w:p>
        </w:tc>
        <w:tc>
          <w:tcPr>
            <w:tcW w:w="1451" w:type="dxa"/>
            <w:tcBorders>
              <w:top w:val="nil"/>
              <w:left w:val="nil"/>
              <w:bottom w:val="nil"/>
              <w:right w:val="nil"/>
            </w:tcBorders>
            <w:shd w:val="clear" w:color="auto" w:fill="auto"/>
            <w:vAlign w:val="center"/>
            <w:hideMark/>
          </w:tcPr>
          <w:p w14:paraId="4F14314B"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-5,4</w:t>
            </w:r>
          </w:p>
        </w:tc>
        <w:tc>
          <w:tcPr>
            <w:tcW w:w="1451" w:type="dxa"/>
            <w:tcBorders>
              <w:top w:val="nil"/>
              <w:left w:val="nil"/>
              <w:bottom w:val="nil"/>
              <w:right w:val="nil"/>
            </w:tcBorders>
            <w:shd w:val="clear" w:color="auto" w:fill="auto"/>
            <w:vAlign w:val="center"/>
            <w:hideMark/>
          </w:tcPr>
          <w:p w14:paraId="54B3E668"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-5,2</w:t>
            </w:r>
          </w:p>
        </w:tc>
        <w:tc>
          <w:tcPr>
            <w:tcW w:w="1287" w:type="dxa"/>
            <w:tcBorders>
              <w:top w:val="nil"/>
              <w:left w:val="nil"/>
              <w:bottom w:val="nil"/>
              <w:right w:val="nil"/>
            </w:tcBorders>
            <w:shd w:val="clear" w:color="auto" w:fill="auto"/>
            <w:vAlign w:val="center"/>
            <w:hideMark/>
          </w:tcPr>
          <w:p w14:paraId="149B0DA8"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-2,0</w:t>
            </w:r>
          </w:p>
        </w:tc>
        <w:tc>
          <w:tcPr>
            <w:tcW w:w="1257" w:type="dxa"/>
            <w:tcBorders>
              <w:top w:val="nil"/>
              <w:left w:val="nil"/>
              <w:bottom w:val="nil"/>
              <w:right w:val="nil"/>
            </w:tcBorders>
            <w:shd w:val="clear" w:color="auto" w:fill="auto"/>
            <w:vAlign w:val="center"/>
            <w:hideMark/>
          </w:tcPr>
          <w:p w14:paraId="1B67B2C3" w14:textId="77777777" w:rsidR="006972E2" w:rsidRPr="006972E2" w:rsidRDefault="006972E2" w:rsidP="006972E2">
            <w:pPr>
              <w:spacing w:after="0" w:line="240" w:lineRule="auto"/>
              <w:jc w:val="right"/>
              <w:rPr>
                <w:sz w:val="20"/>
                <w:szCs w:val="20"/>
                <w:lang w:eastAsia="sk-SK"/>
              </w:rPr>
            </w:pPr>
            <w:r w:rsidRPr="006972E2">
              <w:rPr>
                <w:sz w:val="20"/>
                <w:szCs w:val="20"/>
                <w:lang w:eastAsia="sk-SK"/>
              </w:rPr>
              <w:t>-2 215 563</w:t>
            </w:r>
          </w:p>
        </w:tc>
      </w:tr>
      <w:tr w:rsidR="006972E2" w:rsidRPr="006972E2" w14:paraId="530106F0" w14:textId="77777777" w:rsidTr="006972E2">
        <w:trPr>
          <w:trHeight w:val="348"/>
        </w:trPr>
        <w:tc>
          <w:tcPr>
            <w:tcW w:w="2963" w:type="dxa"/>
            <w:tcBorders>
              <w:top w:val="nil"/>
              <w:left w:val="nil"/>
              <w:bottom w:val="nil"/>
              <w:right w:val="nil"/>
            </w:tcBorders>
            <w:shd w:val="clear" w:color="auto" w:fill="auto"/>
            <w:vAlign w:val="center"/>
            <w:hideMark/>
          </w:tcPr>
          <w:p w14:paraId="1330731A" w14:textId="77777777" w:rsidR="006972E2" w:rsidRPr="006972E2" w:rsidRDefault="006972E2" w:rsidP="006972E2">
            <w:pPr>
              <w:spacing w:after="0" w:line="240" w:lineRule="auto"/>
              <w:rPr>
                <w:sz w:val="20"/>
                <w:szCs w:val="20"/>
                <w:lang w:eastAsia="sk-SK"/>
              </w:rPr>
            </w:pPr>
            <w:r w:rsidRPr="006972E2">
              <w:rPr>
                <w:sz w:val="20"/>
                <w:szCs w:val="20"/>
                <w:lang w:eastAsia="sk-SK"/>
              </w:rPr>
              <w:t>2. Ústredná štátna správa</w:t>
            </w:r>
          </w:p>
        </w:tc>
        <w:tc>
          <w:tcPr>
            <w:tcW w:w="978" w:type="dxa"/>
            <w:tcBorders>
              <w:top w:val="nil"/>
              <w:left w:val="nil"/>
              <w:bottom w:val="nil"/>
              <w:right w:val="nil"/>
            </w:tcBorders>
            <w:shd w:val="clear" w:color="auto" w:fill="auto"/>
            <w:vAlign w:val="center"/>
            <w:hideMark/>
          </w:tcPr>
          <w:p w14:paraId="44BC5F9F"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S.1311</w:t>
            </w:r>
          </w:p>
        </w:tc>
        <w:tc>
          <w:tcPr>
            <w:tcW w:w="1451" w:type="dxa"/>
            <w:tcBorders>
              <w:top w:val="nil"/>
              <w:left w:val="nil"/>
              <w:bottom w:val="nil"/>
              <w:right w:val="nil"/>
            </w:tcBorders>
            <w:shd w:val="clear" w:color="auto" w:fill="auto"/>
            <w:vAlign w:val="center"/>
            <w:hideMark/>
          </w:tcPr>
          <w:p w14:paraId="09AD32ED"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-5,9</w:t>
            </w:r>
          </w:p>
        </w:tc>
        <w:tc>
          <w:tcPr>
            <w:tcW w:w="1451" w:type="dxa"/>
            <w:tcBorders>
              <w:top w:val="nil"/>
              <w:left w:val="nil"/>
              <w:bottom w:val="nil"/>
              <w:right w:val="nil"/>
            </w:tcBorders>
            <w:shd w:val="clear" w:color="auto" w:fill="auto"/>
            <w:vAlign w:val="center"/>
            <w:hideMark/>
          </w:tcPr>
          <w:p w14:paraId="5487719B"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-5,4</w:t>
            </w:r>
          </w:p>
        </w:tc>
        <w:tc>
          <w:tcPr>
            <w:tcW w:w="1287" w:type="dxa"/>
            <w:tcBorders>
              <w:top w:val="nil"/>
              <w:left w:val="nil"/>
              <w:bottom w:val="nil"/>
              <w:right w:val="nil"/>
            </w:tcBorders>
            <w:shd w:val="clear" w:color="auto" w:fill="auto"/>
            <w:vAlign w:val="center"/>
            <w:hideMark/>
          </w:tcPr>
          <w:p w14:paraId="6B1E3A65"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-1,7</w:t>
            </w:r>
          </w:p>
        </w:tc>
        <w:tc>
          <w:tcPr>
            <w:tcW w:w="1257" w:type="dxa"/>
            <w:tcBorders>
              <w:top w:val="nil"/>
              <w:left w:val="nil"/>
              <w:bottom w:val="nil"/>
              <w:right w:val="nil"/>
            </w:tcBorders>
            <w:shd w:val="clear" w:color="auto" w:fill="auto"/>
            <w:vAlign w:val="center"/>
            <w:hideMark/>
          </w:tcPr>
          <w:p w14:paraId="01B334E6" w14:textId="77777777" w:rsidR="006972E2" w:rsidRPr="006972E2" w:rsidRDefault="006972E2" w:rsidP="006972E2">
            <w:pPr>
              <w:spacing w:after="0" w:line="240" w:lineRule="auto"/>
              <w:jc w:val="right"/>
              <w:rPr>
                <w:sz w:val="20"/>
                <w:szCs w:val="20"/>
                <w:lang w:eastAsia="sk-SK"/>
              </w:rPr>
            </w:pPr>
            <w:r w:rsidRPr="006972E2">
              <w:rPr>
                <w:sz w:val="20"/>
                <w:szCs w:val="20"/>
                <w:lang w:eastAsia="sk-SK"/>
              </w:rPr>
              <w:t>-1 891 376</w:t>
            </w:r>
          </w:p>
        </w:tc>
      </w:tr>
      <w:tr w:rsidR="006972E2" w:rsidRPr="006972E2" w14:paraId="70AF29A4" w14:textId="77777777" w:rsidTr="006972E2">
        <w:trPr>
          <w:trHeight w:val="348"/>
        </w:trPr>
        <w:tc>
          <w:tcPr>
            <w:tcW w:w="2963" w:type="dxa"/>
            <w:tcBorders>
              <w:top w:val="nil"/>
              <w:left w:val="nil"/>
              <w:bottom w:val="nil"/>
              <w:right w:val="nil"/>
            </w:tcBorders>
            <w:shd w:val="clear" w:color="auto" w:fill="auto"/>
            <w:vAlign w:val="center"/>
            <w:hideMark/>
          </w:tcPr>
          <w:p w14:paraId="6974058C" w14:textId="77777777" w:rsidR="006972E2" w:rsidRPr="006972E2" w:rsidRDefault="006972E2" w:rsidP="006972E2">
            <w:pPr>
              <w:spacing w:after="0" w:line="240" w:lineRule="auto"/>
              <w:rPr>
                <w:sz w:val="20"/>
                <w:szCs w:val="20"/>
                <w:lang w:eastAsia="sk-SK"/>
              </w:rPr>
            </w:pPr>
            <w:r w:rsidRPr="006972E2">
              <w:rPr>
                <w:sz w:val="20"/>
                <w:szCs w:val="20"/>
                <w:lang w:eastAsia="sk-SK"/>
              </w:rPr>
              <w:t>3. Miestna samospráva</w:t>
            </w:r>
          </w:p>
        </w:tc>
        <w:tc>
          <w:tcPr>
            <w:tcW w:w="978" w:type="dxa"/>
            <w:tcBorders>
              <w:top w:val="nil"/>
              <w:left w:val="nil"/>
              <w:bottom w:val="nil"/>
              <w:right w:val="nil"/>
            </w:tcBorders>
            <w:shd w:val="clear" w:color="auto" w:fill="auto"/>
            <w:vAlign w:val="center"/>
            <w:hideMark/>
          </w:tcPr>
          <w:p w14:paraId="2305ACF8"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S.1313</w:t>
            </w:r>
          </w:p>
        </w:tc>
        <w:tc>
          <w:tcPr>
            <w:tcW w:w="1451" w:type="dxa"/>
            <w:tcBorders>
              <w:top w:val="nil"/>
              <w:left w:val="nil"/>
              <w:bottom w:val="nil"/>
              <w:right w:val="nil"/>
            </w:tcBorders>
            <w:shd w:val="clear" w:color="auto" w:fill="auto"/>
            <w:vAlign w:val="center"/>
            <w:hideMark/>
          </w:tcPr>
          <w:p w14:paraId="2BC96928"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0,2</w:t>
            </w:r>
          </w:p>
        </w:tc>
        <w:tc>
          <w:tcPr>
            <w:tcW w:w="1451" w:type="dxa"/>
            <w:tcBorders>
              <w:top w:val="nil"/>
              <w:left w:val="nil"/>
              <w:bottom w:val="nil"/>
              <w:right w:val="nil"/>
            </w:tcBorders>
            <w:shd w:val="clear" w:color="auto" w:fill="auto"/>
            <w:vAlign w:val="center"/>
            <w:hideMark/>
          </w:tcPr>
          <w:p w14:paraId="68D3ECCF"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0,0</w:t>
            </w:r>
          </w:p>
        </w:tc>
        <w:tc>
          <w:tcPr>
            <w:tcW w:w="1287" w:type="dxa"/>
            <w:tcBorders>
              <w:top w:val="nil"/>
              <w:left w:val="nil"/>
              <w:bottom w:val="nil"/>
              <w:right w:val="nil"/>
            </w:tcBorders>
            <w:shd w:val="clear" w:color="auto" w:fill="auto"/>
            <w:vAlign w:val="center"/>
            <w:hideMark/>
          </w:tcPr>
          <w:p w14:paraId="2530B3C4"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-0,4</w:t>
            </w:r>
          </w:p>
        </w:tc>
        <w:tc>
          <w:tcPr>
            <w:tcW w:w="1257" w:type="dxa"/>
            <w:tcBorders>
              <w:top w:val="nil"/>
              <w:left w:val="nil"/>
              <w:bottom w:val="nil"/>
              <w:right w:val="nil"/>
            </w:tcBorders>
            <w:shd w:val="clear" w:color="auto" w:fill="auto"/>
            <w:vAlign w:val="center"/>
            <w:hideMark/>
          </w:tcPr>
          <w:p w14:paraId="586D35A0" w14:textId="77777777" w:rsidR="006972E2" w:rsidRPr="006972E2" w:rsidRDefault="006972E2" w:rsidP="006972E2">
            <w:pPr>
              <w:spacing w:after="0" w:line="240" w:lineRule="auto"/>
              <w:jc w:val="right"/>
              <w:rPr>
                <w:sz w:val="20"/>
                <w:szCs w:val="20"/>
                <w:lang w:eastAsia="sk-SK"/>
              </w:rPr>
            </w:pPr>
            <w:r w:rsidRPr="006972E2">
              <w:rPr>
                <w:sz w:val="20"/>
                <w:szCs w:val="20"/>
                <w:lang w:eastAsia="sk-SK"/>
              </w:rPr>
              <w:t>-412 174</w:t>
            </w:r>
          </w:p>
        </w:tc>
      </w:tr>
      <w:tr w:rsidR="006972E2" w:rsidRPr="006972E2" w14:paraId="2E90B3AA" w14:textId="77777777" w:rsidTr="006972E2">
        <w:trPr>
          <w:trHeight w:val="348"/>
        </w:trPr>
        <w:tc>
          <w:tcPr>
            <w:tcW w:w="2963" w:type="dxa"/>
            <w:tcBorders>
              <w:top w:val="nil"/>
              <w:left w:val="nil"/>
              <w:bottom w:val="single" w:sz="4" w:space="0" w:color="auto"/>
              <w:right w:val="nil"/>
            </w:tcBorders>
            <w:shd w:val="clear" w:color="auto" w:fill="auto"/>
            <w:vAlign w:val="center"/>
            <w:hideMark/>
          </w:tcPr>
          <w:p w14:paraId="0ADD75B6" w14:textId="77777777" w:rsidR="006972E2" w:rsidRPr="006972E2" w:rsidRDefault="006972E2" w:rsidP="006972E2">
            <w:pPr>
              <w:spacing w:after="0" w:line="240" w:lineRule="auto"/>
              <w:rPr>
                <w:sz w:val="20"/>
                <w:szCs w:val="20"/>
                <w:lang w:eastAsia="sk-SK"/>
              </w:rPr>
            </w:pPr>
            <w:r w:rsidRPr="006972E2">
              <w:rPr>
                <w:sz w:val="20"/>
                <w:szCs w:val="20"/>
                <w:lang w:eastAsia="sk-SK"/>
              </w:rPr>
              <w:t>4. Fondy sociálneho zabezpečenia</w:t>
            </w:r>
          </w:p>
        </w:tc>
        <w:tc>
          <w:tcPr>
            <w:tcW w:w="978" w:type="dxa"/>
            <w:tcBorders>
              <w:top w:val="nil"/>
              <w:left w:val="nil"/>
              <w:bottom w:val="single" w:sz="4" w:space="0" w:color="auto"/>
              <w:right w:val="nil"/>
            </w:tcBorders>
            <w:shd w:val="clear" w:color="auto" w:fill="auto"/>
            <w:vAlign w:val="center"/>
            <w:hideMark/>
          </w:tcPr>
          <w:p w14:paraId="6CF987C7"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S.1314</w:t>
            </w:r>
          </w:p>
        </w:tc>
        <w:tc>
          <w:tcPr>
            <w:tcW w:w="1451" w:type="dxa"/>
            <w:tcBorders>
              <w:top w:val="nil"/>
              <w:left w:val="nil"/>
              <w:bottom w:val="single" w:sz="4" w:space="0" w:color="auto"/>
              <w:right w:val="nil"/>
            </w:tcBorders>
            <w:shd w:val="clear" w:color="auto" w:fill="auto"/>
            <w:vAlign w:val="center"/>
            <w:hideMark/>
          </w:tcPr>
          <w:p w14:paraId="3BDAD421"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0,3</w:t>
            </w:r>
          </w:p>
        </w:tc>
        <w:tc>
          <w:tcPr>
            <w:tcW w:w="1451" w:type="dxa"/>
            <w:tcBorders>
              <w:top w:val="nil"/>
              <w:left w:val="nil"/>
              <w:bottom w:val="single" w:sz="4" w:space="0" w:color="auto"/>
              <w:right w:val="nil"/>
            </w:tcBorders>
            <w:shd w:val="clear" w:color="auto" w:fill="auto"/>
            <w:vAlign w:val="center"/>
            <w:hideMark/>
          </w:tcPr>
          <w:p w14:paraId="5508D320"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0,3</w:t>
            </w:r>
          </w:p>
        </w:tc>
        <w:tc>
          <w:tcPr>
            <w:tcW w:w="1287" w:type="dxa"/>
            <w:tcBorders>
              <w:top w:val="nil"/>
              <w:left w:val="nil"/>
              <w:bottom w:val="single" w:sz="4" w:space="0" w:color="auto"/>
              <w:right w:val="nil"/>
            </w:tcBorders>
            <w:shd w:val="clear" w:color="auto" w:fill="auto"/>
            <w:vAlign w:val="center"/>
            <w:hideMark/>
          </w:tcPr>
          <w:p w14:paraId="4E9843FF" w14:textId="77777777" w:rsidR="006972E2" w:rsidRPr="006972E2" w:rsidRDefault="006972E2" w:rsidP="006972E2">
            <w:pPr>
              <w:spacing w:after="0" w:line="240" w:lineRule="auto"/>
              <w:jc w:val="center"/>
              <w:rPr>
                <w:sz w:val="20"/>
                <w:szCs w:val="20"/>
                <w:lang w:eastAsia="sk-SK"/>
              </w:rPr>
            </w:pPr>
            <w:r w:rsidRPr="006972E2">
              <w:rPr>
                <w:sz w:val="20"/>
                <w:szCs w:val="20"/>
                <w:lang w:eastAsia="sk-SK"/>
              </w:rPr>
              <w:t>0,1</w:t>
            </w:r>
          </w:p>
        </w:tc>
        <w:tc>
          <w:tcPr>
            <w:tcW w:w="1257" w:type="dxa"/>
            <w:tcBorders>
              <w:top w:val="nil"/>
              <w:left w:val="nil"/>
              <w:bottom w:val="single" w:sz="4" w:space="0" w:color="auto"/>
              <w:right w:val="nil"/>
            </w:tcBorders>
            <w:shd w:val="clear" w:color="auto" w:fill="auto"/>
            <w:vAlign w:val="center"/>
            <w:hideMark/>
          </w:tcPr>
          <w:p w14:paraId="42757184" w14:textId="77777777" w:rsidR="006972E2" w:rsidRPr="006972E2" w:rsidRDefault="006972E2" w:rsidP="006972E2">
            <w:pPr>
              <w:spacing w:after="0" w:line="240" w:lineRule="auto"/>
              <w:jc w:val="right"/>
              <w:rPr>
                <w:sz w:val="20"/>
                <w:szCs w:val="20"/>
                <w:lang w:eastAsia="sk-SK"/>
              </w:rPr>
            </w:pPr>
            <w:r w:rsidRPr="006972E2">
              <w:rPr>
                <w:sz w:val="20"/>
                <w:szCs w:val="20"/>
                <w:lang w:eastAsia="sk-SK"/>
              </w:rPr>
              <w:t>87 987</w:t>
            </w:r>
          </w:p>
        </w:tc>
      </w:tr>
    </w:tbl>
    <w:p w14:paraId="659F11EA" w14:textId="2BC1A6E0" w:rsidR="004C2429" w:rsidRPr="006972E2" w:rsidRDefault="004C2429" w:rsidP="004C2429">
      <w:pPr>
        <w:spacing w:after="0" w:line="240" w:lineRule="auto"/>
        <w:ind w:right="-143"/>
        <w:rPr>
          <w:iCs/>
          <w:sz w:val="16"/>
          <w:szCs w:val="16"/>
          <w:lang w:eastAsia="sk-SK"/>
        </w:rPr>
      </w:pPr>
      <w:r w:rsidRPr="006972E2">
        <w:rPr>
          <w:iCs/>
          <w:sz w:val="16"/>
          <w:szCs w:val="16"/>
          <w:lang w:eastAsia="sk-SK"/>
        </w:rPr>
        <w:t>Hodnoty v tabuľke sú zaokrúhlené na jedno desatinné miesto.</w:t>
      </w:r>
      <w:r w:rsidRPr="006972E2">
        <w:rPr>
          <w:iCs/>
          <w:sz w:val="16"/>
          <w:szCs w:val="16"/>
          <w:lang w:eastAsia="sk-SK"/>
        </w:rPr>
        <w:tab/>
      </w:r>
      <w:r w:rsidRPr="006972E2">
        <w:rPr>
          <w:iCs/>
          <w:sz w:val="16"/>
          <w:szCs w:val="16"/>
          <w:lang w:eastAsia="sk-SK"/>
        </w:rPr>
        <w:tab/>
      </w:r>
      <w:r w:rsidRPr="006972E2">
        <w:rPr>
          <w:iCs/>
          <w:sz w:val="16"/>
          <w:szCs w:val="16"/>
          <w:lang w:eastAsia="sk-SK"/>
        </w:rPr>
        <w:tab/>
      </w:r>
      <w:r w:rsidRPr="006972E2">
        <w:rPr>
          <w:iCs/>
          <w:sz w:val="16"/>
          <w:szCs w:val="16"/>
          <w:lang w:eastAsia="sk-SK"/>
        </w:rPr>
        <w:tab/>
      </w:r>
      <w:r w:rsidRPr="006972E2">
        <w:rPr>
          <w:iCs/>
          <w:sz w:val="16"/>
          <w:szCs w:val="16"/>
          <w:lang w:eastAsia="sk-SK"/>
        </w:rPr>
        <w:tab/>
        <w:t xml:space="preserve">                   Zdroj: </w:t>
      </w:r>
      <w:proofErr w:type="spellStart"/>
      <w:r w:rsidRPr="006972E2">
        <w:rPr>
          <w:iCs/>
          <w:sz w:val="16"/>
          <w:szCs w:val="16"/>
          <w:lang w:eastAsia="sk-SK"/>
        </w:rPr>
        <w:t>Eurostat</w:t>
      </w:r>
      <w:proofErr w:type="spellEnd"/>
      <w:r w:rsidRPr="006972E2">
        <w:rPr>
          <w:iCs/>
          <w:sz w:val="16"/>
          <w:szCs w:val="16"/>
          <w:lang w:eastAsia="sk-SK"/>
        </w:rPr>
        <w:t>, ŠÚSR</w:t>
      </w:r>
    </w:p>
    <w:p w14:paraId="227F20FD" w14:textId="77777777" w:rsidR="004C2429" w:rsidRPr="006972E2" w:rsidRDefault="004C2429" w:rsidP="004C2429">
      <w:pPr>
        <w:spacing w:after="0" w:line="240" w:lineRule="auto"/>
        <w:rPr>
          <w:iCs/>
          <w:sz w:val="16"/>
          <w:szCs w:val="16"/>
          <w:lang w:eastAsia="sk-SK"/>
        </w:rPr>
      </w:pPr>
      <w:r w:rsidRPr="006972E2">
        <w:rPr>
          <w:iCs/>
          <w:sz w:val="16"/>
          <w:szCs w:val="16"/>
          <w:lang w:eastAsia="sk-SK"/>
        </w:rPr>
        <w:t xml:space="preserve">Miestna samospráva je totožná v národnej legislatíve s pojmom územná samospráva. </w:t>
      </w:r>
    </w:p>
    <w:p w14:paraId="2FE2479E" w14:textId="77777777" w:rsidR="005E6AAB" w:rsidRDefault="005E6AAB" w:rsidP="00EB54C1">
      <w:pPr>
        <w:spacing w:after="0" w:line="240" w:lineRule="auto"/>
        <w:jc w:val="both"/>
        <w:rPr>
          <w:szCs w:val="22"/>
        </w:rPr>
      </w:pPr>
    </w:p>
    <w:p w14:paraId="79C98610" w14:textId="3EE0917E" w:rsidR="00F625BB" w:rsidRPr="00F625BB" w:rsidRDefault="004C2429" w:rsidP="00EB54C1">
      <w:pPr>
        <w:spacing w:after="0" w:line="240" w:lineRule="auto"/>
        <w:jc w:val="both"/>
        <w:rPr>
          <w:szCs w:val="22"/>
        </w:rPr>
      </w:pPr>
      <w:r w:rsidRPr="005C614B">
        <w:rPr>
          <w:szCs w:val="22"/>
        </w:rPr>
        <w:t xml:space="preserve">Z pohľadu sektorového členenia sa na schodku najviac podieľala ústredná správa a v rámci nej štátny rozpočet so </w:t>
      </w:r>
      <w:r w:rsidRPr="00456B04">
        <w:rPr>
          <w:szCs w:val="22"/>
        </w:rPr>
        <w:t xml:space="preserve">schodkom </w:t>
      </w:r>
      <w:r w:rsidR="005C614B" w:rsidRPr="00456B04">
        <w:rPr>
          <w:szCs w:val="22"/>
          <w:lang w:val="en-US"/>
        </w:rPr>
        <w:t>2 802 067</w:t>
      </w:r>
      <w:r w:rsidRPr="00456B04">
        <w:rPr>
          <w:szCs w:val="22"/>
        </w:rPr>
        <w:t> tis. eur, čo predstavuje oproti roku 202</w:t>
      </w:r>
      <w:r w:rsidR="005C614B" w:rsidRPr="00456B04">
        <w:rPr>
          <w:szCs w:val="22"/>
        </w:rPr>
        <w:t>1</w:t>
      </w:r>
      <w:r w:rsidRPr="00456B04">
        <w:rPr>
          <w:szCs w:val="22"/>
        </w:rPr>
        <w:t xml:space="preserve"> z</w:t>
      </w:r>
      <w:r w:rsidR="005C614B" w:rsidRPr="00456B04">
        <w:rPr>
          <w:szCs w:val="22"/>
        </w:rPr>
        <w:t>lepšen</w:t>
      </w:r>
      <w:r w:rsidRPr="00456B04">
        <w:rPr>
          <w:szCs w:val="22"/>
        </w:rPr>
        <w:t>ie o</w:t>
      </w:r>
      <w:r w:rsidR="005C614B" w:rsidRPr="00456B04">
        <w:rPr>
          <w:szCs w:val="22"/>
        </w:rPr>
        <w:t> 3 379 495</w:t>
      </w:r>
      <w:r w:rsidRPr="00456B04">
        <w:rPr>
          <w:szCs w:val="22"/>
        </w:rPr>
        <w:t xml:space="preserve"> tis. eur. </w:t>
      </w:r>
      <w:r w:rsidR="00DE636B" w:rsidRPr="00F625BB">
        <w:rPr>
          <w:szCs w:val="22"/>
        </w:rPr>
        <w:t>Medziročné zlepšenie hospodárenia</w:t>
      </w:r>
      <w:r w:rsidRPr="00F625BB">
        <w:rPr>
          <w:szCs w:val="22"/>
        </w:rPr>
        <w:t xml:space="preserve"> štátneho rozpočtu bolo spôsobené </w:t>
      </w:r>
      <w:r w:rsidR="00F625BB" w:rsidRPr="00F625BB">
        <w:rPr>
          <w:szCs w:val="22"/>
        </w:rPr>
        <w:t>predovšetkým</w:t>
      </w:r>
      <w:r w:rsidRPr="00F625BB">
        <w:rPr>
          <w:szCs w:val="22"/>
        </w:rPr>
        <w:t xml:space="preserve"> </w:t>
      </w:r>
      <w:r w:rsidR="000720E8">
        <w:rPr>
          <w:szCs w:val="22"/>
        </w:rPr>
        <w:t xml:space="preserve">výrazne </w:t>
      </w:r>
      <w:r w:rsidR="00F625BB" w:rsidRPr="00F625BB">
        <w:rPr>
          <w:szCs w:val="22"/>
        </w:rPr>
        <w:t>vyššími daňovými</w:t>
      </w:r>
      <w:r w:rsidR="00DE636B" w:rsidRPr="00F625BB">
        <w:rPr>
          <w:szCs w:val="22"/>
        </w:rPr>
        <w:t xml:space="preserve"> </w:t>
      </w:r>
      <w:r w:rsidR="00F625BB" w:rsidRPr="00F625BB">
        <w:rPr>
          <w:szCs w:val="22"/>
        </w:rPr>
        <w:t xml:space="preserve">príjmami. Základom nárastu daňových príjmov bol predovšetkým rýchlejší rast nominálnych veličín </w:t>
      </w:r>
      <w:r w:rsidR="000720E8">
        <w:rPr>
          <w:szCs w:val="22"/>
        </w:rPr>
        <w:t>z dôvodu</w:t>
      </w:r>
      <w:r w:rsidR="00F625BB" w:rsidRPr="00F625BB">
        <w:rPr>
          <w:szCs w:val="22"/>
        </w:rPr>
        <w:t xml:space="preserve"> výrazne vyššej infláci</w:t>
      </w:r>
      <w:r w:rsidR="000720E8">
        <w:rPr>
          <w:szCs w:val="22"/>
        </w:rPr>
        <w:t>e, ako aj rast zamestnanosti</w:t>
      </w:r>
      <w:r w:rsidR="00F625BB" w:rsidRPr="00F625BB">
        <w:rPr>
          <w:szCs w:val="22"/>
        </w:rPr>
        <w:t>  a</w:t>
      </w:r>
      <w:r w:rsidR="00F625BB">
        <w:rPr>
          <w:szCs w:val="22"/>
        </w:rPr>
        <w:t xml:space="preserve"> n</w:t>
      </w:r>
      <w:r w:rsidR="00F625BB" w:rsidRPr="00F625BB">
        <w:rPr>
          <w:szCs w:val="22"/>
        </w:rPr>
        <w:t>ové opatrenia resp. lepší vyber daní</w:t>
      </w:r>
      <w:r w:rsidR="000720E8">
        <w:rPr>
          <w:szCs w:val="22"/>
        </w:rPr>
        <w:t>.</w:t>
      </w:r>
      <w:r w:rsidR="00F17797">
        <w:rPr>
          <w:szCs w:val="22"/>
        </w:rPr>
        <w:t xml:space="preserve"> </w:t>
      </w:r>
      <w:r w:rsidR="00F17797" w:rsidRPr="00F17797">
        <w:rPr>
          <w:szCs w:val="22"/>
        </w:rPr>
        <w:t>Naopak negatívne bol deficit ŠR ovplyvnený nárastom čerpania výdavkov určených na financovanie dočasných opatrení spojených s</w:t>
      </w:r>
      <w:r w:rsidR="000720E8">
        <w:rPr>
          <w:szCs w:val="22"/>
        </w:rPr>
        <w:t> konfliktom na Ukrajine</w:t>
      </w:r>
      <w:r w:rsidR="00F17797" w:rsidRPr="00F17797">
        <w:rPr>
          <w:szCs w:val="22"/>
        </w:rPr>
        <w:t xml:space="preserve"> a s kompenzáciou vysokého rastu cien</w:t>
      </w:r>
      <w:r w:rsidR="00027721">
        <w:rPr>
          <w:szCs w:val="22"/>
        </w:rPr>
        <w:t>,</w:t>
      </w:r>
      <w:r w:rsidR="00F17797" w:rsidRPr="00F17797">
        <w:rPr>
          <w:szCs w:val="22"/>
        </w:rPr>
        <w:t xml:space="preserve"> ako aj </w:t>
      </w:r>
      <w:r w:rsidR="000720E8">
        <w:rPr>
          <w:szCs w:val="22"/>
        </w:rPr>
        <w:t xml:space="preserve">dobiehajúcich </w:t>
      </w:r>
      <w:r w:rsidR="00F17797" w:rsidRPr="00F17797">
        <w:rPr>
          <w:szCs w:val="22"/>
        </w:rPr>
        <w:t xml:space="preserve">opatrení na </w:t>
      </w:r>
      <w:r w:rsidR="005E6AAB">
        <w:rPr>
          <w:szCs w:val="22"/>
        </w:rPr>
        <w:t>tlmenie</w:t>
      </w:r>
      <w:r w:rsidR="00F17797" w:rsidRPr="00F17797">
        <w:rPr>
          <w:szCs w:val="22"/>
        </w:rPr>
        <w:t xml:space="preserve"> pandémie</w:t>
      </w:r>
      <w:r w:rsidR="00027721">
        <w:rPr>
          <w:szCs w:val="22"/>
        </w:rPr>
        <w:t xml:space="preserve"> COVID-19</w:t>
      </w:r>
      <w:r w:rsidR="00F17797" w:rsidRPr="00F17797">
        <w:rPr>
          <w:szCs w:val="22"/>
        </w:rPr>
        <w:t>.</w:t>
      </w:r>
    </w:p>
    <w:p w14:paraId="049394CC" w14:textId="77E1D8B6" w:rsidR="004C2429" w:rsidRDefault="004C2429" w:rsidP="00EB54C1">
      <w:pPr>
        <w:spacing w:after="120" w:line="240" w:lineRule="auto"/>
        <w:jc w:val="both"/>
        <w:rPr>
          <w:szCs w:val="22"/>
        </w:rPr>
      </w:pPr>
      <w:r w:rsidRPr="00E80393">
        <w:rPr>
          <w:szCs w:val="22"/>
        </w:rPr>
        <w:t>So schodkom hospodárili aj ďalšie subjekty verejnej správy napríklad</w:t>
      </w:r>
      <w:r w:rsidR="00E80393" w:rsidRPr="00E80393">
        <w:rPr>
          <w:szCs w:val="22"/>
        </w:rPr>
        <w:t xml:space="preserve"> obce vo výške 287 784 tis. eur,</w:t>
      </w:r>
      <w:r w:rsidRPr="00E80393">
        <w:rPr>
          <w:szCs w:val="22"/>
        </w:rPr>
        <w:t xml:space="preserve"> vyššie územné celky vo výške </w:t>
      </w:r>
      <w:r w:rsidR="00E80393" w:rsidRPr="00E80393">
        <w:rPr>
          <w:szCs w:val="22"/>
        </w:rPr>
        <w:t>141 839</w:t>
      </w:r>
      <w:r w:rsidRPr="00E80393">
        <w:rPr>
          <w:szCs w:val="22"/>
        </w:rPr>
        <w:t> tis. eur a</w:t>
      </w:r>
      <w:r w:rsidR="006F75A1">
        <w:rPr>
          <w:szCs w:val="22"/>
        </w:rPr>
        <w:t> Národná diaľničná spoločnosť</w:t>
      </w:r>
      <w:r w:rsidR="00936958" w:rsidRPr="00E80393">
        <w:rPr>
          <w:szCs w:val="22"/>
        </w:rPr>
        <w:t xml:space="preserve"> vo </w:t>
      </w:r>
      <w:r w:rsidRPr="00E80393">
        <w:rPr>
          <w:szCs w:val="22"/>
        </w:rPr>
        <w:t>výške</w:t>
      </w:r>
      <w:r w:rsidR="009D5C48" w:rsidRPr="00E80393">
        <w:rPr>
          <w:szCs w:val="22"/>
        </w:rPr>
        <w:t> </w:t>
      </w:r>
      <w:r w:rsidR="00E80393" w:rsidRPr="00E80393">
        <w:rPr>
          <w:szCs w:val="22"/>
        </w:rPr>
        <w:t>45 578</w:t>
      </w:r>
      <w:r w:rsidRPr="00E80393">
        <w:rPr>
          <w:szCs w:val="22"/>
        </w:rPr>
        <w:t> tis. eur. Najvyššie prebytky v roku 202</w:t>
      </w:r>
      <w:r w:rsidR="00E80393" w:rsidRPr="00E80393">
        <w:rPr>
          <w:szCs w:val="22"/>
        </w:rPr>
        <w:t>2</w:t>
      </w:r>
      <w:r w:rsidRPr="00E80393">
        <w:rPr>
          <w:szCs w:val="22"/>
        </w:rPr>
        <w:t xml:space="preserve"> dosia</w:t>
      </w:r>
      <w:r w:rsidR="00936958" w:rsidRPr="00E80393">
        <w:rPr>
          <w:szCs w:val="22"/>
        </w:rPr>
        <w:t xml:space="preserve">hli </w:t>
      </w:r>
      <w:r w:rsidR="00E80393" w:rsidRPr="00E80393">
        <w:rPr>
          <w:szCs w:val="22"/>
        </w:rPr>
        <w:t>zdravotnícke zariadenia ústrednej správy vo výške 250 011 tis. eur</w:t>
      </w:r>
      <w:r w:rsidR="005E6AAB">
        <w:rPr>
          <w:szCs w:val="22"/>
        </w:rPr>
        <w:t xml:space="preserve"> (ovplyvnené realizáciou oddlžovania)</w:t>
      </w:r>
      <w:r w:rsidR="00E80393" w:rsidRPr="00E80393">
        <w:rPr>
          <w:szCs w:val="22"/>
        </w:rPr>
        <w:t xml:space="preserve">, </w:t>
      </w:r>
      <w:r w:rsidR="009D5C48" w:rsidRPr="00E80393">
        <w:rPr>
          <w:szCs w:val="22"/>
        </w:rPr>
        <w:t>štátne fondy vo výške </w:t>
      </w:r>
      <w:r w:rsidR="00E80393" w:rsidRPr="00E80393">
        <w:rPr>
          <w:szCs w:val="22"/>
        </w:rPr>
        <w:t xml:space="preserve">239 386 tis. eur, ostatné subjekty ústrednej správy vo výške </w:t>
      </w:r>
      <w:r w:rsidR="006F75A1">
        <w:rPr>
          <w:szCs w:val="22"/>
        </w:rPr>
        <w:t>266 361</w:t>
      </w:r>
      <w:r w:rsidR="00E80393" w:rsidRPr="00E80393">
        <w:rPr>
          <w:szCs w:val="22"/>
        </w:rPr>
        <w:t> tis. eur a Železnice SR</w:t>
      </w:r>
      <w:r w:rsidRPr="00E80393">
        <w:rPr>
          <w:szCs w:val="22"/>
        </w:rPr>
        <w:t xml:space="preserve"> vo vý</w:t>
      </w:r>
      <w:r w:rsidR="009D5C48" w:rsidRPr="00E80393">
        <w:rPr>
          <w:szCs w:val="22"/>
        </w:rPr>
        <w:t>ške </w:t>
      </w:r>
      <w:r w:rsidR="00E80393" w:rsidRPr="00E80393">
        <w:rPr>
          <w:szCs w:val="22"/>
        </w:rPr>
        <w:t>106 668</w:t>
      </w:r>
      <w:r w:rsidRPr="00E80393">
        <w:rPr>
          <w:szCs w:val="22"/>
        </w:rPr>
        <w:t xml:space="preserve"> tis. eur. </w:t>
      </w:r>
    </w:p>
    <w:p w14:paraId="1B3625FD" w14:textId="1645215C" w:rsidR="008604F3" w:rsidRPr="008604F3" w:rsidRDefault="008604F3" w:rsidP="008604F3">
      <w:pPr>
        <w:spacing w:after="0" w:line="240" w:lineRule="auto"/>
        <w:ind w:right="-425"/>
        <w:jc w:val="both"/>
        <w:rPr>
          <w:b/>
          <w:szCs w:val="22"/>
        </w:rPr>
      </w:pPr>
      <w:r>
        <w:rPr>
          <w:b/>
          <w:bCs/>
          <w:color w:val="4F81BD"/>
          <w:sz w:val="20"/>
          <w:szCs w:val="20"/>
          <w:lang w:eastAsia="sk-SK"/>
        </w:rPr>
        <w:t>Tabuľka 5</w:t>
      </w:r>
      <w:r w:rsidRPr="006972E2">
        <w:rPr>
          <w:b/>
          <w:bCs/>
          <w:color w:val="4F81BD"/>
          <w:sz w:val="20"/>
          <w:szCs w:val="20"/>
          <w:lang w:eastAsia="sk-SK"/>
        </w:rPr>
        <w:t xml:space="preserve"> </w:t>
      </w:r>
      <w:r w:rsidRPr="006972E2">
        <w:rPr>
          <w:bCs/>
          <w:color w:val="4F81BD"/>
          <w:sz w:val="20"/>
          <w:szCs w:val="20"/>
          <w:lang w:eastAsia="sk-SK"/>
        </w:rPr>
        <w:t>-</w:t>
      </w:r>
      <w:r w:rsidRPr="008604F3">
        <w:t xml:space="preserve"> </w:t>
      </w:r>
      <w:r w:rsidRPr="008604F3">
        <w:rPr>
          <w:b/>
          <w:bCs/>
          <w:color w:val="4F81BD"/>
          <w:sz w:val="20"/>
          <w:szCs w:val="20"/>
          <w:lang w:eastAsia="sk-SK"/>
        </w:rPr>
        <w:t>Schodok verejnej správy podľa jednotlivých subjektov</w:t>
      </w:r>
      <w:r>
        <w:rPr>
          <w:b/>
          <w:bCs/>
          <w:color w:val="4F81BD"/>
          <w:sz w:val="20"/>
          <w:szCs w:val="20"/>
          <w:lang w:eastAsia="sk-SK"/>
        </w:rPr>
        <w:t>/ zložiek                                           v </w:t>
      </w:r>
      <w:r w:rsidRPr="008604F3">
        <w:rPr>
          <w:b/>
          <w:bCs/>
          <w:color w:val="4F81BD"/>
          <w:sz w:val="20"/>
          <w:szCs w:val="20"/>
          <w:lang w:eastAsia="sk-SK"/>
        </w:rPr>
        <w:t>tis.</w:t>
      </w:r>
      <w:r>
        <w:rPr>
          <w:b/>
          <w:bCs/>
          <w:color w:val="4F81BD"/>
          <w:sz w:val="20"/>
          <w:szCs w:val="20"/>
          <w:lang w:eastAsia="sk-SK"/>
        </w:rPr>
        <w:t> </w:t>
      </w:r>
      <w:r w:rsidRPr="008604F3">
        <w:rPr>
          <w:b/>
          <w:bCs/>
          <w:color w:val="4F81BD"/>
          <w:sz w:val="20"/>
          <w:szCs w:val="20"/>
          <w:lang w:eastAsia="sk-SK"/>
        </w:rPr>
        <w:t>eur</w:t>
      </w:r>
    </w:p>
    <w:tbl>
      <w:tblPr>
        <w:tblW w:w="9499" w:type="dxa"/>
        <w:tblCellMar>
          <w:left w:w="70" w:type="dxa"/>
          <w:right w:w="70" w:type="dxa"/>
        </w:tblCellMar>
        <w:tblLook w:val="04A0" w:firstRow="1" w:lastRow="0" w:firstColumn="1" w:lastColumn="0" w:noHBand="0" w:noVBand="1"/>
      </w:tblPr>
      <w:tblGrid>
        <w:gridCol w:w="187"/>
        <w:gridCol w:w="185"/>
        <w:gridCol w:w="2705"/>
        <w:gridCol w:w="88"/>
        <w:gridCol w:w="93"/>
        <w:gridCol w:w="847"/>
        <w:gridCol w:w="76"/>
        <w:gridCol w:w="847"/>
        <w:gridCol w:w="190"/>
        <w:gridCol w:w="168"/>
        <w:gridCol w:w="828"/>
        <w:gridCol w:w="66"/>
        <w:gridCol w:w="168"/>
        <w:gridCol w:w="894"/>
        <w:gridCol w:w="305"/>
        <w:gridCol w:w="894"/>
        <w:gridCol w:w="64"/>
        <w:gridCol w:w="894"/>
      </w:tblGrid>
      <w:tr w:rsidR="004A2841" w:rsidRPr="004A2841" w14:paraId="49D42DD3" w14:textId="77777777" w:rsidTr="005E6AAB">
        <w:trPr>
          <w:trHeight w:val="257"/>
        </w:trPr>
        <w:tc>
          <w:tcPr>
            <w:tcW w:w="187" w:type="dxa"/>
            <w:tcBorders>
              <w:top w:val="single" w:sz="4" w:space="0" w:color="auto"/>
              <w:left w:val="nil"/>
              <w:bottom w:val="nil"/>
              <w:right w:val="nil"/>
            </w:tcBorders>
            <w:shd w:val="clear" w:color="auto" w:fill="auto"/>
            <w:noWrap/>
            <w:vAlign w:val="center"/>
            <w:hideMark/>
          </w:tcPr>
          <w:p w14:paraId="3242ACEE"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2890" w:type="dxa"/>
            <w:gridSpan w:val="2"/>
            <w:tcBorders>
              <w:top w:val="single" w:sz="4" w:space="0" w:color="auto"/>
              <w:left w:val="nil"/>
              <w:bottom w:val="nil"/>
              <w:right w:val="nil"/>
            </w:tcBorders>
            <w:shd w:val="clear" w:color="auto" w:fill="auto"/>
            <w:noWrap/>
            <w:vAlign w:val="center"/>
            <w:hideMark/>
          </w:tcPr>
          <w:p w14:paraId="42F0FEBA"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181" w:type="dxa"/>
            <w:gridSpan w:val="2"/>
            <w:tcBorders>
              <w:top w:val="single" w:sz="4" w:space="0" w:color="auto"/>
              <w:left w:val="nil"/>
              <w:bottom w:val="nil"/>
              <w:right w:val="nil"/>
            </w:tcBorders>
            <w:shd w:val="clear" w:color="auto" w:fill="auto"/>
            <w:noWrap/>
            <w:vAlign w:val="center"/>
            <w:hideMark/>
          </w:tcPr>
          <w:p w14:paraId="3268FE5D"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923" w:type="dxa"/>
            <w:gridSpan w:val="2"/>
            <w:tcBorders>
              <w:top w:val="single" w:sz="4" w:space="0" w:color="auto"/>
              <w:left w:val="nil"/>
              <w:bottom w:val="nil"/>
              <w:right w:val="nil"/>
            </w:tcBorders>
            <w:shd w:val="clear" w:color="auto" w:fill="auto"/>
            <w:noWrap/>
            <w:vAlign w:val="center"/>
            <w:hideMark/>
          </w:tcPr>
          <w:p w14:paraId="00F2F2A2"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2020 S</w:t>
            </w:r>
          </w:p>
        </w:tc>
        <w:tc>
          <w:tcPr>
            <w:tcW w:w="1037" w:type="dxa"/>
            <w:gridSpan w:val="2"/>
            <w:tcBorders>
              <w:top w:val="single" w:sz="4" w:space="0" w:color="auto"/>
              <w:left w:val="nil"/>
              <w:bottom w:val="nil"/>
              <w:right w:val="nil"/>
            </w:tcBorders>
            <w:shd w:val="clear" w:color="auto" w:fill="auto"/>
            <w:noWrap/>
            <w:vAlign w:val="center"/>
            <w:hideMark/>
          </w:tcPr>
          <w:p w14:paraId="0352D0DA"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2021 S</w:t>
            </w:r>
          </w:p>
        </w:tc>
        <w:tc>
          <w:tcPr>
            <w:tcW w:w="1062" w:type="dxa"/>
            <w:gridSpan w:val="3"/>
            <w:tcBorders>
              <w:top w:val="single" w:sz="4" w:space="0" w:color="auto"/>
              <w:left w:val="nil"/>
              <w:bottom w:val="nil"/>
              <w:right w:val="nil"/>
            </w:tcBorders>
            <w:shd w:val="clear" w:color="auto" w:fill="auto"/>
            <w:noWrap/>
            <w:vAlign w:val="center"/>
            <w:hideMark/>
          </w:tcPr>
          <w:p w14:paraId="1B22DDD1"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2022 S</w:t>
            </w:r>
          </w:p>
        </w:tc>
        <w:tc>
          <w:tcPr>
            <w:tcW w:w="1062" w:type="dxa"/>
            <w:gridSpan w:val="2"/>
            <w:tcBorders>
              <w:top w:val="single" w:sz="4" w:space="0" w:color="auto"/>
              <w:left w:val="nil"/>
              <w:bottom w:val="nil"/>
              <w:right w:val="nil"/>
            </w:tcBorders>
            <w:shd w:val="clear" w:color="auto" w:fill="auto"/>
            <w:noWrap/>
            <w:vAlign w:val="center"/>
            <w:hideMark/>
          </w:tcPr>
          <w:p w14:paraId="23A456C1" w14:textId="0BC0D408"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2022 R</w:t>
            </w:r>
            <w:r w:rsidR="00027116">
              <w:rPr>
                <w:b/>
                <w:bCs/>
                <w:sz w:val="18"/>
                <w:szCs w:val="18"/>
                <w:lang w:eastAsia="sk-SK"/>
              </w:rPr>
              <w:t xml:space="preserve"> </w:t>
            </w:r>
            <w:r w:rsidR="00027116">
              <w:rPr>
                <w:b/>
                <w:bCs/>
                <w:sz w:val="18"/>
                <w:szCs w:val="18"/>
                <w:vertAlign w:val="superscript"/>
                <w:lang w:eastAsia="sk-SK"/>
              </w:rPr>
              <w:t>3</w:t>
            </w:r>
            <w:r w:rsidRPr="00027116">
              <w:rPr>
                <w:b/>
                <w:bCs/>
                <w:sz w:val="18"/>
                <w:szCs w:val="18"/>
                <w:vertAlign w:val="superscript"/>
                <w:lang w:eastAsia="sk-SK"/>
              </w:rPr>
              <w:t>)</w:t>
            </w:r>
          </w:p>
        </w:tc>
        <w:tc>
          <w:tcPr>
            <w:tcW w:w="1199" w:type="dxa"/>
            <w:gridSpan w:val="2"/>
            <w:tcBorders>
              <w:top w:val="single" w:sz="4" w:space="0" w:color="auto"/>
              <w:left w:val="nil"/>
              <w:bottom w:val="nil"/>
              <w:right w:val="nil"/>
            </w:tcBorders>
            <w:shd w:val="clear" w:color="auto" w:fill="auto"/>
            <w:noWrap/>
            <w:vAlign w:val="center"/>
            <w:hideMark/>
          </w:tcPr>
          <w:p w14:paraId="72A101AA" w14:textId="18DA6530" w:rsidR="004A2841" w:rsidRPr="004A2841" w:rsidRDefault="00027116" w:rsidP="004A2841">
            <w:pPr>
              <w:spacing w:after="0" w:line="240" w:lineRule="auto"/>
              <w:jc w:val="center"/>
              <w:rPr>
                <w:b/>
                <w:bCs/>
                <w:sz w:val="17"/>
                <w:szCs w:val="17"/>
                <w:lang w:eastAsia="sk-SK"/>
              </w:rPr>
            </w:pPr>
            <w:r>
              <w:rPr>
                <w:b/>
                <w:bCs/>
                <w:sz w:val="17"/>
                <w:szCs w:val="17"/>
                <w:lang w:eastAsia="sk-SK"/>
              </w:rPr>
              <w:t xml:space="preserve">Medziročný </w:t>
            </w:r>
            <w:r w:rsidR="004A2841" w:rsidRPr="004A2841">
              <w:rPr>
                <w:b/>
                <w:bCs/>
                <w:sz w:val="17"/>
                <w:szCs w:val="17"/>
                <w:lang w:eastAsia="sk-SK"/>
              </w:rPr>
              <w:t xml:space="preserve">rozdiel </w:t>
            </w:r>
          </w:p>
        </w:tc>
        <w:tc>
          <w:tcPr>
            <w:tcW w:w="958" w:type="dxa"/>
            <w:gridSpan w:val="2"/>
            <w:tcBorders>
              <w:top w:val="single" w:sz="4" w:space="0" w:color="auto"/>
              <w:left w:val="nil"/>
              <w:bottom w:val="nil"/>
              <w:right w:val="nil"/>
            </w:tcBorders>
            <w:shd w:val="clear" w:color="auto" w:fill="auto"/>
            <w:noWrap/>
            <w:vAlign w:val="center"/>
            <w:hideMark/>
          </w:tcPr>
          <w:p w14:paraId="550982E8" w14:textId="77777777" w:rsidR="00027116" w:rsidRDefault="004A2841" w:rsidP="004A2841">
            <w:pPr>
              <w:spacing w:after="0" w:line="240" w:lineRule="auto"/>
              <w:jc w:val="center"/>
              <w:rPr>
                <w:b/>
                <w:bCs/>
                <w:sz w:val="18"/>
                <w:szCs w:val="18"/>
                <w:lang w:eastAsia="sk-SK"/>
              </w:rPr>
            </w:pPr>
            <w:r w:rsidRPr="004A2841">
              <w:rPr>
                <w:b/>
                <w:bCs/>
                <w:sz w:val="18"/>
                <w:szCs w:val="18"/>
                <w:lang w:eastAsia="sk-SK"/>
              </w:rPr>
              <w:t xml:space="preserve">Rozdiel </w:t>
            </w:r>
          </w:p>
          <w:p w14:paraId="25C9CD42" w14:textId="3BAC1E0C"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S-R</w:t>
            </w:r>
          </w:p>
        </w:tc>
      </w:tr>
      <w:tr w:rsidR="004A2841" w:rsidRPr="004A2841" w14:paraId="2A9718C9" w14:textId="77777777" w:rsidTr="005E6AAB">
        <w:trPr>
          <w:trHeight w:val="257"/>
        </w:trPr>
        <w:tc>
          <w:tcPr>
            <w:tcW w:w="187" w:type="dxa"/>
            <w:tcBorders>
              <w:top w:val="nil"/>
              <w:left w:val="nil"/>
              <w:bottom w:val="single" w:sz="4" w:space="0" w:color="auto"/>
              <w:right w:val="nil"/>
            </w:tcBorders>
            <w:shd w:val="clear" w:color="auto" w:fill="auto"/>
            <w:noWrap/>
            <w:vAlign w:val="center"/>
            <w:hideMark/>
          </w:tcPr>
          <w:p w14:paraId="6BEED11D"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2890" w:type="dxa"/>
            <w:gridSpan w:val="2"/>
            <w:tcBorders>
              <w:top w:val="nil"/>
              <w:left w:val="nil"/>
              <w:bottom w:val="single" w:sz="4" w:space="0" w:color="auto"/>
              <w:right w:val="nil"/>
            </w:tcBorders>
            <w:shd w:val="clear" w:color="auto" w:fill="auto"/>
            <w:noWrap/>
            <w:vAlign w:val="center"/>
            <w:hideMark/>
          </w:tcPr>
          <w:p w14:paraId="43D94118"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181" w:type="dxa"/>
            <w:gridSpan w:val="2"/>
            <w:tcBorders>
              <w:top w:val="nil"/>
              <w:left w:val="nil"/>
              <w:bottom w:val="single" w:sz="4" w:space="0" w:color="auto"/>
              <w:right w:val="nil"/>
            </w:tcBorders>
            <w:shd w:val="clear" w:color="auto" w:fill="auto"/>
            <w:noWrap/>
            <w:vAlign w:val="center"/>
            <w:hideMark/>
          </w:tcPr>
          <w:p w14:paraId="00A2FD6E"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 </w:t>
            </w:r>
          </w:p>
        </w:tc>
        <w:tc>
          <w:tcPr>
            <w:tcW w:w="923" w:type="dxa"/>
            <w:gridSpan w:val="2"/>
            <w:tcBorders>
              <w:top w:val="nil"/>
              <w:left w:val="nil"/>
              <w:bottom w:val="single" w:sz="4" w:space="0" w:color="auto"/>
              <w:right w:val="nil"/>
            </w:tcBorders>
            <w:shd w:val="clear" w:color="auto" w:fill="auto"/>
            <w:noWrap/>
            <w:vAlign w:val="center"/>
            <w:hideMark/>
          </w:tcPr>
          <w:p w14:paraId="07E111EC"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3</w:t>
            </w:r>
          </w:p>
        </w:tc>
        <w:tc>
          <w:tcPr>
            <w:tcW w:w="1037" w:type="dxa"/>
            <w:gridSpan w:val="2"/>
            <w:tcBorders>
              <w:top w:val="nil"/>
              <w:left w:val="nil"/>
              <w:bottom w:val="single" w:sz="4" w:space="0" w:color="auto"/>
              <w:right w:val="nil"/>
            </w:tcBorders>
            <w:shd w:val="clear" w:color="auto" w:fill="auto"/>
            <w:noWrap/>
            <w:vAlign w:val="center"/>
            <w:hideMark/>
          </w:tcPr>
          <w:p w14:paraId="60793D9C"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4</w:t>
            </w:r>
          </w:p>
        </w:tc>
        <w:tc>
          <w:tcPr>
            <w:tcW w:w="1062" w:type="dxa"/>
            <w:gridSpan w:val="3"/>
            <w:tcBorders>
              <w:top w:val="nil"/>
              <w:left w:val="nil"/>
              <w:bottom w:val="single" w:sz="4" w:space="0" w:color="auto"/>
              <w:right w:val="nil"/>
            </w:tcBorders>
            <w:shd w:val="clear" w:color="auto" w:fill="auto"/>
            <w:noWrap/>
            <w:vAlign w:val="center"/>
            <w:hideMark/>
          </w:tcPr>
          <w:p w14:paraId="263D7BD4"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4</w:t>
            </w:r>
          </w:p>
        </w:tc>
        <w:tc>
          <w:tcPr>
            <w:tcW w:w="1062" w:type="dxa"/>
            <w:gridSpan w:val="2"/>
            <w:tcBorders>
              <w:top w:val="nil"/>
              <w:left w:val="nil"/>
              <w:bottom w:val="single" w:sz="4" w:space="0" w:color="auto"/>
              <w:right w:val="nil"/>
            </w:tcBorders>
            <w:shd w:val="clear" w:color="auto" w:fill="auto"/>
            <w:noWrap/>
            <w:vAlign w:val="center"/>
            <w:hideMark/>
          </w:tcPr>
          <w:p w14:paraId="1FC43043"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5</w:t>
            </w:r>
          </w:p>
        </w:tc>
        <w:tc>
          <w:tcPr>
            <w:tcW w:w="1199" w:type="dxa"/>
            <w:gridSpan w:val="2"/>
            <w:tcBorders>
              <w:top w:val="nil"/>
              <w:left w:val="nil"/>
              <w:bottom w:val="single" w:sz="4" w:space="0" w:color="auto"/>
              <w:right w:val="nil"/>
            </w:tcBorders>
            <w:shd w:val="clear" w:color="auto" w:fill="auto"/>
            <w:noWrap/>
            <w:vAlign w:val="center"/>
            <w:hideMark/>
          </w:tcPr>
          <w:p w14:paraId="447C2F50"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6=4-3</w:t>
            </w:r>
          </w:p>
        </w:tc>
        <w:tc>
          <w:tcPr>
            <w:tcW w:w="958" w:type="dxa"/>
            <w:gridSpan w:val="2"/>
            <w:tcBorders>
              <w:top w:val="nil"/>
              <w:left w:val="nil"/>
              <w:bottom w:val="single" w:sz="4" w:space="0" w:color="auto"/>
              <w:right w:val="nil"/>
            </w:tcBorders>
            <w:shd w:val="clear" w:color="auto" w:fill="auto"/>
            <w:noWrap/>
            <w:vAlign w:val="center"/>
            <w:hideMark/>
          </w:tcPr>
          <w:p w14:paraId="6B2FFA02" w14:textId="77777777" w:rsidR="004A2841" w:rsidRPr="004A2841" w:rsidRDefault="004A2841" w:rsidP="004A2841">
            <w:pPr>
              <w:spacing w:after="0" w:line="240" w:lineRule="auto"/>
              <w:jc w:val="center"/>
              <w:rPr>
                <w:b/>
                <w:bCs/>
                <w:sz w:val="18"/>
                <w:szCs w:val="18"/>
                <w:lang w:eastAsia="sk-SK"/>
              </w:rPr>
            </w:pPr>
            <w:r w:rsidRPr="004A2841">
              <w:rPr>
                <w:b/>
                <w:bCs/>
                <w:sz w:val="18"/>
                <w:szCs w:val="18"/>
                <w:lang w:eastAsia="sk-SK"/>
              </w:rPr>
              <w:t>7=4-5</w:t>
            </w:r>
          </w:p>
        </w:tc>
      </w:tr>
      <w:tr w:rsidR="004A2841" w:rsidRPr="004A2841" w14:paraId="3F5AD110" w14:textId="77777777" w:rsidTr="005E6AAB">
        <w:trPr>
          <w:trHeight w:val="257"/>
        </w:trPr>
        <w:tc>
          <w:tcPr>
            <w:tcW w:w="3258" w:type="dxa"/>
            <w:gridSpan w:val="5"/>
            <w:tcBorders>
              <w:top w:val="nil"/>
              <w:left w:val="nil"/>
              <w:bottom w:val="nil"/>
              <w:right w:val="nil"/>
            </w:tcBorders>
            <w:shd w:val="clear" w:color="000000" w:fill="FFFFFF"/>
            <w:noWrap/>
            <w:vAlign w:val="center"/>
            <w:hideMark/>
          </w:tcPr>
          <w:p w14:paraId="019EACD1" w14:textId="77777777" w:rsidR="004A2841" w:rsidRPr="004A2841" w:rsidRDefault="004A2841" w:rsidP="004A2841">
            <w:pPr>
              <w:spacing w:after="0" w:line="240" w:lineRule="auto"/>
              <w:rPr>
                <w:b/>
                <w:bCs/>
                <w:color w:val="000000"/>
                <w:sz w:val="18"/>
                <w:szCs w:val="18"/>
                <w:lang w:eastAsia="sk-SK"/>
              </w:rPr>
            </w:pPr>
            <w:r w:rsidRPr="004A2841">
              <w:rPr>
                <w:b/>
                <w:bCs/>
                <w:color w:val="000000"/>
                <w:sz w:val="18"/>
                <w:szCs w:val="18"/>
                <w:lang w:eastAsia="sk-SK"/>
              </w:rPr>
              <w:t>Ústredná správa, z toho</w:t>
            </w:r>
          </w:p>
        </w:tc>
        <w:tc>
          <w:tcPr>
            <w:tcW w:w="923" w:type="dxa"/>
            <w:gridSpan w:val="2"/>
            <w:tcBorders>
              <w:top w:val="nil"/>
              <w:left w:val="nil"/>
              <w:bottom w:val="nil"/>
              <w:right w:val="nil"/>
            </w:tcBorders>
            <w:shd w:val="clear" w:color="000000" w:fill="FFFFFF"/>
            <w:noWrap/>
            <w:vAlign w:val="center"/>
            <w:hideMark/>
          </w:tcPr>
          <w:p w14:paraId="3F588094"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-5 504 374</w:t>
            </w:r>
          </w:p>
        </w:tc>
        <w:tc>
          <w:tcPr>
            <w:tcW w:w="1037" w:type="dxa"/>
            <w:gridSpan w:val="2"/>
            <w:tcBorders>
              <w:top w:val="nil"/>
              <w:left w:val="nil"/>
              <w:bottom w:val="nil"/>
              <w:right w:val="nil"/>
            </w:tcBorders>
            <w:shd w:val="clear" w:color="000000" w:fill="FFFFFF"/>
            <w:noWrap/>
            <w:vAlign w:val="center"/>
            <w:hideMark/>
          </w:tcPr>
          <w:p w14:paraId="41497F84"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-5 458 924</w:t>
            </w:r>
          </w:p>
        </w:tc>
        <w:tc>
          <w:tcPr>
            <w:tcW w:w="1062" w:type="dxa"/>
            <w:gridSpan w:val="3"/>
            <w:tcBorders>
              <w:top w:val="nil"/>
              <w:left w:val="nil"/>
              <w:bottom w:val="nil"/>
              <w:right w:val="nil"/>
            </w:tcBorders>
            <w:shd w:val="clear" w:color="000000" w:fill="FFFFFF"/>
            <w:noWrap/>
            <w:vAlign w:val="center"/>
            <w:hideMark/>
          </w:tcPr>
          <w:p w14:paraId="3BADB06A"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-1 891 376</w:t>
            </w:r>
          </w:p>
        </w:tc>
        <w:tc>
          <w:tcPr>
            <w:tcW w:w="1062" w:type="dxa"/>
            <w:gridSpan w:val="2"/>
            <w:tcBorders>
              <w:top w:val="nil"/>
              <w:left w:val="nil"/>
              <w:bottom w:val="nil"/>
              <w:right w:val="nil"/>
            </w:tcBorders>
            <w:shd w:val="clear" w:color="000000" w:fill="FFFFFF"/>
            <w:noWrap/>
            <w:vAlign w:val="center"/>
            <w:hideMark/>
          </w:tcPr>
          <w:p w14:paraId="11559499"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-5 462 138</w:t>
            </w:r>
          </w:p>
        </w:tc>
        <w:tc>
          <w:tcPr>
            <w:tcW w:w="1199" w:type="dxa"/>
            <w:gridSpan w:val="2"/>
            <w:tcBorders>
              <w:top w:val="nil"/>
              <w:left w:val="nil"/>
              <w:bottom w:val="nil"/>
              <w:right w:val="nil"/>
            </w:tcBorders>
            <w:shd w:val="clear" w:color="000000" w:fill="FFFFFF"/>
            <w:noWrap/>
            <w:vAlign w:val="center"/>
            <w:hideMark/>
          </w:tcPr>
          <w:p w14:paraId="1B326D01"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3 567 548</w:t>
            </w:r>
          </w:p>
        </w:tc>
        <w:tc>
          <w:tcPr>
            <w:tcW w:w="958" w:type="dxa"/>
            <w:gridSpan w:val="2"/>
            <w:tcBorders>
              <w:top w:val="nil"/>
              <w:left w:val="nil"/>
              <w:bottom w:val="nil"/>
              <w:right w:val="nil"/>
            </w:tcBorders>
            <w:shd w:val="clear" w:color="000000" w:fill="FFFFFF"/>
            <w:noWrap/>
            <w:vAlign w:val="center"/>
            <w:hideMark/>
          </w:tcPr>
          <w:p w14:paraId="788C7469"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3 570 762</w:t>
            </w:r>
          </w:p>
        </w:tc>
      </w:tr>
      <w:tr w:rsidR="004A2841" w:rsidRPr="004A2841" w14:paraId="1E82C73A" w14:textId="77777777" w:rsidTr="005E6AAB">
        <w:trPr>
          <w:trHeight w:val="273"/>
        </w:trPr>
        <w:tc>
          <w:tcPr>
            <w:tcW w:w="187" w:type="dxa"/>
            <w:tcBorders>
              <w:top w:val="nil"/>
              <w:left w:val="nil"/>
              <w:bottom w:val="nil"/>
              <w:right w:val="nil"/>
            </w:tcBorders>
            <w:shd w:val="clear" w:color="000000" w:fill="FFFFFF"/>
            <w:noWrap/>
            <w:vAlign w:val="center"/>
            <w:hideMark/>
          </w:tcPr>
          <w:p w14:paraId="1A13227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6B1DE5ED" w14:textId="77777777" w:rsidR="004A2841" w:rsidRPr="004A2841" w:rsidRDefault="004A2841" w:rsidP="004A2841">
            <w:pPr>
              <w:spacing w:after="0" w:line="240" w:lineRule="auto"/>
              <w:rPr>
                <w:sz w:val="18"/>
                <w:szCs w:val="18"/>
                <w:lang w:eastAsia="sk-SK"/>
              </w:rPr>
            </w:pPr>
            <w:r w:rsidRPr="004A2841">
              <w:rPr>
                <w:sz w:val="18"/>
                <w:szCs w:val="18"/>
                <w:lang w:eastAsia="sk-SK"/>
              </w:rPr>
              <w:t>Štátny rozpočet</w:t>
            </w:r>
            <w:r w:rsidRPr="004A2841">
              <w:rPr>
                <w:sz w:val="18"/>
                <w:szCs w:val="18"/>
                <w:vertAlign w:val="superscript"/>
                <w:lang w:eastAsia="sk-SK"/>
              </w:rPr>
              <w:t>1)</w:t>
            </w:r>
          </w:p>
        </w:tc>
        <w:tc>
          <w:tcPr>
            <w:tcW w:w="923" w:type="dxa"/>
            <w:gridSpan w:val="2"/>
            <w:tcBorders>
              <w:top w:val="nil"/>
              <w:left w:val="nil"/>
              <w:bottom w:val="nil"/>
              <w:right w:val="nil"/>
            </w:tcBorders>
            <w:shd w:val="clear" w:color="000000" w:fill="FFFFFF"/>
            <w:noWrap/>
            <w:vAlign w:val="center"/>
            <w:hideMark/>
          </w:tcPr>
          <w:p w14:paraId="750AA5D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-5 850 431</w:t>
            </w:r>
          </w:p>
        </w:tc>
        <w:tc>
          <w:tcPr>
            <w:tcW w:w="1037" w:type="dxa"/>
            <w:gridSpan w:val="2"/>
            <w:tcBorders>
              <w:top w:val="nil"/>
              <w:left w:val="nil"/>
              <w:bottom w:val="nil"/>
              <w:right w:val="nil"/>
            </w:tcBorders>
            <w:shd w:val="clear" w:color="000000" w:fill="FFFFFF"/>
            <w:noWrap/>
            <w:vAlign w:val="center"/>
            <w:hideMark/>
          </w:tcPr>
          <w:p w14:paraId="3489F75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-6 181 562</w:t>
            </w:r>
          </w:p>
        </w:tc>
        <w:tc>
          <w:tcPr>
            <w:tcW w:w="1062" w:type="dxa"/>
            <w:gridSpan w:val="3"/>
            <w:tcBorders>
              <w:top w:val="nil"/>
              <w:left w:val="nil"/>
              <w:bottom w:val="nil"/>
              <w:right w:val="nil"/>
            </w:tcBorders>
            <w:shd w:val="clear" w:color="000000" w:fill="FFFFFF"/>
            <w:noWrap/>
            <w:vAlign w:val="center"/>
            <w:hideMark/>
          </w:tcPr>
          <w:p w14:paraId="2BE369C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-2 802 067</w:t>
            </w:r>
          </w:p>
        </w:tc>
        <w:tc>
          <w:tcPr>
            <w:tcW w:w="1062" w:type="dxa"/>
            <w:gridSpan w:val="2"/>
            <w:tcBorders>
              <w:top w:val="nil"/>
              <w:left w:val="nil"/>
              <w:bottom w:val="nil"/>
              <w:right w:val="nil"/>
            </w:tcBorders>
            <w:shd w:val="clear" w:color="000000" w:fill="FFFFFF"/>
            <w:noWrap/>
            <w:vAlign w:val="center"/>
            <w:hideMark/>
          </w:tcPr>
          <w:p w14:paraId="4E5EAE1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-5 676 673</w:t>
            </w:r>
          </w:p>
        </w:tc>
        <w:tc>
          <w:tcPr>
            <w:tcW w:w="1199" w:type="dxa"/>
            <w:gridSpan w:val="2"/>
            <w:tcBorders>
              <w:top w:val="nil"/>
              <w:left w:val="nil"/>
              <w:bottom w:val="nil"/>
              <w:right w:val="nil"/>
            </w:tcBorders>
            <w:shd w:val="clear" w:color="000000" w:fill="FFFFFF"/>
            <w:noWrap/>
            <w:vAlign w:val="center"/>
            <w:hideMark/>
          </w:tcPr>
          <w:p w14:paraId="2149B9A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3 379 495</w:t>
            </w:r>
          </w:p>
        </w:tc>
        <w:tc>
          <w:tcPr>
            <w:tcW w:w="958" w:type="dxa"/>
            <w:gridSpan w:val="2"/>
            <w:tcBorders>
              <w:top w:val="nil"/>
              <w:left w:val="nil"/>
              <w:bottom w:val="nil"/>
              <w:right w:val="nil"/>
            </w:tcBorders>
            <w:shd w:val="clear" w:color="000000" w:fill="FFFFFF"/>
            <w:noWrap/>
            <w:vAlign w:val="center"/>
            <w:hideMark/>
          </w:tcPr>
          <w:p w14:paraId="2463AA2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2 874 606</w:t>
            </w:r>
          </w:p>
        </w:tc>
      </w:tr>
      <w:tr w:rsidR="004A2841" w:rsidRPr="004A2841" w14:paraId="0EDD495C" w14:textId="77777777" w:rsidTr="005E6AAB">
        <w:trPr>
          <w:trHeight w:val="257"/>
        </w:trPr>
        <w:tc>
          <w:tcPr>
            <w:tcW w:w="187" w:type="dxa"/>
            <w:tcBorders>
              <w:top w:val="nil"/>
              <w:left w:val="nil"/>
              <w:bottom w:val="nil"/>
              <w:right w:val="nil"/>
            </w:tcBorders>
            <w:shd w:val="clear" w:color="000000" w:fill="FFFFFF"/>
            <w:noWrap/>
            <w:vAlign w:val="center"/>
            <w:hideMark/>
          </w:tcPr>
          <w:p w14:paraId="1A21ACA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18E84494" w14:textId="77777777" w:rsidR="004A2841" w:rsidRPr="004A2841" w:rsidRDefault="004A2841" w:rsidP="004A2841">
            <w:pPr>
              <w:spacing w:after="0" w:line="240" w:lineRule="auto"/>
              <w:rPr>
                <w:sz w:val="18"/>
                <w:szCs w:val="18"/>
                <w:lang w:eastAsia="sk-SK"/>
              </w:rPr>
            </w:pPr>
            <w:r w:rsidRPr="004A2841">
              <w:rPr>
                <w:sz w:val="18"/>
                <w:szCs w:val="18"/>
                <w:lang w:eastAsia="sk-SK"/>
              </w:rPr>
              <w:t>Príspevkové organizácie ústrednej správy</w:t>
            </w:r>
          </w:p>
        </w:tc>
        <w:tc>
          <w:tcPr>
            <w:tcW w:w="923" w:type="dxa"/>
            <w:gridSpan w:val="2"/>
            <w:tcBorders>
              <w:top w:val="nil"/>
              <w:left w:val="nil"/>
              <w:bottom w:val="nil"/>
              <w:right w:val="nil"/>
            </w:tcBorders>
            <w:shd w:val="clear" w:color="000000" w:fill="FFFFFF"/>
            <w:noWrap/>
            <w:vAlign w:val="center"/>
            <w:hideMark/>
          </w:tcPr>
          <w:p w14:paraId="219B9C1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34 154</w:t>
            </w:r>
          </w:p>
        </w:tc>
        <w:tc>
          <w:tcPr>
            <w:tcW w:w="1037" w:type="dxa"/>
            <w:gridSpan w:val="2"/>
            <w:tcBorders>
              <w:top w:val="nil"/>
              <w:left w:val="nil"/>
              <w:bottom w:val="nil"/>
              <w:right w:val="nil"/>
            </w:tcBorders>
            <w:shd w:val="clear" w:color="000000" w:fill="FFFFFF"/>
            <w:noWrap/>
            <w:vAlign w:val="center"/>
            <w:hideMark/>
          </w:tcPr>
          <w:p w14:paraId="69BED16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-838</w:t>
            </w:r>
          </w:p>
        </w:tc>
        <w:tc>
          <w:tcPr>
            <w:tcW w:w="1062" w:type="dxa"/>
            <w:gridSpan w:val="3"/>
            <w:tcBorders>
              <w:top w:val="nil"/>
              <w:left w:val="nil"/>
              <w:bottom w:val="nil"/>
              <w:right w:val="nil"/>
            </w:tcBorders>
            <w:shd w:val="clear" w:color="000000" w:fill="FFFFFF"/>
            <w:noWrap/>
            <w:vAlign w:val="center"/>
            <w:hideMark/>
          </w:tcPr>
          <w:p w14:paraId="5875249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44 011</w:t>
            </w:r>
          </w:p>
        </w:tc>
        <w:tc>
          <w:tcPr>
            <w:tcW w:w="1062" w:type="dxa"/>
            <w:gridSpan w:val="2"/>
            <w:tcBorders>
              <w:top w:val="nil"/>
              <w:left w:val="nil"/>
              <w:bottom w:val="nil"/>
              <w:right w:val="nil"/>
            </w:tcBorders>
            <w:shd w:val="clear" w:color="000000" w:fill="FFFFFF"/>
            <w:noWrap/>
            <w:vAlign w:val="center"/>
            <w:hideMark/>
          </w:tcPr>
          <w:p w14:paraId="210A184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-3 370</w:t>
            </w:r>
          </w:p>
        </w:tc>
        <w:tc>
          <w:tcPr>
            <w:tcW w:w="1199" w:type="dxa"/>
            <w:gridSpan w:val="2"/>
            <w:tcBorders>
              <w:top w:val="nil"/>
              <w:left w:val="nil"/>
              <w:bottom w:val="nil"/>
              <w:right w:val="nil"/>
            </w:tcBorders>
            <w:shd w:val="clear" w:color="000000" w:fill="FFFFFF"/>
            <w:noWrap/>
            <w:vAlign w:val="center"/>
            <w:hideMark/>
          </w:tcPr>
          <w:p w14:paraId="1B51A6E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44 849</w:t>
            </w:r>
          </w:p>
        </w:tc>
        <w:tc>
          <w:tcPr>
            <w:tcW w:w="958" w:type="dxa"/>
            <w:gridSpan w:val="2"/>
            <w:tcBorders>
              <w:top w:val="nil"/>
              <w:left w:val="nil"/>
              <w:bottom w:val="nil"/>
              <w:right w:val="nil"/>
            </w:tcBorders>
            <w:shd w:val="clear" w:color="000000" w:fill="FFFFFF"/>
            <w:noWrap/>
            <w:vAlign w:val="center"/>
            <w:hideMark/>
          </w:tcPr>
          <w:p w14:paraId="267C6FE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47 381</w:t>
            </w:r>
          </w:p>
        </w:tc>
      </w:tr>
      <w:tr w:rsidR="004A2841" w:rsidRPr="004A2841" w14:paraId="32DDFC3E" w14:textId="77777777" w:rsidTr="005E6AAB">
        <w:trPr>
          <w:trHeight w:val="257"/>
        </w:trPr>
        <w:tc>
          <w:tcPr>
            <w:tcW w:w="187" w:type="dxa"/>
            <w:tcBorders>
              <w:top w:val="nil"/>
              <w:left w:val="nil"/>
              <w:bottom w:val="nil"/>
              <w:right w:val="nil"/>
            </w:tcBorders>
            <w:shd w:val="clear" w:color="000000" w:fill="FFFFFF"/>
            <w:noWrap/>
            <w:vAlign w:val="center"/>
            <w:hideMark/>
          </w:tcPr>
          <w:p w14:paraId="5A54057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6463A004" w14:textId="77777777" w:rsidR="004A2841" w:rsidRPr="004A2841" w:rsidRDefault="004A2841" w:rsidP="004A2841">
            <w:pPr>
              <w:spacing w:after="0" w:line="240" w:lineRule="auto"/>
              <w:rPr>
                <w:sz w:val="18"/>
                <w:szCs w:val="18"/>
                <w:lang w:eastAsia="sk-SK"/>
              </w:rPr>
            </w:pPr>
            <w:r w:rsidRPr="004A2841">
              <w:rPr>
                <w:sz w:val="18"/>
                <w:szCs w:val="18"/>
                <w:lang w:eastAsia="sk-SK"/>
              </w:rPr>
              <w:t>Štátne fondy</w:t>
            </w:r>
          </w:p>
        </w:tc>
        <w:tc>
          <w:tcPr>
            <w:tcW w:w="923" w:type="dxa"/>
            <w:gridSpan w:val="2"/>
            <w:tcBorders>
              <w:top w:val="nil"/>
              <w:left w:val="nil"/>
              <w:bottom w:val="nil"/>
              <w:right w:val="nil"/>
            </w:tcBorders>
            <w:shd w:val="clear" w:color="000000" w:fill="FFFFFF"/>
            <w:noWrap/>
            <w:vAlign w:val="center"/>
            <w:hideMark/>
          </w:tcPr>
          <w:p w14:paraId="5CFEB336"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243 605</w:t>
            </w:r>
          </w:p>
        </w:tc>
        <w:tc>
          <w:tcPr>
            <w:tcW w:w="1037" w:type="dxa"/>
            <w:gridSpan w:val="2"/>
            <w:tcBorders>
              <w:top w:val="nil"/>
              <w:left w:val="nil"/>
              <w:bottom w:val="nil"/>
              <w:right w:val="nil"/>
            </w:tcBorders>
            <w:shd w:val="clear" w:color="000000" w:fill="FFFFFF"/>
            <w:noWrap/>
            <w:vAlign w:val="center"/>
            <w:hideMark/>
          </w:tcPr>
          <w:p w14:paraId="322DFED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252 755</w:t>
            </w:r>
          </w:p>
        </w:tc>
        <w:tc>
          <w:tcPr>
            <w:tcW w:w="1062" w:type="dxa"/>
            <w:gridSpan w:val="3"/>
            <w:tcBorders>
              <w:top w:val="nil"/>
              <w:left w:val="nil"/>
              <w:bottom w:val="nil"/>
              <w:right w:val="nil"/>
            </w:tcBorders>
            <w:shd w:val="clear" w:color="000000" w:fill="FFFFFF"/>
            <w:noWrap/>
            <w:vAlign w:val="center"/>
            <w:hideMark/>
          </w:tcPr>
          <w:p w14:paraId="2995C72F"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239 386</w:t>
            </w:r>
          </w:p>
        </w:tc>
        <w:tc>
          <w:tcPr>
            <w:tcW w:w="1062" w:type="dxa"/>
            <w:gridSpan w:val="2"/>
            <w:tcBorders>
              <w:top w:val="nil"/>
              <w:left w:val="nil"/>
              <w:bottom w:val="nil"/>
              <w:right w:val="nil"/>
            </w:tcBorders>
            <w:shd w:val="clear" w:color="000000" w:fill="FFFFFF"/>
            <w:noWrap/>
            <w:vAlign w:val="center"/>
            <w:hideMark/>
          </w:tcPr>
          <w:p w14:paraId="72072A7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199 472</w:t>
            </w:r>
          </w:p>
        </w:tc>
        <w:tc>
          <w:tcPr>
            <w:tcW w:w="1199" w:type="dxa"/>
            <w:gridSpan w:val="2"/>
            <w:tcBorders>
              <w:top w:val="nil"/>
              <w:left w:val="nil"/>
              <w:bottom w:val="nil"/>
              <w:right w:val="nil"/>
            </w:tcBorders>
            <w:shd w:val="clear" w:color="000000" w:fill="FFFFFF"/>
            <w:noWrap/>
            <w:vAlign w:val="center"/>
            <w:hideMark/>
          </w:tcPr>
          <w:p w14:paraId="17F41F2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-13 369</w:t>
            </w:r>
          </w:p>
        </w:tc>
        <w:tc>
          <w:tcPr>
            <w:tcW w:w="958" w:type="dxa"/>
            <w:gridSpan w:val="2"/>
            <w:tcBorders>
              <w:top w:val="nil"/>
              <w:left w:val="nil"/>
              <w:bottom w:val="nil"/>
              <w:right w:val="nil"/>
            </w:tcBorders>
            <w:shd w:val="clear" w:color="000000" w:fill="FFFFFF"/>
            <w:noWrap/>
            <w:vAlign w:val="center"/>
            <w:hideMark/>
          </w:tcPr>
          <w:p w14:paraId="0B5ABBA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39 914</w:t>
            </w:r>
          </w:p>
        </w:tc>
      </w:tr>
      <w:tr w:rsidR="004A2841" w:rsidRPr="004A2841" w14:paraId="554BAEF9" w14:textId="77777777" w:rsidTr="005E6AAB">
        <w:trPr>
          <w:trHeight w:val="257"/>
        </w:trPr>
        <w:tc>
          <w:tcPr>
            <w:tcW w:w="187" w:type="dxa"/>
            <w:tcBorders>
              <w:top w:val="nil"/>
              <w:left w:val="nil"/>
              <w:bottom w:val="nil"/>
              <w:right w:val="nil"/>
            </w:tcBorders>
            <w:shd w:val="clear" w:color="000000" w:fill="FFFFFF"/>
            <w:noWrap/>
            <w:vAlign w:val="center"/>
            <w:hideMark/>
          </w:tcPr>
          <w:p w14:paraId="092292B2"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0E6264AC" w14:textId="77777777" w:rsidR="004A2841" w:rsidRPr="004A2841" w:rsidRDefault="004A2841" w:rsidP="004A2841">
            <w:pPr>
              <w:spacing w:after="0" w:line="240" w:lineRule="auto"/>
              <w:rPr>
                <w:sz w:val="18"/>
                <w:szCs w:val="18"/>
                <w:lang w:eastAsia="sk-SK"/>
              </w:rPr>
            </w:pPr>
            <w:r w:rsidRPr="004A2841">
              <w:rPr>
                <w:sz w:val="18"/>
                <w:szCs w:val="18"/>
                <w:lang w:eastAsia="sk-SK"/>
              </w:rPr>
              <w:t>Obchodné spoločnosti štátu</w:t>
            </w:r>
          </w:p>
        </w:tc>
        <w:tc>
          <w:tcPr>
            <w:tcW w:w="923" w:type="dxa"/>
            <w:gridSpan w:val="2"/>
            <w:tcBorders>
              <w:top w:val="nil"/>
              <w:left w:val="nil"/>
              <w:bottom w:val="nil"/>
              <w:right w:val="nil"/>
            </w:tcBorders>
            <w:shd w:val="clear" w:color="000000" w:fill="FFFFFF"/>
            <w:noWrap/>
            <w:vAlign w:val="center"/>
            <w:hideMark/>
          </w:tcPr>
          <w:p w14:paraId="6FBCE23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4 574</w:t>
            </w:r>
          </w:p>
        </w:tc>
        <w:tc>
          <w:tcPr>
            <w:tcW w:w="1037" w:type="dxa"/>
            <w:gridSpan w:val="2"/>
            <w:tcBorders>
              <w:top w:val="nil"/>
              <w:left w:val="nil"/>
              <w:bottom w:val="nil"/>
              <w:right w:val="nil"/>
            </w:tcBorders>
            <w:shd w:val="clear" w:color="000000" w:fill="FFFFFF"/>
            <w:noWrap/>
            <w:vAlign w:val="center"/>
            <w:hideMark/>
          </w:tcPr>
          <w:p w14:paraId="3C3E451F"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333 569</w:t>
            </w:r>
          </w:p>
        </w:tc>
        <w:tc>
          <w:tcPr>
            <w:tcW w:w="1062" w:type="dxa"/>
            <w:gridSpan w:val="3"/>
            <w:tcBorders>
              <w:top w:val="nil"/>
              <w:left w:val="nil"/>
              <w:bottom w:val="nil"/>
              <w:right w:val="nil"/>
            </w:tcBorders>
            <w:shd w:val="clear" w:color="000000" w:fill="FFFFFF"/>
            <w:noWrap/>
            <w:vAlign w:val="center"/>
            <w:hideMark/>
          </w:tcPr>
          <w:p w14:paraId="3BEE8F8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110 414</w:t>
            </w:r>
          </w:p>
        </w:tc>
        <w:tc>
          <w:tcPr>
            <w:tcW w:w="1062" w:type="dxa"/>
            <w:gridSpan w:val="2"/>
            <w:tcBorders>
              <w:top w:val="nil"/>
              <w:left w:val="nil"/>
              <w:bottom w:val="nil"/>
              <w:right w:val="nil"/>
            </w:tcBorders>
            <w:shd w:val="clear" w:color="000000" w:fill="FFFFFF"/>
            <w:noWrap/>
            <w:vAlign w:val="center"/>
            <w:hideMark/>
          </w:tcPr>
          <w:p w14:paraId="4A04082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-24 984</w:t>
            </w:r>
          </w:p>
        </w:tc>
        <w:tc>
          <w:tcPr>
            <w:tcW w:w="1199" w:type="dxa"/>
            <w:gridSpan w:val="2"/>
            <w:tcBorders>
              <w:top w:val="nil"/>
              <w:left w:val="nil"/>
              <w:bottom w:val="nil"/>
              <w:right w:val="nil"/>
            </w:tcBorders>
            <w:shd w:val="clear" w:color="000000" w:fill="FFFFFF"/>
            <w:noWrap/>
            <w:vAlign w:val="center"/>
            <w:hideMark/>
          </w:tcPr>
          <w:p w14:paraId="17B9942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-223 155</w:t>
            </w:r>
          </w:p>
        </w:tc>
        <w:tc>
          <w:tcPr>
            <w:tcW w:w="958" w:type="dxa"/>
            <w:gridSpan w:val="2"/>
            <w:tcBorders>
              <w:top w:val="nil"/>
              <w:left w:val="nil"/>
              <w:bottom w:val="nil"/>
              <w:right w:val="nil"/>
            </w:tcBorders>
            <w:shd w:val="clear" w:color="000000" w:fill="FFFFFF"/>
            <w:noWrap/>
            <w:vAlign w:val="center"/>
            <w:hideMark/>
          </w:tcPr>
          <w:p w14:paraId="4575DA7C"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135 398</w:t>
            </w:r>
          </w:p>
        </w:tc>
      </w:tr>
      <w:tr w:rsidR="004A2841" w:rsidRPr="004A2841" w14:paraId="37DD1E19" w14:textId="77777777" w:rsidTr="005E6AAB">
        <w:trPr>
          <w:gridAfter w:val="1"/>
          <w:wAfter w:w="894" w:type="dxa"/>
          <w:trHeight w:val="257"/>
        </w:trPr>
        <w:tc>
          <w:tcPr>
            <w:tcW w:w="187" w:type="dxa"/>
            <w:tcBorders>
              <w:top w:val="nil"/>
              <w:left w:val="nil"/>
              <w:bottom w:val="nil"/>
              <w:right w:val="nil"/>
            </w:tcBorders>
            <w:shd w:val="clear" w:color="000000" w:fill="FFFFFF"/>
            <w:noWrap/>
            <w:vAlign w:val="center"/>
            <w:hideMark/>
          </w:tcPr>
          <w:p w14:paraId="53845DD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auto" w:fill="auto"/>
            <w:noWrap/>
            <w:vAlign w:val="bottom"/>
            <w:hideMark/>
          </w:tcPr>
          <w:p w14:paraId="1810398D" w14:textId="77777777" w:rsidR="004A2841" w:rsidRPr="004A2841" w:rsidRDefault="004A2841" w:rsidP="004A2841">
            <w:pPr>
              <w:spacing w:after="0" w:line="240" w:lineRule="auto"/>
              <w:jc w:val="right"/>
              <w:rPr>
                <w:sz w:val="18"/>
                <w:szCs w:val="18"/>
                <w:lang w:eastAsia="sk-SK"/>
              </w:rPr>
            </w:pPr>
          </w:p>
        </w:tc>
        <w:tc>
          <w:tcPr>
            <w:tcW w:w="2793" w:type="dxa"/>
            <w:gridSpan w:val="2"/>
            <w:tcBorders>
              <w:top w:val="nil"/>
              <w:left w:val="nil"/>
              <w:bottom w:val="nil"/>
              <w:right w:val="nil"/>
            </w:tcBorders>
            <w:shd w:val="clear" w:color="000000" w:fill="FFFFFF"/>
            <w:noWrap/>
            <w:vAlign w:val="center"/>
            <w:hideMark/>
          </w:tcPr>
          <w:p w14:paraId="417C9E27" w14:textId="77777777" w:rsidR="004A2841" w:rsidRPr="004A2841" w:rsidRDefault="004A2841" w:rsidP="004A2841">
            <w:pPr>
              <w:spacing w:after="0" w:line="240" w:lineRule="auto"/>
              <w:rPr>
                <w:sz w:val="18"/>
                <w:szCs w:val="18"/>
                <w:lang w:eastAsia="sk-SK"/>
              </w:rPr>
            </w:pPr>
            <w:r w:rsidRPr="004A2841">
              <w:rPr>
                <w:sz w:val="18"/>
                <w:szCs w:val="18"/>
                <w:lang w:eastAsia="sk-SK"/>
              </w:rPr>
              <w:t>z toho:</w:t>
            </w:r>
          </w:p>
        </w:tc>
        <w:tc>
          <w:tcPr>
            <w:tcW w:w="940" w:type="dxa"/>
            <w:gridSpan w:val="2"/>
            <w:tcBorders>
              <w:top w:val="nil"/>
              <w:left w:val="nil"/>
              <w:bottom w:val="nil"/>
              <w:right w:val="nil"/>
            </w:tcBorders>
            <w:shd w:val="clear" w:color="000000" w:fill="FFFFFF"/>
            <w:noWrap/>
            <w:vAlign w:val="center"/>
          </w:tcPr>
          <w:p w14:paraId="64CC2664" w14:textId="33EA3D75" w:rsidR="004A2841" w:rsidRPr="004A2841" w:rsidRDefault="004A2841" w:rsidP="00027116">
            <w:pPr>
              <w:spacing w:after="0" w:line="240" w:lineRule="auto"/>
              <w:ind w:left="-1" w:firstLine="102"/>
              <w:jc w:val="right"/>
              <w:rPr>
                <w:b/>
                <w:bCs/>
                <w:sz w:val="18"/>
                <w:szCs w:val="18"/>
                <w:lang w:eastAsia="sk-SK"/>
              </w:rPr>
            </w:pPr>
          </w:p>
        </w:tc>
        <w:tc>
          <w:tcPr>
            <w:tcW w:w="923" w:type="dxa"/>
            <w:gridSpan w:val="2"/>
            <w:tcBorders>
              <w:top w:val="nil"/>
              <w:left w:val="nil"/>
              <w:bottom w:val="nil"/>
              <w:right w:val="nil"/>
            </w:tcBorders>
            <w:shd w:val="clear" w:color="000000" w:fill="FFFFFF"/>
            <w:noWrap/>
            <w:vAlign w:val="center"/>
          </w:tcPr>
          <w:p w14:paraId="06E9BD92" w14:textId="658B813F" w:rsidR="004A2841" w:rsidRPr="004A2841" w:rsidRDefault="004A2841" w:rsidP="00027116">
            <w:pPr>
              <w:spacing w:after="0" w:line="240" w:lineRule="auto"/>
              <w:ind w:left="-1" w:firstLine="102"/>
              <w:jc w:val="right"/>
              <w:rPr>
                <w:b/>
                <w:bCs/>
                <w:sz w:val="18"/>
                <w:szCs w:val="18"/>
                <w:lang w:eastAsia="sk-SK"/>
              </w:rPr>
            </w:pPr>
          </w:p>
        </w:tc>
        <w:tc>
          <w:tcPr>
            <w:tcW w:w="358" w:type="dxa"/>
            <w:gridSpan w:val="2"/>
            <w:tcBorders>
              <w:top w:val="nil"/>
              <w:left w:val="nil"/>
              <w:bottom w:val="nil"/>
              <w:right w:val="nil"/>
            </w:tcBorders>
            <w:shd w:val="clear" w:color="000000" w:fill="FFFFFF"/>
            <w:noWrap/>
            <w:vAlign w:val="center"/>
          </w:tcPr>
          <w:p w14:paraId="501A4B73" w14:textId="4A818300" w:rsidR="004A2841" w:rsidRPr="004A2841" w:rsidRDefault="004A2841" w:rsidP="00027116">
            <w:pPr>
              <w:spacing w:after="0" w:line="240" w:lineRule="auto"/>
              <w:ind w:left="-1" w:firstLine="102"/>
              <w:jc w:val="right"/>
              <w:rPr>
                <w:b/>
                <w:bCs/>
                <w:sz w:val="18"/>
                <w:szCs w:val="18"/>
                <w:lang w:eastAsia="sk-SK"/>
              </w:rPr>
            </w:pPr>
          </w:p>
        </w:tc>
        <w:tc>
          <w:tcPr>
            <w:tcW w:w="1062" w:type="dxa"/>
            <w:gridSpan w:val="3"/>
            <w:tcBorders>
              <w:top w:val="nil"/>
              <w:left w:val="nil"/>
              <w:bottom w:val="nil"/>
              <w:right w:val="nil"/>
            </w:tcBorders>
            <w:shd w:val="clear" w:color="000000" w:fill="FFFFFF"/>
            <w:noWrap/>
            <w:vAlign w:val="center"/>
          </w:tcPr>
          <w:p w14:paraId="1BCD6A93" w14:textId="2673FB6E" w:rsidR="004A2841" w:rsidRPr="004A2841" w:rsidRDefault="004A2841" w:rsidP="00027116">
            <w:pPr>
              <w:spacing w:after="0" w:line="240" w:lineRule="auto"/>
              <w:ind w:left="-1" w:firstLine="102"/>
              <w:rPr>
                <w:sz w:val="18"/>
                <w:szCs w:val="18"/>
                <w:lang w:eastAsia="sk-SK"/>
              </w:rPr>
            </w:pPr>
          </w:p>
        </w:tc>
        <w:tc>
          <w:tcPr>
            <w:tcW w:w="1199" w:type="dxa"/>
            <w:gridSpan w:val="2"/>
            <w:tcBorders>
              <w:top w:val="nil"/>
              <w:left w:val="nil"/>
              <w:bottom w:val="nil"/>
              <w:right w:val="nil"/>
            </w:tcBorders>
            <w:shd w:val="clear" w:color="000000" w:fill="FFFFFF"/>
            <w:noWrap/>
            <w:vAlign w:val="center"/>
          </w:tcPr>
          <w:p w14:paraId="327E3D2E" w14:textId="19567FDD" w:rsidR="004A2841" w:rsidRPr="004A2841" w:rsidRDefault="004A2841" w:rsidP="00027116">
            <w:pPr>
              <w:spacing w:after="0" w:line="240" w:lineRule="auto"/>
              <w:ind w:left="-1" w:firstLine="102"/>
              <w:rPr>
                <w:sz w:val="18"/>
                <w:szCs w:val="18"/>
                <w:lang w:eastAsia="sk-SK"/>
              </w:rPr>
            </w:pPr>
          </w:p>
        </w:tc>
        <w:tc>
          <w:tcPr>
            <w:tcW w:w="958" w:type="dxa"/>
            <w:gridSpan w:val="2"/>
            <w:tcBorders>
              <w:top w:val="nil"/>
              <w:left w:val="nil"/>
              <w:bottom w:val="nil"/>
              <w:right w:val="nil"/>
            </w:tcBorders>
            <w:shd w:val="clear" w:color="000000" w:fill="FFFFFF"/>
            <w:noWrap/>
            <w:vAlign w:val="center"/>
          </w:tcPr>
          <w:p w14:paraId="2FFDD4E5" w14:textId="2CA38C9F" w:rsidR="004A2841" w:rsidRPr="004A2841" w:rsidRDefault="004A2841" w:rsidP="00027116">
            <w:pPr>
              <w:spacing w:after="0" w:line="240" w:lineRule="auto"/>
              <w:ind w:left="-1" w:firstLine="102"/>
              <w:rPr>
                <w:sz w:val="18"/>
                <w:szCs w:val="18"/>
                <w:lang w:eastAsia="sk-SK"/>
              </w:rPr>
            </w:pPr>
          </w:p>
        </w:tc>
      </w:tr>
      <w:tr w:rsidR="004A2841" w:rsidRPr="004A2841" w14:paraId="7A184687" w14:textId="77777777" w:rsidTr="005E6AAB">
        <w:trPr>
          <w:trHeight w:val="257"/>
        </w:trPr>
        <w:tc>
          <w:tcPr>
            <w:tcW w:w="187" w:type="dxa"/>
            <w:tcBorders>
              <w:top w:val="nil"/>
              <w:left w:val="nil"/>
              <w:bottom w:val="nil"/>
              <w:right w:val="nil"/>
            </w:tcBorders>
            <w:shd w:val="clear" w:color="000000" w:fill="FFFFFF"/>
            <w:noWrap/>
            <w:vAlign w:val="center"/>
            <w:hideMark/>
          </w:tcPr>
          <w:p w14:paraId="38D874C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auto" w:fill="auto"/>
            <w:noWrap/>
            <w:vAlign w:val="bottom"/>
            <w:hideMark/>
          </w:tcPr>
          <w:p w14:paraId="6305E6DD" w14:textId="77777777" w:rsidR="004A2841" w:rsidRPr="004A2841" w:rsidRDefault="004A2841" w:rsidP="004A2841">
            <w:pPr>
              <w:spacing w:after="0" w:line="240" w:lineRule="auto"/>
              <w:jc w:val="right"/>
              <w:rPr>
                <w:sz w:val="18"/>
                <w:szCs w:val="18"/>
                <w:lang w:eastAsia="sk-SK"/>
              </w:rPr>
            </w:pPr>
          </w:p>
        </w:tc>
        <w:tc>
          <w:tcPr>
            <w:tcW w:w="2793" w:type="dxa"/>
            <w:gridSpan w:val="2"/>
            <w:tcBorders>
              <w:top w:val="nil"/>
              <w:left w:val="nil"/>
              <w:bottom w:val="nil"/>
              <w:right w:val="nil"/>
            </w:tcBorders>
            <w:shd w:val="clear" w:color="000000" w:fill="FFFFFF"/>
            <w:noWrap/>
            <w:vAlign w:val="center"/>
            <w:hideMark/>
          </w:tcPr>
          <w:p w14:paraId="747698EE"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Železničná spoločnosť </w:t>
            </w:r>
            <w:proofErr w:type="spellStart"/>
            <w:r w:rsidRPr="004A2841">
              <w:rPr>
                <w:sz w:val="18"/>
                <w:szCs w:val="18"/>
                <w:lang w:eastAsia="sk-SK"/>
              </w:rPr>
              <w:t>Slovensko,a.s</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04D5CAD7"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-87 861</w:t>
            </w:r>
          </w:p>
        </w:tc>
        <w:tc>
          <w:tcPr>
            <w:tcW w:w="1113" w:type="dxa"/>
            <w:gridSpan w:val="3"/>
            <w:tcBorders>
              <w:top w:val="nil"/>
              <w:left w:val="nil"/>
              <w:bottom w:val="nil"/>
              <w:right w:val="nil"/>
            </w:tcBorders>
            <w:shd w:val="clear" w:color="000000" w:fill="FFFFFF"/>
            <w:noWrap/>
            <w:vAlign w:val="center"/>
            <w:hideMark/>
          </w:tcPr>
          <w:p w14:paraId="18D34EA2"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187 769</w:t>
            </w:r>
          </w:p>
        </w:tc>
        <w:tc>
          <w:tcPr>
            <w:tcW w:w="996" w:type="dxa"/>
            <w:gridSpan w:val="2"/>
            <w:tcBorders>
              <w:top w:val="nil"/>
              <w:left w:val="nil"/>
              <w:bottom w:val="nil"/>
              <w:right w:val="nil"/>
            </w:tcBorders>
            <w:shd w:val="clear" w:color="000000" w:fill="FFFFFF"/>
            <w:noWrap/>
            <w:vAlign w:val="center"/>
            <w:hideMark/>
          </w:tcPr>
          <w:p w14:paraId="7D7C5CFD" w14:textId="54DA84E2" w:rsidR="004A2841" w:rsidRPr="004A2841" w:rsidRDefault="00027116" w:rsidP="00027116">
            <w:pPr>
              <w:spacing w:after="0" w:line="240" w:lineRule="auto"/>
              <w:ind w:left="137" w:right="-72" w:hanging="283"/>
              <w:jc w:val="right"/>
              <w:rPr>
                <w:sz w:val="18"/>
                <w:szCs w:val="18"/>
                <w:lang w:eastAsia="sk-SK"/>
              </w:rPr>
            </w:pPr>
            <w:r>
              <w:rPr>
                <w:sz w:val="18"/>
                <w:szCs w:val="18"/>
                <w:lang w:eastAsia="sk-SK"/>
              </w:rPr>
              <w:t xml:space="preserve">  </w:t>
            </w:r>
            <w:r w:rsidR="004A2841" w:rsidRPr="004A2841">
              <w:rPr>
                <w:sz w:val="18"/>
                <w:szCs w:val="18"/>
                <w:lang w:eastAsia="sk-SK"/>
              </w:rPr>
              <w:t>-4 029</w:t>
            </w:r>
          </w:p>
        </w:tc>
        <w:tc>
          <w:tcPr>
            <w:tcW w:w="1128" w:type="dxa"/>
            <w:gridSpan w:val="3"/>
            <w:tcBorders>
              <w:top w:val="nil"/>
              <w:left w:val="nil"/>
              <w:bottom w:val="nil"/>
              <w:right w:val="nil"/>
            </w:tcBorders>
            <w:shd w:val="clear" w:color="000000" w:fill="FFFFFF"/>
            <w:noWrap/>
            <w:vAlign w:val="center"/>
            <w:hideMark/>
          </w:tcPr>
          <w:p w14:paraId="27084255"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863</w:t>
            </w:r>
          </w:p>
        </w:tc>
        <w:tc>
          <w:tcPr>
            <w:tcW w:w="1199" w:type="dxa"/>
            <w:gridSpan w:val="2"/>
            <w:tcBorders>
              <w:top w:val="nil"/>
              <w:left w:val="nil"/>
              <w:bottom w:val="nil"/>
              <w:right w:val="nil"/>
            </w:tcBorders>
            <w:shd w:val="clear" w:color="000000" w:fill="FFFFFF"/>
            <w:noWrap/>
            <w:vAlign w:val="center"/>
            <w:hideMark/>
          </w:tcPr>
          <w:p w14:paraId="02E58A6E"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-191 798</w:t>
            </w:r>
          </w:p>
        </w:tc>
        <w:tc>
          <w:tcPr>
            <w:tcW w:w="958" w:type="dxa"/>
            <w:gridSpan w:val="2"/>
            <w:tcBorders>
              <w:top w:val="nil"/>
              <w:left w:val="nil"/>
              <w:bottom w:val="nil"/>
              <w:right w:val="nil"/>
            </w:tcBorders>
            <w:shd w:val="clear" w:color="000000" w:fill="FFFFFF"/>
            <w:noWrap/>
            <w:vAlign w:val="center"/>
            <w:hideMark/>
          </w:tcPr>
          <w:p w14:paraId="3AFC3F6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-4 892</w:t>
            </w:r>
          </w:p>
        </w:tc>
      </w:tr>
      <w:tr w:rsidR="004A2841" w:rsidRPr="004A2841" w14:paraId="672436D3" w14:textId="77777777" w:rsidTr="005E6AAB">
        <w:trPr>
          <w:trHeight w:val="257"/>
        </w:trPr>
        <w:tc>
          <w:tcPr>
            <w:tcW w:w="187" w:type="dxa"/>
            <w:tcBorders>
              <w:top w:val="nil"/>
              <w:left w:val="nil"/>
              <w:bottom w:val="nil"/>
              <w:right w:val="nil"/>
            </w:tcBorders>
            <w:shd w:val="clear" w:color="000000" w:fill="FFFFFF"/>
            <w:noWrap/>
            <w:vAlign w:val="center"/>
            <w:hideMark/>
          </w:tcPr>
          <w:p w14:paraId="1056952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64A54A4A"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341FF783"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MH </w:t>
            </w:r>
            <w:proofErr w:type="spellStart"/>
            <w:r w:rsidRPr="004A2841">
              <w:rPr>
                <w:sz w:val="18"/>
                <w:szCs w:val="18"/>
                <w:lang w:eastAsia="sk-SK"/>
              </w:rPr>
              <w:t>Invest</w:t>
            </w:r>
            <w:proofErr w:type="spellEnd"/>
            <w:r w:rsidRPr="004A2841">
              <w:rPr>
                <w:sz w:val="18"/>
                <w:szCs w:val="18"/>
                <w:lang w:eastAsia="sk-SK"/>
              </w:rPr>
              <w:t xml:space="preserve">, </w:t>
            </w:r>
            <w:proofErr w:type="spellStart"/>
            <w:r w:rsidRPr="004A2841">
              <w:rPr>
                <w:sz w:val="18"/>
                <w:szCs w:val="18"/>
                <w:lang w:eastAsia="sk-SK"/>
              </w:rPr>
              <w:t>s.r.o</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49673561"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-1 429</w:t>
            </w:r>
          </w:p>
        </w:tc>
        <w:tc>
          <w:tcPr>
            <w:tcW w:w="1113" w:type="dxa"/>
            <w:gridSpan w:val="3"/>
            <w:tcBorders>
              <w:top w:val="nil"/>
              <w:left w:val="nil"/>
              <w:bottom w:val="nil"/>
              <w:right w:val="nil"/>
            </w:tcBorders>
            <w:shd w:val="clear" w:color="000000" w:fill="FFFFFF"/>
            <w:noWrap/>
            <w:vAlign w:val="center"/>
            <w:hideMark/>
          </w:tcPr>
          <w:p w14:paraId="1777AD72"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128 464</w:t>
            </w:r>
          </w:p>
        </w:tc>
        <w:tc>
          <w:tcPr>
            <w:tcW w:w="996" w:type="dxa"/>
            <w:gridSpan w:val="2"/>
            <w:tcBorders>
              <w:top w:val="nil"/>
              <w:left w:val="nil"/>
              <w:bottom w:val="nil"/>
              <w:right w:val="nil"/>
            </w:tcBorders>
            <w:shd w:val="clear" w:color="000000" w:fill="FFFFFF"/>
            <w:noWrap/>
            <w:vAlign w:val="center"/>
            <w:hideMark/>
          </w:tcPr>
          <w:p w14:paraId="6545B4C5"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-3 138</w:t>
            </w:r>
          </w:p>
        </w:tc>
        <w:tc>
          <w:tcPr>
            <w:tcW w:w="1128" w:type="dxa"/>
            <w:gridSpan w:val="3"/>
            <w:tcBorders>
              <w:top w:val="nil"/>
              <w:left w:val="nil"/>
              <w:bottom w:val="nil"/>
              <w:right w:val="nil"/>
            </w:tcBorders>
            <w:shd w:val="clear" w:color="000000" w:fill="FFFFFF"/>
            <w:noWrap/>
            <w:vAlign w:val="center"/>
            <w:hideMark/>
          </w:tcPr>
          <w:p w14:paraId="3E34D8E9"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-5 697</w:t>
            </w:r>
          </w:p>
        </w:tc>
        <w:tc>
          <w:tcPr>
            <w:tcW w:w="1199" w:type="dxa"/>
            <w:gridSpan w:val="2"/>
            <w:tcBorders>
              <w:top w:val="nil"/>
              <w:left w:val="nil"/>
              <w:bottom w:val="nil"/>
              <w:right w:val="nil"/>
            </w:tcBorders>
            <w:shd w:val="clear" w:color="000000" w:fill="FFFFFF"/>
            <w:noWrap/>
            <w:vAlign w:val="center"/>
            <w:hideMark/>
          </w:tcPr>
          <w:p w14:paraId="0C723957"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-131 602</w:t>
            </w:r>
          </w:p>
        </w:tc>
        <w:tc>
          <w:tcPr>
            <w:tcW w:w="958" w:type="dxa"/>
            <w:gridSpan w:val="2"/>
            <w:tcBorders>
              <w:top w:val="nil"/>
              <w:left w:val="nil"/>
              <w:bottom w:val="nil"/>
              <w:right w:val="nil"/>
            </w:tcBorders>
            <w:shd w:val="clear" w:color="000000" w:fill="FFFFFF"/>
            <w:noWrap/>
            <w:vAlign w:val="center"/>
            <w:hideMark/>
          </w:tcPr>
          <w:p w14:paraId="150E782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2 559</w:t>
            </w:r>
          </w:p>
        </w:tc>
      </w:tr>
      <w:tr w:rsidR="004A2841" w:rsidRPr="004A2841" w14:paraId="13AC3703" w14:textId="77777777" w:rsidTr="005E6AAB">
        <w:trPr>
          <w:trHeight w:val="257"/>
        </w:trPr>
        <w:tc>
          <w:tcPr>
            <w:tcW w:w="187" w:type="dxa"/>
            <w:tcBorders>
              <w:top w:val="nil"/>
              <w:left w:val="nil"/>
              <w:bottom w:val="nil"/>
              <w:right w:val="nil"/>
            </w:tcBorders>
            <w:shd w:val="clear" w:color="000000" w:fill="FFFFFF"/>
            <w:noWrap/>
            <w:vAlign w:val="center"/>
            <w:hideMark/>
          </w:tcPr>
          <w:p w14:paraId="7358218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170A3E70"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7F0A09CD"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SIH a investičné fondy SIH-u </w:t>
            </w:r>
          </w:p>
        </w:tc>
        <w:tc>
          <w:tcPr>
            <w:tcW w:w="940" w:type="dxa"/>
            <w:gridSpan w:val="2"/>
            <w:tcBorders>
              <w:top w:val="nil"/>
              <w:left w:val="nil"/>
              <w:bottom w:val="nil"/>
              <w:right w:val="nil"/>
            </w:tcBorders>
            <w:shd w:val="clear" w:color="000000" w:fill="FFFFFF"/>
            <w:noWrap/>
            <w:vAlign w:val="center"/>
            <w:hideMark/>
          </w:tcPr>
          <w:p w14:paraId="3F2709BD"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-5 475</w:t>
            </w:r>
          </w:p>
        </w:tc>
        <w:tc>
          <w:tcPr>
            <w:tcW w:w="1113" w:type="dxa"/>
            <w:gridSpan w:val="3"/>
            <w:tcBorders>
              <w:top w:val="nil"/>
              <w:left w:val="nil"/>
              <w:bottom w:val="nil"/>
              <w:right w:val="nil"/>
            </w:tcBorders>
            <w:shd w:val="clear" w:color="000000" w:fill="FFFFFF"/>
            <w:noWrap/>
            <w:vAlign w:val="center"/>
            <w:hideMark/>
          </w:tcPr>
          <w:p w14:paraId="57AD72B2"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32 682</w:t>
            </w:r>
          </w:p>
        </w:tc>
        <w:tc>
          <w:tcPr>
            <w:tcW w:w="996" w:type="dxa"/>
            <w:gridSpan w:val="2"/>
            <w:tcBorders>
              <w:top w:val="nil"/>
              <w:left w:val="nil"/>
              <w:bottom w:val="nil"/>
              <w:right w:val="nil"/>
            </w:tcBorders>
            <w:shd w:val="clear" w:color="000000" w:fill="FFFFFF"/>
            <w:noWrap/>
            <w:vAlign w:val="center"/>
            <w:hideMark/>
          </w:tcPr>
          <w:p w14:paraId="34160B1B"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40 982</w:t>
            </w:r>
          </w:p>
        </w:tc>
        <w:tc>
          <w:tcPr>
            <w:tcW w:w="1128" w:type="dxa"/>
            <w:gridSpan w:val="3"/>
            <w:tcBorders>
              <w:top w:val="nil"/>
              <w:left w:val="nil"/>
              <w:bottom w:val="nil"/>
              <w:right w:val="nil"/>
            </w:tcBorders>
            <w:shd w:val="clear" w:color="000000" w:fill="FFFFFF"/>
            <w:noWrap/>
            <w:vAlign w:val="center"/>
            <w:hideMark/>
          </w:tcPr>
          <w:p w14:paraId="4CB4C8A0"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3 850</w:t>
            </w:r>
          </w:p>
        </w:tc>
        <w:tc>
          <w:tcPr>
            <w:tcW w:w="1199" w:type="dxa"/>
            <w:gridSpan w:val="2"/>
            <w:tcBorders>
              <w:top w:val="nil"/>
              <w:left w:val="nil"/>
              <w:bottom w:val="nil"/>
              <w:right w:val="nil"/>
            </w:tcBorders>
            <w:shd w:val="clear" w:color="000000" w:fill="FFFFFF"/>
            <w:noWrap/>
            <w:vAlign w:val="center"/>
            <w:hideMark/>
          </w:tcPr>
          <w:p w14:paraId="4E817658"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8 300</w:t>
            </w:r>
          </w:p>
        </w:tc>
        <w:tc>
          <w:tcPr>
            <w:tcW w:w="958" w:type="dxa"/>
            <w:gridSpan w:val="2"/>
            <w:tcBorders>
              <w:top w:val="nil"/>
              <w:left w:val="nil"/>
              <w:bottom w:val="nil"/>
              <w:right w:val="nil"/>
            </w:tcBorders>
            <w:shd w:val="clear" w:color="000000" w:fill="FFFFFF"/>
            <w:noWrap/>
            <w:vAlign w:val="center"/>
            <w:hideMark/>
          </w:tcPr>
          <w:p w14:paraId="57A5EE1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37 132</w:t>
            </w:r>
          </w:p>
        </w:tc>
      </w:tr>
      <w:tr w:rsidR="004A2841" w:rsidRPr="004A2841" w14:paraId="6C005FD9" w14:textId="77777777" w:rsidTr="005E6AAB">
        <w:trPr>
          <w:trHeight w:val="257"/>
        </w:trPr>
        <w:tc>
          <w:tcPr>
            <w:tcW w:w="187" w:type="dxa"/>
            <w:tcBorders>
              <w:top w:val="nil"/>
              <w:left w:val="nil"/>
              <w:bottom w:val="nil"/>
              <w:right w:val="nil"/>
            </w:tcBorders>
            <w:shd w:val="clear" w:color="000000" w:fill="FFFFFF"/>
            <w:noWrap/>
            <w:vAlign w:val="center"/>
            <w:hideMark/>
          </w:tcPr>
          <w:p w14:paraId="50C7203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auto" w:fill="auto"/>
            <w:noWrap/>
            <w:vAlign w:val="bottom"/>
            <w:hideMark/>
          </w:tcPr>
          <w:p w14:paraId="022BCBAE" w14:textId="77777777" w:rsidR="004A2841" w:rsidRPr="004A2841" w:rsidRDefault="004A2841" w:rsidP="004A2841">
            <w:pPr>
              <w:spacing w:after="0" w:line="240" w:lineRule="auto"/>
              <w:jc w:val="right"/>
              <w:rPr>
                <w:sz w:val="18"/>
                <w:szCs w:val="18"/>
                <w:lang w:eastAsia="sk-SK"/>
              </w:rPr>
            </w:pPr>
          </w:p>
        </w:tc>
        <w:tc>
          <w:tcPr>
            <w:tcW w:w="2793" w:type="dxa"/>
            <w:gridSpan w:val="2"/>
            <w:tcBorders>
              <w:top w:val="nil"/>
              <w:left w:val="nil"/>
              <w:bottom w:val="nil"/>
              <w:right w:val="nil"/>
            </w:tcBorders>
            <w:shd w:val="clear" w:color="000000" w:fill="FFFFFF"/>
            <w:noWrap/>
            <w:vAlign w:val="center"/>
            <w:hideMark/>
          </w:tcPr>
          <w:p w14:paraId="653182B0" w14:textId="77777777" w:rsidR="004A2841" w:rsidRPr="004A2841" w:rsidRDefault="004A2841" w:rsidP="004A2841">
            <w:pPr>
              <w:spacing w:after="0" w:line="240" w:lineRule="auto"/>
              <w:rPr>
                <w:sz w:val="18"/>
                <w:szCs w:val="18"/>
                <w:lang w:eastAsia="sk-SK"/>
              </w:rPr>
            </w:pPr>
            <w:r w:rsidRPr="004A2841">
              <w:rPr>
                <w:sz w:val="18"/>
                <w:szCs w:val="18"/>
                <w:lang w:eastAsia="sk-SK"/>
              </w:rPr>
              <w:t>Eximbanka SR</w:t>
            </w:r>
          </w:p>
        </w:tc>
        <w:tc>
          <w:tcPr>
            <w:tcW w:w="940" w:type="dxa"/>
            <w:gridSpan w:val="2"/>
            <w:tcBorders>
              <w:top w:val="nil"/>
              <w:left w:val="nil"/>
              <w:bottom w:val="nil"/>
              <w:right w:val="nil"/>
            </w:tcBorders>
            <w:shd w:val="clear" w:color="000000" w:fill="FFFFFF"/>
            <w:noWrap/>
            <w:vAlign w:val="center"/>
            <w:hideMark/>
          </w:tcPr>
          <w:p w14:paraId="376F87C9"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2 026</w:t>
            </w:r>
          </w:p>
        </w:tc>
        <w:tc>
          <w:tcPr>
            <w:tcW w:w="1113" w:type="dxa"/>
            <w:gridSpan w:val="3"/>
            <w:tcBorders>
              <w:top w:val="nil"/>
              <w:left w:val="nil"/>
              <w:bottom w:val="nil"/>
              <w:right w:val="nil"/>
            </w:tcBorders>
            <w:shd w:val="clear" w:color="000000" w:fill="FFFFFF"/>
            <w:noWrap/>
            <w:vAlign w:val="center"/>
            <w:hideMark/>
          </w:tcPr>
          <w:p w14:paraId="4CB8FF70"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13 078</w:t>
            </w:r>
          </w:p>
        </w:tc>
        <w:tc>
          <w:tcPr>
            <w:tcW w:w="996" w:type="dxa"/>
            <w:gridSpan w:val="2"/>
            <w:tcBorders>
              <w:top w:val="nil"/>
              <w:left w:val="nil"/>
              <w:bottom w:val="nil"/>
              <w:right w:val="nil"/>
            </w:tcBorders>
            <w:shd w:val="clear" w:color="000000" w:fill="FFFFFF"/>
            <w:noWrap/>
            <w:vAlign w:val="center"/>
            <w:hideMark/>
          </w:tcPr>
          <w:p w14:paraId="702C4839"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2 961</w:t>
            </w:r>
          </w:p>
        </w:tc>
        <w:tc>
          <w:tcPr>
            <w:tcW w:w="1128" w:type="dxa"/>
            <w:gridSpan w:val="3"/>
            <w:tcBorders>
              <w:top w:val="nil"/>
              <w:left w:val="nil"/>
              <w:bottom w:val="nil"/>
              <w:right w:val="nil"/>
            </w:tcBorders>
            <w:shd w:val="clear" w:color="000000" w:fill="FFFFFF"/>
            <w:noWrap/>
            <w:vAlign w:val="center"/>
            <w:hideMark/>
          </w:tcPr>
          <w:p w14:paraId="6DDB990E"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0</w:t>
            </w:r>
          </w:p>
        </w:tc>
        <w:tc>
          <w:tcPr>
            <w:tcW w:w="1199" w:type="dxa"/>
            <w:gridSpan w:val="2"/>
            <w:tcBorders>
              <w:top w:val="nil"/>
              <w:left w:val="nil"/>
              <w:bottom w:val="nil"/>
              <w:right w:val="nil"/>
            </w:tcBorders>
            <w:shd w:val="clear" w:color="000000" w:fill="FFFFFF"/>
            <w:noWrap/>
            <w:vAlign w:val="center"/>
            <w:hideMark/>
          </w:tcPr>
          <w:p w14:paraId="1C8BB316"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-10 117</w:t>
            </w:r>
          </w:p>
        </w:tc>
        <w:tc>
          <w:tcPr>
            <w:tcW w:w="958" w:type="dxa"/>
            <w:gridSpan w:val="2"/>
            <w:tcBorders>
              <w:top w:val="nil"/>
              <w:left w:val="nil"/>
              <w:bottom w:val="nil"/>
              <w:right w:val="nil"/>
            </w:tcBorders>
            <w:shd w:val="clear" w:color="000000" w:fill="FFFFFF"/>
            <w:noWrap/>
            <w:vAlign w:val="center"/>
            <w:hideMark/>
          </w:tcPr>
          <w:p w14:paraId="3662165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2 961</w:t>
            </w:r>
          </w:p>
        </w:tc>
      </w:tr>
      <w:tr w:rsidR="004A2841" w:rsidRPr="004A2841" w14:paraId="5E44167D" w14:textId="77777777" w:rsidTr="005E6AAB">
        <w:trPr>
          <w:trHeight w:val="257"/>
        </w:trPr>
        <w:tc>
          <w:tcPr>
            <w:tcW w:w="187" w:type="dxa"/>
            <w:tcBorders>
              <w:top w:val="nil"/>
              <w:left w:val="nil"/>
              <w:bottom w:val="nil"/>
              <w:right w:val="nil"/>
            </w:tcBorders>
            <w:shd w:val="clear" w:color="000000" w:fill="FFFFFF"/>
            <w:noWrap/>
            <w:vAlign w:val="center"/>
            <w:hideMark/>
          </w:tcPr>
          <w:p w14:paraId="6569E9E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2B3F8702"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3F2B18C4"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JAVYS, </w:t>
            </w:r>
            <w:proofErr w:type="spellStart"/>
            <w:r w:rsidRPr="004A2841">
              <w:rPr>
                <w:sz w:val="18"/>
                <w:szCs w:val="18"/>
                <w:lang w:eastAsia="sk-SK"/>
              </w:rPr>
              <w:t>a.s</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7361E427"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8 578</w:t>
            </w:r>
          </w:p>
        </w:tc>
        <w:tc>
          <w:tcPr>
            <w:tcW w:w="1113" w:type="dxa"/>
            <w:gridSpan w:val="3"/>
            <w:tcBorders>
              <w:top w:val="nil"/>
              <w:left w:val="nil"/>
              <w:bottom w:val="nil"/>
              <w:right w:val="nil"/>
            </w:tcBorders>
            <w:shd w:val="clear" w:color="000000" w:fill="FFFFFF"/>
            <w:noWrap/>
            <w:vAlign w:val="center"/>
            <w:hideMark/>
          </w:tcPr>
          <w:p w14:paraId="0D7A9AEA"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2 973</w:t>
            </w:r>
          </w:p>
        </w:tc>
        <w:tc>
          <w:tcPr>
            <w:tcW w:w="996" w:type="dxa"/>
            <w:gridSpan w:val="2"/>
            <w:tcBorders>
              <w:top w:val="nil"/>
              <w:left w:val="nil"/>
              <w:bottom w:val="nil"/>
              <w:right w:val="nil"/>
            </w:tcBorders>
            <w:shd w:val="clear" w:color="000000" w:fill="FFFFFF"/>
            <w:noWrap/>
            <w:vAlign w:val="center"/>
            <w:hideMark/>
          </w:tcPr>
          <w:p w14:paraId="3395C878"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1 974</w:t>
            </w:r>
          </w:p>
        </w:tc>
        <w:tc>
          <w:tcPr>
            <w:tcW w:w="1128" w:type="dxa"/>
            <w:gridSpan w:val="3"/>
            <w:tcBorders>
              <w:top w:val="nil"/>
              <w:left w:val="nil"/>
              <w:bottom w:val="nil"/>
              <w:right w:val="nil"/>
            </w:tcBorders>
            <w:shd w:val="clear" w:color="000000" w:fill="FFFFFF"/>
            <w:noWrap/>
            <w:vAlign w:val="center"/>
            <w:hideMark/>
          </w:tcPr>
          <w:p w14:paraId="143865AF"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-42 200</w:t>
            </w:r>
          </w:p>
        </w:tc>
        <w:tc>
          <w:tcPr>
            <w:tcW w:w="1199" w:type="dxa"/>
            <w:gridSpan w:val="2"/>
            <w:tcBorders>
              <w:top w:val="nil"/>
              <w:left w:val="nil"/>
              <w:bottom w:val="nil"/>
              <w:right w:val="nil"/>
            </w:tcBorders>
            <w:shd w:val="clear" w:color="000000" w:fill="FFFFFF"/>
            <w:noWrap/>
            <w:vAlign w:val="center"/>
            <w:hideMark/>
          </w:tcPr>
          <w:p w14:paraId="52A1A5FE"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-999</w:t>
            </w:r>
          </w:p>
        </w:tc>
        <w:tc>
          <w:tcPr>
            <w:tcW w:w="958" w:type="dxa"/>
            <w:gridSpan w:val="2"/>
            <w:tcBorders>
              <w:top w:val="nil"/>
              <w:left w:val="nil"/>
              <w:bottom w:val="nil"/>
              <w:right w:val="nil"/>
            </w:tcBorders>
            <w:shd w:val="clear" w:color="000000" w:fill="FFFFFF"/>
            <w:noWrap/>
            <w:vAlign w:val="center"/>
            <w:hideMark/>
          </w:tcPr>
          <w:p w14:paraId="1E69DCB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44 174</w:t>
            </w:r>
          </w:p>
        </w:tc>
      </w:tr>
      <w:tr w:rsidR="004A2841" w:rsidRPr="004A2841" w14:paraId="7A60457E" w14:textId="77777777" w:rsidTr="005E6AAB">
        <w:trPr>
          <w:trHeight w:val="257"/>
        </w:trPr>
        <w:tc>
          <w:tcPr>
            <w:tcW w:w="187" w:type="dxa"/>
            <w:tcBorders>
              <w:top w:val="nil"/>
              <w:left w:val="nil"/>
              <w:bottom w:val="nil"/>
              <w:right w:val="nil"/>
            </w:tcBorders>
            <w:shd w:val="clear" w:color="000000" w:fill="FFFFFF"/>
            <w:noWrap/>
            <w:vAlign w:val="center"/>
            <w:hideMark/>
          </w:tcPr>
          <w:p w14:paraId="751FAF5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5B96BF6C"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413A8733"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MH </w:t>
            </w:r>
            <w:proofErr w:type="spellStart"/>
            <w:r w:rsidRPr="004A2841">
              <w:rPr>
                <w:sz w:val="18"/>
                <w:szCs w:val="18"/>
                <w:lang w:eastAsia="sk-SK"/>
              </w:rPr>
              <w:t>Invest</w:t>
            </w:r>
            <w:proofErr w:type="spellEnd"/>
            <w:r w:rsidRPr="004A2841">
              <w:rPr>
                <w:sz w:val="18"/>
                <w:szCs w:val="18"/>
                <w:lang w:eastAsia="sk-SK"/>
              </w:rPr>
              <w:t xml:space="preserve"> II, </w:t>
            </w:r>
            <w:proofErr w:type="spellStart"/>
            <w:r w:rsidRPr="004A2841">
              <w:rPr>
                <w:sz w:val="18"/>
                <w:szCs w:val="18"/>
                <w:lang w:eastAsia="sk-SK"/>
              </w:rPr>
              <w:t>s.r.o</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7D6177C1"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-452</w:t>
            </w:r>
          </w:p>
        </w:tc>
        <w:tc>
          <w:tcPr>
            <w:tcW w:w="1113" w:type="dxa"/>
            <w:gridSpan w:val="3"/>
            <w:tcBorders>
              <w:top w:val="nil"/>
              <w:left w:val="nil"/>
              <w:bottom w:val="nil"/>
              <w:right w:val="nil"/>
            </w:tcBorders>
            <w:shd w:val="clear" w:color="000000" w:fill="FFFFFF"/>
            <w:noWrap/>
            <w:vAlign w:val="center"/>
            <w:hideMark/>
          </w:tcPr>
          <w:p w14:paraId="1F3C2B37"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1 292</w:t>
            </w:r>
          </w:p>
        </w:tc>
        <w:tc>
          <w:tcPr>
            <w:tcW w:w="996" w:type="dxa"/>
            <w:gridSpan w:val="2"/>
            <w:tcBorders>
              <w:top w:val="nil"/>
              <w:left w:val="nil"/>
              <w:bottom w:val="nil"/>
              <w:right w:val="nil"/>
            </w:tcBorders>
            <w:shd w:val="clear" w:color="000000" w:fill="FFFFFF"/>
            <w:noWrap/>
            <w:vAlign w:val="center"/>
            <w:hideMark/>
          </w:tcPr>
          <w:p w14:paraId="62529972"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838</w:t>
            </w:r>
          </w:p>
        </w:tc>
        <w:tc>
          <w:tcPr>
            <w:tcW w:w="1128" w:type="dxa"/>
            <w:gridSpan w:val="3"/>
            <w:tcBorders>
              <w:top w:val="nil"/>
              <w:left w:val="nil"/>
              <w:bottom w:val="nil"/>
              <w:right w:val="nil"/>
            </w:tcBorders>
            <w:shd w:val="clear" w:color="000000" w:fill="FFFFFF"/>
            <w:noWrap/>
            <w:vAlign w:val="center"/>
            <w:hideMark/>
          </w:tcPr>
          <w:p w14:paraId="15D59AA9"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2 314</w:t>
            </w:r>
          </w:p>
        </w:tc>
        <w:tc>
          <w:tcPr>
            <w:tcW w:w="1199" w:type="dxa"/>
            <w:gridSpan w:val="2"/>
            <w:tcBorders>
              <w:top w:val="nil"/>
              <w:left w:val="nil"/>
              <w:bottom w:val="nil"/>
              <w:right w:val="nil"/>
            </w:tcBorders>
            <w:shd w:val="clear" w:color="000000" w:fill="FFFFFF"/>
            <w:noWrap/>
            <w:vAlign w:val="center"/>
            <w:hideMark/>
          </w:tcPr>
          <w:p w14:paraId="3E9AFC9E"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-454</w:t>
            </w:r>
          </w:p>
        </w:tc>
        <w:tc>
          <w:tcPr>
            <w:tcW w:w="958" w:type="dxa"/>
            <w:gridSpan w:val="2"/>
            <w:tcBorders>
              <w:top w:val="nil"/>
              <w:left w:val="nil"/>
              <w:bottom w:val="nil"/>
              <w:right w:val="nil"/>
            </w:tcBorders>
            <w:shd w:val="clear" w:color="000000" w:fill="FFFFFF"/>
            <w:noWrap/>
            <w:vAlign w:val="center"/>
            <w:hideMark/>
          </w:tcPr>
          <w:p w14:paraId="5ADA0E3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-1 476</w:t>
            </w:r>
          </w:p>
        </w:tc>
      </w:tr>
      <w:tr w:rsidR="004A2841" w:rsidRPr="004A2841" w14:paraId="40601582" w14:textId="77777777" w:rsidTr="005E6AAB">
        <w:trPr>
          <w:trHeight w:val="257"/>
        </w:trPr>
        <w:tc>
          <w:tcPr>
            <w:tcW w:w="187" w:type="dxa"/>
            <w:tcBorders>
              <w:top w:val="nil"/>
              <w:left w:val="nil"/>
              <w:bottom w:val="nil"/>
              <w:right w:val="nil"/>
            </w:tcBorders>
            <w:shd w:val="clear" w:color="000000" w:fill="FFFFFF"/>
            <w:noWrap/>
            <w:vAlign w:val="center"/>
            <w:hideMark/>
          </w:tcPr>
          <w:p w14:paraId="5A56FA1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55C5465B"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2793" w:type="dxa"/>
            <w:gridSpan w:val="2"/>
            <w:tcBorders>
              <w:top w:val="nil"/>
              <w:left w:val="nil"/>
              <w:bottom w:val="nil"/>
              <w:right w:val="nil"/>
            </w:tcBorders>
            <w:shd w:val="clear" w:color="000000" w:fill="FFFFFF"/>
            <w:noWrap/>
            <w:hideMark/>
          </w:tcPr>
          <w:p w14:paraId="0C28F085"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Slovenská konsolidačná, </w:t>
            </w:r>
            <w:proofErr w:type="spellStart"/>
            <w:r w:rsidRPr="004A2841">
              <w:rPr>
                <w:sz w:val="18"/>
                <w:szCs w:val="18"/>
                <w:lang w:eastAsia="sk-SK"/>
              </w:rPr>
              <w:t>a.s</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199FE188"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-9 337</w:t>
            </w:r>
          </w:p>
        </w:tc>
        <w:tc>
          <w:tcPr>
            <w:tcW w:w="1113" w:type="dxa"/>
            <w:gridSpan w:val="3"/>
            <w:tcBorders>
              <w:top w:val="nil"/>
              <w:left w:val="nil"/>
              <w:bottom w:val="nil"/>
              <w:right w:val="nil"/>
            </w:tcBorders>
            <w:shd w:val="clear" w:color="000000" w:fill="FFFFFF"/>
            <w:noWrap/>
            <w:vAlign w:val="center"/>
            <w:hideMark/>
          </w:tcPr>
          <w:p w14:paraId="259BCF43"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-2 780</w:t>
            </w:r>
          </w:p>
        </w:tc>
        <w:tc>
          <w:tcPr>
            <w:tcW w:w="996" w:type="dxa"/>
            <w:gridSpan w:val="2"/>
            <w:tcBorders>
              <w:top w:val="nil"/>
              <w:left w:val="nil"/>
              <w:bottom w:val="nil"/>
              <w:right w:val="nil"/>
            </w:tcBorders>
            <w:shd w:val="clear" w:color="000000" w:fill="FFFFFF"/>
            <w:noWrap/>
            <w:vAlign w:val="center"/>
            <w:hideMark/>
          </w:tcPr>
          <w:p w14:paraId="656B014C"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3 495</w:t>
            </w:r>
          </w:p>
        </w:tc>
        <w:tc>
          <w:tcPr>
            <w:tcW w:w="1128" w:type="dxa"/>
            <w:gridSpan w:val="3"/>
            <w:tcBorders>
              <w:top w:val="nil"/>
              <w:left w:val="nil"/>
              <w:bottom w:val="nil"/>
              <w:right w:val="nil"/>
            </w:tcBorders>
            <w:shd w:val="clear" w:color="000000" w:fill="FFFFFF"/>
            <w:noWrap/>
            <w:vAlign w:val="center"/>
            <w:hideMark/>
          </w:tcPr>
          <w:p w14:paraId="551DB725"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-4 728</w:t>
            </w:r>
          </w:p>
        </w:tc>
        <w:tc>
          <w:tcPr>
            <w:tcW w:w="1199" w:type="dxa"/>
            <w:gridSpan w:val="2"/>
            <w:tcBorders>
              <w:top w:val="nil"/>
              <w:left w:val="nil"/>
              <w:bottom w:val="nil"/>
              <w:right w:val="nil"/>
            </w:tcBorders>
            <w:shd w:val="clear" w:color="000000" w:fill="FFFFFF"/>
            <w:noWrap/>
            <w:vAlign w:val="center"/>
            <w:hideMark/>
          </w:tcPr>
          <w:p w14:paraId="7007EDEA"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6 275</w:t>
            </w:r>
          </w:p>
        </w:tc>
        <w:tc>
          <w:tcPr>
            <w:tcW w:w="958" w:type="dxa"/>
            <w:gridSpan w:val="2"/>
            <w:tcBorders>
              <w:top w:val="nil"/>
              <w:left w:val="nil"/>
              <w:bottom w:val="nil"/>
              <w:right w:val="nil"/>
            </w:tcBorders>
            <w:shd w:val="clear" w:color="000000" w:fill="FFFFFF"/>
            <w:noWrap/>
            <w:vAlign w:val="center"/>
            <w:hideMark/>
          </w:tcPr>
          <w:p w14:paraId="7B3F244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8 223</w:t>
            </w:r>
          </w:p>
        </w:tc>
      </w:tr>
      <w:tr w:rsidR="004A2841" w:rsidRPr="004A2841" w14:paraId="6CC35AEF" w14:textId="77777777" w:rsidTr="005E6AAB">
        <w:trPr>
          <w:trHeight w:val="257"/>
        </w:trPr>
        <w:tc>
          <w:tcPr>
            <w:tcW w:w="187" w:type="dxa"/>
            <w:tcBorders>
              <w:top w:val="nil"/>
              <w:left w:val="nil"/>
              <w:bottom w:val="nil"/>
              <w:right w:val="nil"/>
            </w:tcBorders>
            <w:shd w:val="clear" w:color="000000" w:fill="FFFFFF"/>
            <w:noWrap/>
            <w:vAlign w:val="center"/>
            <w:hideMark/>
          </w:tcPr>
          <w:p w14:paraId="4125E1FC"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655B5E81"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7D457285" w14:textId="77777777" w:rsidR="004A2841" w:rsidRPr="004A2841" w:rsidRDefault="004A2841" w:rsidP="004A2841">
            <w:pPr>
              <w:spacing w:after="0" w:line="240" w:lineRule="auto"/>
              <w:rPr>
                <w:sz w:val="18"/>
                <w:szCs w:val="18"/>
                <w:lang w:eastAsia="sk-SK"/>
              </w:rPr>
            </w:pPr>
            <w:r w:rsidRPr="004A2841">
              <w:rPr>
                <w:sz w:val="18"/>
                <w:szCs w:val="18"/>
                <w:lang w:eastAsia="sk-SK"/>
              </w:rPr>
              <w:t xml:space="preserve">Národná diaľničná spoločnosť, </w:t>
            </w:r>
            <w:proofErr w:type="spellStart"/>
            <w:r w:rsidRPr="004A2841">
              <w:rPr>
                <w:sz w:val="18"/>
                <w:szCs w:val="18"/>
                <w:lang w:eastAsia="sk-SK"/>
              </w:rPr>
              <w:t>a.s</w:t>
            </w:r>
            <w:proofErr w:type="spellEnd"/>
            <w:r w:rsidRPr="004A2841">
              <w:rPr>
                <w:sz w:val="18"/>
                <w:szCs w:val="18"/>
                <w:lang w:eastAsia="sk-SK"/>
              </w:rPr>
              <w:t>.</w:t>
            </w:r>
          </w:p>
        </w:tc>
        <w:tc>
          <w:tcPr>
            <w:tcW w:w="940" w:type="dxa"/>
            <w:gridSpan w:val="2"/>
            <w:tcBorders>
              <w:top w:val="nil"/>
              <w:left w:val="nil"/>
              <w:bottom w:val="nil"/>
              <w:right w:val="nil"/>
            </w:tcBorders>
            <w:shd w:val="clear" w:color="000000" w:fill="FFFFFF"/>
            <w:noWrap/>
            <w:vAlign w:val="center"/>
            <w:hideMark/>
          </w:tcPr>
          <w:p w14:paraId="6C475B97"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112 294</w:t>
            </w:r>
          </w:p>
        </w:tc>
        <w:tc>
          <w:tcPr>
            <w:tcW w:w="1113" w:type="dxa"/>
            <w:gridSpan w:val="3"/>
            <w:tcBorders>
              <w:top w:val="nil"/>
              <w:left w:val="nil"/>
              <w:bottom w:val="nil"/>
              <w:right w:val="nil"/>
            </w:tcBorders>
            <w:shd w:val="clear" w:color="000000" w:fill="FFFFFF"/>
            <w:noWrap/>
            <w:vAlign w:val="center"/>
            <w:hideMark/>
          </w:tcPr>
          <w:p w14:paraId="089192B1"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-11 721</w:t>
            </w:r>
          </w:p>
        </w:tc>
        <w:tc>
          <w:tcPr>
            <w:tcW w:w="996" w:type="dxa"/>
            <w:gridSpan w:val="2"/>
            <w:tcBorders>
              <w:top w:val="nil"/>
              <w:left w:val="nil"/>
              <w:bottom w:val="nil"/>
              <w:right w:val="nil"/>
            </w:tcBorders>
            <w:shd w:val="clear" w:color="000000" w:fill="FFFFFF"/>
            <w:noWrap/>
            <w:vAlign w:val="center"/>
            <w:hideMark/>
          </w:tcPr>
          <w:p w14:paraId="53B533E4"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-45 578</w:t>
            </w:r>
          </w:p>
        </w:tc>
        <w:tc>
          <w:tcPr>
            <w:tcW w:w="1128" w:type="dxa"/>
            <w:gridSpan w:val="3"/>
            <w:tcBorders>
              <w:top w:val="nil"/>
              <w:left w:val="nil"/>
              <w:bottom w:val="nil"/>
              <w:right w:val="nil"/>
            </w:tcBorders>
            <w:shd w:val="clear" w:color="000000" w:fill="FFFFFF"/>
            <w:noWrap/>
            <w:vAlign w:val="center"/>
            <w:hideMark/>
          </w:tcPr>
          <w:p w14:paraId="69949661"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45 767</w:t>
            </w:r>
          </w:p>
        </w:tc>
        <w:tc>
          <w:tcPr>
            <w:tcW w:w="1199" w:type="dxa"/>
            <w:gridSpan w:val="2"/>
            <w:tcBorders>
              <w:top w:val="nil"/>
              <w:left w:val="nil"/>
              <w:bottom w:val="nil"/>
              <w:right w:val="nil"/>
            </w:tcBorders>
            <w:shd w:val="clear" w:color="000000" w:fill="FFFFFF"/>
            <w:noWrap/>
            <w:vAlign w:val="center"/>
            <w:hideMark/>
          </w:tcPr>
          <w:p w14:paraId="0459FE4E"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-33 857</w:t>
            </w:r>
          </w:p>
        </w:tc>
        <w:tc>
          <w:tcPr>
            <w:tcW w:w="958" w:type="dxa"/>
            <w:gridSpan w:val="2"/>
            <w:tcBorders>
              <w:top w:val="nil"/>
              <w:left w:val="nil"/>
              <w:bottom w:val="nil"/>
              <w:right w:val="nil"/>
            </w:tcBorders>
            <w:shd w:val="clear" w:color="000000" w:fill="FFFFFF"/>
            <w:noWrap/>
            <w:vAlign w:val="center"/>
            <w:hideMark/>
          </w:tcPr>
          <w:p w14:paraId="0B7D9B8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-91 345</w:t>
            </w:r>
          </w:p>
        </w:tc>
      </w:tr>
      <w:tr w:rsidR="004A2841" w:rsidRPr="004A2841" w14:paraId="71D5AEB7" w14:textId="77777777" w:rsidTr="005E6AAB">
        <w:trPr>
          <w:trHeight w:val="257"/>
        </w:trPr>
        <w:tc>
          <w:tcPr>
            <w:tcW w:w="187" w:type="dxa"/>
            <w:tcBorders>
              <w:top w:val="nil"/>
              <w:left w:val="nil"/>
              <w:bottom w:val="nil"/>
              <w:right w:val="nil"/>
            </w:tcBorders>
            <w:shd w:val="clear" w:color="000000" w:fill="FFFFFF"/>
            <w:noWrap/>
            <w:vAlign w:val="center"/>
            <w:hideMark/>
          </w:tcPr>
          <w:p w14:paraId="1D847012"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185" w:type="dxa"/>
            <w:tcBorders>
              <w:top w:val="nil"/>
              <w:left w:val="nil"/>
              <w:bottom w:val="nil"/>
              <w:right w:val="nil"/>
            </w:tcBorders>
            <w:shd w:val="clear" w:color="000000" w:fill="FFFFFF"/>
            <w:noWrap/>
            <w:vAlign w:val="center"/>
            <w:hideMark/>
          </w:tcPr>
          <w:p w14:paraId="7CCC3615"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2793" w:type="dxa"/>
            <w:gridSpan w:val="2"/>
            <w:tcBorders>
              <w:top w:val="nil"/>
              <w:left w:val="nil"/>
              <w:bottom w:val="nil"/>
              <w:right w:val="nil"/>
            </w:tcBorders>
            <w:shd w:val="clear" w:color="000000" w:fill="FFFFFF"/>
            <w:noWrap/>
            <w:vAlign w:val="center"/>
            <w:hideMark/>
          </w:tcPr>
          <w:p w14:paraId="4143B1C6" w14:textId="77777777" w:rsidR="004A2841" w:rsidRPr="004A2841" w:rsidRDefault="004A2841" w:rsidP="004A2841">
            <w:pPr>
              <w:spacing w:after="0" w:line="240" w:lineRule="auto"/>
              <w:rPr>
                <w:sz w:val="18"/>
                <w:szCs w:val="18"/>
                <w:lang w:eastAsia="sk-SK"/>
              </w:rPr>
            </w:pPr>
            <w:r w:rsidRPr="004A2841">
              <w:rPr>
                <w:sz w:val="18"/>
                <w:szCs w:val="18"/>
                <w:lang w:eastAsia="sk-SK"/>
              </w:rPr>
              <w:t>Železnice Slovenskej republiky</w:t>
            </w:r>
          </w:p>
        </w:tc>
        <w:tc>
          <w:tcPr>
            <w:tcW w:w="940" w:type="dxa"/>
            <w:gridSpan w:val="2"/>
            <w:tcBorders>
              <w:top w:val="nil"/>
              <w:left w:val="nil"/>
              <w:bottom w:val="nil"/>
              <w:right w:val="nil"/>
            </w:tcBorders>
            <w:shd w:val="clear" w:color="000000" w:fill="FFFFFF"/>
            <w:noWrap/>
            <w:vAlign w:val="center"/>
            <w:hideMark/>
          </w:tcPr>
          <w:p w14:paraId="5D07D35E" w14:textId="77777777" w:rsidR="004A2841" w:rsidRPr="004A2841" w:rsidRDefault="004A2841" w:rsidP="00027116">
            <w:pPr>
              <w:spacing w:after="0" w:line="240" w:lineRule="auto"/>
              <w:ind w:right="-70"/>
              <w:jc w:val="right"/>
              <w:rPr>
                <w:sz w:val="18"/>
                <w:szCs w:val="18"/>
                <w:lang w:eastAsia="sk-SK"/>
              </w:rPr>
            </w:pPr>
            <w:r w:rsidRPr="004A2841">
              <w:rPr>
                <w:sz w:val="18"/>
                <w:szCs w:val="18"/>
                <w:lang w:eastAsia="sk-SK"/>
              </w:rPr>
              <w:t>-10 050</w:t>
            </w:r>
          </w:p>
        </w:tc>
        <w:tc>
          <w:tcPr>
            <w:tcW w:w="1113" w:type="dxa"/>
            <w:gridSpan w:val="3"/>
            <w:tcBorders>
              <w:top w:val="nil"/>
              <w:left w:val="nil"/>
              <w:bottom w:val="nil"/>
              <w:right w:val="nil"/>
            </w:tcBorders>
            <w:shd w:val="clear" w:color="000000" w:fill="FFFFFF"/>
            <w:noWrap/>
            <w:vAlign w:val="center"/>
            <w:hideMark/>
          </w:tcPr>
          <w:p w14:paraId="1044A035" w14:textId="77777777" w:rsidR="004A2841" w:rsidRPr="004A2841" w:rsidRDefault="004A2841" w:rsidP="00027116">
            <w:pPr>
              <w:spacing w:after="0" w:line="240" w:lineRule="auto"/>
              <w:ind w:firstLine="74"/>
              <w:jc w:val="right"/>
              <w:rPr>
                <w:sz w:val="18"/>
                <w:szCs w:val="18"/>
                <w:lang w:eastAsia="sk-SK"/>
              </w:rPr>
            </w:pPr>
            <w:r w:rsidRPr="004A2841">
              <w:rPr>
                <w:sz w:val="18"/>
                <w:szCs w:val="18"/>
                <w:lang w:eastAsia="sk-SK"/>
              </w:rPr>
              <w:t>-18 146</w:t>
            </w:r>
          </w:p>
        </w:tc>
        <w:tc>
          <w:tcPr>
            <w:tcW w:w="996" w:type="dxa"/>
            <w:gridSpan w:val="2"/>
            <w:tcBorders>
              <w:top w:val="nil"/>
              <w:left w:val="nil"/>
              <w:bottom w:val="nil"/>
              <w:right w:val="nil"/>
            </w:tcBorders>
            <w:shd w:val="clear" w:color="000000" w:fill="FFFFFF"/>
            <w:noWrap/>
            <w:vAlign w:val="center"/>
            <w:hideMark/>
          </w:tcPr>
          <w:p w14:paraId="33C2C9AD" w14:textId="77777777" w:rsidR="004A2841" w:rsidRPr="004A2841" w:rsidRDefault="004A2841" w:rsidP="00027116">
            <w:pPr>
              <w:spacing w:after="0" w:line="240" w:lineRule="auto"/>
              <w:ind w:left="137" w:right="-72" w:hanging="283"/>
              <w:jc w:val="right"/>
              <w:rPr>
                <w:sz w:val="18"/>
                <w:szCs w:val="18"/>
                <w:lang w:eastAsia="sk-SK"/>
              </w:rPr>
            </w:pPr>
            <w:r w:rsidRPr="004A2841">
              <w:rPr>
                <w:sz w:val="18"/>
                <w:szCs w:val="18"/>
                <w:lang w:eastAsia="sk-SK"/>
              </w:rPr>
              <w:t>106 668</w:t>
            </w:r>
          </w:p>
        </w:tc>
        <w:tc>
          <w:tcPr>
            <w:tcW w:w="1128" w:type="dxa"/>
            <w:gridSpan w:val="3"/>
            <w:tcBorders>
              <w:top w:val="nil"/>
              <w:left w:val="nil"/>
              <w:bottom w:val="nil"/>
              <w:right w:val="nil"/>
            </w:tcBorders>
            <w:shd w:val="clear" w:color="000000" w:fill="FFFFFF"/>
            <w:noWrap/>
            <w:vAlign w:val="center"/>
            <w:hideMark/>
          </w:tcPr>
          <w:p w14:paraId="52BFC312" w14:textId="77777777" w:rsidR="004A2841" w:rsidRPr="004A2841" w:rsidRDefault="004A2841" w:rsidP="00027116">
            <w:pPr>
              <w:spacing w:after="0" w:line="240" w:lineRule="auto"/>
              <w:ind w:left="137" w:right="15" w:hanging="283"/>
              <w:jc w:val="right"/>
              <w:rPr>
                <w:sz w:val="18"/>
                <w:szCs w:val="18"/>
                <w:lang w:eastAsia="sk-SK"/>
              </w:rPr>
            </w:pPr>
            <w:r w:rsidRPr="004A2841">
              <w:rPr>
                <w:sz w:val="18"/>
                <w:szCs w:val="18"/>
                <w:lang w:eastAsia="sk-SK"/>
              </w:rPr>
              <w:t>-23 610</w:t>
            </w:r>
          </w:p>
        </w:tc>
        <w:tc>
          <w:tcPr>
            <w:tcW w:w="1199" w:type="dxa"/>
            <w:gridSpan w:val="2"/>
            <w:tcBorders>
              <w:top w:val="nil"/>
              <w:left w:val="nil"/>
              <w:bottom w:val="nil"/>
              <w:right w:val="nil"/>
            </w:tcBorders>
            <w:shd w:val="clear" w:color="000000" w:fill="FFFFFF"/>
            <w:noWrap/>
            <w:vAlign w:val="center"/>
            <w:hideMark/>
          </w:tcPr>
          <w:p w14:paraId="21AB5F7C"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124 814</w:t>
            </w:r>
          </w:p>
        </w:tc>
        <w:tc>
          <w:tcPr>
            <w:tcW w:w="958" w:type="dxa"/>
            <w:gridSpan w:val="2"/>
            <w:tcBorders>
              <w:top w:val="nil"/>
              <w:left w:val="nil"/>
              <w:bottom w:val="nil"/>
              <w:right w:val="nil"/>
            </w:tcBorders>
            <w:shd w:val="clear" w:color="000000" w:fill="FFFFFF"/>
            <w:noWrap/>
            <w:vAlign w:val="center"/>
            <w:hideMark/>
          </w:tcPr>
          <w:p w14:paraId="467AD8A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130 278</w:t>
            </w:r>
          </w:p>
        </w:tc>
      </w:tr>
      <w:tr w:rsidR="004A2841" w:rsidRPr="004A2841" w14:paraId="40F09E72" w14:textId="77777777" w:rsidTr="005E6AAB">
        <w:trPr>
          <w:trHeight w:val="257"/>
        </w:trPr>
        <w:tc>
          <w:tcPr>
            <w:tcW w:w="187" w:type="dxa"/>
            <w:tcBorders>
              <w:top w:val="nil"/>
              <w:left w:val="nil"/>
              <w:bottom w:val="nil"/>
              <w:right w:val="nil"/>
            </w:tcBorders>
            <w:shd w:val="clear" w:color="000000" w:fill="FFFFFF"/>
            <w:noWrap/>
            <w:vAlign w:val="center"/>
            <w:hideMark/>
          </w:tcPr>
          <w:p w14:paraId="2D9CA9F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6E30B8B3" w14:textId="77777777" w:rsidR="004A2841" w:rsidRPr="004A2841" w:rsidRDefault="004A2841" w:rsidP="004A2841">
            <w:pPr>
              <w:spacing w:after="0" w:line="240" w:lineRule="auto"/>
              <w:rPr>
                <w:sz w:val="18"/>
                <w:szCs w:val="18"/>
                <w:lang w:eastAsia="sk-SK"/>
              </w:rPr>
            </w:pPr>
            <w:r w:rsidRPr="004A2841">
              <w:rPr>
                <w:sz w:val="18"/>
                <w:szCs w:val="18"/>
                <w:lang w:eastAsia="sk-SK"/>
              </w:rPr>
              <w:t>Verejné vysoké školy</w:t>
            </w:r>
          </w:p>
        </w:tc>
        <w:tc>
          <w:tcPr>
            <w:tcW w:w="923" w:type="dxa"/>
            <w:gridSpan w:val="2"/>
            <w:tcBorders>
              <w:top w:val="nil"/>
              <w:left w:val="nil"/>
              <w:bottom w:val="nil"/>
              <w:right w:val="nil"/>
            </w:tcBorders>
            <w:shd w:val="clear" w:color="000000" w:fill="FFFFFF"/>
            <w:noWrap/>
            <w:vAlign w:val="center"/>
            <w:hideMark/>
          </w:tcPr>
          <w:p w14:paraId="5E2A9AA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105 938</w:t>
            </w:r>
          </w:p>
        </w:tc>
        <w:tc>
          <w:tcPr>
            <w:tcW w:w="1037" w:type="dxa"/>
            <w:gridSpan w:val="2"/>
            <w:tcBorders>
              <w:top w:val="nil"/>
              <w:left w:val="nil"/>
              <w:bottom w:val="nil"/>
              <w:right w:val="nil"/>
            </w:tcBorders>
            <w:shd w:val="clear" w:color="000000" w:fill="FFFFFF"/>
            <w:noWrap/>
            <w:vAlign w:val="center"/>
            <w:hideMark/>
          </w:tcPr>
          <w:p w14:paraId="237C84D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40 394</w:t>
            </w:r>
          </w:p>
        </w:tc>
        <w:tc>
          <w:tcPr>
            <w:tcW w:w="1062" w:type="dxa"/>
            <w:gridSpan w:val="3"/>
            <w:tcBorders>
              <w:top w:val="nil"/>
              <w:left w:val="nil"/>
              <w:bottom w:val="nil"/>
              <w:right w:val="nil"/>
            </w:tcBorders>
            <w:shd w:val="clear" w:color="000000" w:fill="FFFFFF"/>
            <w:noWrap/>
            <w:vAlign w:val="center"/>
            <w:hideMark/>
          </w:tcPr>
          <w:p w14:paraId="7B00E319"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-1 806</w:t>
            </w:r>
          </w:p>
        </w:tc>
        <w:tc>
          <w:tcPr>
            <w:tcW w:w="1062" w:type="dxa"/>
            <w:gridSpan w:val="2"/>
            <w:tcBorders>
              <w:top w:val="nil"/>
              <w:left w:val="nil"/>
              <w:bottom w:val="nil"/>
              <w:right w:val="nil"/>
            </w:tcBorders>
            <w:shd w:val="clear" w:color="000000" w:fill="FFFFFF"/>
            <w:noWrap/>
            <w:vAlign w:val="center"/>
            <w:hideMark/>
          </w:tcPr>
          <w:p w14:paraId="6C1542B8"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206</w:t>
            </w:r>
          </w:p>
        </w:tc>
        <w:tc>
          <w:tcPr>
            <w:tcW w:w="1199" w:type="dxa"/>
            <w:gridSpan w:val="2"/>
            <w:tcBorders>
              <w:top w:val="nil"/>
              <w:left w:val="nil"/>
              <w:bottom w:val="nil"/>
              <w:right w:val="nil"/>
            </w:tcBorders>
            <w:shd w:val="clear" w:color="000000" w:fill="FFFFFF"/>
            <w:noWrap/>
            <w:vAlign w:val="center"/>
            <w:hideMark/>
          </w:tcPr>
          <w:p w14:paraId="06AD8ACD" w14:textId="77777777" w:rsidR="004A2841" w:rsidRPr="004A2841" w:rsidRDefault="004A2841" w:rsidP="00027116">
            <w:pPr>
              <w:spacing w:after="0" w:line="240" w:lineRule="auto"/>
              <w:ind w:left="137" w:hanging="283"/>
              <w:jc w:val="right"/>
              <w:rPr>
                <w:sz w:val="18"/>
                <w:szCs w:val="18"/>
                <w:lang w:eastAsia="sk-SK"/>
              </w:rPr>
            </w:pPr>
            <w:r w:rsidRPr="004A2841">
              <w:rPr>
                <w:sz w:val="18"/>
                <w:szCs w:val="18"/>
                <w:lang w:eastAsia="sk-SK"/>
              </w:rPr>
              <w:t>-42 200</w:t>
            </w:r>
          </w:p>
        </w:tc>
        <w:tc>
          <w:tcPr>
            <w:tcW w:w="958" w:type="dxa"/>
            <w:gridSpan w:val="2"/>
            <w:tcBorders>
              <w:top w:val="nil"/>
              <w:left w:val="nil"/>
              <w:bottom w:val="nil"/>
              <w:right w:val="nil"/>
            </w:tcBorders>
            <w:shd w:val="clear" w:color="000000" w:fill="FFFFFF"/>
            <w:noWrap/>
            <w:vAlign w:val="center"/>
            <w:hideMark/>
          </w:tcPr>
          <w:p w14:paraId="4AB29AFC"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-2 012</w:t>
            </w:r>
          </w:p>
        </w:tc>
      </w:tr>
      <w:tr w:rsidR="004A2841" w:rsidRPr="004A2841" w14:paraId="384362A1" w14:textId="77777777" w:rsidTr="005E6AAB">
        <w:trPr>
          <w:trHeight w:val="257"/>
        </w:trPr>
        <w:tc>
          <w:tcPr>
            <w:tcW w:w="187" w:type="dxa"/>
            <w:tcBorders>
              <w:top w:val="nil"/>
              <w:left w:val="nil"/>
              <w:bottom w:val="nil"/>
              <w:right w:val="nil"/>
            </w:tcBorders>
            <w:shd w:val="clear" w:color="000000" w:fill="FFFFFF"/>
            <w:noWrap/>
            <w:vAlign w:val="center"/>
            <w:hideMark/>
          </w:tcPr>
          <w:p w14:paraId="69FB60A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2890" w:type="dxa"/>
            <w:gridSpan w:val="2"/>
            <w:tcBorders>
              <w:top w:val="nil"/>
              <w:left w:val="nil"/>
              <w:bottom w:val="nil"/>
              <w:right w:val="nil"/>
            </w:tcBorders>
            <w:shd w:val="clear" w:color="000000" w:fill="FFFFFF"/>
            <w:noWrap/>
            <w:vAlign w:val="center"/>
            <w:hideMark/>
          </w:tcPr>
          <w:p w14:paraId="6BB75CA0" w14:textId="77777777" w:rsidR="004A2841" w:rsidRPr="004A2841" w:rsidRDefault="004A2841" w:rsidP="004A2841">
            <w:pPr>
              <w:spacing w:after="0" w:line="240" w:lineRule="auto"/>
              <w:rPr>
                <w:sz w:val="20"/>
                <w:szCs w:val="20"/>
                <w:lang w:eastAsia="sk-SK"/>
              </w:rPr>
            </w:pPr>
            <w:r w:rsidRPr="004A2841">
              <w:rPr>
                <w:sz w:val="20"/>
                <w:szCs w:val="20"/>
                <w:lang w:eastAsia="sk-SK"/>
              </w:rPr>
              <w:t>Verejné výskumné inštitúcie</w:t>
            </w:r>
          </w:p>
        </w:tc>
        <w:tc>
          <w:tcPr>
            <w:tcW w:w="181" w:type="dxa"/>
            <w:gridSpan w:val="2"/>
            <w:tcBorders>
              <w:top w:val="nil"/>
              <w:left w:val="nil"/>
              <w:bottom w:val="nil"/>
              <w:right w:val="nil"/>
            </w:tcBorders>
            <w:shd w:val="clear" w:color="000000" w:fill="FFFFFF"/>
            <w:noWrap/>
            <w:vAlign w:val="center"/>
            <w:hideMark/>
          </w:tcPr>
          <w:p w14:paraId="74695949"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923" w:type="dxa"/>
            <w:gridSpan w:val="2"/>
            <w:tcBorders>
              <w:top w:val="nil"/>
              <w:left w:val="nil"/>
              <w:bottom w:val="nil"/>
              <w:right w:val="nil"/>
            </w:tcBorders>
            <w:shd w:val="clear" w:color="000000" w:fill="FFFFFF"/>
            <w:noWrap/>
            <w:vAlign w:val="center"/>
            <w:hideMark/>
          </w:tcPr>
          <w:p w14:paraId="08934CC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0</w:t>
            </w:r>
          </w:p>
        </w:tc>
        <w:tc>
          <w:tcPr>
            <w:tcW w:w="1037" w:type="dxa"/>
            <w:gridSpan w:val="2"/>
            <w:tcBorders>
              <w:top w:val="nil"/>
              <w:left w:val="nil"/>
              <w:bottom w:val="nil"/>
              <w:right w:val="nil"/>
            </w:tcBorders>
            <w:shd w:val="clear" w:color="000000" w:fill="FFFFFF"/>
            <w:noWrap/>
            <w:vAlign w:val="center"/>
            <w:hideMark/>
          </w:tcPr>
          <w:p w14:paraId="15F4CFC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0</w:t>
            </w:r>
          </w:p>
        </w:tc>
        <w:tc>
          <w:tcPr>
            <w:tcW w:w="1062" w:type="dxa"/>
            <w:gridSpan w:val="3"/>
            <w:tcBorders>
              <w:top w:val="nil"/>
              <w:left w:val="nil"/>
              <w:bottom w:val="nil"/>
              <w:right w:val="nil"/>
            </w:tcBorders>
            <w:shd w:val="clear" w:color="000000" w:fill="FFFFFF"/>
            <w:noWrap/>
            <w:vAlign w:val="center"/>
            <w:hideMark/>
          </w:tcPr>
          <w:p w14:paraId="6BD4A1B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2 314</w:t>
            </w:r>
          </w:p>
        </w:tc>
        <w:tc>
          <w:tcPr>
            <w:tcW w:w="1062" w:type="dxa"/>
            <w:gridSpan w:val="2"/>
            <w:tcBorders>
              <w:top w:val="nil"/>
              <w:left w:val="nil"/>
              <w:bottom w:val="nil"/>
              <w:right w:val="nil"/>
            </w:tcBorders>
            <w:shd w:val="clear" w:color="000000" w:fill="FFFFFF"/>
            <w:noWrap/>
            <w:vAlign w:val="center"/>
            <w:hideMark/>
          </w:tcPr>
          <w:p w14:paraId="574CFD2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0</w:t>
            </w:r>
          </w:p>
        </w:tc>
        <w:tc>
          <w:tcPr>
            <w:tcW w:w="1199" w:type="dxa"/>
            <w:gridSpan w:val="2"/>
            <w:tcBorders>
              <w:top w:val="nil"/>
              <w:left w:val="nil"/>
              <w:bottom w:val="nil"/>
              <w:right w:val="nil"/>
            </w:tcBorders>
            <w:shd w:val="clear" w:color="000000" w:fill="FFFFFF"/>
            <w:noWrap/>
            <w:vAlign w:val="center"/>
            <w:hideMark/>
          </w:tcPr>
          <w:p w14:paraId="3F990EB2"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2 314</w:t>
            </w:r>
          </w:p>
        </w:tc>
        <w:tc>
          <w:tcPr>
            <w:tcW w:w="958" w:type="dxa"/>
            <w:gridSpan w:val="2"/>
            <w:tcBorders>
              <w:top w:val="nil"/>
              <w:left w:val="nil"/>
              <w:bottom w:val="nil"/>
              <w:right w:val="nil"/>
            </w:tcBorders>
            <w:shd w:val="clear" w:color="000000" w:fill="FFFFFF"/>
            <w:noWrap/>
            <w:vAlign w:val="center"/>
            <w:hideMark/>
          </w:tcPr>
          <w:p w14:paraId="6DD5A5B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2 314</w:t>
            </w:r>
          </w:p>
        </w:tc>
      </w:tr>
      <w:tr w:rsidR="004A2841" w:rsidRPr="004A2841" w14:paraId="06D5DB49" w14:textId="77777777" w:rsidTr="005E6AAB">
        <w:trPr>
          <w:trHeight w:val="257"/>
        </w:trPr>
        <w:tc>
          <w:tcPr>
            <w:tcW w:w="187" w:type="dxa"/>
            <w:tcBorders>
              <w:top w:val="nil"/>
              <w:left w:val="nil"/>
              <w:bottom w:val="nil"/>
              <w:right w:val="nil"/>
            </w:tcBorders>
            <w:shd w:val="clear" w:color="000000" w:fill="FFFFFF"/>
            <w:noWrap/>
            <w:vAlign w:val="center"/>
            <w:hideMark/>
          </w:tcPr>
          <w:p w14:paraId="0C2B8BC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7D9E7AED" w14:textId="77777777" w:rsidR="004A2841" w:rsidRPr="004A2841" w:rsidRDefault="004A2841" w:rsidP="004A2841">
            <w:pPr>
              <w:spacing w:after="0" w:line="240" w:lineRule="auto"/>
              <w:rPr>
                <w:sz w:val="18"/>
                <w:szCs w:val="18"/>
                <w:lang w:eastAsia="sk-SK"/>
              </w:rPr>
            </w:pPr>
            <w:r w:rsidRPr="004A2841">
              <w:rPr>
                <w:sz w:val="18"/>
                <w:szCs w:val="18"/>
                <w:lang w:eastAsia="sk-SK"/>
              </w:rPr>
              <w:t>Zdravotnícke zariadenia ústrednej správy</w:t>
            </w:r>
          </w:p>
        </w:tc>
        <w:tc>
          <w:tcPr>
            <w:tcW w:w="923" w:type="dxa"/>
            <w:gridSpan w:val="2"/>
            <w:tcBorders>
              <w:top w:val="nil"/>
              <w:left w:val="nil"/>
              <w:bottom w:val="nil"/>
              <w:right w:val="nil"/>
            </w:tcBorders>
            <w:shd w:val="clear" w:color="000000" w:fill="FFFFFF"/>
            <w:noWrap/>
            <w:vAlign w:val="center"/>
            <w:hideMark/>
          </w:tcPr>
          <w:p w14:paraId="43DEDF4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-47 352</w:t>
            </w:r>
          </w:p>
        </w:tc>
        <w:tc>
          <w:tcPr>
            <w:tcW w:w="1037" w:type="dxa"/>
            <w:gridSpan w:val="2"/>
            <w:tcBorders>
              <w:top w:val="nil"/>
              <w:left w:val="nil"/>
              <w:bottom w:val="nil"/>
              <w:right w:val="nil"/>
            </w:tcBorders>
            <w:shd w:val="clear" w:color="000000" w:fill="FFFFFF"/>
            <w:noWrap/>
            <w:vAlign w:val="center"/>
            <w:hideMark/>
          </w:tcPr>
          <w:p w14:paraId="58290A3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-45 957</w:t>
            </w:r>
          </w:p>
        </w:tc>
        <w:tc>
          <w:tcPr>
            <w:tcW w:w="1062" w:type="dxa"/>
            <w:gridSpan w:val="3"/>
            <w:tcBorders>
              <w:top w:val="nil"/>
              <w:left w:val="nil"/>
              <w:bottom w:val="nil"/>
              <w:right w:val="nil"/>
            </w:tcBorders>
            <w:shd w:val="clear" w:color="000000" w:fill="FFFFFF"/>
            <w:noWrap/>
            <w:vAlign w:val="center"/>
            <w:hideMark/>
          </w:tcPr>
          <w:p w14:paraId="39792B1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250 011</w:t>
            </w:r>
          </w:p>
        </w:tc>
        <w:tc>
          <w:tcPr>
            <w:tcW w:w="1062" w:type="dxa"/>
            <w:gridSpan w:val="2"/>
            <w:tcBorders>
              <w:top w:val="nil"/>
              <w:left w:val="nil"/>
              <w:bottom w:val="nil"/>
              <w:right w:val="nil"/>
            </w:tcBorders>
            <w:shd w:val="clear" w:color="000000" w:fill="FFFFFF"/>
            <w:noWrap/>
            <w:vAlign w:val="center"/>
            <w:hideMark/>
          </w:tcPr>
          <w:p w14:paraId="7876955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-12 208</w:t>
            </w:r>
          </w:p>
        </w:tc>
        <w:tc>
          <w:tcPr>
            <w:tcW w:w="1199" w:type="dxa"/>
            <w:gridSpan w:val="2"/>
            <w:tcBorders>
              <w:top w:val="nil"/>
              <w:left w:val="nil"/>
              <w:bottom w:val="nil"/>
              <w:right w:val="nil"/>
            </w:tcBorders>
            <w:shd w:val="clear" w:color="000000" w:fill="FFFFFF"/>
            <w:noWrap/>
            <w:vAlign w:val="center"/>
            <w:hideMark/>
          </w:tcPr>
          <w:p w14:paraId="784B830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295 968</w:t>
            </w:r>
          </w:p>
        </w:tc>
        <w:tc>
          <w:tcPr>
            <w:tcW w:w="958" w:type="dxa"/>
            <w:gridSpan w:val="2"/>
            <w:tcBorders>
              <w:top w:val="nil"/>
              <w:left w:val="nil"/>
              <w:bottom w:val="nil"/>
              <w:right w:val="nil"/>
            </w:tcBorders>
            <w:shd w:val="clear" w:color="000000" w:fill="FFFFFF"/>
            <w:noWrap/>
            <w:vAlign w:val="center"/>
            <w:hideMark/>
          </w:tcPr>
          <w:p w14:paraId="03EF1A7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262 219</w:t>
            </w:r>
          </w:p>
        </w:tc>
      </w:tr>
      <w:tr w:rsidR="004A2841" w:rsidRPr="004A2841" w14:paraId="72ED4761" w14:textId="77777777" w:rsidTr="005E6AAB">
        <w:trPr>
          <w:trHeight w:val="273"/>
        </w:trPr>
        <w:tc>
          <w:tcPr>
            <w:tcW w:w="187" w:type="dxa"/>
            <w:tcBorders>
              <w:top w:val="nil"/>
              <w:left w:val="nil"/>
              <w:bottom w:val="nil"/>
              <w:right w:val="nil"/>
            </w:tcBorders>
            <w:shd w:val="clear" w:color="000000" w:fill="FFFFFF"/>
            <w:noWrap/>
            <w:vAlign w:val="center"/>
            <w:hideMark/>
          </w:tcPr>
          <w:p w14:paraId="554A338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1AA75168" w14:textId="77777777" w:rsidR="004A2841" w:rsidRPr="004A2841" w:rsidRDefault="004A2841" w:rsidP="004A2841">
            <w:pPr>
              <w:spacing w:after="0" w:line="240" w:lineRule="auto"/>
              <w:rPr>
                <w:sz w:val="18"/>
                <w:szCs w:val="18"/>
                <w:lang w:eastAsia="sk-SK"/>
              </w:rPr>
            </w:pPr>
            <w:r w:rsidRPr="004A2841">
              <w:rPr>
                <w:sz w:val="18"/>
                <w:szCs w:val="18"/>
                <w:lang w:eastAsia="sk-SK"/>
              </w:rPr>
              <w:t>Ostatné subjekty ústrednej správy</w:t>
            </w:r>
            <w:r w:rsidRPr="004A2841">
              <w:rPr>
                <w:sz w:val="18"/>
                <w:szCs w:val="18"/>
                <w:vertAlign w:val="superscript"/>
                <w:lang w:eastAsia="sk-SK"/>
              </w:rPr>
              <w:t>2)</w:t>
            </w:r>
          </w:p>
        </w:tc>
        <w:tc>
          <w:tcPr>
            <w:tcW w:w="923" w:type="dxa"/>
            <w:gridSpan w:val="2"/>
            <w:tcBorders>
              <w:top w:val="nil"/>
              <w:left w:val="nil"/>
              <w:bottom w:val="nil"/>
              <w:right w:val="nil"/>
            </w:tcBorders>
            <w:shd w:val="clear" w:color="000000" w:fill="FFFFFF"/>
            <w:noWrap/>
            <w:vAlign w:val="center"/>
            <w:hideMark/>
          </w:tcPr>
          <w:p w14:paraId="1FEABF5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5 138</w:t>
            </w:r>
          </w:p>
        </w:tc>
        <w:tc>
          <w:tcPr>
            <w:tcW w:w="1037" w:type="dxa"/>
            <w:gridSpan w:val="2"/>
            <w:tcBorders>
              <w:top w:val="nil"/>
              <w:left w:val="nil"/>
              <w:bottom w:val="nil"/>
              <w:right w:val="nil"/>
            </w:tcBorders>
            <w:shd w:val="clear" w:color="000000" w:fill="FFFFFF"/>
            <w:noWrap/>
            <w:vAlign w:val="center"/>
            <w:hideMark/>
          </w:tcPr>
          <w:p w14:paraId="0BBAA40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142 715</w:t>
            </w:r>
          </w:p>
        </w:tc>
        <w:tc>
          <w:tcPr>
            <w:tcW w:w="1062" w:type="dxa"/>
            <w:gridSpan w:val="3"/>
            <w:tcBorders>
              <w:top w:val="nil"/>
              <w:left w:val="nil"/>
              <w:bottom w:val="nil"/>
              <w:right w:val="nil"/>
            </w:tcBorders>
            <w:shd w:val="clear" w:color="000000" w:fill="FFFFFF"/>
            <w:noWrap/>
            <w:vAlign w:val="center"/>
            <w:hideMark/>
          </w:tcPr>
          <w:p w14:paraId="12326D7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266 361</w:t>
            </w:r>
          </w:p>
        </w:tc>
        <w:tc>
          <w:tcPr>
            <w:tcW w:w="1062" w:type="dxa"/>
            <w:gridSpan w:val="2"/>
            <w:tcBorders>
              <w:top w:val="nil"/>
              <w:left w:val="nil"/>
              <w:bottom w:val="nil"/>
              <w:right w:val="nil"/>
            </w:tcBorders>
            <w:shd w:val="clear" w:color="000000" w:fill="FFFFFF"/>
            <w:noWrap/>
            <w:vAlign w:val="center"/>
            <w:hideMark/>
          </w:tcPr>
          <w:p w14:paraId="339E436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55 419</w:t>
            </w:r>
          </w:p>
        </w:tc>
        <w:tc>
          <w:tcPr>
            <w:tcW w:w="1199" w:type="dxa"/>
            <w:gridSpan w:val="2"/>
            <w:tcBorders>
              <w:top w:val="nil"/>
              <w:left w:val="nil"/>
              <w:bottom w:val="nil"/>
              <w:right w:val="nil"/>
            </w:tcBorders>
            <w:shd w:val="clear" w:color="000000" w:fill="FFFFFF"/>
            <w:noWrap/>
            <w:vAlign w:val="center"/>
            <w:hideMark/>
          </w:tcPr>
          <w:p w14:paraId="598D743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123 646</w:t>
            </w:r>
          </w:p>
        </w:tc>
        <w:tc>
          <w:tcPr>
            <w:tcW w:w="958" w:type="dxa"/>
            <w:gridSpan w:val="2"/>
            <w:tcBorders>
              <w:top w:val="nil"/>
              <w:left w:val="nil"/>
              <w:bottom w:val="nil"/>
              <w:right w:val="nil"/>
            </w:tcBorders>
            <w:shd w:val="clear" w:color="000000" w:fill="FFFFFF"/>
            <w:noWrap/>
            <w:vAlign w:val="center"/>
            <w:hideMark/>
          </w:tcPr>
          <w:p w14:paraId="22B0C7C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210 942</w:t>
            </w:r>
          </w:p>
        </w:tc>
      </w:tr>
      <w:tr w:rsidR="004A2841" w:rsidRPr="004A2841" w14:paraId="16230270" w14:textId="77777777" w:rsidTr="005E6AAB">
        <w:trPr>
          <w:trHeight w:val="257"/>
        </w:trPr>
        <w:tc>
          <w:tcPr>
            <w:tcW w:w="3258" w:type="dxa"/>
            <w:gridSpan w:val="5"/>
            <w:tcBorders>
              <w:top w:val="nil"/>
              <w:left w:val="nil"/>
              <w:bottom w:val="nil"/>
              <w:right w:val="nil"/>
            </w:tcBorders>
            <w:shd w:val="clear" w:color="000000" w:fill="FFFFFF"/>
            <w:noWrap/>
            <w:vAlign w:val="center"/>
            <w:hideMark/>
          </w:tcPr>
          <w:p w14:paraId="13D83A85" w14:textId="77777777" w:rsidR="004A2841" w:rsidRPr="004A2841" w:rsidRDefault="004A2841" w:rsidP="004A2841">
            <w:pPr>
              <w:spacing w:after="0" w:line="240" w:lineRule="auto"/>
              <w:rPr>
                <w:b/>
                <w:bCs/>
                <w:color w:val="000000"/>
                <w:sz w:val="18"/>
                <w:szCs w:val="18"/>
                <w:lang w:eastAsia="sk-SK"/>
              </w:rPr>
            </w:pPr>
            <w:r w:rsidRPr="004A2841">
              <w:rPr>
                <w:b/>
                <w:bCs/>
                <w:color w:val="000000"/>
                <w:sz w:val="18"/>
                <w:szCs w:val="18"/>
                <w:lang w:eastAsia="sk-SK"/>
              </w:rPr>
              <w:t>Územná samospráva, z toho</w:t>
            </w:r>
          </w:p>
        </w:tc>
        <w:tc>
          <w:tcPr>
            <w:tcW w:w="923" w:type="dxa"/>
            <w:gridSpan w:val="2"/>
            <w:tcBorders>
              <w:top w:val="nil"/>
              <w:left w:val="nil"/>
              <w:bottom w:val="nil"/>
              <w:right w:val="nil"/>
            </w:tcBorders>
            <w:shd w:val="clear" w:color="000000" w:fill="FFFFFF"/>
            <w:noWrap/>
            <w:vAlign w:val="center"/>
            <w:hideMark/>
          </w:tcPr>
          <w:p w14:paraId="6949B18B"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178 371</w:t>
            </w:r>
          </w:p>
        </w:tc>
        <w:tc>
          <w:tcPr>
            <w:tcW w:w="1037" w:type="dxa"/>
            <w:gridSpan w:val="2"/>
            <w:tcBorders>
              <w:top w:val="nil"/>
              <w:left w:val="nil"/>
              <w:bottom w:val="nil"/>
              <w:right w:val="nil"/>
            </w:tcBorders>
            <w:shd w:val="clear" w:color="000000" w:fill="FFFFFF"/>
            <w:noWrap/>
            <w:vAlign w:val="center"/>
            <w:hideMark/>
          </w:tcPr>
          <w:p w14:paraId="4B2D084C"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-21 218</w:t>
            </w:r>
          </w:p>
        </w:tc>
        <w:tc>
          <w:tcPr>
            <w:tcW w:w="1062" w:type="dxa"/>
            <w:gridSpan w:val="3"/>
            <w:tcBorders>
              <w:top w:val="nil"/>
              <w:left w:val="nil"/>
              <w:bottom w:val="nil"/>
              <w:right w:val="nil"/>
            </w:tcBorders>
            <w:shd w:val="clear" w:color="000000" w:fill="FFFFFF"/>
            <w:noWrap/>
            <w:vAlign w:val="center"/>
            <w:hideMark/>
          </w:tcPr>
          <w:p w14:paraId="19A42D8B"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-412 174</w:t>
            </w:r>
          </w:p>
        </w:tc>
        <w:tc>
          <w:tcPr>
            <w:tcW w:w="1062" w:type="dxa"/>
            <w:gridSpan w:val="2"/>
            <w:tcBorders>
              <w:top w:val="nil"/>
              <w:left w:val="nil"/>
              <w:bottom w:val="nil"/>
              <w:right w:val="nil"/>
            </w:tcBorders>
            <w:shd w:val="clear" w:color="000000" w:fill="FFFFFF"/>
            <w:noWrap/>
            <w:vAlign w:val="center"/>
            <w:hideMark/>
          </w:tcPr>
          <w:p w14:paraId="4A73F07B"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-181 012</w:t>
            </w:r>
          </w:p>
        </w:tc>
        <w:tc>
          <w:tcPr>
            <w:tcW w:w="1199" w:type="dxa"/>
            <w:gridSpan w:val="2"/>
            <w:tcBorders>
              <w:top w:val="nil"/>
              <w:left w:val="nil"/>
              <w:bottom w:val="nil"/>
              <w:right w:val="nil"/>
            </w:tcBorders>
            <w:shd w:val="clear" w:color="000000" w:fill="FFFFFF"/>
            <w:noWrap/>
            <w:vAlign w:val="center"/>
            <w:hideMark/>
          </w:tcPr>
          <w:p w14:paraId="5CDD875B"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-390 956</w:t>
            </w:r>
          </w:p>
        </w:tc>
        <w:tc>
          <w:tcPr>
            <w:tcW w:w="958" w:type="dxa"/>
            <w:gridSpan w:val="2"/>
            <w:tcBorders>
              <w:top w:val="nil"/>
              <w:left w:val="nil"/>
              <w:bottom w:val="nil"/>
              <w:right w:val="nil"/>
            </w:tcBorders>
            <w:shd w:val="clear" w:color="000000" w:fill="FFFFFF"/>
            <w:noWrap/>
            <w:vAlign w:val="center"/>
            <w:hideMark/>
          </w:tcPr>
          <w:p w14:paraId="399EA4BF"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-231 162</w:t>
            </w:r>
          </w:p>
        </w:tc>
      </w:tr>
      <w:tr w:rsidR="005E6AAB" w:rsidRPr="004A2841" w14:paraId="17FED794" w14:textId="77777777" w:rsidTr="005E6AAB">
        <w:trPr>
          <w:trHeight w:val="257"/>
        </w:trPr>
        <w:tc>
          <w:tcPr>
            <w:tcW w:w="187" w:type="dxa"/>
            <w:tcBorders>
              <w:top w:val="single" w:sz="4" w:space="0" w:color="auto"/>
              <w:left w:val="nil"/>
              <w:bottom w:val="nil"/>
              <w:right w:val="nil"/>
            </w:tcBorders>
            <w:shd w:val="clear" w:color="auto" w:fill="auto"/>
            <w:noWrap/>
            <w:vAlign w:val="center"/>
            <w:hideMark/>
          </w:tcPr>
          <w:p w14:paraId="5D2F52A9"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lastRenderedPageBreak/>
              <w:t> </w:t>
            </w:r>
          </w:p>
        </w:tc>
        <w:tc>
          <w:tcPr>
            <w:tcW w:w="2890" w:type="dxa"/>
            <w:gridSpan w:val="2"/>
            <w:tcBorders>
              <w:top w:val="single" w:sz="4" w:space="0" w:color="auto"/>
              <w:left w:val="nil"/>
              <w:bottom w:val="nil"/>
              <w:right w:val="nil"/>
            </w:tcBorders>
            <w:shd w:val="clear" w:color="auto" w:fill="auto"/>
            <w:noWrap/>
            <w:vAlign w:val="center"/>
            <w:hideMark/>
          </w:tcPr>
          <w:p w14:paraId="7B8301DF"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 </w:t>
            </w:r>
          </w:p>
        </w:tc>
        <w:tc>
          <w:tcPr>
            <w:tcW w:w="181" w:type="dxa"/>
            <w:gridSpan w:val="2"/>
            <w:tcBorders>
              <w:top w:val="single" w:sz="4" w:space="0" w:color="auto"/>
              <w:left w:val="nil"/>
              <w:bottom w:val="nil"/>
              <w:right w:val="nil"/>
            </w:tcBorders>
            <w:shd w:val="clear" w:color="auto" w:fill="auto"/>
            <w:noWrap/>
            <w:vAlign w:val="center"/>
            <w:hideMark/>
          </w:tcPr>
          <w:p w14:paraId="6BEBB81A"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 </w:t>
            </w:r>
          </w:p>
        </w:tc>
        <w:tc>
          <w:tcPr>
            <w:tcW w:w="923" w:type="dxa"/>
            <w:gridSpan w:val="2"/>
            <w:tcBorders>
              <w:top w:val="single" w:sz="4" w:space="0" w:color="auto"/>
              <w:left w:val="nil"/>
              <w:bottom w:val="nil"/>
              <w:right w:val="nil"/>
            </w:tcBorders>
            <w:shd w:val="clear" w:color="auto" w:fill="auto"/>
            <w:noWrap/>
            <w:vAlign w:val="center"/>
            <w:hideMark/>
          </w:tcPr>
          <w:p w14:paraId="4D02B375"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2020 S</w:t>
            </w:r>
          </w:p>
        </w:tc>
        <w:tc>
          <w:tcPr>
            <w:tcW w:w="1037" w:type="dxa"/>
            <w:gridSpan w:val="2"/>
            <w:tcBorders>
              <w:top w:val="single" w:sz="4" w:space="0" w:color="auto"/>
              <w:left w:val="nil"/>
              <w:bottom w:val="nil"/>
              <w:right w:val="nil"/>
            </w:tcBorders>
            <w:shd w:val="clear" w:color="auto" w:fill="auto"/>
            <w:noWrap/>
            <w:vAlign w:val="center"/>
            <w:hideMark/>
          </w:tcPr>
          <w:p w14:paraId="7BAB6CA3"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2021 S</w:t>
            </w:r>
          </w:p>
        </w:tc>
        <w:tc>
          <w:tcPr>
            <w:tcW w:w="1062" w:type="dxa"/>
            <w:gridSpan w:val="3"/>
            <w:tcBorders>
              <w:top w:val="single" w:sz="4" w:space="0" w:color="auto"/>
              <w:left w:val="nil"/>
              <w:bottom w:val="nil"/>
              <w:right w:val="nil"/>
            </w:tcBorders>
            <w:shd w:val="clear" w:color="auto" w:fill="auto"/>
            <w:noWrap/>
            <w:vAlign w:val="center"/>
            <w:hideMark/>
          </w:tcPr>
          <w:p w14:paraId="7A73A0F2"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2022 S</w:t>
            </w:r>
          </w:p>
        </w:tc>
        <w:tc>
          <w:tcPr>
            <w:tcW w:w="1062" w:type="dxa"/>
            <w:gridSpan w:val="2"/>
            <w:tcBorders>
              <w:top w:val="single" w:sz="4" w:space="0" w:color="auto"/>
              <w:left w:val="nil"/>
              <w:bottom w:val="nil"/>
              <w:right w:val="nil"/>
            </w:tcBorders>
            <w:shd w:val="clear" w:color="auto" w:fill="auto"/>
            <w:noWrap/>
            <w:vAlign w:val="center"/>
            <w:hideMark/>
          </w:tcPr>
          <w:p w14:paraId="40F26E4F"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2022 R</w:t>
            </w:r>
            <w:r>
              <w:rPr>
                <w:b/>
                <w:bCs/>
                <w:sz w:val="18"/>
                <w:szCs w:val="18"/>
                <w:lang w:eastAsia="sk-SK"/>
              </w:rPr>
              <w:t xml:space="preserve"> </w:t>
            </w:r>
            <w:r>
              <w:rPr>
                <w:b/>
                <w:bCs/>
                <w:sz w:val="18"/>
                <w:szCs w:val="18"/>
                <w:vertAlign w:val="superscript"/>
                <w:lang w:eastAsia="sk-SK"/>
              </w:rPr>
              <w:t>3</w:t>
            </w:r>
            <w:r w:rsidRPr="00027116">
              <w:rPr>
                <w:b/>
                <w:bCs/>
                <w:sz w:val="18"/>
                <w:szCs w:val="18"/>
                <w:vertAlign w:val="superscript"/>
                <w:lang w:eastAsia="sk-SK"/>
              </w:rPr>
              <w:t>)</w:t>
            </w:r>
          </w:p>
        </w:tc>
        <w:tc>
          <w:tcPr>
            <w:tcW w:w="1199" w:type="dxa"/>
            <w:gridSpan w:val="2"/>
            <w:tcBorders>
              <w:top w:val="single" w:sz="4" w:space="0" w:color="auto"/>
              <w:left w:val="nil"/>
              <w:bottom w:val="nil"/>
              <w:right w:val="nil"/>
            </w:tcBorders>
            <w:shd w:val="clear" w:color="auto" w:fill="auto"/>
            <w:noWrap/>
            <w:vAlign w:val="center"/>
            <w:hideMark/>
          </w:tcPr>
          <w:p w14:paraId="2F7E930F" w14:textId="77777777" w:rsidR="005E6AAB" w:rsidRPr="004A2841" w:rsidRDefault="005E6AAB" w:rsidP="00BF1954">
            <w:pPr>
              <w:spacing w:after="0" w:line="240" w:lineRule="auto"/>
              <w:jc w:val="center"/>
              <w:rPr>
                <w:b/>
                <w:bCs/>
                <w:sz w:val="17"/>
                <w:szCs w:val="17"/>
                <w:lang w:eastAsia="sk-SK"/>
              </w:rPr>
            </w:pPr>
            <w:r>
              <w:rPr>
                <w:b/>
                <w:bCs/>
                <w:sz w:val="17"/>
                <w:szCs w:val="17"/>
                <w:lang w:eastAsia="sk-SK"/>
              </w:rPr>
              <w:t xml:space="preserve">Medziročný </w:t>
            </w:r>
            <w:r w:rsidRPr="004A2841">
              <w:rPr>
                <w:b/>
                <w:bCs/>
                <w:sz w:val="17"/>
                <w:szCs w:val="17"/>
                <w:lang w:eastAsia="sk-SK"/>
              </w:rPr>
              <w:t xml:space="preserve">rozdiel </w:t>
            </w:r>
          </w:p>
        </w:tc>
        <w:tc>
          <w:tcPr>
            <w:tcW w:w="958" w:type="dxa"/>
            <w:gridSpan w:val="2"/>
            <w:tcBorders>
              <w:top w:val="single" w:sz="4" w:space="0" w:color="auto"/>
              <w:left w:val="nil"/>
              <w:bottom w:val="nil"/>
              <w:right w:val="nil"/>
            </w:tcBorders>
            <w:shd w:val="clear" w:color="auto" w:fill="auto"/>
            <w:noWrap/>
            <w:vAlign w:val="center"/>
            <w:hideMark/>
          </w:tcPr>
          <w:p w14:paraId="25DC6F6E" w14:textId="77777777" w:rsidR="005E6AAB" w:rsidRDefault="005E6AAB" w:rsidP="00BF1954">
            <w:pPr>
              <w:spacing w:after="0" w:line="240" w:lineRule="auto"/>
              <w:jc w:val="center"/>
              <w:rPr>
                <w:b/>
                <w:bCs/>
                <w:sz w:val="18"/>
                <w:szCs w:val="18"/>
                <w:lang w:eastAsia="sk-SK"/>
              </w:rPr>
            </w:pPr>
            <w:r w:rsidRPr="004A2841">
              <w:rPr>
                <w:b/>
                <w:bCs/>
                <w:sz w:val="18"/>
                <w:szCs w:val="18"/>
                <w:lang w:eastAsia="sk-SK"/>
              </w:rPr>
              <w:t xml:space="preserve">Rozdiel </w:t>
            </w:r>
          </w:p>
          <w:p w14:paraId="14ABA5A8"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S-R</w:t>
            </w:r>
          </w:p>
        </w:tc>
      </w:tr>
      <w:tr w:rsidR="005E6AAB" w:rsidRPr="004A2841" w14:paraId="32A273CE" w14:textId="77777777" w:rsidTr="005E6AAB">
        <w:trPr>
          <w:trHeight w:val="257"/>
        </w:trPr>
        <w:tc>
          <w:tcPr>
            <w:tcW w:w="187" w:type="dxa"/>
            <w:tcBorders>
              <w:top w:val="nil"/>
              <w:left w:val="nil"/>
              <w:bottom w:val="single" w:sz="4" w:space="0" w:color="auto"/>
              <w:right w:val="nil"/>
            </w:tcBorders>
            <w:shd w:val="clear" w:color="auto" w:fill="auto"/>
            <w:noWrap/>
            <w:vAlign w:val="center"/>
            <w:hideMark/>
          </w:tcPr>
          <w:p w14:paraId="26A10F6D"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 </w:t>
            </w:r>
          </w:p>
        </w:tc>
        <w:tc>
          <w:tcPr>
            <w:tcW w:w="2890" w:type="dxa"/>
            <w:gridSpan w:val="2"/>
            <w:tcBorders>
              <w:top w:val="nil"/>
              <w:left w:val="nil"/>
              <w:bottom w:val="single" w:sz="4" w:space="0" w:color="auto"/>
              <w:right w:val="nil"/>
            </w:tcBorders>
            <w:shd w:val="clear" w:color="auto" w:fill="auto"/>
            <w:noWrap/>
            <w:vAlign w:val="center"/>
            <w:hideMark/>
          </w:tcPr>
          <w:p w14:paraId="0BD98717"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 </w:t>
            </w:r>
          </w:p>
        </w:tc>
        <w:tc>
          <w:tcPr>
            <w:tcW w:w="181" w:type="dxa"/>
            <w:gridSpan w:val="2"/>
            <w:tcBorders>
              <w:top w:val="nil"/>
              <w:left w:val="nil"/>
              <w:bottom w:val="single" w:sz="4" w:space="0" w:color="auto"/>
              <w:right w:val="nil"/>
            </w:tcBorders>
            <w:shd w:val="clear" w:color="auto" w:fill="auto"/>
            <w:noWrap/>
            <w:vAlign w:val="center"/>
            <w:hideMark/>
          </w:tcPr>
          <w:p w14:paraId="33204390"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 </w:t>
            </w:r>
          </w:p>
        </w:tc>
        <w:tc>
          <w:tcPr>
            <w:tcW w:w="923" w:type="dxa"/>
            <w:gridSpan w:val="2"/>
            <w:tcBorders>
              <w:top w:val="nil"/>
              <w:left w:val="nil"/>
              <w:bottom w:val="single" w:sz="4" w:space="0" w:color="auto"/>
              <w:right w:val="nil"/>
            </w:tcBorders>
            <w:shd w:val="clear" w:color="auto" w:fill="auto"/>
            <w:noWrap/>
            <w:vAlign w:val="center"/>
            <w:hideMark/>
          </w:tcPr>
          <w:p w14:paraId="77CCCCB7"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3</w:t>
            </w:r>
          </w:p>
        </w:tc>
        <w:tc>
          <w:tcPr>
            <w:tcW w:w="1037" w:type="dxa"/>
            <w:gridSpan w:val="2"/>
            <w:tcBorders>
              <w:top w:val="nil"/>
              <w:left w:val="nil"/>
              <w:bottom w:val="single" w:sz="4" w:space="0" w:color="auto"/>
              <w:right w:val="nil"/>
            </w:tcBorders>
            <w:shd w:val="clear" w:color="auto" w:fill="auto"/>
            <w:noWrap/>
            <w:vAlign w:val="center"/>
            <w:hideMark/>
          </w:tcPr>
          <w:p w14:paraId="06D68DC8"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4</w:t>
            </w:r>
          </w:p>
        </w:tc>
        <w:tc>
          <w:tcPr>
            <w:tcW w:w="1062" w:type="dxa"/>
            <w:gridSpan w:val="3"/>
            <w:tcBorders>
              <w:top w:val="nil"/>
              <w:left w:val="nil"/>
              <w:bottom w:val="single" w:sz="4" w:space="0" w:color="auto"/>
              <w:right w:val="nil"/>
            </w:tcBorders>
            <w:shd w:val="clear" w:color="auto" w:fill="auto"/>
            <w:noWrap/>
            <w:vAlign w:val="center"/>
            <w:hideMark/>
          </w:tcPr>
          <w:p w14:paraId="7009EA86"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4</w:t>
            </w:r>
          </w:p>
        </w:tc>
        <w:tc>
          <w:tcPr>
            <w:tcW w:w="1062" w:type="dxa"/>
            <w:gridSpan w:val="2"/>
            <w:tcBorders>
              <w:top w:val="nil"/>
              <w:left w:val="nil"/>
              <w:bottom w:val="single" w:sz="4" w:space="0" w:color="auto"/>
              <w:right w:val="nil"/>
            </w:tcBorders>
            <w:shd w:val="clear" w:color="auto" w:fill="auto"/>
            <w:noWrap/>
            <w:vAlign w:val="center"/>
            <w:hideMark/>
          </w:tcPr>
          <w:p w14:paraId="477711B6"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5</w:t>
            </w:r>
          </w:p>
        </w:tc>
        <w:tc>
          <w:tcPr>
            <w:tcW w:w="1199" w:type="dxa"/>
            <w:gridSpan w:val="2"/>
            <w:tcBorders>
              <w:top w:val="nil"/>
              <w:left w:val="nil"/>
              <w:bottom w:val="single" w:sz="4" w:space="0" w:color="auto"/>
              <w:right w:val="nil"/>
            </w:tcBorders>
            <w:shd w:val="clear" w:color="auto" w:fill="auto"/>
            <w:noWrap/>
            <w:vAlign w:val="center"/>
            <w:hideMark/>
          </w:tcPr>
          <w:p w14:paraId="3DEF56D9"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6=4-3</w:t>
            </w:r>
          </w:p>
        </w:tc>
        <w:tc>
          <w:tcPr>
            <w:tcW w:w="958" w:type="dxa"/>
            <w:gridSpan w:val="2"/>
            <w:tcBorders>
              <w:top w:val="nil"/>
              <w:left w:val="nil"/>
              <w:bottom w:val="single" w:sz="4" w:space="0" w:color="auto"/>
              <w:right w:val="nil"/>
            </w:tcBorders>
            <w:shd w:val="clear" w:color="auto" w:fill="auto"/>
            <w:noWrap/>
            <w:vAlign w:val="center"/>
            <w:hideMark/>
          </w:tcPr>
          <w:p w14:paraId="21E3939B" w14:textId="77777777" w:rsidR="005E6AAB" w:rsidRPr="004A2841" w:rsidRDefault="005E6AAB" w:rsidP="00BF1954">
            <w:pPr>
              <w:spacing w:after="0" w:line="240" w:lineRule="auto"/>
              <w:jc w:val="center"/>
              <w:rPr>
                <w:b/>
                <w:bCs/>
                <w:sz w:val="18"/>
                <w:szCs w:val="18"/>
                <w:lang w:eastAsia="sk-SK"/>
              </w:rPr>
            </w:pPr>
            <w:r w:rsidRPr="004A2841">
              <w:rPr>
                <w:b/>
                <w:bCs/>
                <w:sz w:val="18"/>
                <w:szCs w:val="18"/>
                <w:lang w:eastAsia="sk-SK"/>
              </w:rPr>
              <w:t>7=4-5</w:t>
            </w:r>
          </w:p>
        </w:tc>
      </w:tr>
      <w:tr w:rsidR="004A2841" w:rsidRPr="004A2841" w14:paraId="0F120CE9" w14:textId="77777777" w:rsidTr="005E6AAB">
        <w:trPr>
          <w:trHeight w:val="273"/>
        </w:trPr>
        <w:tc>
          <w:tcPr>
            <w:tcW w:w="187" w:type="dxa"/>
            <w:tcBorders>
              <w:top w:val="nil"/>
              <w:left w:val="nil"/>
              <w:bottom w:val="nil"/>
              <w:right w:val="nil"/>
            </w:tcBorders>
            <w:shd w:val="clear" w:color="000000" w:fill="FFFFFF"/>
            <w:noWrap/>
            <w:vAlign w:val="center"/>
            <w:hideMark/>
          </w:tcPr>
          <w:p w14:paraId="58214E5D"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10C83129" w14:textId="77777777" w:rsidR="004A2841" w:rsidRPr="004A2841" w:rsidRDefault="004A2841" w:rsidP="004A2841">
            <w:pPr>
              <w:spacing w:after="0" w:line="240" w:lineRule="auto"/>
              <w:rPr>
                <w:sz w:val="18"/>
                <w:szCs w:val="18"/>
                <w:lang w:eastAsia="sk-SK"/>
              </w:rPr>
            </w:pPr>
            <w:r w:rsidRPr="004A2841">
              <w:rPr>
                <w:sz w:val="18"/>
                <w:szCs w:val="18"/>
                <w:lang w:eastAsia="sk-SK"/>
              </w:rPr>
              <w:t>Obce</w:t>
            </w:r>
            <w:r w:rsidRPr="004A2841">
              <w:rPr>
                <w:sz w:val="18"/>
                <w:szCs w:val="18"/>
                <w:vertAlign w:val="superscript"/>
                <w:lang w:eastAsia="sk-SK"/>
              </w:rPr>
              <w:t xml:space="preserve"> </w:t>
            </w:r>
            <w:r w:rsidRPr="004A2841">
              <w:rPr>
                <w:sz w:val="18"/>
                <w:szCs w:val="18"/>
                <w:lang w:eastAsia="sk-SK"/>
              </w:rPr>
              <w:t>a ich rozpočtové organizácie</w:t>
            </w:r>
          </w:p>
        </w:tc>
        <w:tc>
          <w:tcPr>
            <w:tcW w:w="923" w:type="dxa"/>
            <w:gridSpan w:val="2"/>
            <w:tcBorders>
              <w:top w:val="nil"/>
              <w:left w:val="nil"/>
              <w:bottom w:val="nil"/>
              <w:right w:val="nil"/>
            </w:tcBorders>
            <w:shd w:val="clear" w:color="000000" w:fill="FFFFFF"/>
            <w:noWrap/>
            <w:vAlign w:val="center"/>
            <w:hideMark/>
          </w:tcPr>
          <w:p w14:paraId="6B12B08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140 673</w:t>
            </w:r>
          </w:p>
        </w:tc>
        <w:tc>
          <w:tcPr>
            <w:tcW w:w="1037" w:type="dxa"/>
            <w:gridSpan w:val="2"/>
            <w:tcBorders>
              <w:top w:val="nil"/>
              <w:left w:val="nil"/>
              <w:bottom w:val="nil"/>
              <w:right w:val="nil"/>
            </w:tcBorders>
            <w:shd w:val="clear" w:color="000000" w:fill="FFFFFF"/>
            <w:noWrap/>
            <w:vAlign w:val="center"/>
            <w:hideMark/>
          </w:tcPr>
          <w:p w14:paraId="470B4BE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2 371</w:t>
            </w:r>
          </w:p>
        </w:tc>
        <w:tc>
          <w:tcPr>
            <w:tcW w:w="1062" w:type="dxa"/>
            <w:gridSpan w:val="3"/>
            <w:tcBorders>
              <w:top w:val="nil"/>
              <w:left w:val="nil"/>
              <w:bottom w:val="nil"/>
              <w:right w:val="nil"/>
            </w:tcBorders>
            <w:shd w:val="clear" w:color="000000" w:fill="FFFFFF"/>
            <w:noWrap/>
            <w:vAlign w:val="center"/>
            <w:hideMark/>
          </w:tcPr>
          <w:p w14:paraId="176C294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-287 784</w:t>
            </w:r>
          </w:p>
        </w:tc>
        <w:tc>
          <w:tcPr>
            <w:tcW w:w="1062" w:type="dxa"/>
            <w:gridSpan w:val="2"/>
            <w:tcBorders>
              <w:top w:val="nil"/>
              <w:left w:val="nil"/>
              <w:bottom w:val="nil"/>
              <w:right w:val="nil"/>
            </w:tcBorders>
            <w:shd w:val="clear" w:color="000000" w:fill="FFFFFF"/>
            <w:noWrap/>
            <w:vAlign w:val="center"/>
            <w:hideMark/>
          </w:tcPr>
          <w:p w14:paraId="2B773C8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-164 312</w:t>
            </w:r>
          </w:p>
        </w:tc>
        <w:tc>
          <w:tcPr>
            <w:tcW w:w="1199" w:type="dxa"/>
            <w:gridSpan w:val="2"/>
            <w:tcBorders>
              <w:top w:val="nil"/>
              <w:left w:val="nil"/>
              <w:bottom w:val="nil"/>
              <w:right w:val="nil"/>
            </w:tcBorders>
            <w:shd w:val="clear" w:color="000000" w:fill="FFFFFF"/>
            <w:noWrap/>
            <w:vAlign w:val="center"/>
            <w:hideMark/>
          </w:tcPr>
          <w:p w14:paraId="185A4E2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-290 155</w:t>
            </w:r>
          </w:p>
        </w:tc>
        <w:tc>
          <w:tcPr>
            <w:tcW w:w="958" w:type="dxa"/>
            <w:gridSpan w:val="2"/>
            <w:tcBorders>
              <w:top w:val="nil"/>
              <w:left w:val="nil"/>
              <w:bottom w:val="nil"/>
              <w:right w:val="nil"/>
            </w:tcBorders>
            <w:shd w:val="clear" w:color="000000" w:fill="FFFFFF"/>
            <w:noWrap/>
            <w:vAlign w:val="center"/>
            <w:hideMark/>
          </w:tcPr>
          <w:p w14:paraId="5B74133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-123 472</w:t>
            </w:r>
          </w:p>
        </w:tc>
      </w:tr>
      <w:tr w:rsidR="004A2841" w:rsidRPr="004A2841" w14:paraId="23529C67" w14:textId="77777777" w:rsidTr="005E6AAB">
        <w:trPr>
          <w:trHeight w:val="257"/>
        </w:trPr>
        <w:tc>
          <w:tcPr>
            <w:tcW w:w="187" w:type="dxa"/>
            <w:tcBorders>
              <w:top w:val="nil"/>
              <w:left w:val="nil"/>
              <w:bottom w:val="nil"/>
              <w:right w:val="nil"/>
            </w:tcBorders>
            <w:shd w:val="clear" w:color="000000" w:fill="FFFFFF"/>
            <w:noWrap/>
            <w:vAlign w:val="center"/>
            <w:hideMark/>
          </w:tcPr>
          <w:p w14:paraId="4285F7A6"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890" w:type="dxa"/>
            <w:gridSpan w:val="2"/>
            <w:tcBorders>
              <w:top w:val="nil"/>
              <w:left w:val="nil"/>
              <w:bottom w:val="nil"/>
              <w:right w:val="nil"/>
            </w:tcBorders>
            <w:shd w:val="clear" w:color="000000" w:fill="FFFFFF"/>
            <w:noWrap/>
            <w:vAlign w:val="center"/>
            <w:hideMark/>
          </w:tcPr>
          <w:p w14:paraId="287A6D34" w14:textId="77777777" w:rsidR="004A2841" w:rsidRPr="004A2841" w:rsidRDefault="004A2841" w:rsidP="004A2841">
            <w:pPr>
              <w:spacing w:after="0" w:line="240" w:lineRule="auto"/>
              <w:rPr>
                <w:sz w:val="18"/>
                <w:szCs w:val="18"/>
                <w:lang w:eastAsia="sk-SK"/>
              </w:rPr>
            </w:pPr>
            <w:r w:rsidRPr="004A2841">
              <w:rPr>
                <w:sz w:val="18"/>
                <w:szCs w:val="18"/>
                <w:lang w:eastAsia="sk-SK"/>
              </w:rPr>
              <w:t>VÚC a ich rozpočtové organizácie</w:t>
            </w:r>
          </w:p>
        </w:tc>
        <w:tc>
          <w:tcPr>
            <w:tcW w:w="181" w:type="dxa"/>
            <w:gridSpan w:val="2"/>
            <w:tcBorders>
              <w:top w:val="nil"/>
              <w:left w:val="nil"/>
              <w:bottom w:val="nil"/>
              <w:right w:val="nil"/>
            </w:tcBorders>
            <w:shd w:val="clear" w:color="auto" w:fill="auto"/>
            <w:vAlign w:val="center"/>
            <w:hideMark/>
          </w:tcPr>
          <w:p w14:paraId="7BBC2BD2" w14:textId="77777777" w:rsidR="004A2841" w:rsidRPr="004A2841" w:rsidRDefault="004A2841" w:rsidP="004A2841">
            <w:pPr>
              <w:spacing w:after="0" w:line="240" w:lineRule="auto"/>
              <w:rPr>
                <w:sz w:val="18"/>
                <w:szCs w:val="18"/>
                <w:lang w:eastAsia="sk-SK"/>
              </w:rPr>
            </w:pPr>
          </w:p>
        </w:tc>
        <w:tc>
          <w:tcPr>
            <w:tcW w:w="923" w:type="dxa"/>
            <w:gridSpan w:val="2"/>
            <w:tcBorders>
              <w:top w:val="nil"/>
              <w:left w:val="nil"/>
              <w:bottom w:val="nil"/>
              <w:right w:val="nil"/>
            </w:tcBorders>
            <w:shd w:val="clear" w:color="000000" w:fill="FFFFFF"/>
            <w:noWrap/>
            <w:vAlign w:val="center"/>
            <w:hideMark/>
          </w:tcPr>
          <w:p w14:paraId="7CE9FF8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7 735</w:t>
            </w:r>
          </w:p>
        </w:tc>
        <w:tc>
          <w:tcPr>
            <w:tcW w:w="1037" w:type="dxa"/>
            <w:gridSpan w:val="2"/>
            <w:tcBorders>
              <w:top w:val="nil"/>
              <w:left w:val="nil"/>
              <w:bottom w:val="nil"/>
              <w:right w:val="nil"/>
            </w:tcBorders>
            <w:shd w:val="clear" w:color="000000" w:fill="FFFFFF"/>
            <w:noWrap/>
            <w:vAlign w:val="center"/>
            <w:hideMark/>
          </w:tcPr>
          <w:p w14:paraId="37FC37E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-26 748</w:t>
            </w:r>
          </w:p>
        </w:tc>
        <w:tc>
          <w:tcPr>
            <w:tcW w:w="1062" w:type="dxa"/>
            <w:gridSpan w:val="3"/>
            <w:tcBorders>
              <w:top w:val="nil"/>
              <w:left w:val="nil"/>
              <w:bottom w:val="nil"/>
              <w:right w:val="nil"/>
            </w:tcBorders>
            <w:shd w:val="clear" w:color="000000" w:fill="FFFFFF"/>
            <w:noWrap/>
            <w:vAlign w:val="center"/>
            <w:hideMark/>
          </w:tcPr>
          <w:p w14:paraId="61F987BC"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-141 839</w:t>
            </w:r>
          </w:p>
        </w:tc>
        <w:tc>
          <w:tcPr>
            <w:tcW w:w="1062" w:type="dxa"/>
            <w:gridSpan w:val="2"/>
            <w:tcBorders>
              <w:top w:val="nil"/>
              <w:left w:val="nil"/>
              <w:bottom w:val="nil"/>
              <w:right w:val="nil"/>
            </w:tcBorders>
            <w:shd w:val="clear" w:color="000000" w:fill="FFFFFF"/>
            <w:noWrap/>
            <w:vAlign w:val="center"/>
            <w:hideMark/>
          </w:tcPr>
          <w:p w14:paraId="3CD929F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8 598</w:t>
            </w:r>
          </w:p>
        </w:tc>
        <w:tc>
          <w:tcPr>
            <w:tcW w:w="1199" w:type="dxa"/>
            <w:gridSpan w:val="2"/>
            <w:tcBorders>
              <w:top w:val="nil"/>
              <w:left w:val="nil"/>
              <w:bottom w:val="nil"/>
              <w:right w:val="nil"/>
            </w:tcBorders>
            <w:shd w:val="clear" w:color="000000" w:fill="FFFFFF"/>
            <w:noWrap/>
            <w:vAlign w:val="center"/>
            <w:hideMark/>
          </w:tcPr>
          <w:p w14:paraId="722AB29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-115 091</w:t>
            </w:r>
          </w:p>
        </w:tc>
        <w:tc>
          <w:tcPr>
            <w:tcW w:w="958" w:type="dxa"/>
            <w:gridSpan w:val="2"/>
            <w:tcBorders>
              <w:top w:val="nil"/>
              <w:left w:val="nil"/>
              <w:bottom w:val="nil"/>
              <w:right w:val="nil"/>
            </w:tcBorders>
            <w:shd w:val="clear" w:color="000000" w:fill="FFFFFF"/>
            <w:noWrap/>
            <w:vAlign w:val="center"/>
            <w:hideMark/>
          </w:tcPr>
          <w:p w14:paraId="6B11C22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-150 437</w:t>
            </w:r>
          </w:p>
        </w:tc>
      </w:tr>
      <w:tr w:rsidR="004A2841" w:rsidRPr="004A2841" w14:paraId="43340091" w14:textId="77777777" w:rsidTr="005E6AAB">
        <w:trPr>
          <w:trHeight w:val="257"/>
        </w:trPr>
        <w:tc>
          <w:tcPr>
            <w:tcW w:w="187" w:type="dxa"/>
            <w:tcBorders>
              <w:top w:val="nil"/>
              <w:left w:val="nil"/>
              <w:bottom w:val="nil"/>
              <w:right w:val="nil"/>
            </w:tcBorders>
            <w:shd w:val="clear" w:color="000000" w:fill="FFFFFF"/>
            <w:noWrap/>
            <w:vAlign w:val="center"/>
            <w:hideMark/>
          </w:tcPr>
          <w:p w14:paraId="3346D87C"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3FEBE84F" w14:textId="77777777" w:rsidR="004A2841" w:rsidRPr="004A2841" w:rsidRDefault="004A2841" w:rsidP="004A2841">
            <w:pPr>
              <w:spacing w:after="0" w:line="240" w:lineRule="auto"/>
              <w:rPr>
                <w:sz w:val="18"/>
                <w:szCs w:val="18"/>
                <w:lang w:eastAsia="sk-SK"/>
              </w:rPr>
            </w:pPr>
            <w:r w:rsidRPr="004A2841">
              <w:rPr>
                <w:sz w:val="18"/>
                <w:szCs w:val="18"/>
                <w:lang w:eastAsia="sk-SK"/>
              </w:rPr>
              <w:t>Príspevkové organizácie obcí</w:t>
            </w:r>
          </w:p>
        </w:tc>
        <w:tc>
          <w:tcPr>
            <w:tcW w:w="923" w:type="dxa"/>
            <w:gridSpan w:val="2"/>
            <w:tcBorders>
              <w:top w:val="nil"/>
              <w:left w:val="nil"/>
              <w:bottom w:val="nil"/>
              <w:right w:val="nil"/>
            </w:tcBorders>
            <w:shd w:val="clear" w:color="000000" w:fill="FFFFFF"/>
            <w:noWrap/>
            <w:vAlign w:val="center"/>
            <w:hideMark/>
          </w:tcPr>
          <w:p w14:paraId="583C01A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5 734</w:t>
            </w:r>
          </w:p>
        </w:tc>
        <w:tc>
          <w:tcPr>
            <w:tcW w:w="1037" w:type="dxa"/>
            <w:gridSpan w:val="2"/>
            <w:tcBorders>
              <w:top w:val="nil"/>
              <w:left w:val="nil"/>
              <w:bottom w:val="nil"/>
              <w:right w:val="nil"/>
            </w:tcBorders>
            <w:shd w:val="clear" w:color="000000" w:fill="FFFFFF"/>
            <w:noWrap/>
            <w:vAlign w:val="center"/>
            <w:hideMark/>
          </w:tcPr>
          <w:p w14:paraId="1119480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44</w:t>
            </w:r>
          </w:p>
        </w:tc>
        <w:tc>
          <w:tcPr>
            <w:tcW w:w="1062" w:type="dxa"/>
            <w:gridSpan w:val="3"/>
            <w:tcBorders>
              <w:top w:val="nil"/>
              <w:left w:val="nil"/>
              <w:bottom w:val="nil"/>
              <w:right w:val="nil"/>
            </w:tcBorders>
            <w:shd w:val="clear" w:color="000000" w:fill="FFFFFF"/>
            <w:noWrap/>
            <w:vAlign w:val="center"/>
            <w:hideMark/>
          </w:tcPr>
          <w:p w14:paraId="11ED09E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-1 694</w:t>
            </w:r>
          </w:p>
        </w:tc>
        <w:tc>
          <w:tcPr>
            <w:tcW w:w="1062" w:type="dxa"/>
            <w:gridSpan w:val="2"/>
            <w:tcBorders>
              <w:top w:val="nil"/>
              <w:left w:val="nil"/>
              <w:bottom w:val="nil"/>
              <w:right w:val="nil"/>
            </w:tcBorders>
            <w:shd w:val="clear" w:color="000000" w:fill="FFFFFF"/>
            <w:noWrap/>
            <w:vAlign w:val="center"/>
            <w:hideMark/>
          </w:tcPr>
          <w:p w14:paraId="4DA11F0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5 168</w:t>
            </w:r>
          </w:p>
        </w:tc>
        <w:tc>
          <w:tcPr>
            <w:tcW w:w="1199" w:type="dxa"/>
            <w:gridSpan w:val="2"/>
            <w:tcBorders>
              <w:top w:val="nil"/>
              <w:left w:val="nil"/>
              <w:bottom w:val="nil"/>
              <w:right w:val="nil"/>
            </w:tcBorders>
            <w:shd w:val="clear" w:color="000000" w:fill="FFFFFF"/>
            <w:noWrap/>
            <w:vAlign w:val="center"/>
            <w:hideMark/>
          </w:tcPr>
          <w:p w14:paraId="3930606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-1 738</w:t>
            </w:r>
          </w:p>
        </w:tc>
        <w:tc>
          <w:tcPr>
            <w:tcW w:w="958" w:type="dxa"/>
            <w:gridSpan w:val="2"/>
            <w:tcBorders>
              <w:top w:val="nil"/>
              <w:left w:val="nil"/>
              <w:bottom w:val="nil"/>
              <w:right w:val="nil"/>
            </w:tcBorders>
            <w:shd w:val="clear" w:color="000000" w:fill="FFFFFF"/>
            <w:noWrap/>
            <w:vAlign w:val="center"/>
            <w:hideMark/>
          </w:tcPr>
          <w:p w14:paraId="0FEE475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-6 862</w:t>
            </w:r>
          </w:p>
        </w:tc>
      </w:tr>
      <w:tr w:rsidR="004A2841" w:rsidRPr="004A2841" w14:paraId="6B10D789" w14:textId="77777777" w:rsidTr="005E6AAB">
        <w:trPr>
          <w:trHeight w:val="257"/>
        </w:trPr>
        <w:tc>
          <w:tcPr>
            <w:tcW w:w="187" w:type="dxa"/>
            <w:tcBorders>
              <w:top w:val="nil"/>
              <w:left w:val="nil"/>
              <w:bottom w:val="nil"/>
              <w:right w:val="nil"/>
            </w:tcBorders>
            <w:shd w:val="clear" w:color="000000" w:fill="FFFFFF"/>
            <w:noWrap/>
            <w:vAlign w:val="center"/>
            <w:hideMark/>
          </w:tcPr>
          <w:p w14:paraId="3D068F58"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3FB6068C" w14:textId="77777777" w:rsidR="004A2841" w:rsidRPr="004A2841" w:rsidRDefault="004A2841" w:rsidP="004A2841">
            <w:pPr>
              <w:spacing w:after="0" w:line="240" w:lineRule="auto"/>
              <w:rPr>
                <w:sz w:val="18"/>
                <w:szCs w:val="18"/>
                <w:lang w:eastAsia="sk-SK"/>
              </w:rPr>
            </w:pPr>
            <w:r w:rsidRPr="004A2841">
              <w:rPr>
                <w:sz w:val="18"/>
                <w:szCs w:val="18"/>
                <w:lang w:eastAsia="sk-SK"/>
              </w:rPr>
              <w:t>Príspevkové organizácie VÚC</w:t>
            </w:r>
          </w:p>
        </w:tc>
        <w:tc>
          <w:tcPr>
            <w:tcW w:w="923" w:type="dxa"/>
            <w:gridSpan w:val="2"/>
            <w:tcBorders>
              <w:top w:val="nil"/>
              <w:left w:val="nil"/>
              <w:bottom w:val="nil"/>
              <w:right w:val="nil"/>
            </w:tcBorders>
            <w:shd w:val="clear" w:color="000000" w:fill="FFFFFF"/>
            <w:noWrap/>
            <w:vAlign w:val="center"/>
            <w:hideMark/>
          </w:tcPr>
          <w:p w14:paraId="4526120F"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7 609</w:t>
            </w:r>
          </w:p>
        </w:tc>
        <w:tc>
          <w:tcPr>
            <w:tcW w:w="1037" w:type="dxa"/>
            <w:gridSpan w:val="2"/>
            <w:tcBorders>
              <w:top w:val="nil"/>
              <w:left w:val="nil"/>
              <w:bottom w:val="nil"/>
              <w:right w:val="nil"/>
            </w:tcBorders>
            <w:shd w:val="clear" w:color="000000" w:fill="FFFFFF"/>
            <w:noWrap/>
            <w:vAlign w:val="center"/>
            <w:hideMark/>
          </w:tcPr>
          <w:p w14:paraId="608FA43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13 940</w:t>
            </w:r>
          </w:p>
        </w:tc>
        <w:tc>
          <w:tcPr>
            <w:tcW w:w="1062" w:type="dxa"/>
            <w:gridSpan w:val="3"/>
            <w:tcBorders>
              <w:top w:val="nil"/>
              <w:left w:val="nil"/>
              <w:bottom w:val="nil"/>
              <w:right w:val="nil"/>
            </w:tcBorders>
            <w:shd w:val="clear" w:color="000000" w:fill="FFFFFF"/>
            <w:noWrap/>
            <w:vAlign w:val="center"/>
            <w:hideMark/>
          </w:tcPr>
          <w:p w14:paraId="019A9E02"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-1 050</w:t>
            </w:r>
          </w:p>
        </w:tc>
        <w:tc>
          <w:tcPr>
            <w:tcW w:w="1062" w:type="dxa"/>
            <w:gridSpan w:val="2"/>
            <w:tcBorders>
              <w:top w:val="nil"/>
              <w:left w:val="nil"/>
              <w:bottom w:val="nil"/>
              <w:right w:val="nil"/>
            </w:tcBorders>
            <w:shd w:val="clear" w:color="000000" w:fill="FFFFFF"/>
            <w:noWrap/>
            <w:vAlign w:val="center"/>
            <w:hideMark/>
          </w:tcPr>
          <w:p w14:paraId="23AC5AAA"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7 589</w:t>
            </w:r>
          </w:p>
        </w:tc>
        <w:tc>
          <w:tcPr>
            <w:tcW w:w="1199" w:type="dxa"/>
            <w:gridSpan w:val="2"/>
            <w:tcBorders>
              <w:top w:val="nil"/>
              <w:left w:val="nil"/>
              <w:bottom w:val="nil"/>
              <w:right w:val="nil"/>
            </w:tcBorders>
            <w:shd w:val="clear" w:color="000000" w:fill="FFFFFF"/>
            <w:noWrap/>
            <w:vAlign w:val="center"/>
            <w:hideMark/>
          </w:tcPr>
          <w:p w14:paraId="261EFE7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-14 990</w:t>
            </w:r>
          </w:p>
        </w:tc>
        <w:tc>
          <w:tcPr>
            <w:tcW w:w="958" w:type="dxa"/>
            <w:gridSpan w:val="2"/>
            <w:tcBorders>
              <w:top w:val="nil"/>
              <w:left w:val="nil"/>
              <w:bottom w:val="nil"/>
              <w:right w:val="nil"/>
            </w:tcBorders>
            <w:shd w:val="clear" w:color="000000" w:fill="FFFFFF"/>
            <w:noWrap/>
            <w:vAlign w:val="center"/>
            <w:hideMark/>
          </w:tcPr>
          <w:p w14:paraId="0E15880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-8 639</w:t>
            </w:r>
          </w:p>
        </w:tc>
      </w:tr>
      <w:tr w:rsidR="004A2841" w:rsidRPr="004A2841" w14:paraId="41C41043" w14:textId="77777777" w:rsidTr="005E6AAB">
        <w:trPr>
          <w:trHeight w:val="257"/>
        </w:trPr>
        <w:tc>
          <w:tcPr>
            <w:tcW w:w="187" w:type="dxa"/>
            <w:tcBorders>
              <w:top w:val="nil"/>
              <w:left w:val="nil"/>
              <w:bottom w:val="nil"/>
              <w:right w:val="nil"/>
            </w:tcBorders>
            <w:shd w:val="clear" w:color="000000" w:fill="FFFFFF"/>
            <w:noWrap/>
            <w:vAlign w:val="center"/>
            <w:hideMark/>
          </w:tcPr>
          <w:p w14:paraId="00299A8C"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571A9ACA" w14:textId="77777777" w:rsidR="004A2841" w:rsidRPr="004A2841" w:rsidRDefault="004A2841" w:rsidP="004A2841">
            <w:pPr>
              <w:spacing w:after="0" w:line="240" w:lineRule="auto"/>
              <w:rPr>
                <w:sz w:val="18"/>
                <w:szCs w:val="18"/>
                <w:lang w:eastAsia="sk-SK"/>
              </w:rPr>
            </w:pPr>
            <w:r w:rsidRPr="004A2841">
              <w:rPr>
                <w:sz w:val="18"/>
                <w:szCs w:val="18"/>
                <w:lang w:eastAsia="sk-SK"/>
              </w:rPr>
              <w:t>Dopravné podniky</w:t>
            </w:r>
          </w:p>
        </w:tc>
        <w:tc>
          <w:tcPr>
            <w:tcW w:w="923" w:type="dxa"/>
            <w:gridSpan w:val="2"/>
            <w:tcBorders>
              <w:top w:val="nil"/>
              <w:left w:val="nil"/>
              <w:bottom w:val="nil"/>
              <w:right w:val="nil"/>
            </w:tcBorders>
            <w:shd w:val="clear" w:color="000000" w:fill="FFFFFF"/>
            <w:noWrap/>
            <w:vAlign w:val="center"/>
            <w:hideMark/>
          </w:tcPr>
          <w:p w14:paraId="32B11E7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4 572</w:t>
            </w:r>
          </w:p>
        </w:tc>
        <w:tc>
          <w:tcPr>
            <w:tcW w:w="1037" w:type="dxa"/>
            <w:gridSpan w:val="2"/>
            <w:tcBorders>
              <w:top w:val="nil"/>
              <w:left w:val="nil"/>
              <w:bottom w:val="nil"/>
              <w:right w:val="nil"/>
            </w:tcBorders>
            <w:shd w:val="clear" w:color="000000" w:fill="FFFFFF"/>
            <w:noWrap/>
            <w:vAlign w:val="center"/>
            <w:hideMark/>
          </w:tcPr>
          <w:p w14:paraId="4FEB60E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-9 641</w:t>
            </w:r>
          </w:p>
        </w:tc>
        <w:tc>
          <w:tcPr>
            <w:tcW w:w="1062" w:type="dxa"/>
            <w:gridSpan w:val="3"/>
            <w:tcBorders>
              <w:top w:val="nil"/>
              <w:left w:val="nil"/>
              <w:bottom w:val="nil"/>
              <w:right w:val="nil"/>
            </w:tcBorders>
            <w:shd w:val="clear" w:color="000000" w:fill="FFFFFF"/>
            <w:noWrap/>
            <w:vAlign w:val="center"/>
            <w:hideMark/>
          </w:tcPr>
          <w:p w14:paraId="13F0457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-9 411</w:t>
            </w:r>
          </w:p>
        </w:tc>
        <w:tc>
          <w:tcPr>
            <w:tcW w:w="1062" w:type="dxa"/>
            <w:gridSpan w:val="2"/>
            <w:tcBorders>
              <w:top w:val="nil"/>
              <w:left w:val="nil"/>
              <w:bottom w:val="nil"/>
              <w:right w:val="nil"/>
            </w:tcBorders>
            <w:shd w:val="clear" w:color="000000" w:fill="FFFFFF"/>
            <w:noWrap/>
            <w:vAlign w:val="center"/>
            <w:hideMark/>
          </w:tcPr>
          <w:p w14:paraId="03A4F89D"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-38 300</w:t>
            </w:r>
          </w:p>
        </w:tc>
        <w:tc>
          <w:tcPr>
            <w:tcW w:w="1199" w:type="dxa"/>
            <w:gridSpan w:val="2"/>
            <w:tcBorders>
              <w:top w:val="nil"/>
              <w:left w:val="nil"/>
              <w:bottom w:val="nil"/>
              <w:right w:val="nil"/>
            </w:tcBorders>
            <w:shd w:val="clear" w:color="000000" w:fill="FFFFFF"/>
            <w:noWrap/>
            <w:vAlign w:val="center"/>
            <w:hideMark/>
          </w:tcPr>
          <w:p w14:paraId="6AE25C7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230</w:t>
            </w:r>
          </w:p>
        </w:tc>
        <w:tc>
          <w:tcPr>
            <w:tcW w:w="958" w:type="dxa"/>
            <w:gridSpan w:val="2"/>
            <w:tcBorders>
              <w:top w:val="nil"/>
              <w:left w:val="nil"/>
              <w:bottom w:val="nil"/>
              <w:right w:val="nil"/>
            </w:tcBorders>
            <w:shd w:val="clear" w:color="000000" w:fill="FFFFFF"/>
            <w:noWrap/>
            <w:vAlign w:val="center"/>
            <w:hideMark/>
          </w:tcPr>
          <w:p w14:paraId="09028C1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28 889</w:t>
            </w:r>
          </w:p>
        </w:tc>
      </w:tr>
      <w:tr w:rsidR="004A2841" w:rsidRPr="004A2841" w14:paraId="50FC31B6" w14:textId="77777777" w:rsidTr="005E6AAB">
        <w:trPr>
          <w:trHeight w:val="257"/>
        </w:trPr>
        <w:tc>
          <w:tcPr>
            <w:tcW w:w="187" w:type="dxa"/>
            <w:tcBorders>
              <w:top w:val="nil"/>
              <w:left w:val="nil"/>
              <w:bottom w:val="nil"/>
              <w:right w:val="nil"/>
            </w:tcBorders>
            <w:shd w:val="clear" w:color="000000" w:fill="FFFFFF"/>
            <w:noWrap/>
            <w:vAlign w:val="center"/>
            <w:hideMark/>
          </w:tcPr>
          <w:p w14:paraId="19B0BB00"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2890" w:type="dxa"/>
            <w:gridSpan w:val="2"/>
            <w:tcBorders>
              <w:top w:val="nil"/>
              <w:left w:val="nil"/>
              <w:bottom w:val="nil"/>
              <w:right w:val="nil"/>
            </w:tcBorders>
            <w:shd w:val="clear" w:color="000000" w:fill="FFFFFF"/>
            <w:noWrap/>
            <w:vAlign w:val="center"/>
            <w:hideMark/>
          </w:tcPr>
          <w:p w14:paraId="2C02AE9E" w14:textId="77777777" w:rsidR="004A2841" w:rsidRPr="004A2841" w:rsidRDefault="004A2841" w:rsidP="004A2841">
            <w:pPr>
              <w:spacing w:after="0" w:line="240" w:lineRule="auto"/>
              <w:rPr>
                <w:sz w:val="18"/>
                <w:szCs w:val="18"/>
                <w:lang w:eastAsia="sk-SK"/>
              </w:rPr>
            </w:pPr>
            <w:r w:rsidRPr="004A2841">
              <w:rPr>
                <w:sz w:val="18"/>
                <w:szCs w:val="18"/>
                <w:lang w:eastAsia="sk-SK"/>
              </w:rPr>
              <w:t>Zdravotnícke zariadenia územnej samosprávy</w:t>
            </w:r>
          </w:p>
        </w:tc>
        <w:tc>
          <w:tcPr>
            <w:tcW w:w="181" w:type="dxa"/>
            <w:gridSpan w:val="2"/>
            <w:tcBorders>
              <w:top w:val="nil"/>
              <w:left w:val="nil"/>
              <w:bottom w:val="nil"/>
              <w:right w:val="nil"/>
            </w:tcBorders>
            <w:shd w:val="clear" w:color="auto" w:fill="auto"/>
            <w:vAlign w:val="center"/>
            <w:hideMark/>
          </w:tcPr>
          <w:p w14:paraId="7DF19F0A" w14:textId="77777777" w:rsidR="004A2841" w:rsidRPr="004A2841" w:rsidRDefault="004A2841" w:rsidP="004A2841">
            <w:pPr>
              <w:spacing w:after="0" w:line="240" w:lineRule="auto"/>
              <w:rPr>
                <w:sz w:val="18"/>
                <w:szCs w:val="18"/>
                <w:lang w:eastAsia="sk-SK"/>
              </w:rPr>
            </w:pPr>
          </w:p>
        </w:tc>
        <w:tc>
          <w:tcPr>
            <w:tcW w:w="923" w:type="dxa"/>
            <w:gridSpan w:val="2"/>
            <w:tcBorders>
              <w:top w:val="nil"/>
              <w:left w:val="nil"/>
              <w:bottom w:val="nil"/>
              <w:right w:val="nil"/>
            </w:tcBorders>
            <w:shd w:val="clear" w:color="000000" w:fill="FFFFFF"/>
            <w:noWrap/>
            <w:vAlign w:val="center"/>
            <w:hideMark/>
          </w:tcPr>
          <w:p w14:paraId="396F32F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9 003</w:t>
            </w:r>
          </w:p>
        </w:tc>
        <w:tc>
          <w:tcPr>
            <w:tcW w:w="1037" w:type="dxa"/>
            <w:gridSpan w:val="2"/>
            <w:tcBorders>
              <w:top w:val="nil"/>
              <w:left w:val="nil"/>
              <w:bottom w:val="nil"/>
              <w:right w:val="nil"/>
            </w:tcBorders>
            <w:shd w:val="clear" w:color="000000" w:fill="FFFFFF"/>
            <w:noWrap/>
            <w:vAlign w:val="center"/>
            <w:hideMark/>
          </w:tcPr>
          <w:p w14:paraId="7A0278E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-8 710</w:t>
            </w:r>
          </w:p>
        </w:tc>
        <w:tc>
          <w:tcPr>
            <w:tcW w:w="1062" w:type="dxa"/>
            <w:gridSpan w:val="3"/>
            <w:tcBorders>
              <w:top w:val="nil"/>
              <w:left w:val="nil"/>
              <w:bottom w:val="nil"/>
              <w:right w:val="nil"/>
            </w:tcBorders>
            <w:shd w:val="clear" w:color="000000" w:fill="FFFFFF"/>
            <w:noWrap/>
            <w:vAlign w:val="center"/>
            <w:hideMark/>
          </w:tcPr>
          <w:p w14:paraId="4BE533F2"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29 023</w:t>
            </w:r>
          </w:p>
        </w:tc>
        <w:tc>
          <w:tcPr>
            <w:tcW w:w="1062" w:type="dxa"/>
            <w:gridSpan w:val="2"/>
            <w:tcBorders>
              <w:top w:val="nil"/>
              <w:left w:val="nil"/>
              <w:bottom w:val="nil"/>
              <w:right w:val="nil"/>
            </w:tcBorders>
            <w:shd w:val="clear" w:color="000000" w:fill="FFFFFF"/>
            <w:noWrap/>
            <w:vAlign w:val="center"/>
            <w:hideMark/>
          </w:tcPr>
          <w:p w14:paraId="3306B8D6"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245</w:t>
            </w:r>
          </w:p>
        </w:tc>
        <w:tc>
          <w:tcPr>
            <w:tcW w:w="1199" w:type="dxa"/>
            <w:gridSpan w:val="2"/>
            <w:tcBorders>
              <w:top w:val="nil"/>
              <w:left w:val="nil"/>
              <w:bottom w:val="nil"/>
              <w:right w:val="nil"/>
            </w:tcBorders>
            <w:shd w:val="clear" w:color="000000" w:fill="FFFFFF"/>
            <w:noWrap/>
            <w:vAlign w:val="center"/>
            <w:hideMark/>
          </w:tcPr>
          <w:p w14:paraId="23EDAF2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37 733</w:t>
            </w:r>
          </w:p>
        </w:tc>
        <w:tc>
          <w:tcPr>
            <w:tcW w:w="958" w:type="dxa"/>
            <w:gridSpan w:val="2"/>
            <w:tcBorders>
              <w:top w:val="nil"/>
              <w:left w:val="nil"/>
              <w:bottom w:val="nil"/>
              <w:right w:val="nil"/>
            </w:tcBorders>
            <w:shd w:val="clear" w:color="000000" w:fill="FFFFFF"/>
            <w:noWrap/>
            <w:vAlign w:val="center"/>
            <w:hideMark/>
          </w:tcPr>
          <w:p w14:paraId="7064401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28 778</w:t>
            </w:r>
          </w:p>
        </w:tc>
      </w:tr>
      <w:tr w:rsidR="004A2841" w:rsidRPr="004A2841" w14:paraId="46EAAFDC" w14:textId="77777777" w:rsidTr="005E6AAB">
        <w:trPr>
          <w:trHeight w:val="257"/>
        </w:trPr>
        <w:tc>
          <w:tcPr>
            <w:tcW w:w="187" w:type="dxa"/>
            <w:tcBorders>
              <w:top w:val="nil"/>
              <w:left w:val="nil"/>
              <w:bottom w:val="nil"/>
              <w:right w:val="nil"/>
            </w:tcBorders>
            <w:shd w:val="clear" w:color="000000" w:fill="FFFFFF"/>
            <w:noWrap/>
            <w:vAlign w:val="center"/>
            <w:hideMark/>
          </w:tcPr>
          <w:p w14:paraId="760BEE27" w14:textId="77777777" w:rsidR="004A2841" w:rsidRPr="004A2841" w:rsidRDefault="004A2841" w:rsidP="004A2841">
            <w:pPr>
              <w:spacing w:after="0" w:line="240" w:lineRule="auto"/>
              <w:rPr>
                <w:color w:val="000000"/>
                <w:sz w:val="18"/>
                <w:szCs w:val="18"/>
                <w:lang w:eastAsia="sk-SK"/>
              </w:rPr>
            </w:pPr>
            <w:r w:rsidRPr="004A2841">
              <w:rPr>
                <w:color w:val="000000"/>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42BC429B" w14:textId="77777777" w:rsidR="004A2841" w:rsidRPr="004A2841" w:rsidRDefault="004A2841" w:rsidP="004A2841">
            <w:pPr>
              <w:spacing w:after="0" w:line="240" w:lineRule="auto"/>
              <w:rPr>
                <w:sz w:val="18"/>
                <w:szCs w:val="18"/>
                <w:lang w:eastAsia="sk-SK"/>
              </w:rPr>
            </w:pPr>
            <w:r w:rsidRPr="004A2841">
              <w:rPr>
                <w:sz w:val="18"/>
                <w:szCs w:val="18"/>
                <w:lang w:eastAsia="sk-SK"/>
              </w:rPr>
              <w:t>Ostatné subjekty územnej samosprávy</w:t>
            </w:r>
          </w:p>
        </w:tc>
        <w:tc>
          <w:tcPr>
            <w:tcW w:w="923" w:type="dxa"/>
            <w:gridSpan w:val="2"/>
            <w:tcBorders>
              <w:top w:val="nil"/>
              <w:left w:val="nil"/>
              <w:bottom w:val="nil"/>
              <w:right w:val="nil"/>
            </w:tcBorders>
            <w:shd w:val="clear" w:color="000000" w:fill="FFFFFF"/>
            <w:noWrap/>
            <w:vAlign w:val="center"/>
            <w:hideMark/>
          </w:tcPr>
          <w:p w14:paraId="4B5418A3"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3 045</w:t>
            </w:r>
          </w:p>
        </w:tc>
        <w:tc>
          <w:tcPr>
            <w:tcW w:w="1037" w:type="dxa"/>
            <w:gridSpan w:val="2"/>
            <w:tcBorders>
              <w:top w:val="nil"/>
              <w:left w:val="nil"/>
              <w:bottom w:val="nil"/>
              <w:right w:val="nil"/>
            </w:tcBorders>
            <w:shd w:val="clear" w:color="000000" w:fill="FFFFFF"/>
            <w:noWrap/>
            <w:vAlign w:val="center"/>
            <w:hideMark/>
          </w:tcPr>
          <w:p w14:paraId="7442075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7 526</w:t>
            </w:r>
          </w:p>
        </w:tc>
        <w:tc>
          <w:tcPr>
            <w:tcW w:w="1062" w:type="dxa"/>
            <w:gridSpan w:val="3"/>
            <w:tcBorders>
              <w:top w:val="nil"/>
              <w:left w:val="nil"/>
              <w:bottom w:val="nil"/>
              <w:right w:val="nil"/>
            </w:tcBorders>
            <w:shd w:val="clear" w:color="000000" w:fill="FFFFFF"/>
            <w:noWrap/>
            <w:vAlign w:val="center"/>
            <w:hideMark/>
          </w:tcPr>
          <w:p w14:paraId="24219F6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581</w:t>
            </w:r>
          </w:p>
        </w:tc>
        <w:tc>
          <w:tcPr>
            <w:tcW w:w="1062" w:type="dxa"/>
            <w:gridSpan w:val="2"/>
            <w:tcBorders>
              <w:top w:val="nil"/>
              <w:left w:val="nil"/>
              <w:bottom w:val="nil"/>
              <w:right w:val="nil"/>
            </w:tcBorders>
            <w:shd w:val="clear" w:color="000000" w:fill="FFFFFF"/>
            <w:noWrap/>
            <w:vAlign w:val="center"/>
            <w:hideMark/>
          </w:tcPr>
          <w:p w14:paraId="38ED0EC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0</w:t>
            </w:r>
          </w:p>
        </w:tc>
        <w:tc>
          <w:tcPr>
            <w:tcW w:w="1199" w:type="dxa"/>
            <w:gridSpan w:val="2"/>
            <w:tcBorders>
              <w:top w:val="nil"/>
              <w:left w:val="nil"/>
              <w:bottom w:val="nil"/>
              <w:right w:val="nil"/>
            </w:tcBorders>
            <w:shd w:val="clear" w:color="000000" w:fill="FFFFFF"/>
            <w:noWrap/>
            <w:vAlign w:val="center"/>
            <w:hideMark/>
          </w:tcPr>
          <w:p w14:paraId="795DCD4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-6 945</w:t>
            </w:r>
          </w:p>
        </w:tc>
        <w:tc>
          <w:tcPr>
            <w:tcW w:w="958" w:type="dxa"/>
            <w:gridSpan w:val="2"/>
            <w:tcBorders>
              <w:top w:val="nil"/>
              <w:left w:val="nil"/>
              <w:bottom w:val="nil"/>
              <w:right w:val="nil"/>
            </w:tcBorders>
            <w:shd w:val="clear" w:color="000000" w:fill="FFFFFF"/>
            <w:noWrap/>
            <w:vAlign w:val="center"/>
            <w:hideMark/>
          </w:tcPr>
          <w:p w14:paraId="1E97F6F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581</w:t>
            </w:r>
          </w:p>
        </w:tc>
      </w:tr>
      <w:tr w:rsidR="004A2841" w:rsidRPr="004A2841" w14:paraId="4090A87A" w14:textId="77777777" w:rsidTr="005E6AAB">
        <w:trPr>
          <w:trHeight w:val="257"/>
        </w:trPr>
        <w:tc>
          <w:tcPr>
            <w:tcW w:w="3258" w:type="dxa"/>
            <w:gridSpan w:val="5"/>
            <w:tcBorders>
              <w:top w:val="nil"/>
              <w:left w:val="nil"/>
              <w:bottom w:val="nil"/>
              <w:right w:val="nil"/>
            </w:tcBorders>
            <w:shd w:val="clear" w:color="000000" w:fill="FFFFFF"/>
            <w:noWrap/>
            <w:vAlign w:val="center"/>
            <w:hideMark/>
          </w:tcPr>
          <w:p w14:paraId="34695900" w14:textId="77777777" w:rsidR="004A2841" w:rsidRPr="004A2841" w:rsidRDefault="004A2841" w:rsidP="004A2841">
            <w:pPr>
              <w:spacing w:after="0" w:line="240" w:lineRule="auto"/>
              <w:rPr>
                <w:b/>
                <w:bCs/>
                <w:color w:val="000000"/>
                <w:sz w:val="18"/>
                <w:szCs w:val="18"/>
                <w:lang w:eastAsia="sk-SK"/>
              </w:rPr>
            </w:pPr>
            <w:r w:rsidRPr="004A2841">
              <w:rPr>
                <w:b/>
                <w:bCs/>
                <w:color w:val="000000"/>
                <w:sz w:val="18"/>
                <w:szCs w:val="18"/>
                <w:lang w:eastAsia="sk-SK"/>
              </w:rPr>
              <w:t>Fondy sociálneho zabezpečenia</w:t>
            </w:r>
          </w:p>
        </w:tc>
        <w:tc>
          <w:tcPr>
            <w:tcW w:w="923" w:type="dxa"/>
            <w:gridSpan w:val="2"/>
            <w:tcBorders>
              <w:top w:val="nil"/>
              <w:left w:val="nil"/>
              <w:bottom w:val="nil"/>
              <w:right w:val="nil"/>
            </w:tcBorders>
            <w:shd w:val="clear" w:color="000000" w:fill="FFFFFF"/>
            <w:noWrap/>
            <w:vAlign w:val="center"/>
            <w:hideMark/>
          </w:tcPr>
          <w:p w14:paraId="488812D1"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326 581</w:t>
            </w:r>
          </w:p>
        </w:tc>
        <w:tc>
          <w:tcPr>
            <w:tcW w:w="1037" w:type="dxa"/>
            <w:gridSpan w:val="2"/>
            <w:tcBorders>
              <w:top w:val="nil"/>
              <w:left w:val="nil"/>
              <w:bottom w:val="nil"/>
              <w:right w:val="nil"/>
            </w:tcBorders>
            <w:shd w:val="clear" w:color="000000" w:fill="FFFFFF"/>
            <w:noWrap/>
            <w:vAlign w:val="center"/>
            <w:hideMark/>
          </w:tcPr>
          <w:p w14:paraId="2746B026"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285 463</w:t>
            </w:r>
          </w:p>
        </w:tc>
        <w:tc>
          <w:tcPr>
            <w:tcW w:w="1062" w:type="dxa"/>
            <w:gridSpan w:val="3"/>
            <w:tcBorders>
              <w:top w:val="nil"/>
              <w:left w:val="nil"/>
              <w:bottom w:val="nil"/>
              <w:right w:val="nil"/>
            </w:tcBorders>
            <w:shd w:val="clear" w:color="000000" w:fill="FFFFFF"/>
            <w:noWrap/>
            <w:vAlign w:val="center"/>
            <w:hideMark/>
          </w:tcPr>
          <w:p w14:paraId="5DE05B93"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87 987</w:t>
            </w:r>
          </w:p>
        </w:tc>
        <w:tc>
          <w:tcPr>
            <w:tcW w:w="1062" w:type="dxa"/>
            <w:gridSpan w:val="2"/>
            <w:tcBorders>
              <w:top w:val="nil"/>
              <w:left w:val="nil"/>
              <w:bottom w:val="nil"/>
              <w:right w:val="nil"/>
            </w:tcBorders>
            <w:shd w:val="clear" w:color="000000" w:fill="FFFFFF"/>
            <w:noWrap/>
            <w:vAlign w:val="center"/>
            <w:hideMark/>
          </w:tcPr>
          <w:p w14:paraId="0325F1F8"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-23 533</w:t>
            </w:r>
          </w:p>
        </w:tc>
        <w:tc>
          <w:tcPr>
            <w:tcW w:w="1199" w:type="dxa"/>
            <w:gridSpan w:val="2"/>
            <w:tcBorders>
              <w:top w:val="nil"/>
              <w:left w:val="nil"/>
              <w:bottom w:val="nil"/>
              <w:right w:val="nil"/>
            </w:tcBorders>
            <w:shd w:val="clear" w:color="000000" w:fill="FFFFFF"/>
            <w:noWrap/>
            <w:vAlign w:val="center"/>
            <w:hideMark/>
          </w:tcPr>
          <w:p w14:paraId="61C06938"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-197 476</w:t>
            </w:r>
          </w:p>
        </w:tc>
        <w:tc>
          <w:tcPr>
            <w:tcW w:w="958" w:type="dxa"/>
            <w:gridSpan w:val="2"/>
            <w:tcBorders>
              <w:top w:val="nil"/>
              <w:left w:val="nil"/>
              <w:bottom w:val="nil"/>
              <w:right w:val="nil"/>
            </w:tcBorders>
            <w:shd w:val="clear" w:color="000000" w:fill="FFFFFF"/>
            <w:noWrap/>
            <w:vAlign w:val="center"/>
            <w:hideMark/>
          </w:tcPr>
          <w:p w14:paraId="2D91770B"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111 520</w:t>
            </w:r>
          </w:p>
        </w:tc>
      </w:tr>
      <w:tr w:rsidR="004A2841" w:rsidRPr="004A2841" w14:paraId="56BC9B7D" w14:textId="77777777" w:rsidTr="005E6AAB">
        <w:trPr>
          <w:trHeight w:val="257"/>
        </w:trPr>
        <w:tc>
          <w:tcPr>
            <w:tcW w:w="187" w:type="dxa"/>
            <w:tcBorders>
              <w:top w:val="nil"/>
              <w:left w:val="nil"/>
              <w:bottom w:val="nil"/>
              <w:right w:val="nil"/>
            </w:tcBorders>
            <w:shd w:val="clear" w:color="000000" w:fill="FFFFFF"/>
            <w:noWrap/>
            <w:vAlign w:val="center"/>
            <w:hideMark/>
          </w:tcPr>
          <w:p w14:paraId="089C351A"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6BADE5AF" w14:textId="77777777" w:rsidR="004A2841" w:rsidRPr="004A2841" w:rsidRDefault="004A2841" w:rsidP="004A2841">
            <w:pPr>
              <w:spacing w:after="0" w:line="240" w:lineRule="auto"/>
              <w:rPr>
                <w:sz w:val="18"/>
                <w:szCs w:val="18"/>
                <w:lang w:eastAsia="sk-SK"/>
              </w:rPr>
            </w:pPr>
            <w:r w:rsidRPr="004A2841">
              <w:rPr>
                <w:sz w:val="18"/>
                <w:szCs w:val="18"/>
                <w:lang w:eastAsia="sk-SK"/>
              </w:rPr>
              <w:t>Sociálna poisťovňa</w:t>
            </w:r>
          </w:p>
        </w:tc>
        <w:tc>
          <w:tcPr>
            <w:tcW w:w="923" w:type="dxa"/>
            <w:gridSpan w:val="2"/>
            <w:tcBorders>
              <w:top w:val="nil"/>
              <w:left w:val="nil"/>
              <w:bottom w:val="nil"/>
              <w:right w:val="nil"/>
            </w:tcBorders>
            <w:shd w:val="clear" w:color="000000" w:fill="FFFFFF"/>
            <w:noWrap/>
            <w:vAlign w:val="center"/>
            <w:hideMark/>
          </w:tcPr>
          <w:p w14:paraId="0951501B"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218 253</w:t>
            </w:r>
          </w:p>
        </w:tc>
        <w:tc>
          <w:tcPr>
            <w:tcW w:w="1037" w:type="dxa"/>
            <w:gridSpan w:val="2"/>
            <w:tcBorders>
              <w:top w:val="nil"/>
              <w:left w:val="nil"/>
              <w:bottom w:val="nil"/>
              <w:right w:val="nil"/>
            </w:tcBorders>
            <w:shd w:val="clear" w:color="000000" w:fill="FFFFFF"/>
            <w:noWrap/>
            <w:vAlign w:val="center"/>
            <w:hideMark/>
          </w:tcPr>
          <w:p w14:paraId="0F7AD415"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327 974</w:t>
            </w:r>
          </w:p>
        </w:tc>
        <w:tc>
          <w:tcPr>
            <w:tcW w:w="1062" w:type="dxa"/>
            <w:gridSpan w:val="3"/>
            <w:tcBorders>
              <w:top w:val="nil"/>
              <w:left w:val="nil"/>
              <w:bottom w:val="nil"/>
              <w:right w:val="nil"/>
            </w:tcBorders>
            <w:shd w:val="clear" w:color="000000" w:fill="FFFFFF"/>
            <w:noWrap/>
            <w:vAlign w:val="center"/>
            <w:hideMark/>
          </w:tcPr>
          <w:p w14:paraId="7626ECE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87 435</w:t>
            </w:r>
          </w:p>
        </w:tc>
        <w:tc>
          <w:tcPr>
            <w:tcW w:w="1062" w:type="dxa"/>
            <w:gridSpan w:val="2"/>
            <w:tcBorders>
              <w:top w:val="nil"/>
              <w:left w:val="nil"/>
              <w:bottom w:val="nil"/>
              <w:right w:val="nil"/>
            </w:tcBorders>
            <w:shd w:val="clear" w:color="000000" w:fill="FFFFFF"/>
            <w:noWrap/>
            <w:vAlign w:val="center"/>
            <w:hideMark/>
          </w:tcPr>
          <w:p w14:paraId="4E5BAB3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-45 545</w:t>
            </w:r>
          </w:p>
        </w:tc>
        <w:tc>
          <w:tcPr>
            <w:tcW w:w="1199" w:type="dxa"/>
            <w:gridSpan w:val="2"/>
            <w:tcBorders>
              <w:top w:val="nil"/>
              <w:left w:val="nil"/>
              <w:bottom w:val="nil"/>
              <w:right w:val="nil"/>
            </w:tcBorders>
            <w:shd w:val="clear" w:color="000000" w:fill="FFFFFF"/>
            <w:noWrap/>
            <w:vAlign w:val="center"/>
            <w:hideMark/>
          </w:tcPr>
          <w:p w14:paraId="2DC35D14"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-240 539</w:t>
            </w:r>
          </w:p>
        </w:tc>
        <w:tc>
          <w:tcPr>
            <w:tcW w:w="958" w:type="dxa"/>
            <w:gridSpan w:val="2"/>
            <w:tcBorders>
              <w:top w:val="nil"/>
              <w:left w:val="nil"/>
              <w:bottom w:val="nil"/>
              <w:right w:val="nil"/>
            </w:tcBorders>
            <w:shd w:val="clear" w:color="000000" w:fill="FFFFFF"/>
            <w:noWrap/>
            <w:vAlign w:val="center"/>
            <w:hideMark/>
          </w:tcPr>
          <w:p w14:paraId="3AD69FC8"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132 980</w:t>
            </w:r>
          </w:p>
        </w:tc>
      </w:tr>
      <w:tr w:rsidR="004A2841" w:rsidRPr="004A2841" w14:paraId="085BA1B9" w14:textId="77777777" w:rsidTr="005E6AAB">
        <w:trPr>
          <w:trHeight w:val="257"/>
        </w:trPr>
        <w:tc>
          <w:tcPr>
            <w:tcW w:w="187" w:type="dxa"/>
            <w:tcBorders>
              <w:top w:val="nil"/>
              <w:left w:val="nil"/>
              <w:bottom w:val="nil"/>
              <w:right w:val="nil"/>
            </w:tcBorders>
            <w:shd w:val="clear" w:color="000000" w:fill="FFFFFF"/>
            <w:noWrap/>
            <w:vAlign w:val="center"/>
            <w:hideMark/>
          </w:tcPr>
          <w:p w14:paraId="1CA5F077" w14:textId="77777777" w:rsidR="004A2841" w:rsidRPr="004A2841" w:rsidRDefault="004A2841" w:rsidP="004A2841">
            <w:pPr>
              <w:spacing w:after="0" w:line="240" w:lineRule="auto"/>
              <w:rPr>
                <w:sz w:val="18"/>
                <w:szCs w:val="18"/>
                <w:lang w:eastAsia="sk-SK"/>
              </w:rPr>
            </w:pPr>
            <w:r w:rsidRPr="004A2841">
              <w:rPr>
                <w:sz w:val="18"/>
                <w:szCs w:val="18"/>
                <w:lang w:eastAsia="sk-SK"/>
              </w:rPr>
              <w:t> </w:t>
            </w:r>
          </w:p>
        </w:tc>
        <w:tc>
          <w:tcPr>
            <w:tcW w:w="3071" w:type="dxa"/>
            <w:gridSpan w:val="4"/>
            <w:tcBorders>
              <w:top w:val="nil"/>
              <w:left w:val="nil"/>
              <w:bottom w:val="nil"/>
              <w:right w:val="nil"/>
            </w:tcBorders>
            <w:shd w:val="clear" w:color="000000" w:fill="FFFFFF"/>
            <w:noWrap/>
            <w:vAlign w:val="center"/>
            <w:hideMark/>
          </w:tcPr>
          <w:p w14:paraId="2506C7D8" w14:textId="77777777" w:rsidR="004A2841" w:rsidRPr="004A2841" w:rsidRDefault="004A2841" w:rsidP="004A2841">
            <w:pPr>
              <w:spacing w:after="0" w:line="240" w:lineRule="auto"/>
              <w:rPr>
                <w:sz w:val="18"/>
                <w:szCs w:val="18"/>
                <w:lang w:eastAsia="sk-SK"/>
              </w:rPr>
            </w:pPr>
            <w:r w:rsidRPr="004A2841">
              <w:rPr>
                <w:sz w:val="18"/>
                <w:szCs w:val="18"/>
                <w:lang w:eastAsia="sk-SK"/>
              </w:rPr>
              <w:t>Verejné zdravotné poistenie</w:t>
            </w:r>
          </w:p>
        </w:tc>
        <w:tc>
          <w:tcPr>
            <w:tcW w:w="923" w:type="dxa"/>
            <w:gridSpan w:val="2"/>
            <w:tcBorders>
              <w:top w:val="nil"/>
              <w:left w:val="nil"/>
              <w:bottom w:val="nil"/>
              <w:right w:val="nil"/>
            </w:tcBorders>
            <w:shd w:val="clear" w:color="000000" w:fill="FFFFFF"/>
            <w:noWrap/>
            <w:vAlign w:val="center"/>
            <w:hideMark/>
          </w:tcPr>
          <w:p w14:paraId="102D6F4E"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108 328</w:t>
            </w:r>
          </w:p>
        </w:tc>
        <w:tc>
          <w:tcPr>
            <w:tcW w:w="1037" w:type="dxa"/>
            <w:gridSpan w:val="2"/>
            <w:tcBorders>
              <w:top w:val="nil"/>
              <w:left w:val="nil"/>
              <w:bottom w:val="nil"/>
              <w:right w:val="nil"/>
            </w:tcBorders>
            <w:shd w:val="clear" w:color="000000" w:fill="FFFFFF"/>
            <w:noWrap/>
            <w:vAlign w:val="center"/>
            <w:hideMark/>
          </w:tcPr>
          <w:p w14:paraId="3A13C1E7"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-42 511</w:t>
            </w:r>
          </w:p>
        </w:tc>
        <w:tc>
          <w:tcPr>
            <w:tcW w:w="1062" w:type="dxa"/>
            <w:gridSpan w:val="3"/>
            <w:tcBorders>
              <w:top w:val="nil"/>
              <w:left w:val="nil"/>
              <w:bottom w:val="nil"/>
              <w:right w:val="nil"/>
            </w:tcBorders>
            <w:shd w:val="clear" w:color="000000" w:fill="FFFFFF"/>
            <w:noWrap/>
            <w:vAlign w:val="center"/>
            <w:hideMark/>
          </w:tcPr>
          <w:p w14:paraId="23028819"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552</w:t>
            </w:r>
          </w:p>
        </w:tc>
        <w:tc>
          <w:tcPr>
            <w:tcW w:w="1062" w:type="dxa"/>
            <w:gridSpan w:val="2"/>
            <w:tcBorders>
              <w:top w:val="nil"/>
              <w:left w:val="nil"/>
              <w:bottom w:val="nil"/>
              <w:right w:val="nil"/>
            </w:tcBorders>
            <w:shd w:val="clear" w:color="000000" w:fill="FFFFFF"/>
            <w:noWrap/>
            <w:vAlign w:val="center"/>
            <w:hideMark/>
          </w:tcPr>
          <w:p w14:paraId="332BDE01"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22 012</w:t>
            </w:r>
          </w:p>
        </w:tc>
        <w:tc>
          <w:tcPr>
            <w:tcW w:w="1199" w:type="dxa"/>
            <w:gridSpan w:val="2"/>
            <w:tcBorders>
              <w:top w:val="nil"/>
              <w:left w:val="nil"/>
              <w:bottom w:val="nil"/>
              <w:right w:val="nil"/>
            </w:tcBorders>
            <w:shd w:val="clear" w:color="000000" w:fill="FFFFFF"/>
            <w:noWrap/>
            <w:vAlign w:val="center"/>
            <w:hideMark/>
          </w:tcPr>
          <w:p w14:paraId="34F0ABAC"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43 063</w:t>
            </w:r>
          </w:p>
        </w:tc>
        <w:tc>
          <w:tcPr>
            <w:tcW w:w="958" w:type="dxa"/>
            <w:gridSpan w:val="2"/>
            <w:tcBorders>
              <w:top w:val="nil"/>
              <w:left w:val="nil"/>
              <w:bottom w:val="nil"/>
              <w:right w:val="nil"/>
            </w:tcBorders>
            <w:shd w:val="clear" w:color="000000" w:fill="FFFFFF"/>
            <w:noWrap/>
            <w:vAlign w:val="center"/>
            <w:hideMark/>
          </w:tcPr>
          <w:p w14:paraId="0FF6C120" w14:textId="77777777" w:rsidR="004A2841" w:rsidRPr="004A2841" w:rsidRDefault="004A2841" w:rsidP="004A2841">
            <w:pPr>
              <w:spacing w:after="0" w:line="240" w:lineRule="auto"/>
              <w:jc w:val="right"/>
              <w:rPr>
                <w:sz w:val="18"/>
                <w:szCs w:val="18"/>
                <w:lang w:eastAsia="sk-SK"/>
              </w:rPr>
            </w:pPr>
            <w:r w:rsidRPr="004A2841">
              <w:rPr>
                <w:sz w:val="18"/>
                <w:szCs w:val="18"/>
                <w:lang w:eastAsia="sk-SK"/>
              </w:rPr>
              <w:t>-21 460</w:t>
            </w:r>
          </w:p>
        </w:tc>
      </w:tr>
      <w:tr w:rsidR="004A2841" w:rsidRPr="004A2841" w14:paraId="099F339E" w14:textId="77777777" w:rsidTr="005E6AAB">
        <w:trPr>
          <w:trHeight w:val="257"/>
        </w:trPr>
        <w:tc>
          <w:tcPr>
            <w:tcW w:w="3258" w:type="dxa"/>
            <w:gridSpan w:val="5"/>
            <w:tcBorders>
              <w:top w:val="single" w:sz="4" w:space="0" w:color="auto"/>
              <w:left w:val="nil"/>
              <w:bottom w:val="nil"/>
              <w:right w:val="nil"/>
            </w:tcBorders>
            <w:shd w:val="clear" w:color="auto" w:fill="auto"/>
            <w:noWrap/>
            <w:vAlign w:val="center"/>
            <w:hideMark/>
          </w:tcPr>
          <w:p w14:paraId="3E57F96B" w14:textId="77777777" w:rsidR="004A2841" w:rsidRPr="004A2841" w:rsidRDefault="004A2841" w:rsidP="004A2841">
            <w:pPr>
              <w:spacing w:after="0" w:line="240" w:lineRule="auto"/>
              <w:rPr>
                <w:b/>
                <w:bCs/>
                <w:sz w:val="18"/>
                <w:szCs w:val="18"/>
                <w:lang w:eastAsia="sk-SK"/>
              </w:rPr>
            </w:pPr>
            <w:r w:rsidRPr="004A2841">
              <w:rPr>
                <w:b/>
                <w:bCs/>
                <w:sz w:val="18"/>
                <w:szCs w:val="18"/>
                <w:lang w:eastAsia="sk-SK"/>
              </w:rPr>
              <w:t>Schodok verejnej správy spolu</w:t>
            </w:r>
          </w:p>
        </w:tc>
        <w:tc>
          <w:tcPr>
            <w:tcW w:w="923" w:type="dxa"/>
            <w:gridSpan w:val="2"/>
            <w:tcBorders>
              <w:top w:val="single" w:sz="4" w:space="0" w:color="auto"/>
              <w:left w:val="nil"/>
              <w:bottom w:val="nil"/>
              <w:right w:val="nil"/>
            </w:tcBorders>
            <w:shd w:val="clear" w:color="auto" w:fill="auto"/>
            <w:noWrap/>
            <w:vAlign w:val="center"/>
            <w:hideMark/>
          </w:tcPr>
          <w:p w14:paraId="50085516"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-4 999 422</w:t>
            </w:r>
          </w:p>
        </w:tc>
        <w:tc>
          <w:tcPr>
            <w:tcW w:w="1037" w:type="dxa"/>
            <w:gridSpan w:val="2"/>
            <w:tcBorders>
              <w:top w:val="single" w:sz="4" w:space="0" w:color="auto"/>
              <w:left w:val="nil"/>
              <w:bottom w:val="nil"/>
              <w:right w:val="nil"/>
            </w:tcBorders>
            <w:shd w:val="clear" w:color="auto" w:fill="auto"/>
            <w:noWrap/>
            <w:vAlign w:val="center"/>
            <w:hideMark/>
          </w:tcPr>
          <w:p w14:paraId="6AB51750"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-5 194 679</w:t>
            </w:r>
          </w:p>
        </w:tc>
        <w:tc>
          <w:tcPr>
            <w:tcW w:w="1062" w:type="dxa"/>
            <w:gridSpan w:val="3"/>
            <w:tcBorders>
              <w:top w:val="single" w:sz="4" w:space="0" w:color="auto"/>
              <w:left w:val="nil"/>
              <w:bottom w:val="nil"/>
              <w:right w:val="nil"/>
            </w:tcBorders>
            <w:shd w:val="clear" w:color="auto" w:fill="auto"/>
            <w:noWrap/>
            <w:vAlign w:val="center"/>
            <w:hideMark/>
          </w:tcPr>
          <w:p w14:paraId="404C4E99"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-2 215 563</w:t>
            </w:r>
          </w:p>
        </w:tc>
        <w:tc>
          <w:tcPr>
            <w:tcW w:w="1062" w:type="dxa"/>
            <w:gridSpan w:val="2"/>
            <w:tcBorders>
              <w:top w:val="single" w:sz="4" w:space="0" w:color="auto"/>
              <w:left w:val="nil"/>
              <w:bottom w:val="nil"/>
              <w:right w:val="nil"/>
            </w:tcBorders>
            <w:shd w:val="clear" w:color="auto" w:fill="auto"/>
            <w:noWrap/>
            <w:vAlign w:val="center"/>
            <w:hideMark/>
          </w:tcPr>
          <w:p w14:paraId="4A702B0F"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-5 666 683</w:t>
            </w:r>
          </w:p>
        </w:tc>
        <w:tc>
          <w:tcPr>
            <w:tcW w:w="1199" w:type="dxa"/>
            <w:gridSpan w:val="2"/>
            <w:tcBorders>
              <w:top w:val="single" w:sz="4" w:space="0" w:color="auto"/>
              <w:left w:val="nil"/>
              <w:bottom w:val="nil"/>
              <w:right w:val="nil"/>
            </w:tcBorders>
            <w:shd w:val="clear" w:color="auto" w:fill="auto"/>
            <w:noWrap/>
            <w:vAlign w:val="center"/>
            <w:hideMark/>
          </w:tcPr>
          <w:p w14:paraId="4C30B25E"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2 979 116</w:t>
            </w:r>
          </w:p>
        </w:tc>
        <w:tc>
          <w:tcPr>
            <w:tcW w:w="958" w:type="dxa"/>
            <w:gridSpan w:val="2"/>
            <w:tcBorders>
              <w:top w:val="single" w:sz="4" w:space="0" w:color="auto"/>
              <w:left w:val="nil"/>
              <w:bottom w:val="nil"/>
              <w:right w:val="nil"/>
            </w:tcBorders>
            <w:shd w:val="clear" w:color="auto" w:fill="auto"/>
            <w:noWrap/>
            <w:vAlign w:val="center"/>
            <w:hideMark/>
          </w:tcPr>
          <w:p w14:paraId="0337AAC7"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3 451 120</w:t>
            </w:r>
          </w:p>
        </w:tc>
      </w:tr>
      <w:tr w:rsidR="004A2841" w:rsidRPr="004A2841" w14:paraId="5C9A1509" w14:textId="77777777" w:rsidTr="005E6AAB">
        <w:trPr>
          <w:trHeight w:val="257"/>
        </w:trPr>
        <w:tc>
          <w:tcPr>
            <w:tcW w:w="3258" w:type="dxa"/>
            <w:gridSpan w:val="5"/>
            <w:tcBorders>
              <w:top w:val="nil"/>
              <w:left w:val="nil"/>
              <w:bottom w:val="single" w:sz="4" w:space="0" w:color="auto"/>
              <w:right w:val="nil"/>
            </w:tcBorders>
            <w:shd w:val="clear" w:color="auto" w:fill="auto"/>
            <w:noWrap/>
            <w:vAlign w:val="center"/>
            <w:hideMark/>
          </w:tcPr>
          <w:p w14:paraId="3B8BE508" w14:textId="77777777" w:rsidR="004A2841" w:rsidRPr="004A2841" w:rsidRDefault="004A2841" w:rsidP="004A2841">
            <w:pPr>
              <w:spacing w:after="0" w:line="240" w:lineRule="auto"/>
              <w:rPr>
                <w:b/>
                <w:bCs/>
                <w:sz w:val="18"/>
                <w:szCs w:val="18"/>
                <w:lang w:eastAsia="sk-SK"/>
              </w:rPr>
            </w:pPr>
            <w:r w:rsidRPr="004A2841">
              <w:rPr>
                <w:b/>
                <w:bCs/>
                <w:sz w:val="18"/>
                <w:szCs w:val="18"/>
                <w:lang w:eastAsia="sk-SK"/>
              </w:rPr>
              <w:t xml:space="preserve">           % z HDP</w:t>
            </w:r>
          </w:p>
        </w:tc>
        <w:tc>
          <w:tcPr>
            <w:tcW w:w="923" w:type="dxa"/>
            <w:gridSpan w:val="2"/>
            <w:tcBorders>
              <w:top w:val="nil"/>
              <w:left w:val="nil"/>
              <w:bottom w:val="single" w:sz="4" w:space="0" w:color="auto"/>
              <w:right w:val="nil"/>
            </w:tcBorders>
            <w:shd w:val="clear" w:color="auto" w:fill="auto"/>
            <w:noWrap/>
            <w:vAlign w:val="center"/>
            <w:hideMark/>
          </w:tcPr>
          <w:p w14:paraId="00DE29F6"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-5,4</w:t>
            </w:r>
          </w:p>
        </w:tc>
        <w:tc>
          <w:tcPr>
            <w:tcW w:w="1037" w:type="dxa"/>
            <w:gridSpan w:val="2"/>
            <w:tcBorders>
              <w:top w:val="nil"/>
              <w:left w:val="nil"/>
              <w:bottom w:val="single" w:sz="4" w:space="0" w:color="auto"/>
              <w:right w:val="nil"/>
            </w:tcBorders>
            <w:shd w:val="clear" w:color="auto" w:fill="auto"/>
            <w:noWrap/>
            <w:vAlign w:val="center"/>
            <w:hideMark/>
          </w:tcPr>
          <w:p w14:paraId="65FC6030"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-5,2</w:t>
            </w:r>
          </w:p>
        </w:tc>
        <w:tc>
          <w:tcPr>
            <w:tcW w:w="1062" w:type="dxa"/>
            <w:gridSpan w:val="3"/>
            <w:tcBorders>
              <w:top w:val="nil"/>
              <w:left w:val="nil"/>
              <w:bottom w:val="single" w:sz="4" w:space="0" w:color="auto"/>
              <w:right w:val="nil"/>
            </w:tcBorders>
            <w:shd w:val="clear" w:color="auto" w:fill="auto"/>
            <w:noWrap/>
            <w:vAlign w:val="center"/>
            <w:hideMark/>
          </w:tcPr>
          <w:p w14:paraId="1E02F685"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-2,0</w:t>
            </w:r>
          </w:p>
        </w:tc>
        <w:tc>
          <w:tcPr>
            <w:tcW w:w="1062" w:type="dxa"/>
            <w:gridSpan w:val="2"/>
            <w:tcBorders>
              <w:top w:val="nil"/>
              <w:left w:val="nil"/>
              <w:bottom w:val="single" w:sz="4" w:space="0" w:color="auto"/>
              <w:right w:val="nil"/>
            </w:tcBorders>
            <w:shd w:val="clear" w:color="auto" w:fill="auto"/>
            <w:noWrap/>
            <w:vAlign w:val="center"/>
            <w:hideMark/>
          </w:tcPr>
          <w:p w14:paraId="72B80C87"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-5,2</w:t>
            </w:r>
          </w:p>
        </w:tc>
        <w:tc>
          <w:tcPr>
            <w:tcW w:w="1199" w:type="dxa"/>
            <w:gridSpan w:val="2"/>
            <w:tcBorders>
              <w:top w:val="nil"/>
              <w:left w:val="nil"/>
              <w:bottom w:val="single" w:sz="4" w:space="0" w:color="auto"/>
              <w:right w:val="nil"/>
            </w:tcBorders>
            <w:shd w:val="clear" w:color="auto" w:fill="auto"/>
            <w:noWrap/>
            <w:vAlign w:val="center"/>
            <w:hideMark/>
          </w:tcPr>
          <w:p w14:paraId="19C58A6F"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3,2</w:t>
            </w:r>
          </w:p>
        </w:tc>
        <w:tc>
          <w:tcPr>
            <w:tcW w:w="958" w:type="dxa"/>
            <w:gridSpan w:val="2"/>
            <w:tcBorders>
              <w:top w:val="nil"/>
              <w:left w:val="nil"/>
              <w:bottom w:val="single" w:sz="4" w:space="0" w:color="auto"/>
              <w:right w:val="nil"/>
            </w:tcBorders>
            <w:shd w:val="clear" w:color="auto" w:fill="auto"/>
            <w:noWrap/>
            <w:vAlign w:val="center"/>
            <w:hideMark/>
          </w:tcPr>
          <w:p w14:paraId="4A5C93AC" w14:textId="77777777" w:rsidR="004A2841" w:rsidRPr="004A2841" w:rsidRDefault="004A2841" w:rsidP="004A2841">
            <w:pPr>
              <w:spacing w:after="0" w:line="240" w:lineRule="auto"/>
              <w:jc w:val="right"/>
              <w:rPr>
                <w:b/>
                <w:bCs/>
                <w:sz w:val="18"/>
                <w:szCs w:val="18"/>
                <w:lang w:eastAsia="sk-SK"/>
              </w:rPr>
            </w:pPr>
            <w:r w:rsidRPr="004A2841">
              <w:rPr>
                <w:b/>
                <w:bCs/>
                <w:sz w:val="18"/>
                <w:szCs w:val="18"/>
                <w:lang w:eastAsia="sk-SK"/>
              </w:rPr>
              <w:t>3,2</w:t>
            </w:r>
          </w:p>
        </w:tc>
      </w:tr>
    </w:tbl>
    <w:p w14:paraId="45528EDB" w14:textId="262E11A4" w:rsidR="00027116" w:rsidRPr="00027116" w:rsidRDefault="00027116" w:rsidP="00027116">
      <w:pPr>
        <w:spacing w:after="0" w:line="240" w:lineRule="auto"/>
        <w:ind w:right="-285"/>
        <w:jc w:val="both"/>
        <w:rPr>
          <w:sz w:val="16"/>
          <w:szCs w:val="16"/>
          <w:lang w:eastAsia="sk-SK"/>
        </w:rPr>
      </w:pPr>
      <w:r w:rsidRPr="00027116">
        <w:rPr>
          <w:color w:val="000000"/>
          <w:sz w:val="16"/>
          <w:szCs w:val="16"/>
          <w:vertAlign w:val="superscript"/>
          <w:lang w:eastAsia="sk-SK"/>
        </w:rPr>
        <w:t xml:space="preserve">1) </w:t>
      </w:r>
      <w:r w:rsidRPr="00027116">
        <w:rPr>
          <w:color w:val="000000"/>
          <w:sz w:val="16"/>
          <w:szCs w:val="16"/>
          <w:lang w:eastAsia="sk-SK"/>
        </w:rPr>
        <w:t>Vrátane štátnych finančných aktív, mimorozpočtových účtov a salda účtu štátneho dlhu</w:t>
      </w:r>
      <w:r w:rsidRPr="00027116">
        <w:rPr>
          <w:color w:val="000000"/>
          <w:sz w:val="16"/>
          <w:szCs w:val="16"/>
          <w:lang w:eastAsia="sk-SK"/>
        </w:rPr>
        <w:tab/>
        <w:t xml:space="preserve">      </w:t>
      </w:r>
      <w:r w:rsidRPr="00027116">
        <w:rPr>
          <w:color w:val="000000"/>
          <w:sz w:val="16"/>
          <w:szCs w:val="16"/>
          <w:lang w:eastAsia="sk-SK"/>
        </w:rPr>
        <w:tab/>
      </w:r>
      <w:r w:rsidRPr="00027116">
        <w:rPr>
          <w:color w:val="000000"/>
          <w:sz w:val="16"/>
          <w:szCs w:val="16"/>
          <w:lang w:eastAsia="sk-SK"/>
        </w:rPr>
        <w:tab/>
        <w:t xml:space="preserve">                 Z</w:t>
      </w:r>
      <w:r w:rsidRPr="00027116">
        <w:rPr>
          <w:sz w:val="16"/>
          <w:szCs w:val="16"/>
          <w:lang w:eastAsia="sk-SK"/>
        </w:rPr>
        <w:t>droj: MF SR</w:t>
      </w:r>
    </w:p>
    <w:p w14:paraId="0B3F375C" w14:textId="77777777" w:rsidR="00027116" w:rsidRPr="00027116" w:rsidRDefault="00027116" w:rsidP="00027116">
      <w:pPr>
        <w:spacing w:after="0" w:line="240" w:lineRule="auto"/>
        <w:jc w:val="both"/>
        <w:rPr>
          <w:sz w:val="16"/>
          <w:szCs w:val="16"/>
          <w:lang w:eastAsia="sk-SK"/>
        </w:rPr>
      </w:pPr>
      <w:r w:rsidRPr="00027116">
        <w:rPr>
          <w:sz w:val="16"/>
          <w:szCs w:val="16"/>
          <w:vertAlign w:val="superscript"/>
          <w:lang w:eastAsia="sk-SK"/>
        </w:rPr>
        <w:t xml:space="preserve">2) </w:t>
      </w:r>
      <w:r w:rsidRPr="00027116">
        <w:rPr>
          <w:sz w:val="16"/>
          <w:szCs w:val="16"/>
          <w:lang w:eastAsia="sk-SK"/>
        </w:rPr>
        <w:t>Ostatné subjekty ústrednej správy zahŕňajú: Rozhlas a televíziu Slovenska, Slovenský pozemkový fond, Agentúru pre núdzové zásoby ropy a ropných výrobkov, neziskové organizácie ústrednej správy a ostatné ústredné podniky.</w:t>
      </w:r>
    </w:p>
    <w:p w14:paraId="6463D750" w14:textId="1431BD71" w:rsidR="004A2841" w:rsidRDefault="00027116" w:rsidP="00027116">
      <w:pPr>
        <w:spacing w:after="0" w:line="240" w:lineRule="auto"/>
        <w:jc w:val="both"/>
        <w:rPr>
          <w:szCs w:val="22"/>
        </w:rPr>
      </w:pPr>
      <w:r w:rsidRPr="00027116">
        <w:rPr>
          <w:sz w:val="16"/>
          <w:szCs w:val="16"/>
          <w:vertAlign w:val="superscript"/>
          <w:lang w:eastAsia="sk-SK"/>
        </w:rPr>
        <w:t>3)</w:t>
      </w:r>
      <w:r w:rsidRPr="00027116">
        <w:rPr>
          <w:sz w:val="16"/>
          <w:szCs w:val="16"/>
          <w:lang w:eastAsia="sk-SK"/>
        </w:rPr>
        <w:t xml:space="preserve"> Rozpočet verejnej správy po novele štátneho rozpočtu na základe zákona č.357/2022 Z. z., ktorým sa mení a dopĺňa zákon č. 534/2021 Z. z. o štátnom rozpočte na rok 2022.</w:t>
      </w:r>
    </w:p>
    <w:p w14:paraId="48286880" w14:textId="77777777" w:rsidR="00563559" w:rsidRPr="005C1511" w:rsidRDefault="00563559" w:rsidP="008604F3">
      <w:pPr>
        <w:spacing w:before="120" w:after="120" w:line="240" w:lineRule="auto"/>
        <w:jc w:val="both"/>
        <w:rPr>
          <w:b/>
          <w:color w:val="4F81BD" w:themeColor="accent1"/>
          <w:sz w:val="24"/>
          <w:szCs w:val="24"/>
        </w:rPr>
      </w:pPr>
      <w:r w:rsidRPr="005C1511">
        <w:rPr>
          <w:b/>
          <w:color w:val="4F81BD" w:themeColor="accent1"/>
          <w:sz w:val="24"/>
          <w:szCs w:val="24"/>
        </w:rPr>
        <w:t xml:space="preserve">Hospodárenie štátneho rozpočtu v medziročnom porovnaní </w:t>
      </w:r>
    </w:p>
    <w:p w14:paraId="513DDE93" w14:textId="33345A17" w:rsidR="00563559" w:rsidRPr="005C1511" w:rsidRDefault="00563559" w:rsidP="00563559">
      <w:pPr>
        <w:spacing w:after="120" w:line="240" w:lineRule="auto"/>
        <w:jc w:val="both"/>
        <w:rPr>
          <w:szCs w:val="22"/>
        </w:rPr>
      </w:pPr>
      <w:r w:rsidRPr="005C1511">
        <w:rPr>
          <w:szCs w:val="22"/>
        </w:rPr>
        <w:t xml:space="preserve">Štátny rozpočet reprezentujú rozpočtové organizácie ústrednej správy, ich príjmy a výdavky realizované prostredníctvom rozpočtových účtov, ako aj hospodárenie s ich samostatnými účtami, ďalej štátne finančné aktíva v správe Ministerstva financií SR a saldo účtu štátneho dlhu. Niektoré príjmy a výdavky štátneho rozpočtu podliehajú konsolidácii v rámci celej verejnej správy, preto sa tieto pozitívne a negatívne vplyvy na schodok štátneho rozpočtu eliminujú s prislúchajúcimi vplyvmi na ostatné subjekty verejnej správy. Zároveň príjmy a výdavky z EU zdrojov majú neutrálny vplyv na ESA schodok verejnej správy, preto sa </w:t>
      </w:r>
      <w:r w:rsidRPr="00456B04">
        <w:rPr>
          <w:szCs w:val="22"/>
        </w:rPr>
        <w:t xml:space="preserve">pri medziročnom porovnávaní jednotlivých príjmov a výdavkov v súlade s metodikou ESA na nich neprihliada. </w:t>
      </w:r>
      <w:r w:rsidRPr="002A387C">
        <w:rPr>
          <w:b/>
          <w:szCs w:val="22"/>
        </w:rPr>
        <w:t xml:space="preserve">V medziročnom porovnaní sa hospodárenie štátneho rozpočtu </w:t>
      </w:r>
      <w:r w:rsidR="008A0C89" w:rsidRPr="002A387C">
        <w:rPr>
          <w:b/>
          <w:szCs w:val="22"/>
        </w:rPr>
        <w:t xml:space="preserve">v metodike ESA </w:t>
      </w:r>
      <w:r w:rsidRPr="002A387C">
        <w:rPr>
          <w:b/>
          <w:szCs w:val="22"/>
        </w:rPr>
        <w:t>z</w:t>
      </w:r>
      <w:r w:rsidR="005C1511" w:rsidRPr="002A387C">
        <w:rPr>
          <w:b/>
          <w:szCs w:val="22"/>
        </w:rPr>
        <w:t>lepšilo</w:t>
      </w:r>
      <w:r w:rsidRPr="002A387C">
        <w:rPr>
          <w:b/>
          <w:szCs w:val="22"/>
        </w:rPr>
        <w:t xml:space="preserve"> o</w:t>
      </w:r>
      <w:r w:rsidR="005C1511" w:rsidRPr="002A387C">
        <w:rPr>
          <w:b/>
          <w:szCs w:val="22"/>
        </w:rPr>
        <w:t> 3 379 495</w:t>
      </w:r>
      <w:r w:rsidRPr="002A387C">
        <w:rPr>
          <w:b/>
          <w:szCs w:val="22"/>
        </w:rPr>
        <w:t> tis.</w:t>
      </w:r>
      <w:r w:rsidR="005205DD" w:rsidRPr="002A387C">
        <w:rPr>
          <w:b/>
          <w:szCs w:val="22"/>
        </w:rPr>
        <w:t> </w:t>
      </w:r>
      <w:r w:rsidRPr="002A387C">
        <w:rPr>
          <w:b/>
          <w:szCs w:val="22"/>
        </w:rPr>
        <w:t>eur</w:t>
      </w:r>
      <w:r w:rsidRPr="005C1511">
        <w:rPr>
          <w:szCs w:val="22"/>
        </w:rPr>
        <w:t>.</w:t>
      </w:r>
    </w:p>
    <w:p w14:paraId="7B4FCEE8" w14:textId="18D9F57D" w:rsidR="005205DD" w:rsidRPr="005C1511" w:rsidRDefault="00563559" w:rsidP="00B4258C">
      <w:pPr>
        <w:spacing w:after="120" w:line="240" w:lineRule="auto"/>
        <w:jc w:val="both"/>
        <w:rPr>
          <w:szCs w:val="22"/>
        </w:rPr>
      </w:pPr>
      <w:r w:rsidRPr="005C1511">
        <w:rPr>
          <w:szCs w:val="22"/>
          <w:u w:val="single"/>
        </w:rPr>
        <w:t xml:space="preserve">Pozitívne vplyvy na </w:t>
      </w:r>
      <w:r w:rsidR="00B4258C" w:rsidRPr="005C1511">
        <w:rPr>
          <w:szCs w:val="22"/>
          <w:u w:val="single"/>
        </w:rPr>
        <w:t xml:space="preserve">ESA </w:t>
      </w:r>
      <w:r w:rsidRPr="005C1511">
        <w:rPr>
          <w:szCs w:val="22"/>
          <w:u w:val="single"/>
        </w:rPr>
        <w:t>schodok štátneho rozpočtu 202</w:t>
      </w:r>
      <w:r w:rsidR="005C1511">
        <w:rPr>
          <w:szCs w:val="22"/>
          <w:u w:val="single"/>
        </w:rPr>
        <w:t>2</w:t>
      </w:r>
      <w:r w:rsidRPr="005C1511">
        <w:rPr>
          <w:szCs w:val="22"/>
        </w:rPr>
        <w:t>:</w:t>
      </w:r>
      <w:r w:rsidR="005205DD" w:rsidRPr="005C1511">
        <w:t xml:space="preserve"> </w:t>
      </w:r>
    </w:p>
    <w:p w14:paraId="15240FDD" w14:textId="61F847D7" w:rsidR="00B4258C" w:rsidRDefault="00B32470" w:rsidP="00B4258C">
      <w:pPr>
        <w:pStyle w:val="Odsekzoznamu"/>
        <w:numPr>
          <w:ilvl w:val="0"/>
          <w:numId w:val="21"/>
        </w:numPr>
        <w:spacing w:after="120"/>
        <w:jc w:val="both"/>
      </w:pPr>
      <w:r>
        <w:rPr>
          <w:b/>
        </w:rPr>
        <w:t>M</w:t>
      </w:r>
      <w:r w:rsidR="00B4258C" w:rsidRPr="009C0FE6">
        <w:rPr>
          <w:b/>
        </w:rPr>
        <w:t>edziročný pokles celkového  hotovostného schodku štátneho rozpočtu o</w:t>
      </w:r>
      <w:r w:rsidR="0007201B" w:rsidRPr="009C0FE6">
        <w:rPr>
          <w:b/>
        </w:rPr>
        <w:t> 2 489 275</w:t>
      </w:r>
      <w:r w:rsidR="009D5C48" w:rsidRPr="009C0FE6">
        <w:rPr>
          <w:b/>
        </w:rPr>
        <w:t> </w:t>
      </w:r>
      <w:r w:rsidR="00B4258C" w:rsidRPr="009C0FE6">
        <w:rPr>
          <w:b/>
        </w:rPr>
        <w:t>tis.</w:t>
      </w:r>
      <w:r w:rsidR="009D5C48" w:rsidRPr="009C0FE6">
        <w:rPr>
          <w:b/>
        </w:rPr>
        <w:t> </w:t>
      </w:r>
      <w:r w:rsidR="00B4258C" w:rsidRPr="009C0FE6">
        <w:rPr>
          <w:b/>
        </w:rPr>
        <w:t>eur</w:t>
      </w:r>
      <w:r w:rsidR="00E27BC8" w:rsidRPr="009C0FE6">
        <w:t xml:space="preserve"> zo </w:t>
      </w:r>
      <w:r w:rsidR="00B4258C" w:rsidRPr="009C0FE6">
        <w:t xml:space="preserve">sumy </w:t>
      </w:r>
      <w:r w:rsidR="0007201B" w:rsidRPr="009C0FE6">
        <w:t>7 014 127 </w:t>
      </w:r>
      <w:r w:rsidR="00B4258C" w:rsidRPr="009C0FE6">
        <w:t>tis.</w:t>
      </w:r>
      <w:r w:rsidR="009D5C48" w:rsidRPr="009C0FE6">
        <w:t> </w:t>
      </w:r>
      <w:r w:rsidR="00B4258C" w:rsidRPr="009C0FE6">
        <w:t>eur za rok 202</w:t>
      </w:r>
      <w:r w:rsidR="0007201B" w:rsidRPr="009C0FE6">
        <w:t>1</w:t>
      </w:r>
      <w:r w:rsidR="00B4258C" w:rsidRPr="009C0FE6">
        <w:t xml:space="preserve"> na sumu</w:t>
      </w:r>
      <w:r w:rsidR="009D5C48" w:rsidRPr="009C0FE6">
        <w:t> </w:t>
      </w:r>
      <w:r w:rsidR="0007201B" w:rsidRPr="009C0FE6">
        <w:t>4 524 852</w:t>
      </w:r>
      <w:r w:rsidR="009D5C48" w:rsidRPr="009C0FE6">
        <w:t> </w:t>
      </w:r>
      <w:r w:rsidR="00B4258C" w:rsidRPr="009C0FE6">
        <w:t>tis.</w:t>
      </w:r>
      <w:r w:rsidR="009D5C48" w:rsidRPr="009C0FE6">
        <w:t> </w:t>
      </w:r>
      <w:r w:rsidR="00B4258C" w:rsidRPr="009C0FE6">
        <w:t>eur za rok 202</w:t>
      </w:r>
      <w:r w:rsidR="0007201B" w:rsidRPr="009C0FE6">
        <w:t>2</w:t>
      </w:r>
      <w:r w:rsidR="009C0FE6" w:rsidRPr="009C0FE6">
        <w:t>.</w:t>
      </w:r>
      <w:r w:rsidR="009C1CBD">
        <w:t xml:space="preserve"> Na pokles hotovostného schodku mal vplyv </w:t>
      </w:r>
      <w:r w:rsidR="004C6AE7">
        <w:t xml:space="preserve">okrem hotovostných daní </w:t>
      </w:r>
      <w:r w:rsidR="009C1CBD">
        <w:t>najmä pokles</w:t>
      </w:r>
      <w:r w:rsidR="004C6AE7">
        <w:t xml:space="preserve"> transferu Sociálnej poisťovni a zdravotným poisťovniam o 734 582 tis. eur </w:t>
      </w:r>
      <w:r w:rsidR="002A387C">
        <w:t>(t</w:t>
      </w:r>
      <w:r w:rsidR="00701921">
        <w:t>ieto transfery sa v rámci verejnej správy konsolidujú),</w:t>
      </w:r>
      <w:r w:rsidR="004C6AE7">
        <w:t xml:space="preserve"> nárast iných </w:t>
      </w:r>
      <w:r w:rsidR="00701921">
        <w:t xml:space="preserve">hotovostných </w:t>
      </w:r>
      <w:r w:rsidR="004C6AE7">
        <w:t>nedaňových príjmov o 217 712 tis. eur</w:t>
      </w:r>
      <w:r w:rsidR="003A2742">
        <w:t xml:space="preserve"> </w:t>
      </w:r>
      <w:r w:rsidR="00701921">
        <w:t>a nárast príjmov z</w:t>
      </w:r>
      <w:r>
        <w:t> </w:t>
      </w:r>
      <w:r w:rsidR="00701921">
        <w:t>administratívnych poplatkov o 46 344 tis. eur.</w:t>
      </w:r>
      <w:r w:rsidR="008D00F9">
        <w:t xml:space="preserve"> Celkové hotovostné príjmy vzrástli zo 17 197</w:t>
      </w:r>
      <w:r>
        <w:t> </w:t>
      </w:r>
      <w:r w:rsidR="008D00F9">
        <w:t>298</w:t>
      </w:r>
      <w:r>
        <w:t> </w:t>
      </w:r>
      <w:r w:rsidR="008D00F9">
        <w:t>tis.</w:t>
      </w:r>
      <w:r>
        <w:t> </w:t>
      </w:r>
      <w:r w:rsidR="008D00F9">
        <w:t>eur v roku 2021 na 19 029</w:t>
      </w:r>
      <w:r>
        <w:t> </w:t>
      </w:r>
      <w:r w:rsidR="008D00F9">
        <w:t>702</w:t>
      </w:r>
      <w:r>
        <w:t> </w:t>
      </w:r>
      <w:r w:rsidR="008D00F9">
        <w:t>tis.</w:t>
      </w:r>
      <w:r>
        <w:t> </w:t>
      </w:r>
      <w:r w:rsidR="008D00F9">
        <w:t>eur v roku 2022</w:t>
      </w:r>
      <w:r w:rsidR="001A6892">
        <w:t>, čo predstavuje nárast o 1 832</w:t>
      </w:r>
      <w:r>
        <w:t> </w:t>
      </w:r>
      <w:r w:rsidR="001A6892">
        <w:t>404</w:t>
      </w:r>
      <w:r>
        <w:t> </w:t>
      </w:r>
      <w:r w:rsidR="001A6892">
        <w:t>tis.</w:t>
      </w:r>
      <w:r>
        <w:t> </w:t>
      </w:r>
      <w:r w:rsidR="001A6892">
        <w:t>eur.</w:t>
      </w:r>
      <w:r w:rsidR="008D00F9">
        <w:t xml:space="preserve"> Zároveň k pozitívnemu vývoju hotovostného schodku prispel aj pokles hotovostných výdavkov z</w:t>
      </w:r>
      <w:r w:rsidR="001A6892">
        <w:t xml:space="preserve"> </w:t>
      </w:r>
      <w:r w:rsidR="008D00F9">
        <w:t> 24 211</w:t>
      </w:r>
      <w:r>
        <w:t> </w:t>
      </w:r>
      <w:r w:rsidR="008D00F9">
        <w:t>425</w:t>
      </w:r>
      <w:r>
        <w:t> </w:t>
      </w:r>
      <w:r w:rsidR="008D00F9">
        <w:t>tis.</w:t>
      </w:r>
      <w:r>
        <w:t> </w:t>
      </w:r>
      <w:r w:rsidR="008D00F9">
        <w:t>eur na 23 554</w:t>
      </w:r>
      <w:r>
        <w:t> </w:t>
      </w:r>
      <w:r w:rsidR="008D00F9">
        <w:t>554</w:t>
      </w:r>
      <w:r>
        <w:t> </w:t>
      </w:r>
      <w:r w:rsidR="008D00F9">
        <w:t>tis.</w:t>
      </w:r>
      <w:r>
        <w:t> </w:t>
      </w:r>
      <w:r w:rsidR="008D00F9">
        <w:t>eur, čo predstavuje pokles výdavkov o 656 871 tis. eur.</w:t>
      </w:r>
    </w:p>
    <w:p w14:paraId="0B5C9A16" w14:textId="6A068933" w:rsidR="00FF3E3A" w:rsidRPr="007644AD" w:rsidRDefault="00FF3E3A" w:rsidP="00FF3E3A">
      <w:pPr>
        <w:pStyle w:val="Odsekzoznamu"/>
        <w:numPr>
          <w:ilvl w:val="0"/>
          <w:numId w:val="21"/>
        </w:numPr>
        <w:spacing w:before="120" w:after="120"/>
        <w:jc w:val="both"/>
      </w:pPr>
      <w:r w:rsidRPr="00FF3E3A">
        <w:rPr>
          <w:b/>
          <w:bCs/>
        </w:rPr>
        <w:t xml:space="preserve">Transfery územnej samospráve </w:t>
      </w:r>
      <w:r w:rsidRPr="00FF3E3A">
        <w:rPr>
          <w:bCs/>
        </w:rPr>
        <w:t>(okrem zdravotníckych zariadení)</w:t>
      </w:r>
      <w:r w:rsidRPr="00FF3E3A">
        <w:t xml:space="preserve"> boli medziročne nižšie o</w:t>
      </w:r>
      <w:r w:rsidR="00B32470">
        <w:t> </w:t>
      </w:r>
      <w:r w:rsidRPr="00FF3E3A">
        <w:t>19</w:t>
      </w:r>
      <w:r w:rsidR="00B32470">
        <w:t> </w:t>
      </w:r>
      <w:r w:rsidRPr="00FF3E3A">
        <w:t>144 tis. eur, z toho bežné boli nižšie o 35</w:t>
      </w:r>
      <w:r w:rsidR="00B32470">
        <w:t> </w:t>
      </w:r>
      <w:r w:rsidRPr="00FF3E3A">
        <w:t>324</w:t>
      </w:r>
      <w:r w:rsidR="00B32470">
        <w:t> </w:t>
      </w:r>
      <w:r w:rsidRPr="00FF3E3A">
        <w:t>tis. eur  a kapitálové boli vyššie o</w:t>
      </w:r>
      <w:r w:rsidR="00B32470">
        <w:t> </w:t>
      </w:r>
      <w:r w:rsidRPr="00FF3E3A">
        <w:t>16</w:t>
      </w:r>
      <w:r w:rsidR="00B32470">
        <w:t> </w:t>
      </w:r>
      <w:r w:rsidRPr="00FF3E3A">
        <w:t>180 tis. eur. Bežné transfery predstavovali najmä  úhradu nákladov na prenesený výkon štátnej správy (rast o</w:t>
      </w:r>
      <w:r w:rsidR="00B32470">
        <w:t> </w:t>
      </w:r>
      <w:r w:rsidR="00095F27">
        <w:t>74</w:t>
      </w:r>
      <w:r w:rsidR="00B32470">
        <w:t> </w:t>
      </w:r>
      <w:r w:rsidR="00095F27">
        <w:t>391</w:t>
      </w:r>
      <w:r w:rsidRPr="00FF3E3A">
        <w:t> tis. eur) a ostatné transfery (</w:t>
      </w:r>
      <w:r w:rsidR="00095F27">
        <w:t>pokles</w:t>
      </w:r>
      <w:r w:rsidRPr="00FF3E3A">
        <w:t xml:space="preserve"> o</w:t>
      </w:r>
      <w:r w:rsidR="00B32470">
        <w:t> </w:t>
      </w:r>
      <w:r w:rsidR="00095F27">
        <w:t>109</w:t>
      </w:r>
      <w:r w:rsidR="00B32470">
        <w:t> </w:t>
      </w:r>
      <w:r w:rsidR="00095F27">
        <w:t>715</w:t>
      </w:r>
      <w:r w:rsidRPr="00FF3E3A">
        <w:t> tis. eur</w:t>
      </w:r>
      <w:r w:rsidRPr="00095F27">
        <w:t xml:space="preserve">). </w:t>
      </w:r>
      <w:r w:rsidR="00095F27" w:rsidRPr="00095F27">
        <w:t>Nárast</w:t>
      </w:r>
      <w:r w:rsidRPr="00095F27">
        <w:t xml:space="preserve"> kapitálových transferov nastal pri úhradách obciam a vyšším územným celkom (</w:t>
      </w:r>
      <w:r w:rsidR="00095F27" w:rsidRPr="00095F27">
        <w:t>nárast</w:t>
      </w:r>
      <w:r w:rsidRPr="00095F27">
        <w:t xml:space="preserve"> o</w:t>
      </w:r>
      <w:r w:rsidR="00B32470">
        <w:t> </w:t>
      </w:r>
      <w:r w:rsidR="00095F27" w:rsidRPr="00095F27">
        <w:t>4</w:t>
      </w:r>
      <w:r w:rsidR="00B32470">
        <w:t> </w:t>
      </w:r>
      <w:r w:rsidR="00095F27" w:rsidRPr="00095F27">
        <w:t>939</w:t>
      </w:r>
      <w:r w:rsidRPr="00095F27">
        <w:t> tis. eur) a</w:t>
      </w:r>
      <w:r w:rsidR="00095F27" w:rsidRPr="00095F27">
        <w:t> pri transferoch dopravným podnikom (nárast o 16</w:t>
      </w:r>
      <w:r w:rsidR="00B32470">
        <w:t> </w:t>
      </w:r>
      <w:r w:rsidR="00095F27" w:rsidRPr="00095F27">
        <w:t>180</w:t>
      </w:r>
      <w:r w:rsidR="00B32470">
        <w:t> </w:t>
      </w:r>
      <w:r w:rsidR="00095F27" w:rsidRPr="00095F27">
        <w:t>tis.</w:t>
      </w:r>
      <w:r w:rsidR="00027721">
        <w:t> e</w:t>
      </w:r>
      <w:r w:rsidR="00095F27" w:rsidRPr="00095F27">
        <w:t>ur)</w:t>
      </w:r>
      <w:r w:rsidR="00102646">
        <w:t>.</w:t>
      </w:r>
      <w:r w:rsidRPr="00FF3E3A">
        <w:t xml:space="preserve"> </w:t>
      </w:r>
    </w:p>
    <w:p w14:paraId="7953DCCF" w14:textId="6498427B" w:rsidR="008D00F9" w:rsidRPr="00890E42" w:rsidRDefault="008D00F9" w:rsidP="001A6892">
      <w:pPr>
        <w:pStyle w:val="Odsekzoznamu"/>
        <w:numPr>
          <w:ilvl w:val="0"/>
          <w:numId w:val="21"/>
        </w:numPr>
        <w:spacing w:before="120" w:after="120"/>
        <w:ind w:left="709" w:hanging="357"/>
        <w:jc w:val="both"/>
      </w:pPr>
      <w:r>
        <w:rPr>
          <w:b/>
        </w:rPr>
        <w:t xml:space="preserve">Medziročný pokles výdavkov štátneho rozpočtu </w:t>
      </w:r>
      <w:r w:rsidRPr="00890E42">
        <w:rPr>
          <w:b/>
        </w:rPr>
        <w:t>v súvislosti s realizáciou výdavkov</w:t>
      </w:r>
      <w:r w:rsidRPr="00890E42">
        <w:t xml:space="preserve"> </w:t>
      </w:r>
      <w:r w:rsidRPr="00890E42">
        <w:rPr>
          <w:b/>
        </w:rPr>
        <w:t>na zmiernenie následkov pandémie COVID-19</w:t>
      </w:r>
      <w:r w:rsidRPr="00890E42">
        <w:t xml:space="preserve">. V roku 2021 boli výdavky súvisiace s pandémiou vrátane zdrojov EÚ na úrovni 3 413 284 tis. eur, zatiaľ čo v roku 2022 sa realizovali výdavky vo výške  </w:t>
      </w:r>
      <w:r w:rsidR="00890E42" w:rsidRPr="00890E42">
        <w:t>893</w:t>
      </w:r>
      <w:r w:rsidR="00B32470">
        <w:t> </w:t>
      </w:r>
      <w:r w:rsidR="00890E42" w:rsidRPr="00890E42">
        <w:t>711</w:t>
      </w:r>
      <w:r w:rsidR="00B32470">
        <w:t> </w:t>
      </w:r>
      <w:r w:rsidR="00890E42" w:rsidRPr="00890E42">
        <w:t>tis. eur</w:t>
      </w:r>
      <w:r w:rsidRPr="00890E42">
        <w:t xml:space="preserve">. </w:t>
      </w:r>
      <w:r w:rsidR="001A6892" w:rsidRPr="00890E42">
        <w:t xml:space="preserve">Tieto výdavky sú čiastočne refundované z EU zdrojov. </w:t>
      </w:r>
      <w:r w:rsidRPr="00890E42">
        <w:t xml:space="preserve">Výdavky za rok  2022 bez EÚ zdrojov boli vo výške </w:t>
      </w:r>
      <w:r w:rsidR="00890E42" w:rsidRPr="00890E42">
        <w:t>697 874 tis. eur</w:t>
      </w:r>
      <w:r w:rsidRPr="00890E42">
        <w:t xml:space="preserve">, v roku 2021 boli vo výške 3 024 904 tis. eur, </w:t>
      </w:r>
      <w:r w:rsidR="001A6892" w:rsidRPr="00890E42">
        <w:t>pokles</w:t>
      </w:r>
      <w:r w:rsidRPr="00890E42">
        <w:t xml:space="preserve"> oproti roku 202</w:t>
      </w:r>
      <w:r w:rsidR="001A6892" w:rsidRPr="00890E42">
        <w:t>1</w:t>
      </w:r>
      <w:r w:rsidRPr="00890E42">
        <w:t xml:space="preserve"> bol o</w:t>
      </w:r>
      <w:r w:rsidR="00890E42" w:rsidRPr="00890E42">
        <w:t> 2 327</w:t>
      </w:r>
      <w:r w:rsidR="00B32470">
        <w:t> </w:t>
      </w:r>
      <w:r w:rsidR="00890E42" w:rsidRPr="00890E42">
        <w:t>010</w:t>
      </w:r>
      <w:r w:rsidR="00B32470">
        <w:t> </w:t>
      </w:r>
      <w:r w:rsidRPr="00890E42">
        <w:t xml:space="preserve">tis. eur. </w:t>
      </w:r>
    </w:p>
    <w:p w14:paraId="1BC8F6B9" w14:textId="2E7B4839" w:rsidR="00B4258C" w:rsidRPr="002E24F3" w:rsidRDefault="00B4258C" w:rsidP="00552C67">
      <w:pPr>
        <w:pStyle w:val="Odsekzoznamu"/>
        <w:numPr>
          <w:ilvl w:val="0"/>
          <w:numId w:val="21"/>
        </w:numPr>
        <w:spacing w:before="120" w:after="120"/>
        <w:jc w:val="both"/>
      </w:pPr>
      <w:r w:rsidRPr="009C0FE6">
        <w:rPr>
          <w:b/>
        </w:rPr>
        <w:lastRenderedPageBreak/>
        <w:t>zlepšenie akruálnych príjmov z daní</w:t>
      </w:r>
      <w:r w:rsidRPr="009C0FE6">
        <w:t xml:space="preserve"> (bez ŠFA) o 1</w:t>
      </w:r>
      <w:r w:rsidR="009D5C48" w:rsidRPr="009C0FE6">
        <w:t> </w:t>
      </w:r>
      <w:r w:rsidR="009C0FE6" w:rsidRPr="009C0FE6">
        <w:t>881</w:t>
      </w:r>
      <w:r w:rsidR="009D5C48" w:rsidRPr="009C0FE6">
        <w:t xml:space="preserve"> </w:t>
      </w:r>
      <w:r w:rsidR="009C0FE6" w:rsidRPr="009C0FE6">
        <w:t>365</w:t>
      </w:r>
      <w:r w:rsidR="009D5C48" w:rsidRPr="009C0FE6">
        <w:t> tis. </w:t>
      </w:r>
      <w:r w:rsidRPr="009C0FE6">
        <w:t>eur</w:t>
      </w:r>
      <w:r w:rsidRPr="002E24F3">
        <w:t xml:space="preserve">, z ktorých najvýraznejšie medziročne stúpli príjmy z dani z príjmov </w:t>
      </w:r>
      <w:r w:rsidR="002E24F3" w:rsidRPr="002E24F3">
        <w:t>fyzických</w:t>
      </w:r>
      <w:r w:rsidR="009D5C48" w:rsidRPr="002E24F3">
        <w:t xml:space="preserve"> osôb o</w:t>
      </w:r>
      <w:r w:rsidR="002E24F3" w:rsidRPr="002E24F3">
        <w:t> 345 840</w:t>
      </w:r>
      <w:r w:rsidR="009D5C48" w:rsidRPr="002E24F3">
        <w:t> </w:t>
      </w:r>
      <w:r w:rsidRPr="002E24F3">
        <w:t>tis.</w:t>
      </w:r>
      <w:r w:rsidR="009D5C48" w:rsidRPr="002E24F3">
        <w:t> </w:t>
      </w:r>
      <w:r w:rsidRPr="002E24F3">
        <w:t>eur, da</w:t>
      </w:r>
      <w:r w:rsidR="009D5C48" w:rsidRPr="002E24F3">
        <w:t>ni z pridanej hodnoty o</w:t>
      </w:r>
      <w:r w:rsidR="002E24F3" w:rsidRPr="002E24F3">
        <w:t> 946 776</w:t>
      </w:r>
      <w:r w:rsidR="009D5C48" w:rsidRPr="002E24F3">
        <w:t> </w:t>
      </w:r>
      <w:r w:rsidRPr="002E24F3">
        <w:t>tis.</w:t>
      </w:r>
      <w:r w:rsidR="009D5C48" w:rsidRPr="002E24F3">
        <w:t xml:space="preserve"> eur, </w:t>
      </w:r>
      <w:r w:rsidRPr="002E24F3">
        <w:t xml:space="preserve">daň z príjmov </w:t>
      </w:r>
      <w:r w:rsidR="002E24F3" w:rsidRPr="002E24F3">
        <w:t>právnických</w:t>
      </w:r>
      <w:r w:rsidRPr="002E24F3">
        <w:t xml:space="preserve"> osôb o</w:t>
      </w:r>
      <w:r w:rsidR="002E24F3" w:rsidRPr="002E24F3">
        <w:t> 292 852</w:t>
      </w:r>
      <w:r w:rsidRPr="002E24F3">
        <w:t> tis. eur</w:t>
      </w:r>
      <w:r w:rsidR="00102646">
        <w:t xml:space="preserve"> a </w:t>
      </w:r>
      <w:r w:rsidR="00102646" w:rsidRPr="002E24F3">
        <w:t>spotrebných daní o 131 823</w:t>
      </w:r>
      <w:r w:rsidR="00102646">
        <w:t> tis. eur</w:t>
      </w:r>
      <w:r w:rsidR="007644AD">
        <w:t>.</w:t>
      </w:r>
    </w:p>
    <w:p w14:paraId="060E52ED" w14:textId="704BBFF1" w:rsidR="009C1CBD" w:rsidRDefault="00701921" w:rsidP="004C6AE7">
      <w:pPr>
        <w:pStyle w:val="Odsekzoznamu"/>
        <w:numPr>
          <w:ilvl w:val="0"/>
          <w:numId w:val="21"/>
        </w:numPr>
        <w:spacing w:before="120" w:after="120"/>
        <w:jc w:val="both"/>
        <w:rPr>
          <w:b/>
        </w:rPr>
      </w:pPr>
      <w:r>
        <w:rPr>
          <w:b/>
        </w:rPr>
        <w:t xml:space="preserve">ESA </w:t>
      </w:r>
      <w:r w:rsidR="005205DD" w:rsidRPr="009C1CBD">
        <w:rPr>
          <w:b/>
        </w:rPr>
        <w:t>hospodárenie štátnych finančných aktív</w:t>
      </w:r>
      <w:r w:rsidR="005205DD" w:rsidRPr="004C6AE7">
        <w:rPr>
          <w:b/>
        </w:rPr>
        <w:t xml:space="preserve"> (ŠFA) </w:t>
      </w:r>
      <w:r w:rsidR="00041E12" w:rsidRPr="004C6AE7">
        <w:t>bolo op</w:t>
      </w:r>
      <w:r w:rsidR="00B32470">
        <w:t>roti roku 2021 lepšie o 213 152 </w:t>
      </w:r>
      <w:r w:rsidR="00041E12" w:rsidRPr="004C6AE7">
        <w:t>tis.</w:t>
      </w:r>
      <w:r w:rsidR="00B32470">
        <w:t> </w:t>
      </w:r>
      <w:r w:rsidR="00041E12" w:rsidRPr="004C6AE7">
        <w:t>eur, čo bolo spôsobené najmä prijatým transferom zo štátneho rozpočtu vo výške 910</w:t>
      </w:r>
      <w:r w:rsidR="00B32470">
        <w:t> </w:t>
      </w:r>
      <w:r w:rsidR="00041E12" w:rsidRPr="004C6AE7">
        <w:t>000</w:t>
      </w:r>
      <w:r w:rsidR="00B32470">
        <w:t> </w:t>
      </w:r>
      <w:r w:rsidR="00041E12" w:rsidRPr="004C6AE7">
        <w:t>tis.</w:t>
      </w:r>
      <w:r w:rsidR="00B32470">
        <w:t> </w:t>
      </w:r>
      <w:r w:rsidR="00041E12" w:rsidRPr="004C6AE7">
        <w:t>eur. Tieto prostriedky boli určené najmä na oddlžovanie zdravotníckych zariadení (316</w:t>
      </w:r>
      <w:r w:rsidR="00B32470">
        <w:t> </w:t>
      </w:r>
      <w:r w:rsidR="00041E12" w:rsidRPr="004C6AE7">
        <w:t>834</w:t>
      </w:r>
      <w:r w:rsidR="00B32470">
        <w:t> </w:t>
      </w:r>
      <w:r w:rsidR="00041E12" w:rsidRPr="004C6AE7">
        <w:t>tis.</w:t>
      </w:r>
      <w:r w:rsidR="00B32470">
        <w:t> </w:t>
      </w:r>
      <w:r w:rsidR="00041E12" w:rsidRPr="004C6AE7">
        <w:t>eur)</w:t>
      </w:r>
      <w:r w:rsidR="009C1CBD" w:rsidRPr="004C6AE7">
        <w:t>, vklad do imania VŠZP (160</w:t>
      </w:r>
      <w:r w:rsidR="00B32470">
        <w:t> </w:t>
      </w:r>
      <w:r w:rsidR="009C1CBD" w:rsidRPr="004C6AE7">
        <w:t>000</w:t>
      </w:r>
      <w:r w:rsidR="00B32470">
        <w:t> </w:t>
      </w:r>
      <w:r w:rsidR="009C1CBD" w:rsidRPr="004C6AE7">
        <w:t>tis.</w:t>
      </w:r>
      <w:r w:rsidR="00B32470">
        <w:t> </w:t>
      </w:r>
      <w:r w:rsidR="009C1CBD" w:rsidRPr="004C6AE7">
        <w:t>eur) a kapitálové vklady do verejných spoločností, napr. Valaliky</w:t>
      </w:r>
      <w:r w:rsidR="00B32470">
        <w:t xml:space="preserve"> Industrial Park, s. r. o.</w:t>
      </w:r>
      <w:r w:rsidR="009C1CBD" w:rsidRPr="004C6AE7">
        <w:t xml:space="preserve">, MH </w:t>
      </w:r>
      <w:proofErr w:type="spellStart"/>
      <w:r w:rsidR="009C1CBD" w:rsidRPr="004C6AE7">
        <w:t>Invest</w:t>
      </w:r>
      <w:proofErr w:type="spellEnd"/>
      <w:r w:rsidR="009C1CBD" w:rsidRPr="004C6AE7">
        <w:t xml:space="preserve">. </w:t>
      </w:r>
      <w:r w:rsidR="00041E12" w:rsidRPr="004C6AE7">
        <w:t xml:space="preserve"> </w:t>
      </w:r>
      <w:r w:rsidR="009C1CBD" w:rsidRPr="004C6AE7">
        <w:t xml:space="preserve">Tieto vklady boli </w:t>
      </w:r>
      <w:r w:rsidR="00E16BF2">
        <w:t xml:space="preserve">však </w:t>
      </w:r>
      <w:r w:rsidR="009C1CBD" w:rsidRPr="004C6AE7">
        <w:t>podľa metodiky ESA preklasifikované na výdavkové kapitálové transfery s negatívnym vplyvom na schodok.</w:t>
      </w:r>
      <w:r w:rsidR="009C1CBD" w:rsidRPr="004C6AE7">
        <w:rPr>
          <w:b/>
        </w:rPr>
        <w:t xml:space="preserve"> </w:t>
      </w:r>
    </w:p>
    <w:p w14:paraId="65074792" w14:textId="03051B88" w:rsidR="00701921" w:rsidRPr="00AE60AA" w:rsidRDefault="00701921" w:rsidP="004C6AE7">
      <w:pPr>
        <w:pStyle w:val="Odsekzoznamu"/>
        <w:numPr>
          <w:ilvl w:val="0"/>
          <w:numId w:val="21"/>
        </w:numPr>
        <w:spacing w:before="120" w:after="120"/>
        <w:jc w:val="both"/>
        <w:rPr>
          <w:b/>
        </w:rPr>
      </w:pPr>
      <w:r w:rsidRPr="00701921">
        <w:t xml:space="preserve">Pozitívny vplyv na ESA schodok </w:t>
      </w:r>
      <w:r w:rsidR="00B8157D">
        <w:t>mal aj nárast</w:t>
      </w:r>
      <w:r>
        <w:t xml:space="preserve"> pohľadávok za</w:t>
      </w:r>
      <w:r>
        <w:rPr>
          <w:b/>
        </w:rPr>
        <w:t xml:space="preserve"> zaplatené preddavky na nákup vojenskej techniky </w:t>
      </w:r>
      <w:r w:rsidRPr="00701921">
        <w:t>vo výške 60 052 tis. eur.</w:t>
      </w:r>
      <w:r w:rsidR="00E16BF2">
        <w:t xml:space="preserve"> V čase splnenia dodávky však </w:t>
      </w:r>
      <w:r w:rsidR="000A758D">
        <w:t>zníženie preddavkov bude</w:t>
      </w:r>
      <w:r w:rsidR="00E16BF2">
        <w:t xml:space="preserve"> mať negatívny vplyv</w:t>
      </w:r>
      <w:r w:rsidR="000A758D">
        <w:t xml:space="preserve"> na saldo verejnej správy</w:t>
      </w:r>
      <w:r w:rsidR="00E16BF2">
        <w:t>.</w:t>
      </w:r>
    </w:p>
    <w:p w14:paraId="75FDDAF6" w14:textId="69232FB9" w:rsidR="00AE60AA" w:rsidRPr="00AE60AA" w:rsidRDefault="00AE60AA" w:rsidP="00AE60AA">
      <w:pPr>
        <w:pStyle w:val="Odsekzoznamu"/>
        <w:numPr>
          <w:ilvl w:val="0"/>
          <w:numId w:val="21"/>
        </w:numPr>
        <w:spacing w:before="120" w:after="120"/>
        <w:jc w:val="both"/>
      </w:pPr>
      <w:r>
        <w:rPr>
          <w:b/>
        </w:rPr>
        <w:t>zlepšenie</w:t>
      </w:r>
      <w:r w:rsidRPr="00A47562">
        <w:rPr>
          <w:b/>
        </w:rPr>
        <w:t xml:space="preserve"> finančnej pozície voči rozpočtu EÚ</w:t>
      </w:r>
      <w:r w:rsidRPr="00A47562">
        <w:t xml:space="preserve"> (vrátane Plánu obnovy) oproti roku 2021 o</w:t>
      </w:r>
      <w:r>
        <w:t> 155  695</w:t>
      </w:r>
      <w:r w:rsidRPr="00A47562">
        <w:t> tis. eur</w:t>
      </w:r>
      <w:r w:rsidRPr="00A47562">
        <w:rPr>
          <w:rStyle w:val="Odkaznapoznmkupodiarou"/>
        </w:rPr>
        <w:footnoteReference w:id="4"/>
      </w:r>
      <w:r w:rsidRPr="00A47562">
        <w:t xml:space="preserve">. </w:t>
      </w:r>
      <w:r>
        <w:t>Zlepšenie</w:t>
      </w:r>
      <w:r w:rsidRPr="00A47562">
        <w:t xml:space="preserve"> pozície voči rozpočtu EÚ bolo zapríčinené </w:t>
      </w:r>
      <w:r>
        <w:t>pozitívnejším</w:t>
      </w:r>
      <w:r w:rsidRPr="00A47562">
        <w:t xml:space="preserve"> vplyvom zaznamenania zmeny stavu upravujúcej položky voči EÚ (vrátane Plánu obnovy) o </w:t>
      </w:r>
      <w:r>
        <w:t>29</w:t>
      </w:r>
      <w:r w:rsidRPr="00A47562">
        <w:t> </w:t>
      </w:r>
      <w:r>
        <w:t>612</w:t>
      </w:r>
      <w:r w:rsidRPr="00A47562">
        <w:t> tis. eur</w:t>
      </w:r>
      <w:r w:rsidR="00F52358">
        <w:t xml:space="preserve"> , čo bolo čiastočne kompenzované </w:t>
      </w:r>
      <w:r w:rsidRPr="00A47562">
        <w:t>negatívnejším vplyvom zaznamenania hotovostných korekcií vo výške 3 215 tis. eur</w:t>
      </w:r>
      <w:r w:rsidR="00F52358">
        <w:t>.</w:t>
      </w:r>
      <w:r w:rsidRPr="00A47562">
        <w:t xml:space="preserve"> </w:t>
      </w:r>
      <w:r w:rsidR="00F52358">
        <w:t xml:space="preserve">Pozitívny vplyv na medziročnú zmenu mala aj </w:t>
      </w:r>
      <w:r w:rsidRPr="00A47562">
        <w:t xml:space="preserve"> </w:t>
      </w:r>
      <w:proofErr w:type="spellStart"/>
      <w:r w:rsidRPr="00A47562">
        <w:t>akrualizáci</w:t>
      </w:r>
      <w:r w:rsidR="00F52358">
        <w:t>a</w:t>
      </w:r>
      <w:proofErr w:type="spellEnd"/>
      <w:r w:rsidRPr="00A47562">
        <w:t xml:space="preserve"> korekcií vo výške 107 394 tis. eur. </w:t>
      </w:r>
      <w:r w:rsidRPr="00814852">
        <w:t xml:space="preserve">Oproti roku 2021 sa znížil odvod do rozpočtu EU okrem tradičných vlastných zdrojov o 551 311 tis. eur z hodnoty 1 587 255 tis. eur v roku 2021 na 1 035 944 tis. eur v roku 2022. Pôvodne boli odvody v roku 2021 </w:t>
      </w:r>
      <w:r>
        <w:t xml:space="preserve">negatívne </w:t>
      </w:r>
      <w:r w:rsidRPr="00814852">
        <w:t>ovplyvnené aj podmienenou platbou z dôvodu straty EÚ na tradičných vlastných zdrojoch (ušlé clo z podhodnotenia dovezeného textilu a obuvi z Číny za roky 2012 až 2019) podľa uznesenia vlády SR č. 716/2021 vo výške 277 251 tis. eur</w:t>
      </w:r>
      <w:r w:rsidRPr="00C972A9">
        <w:t>. K</w:t>
      </w:r>
      <w:r w:rsidRPr="00814852">
        <w:t> tejto podmienenej platbe sa viazali vypočítané úroky z omeškania vo výške 249 36</w:t>
      </w:r>
      <w:r>
        <w:t>5</w:t>
      </w:r>
      <w:r w:rsidRPr="00814852">
        <w:t xml:space="preserve"> tis. eur, ktoré neboli zatiaľ uhradené a na základe </w:t>
      </w:r>
      <w:r w:rsidRPr="00764012">
        <w:t>listu Európskej Komisie</w:t>
      </w:r>
      <w:r>
        <w:t xml:space="preserve"> a odporúčania </w:t>
      </w:r>
      <w:proofErr w:type="spellStart"/>
      <w:r>
        <w:t>Eurostatu</w:t>
      </w:r>
      <w:proofErr w:type="spellEnd"/>
      <w:r>
        <w:t xml:space="preserve"> </w:t>
      </w:r>
      <w:r w:rsidRPr="00814852">
        <w:t xml:space="preserve">boli tieto </w:t>
      </w:r>
      <w:r>
        <w:t xml:space="preserve">imputované </w:t>
      </w:r>
      <w:r w:rsidRPr="00814852">
        <w:t>úroky</w:t>
      </w:r>
      <w:r>
        <w:t xml:space="preserve"> za rok 2021</w:t>
      </w:r>
      <w:r w:rsidRPr="00814852">
        <w:t xml:space="preserve"> v sep</w:t>
      </w:r>
      <w:r>
        <w:t>tembrovej notifikácii vylúčen</w:t>
      </w:r>
      <w:r w:rsidRPr="00814852">
        <w:t xml:space="preserve">é. </w:t>
      </w:r>
      <w:r>
        <w:t>Zároveň v</w:t>
      </w:r>
      <w:r w:rsidRPr="00814852">
        <w:t xml:space="preserve">  procese </w:t>
      </w:r>
      <w:r>
        <w:t xml:space="preserve">riešenia tohto prípadu </w:t>
      </w:r>
      <w:r w:rsidRPr="00814852">
        <w:t xml:space="preserve">pokračuje konštruktívny dialóg </w:t>
      </w:r>
      <w:r>
        <w:t xml:space="preserve">s Komisiou </w:t>
      </w:r>
      <w:r w:rsidRPr="00814852">
        <w:t>s cieľom identifikovať presnú čiastku</w:t>
      </w:r>
      <w:r>
        <w:t xml:space="preserve"> sankcie.</w:t>
      </w:r>
    </w:p>
    <w:p w14:paraId="3DD427CC" w14:textId="69876BBC" w:rsidR="00DF5085" w:rsidRPr="00FE5A4D" w:rsidRDefault="005205DD" w:rsidP="005205DD">
      <w:pPr>
        <w:spacing w:after="120" w:line="240" w:lineRule="auto"/>
        <w:contextualSpacing/>
        <w:jc w:val="both"/>
        <w:rPr>
          <w:szCs w:val="22"/>
          <w:lang w:eastAsia="sk-SK"/>
        </w:rPr>
      </w:pPr>
      <w:r w:rsidRPr="00FE5A4D">
        <w:rPr>
          <w:szCs w:val="22"/>
          <w:lang w:eastAsia="sk-SK"/>
        </w:rPr>
        <w:t xml:space="preserve">Tieto pozitívne vplyvy na schodok štátneho rozpočtu boli </w:t>
      </w:r>
      <w:r w:rsidR="001A6892" w:rsidRPr="00FE5A4D">
        <w:rPr>
          <w:szCs w:val="22"/>
          <w:lang w:eastAsia="sk-SK"/>
        </w:rPr>
        <w:t>čiastočne</w:t>
      </w:r>
      <w:r w:rsidRPr="00FE5A4D">
        <w:rPr>
          <w:szCs w:val="22"/>
          <w:lang w:eastAsia="sk-SK"/>
        </w:rPr>
        <w:t xml:space="preserve"> eliminované nasledovnými </w:t>
      </w:r>
      <w:r w:rsidRPr="00FE5A4D">
        <w:rPr>
          <w:szCs w:val="22"/>
          <w:u w:val="single"/>
          <w:lang w:eastAsia="sk-SK"/>
        </w:rPr>
        <w:t>negatívnymi vplyvmi</w:t>
      </w:r>
      <w:r w:rsidRPr="00FE5A4D">
        <w:rPr>
          <w:szCs w:val="22"/>
          <w:lang w:eastAsia="sk-SK"/>
        </w:rPr>
        <w:t>:</w:t>
      </w:r>
    </w:p>
    <w:p w14:paraId="39FE0591" w14:textId="6F9F796A" w:rsidR="00C972A9" w:rsidRPr="00C972A9" w:rsidRDefault="001D48A0" w:rsidP="00C972A9">
      <w:pPr>
        <w:pStyle w:val="Odsekzoznamu"/>
        <w:numPr>
          <w:ilvl w:val="0"/>
          <w:numId w:val="21"/>
        </w:numPr>
        <w:spacing w:before="120" w:after="120"/>
        <w:ind w:left="709" w:hanging="357"/>
        <w:jc w:val="both"/>
      </w:pPr>
      <w:r w:rsidRPr="00FE5A4D">
        <w:rPr>
          <w:szCs w:val="24"/>
        </w:rPr>
        <w:t>V</w:t>
      </w:r>
      <w:r w:rsidR="00885201" w:rsidRPr="00FE5A4D">
        <w:rPr>
          <w:szCs w:val="24"/>
        </w:rPr>
        <w:t xml:space="preserve"> roku 2021 boli prijaté </w:t>
      </w:r>
      <w:r w:rsidR="00E16BF2">
        <w:rPr>
          <w:szCs w:val="24"/>
        </w:rPr>
        <w:t xml:space="preserve">legislatívne </w:t>
      </w:r>
      <w:r w:rsidR="00885201" w:rsidRPr="00FE5A4D">
        <w:rPr>
          <w:szCs w:val="24"/>
        </w:rPr>
        <w:t xml:space="preserve">opatrenia, ktoré mali za následok </w:t>
      </w:r>
      <w:r w:rsidR="00885201" w:rsidRPr="00FE5A4D">
        <w:rPr>
          <w:b/>
          <w:szCs w:val="24"/>
        </w:rPr>
        <w:t xml:space="preserve">zvýšenie niektorých </w:t>
      </w:r>
      <w:r w:rsidR="00885201" w:rsidRPr="009E1A2D">
        <w:rPr>
          <w:b/>
          <w:szCs w:val="24"/>
        </w:rPr>
        <w:t>sociálnych dávok</w:t>
      </w:r>
      <w:r w:rsidR="008D00F9" w:rsidRPr="009E1A2D">
        <w:rPr>
          <w:szCs w:val="24"/>
        </w:rPr>
        <w:t xml:space="preserve"> v roku 2022</w:t>
      </w:r>
      <w:r w:rsidR="00F96909" w:rsidRPr="009E1A2D">
        <w:rPr>
          <w:szCs w:val="24"/>
        </w:rPr>
        <w:t xml:space="preserve"> (</w:t>
      </w:r>
      <w:r w:rsidR="00863EFE" w:rsidRPr="00863EFE">
        <w:rPr>
          <w:szCs w:val="24"/>
        </w:rPr>
        <w:t>Ostatné dávky poskytované štátom zahŕňajú nesystémové dávky hradené štátom a výdavky na 13. dôchodo</w:t>
      </w:r>
      <w:r w:rsidR="00863EFE">
        <w:rPr>
          <w:szCs w:val="24"/>
        </w:rPr>
        <w:t>k – medziročne sa zvýšili o</w:t>
      </w:r>
      <w:r w:rsidR="001E2307">
        <w:rPr>
          <w:szCs w:val="24"/>
        </w:rPr>
        <w:t> </w:t>
      </w:r>
      <w:r w:rsidR="00863EFE">
        <w:rPr>
          <w:szCs w:val="24"/>
        </w:rPr>
        <w:t>207</w:t>
      </w:r>
      <w:r w:rsidR="001E2307">
        <w:rPr>
          <w:szCs w:val="24"/>
        </w:rPr>
        <w:t> </w:t>
      </w:r>
      <w:r w:rsidR="00863EFE" w:rsidRPr="00863EFE">
        <w:rPr>
          <w:szCs w:val="24"/>
        </w:rPr>
        <w:t>286 </w:t>
      </w:r>
      <w:r w:rsidR="00863EFE">
        <w:rPr>
          <w:szCs w:val="24"/>
        </w:rPr>
        <w:t>tis</w:t>
      </w:r>
      <w:r w:rsidR="00863EFE" w:rsidRPr="00863EFE">
        <w:rPr>
          <w:szCs w:val="24"/>
        </w:rPr>
        <w:t xml:space="preserve">. eur, najmä v dôsledku poskytnutia 14. dôchodku vo výške 70 % 13. dôchodku ako inflačnej </w:t>
      </w:r>
      <w:r w:rsidR="00863EFE">
        <w:rPr>
          <w:szCs w:val="24"/>
        </w:rPr>
        <w:t>pomoci pre domácnosti dôchodcov</w:t>
      </w:r>
      <w:r w:rsidR="00685641">
        <w:rPr>
          <w:szCs w:val="24"/>
        </w:rPr>
        <w:t>)</w:t>
      </w:r>
      <w:r w:rsidR="00F96909" w:rsidRPr="009E1A2D">
        <w:rPr>
          <w:szCs w:val="24"/>
        </w:rPr>
        <w:t>, výdavky na aktívne opatrenia n</w:t>
      </w:r>
      <w:r w:rsidR="00E16BF2" w:rsidRPr="009E1A2D">
        <w:rPr>
          <w:szCs w:val="24"/>
        </w:rPr>
        <w:t>a</w:t>
      </w:r>
      <w:r w:rsidR="00F96909" w:rsidRPr="009E1A2D">
        <w:rPr>
          <w:szCs w:val="24"/>
        </w:rPr>
        <w:t xml:space="preserve"> trhu práce sa zvýšili o 37</w:t>
      </w:r>
      <w:r w:rsidR="001E2307">
        <w:rPr>
          <w:szCs w:val="24"/>
        </w:rPr>
        <w:t> </w:t>
      </w:r>
      <w:r w:rsidR="00F96909" w:rsidRPr="009E1A2D">
        <w:rPr>
          <w:szCs w:val="24"/>
        </w:rPr>
        <w:t>470</w:t>
      </w:r>
      <w:r w:rsidR="001E2307">
        <w:rPr>
          <w:szCs w:val="24"/>
        </w:rPr>
        <w:t> </w:t>
      </w:r>
      <w:r w:rsidR="00F96909" w:rsidRPr="009E1A2D">
        <w:rPr>
          <w:szCs w:val="24"/>
        </w:rPr>
        <w:t>tis.</w:t>
      </w:r>
      <w:r w:rsidR="001E2307">
        <w:rPr>
          <w:szCs w:val="24"/>
        </w:rPr>
        <w:t> </w:t>
      </w:r>
      <w:r w:rsidR="00F96909" w:rsidRPr="009E1A2D">
        <w:rPr>
          <w:szCs w:val="24"/>
        </w:rPr>
        <w:t>eur, ostatné sociálne dávky</w:t>
      </w:r>
      <w:r w:rsidR="004A512E" w:rsidRPr="009E1A2D">
        <w:rPr>
          <w:szCs w:val="24"/>
        </w:rPr>
        <w:t xml:space="preserve"> vzrástli o 83</w:t>
      </w:r>
      <w:r w:rsidR="001E2307">
        <w:rPr>
          <w:szCs w:val="24"/>
        </w:rPr>
        <w:t> </w:t>
      </w:r>
      <w:r w:rsidR="004A512E" w:rsidRPr="009E1A2D">
        <w:rPr>
          <w:szCs w:val="24"/>
        </w:rPr>
        <w:t>375</w:t>
      </w:r>
      <w:r w:rsidR="001E2307">
        <w:rPr>
          <w:szCs w:val="24"/>
        </w:rPr>
        <w:t> </w:t>
      </w:r>
      <w:r w:rsidR="004A512E" w:rsidRPr="009E1A2D">
        <w:rPr>
          <w:szCs w:val="24"/>
        </w:rPr>
        <w:t>tis.</w:t>
      </w:r>
      <w:r w:rsidR="001E2307">
        <w:rPr>
          <w:szCs w:val="24"/>
        </w:rPr>
        <w:t> </w:t>
      </w:r>
      <w:r w:rsidR="004A512E" w:rsidRPr="009E1A2D">
        <w:rPr>
          <w:szCs w:val="24"/>
        </w:rPr>
        <w:t>eur</w:t>
      </w:r>
      <w:r w:rsidR="00C972A9" w:rsidRPr="009E1A2D">
        <w:rPr>
          <w:szCs w:val="24"/>
        </w:rPr>
        <w:t>. Medzi najvýznamnejšie</w:t>
      </w:r>
      <w:r w:rsidR="00C972A9">
        <w:rPr>
          <w:szCs w:val="24"/>
        </w:rPr>
        <w:t xml:space="preserve"> opatrenia patrili:</w:t>
      </w:r>
    </w:p>
    <w:p w14:paraId="07248EE8" w14:textId="77777777" w:rsidR="00C972A9" w:rsidRPr="00C972A9" w:rsidRDefault="00C972A9" w:rsidP="00C972A9">
      <w:pPr>
        <w:pStyle w:val="Odsekzoznamu"/>
        <w:numPr>
          <w:ilvl w:val="0"/>
          <w:numId w:val="30"/>
        </w:numPr>
        <w:spacing w:before="120" w:after="120"/>
        <w:jc w:val="both"/>
      </w:pPr>
      <w:r>
        <w:rPr>
          <w:szCs w:val="24"/>
        </w:rPr>
        <w:t>o</w:t>
      </w:r>
      <w:r w:rsidRPr="00C972A9">
        <w:rPr>
          <w:szCs w:val="24"/>
        </w:rPr>
        <w:t xml:space="preserve">d </w:t>
      </w:r>
      <w:r w:rsidR="00CA1E46" w:rsidRPr="00C972A9">
        <w:rPr>
          <w:szCs w:val="24"/>
        </w:rPr>
        <w:t xml:space="preserve">1. januára 2022 </w:t>
      </w:r>
      <w:r>
        <w:rPr>
          <w:szCs w:val="24"/>
        </w:rPr>
        <w:t>zvýšenie</w:t>
      </w:r>
      <w:r w:rsidR="00CA1E46" w:rsidRPr="00C972A9">
        <w:rPr>
          <w:szCs w:val="24"/>
        </w:rPr>
        <w:t xml:space="preserve"> súm dávky v hmotnej núdzi, ochranného príspevku, aktivačného príspevku, príspevku na nezaopatrené dieťa a </w:t>
      </w:r>
      <w:r w:rsidR="00CA1E46" w:rsidRPr="00685641">
        <w:rPr>
          <w:b/>
          <w:szCs w:val="24"/>
        </w:rPr>
        <w:t>príspevku</w:t>
      </w:r>
      <w:r w:rsidR="00CA1E46" w:rsidRPr="00C972A9">
        <w:rPr>
          <w:szCs w:val="24"/>
        </w:rPr>
        <w:t xml:space="preserve"> na bývanie</w:t>
      </w:r>
      <w:r>
        <w:rPr>
          <w:szCs w:val="24"/>
        </w:rPr>
        <w:t>,</w:t>
      </w:r>
    </w:p>
    <w:p w14:paraId="7F18CEA0" w14:textId="2245BBD9" w:rsidR="00C972A9" w:rsidRPr="00C972A9" w:rsidRDefault="00C972A9" w:rsidP="00C972A9">
      <w:pPr>
        <w:pStyle w:val="Odsekzoznamu"/>
        <w:numPr>
          <w:ilvl w:val="0"/>
          <w:numId w:val="30"/>
        </w:numPr>
        <w:spacing w:before="120" w:after="120"/>
        <w:jc w:val="both"/>
      </w:pPr>
      <w:r>
        <w:rPr>
          <w:szCs w:val="24"/>
        </w:rPr>
        <w:t>od 1. júla 2022 z</w:t>
      </w:r>
      <w:r w:rsidR="001A6892" w:rsidRPr="00C972A9">
        <w:rPr>
          <w:szCs w:val="24"/>
        </w:rPr>
        <w:t>výšen</w:t>
      </w:r>
      <w:r>
        <w:rPr>
          <w:szCs w:val="24"/>
        </w:rPr>
        <w:t>ie</w:t>
      </w:r>
      <w:r w:rsidR="001A6892" w:rsidRPr="00C972A9">
        <w:rPr>
          <w:szCs w:val="24"/>
        </w:rPr>
        <w:t xml:space="preserve"> </w:t>
      </w:r>
      <w:r w:rsidR="002D4D2E" w:rsidRPr="00C972A9">
        <w:rPr>
          <w:szCs w:val="24"/>
        </w:rPr>
        <w:t>súm životného minima, ktoré</w:t>
      </w:r>
      <w:r w:rsidR="002D4D2E" w:rsidRPr="00C972A9">
        <w:rPr>
          <w:bCs/>
          <w:szCs w:val="24"/>
        </w:rPr>
        <w:t xml:space="preserve"> má vplyv na nároky a výšku niektorých sociálnych dávok a štátnych príspevkov, na </w:t>
      </w:r>
      <w:r w:rsidR="00E11425">
        <w:rPr>
          <w:bCs/>
          <w:szCs w:val="24"/>
        </w:rPr>
        <w:t>určenie príjmovej hranice a iné,</w:t>
      </w:r>
    </w:p>
    <w:p w14:paraId="7913854D" w14:textId="63381573" w:rsidR="00C972A9" w:rsidRPr="00C972A9" w:rsidRDefault="00885201" w:rsidP="00BF1954">
      <w:pPr>
        <w:pStyle w:val="Odsekzoznamu"/>
        <w:numPr>
          <w:ilvl w:val="0"/>
          <w:numId w:val="30"/>
        </w:numPr>
        <w:spacing w:before="120" w:after="120"/>
        <w:ind w:left="709"/>
        <w:jc w:val="both"/>
        <w:rPr>
          <w:rFonts w:eastAsia="Calibri"/>
          <w:kern w:val="3"/>
          <w:szCs w:val="24"/>
        </w:rPr>
      </w:pPr>
      <w:r w:rsidRPr="00C972A9">
        <w:rPr>
          <w:bCs/>
          <w:szCs w:val="24"/>
        </w:rPr>
        <w:t>od 1. januára 2022 upravená výška finančného príspevku na poskytovanie sociálnej služby v zariadeniach sociálnych služieb</w:t>
      </w:r>
      <w:r w:rsidR="00E11425">
        <w:rPr>
          <w:bCs/>
          <w:szCs w:val="24"/>
        </w:rPr>
        <w:t>,</w:t>
      </w:r>
    </w:p>
    <w:p w14:paraId="017BB309" w14:textId="5BEAE1BA" w:rsidR="00C972A9" w:rsidRPr="00C972A9" w:rsidRDefault="00C972A9" w:rsidP="00BF1954">
      <w:pPr>
        <w:pStyle w:val="Odsekzoznamu"/>
        <w:numPr>
          <w:ilvl w:val="0"/>
          <w:numId w:val="30"/>
        </w:numPr>
        <w:spacing w:before="120" w:after="120"/>
        <w:ind w:left="709"/>
        <w:jc w:val="both"/>
        <w:rPr>
          <w:rFonts w:eastAsia="Calibri"/>
          <w:kern w:val="3"/>
          <w:szCs w:val="24"/>
        </w:rPr>
      </w:pPr>
      <w:r>
        <w:rPr>
          <w:bCs/>
          <w:szCs w:val="24"/>
        </w:rPr>
        <w:t>z</w:t>
      </w:r>
      <w:r w:rsidR="002B0288" w:rsidRPr="00C972A9">
        <w:rPr>
          <w:bCs/>
          <w:szCs w:val="24"/>
        </w:rPr>
        <w:t>vyšova</w:t>
      </w:r>
      <w:r>
        <w:rPr>
          <w:bCs/>
          <w:szCs w:val="24"/>
        </w:rPr>
        <w:t xml:space="preserve">nie </w:t>
      </w:r>
      <w:r w:rsidR="002B0288" w:rsidRPr="00C972A9">
        <w:rPr>
          <w:bCs/>
          <w:szCs w:val="24"/>
        </w:rPr>
        <w:t>prídavk</w:t>
      </w:r>
      <w:r>
        <w:rPr>
          <w:bCs/>
          <w:szCs w:val="24"/>
        </w:rPr>
        <w:t>ov</w:t>
      </w:r>
      <w:r w:rsidR="002B0288" w:rsidRPr="00C972A9">
        <w:rPr>
          <w:bCs/>
          <w:szCs w:val="24"/>
        </w:rPr>
        <w:t xml:space="preserve"> na deti,  rodičovsk</w:t>
      </w:r>
      <w:r>
        <w:rPr>
          <w:bCs/>
          <w:szCs w:val="24"/>
        </w:rPr>
        <w:t>ých</w:t>
      </w:r>
      <w:r w:rsidR="002B0288" w:rsidRPr="00C972A9">
        <w:rPr>
          <w:bCs/>
          <w:szCs w:val="24"/>
        </w:rPr>
        <w:t xml:space="preserve"> príspevk</w:t>
      </w:r>
      <w:r>
        <w:rPr>
          <w:bCs/>
          <w:szCs w:val="24"/>
        </w:rPr>
        <w:t>ov</w:t>
      </w:r>
      <w:r w:rsidR="002B0288" w:rsidRPr="00C972A9">
        <w:rPr>
          <w:bCs/>
          <w:szCs w:val="24"/>
        </w:rPr>
        <w:t xml:space="preserve"> a </w:t>
      </w:r>
      <w:r w:rsidR="002B0288" w:rsidRPr="00C972A9">
        <w:rPr>
          <w:szCs w:val="24"/>
        </w:rPr>
        <w:t xml:space="preserve"> príspevk</w:t>
      </w:r>
      <w:r>
        <w:rPr>
          <w:szCs w:val="24"/>
        </w:rPr>
        <w:t>ov</w:t>
      </w:r>
      <w:r w:rsidR="002B0288" w:rsidRPr="00C972A9">
        <w:rPr>
          <w:szCs w:val="24"/>
        </w:rPr>
        <w:t xml:space="preserve"> na podporu náhradnej starostlivosti o</w:t>
      </w:r>
      <w:r w:rsidR="00E11425">
        <w:rPr>
          <w:szCs w:val="24"/>
        </w:rPr>
        <w:t> </w:t>
      </w:r>
      <w:r w:rsidR="002B0288" w:rsidRPr="00C972A9">
        <w:rPr>
          <w:szCs w:val="24"/>
        </w:rPr>
        <w:t>dieťa</w:t>
      </w:r>
      <w:r w:rsidR="00E11425">
        <w:rPr>
          <w:bCs/>
          <w:szCs w:val="24"/>
        </w:rPr>
        <w:t>,</w:t>
      </w:r>
    </w:p>
    <w:p w14:paraId="61AAC4DA" w14:textId="1DD153A9" w:rsidR="00C972A9" w:rsidRDefault="0063584A" w:rsidP="00C972A9">
      <w:pPr>
        <w:pStyle w:val="Odsekzoznamu"/>
        <w:numPr>
          <w:ilvl w:val="0"/>
          <w:numId w:val="30"/>
        </w:numPr>
        <w:spacing w:before="120" w:after="120"/>
        <w:ind w:left="709"/>
        <w:jc w:val="both"/>
        <w:rPr>
          <w:rFonts w:eastAsia="Calibri"/>
          <w:kern w:val="3"/>
          <w:szCs w:val="24"/>
        </w:rPr>
      </w:pPr>
      <w:r w:rsidRPr="00C972A9">
        <w:rPr>
          <w:rFonts w:eastAsia="Calibri"/>
          <w:color w:val="000000"/>
          <w:kern w:val="3"/>
          <w:szCs w:val="24"/>
        </w:rPr>
        <w:t xml:space="preserve">v rámci tzv. „protiinflačnej“ pomoci </w:t>
      </w:r>
      <w:r w:rsidR="00C972A9">
        <w:rPr>
          <w:rFonts w:eastAsia="Calibri"/>
          <w:color w:val="000000"/>
          <w:kern w:val="3"/>
          <w:szCs w:val="24"/>
        </w:rPr>
        <w:t xml:space="preserve">bol </w:t>
      </w:r>
      <w:r w:rsidRPr="00C972A9">
        <w:rPr>
          <w:rFonts w:eastAsia="Calibri"/>
          <w:color w:val="000000"/>
          <w:kern w:val="3"/>
          <w:szCs w:val="24"/>
        </w:rPr>
        <w:t>vyplatený jednorazový príspevok vo výške 100 eur</w:t>
      </w:r>
      <w:r w:rsidRPr="00C972A9">
        <w:rPr>
          <w:rFonts w:eastAsia="Calibri"/>
          <w:kern w:val="3"/>
          <w:szCs w:val="24"/>
        </w:rPr>
        <w:t xml:space="preserve"> na dieťa, ktorému poskytuje starostlivo</w:t>
      </w:r>
      <w:r w:rsidR="00E11425">
        <w:rPr>
          <w:rFonts w:eastAsia="Calibri"/>
          <w:kern w:val="3"/>
          <w:szCs w:val="24"/>
        </w:rPr>
        <w:t>sť profesionálny náhradný rodič,</w:t>
      </w:r>
    </w:p>
    <w:p w14:paraId="28F73C76" w14:textId="3B9604C3" w:rsidR="00C972A9" w:rsidRPr="00C972A9" w:rsidRDefault="0063584A" w:rsidP="00C972A9">
      <w:pPr>
        <w:pStyle w:val="Odsekzoznamu"/>
        <w:numPr>
          <w:ilvl w:val="0"/>
          <w:numId w:val="30"/>
        </w:numPr>
        <w:spacing w:before="120" w:after="120"/>
        <w:ind w:left="709"/>
        <w:jc w:val="both"/>
        <w:rPr>
          <w:rFonts w:eastAsia="Calibri"/>
          <w:kern w:val="3"/>
          <w:szCs w:val="24"/>
        </w:rPr>
      </w:pPr>
      <w:r w:rsidRPr="00C972A9">
        <w:rPr>
          <w:bCs/>
          <w:szCs w:val="24"/>
        </w:rPr>
        <w:t xml:space="preserve">v júli 2022 </w:t>
      </w:r>
      <w:r w:rsidR="00C972A9">
        <w:rPr>
          <w:bCs/>
          <w:szCs w:val="24"/>
        </w:rPr>
        <w:t xml:space="preserve">bol </w:t>
      </w:r>
      <w:r w:rsidRPr="00C972A9">
        <w:rPr>
          <w:bCs/>
          <w:szCs w:val="24"/>
        </w:rPr>
        <w:t>poberateľom dôchodkov vyplatený 13. dôchodok vo výške 50</w:t>
      </w:r>
      <w:r w:rsidR="001E2307">
        <w:rPr>
          <w:bCs/>
          <w:szCs w:val="24"/>
        </w:rPr>
        <w:t> </w:t>
      </w:r>
      <w:r w:rsidRPr="00C972A9">
        <w:rPr>
          <w:bCs/>
          <w:szCs w:val="24"/>
        </w:rPr>
        <w:t>eur až 300</w:t>
      </w:r>
      <w:r w:rsidR="001E2307">
        <w:rPr>
          <w:bCs/>
          <w:szCs w:val="24"/>
        </w:rPr>
        <w:t> </w:t>
      </w:r>
      <w:r w:rsidRPr="00C972A9">
        <w:rPr>
          <w:bCs/>
          <w:szCs w:val="24"/>
        </w:rPr>
        <w:t>eur v závislosti od sumy dôchodku. Cieľom predčasného vyplatenia 13. dôchodkov bolo pomôcť poberateľom dôch</w:t>
      </w:r>
      <w:r w:rsidR="00E11425">
        <w:rPr>
          <w:bCs/>
          <w:szCs w:val="24"/>
        </w:rPr>
        <w:t>odkov v období vysokej inflácie,</w:t>
      </w:r>
    </w:p>
    <w:p w14:paraId="11F49B3C" w14:textId="76707BF3" w:rsidR="00E432DA" w:rsidRPr="00C972A9" w:rsidRDefault="00C972A9" w:rsidP="00C972A9">
      <w:pPr>
        <w:pStyle w:val="Odsekzoznamu"/>
        <w:numPr>
          <w:ilvl w:val="0"/>
          <w:numId w:val="30"/>
        </w:numPr>
        <w:spacing w:before="120" w:after="120"/>
        <w:ind w:left="709"/>
        <w:jc w:val="both"/>
        <w:rPr>
          <w:rFonts w:eastAsia="Calibri"/>
          <w:kern w:val="3"/>
          <w:szCs w:val="24"/>
        </w:rPr>
      </w:pPr>
      <w:r>
        <w:rPr>
          <w:bCs/>
          <w:szCs w:val="24"/>
        </w:rPr>
        <w:lastRenderedPageBreak/>
        <w:t>v</w:t>
      </w:r>
      <w:r w:rsidR="0063584A" w:rsidRPr="00C972A9">
        <w:rPr>
          <w:bCs/>
          <w:szCs w:val="24"/>
        </w:rPr>
        <w:t> decembri 2022 poberateľom dôchodkov vyplatených 70 %</w:t>
      </w:r>
      <w:r w:rsidR="00921698">
        <w:rPr>
          <w:bCs/>
          <w:szCs w:val="24"/>
        </w:rPr>
        <w:t xml:space="preserve"> zo sumy 13. dôchodku (tzv. 14. </w:t>
      </w:r>
      <w:r w:rsidR="0063584A" w:rsidRPr="00C972A9">
        <w:rPr>
          <w:bCs/>
          <w:szCs w:val="24"/>
        </w:rPr>
        <w:t>dôchodok), vo výške 35 eur až 210 eur v závislosti od sumy dôchodku, cieľom bolo zmiernenie negatívnych dopadov inflácie na poberateľov dôchodkových dávok.</w:t>
      </w:r>
    </w:p>
    <w:p w14:paraId="0B4929D1" w14:textId="66B10E71" w:rsidR="00056165" w:rsidRPr="00DF5085" w:rsidRDefault="00E432DA" w:rsidP="00DF5085">
      <w:pPr>
        <w:pStyle w:val="Odsekzoznamu"/>
        <w:numPr>
          <w:ilvl w:val="0"/>
          <w:numId w:val="21"/>
        </w:numPr>
        <w:spacing w:before="120" w:after="120"/>
        <w:ind w:left="709" w:hanging="357"/>
        <w:jc w:val="both"/>
        <w:rPr>
          <w:szCs w:val="24"/>
        </w:rPr>
      </w:pPr>
      <w:r w:rsidRPr="00FE5A4D">
        <w:rPr>
          <w:szCs w:val="24"/>
        </w:rPr>
        <w:t>Zvýšenými výdavkami súvislosti s</w:t>
      </w:r>
      <w:r w:rsidR="00890E42" w:rsidRPr="00FE5A4D">
        <w:rPr>
          <w:szCs w:val="24"/>
        </w:rPr>
        <w:t> </w:t>
      </w:r>
      <w:r w:rsidR="00890E42" w:rsidRPr="00FE5A4D">
        <w:rPr>
          <w:b/>
          <w:szCs w:val="24"/>
        </w:rPr>
        <w:t>vojenským konfliktom na Ukrajine</w:t>
      </w:r>
      <w:r w:rsidR="00890E42" w:rsidRPr="00FE5A4D">
        <w:rPr>
          <w:szCs w:val="24"/>
        </w:rPr>
        <w:t xml:space="preserve">, predovšetkým v súvislosti </w:t>
      </w:r>
      <w:r w:rsidR="00E16BF2">
        <w:rPr>
          <w:szCs w:val="24"/>
        </w:rPr>
        <w:t xml:space="preserve">s </w:t>
      </w:r>
      <w:r w:rsidRPr="00FE5A4D">
        <w:rPr>
          <w:szCs w:val="24"/>
        </w:rPr>
        <w:t>hromadným prílevom cudzincov na územie Slovenskej republiky</w:t>
      </w:r>
      <w:r w:rsidR="00890E42" w:rsidRPr="00FE5A4D">
        <w:rPr>
          <w:szCs w:val="24"/>
        </w:rPr>
        <w:t>.</w:t>
      </w:r>
      <w:r w:rsidRPr="00FE5A4D">
        <w:rPr>
          <w:szCs w:val="24"/>
        </w:rPr>
        <w:t xml:space="preserve"> Výška týchto výdavkov dosiahla </w:t>
      </w:r>
      <w:r w:rsidR="00890E42" w:rsidRPr="00FE5A4D">
        <w:rPr>
          <w:szCs w:val="24"/>
        </w:rPr>
        <w:t xml:space="preserve"> 193</w:t>
      </w:r>
      <w:r w:rsidR="001E2307">
        <w:rPr>
          <w:szCs w:val="24"/>
        </w:rPr>
        <w:t> </w:t>
      </w:r>
      <w:r w:rsidR="00890E42" w:rsidRPr="00FE5A4D">
        <w:rPr>
          <w:szCs w:val="24"/>
        </w:rPr>
        <w:t>691</w:t>
      </w:r>
      <w:r w:rsidR="001E2307">
        <w:rPr>
          <w:szCs w:val="24"/>
        </w:rPr>
        <w:t> </w:t>
      </w:r>
      <w:r w:rsidR="00890E42" w:rsidRPr="00FE5A4D">
        <w:rPr>
          <w:szCs w:val="24"/>
        </w:rPr>
        <w:t>tis.</w:t>
      </w:r>
      <w:r w:rsidR="001E2307">
        <w:rPr>
          <w:szCs w:val="24"/>
        </w:rPr>
        <w:t> </w:t>
      </w:r>
      <w:r w:rsidR="00890E42" w:rsidRPr="00FE5A4D">
        <w:rPr>
          <w:szCs w:val="24"/>
        </w:rPr>
        <w:t>eur, išlo najmä o výdavky</w:t>
      </w:r>
      <w:r w:rsidRPr="00FE5A4D">
        <w:rPr>
          <w:szCs w:val="24"/>
        </w:rPr>
        <w:t xml:space="preserve">  </w:t>
      </w:r>
      <w:r w:rsidR="00890E42" w:rsidRPr="00FE5A4D">
        <w:rPr>
          <w:szCs w:val="24"/>
        </w:rPr>
        <w:t>na príspevok na ubytovanie, na humanitárnu pomoc a ostatné náklady spojené s utečencami a výdavky pre žiakov v regionálnom školstve.</w:t>
      </w:r>
    </w:p>
    <w:p w14:paraId="0374310F" w14:textId="36CA272C" w:rsidR="00056165" w:rsidRPr="00027721" w:rsidRDefault="00DD23FE" w:rsidP="00DF5085">
      <w:pPr>
        <w:pStyle w:val="Odsekzoznamu"/>
        <w:numPr>
          <w:ilvl w:val="0"/>
          <w:numId w:val="21"/>
        </w:numPr>
        <w:spacing w:before="120" w:after="120"/>
        <w:jc w:val="both"/>
      </w:pPr>
      <w:r w:rsidRPr="00027721">
        <w:rPr>
          <w:b/>
        </w:rPr>
        <w:t xml:space="preserve">príjmy štátneho rozpočtu z ESA dividend </w:t>
      </w:r>
      <w:r w:rsidR="00027721" w:rsidRPr="00027721">
        <w:rPr>
          <w:b/>
        </w:rPr>
        <w:t>a odvodov zo zisku</w:t>
      </w:r>
      <w:r w:rsidR="00027721" w:rsidRPr="00027721">
        <w:t xml:space="preserve"> </w:t>
      </w:r>
      <w:r w:rsidRPr="00027721">
        <w:t>zazn</w:t>
      </w:r>
      <w:r w:rsidR="00044687" w:rsidRPr="00027721">
        <w:t xml:space="preserve">amenali medziročný </w:t>
      </w:r>
      <w:r w:rsidR="00B32470" w:rsidRPr="00027721">
        <w:t>pokles o 100 263</w:t>
      </w:r>
      <w:r w:rsidRPr="00027721">
        <w:t xml:space="preserve"> tis. eur a naopak </w:t>
      </w:r>
      <w:proofErr w:type="spellStart"/>
      <w:r w:rsidRPr="00027721">
        <w:t>superdividenda</w:t>
      </w:r>
      <w:proofErr w:type="spellEnd"/>
      <w:r w:rsidRPr="00027721">
        <w:t>, ktorá nie je ESA príjmom</w:t>
      </w:r>
      <w:r w:rsidR="00027721" w:rsidRPr="00027721">
        <w:t xml:space="preserve"> štátneho rozpočtu</w:t>
      </w:r>
      <w:r w:rsidRPr="00027721">
        <w:t xml:space="preserve"> bola </w:t>
      </w:r>
      <w:r w:rsidR="00B32470" w:rsidRPr="00027721">
        <w:t>vyššia o 2 641</w:t>
      </w:r>
      <w:r w:rsidR="00B96273" w:rsidRPr="00027721">
        <w:t> </w:t>
      </w:r>
      <w:r w:rsidRPr="00027721">
        <w:t>tis.</w:t>
      </w:r>
      <w:r w:rsidR="00B96273" w:rsidRPr="00027721">
        <w:t> </w:t>
      </w:r>
      <w:r w:rsidRPr="00027721">
        <w:t>eur.</w:t>
      </w:r>
    </w:p>
    <w:p w14:paraId="32B46604" w14:textId="090D95F6" w:rsidR="009D2EF1" w:rsidRPr="00DF5085" w:rsidRDefault="00DD23FE" w:rsidP="00DF5085">
      <w:pPr>
        <w:pStyle w:val="Odsekzoznamu"/>
        <w:numPr>
          <w:ilvl w:val="0"/>
          <w:numId w:val="21"/>
        </w:numPr>
        <w:spacing w:before="120" w:after="120"/>
        <w:jc w:val="both"/>
      </w:pPr>
      <w:r w:rsidRPr="005739CA">
        <w:rPr>
          <w:b/>
        </w:rPr>
        <w:t>vplyv zaznamenania transakcií v súvislosti zo zelenou energiou</w:t>
      </w:r>
      <w:r w:rsidRPr="005739CA">
        <w:t xml:space="preserve"> bol medziročne </w:t>
      </w:r>
      <w:r w:rsidR="005739CA" w:rsidRPr="005739CA">
        <w:t>negatívnejší</w:t>
      </w:r>
      <w:r w:rsidRPr="005739CA">
        <w:t xml:space="preserve"> o</w:t>
      </w:r>
      <w:r w:rsidR="00044687" w:rsidRPr="005739CA">
        <w:t> </w:t>
      </w:r>
      <w:r w:rsidR="005739CA" w:rsidRPr="005739CA">
        <w:t>67</w:t>
      </w:r>
      <w:r w:rsidR="00044687" w:rsidRPr="005739CA">
        <w:t> </w:t>
      </w:r>
      <w:r w:rsidR="005739CA" w:rsidRPr="005739CA">
        <w:t>093</w:t>
      </w:r>
      <w:r w:rsidR="00044687" w:rsidRPr="005739CA">
        <w:t> </w:t>
      </w:r>
      <w:r w:rsidRPr="005739CA">
        <w:t>tis.</w:t>
      </w:r>
      <w:r w:rsidR="00044687" w:rsidRPr="005739CA">
        <w:t> </w:t>
      </w:r>
      <w:r w:rsidRPr="005739CA">
        <w:t>eur, imputované výdavkové subvencie</w:t>
      </w:r>
      <w:r w:rsidR="00C00E58">
        <w:t xml:space="preserve"> štátu </w:t>
      </w:r>
      <w:r w:rsidRPr="005739CA">
        <w:t xml:space="preserve"> na zelenú energiu sa medziročne znížili o</w:t>
      </w:r>
      <w:r w:rsidR="008C7268" w:rsidRPr="005739CA">
        <w:t> </w:t>
      </w:r>
      <w:r w:rsidR="005739CA" w:rsidRPr="005739CA">
        <w:t>225</w:t>
      </w:r>
      <w:r w:rsidR="008C7268" w:rsidRPr="005739CA">
        <w:t> </w:t>
      </w:r>
      <w:r w:rsidR="005739CA" w:rsidRPr="005739CA">
        <w:t>731</w:t>
      </w:r>
      <w:r w:rsidRPr="005739CA">
        <w:t> tis. eur a</w:t>
      </w:r>
      <w:r w:rsidR="005739CA" w:rsidRPr="005739CA">
        <w:t>le</w:t>
      </w:r>
      <w:r w:rsidRPr="005739CA">
        <w:t xml:space="preserve"> zároveň sa zaznamenali </w:t>
      </w:r>
      <w:r w:rsidR="005739CA" w:rsidRPr="005739CA">
        <w:t>nižšie</w:t>
      </w:r>
      <w:r w:rsidRPr="005739CA">
        <w:t xml:space="preserve"> imputované daňové príjmy zo zelenej energie o</w:t>
      </w:r>
      <w:r w:rsidR="005739CA" w:rsidRPr="005739CA">
        <w:t> 292 824</w:t>
      </w:r>
      <w:r w:rsidRPr="005739CA">
        <w:t> tis. eur.</w:t>
      </w:r>
      <w:r w:rsidR="004D003D" w:rsidRPr="005739CA">
        <w:t xml:space="preserve"> </w:t>
      </w:r>
    </w:p>
    <w:p w14:paraId="756F3A0A" w14:textId="3754F221" w:rsidR="00094682" w:rsidRDefault="00563559" w:rsidP="009D2EF1">
      <w:pPr>
        <w:pStyle w:val="Odsekzoznamu"/>
        <w:numPr>
          <w:ilvl w:val="0"/>
          <w:numId w:val="21"/>
        </w:numPr>
        <w:spacing w:before="120" w:after="120"/>
        <w:jc w:val="both"/>
      </w:pPr>
      <w:r w:rsidRPr="00295EA5">
        <w:rPr>
          <w:b/>
        </w:rPr>
        <w:t xml:space="preserve">časové rozlíšenie prijatých a platených úrokov, </w:t>
      </w:r>
      <w:proofErr w:type="spellStart"/>
      <w:r w:rsidRPr="00295EA5">
        <w:rPr>
          <w:b/>
        </w:rPr>
        <w:t>disážia</w:t>
      </w:r>
      <w:proofErr w:type="spellEnd"/>
      <w:r w:rsidRPr="00295EA5">
        <w:rPr>
          <w:b/>
        </w:rPr>
        <w:t xml:space="preserve"> a prémie v štátnom dlhu</w:t>
      </w:r>
      <w:r w:rsidRPr="00295EA5">
        <w:t xml:space="preserve"> </w:t>
      </w:r>
      <w:r w:rsidR="00CB0C08" w:rsidRPr="00295EA5">
        <w:t xml:space="preserve">malo </w:t>
      </w:r>
      <w:r w:rsidR="00C96F01" w:rsidRPr="00295EA5">
        <w:t>nárast</w:t>
      </w:r>
      <w:r w:rsidR="0084661E" w:rsidRPr="00295EA5">
        <w:t xml:space="preserve"> v</w:t>
      </w:r>
      <w:r w:rsidR="00166F71">
        <w:t> </w:t>
      </w:r>
      <w:r w:rsidR="0084661E" w:rsidRPr="00295EA5">
        <w:t>roku 2022</w:t>
      </w:r>
      <w:r w:rsidR="00E16BF2">
        <w:t xml:space="preserve"> </w:t>
      </w:r>
      <w:r w:rsidR="0084661E" w:rsidRPr="00295EA5">
        <w:t>(pozitívny vplyv vo výške 101 401 tis. eur)</w:t>
      </w:r>
      <w:r w:rsidR="00C96F01" w:rsidRPr="00295EA5">
        <w:t xml:space="preserve"> oproti roku 2021</w:t>
      </w:r>
      <w:r w:rsidR="00E16BF2">
        <w:t xml:space="preserve"> </w:t>
      </w:r>
      <w:r w:rsidR="0084661E" w:rsidRPr="00295EA5">
        <w:t>(negatívny vplyv vo výške 324 920 tis. eur)</w:t>
      </w:r>
      <w:r w:rsidR="00C96F01" w:rsidRPr="00295EA5">
        <w:t xml:space="preserve"> z dôvodu rozdielu v časovom rozlíšení ážia</w:t>
      </w:r>
      <w:r w:rsidR="00E16BF2">
        <w:t xml:space="preserve"> </w:t>
      </w:r>
      <w:r w:rsidR="00C96F01" w:rsidRPr="00295EA5">
        <w:t>(prémie).</w:t>
      </w:r>
      <w:r w:rsidR="0084661E" w:rsidRPr="00295EA5">
        <w:t xml:space="preserve"> V roku 2021 bolo vysoké záporné časové rozlíšenie </w:t>
      </w:r>
      <w:r w:rsidR="00CB0C08" w:rsidRPr="00295EA5">
        <w:t xml:space="preserve">hlavne </w:t>
      </w:r>
      <w:r w:rsidR="008857D4" w:rsidRPr="00295EA5">
        <w:t xml:space="preserve">z dôvodu </w:t>
      </w:r>
      <w:r w:rsidR="00C96F01" w:rsidRPr="00295EA5">
        <w:t>vysokého inkasovaného ážia (prémi</w:t>
      </w:r>
      <w:r w:rsidR="00E16BF2">
        <w:t>í</w:t>
      </w:r>
      <w:r w:rsidR="00C96F01" w:rsidRPr="00295EA5">
        <w:t>) z emitovaných štátnych dlhopisov voči jeho časovému rozlíšeniu</w:t>
      </w:r>
      <w:r w:rsidR="0084661E" w:rsidRPr="00295EA5">
        <w:t>.</w:t>
      </w:r>
      <w:r w:rsidR="00D91FC1" w:rsidRPr="00D91FC1">
        <w:t xml:space="preserve"> </w:t>
      </w:r>
      <w:r w:rsidR="00D91FC1">
        <w:t xml:space="preserve">V tomto roku štát emitoval štátne dlhopisy s vyššími kupónovými úrokovými sadzbami. </w:t>
      </w:r>
      <w:r w:rsidR="0084661E" w:rsidRPr="00295EA5">
        <w:t xml:space="preserve">V </w:t>
      </w:r>
      <w:r w:rsidR="00C96F01" w:rsidRPr="00295EA5">
        <w:t xml:space="preserve">roku 2022 bolo </w:t>
      </w:r>
      <w:r w:rsidR="0084661E" w:rsidRPr="00295EA5">
        <w:t xml:space="preserve">časové rozlíšenie kladné, keďže </w:t>
      </w:r>
      <w:r w:rsidR="00C96F01" w:rsidRPr="00295EA5">
        <w:t xml:space="preserve">inkasované ážio </w:t>
      </w:r>
      <w:r w:rsidR="0084661E" w:rsidRPr="00295EA5">
        <w:t xml:space="preserve">bolo </w:t>
      </w:r>
      <w:r w:rsidR="00C96F01" w:rsidRPr="00295EA5">
        <w:t>nižšie ako jeho časové rozlíšenie</w:t>
      </w:r>
      <w:r w:rsidR="0084661E" w:rsidRPr="00295EA5">
        <w:t>.</w:t>
      </w:r>
    </w:p>
    <w:p w14:paraId="4CF53DC3" w14:textId="1C730D10" w:rsidR="00563559" w:rsidRPr="001D01D5" w:rsidRDefault="00563559" w:rsidP="0045423B">
      <w:pPr>
        <w:spacing w:before="120" w:after="120" w:line="240" w:lineRule="auto"/>
        <w:jc w:val="both"/>
        <w:rPr>
          <w:b/>
          <w:szCs w:val="22"/>
        </w:rPr>
      </w:pPr>
      <w:r w:rsidRPr="001D01D5">
        <w:rPr>
          <w:b/>
          <w:szCs w:val="22"/>
        </w:rPr>
        <w:t>Nasledujúci text hodnotí skutočne dosiahnuté saldo vybraných skupín subjektov verejnej správy alebo konkrétnych subjektov za rok 202</w:t>
      </w:r>
      <w:r w:rsidR="001D01D5" w:rsidRPr="001D01D5">
        <w:rPr>
          <w:b/>
          <w:szCs w:val="22"/>
        </w:rPr>
        <w:t>2</w:t>
      </w:r>
      <w:r w:rsidRPr="001D01D5">
        <w:rPr>
          <w:b/>
          <w:szCs w:val="22"/>
        </w:rPr>
        <w:t xml:space="preserve"> </w:t>
      </w:r>
      <w:r w:rsidR="00E4177E">
        <w:rPr>
          <w:b/>
          <w:szCs w:val="22"/>
        </w:rPr>
        <w:t xml:space="preserve">v metodike ESA </w:t>
      </w:r>
      <w:r w:rsidRPr="001D01D5">
        <w:rPr>
          <w:b/>
          <w:szCs w:val="22"/>
        </w:rPr>
        <w:t>a jeho medziročnú zmenu. Porovnanie skutočnosti roku 202</w:t>
      </w:r>
      <w:r w:rsidR="001D01D5" w:rsidRPr="001D01D5">
        <w:rPr>
          <w:b/>
          <w:szCs w:val="22"/>
        </w:rPr>
        <w:t>2</w:t>
      </w:r>
      <w:r w:rsidRPr="001D01D5">
        <w:rPr>
          <w:b/>
          <w:szCs w:val="22"/>
        </w:rPr>
        <w:t xml:space="preserve"> s rozpočtom 202</w:t>
      </w:r>
      <w:r w:rsidR="001D01D5" w:rsidRPr="001D01D5">
        <w:rPr>
          <w:b/>
          <w:szCs w:val="22"/>
        </w:rPr>
        <w:t>2</w:t>
      </w:r>
      <w:r w:rsidRPr="001D01D5">
        <w:rPr>
          <w:b/>
          <w:szCs w:val="22"/>
        </w:rPr>
        <w:t xml:space="preserve"> je predmetom Štátneho záverečného účtu SR</w:t>
      </w:r>
      <w:r w:rsidRPr="001D01D5">
        <w:rPr>
          <w:rStyle w:val="Odkaznapoznmkupodiarou"/>
          <w:b/>
          <w:szCs w:val="22"/>
        </w:rPr>
        <w:footnoteReference w:id="5"/>
      </w:r>
      <w:r w:rsidRPr="001D01D5">
        <w:rPr>
          <w:b/>
          <w:szCs w:val="22"/>
        </w:rPr>
        <w:t>.</w:t>
      </w:r>
    </w:p>
    <w:p w14:paraId="774F2F76" w14:textId="69110914" w:rsidR="00563559" w:rsidRPr="00BB4B6F" w:rsidRDefault="00563559" w:rsidP="008604F3">
      <w:pPr>
        <w:spacing w:before="120" w:after="120"/>
        <w:rPr>
          <w:b/>
          <w:color w:val="4F81BD" w:themeColor="accent1"/>
          <w:szCs w:val="22"/>
          <w:highlight w:val="yellow"/>
        </w:rPr>
      </w:pPr>
      <w:r w:rsidRPr="009B6802">
        <w:rPr>
          <w:b/>
          <w:color w:val="4F81BD" w:themeColor="accent1"/>
          <w:sz w:val="24"/>
          <w:szCs w:val="24"/>
        </w:rPr>
        <w:t>Príspevkové organizácie ústrednej správy</w:t>
      </w:r>
    </w:p>
    <w:p w14:paraId="7D2E46BB" w14:textId="1E9DF500" w:rsidR="00855041" w:rsidRPr="001B34EE" w:rsidRDefault="000119E5" w:rsidP="004447D6">
      <w:pPr>
        <w:spacing w:line="240" w:lineRule="auto"/>
        <w:jc w:val="both"/>
        <w:rPr>
          <w:szCs w:val="22"/>
        </w:rPr>
      </w:pPr>
      <w:r>
        <w:rPr>
          <w:szCs w:val="22"/>
        </w:rPr>
        <w:t xml:space="preserve">Hospodárenie </w:t>
      </w:r>
      <w:r w:rsidR="007E341F" w:rsidRPr="001B34EE">
        <w:rPr>
          <w:szCs w:val="22"/>
        </w:rPr>
        <w:t>príspevkových organizácií ústrednej správy</w:t>
      </w:r>
      <w:r w:rsidR="00641F51" w:rsidRPr="001B34EE">
        <w:rPr>
          <w:szCs w:val="22"/>
        </w:rPr>
        <w:t xml:space="preserve"> </w:t>
      </w:r>
      <w:r>
        <w:rPr>
          <w:szCs w:val="22"/>
        </w:rPr>
        <w:t xml:space="preserve">podľa ESA metodiky </w:t>
      </w:r>
      <w:r w:rsidR="001B34EE">
        <w:rPr>
          <w:szCs w:val="22"/>
        </w:rPr>
        <w:t>za rok 2022</w:t>
      </w:r>
      <w:r w:rsidR="007E341F" w:rsidRPr="001B34EE">
        <w:rPr>
          <w:szCs w:val="22"/>
        </w:rPr>
        <w:t xml:space="preserve"> dosiah</w:t>
      </w:r>
      <w:r w:rsidR="00455E31">
        <w:rPr>
          <w:szCs w:val="22"/>
        </w:rPr>
        <w:t>lo</w:t>
      </w:r>
      <w:r w:rsidR="007E341F" w:rsidRPr="001B34EE">
        <w:rPr>
          <w:szCs w:val="22"/>
        </w:rPr>
        <w:t xml:space="preserve"> </w:t>
      </w:r>
      <w:r w:rsidRPr="00734F4D">
        <w:rPr>
          <w:b/>
          <w:szCs w:val="22"/>
        </w:rPr>
        <w:t>prebytok</w:t>
      </w:r>
      <w:r w:rsidR="007E341F" w:rsidRPr="00734F4D">
        <w:rPr>
          <w:b/>
          <w:szCs w:val="22"/>
        </w:rPr>
        <w:t xml:space="preserve"> </w:t>
      </w:r>
      <w:r w:rsidR="001B34EE" w:rsidRPr="00734F4D">
        <w:rPr>
          <w:b/>
          <w:szCs w:val="22"/>
        </w:rPr>
        <w:t>44 011</w:t>
      </w:r>
      <w:r w:rsidR="007E341F" w:rsidRPr="00734F4D">
        <w:rPr>
          <w:b/>
          <w:szCs w:val="22"/>
        </w:rPr>
        <w:t> tis. eur</w:t>
      </w:r>
      <w:r w:rsidR="007E341F" w:rsidRPr="001B34EE">
        <w:rPr>
          <w:szCs w:val="22"/>
        </w:rPr>
        <w:t>, v porovnaní s rokom 202</w:t>
      </w:r>
      <w:r>
        <w:rPr>
          <w:szCs w:val="22"/>
        </w:rPr>
        <w:t>1</w:t>
      </w:r>
      <w:r w:rsidR="007E341F" w:rsidRPr="001B34EE">
        <w:rPr>
          <w:szCs w:val="22"/>
        </w:rPr>
        <w:t xml:space="preserve"> </w:t>
      </w:r>
      <w:r>
        <w:rPr>
          <w:szCs w:val="22"/>
        </w:rPr>
        <w:t xml:space="preserve">zaznamenali </w:t>
      </w:r>
      <w:r w:rsidR="00455E31">
        <w:rPr>
          <w:szCs w:val="22"/>
        </w:rPr>
        <w:t>zlepšenie hospodárenia</w:t>
      </w:r>
      <w:r w:rsidR="007E341F" w:rsidRPr="001B34EE">
        <w:rPr>
          <w:szCs w:val="22"/>
        </w:rPr>
        <w:t xml:space="preserve"> o </w:t>
      </w:r>
      <w:r>
        <w:rPr>
          <w:szCs w:val="22"/>
        </w:rPr>
        <w:t>44</w:t>
      </w:r>
      <w:r w:rsidR="00E23E57" w:rsidRPr="001B34EE">
        <w:rPr>
          <w:szCs w:val="22"/>
        </w:rPr>
        <w:t> </w:t>
      </w:r>
      <w:r>
        <w:rPr>
          <w:szCs w:val="22"/>
        </w:rPr>
        <w:t>84</w:t>
      </w:r>
      <w:r w:rsidR="007E341F" w:rsidRPr="001B34EE">
        <w:rPr>
          <w:szCs w:val="22"/>
        </w:rPr>
        <w:t>9</w:t>
      </w:r>
      <w:r w:rsidR="00E23E57" w:rsidRPr="001B34EE">
        <w:rPr>
          <w:szCs w:val="22"/>
        </w:rPr>
        <w:t> </w:t>
      </w:r>
      <w:r w:rsidR="007E341F" w:rsidRPr="001B34EE">
        <w:rPr>
          <w:szCs w:val="22"/>
        </w:rPr>
        <w:t>tis. eur</w:t>
      </w:r>
      <w:r w:rsidR="00455E31">
        <w:rPr>
          <w:szCs w:val="22"/>
        </w:rPr>
        <w:t>. V</w:t>
      </w:r>
      <w:r w:rsidR="007E341F" w:rsidRPr="001B34EE">
        <w:rPr>
          <w:szCs w:val="22"/>
        </w:rPr>
        <w:t> roku 202</w:t>
      </w:r>
      <w:r>
        <w:rPr>
          <w:szCs w:val="22"/>
        </w:rPr>
        <w:t>1</w:t>
      </w:r>
      <w:r w:rsidR="007E341F" w:rsidRPr="001B34EE">
        <w:rPr>
          <w:szCs w:val="22"/>
        </w:rPr>
        <w:t xml:space="preserve"> dosiahlo hospodárenie príspevkových organizácií </w:t>
      </w:r>
      <w:r>
        <w:rPr>
          <w:szCs w:val="22"/>
        </w:rPr>
        <w:t>schodok 838</w:t>
      </w:r>
      <w:r w:rsidR="00E23E57" w:rsidRPr="001B34EE">
        <w:rPr>
          <w:szCs w:val="22"/>
        </w:rPr>
        <w:t> </w:t>
      </w:r>
      <w:r w:rsidR="007E341F" w:rsidRPr="001B34EE">
        <w:rPr>
          <w:szCs w:val="22"/>
        </w:rPr>
        <w:t xml:space="preserve">tis. eur. Na </w:t>
      </w:r>
      <w:r w:rsidR="00B83C4B">
        <w:rPr>
          <w:szCs w:val="22"/>
        </w:rPr>
        <w:t xml:space="preserve">medziročnú zmenu </w:t>
      </w:r>
      <w:r w:rsidR="007E341F" w:rsidRPr="001B34EE">
        <w:rPr>
          <w:szCs w:val="22"/>
        </w:rPr>
        <w:t xml:space="preserve">ESA </w:t>
      </w:r>
      <w:r w:rsidR="00455E31">
        <w:rPr>
          <w:szCs w:val="22"/>
        </w:rPr>
        <w:t>salda</w:t>
      </w:r>
      <w:r w:rsidR="007E341F" w:rsidRPr="001B34EE">
        <w:rPr>
          <w:szCs w:val="22"/>
        </w:rPr>
        <w:t xml:space="preserve"> mal</w:t>
      </w:r>
      <w:r w:rsidR="00B83C4B">
        <w:rPr>
          <w:szCs w:val="22"/>
        </w:rPr>
        <w:t>a</w:t>
      </w:r>
      <w:r w:rsidR="007E341F" w:rsidRPr="001B34EE">
        <w:rPr>
          <w:szCs w:val="22"/>
        </w:rPr>
        <w:t xml:space="preserve"> vplyv </w:t>
      </w:r>
      <w:r w:rsidR="00455E31">
        <w:rPr>
          <w:szCs w:val="22"/>
        </w:rPr>
        <w:t xml:space="preserve">predovšetkým </w:t>
      </w:r>
      <w:r w:rsidR="00B83C4B">
        <w:rPr>
          <w:szCs w:val="22"/>
        </w:rPr>
        <w:t>zmena hotovostného</w:t>
      </w:r>
      <w:r w:rsidR="007E341F" w:rsidRPr="001B34EE">
        <w:rPr>
          <w:szCs w:val="22"/>
        </w:rPr>
        <w:t xml:space="preserve"> </w:t>
      </w:r>
      <w:r w:rsidR="00455E31">
        <w:rPr>
          <w:szCs w:val="22"/>
        </w:rPr>
        <w:t>salda</w:t>
      </w:r>
      <w:r w:rsidR="00E5631C">
        <w:rPr>
          <w:szCs w:val="22"/>
        </w:rPr>
        <w:t xml:space="preserve"> </w:t>
      </w:r>
      <w:r w:rsidR="00012B32">
        <w:rPr>
          <w:szCs w:val="22"/>
        </w:rPr>
        <w:t>v hodnote 23</w:t>
      </w:r>
      <w:r w:rsidR="00027721">
        <w:rPr>
          <w:szCs w:val="22"/>
        </w:rPr>
        <w:t> </w:t>
      </w:r>
      <w:r w:rsidR="00012B32">
        <w:rPr>
          <w:szCs w:val="22"/>
        </w:rPr>
        <w:t>866</w:t>
      </w:r>
      <w:r w:rsidR="00027721">
        <w:rPr>
          <w:szCs w:val="22"/>
        </w:rPr>
        <w:t> </w:t>
      </w:r>
      <w:r w:rsidR="00012B32">
        <w:rPr>
          <w:szCs w:val="22"/>
        </w:rPr>
        <w:t>tis.</w:t>
      </w:r>
      <w:r w:rsidR="00027721">
        <w:rPr>
          <w:szCs w:val="22"/>
        </w:rPr>
        <w:t> </w:t>
      </w:r>
      <w:r w:rsidR="00012B32">
        <w:rPr>
          <w:szCs w:val="22"/>
        </w:rPr>
        <w:t>eur</w:t>
      </w:r>
      <w:r w:rsidR="00455E31">
        <w:rPr>
          <w:szCs w:val="22"/>
        </w:rPr>
        <w:t>,</w:t>
      </w:r>
      <w:r w:rsidR="00B83C4B">
        <w:rPr>
          <w:szCs w:val="22"/>
        </w:rPr>
        <w:t xml:space="preserve"> zmena </w:t>
      </w:r>
      <w:r w:rsidR="00E5631C">
        <w:rPr>
          <w:szCs w:val="22"/>
        </w:rPr>
        <w:t>nárast</w:t>
      </w:r>
      <w:r w:rsidR="00B83C4B">
        <w:rPr>
          <w:szCs w:val="22"/>
        </w:rPr>
        <w:t>u</w:t>
      </w:r>
      <w:r w:rsidR="00E5631C">
        <w:rPr>
          <w:szCs w:val="22"/>
        </w:rPr>
        <w:t xml:space="preserve"> pohľadávok </w:t>
      </w:r>
      <w:r w:rsidR="00012B32">
        <w:rPr>
          <w:szCs w:val="22"/>
        </w:rPr>
        <w:t>o 10</w:t>
      </w:r>
      <w:r w:rsidR="00416958">
        <w:rPr>
          <w:szCs w:val="22"/>
        </w:rPr>
        <w:t> </w:t>
      </w:r>
      <w:r w:rsidR="00012B32">
        <w:rPr>
          <w:szCs w:val="22"/>
        </w:rPr>
        <w:t>233</w:t>
      </w:r>
      <w:r w:rsidR="00416958">
        <w:rPr>
          <w:szCs w:val="22"/>
        </w:rPr>
        <w:t> </w:t>
      </w:r>
      <w:r w:rsidR="00012B32">
        <w:rPr>
          <w:szCs w:val="22"/>
        </w:rPr>
        <w:t>tis.</w:t>
      </w:r>
      <w:r w:rsidR="00416958">
        <w:rPr>
          <w:szCs w:val="22"/>
        </w:rPr>
        <w:t> </w:t>
      </w:r>
      <w:r w:rsidR="00012B32">
        <w:rPr>
          <w:szCs w:val="22"/>
        </w:rPr>
        <w:t xml:space="preserve">eur </w:t>
      </w:r>
      <w:r w:rsidR="00E5631C">
        <w:rPr>
          <w:szCs w:val="22"/>
        </w:rPr>
        <w:t>a</w:t>
      </w:r>
      <w:r w:rsidR="00B83C4B">
        <w:rPr>
          <w:szCs w:val="22"/>
        </w:rPr>
        <w:t> </w:t>
      </w:r>
      <w:r w:rsidR="00E5631C">
        <w:rPr>
          <w:szCs w:val="22"/>
        </w:rPr>
        <w:t>pokles</w:t>
      </w:r>
      <w:r w:rsidR="00B83C4B">
        <w:rPr>
          <w:szCs w:val="22"/>
        </w:rPr>
        <w:t>u záväzkov</w:t>
      </w:r>
      <w:r w:rsidR="00E5631C">
        <w:rPr>
          <w:szCs w:val="22"/>
        </w:rPr>
        <w:t xml:space="preserve"> </w:t>
      </w:r>
      <w:r w:rsidR="00012B32">
        <w:rPr>
          <w:szCs w:val="22"/>
        </w:rPr>
        <w:t>o 10</w:t>
      </w:r>
      <w:r w:rsidR="00027721">
        <w:rPr>
          <w:szCs w:val="22"/>
        </w:rPr>
        <w:t> </w:t>
      </w:r>
      <w:r w:rsidR="00012B32">
        <w:rPr>
          <w:szCs w:val="22"/>
        </w:rPr>
        <w:t>690</w:t>
      </w:r>
      <w:r w:rsidR="00027721">
        <w:rPr>
          <w:szCs w:val="22"/>
        </w:rPr>
        <w:t> </w:t>
      </w:r>
      <w:r w:rsidR="00012B32">
        <w:rPr>
          <w:szCs w:val="22"/>
        </w:rPr>
        <w:t>tis.</w:t>
      </w:r>
      <w:r w:rsidR="00027721">
        <w:rPr>
          <w:szCs w:val="22"/>
        </w:rPr>
        <w:t> </w:t>
      </w:r>
      <w:r w:rsidR="00012B32">
        <w:rPr>
          <w:szCs w:val="22"/>
        </w:rPr>
        <w:t>eur</w:t>
      </w:r>
      <w:r w:rsidR="00455E31">
        <w:rPr>
          <w:szCs w:val="22"/>
        </w:rPr>
        <w:t xml:space="preserve">. </w:t>
      </w:r>
      <w:r w:rsidR="009B6802">
        <w:rPr>
          <w:szCs w:val="22"/>
        </w:rPr>
        <w:t xml:space="preserve">Medziročné zlepšenie hotovostného hospodárenia ovplyvnili najmä </w:t>
      </w:r>
      <w:r w:rsidR="00455E31">
        <w:rPr>
          <w:szCs w:val="22"/>
        </w:rPr>
        <w:t xml:space="preserve">na príjmovej strane </w:t>
      </w:r>
      <w:r w:rsidR="007E341F" w:rsidRPr="001B34EE">
        <w:rPr>
          <w:szCs w:val="22"/>
        </w:rPr>
        <w:t xml:space="preserve">vyššie </w:t>
      </w:r>
      <w:r w:rsidR="00921698">
        <w:rPr>
          <w:szCs w:val="22"/>
        </w:rPr>
        <w:t>granty a transfery o 94 707 tis. eur a </w:t>
      </w:r>
      <w:r w:rsidR="00E5631C">
        <w:rPr>
          <w:szCs w:val="22"/>
        </w:rPr>
        <w:t xml:space="preserve">administratívne a iné poplatky </w:t>
      </w:r>
      <w:r w:rsidR="00012B32">
        <w:rPr>
          <w:szCs w:val="22"/>
        </w:rPr>
        <w:t>o 18</w:t>
      </w:r>
      <w:r w:rsidR="00416958">
        <w:rPr>
          <w:szCs w:val="22"/>
        </w:rPr>
        <w:t> </w:t>
      </w:r>
      <w:r w:rsidR="00012B32">
        <w:rPr>
          <w:szCs w:val="22"/>
        </w:rPr>
        <w:t>518</w:t>
      </w:r>
      <w:r w:rsidR="00416958">
        <w:rPr>
          <w:szCs w:val="22"/>
        </w:rPr>
        <w:t> </w:t>
      </w:r>
      <w:r w:rsidR="00012B32">
        <w:rPr>
          <w:szCs w:val="22"/>
        </w:rPr>
        <w:t>tis.</w:t>
      </w:r>
      <w:r w:rsidR="00416958">
        <w:rPr>
          <w:szCs w:val="22"/>
        </w:rPr>
        <w:t> </w:t>
      </w:r>
      <w:r w:rsidR="00012B32">
        <w:rPr>
          <w:szCs w:val="22"/>
        </w:rPr>
        <w:t xml:space="preserve">eur, ktoré boli kompenzované </w:t>
      </w:r>
      <w:r w:rsidR="009B6802">
        <w:rPr>
          <w:szCs w:val="22"/>
        </w:rPr>
        <w:t xml:space="preserve">hlavne </w:t>
      </w:r>
      <w:r w:rsidR="00012B32">
        <w:rPr>
          <w:szCs w:val="22"/>
        </w:rPr>
        <w:t>nárastom výdavkov bežných transfe</w:t>
      </w:r>
      <w:r w:rsidR="00921698">
        <w:rPr>
          <w:szCs w:val="22"/>
        </w:rPr>
        <w:t>rov o 70 778 tis. </w:t>
      </w:r>
      <w:r w:rsidR="00012B32">
        <w:rPr>
          <w:szCs w:val="22"/>
        </w:rPr>
        <w:t>eur a</w:t>
      </w:r>
      <w:r w:rsidR="00455E31">
        <w:rPr>
          <w:szCs w:val="22"/>
        </w:rPr>
        <w:t> </w:t>
      </w:r>
      <w:r w:rsidR="00012B32">
        <w:rPr>
          <w:szCs w:val="22"/>
        </w:rPr>
        <w:t>nárastom</w:t>
      </w:r>
      <w:r w:rsidR="00455E31">
        <w:rPr>
          <w:szCs w:val="22"/>
        </w:rPr>
        <w:t xml:space="preserve"> výdavkov na </w:t>
      </w:r>
      <w:r w:rsidR="00012B32">
        <w:rPr>
          <w:szCs w:val="22"/>
        </w:rPr>
        <w:t xml:space="preserve"> obstarávania kapi</w:t>
      </w:r>
      <w:r w:rsidR="00921698">
        <w:rPr>
          <w:szCs w:val="22"/>
        </w:rPr>
        <w:t>tálových aktív v hodnote 27 751 tis. </w:t>
      </w:r>
      <w:r w:rsidR="00012B32">
        <w:rPr>
          <w:szCs w:val="22"/>
        </w:rPr>
        <w:t>eur</w:t>
      </w:r>
      <w:r w:rsidR="00B83C4B">
        <w:rPr>
          <w:szCs w:val="22"/>
        </w:rPr>
        <w:t>.</w:t>
      </w:r>
      <w:r w:rsidR="00012B32">
        <w:rPr>
          <w:szCs w:val="22"/>
        </w:rPr>
        <w:t xml:space="preserve"> </w:t>
      </w:r>
    </w:p>
    <w:p w14:paraId="38167263" w14:textId="6DEB9A66" w:rsidR="00563559" w:rsidRPr="00834BC0" w:rsidRDefault="00563559" w:rsidP="00563559">
      <w:pPr>
        <w:spacing w:after="120" w:line="240" w:lineRule="auto"/>
        <w:jc w:val="both"/>
        <w:rPr>
          <w:b/>
          <w:color w:val="4F81BD" w:themeColor="accent1"/>
          <w:sz w:val="24"/>
          <w:szCs w:val="24"/>
        </w:rPr>
      </w:pPr>
      <w:r w:rsidRPr="00834BC0">
        <w:rPr>
          <w:b/>
          <w:color w:val="4F81BD" w:themeColor="accent1"/>
          <w:sz w:val="24"/>
          <w:szCs w:val="24"/>
        </w:rPr>
        <w:t>Štátne fondy</w:t>
      </w:r>
    </w:p>
    <w:p w14:paraId="3CE31F5E" w14:textId="298CCACF" w:rsidR="00834BC0" w:rsidRPr="00834BC0" w:rsidRDefault="00834BC0" w:rsidP="00834BC0">
      <w:pPr>
        <w:spacing w:after="120" w:line="240" w:lineRule="auto"/>
        <w:jc w:val="both"/>
        <w:rPr>
          <w:szCs w:val="22"/>
        </w:rPr>
      </w:pPr>
      <w:r w:rsidRPr="00834BC0">
        <w:rPr>
          <w:szCs w:val="22"/>
        </w:rPr>
        <w:t xml:space="preserve">Tri štátne fondy v roku 2022 hospodárili spolu s prebytkom 239 386 tis. eur, čo predstavuje </w:t>
      </w:r>
      <w:r w:rsidR="00E4177E">
        <w:rPr>
          <w:szCs w:val="22"/>
        </w:rPr>
        <w:t xml:space="preserve">úhrnom </w:t>
      </w:r>
      <w:r w:rsidRPr="00834BC0">
        <w:rPr>
          <w:szCs w:val="22"/>
        </w:rPr>
        <w:t xml:space="preserve">zhoršenie výsledku hospodárenia oproti roku 2021 o 13 369 tis. eur. Najväčší vplyv na tento výsledok má </w:t>
      </w:r>
      <w:r>
        <w:rPr>
          <w:szCs w:val="22"/>
        </w:rPr>
        <w:t>Národný jadrový</w:t>
      </w:r>
      <w:r w:rsidRPr="00834BC0">
        <w:rPr>
          <w:szCs w:val="22"/>
        </w:rPr>
        <w:t xml:space="preserve"> fond, ktorý zhoršil hospodárenie medziročne o 23 102 tis. eur a dosiahol schodok 17 508 tis. eur. Negatívny vplyv mali vyššie výdavky určené spoločnosti JAVYS, ktoré m</w:t>
      </w:r>
      <w:r>
        <w:rPr>
          <w:szCs w:val="22"/>
        </w:rPr>
        <w:t>edziročne vzrástli o 5 574 tis. </w:t>
      </w:r>
      <w:r w:rsidRPr="00834BC0">
        <w:rPr>
          <w:szCs w:val="22"/>
        </w:rPr>
        <w:t xml:space="preserve">eur z dôvodu vyššieho plnenia naplánovaných výkonov. </w:t>
      </w:r>
      <w:r w:rsidR="003F475A">
        <w:rPr>
          <w:szCs w:val="22"/>
        </w:rPr>
        <w:t>Na strane príjmov zase nižšie granty a transfery zo štátneho rozpočtu o 2 398 tis. eur.</w:t>
      </w:r>
    </w:p>
    <w:p w14:paraId="70372520" w14:textId="76E5ED4B" w:rsidR="00834BC0" w:rsidRPr="00834BC0" w:rsidRDefault="00834BC0" w:rsidP="00834BC0">
      <w:pPr>
        <w:spacing w:after="120" w:line="240" w:lineRule="auto"/>
        <w:jc w:val="both"/>
        <w:rPr>
          <w:szCs w:val="22"/>
        </w:rPr>
      </w:pPr>
      <w:r w:rsidRPr="00834BC0">
        <w:rPr>
          <w:szCs w:val="22"/>
        </w:rPr>
        <w:t>Na druhej strane zlepšené medziročné hospodárenie o 8 843 </w:t>
      </w:r>
      <w:r>
        <w:rPr>
          <w:szCs w:val="22"/>
        </w:rPr>
        <w:t>tis. </w:t>
      </w:r>
      <w:r w:rsidRPr="00834BC0">
        <w:rPr>
          <w:szCs w:val="22"/>
        </w:rPr>
        <w:t xml:space="preserve">eur dosiahol Environmentálny fond, ktorý hospodáril s prebytkom 219 048 tis. eur. Najväčší pozitívny vplyv </w:t>
      </w:r>
      <w:r w:rsidR="00B73A36">
        <w:rPr>
          <w:szCs w:val="22"/>
        </w:rPr>
        <w:t xml:space="preserve">na saldo </w:t>
      </w:r>
      <w:r w:rsidRPr="00834BC0">
        <w:rPr>
          <w:szCs w:val="22"/>
        </w:rPr>
        <w:t xml:space="preserve">mal nárast </w:t>
      </w:r>
      <w:r>
        <w:rPr>
          <w:szCs w:val="22"/>
        </w:rPr>
        <w:t>pohľadávok o 11 617 tis. </w:t>
      </w:r>
      <w:r w:rsidRPr="00834BC0">
        <w:rPr>
          <w:szCs w:val="22"/>
        </w:rPr>
        <w:t xml:space="preserve">eur z dôvodu, že v roku 2021 boli vytvorené opravné položky k pohľadávkam pôvodného Recyklačného fondu v likvidácii, ktoré už v roku 2022 neboli </w:t>
      </w:r>
      <w:r w:rsidR="00B73A36">
        <w:rPr>
          <w:szCs w:val="22"/>
        </w:rPr>
        <w:t>zaznamenané</w:t>
      </w:r>
      <w:r w:rsidRPr="00834BC0">
        <w:rPr>
          <w:szCs w:val="22"/>
        </w:rPr>
        <w:t xml:space="preserve">. </w:t>
      </w:r>
    </w:p>
    <w:p w14:paraId="0E981D83" w14:textId="76F8455F" w:rsidR="00834BC0" w:rsidRPr="00834BC0" w:rsidRDefault="00E4177E" w:rsidP="00834BC0">
      <w:pPr>
        <w:spacing w:after="120" w:line="240" w:lineRule="auto"/>
        <w:jc w:val="both"/>
        <w:rPr>
          <w:szCs w:val="22"/>
        </w:rPr>
      </w:pPr>
      <w:r>
        <w:rPr>
          <w:szCs w:val="22"/>
        </w:rPr>
        <w:t>Mierne p</w:t>
      </w:r>
      <w:r w:rsidR="00834BC0" w:rsidRPr="00834BC0">
        <w:rPr>
          <w:szCs w:val="22"/>
        </w:rPr>
        <w:t xml:space="preserve">ozitívne na medziročný vývoj hospodárenia fondov pôsobil výsledok hospodárenia Štátneho fondu rozvoja bývania, ktorý skončil s prebytkom 37 846 tis. eur, čo predstavuje medziročné zlepšenie o 890 tis. eur. </w:t>
      </w:r>
    </w:p>
    <w:p w14:paraId="60C2AFB7" w14:textId="77777777" w:rsidR="001D01D5" w:rsidRPr="000B748F" w:rsidRDefault="001D01D5" w:rsidP="001D01D5">
      <w:pPr>
        <w:spacing w:after="120" w:line="240" w:lineRule="auto"/>
        <w:jc w:val="both"/>
        <w:rPr>
          <w:rFonts w:cs="Book Antiqua"/>
          <w:color w:val="4F81BD" w:themeColor="accent1"/>
          <w:sz w:val="24"/>
          <w:szCs w:val="24"/>
          <w:lang w:eastAsia="sk-SK"/>
        </w:rPr>
      </w:pPr>
      <w:r w:rsidRPr="000B748F">
        <w:rPr>
          <w:rFonts w:cs="Book Antiqua"/>
          <w:b/>
          <w:color w:val="4F81BD" w:themeColor="accent1"/>
          <w:sz w:val="24"/>
          <w:szCs w:val="24"/>
          <w:lang w:eastAsia="sk-SK"/>
        </w:rPr>
        <w:lastRenderedPageBreak/>
        <w:t>Obchodné spoločnosti ústrednej správy</w:t>
      </w:r>
      <w:r w:rsidRPr="000B748F">
        <w:rPr>
          <w:rFonts w:cs="Book Antiqua"/>
          <w:color w:val="4F81BD" w:themeColor="accent1"/>
          <w:sz w:val="24"/>
          <w:szCs w:val="24"/>
          <w:lang w:eastAsia="sk-SK"/>
        </w:rPr>
        <w:t xml:space="preserve"> </w:t>
      </w:r>
    </w:p>
    <w:p w14:paraId="27DBEE3A" w14:textId="77777777" w:rsidR="001D01D5" w:rsidRPr="000B748F" w:rsidRDefault="001D01D5" w:rsidP="001D01D5">
      <w:pPr>
        <w:spacing w:after="120" w:line="240" w:lineRule="auto"/>
        <w:jc w:val="both"/>
        <w:rPr>
          <w:rFonts w:cs="Book Antiqua"/>
          <w:color w:val="4F81BD" w:themeColor="accent1"/>
          <w:sz w:val="24"/>
          <w:szCs w:val="24"/>
          <w:lang w:eastAsia="sk-SK"/>
        </w:rPr>
      </w:pPr>
      <w:r w:rsidRPr="000B748F">
        <w:rPr>
          <w:rFonts w:cs="Book Antiqua"/>
          <w:szCs w:val="22"/>
          <w:lang w:eastAsia="sk-SK"/>
        </w:rPr>
        <w:t>Obchodné spoločnosti ústrednej správy dosiahli úhrnom medziročné zhoršenie hospodárenia o 223</w:t>
      </w:r>
      <w:r w:rsidRPr="000B748F">
        <w:t> 155</w:t>
      </w:r>
      <w:r w:rsidRPr="000B748F">
        <w:rPr>
          <w:rFonts w:cs="Book Antiqua"/>
          <w:szCs w:val="22"/>
          <w:lang w:eastAsia="sk-SK"/>
        </w:rPr>
        <w:t> tis. eur oproti roku 2021. V rámci tejto zložky verejnej správy je vykazované hospodárenie celkovo za 1</w:t>
      </w:r>
      <w:r>
        <w:rPr>
          <w:rFonts w:cs="Book Antiqua"/>
          <w:szCs w:val="22"/>
          <w:lang w:eastAsia="sk-SK"/>
        </w:rPr>
        <w:t>5</w:t>
      </w:r>
      <w:r w:rsidRPr="000B748F">
        <w:rPr>
          <w:rFonts w:cs="Book Antiqua"/>
          <w:szCs w:val="22"/>
          <w:lang w:eastAsia="sk-SK"/>
        </w:rPr>
        <w:t xml:space="preserve"> subjektov, pričom v rozhodujúcej miere sa na výsledku podieľajú najmä spoločnosti v oblasti dopravy a dopravnej infraštruktúry ako sú Národná diaľničná spoločnosť, a. s., Železničná spoločnosť Slovensko, a. s. a Železnice Slovenskej republiky a. s. a spoločnosť MH </w:t>
      </w:r>
      <w:proofErr w:type="spellStart"/>
      <w:r w:rsidRPr="000B748F">
        <w:rPr>
          <w:rFonts w:cs="Book Antiqua"/>
          <w:szCs w:val="22"/>
          <w:lang w:eastAsia="sk-SK"/>
        </w:rPr>
        <w:t>Invest</w:t>
      </w:r>
      <w:proofErr w:type="spellEnd"/>
      <w:r w:rsidRPr="000B748F">
        <w:rPr>
          <w:rFonts w:cs="Book Antiqua"/>
          <w:szCs w:val="22"/>
          <w:lang w:eastAsia="sk-SK"/>
        </w:rPr>
        <w:t>, s. r. o.</w:t>
      </w:r>
    </w:p>
    <w:p w14:paraId="3B4EEC61" w14:textId="2F41AC72" w:rsidR="001D01D5" w:rsidRPr="00BB4B6F" w:rsidRDefault="001D01D5" w:rsidP="001D01D5">
      <w:pPr>
        <w:spacing w:after="120" w:line="240" w:lineRule="auto"/>
        <w:jc w:val="both"/>
        <w:rPr>
          <w:rFonts w:cs="Book Antiqua"/>
          <w:szCs w:val="22"/>
          <w:highlight w:val="yellow"/>
          <w:lang w:eastAsia="sk-SK"/>
        </w:rPr>
      </w:pPr>
      <w:r w:rsidRPr="000B748F">
        <w:rPr>
          <w:rFonts w:cs="Book Antiqua"/>
          <w:szCs w:val="22"/>
          <w:u w:val="single"/>
          <w:lang w:eastAsia="sk-SK"/>
        </w:rPr>
        <w:t>Národná diaľničná spoločnosť, a. s. (NDS)</w:t>
      </w:r>
      <w:r w:rsidRPr="000B748F">
        <w:rPr>
          <w:rFonts w:cs="Book Antiqua"/>
          <w:szCs w:val="22"/>
          <w:lang w:eastAsia="sk-SK"/>
        </w:rPr>
        <w:t xml:space="preserve"> </w:t>
      </w:r>
      <w:r w:rsidRPr="00734F4D">
        <w:rPr>
          <w:rFonts w:cs="Book Antiqua"/>
          <w:b/>
          <w:szCs w:val="22"/>
          <w:lang w:eastAsia="sk-SK"/>
        </w:rPr>
        <w:t>dosiahla v roku 2022 schodok 45 578  tis. eur</w:t>
      </w:r>
      <w:r w:rsidRPr="000B748F">
        <w:rPr>
          <w:rFonts w:cs="Book Antiqua"/>
          <w:szCs w:val="22"/>
          <w:lang w:eastAsia="sk-SK"/>
        </w:rPr>
        <w:t xml:space="preserve">, čo predstavuje medziročné zhoršenie o 33 587 tis. eur. Na túto skutočnosť negatívne vplýval vyšší nárast hotovostných výdavkov (o 115 247 tis. eur) ako nárast hotovostných príjmov </w:t>
      </w:r>
      <w:r w:rsidR="005E693E">
        <w:rPr>
          <w:rFonts w:cs="Book Antiqua"/>
          <w:szCs w:val="22"/>
          <w:lang w:eastAsia="sk-SK"/>
        </w:rPr>
        <w:t>(</w:t>
      </w:r>
      <w:r w:rsidRPr="000B748F">
        <w:rPr>
          <w:rFonts w:cs="Book Antiqua"/>
          <w:szCs w:val="22"/>
          <w:lang w:eastAsia="sk-SK"/>
        </w:rPr>
        <w:t>o 68 </w:t>
      </w:r>
      <w:r w:rsidR="005E693E">
        <w:rPr>
          <w:rFonts w:cs="Book Antiqua"/>
          <w:szCs w:val="22"/>
          <w:lang w:eastAsia="sk-SK"/>
        </w:rPr>
        <w:t>482 tis.</w:t>
      </w:r>
      <w:r w:rsidR="00E4177E">
        <w:rPr>
          <w:rFonts w:cs="Book Antiqua"/>
          <w:szCs w:val="22"/>
          <w:lang w:eastAsia="sk-SK"/>
        </w:rPr>
        <w:t xml:space="preserve"> </w:t>
      </w:r>
      <w:r w:rsidR="005E693E">
        <w:rPr>
          <w:rFonts w:cs="Book Antiqua"/>
          <w:szCs w:val="22"/>
          <w:lang w:eastAsia="sk-SK"/>
        </w:rPr>
        <w:t>eur).</w:t>
      </w:r>
    </w:p>
    <w:p w14:paraId="50D892A1" w14:textId="6A087DF9" w:rsidR="006B0F72" w:rsidRDefault="001D01D5" w:rsidP="00E57881">
      <w:pPr>
        <w:spacing w:after="120" w:line="240" w:lineRule="auto"/>
        <w:jc w:val="both"/>
        <w:rPr>
          <w:rFonts w:cs="Book Antiqua"/>
          <w:szCs w:val="22"/>
          <w:lang w:eastAsia="sk-SK"/>
        </w:rPr>
      </w:pPr>
      <w:r w:rsidRPr="00763AD1">
        <w:rPr>
          <w:rFonts w:cs="Book Antiqua"/>
          <w:szCs w:val="22"/>
          <w:lang w:eastAsia="sk-SK"/>
        </w:rPr>
        <w:t>Z celkových príjmov</w:t>
      </w:r>
      <w:r>
        <w:rPr>
          <w:rFonts w:cs="Book Antiqua"/>
          <w:szCs w:val="22"/>
          <w:lang w:eastAsia="sk-SK"/>
        </w:rPr>
        <w:t xml:space="preserve"> za rok 2022 </w:t>
      </w:r>
      <w:r w:rsidRPr="00763AD1">
        <w:rPr>
          <w:rFonts w:cs="Book Antiqua"/>
          <w:szCs w:val="22"/>
          <w:lang w:eastAsia="sk-SK"/>
        </w:rPr>
        <w:t xml:space="preserve"> zaznamenali </w:t>
      </w:r>
      <w:r w:rsidR="00E4177E" w:rsidRPr="00763AD1">
        <w:rPr>
          <w:rFonts w:cs="Book Antiqua"/>
          <w:szCs w:val="22"/>
          <w:lang w:eastAsia="sk-SK"/>
        </w:rPr>
        <w:t xml:space="preserve">nárast </w:t>
      </w:r>
      <w:r w:rsidRPr="00763AD1">
        <w:rPr>
          <w:rFonts w:cs="Book Antiqua"/>
          <w:szCs w:val="22"/>
          <w:lang w:eastAsia="sk-SK"/>
        </w:rPr>
        <w:t xml:space="preserve">predovšetkým prijaté granty a transfery </w:t>
      </w:r>
      <w:r w:rsidR="006E3A85">
        <w:rPr>
          <w:rFonts w:cs="Book Antiqua"/>
          <w:szCs w:val="22"/>
          <w:lang w:eastAsia="sk-SK"/>
        </w:rPr>
        <w:t>(</w:t>
      </w:r>
      <w:r w:rsidRPr="00763AD1">
        <w:rPr>
          <w:rFonts w:cs="Book Antiqua"/>
          <w:szCs w:val="22"/>
          <w:lang w:eastAsia="sk-SK"/>
        </w:rPr>
        <w:t>o 59 060 tis. eur</w:t>
      </w:r>
      <w:r w:rsidR="006E3A85">
        <w:rPr>
          <w:rFonts w:cs="Book Antiqua"/>
          <w:szCs w:val="22"/>
          <w:lang w:eastAsia="sk-SK"/>
        </w:rPr>
        <w:t xml:space="preserve">) </w:t>
      </w:r>
      <w:r>
        <w:rPr>
          <w:rFonts w:cs="Book Antiqua"/>
          <w:szCs w:val="22"/>
          <w:lang w:eastAsia="sk-SK"/>
        </w:rPr>
        <w:t xml:space="preserve">s celkovou </w:t>
      </w:r>
      <w:r w:rsidR="006E3A85">
        <w:rPr>
          <w:rFonts w:cs="Book Antiqua"/>
          <w:szCs w:val="22"/>
          <w:lang w:eastAsia="sk-SK"/>
        </w:rPr>
        <w:t>dosiahnutou hodnotou vo výške</w:t>
      </w:r>
      <w:r>
        <w:rPr>
          <w:rFonts w:cs="Book Antiqua"/>
          <w:szCs w:val="22"/>
          <w:lang w:eastAsia="sk-SK"/>
        </w:rPr>
        <w:t xml:space="preserve"> 457 046 tis. eur </w:t>
      </w:r>
      <w:r w:rsidRPr="00763AD1">
        <w:rPr>
          <w:rFonts w:cs="Book Antiqua"/>
          <w:szCs w:val="22"/>
          <w:lang w:eastAsia="sk-SK"/>
        </w:rPr>
        <w:t xml:space="preserve">a tiež príjmy z predaja elektronických diaľničných známok a výberu mýta </w:t>
      </w:r>
      <w:r w:rsidR="006B0F72">
        <w:rPr>
          <w:rFonts w:cs="Book Antiqua"/>
          <w:szCs w:val="22"/>
          <w:lang w:eastAsia="sk-SK"/>
        </w:rPr>
        <w:t>(</w:t>
      </w:r>
      <w:r w:rsidRPr="00763AD1">
        <w:rPr>
          <w:rFonts w:cs="Book Antiqua"/>
          <w:szCs w:val="22"/>
          <w:lang w:eastAsia="sk-SK"/>
        </w:rPr>
        <w:t>o 12 719 tis. eur</w:t>
      </w:r>
      <w:r w:rsidR="006B0F72">
        <w:rPr>
          <w:rFonts w:cs="Book Antiqua"/>
          <w:szCs w:val="22"/>
          <w:lang w:eastAsia="sk-SK"/>
        </w:rPr>
        <w:t>)</w:t>
      </w:r>
      <w:r>
        <w:rPr>
          <w:rFonts w:cs="Book Antiqua"/>
          <w:szCs w:val="22"/>
          <w:lang w:eastAsia="sk-SK"/>
        </w:rPr>
        <w:t xml:space="preserve"> s celkovou </w:t>
      </w:r>
      <w:r w:rsidR="006B0F72">
        <w:rPr>
          <w:rFonts w:cs="Book Antiqua"/>
          <w:szCs w:val="22"/>
          <w:lang w:eastAsia="sk-SK"/>
        </w:rPr>
        <w:t>dosiahnutou hodnotou vo výške</w:t>
      </w:r>
      <w:r>
        <w:rPr>
          <w:rFonts w:cs="Book Antiqua"/>
          <w:szCs w:val="22"/>
          <w:lang w:eastAsia="sk-SK"/>
        </w:rPr>
        <w:t xml:space="preserve"> 318 194 tis. eur. </w:t>
      </w:r>
    </w:p>
    <w:p w14:paraId="1C2B1E8A" w14:textId="2FE6594B" w:rsidR="00703BC7" w:rsidRDefault="001D01D5" w:rsidP="00703BC7">
      <w:pPr>
        <w:spacing w:before="120" w:after="120" w:line="240" w:lineRule="auto"/>
        <w:jc w:val="both"/>
        <w:rPr>
          <w:rFonts w:cs="Book Antiqua"/>
          <w:szCs w:val="22"/>
          <w:lang w:eastAsia="sk-SK"/>
        </w:rPr>
      </w:pPr>
      <w:r w:rsidRPr="00583D78">
        <w:rPr>
          <w:szCs w:val="22"/>
          <w:lang w:eastAsia="sk-SK"/>
        </w:rPr>
        <w:t xml:space="preserve">V nadväznosti na realizované investičné výdavky a ich následnú refundáciu vzrástli prijaté </w:t>
      </w:r>
      <w:r>
        <w:rPr>
          <w:szCs w:val="22"/>
          <w:lang w:eastAsia="sk-SK"/>
        </w:rPr>
        <w:t>kapitálové granty</w:t>
      </w:r>
      <w:r w:rsidRPr="00583D78">
        <w:rPr>
          <w:szCs w:val="22"/>
          <w:lang w:eastAsia="sk-SK"/>
        </w:rPr>
        <w:t xml:space="preserve"> z EŠIF o</w:t>
      </w:r>
      <w:r>
        <w:rPr>
          <w:szCs w:val="22"/>
          <w:lang w:eastAsia="sk-SK"/>
        </w:rPr>
        <w:t> 52 202</w:t>
      </w:r>
      <w:r w:rsidRPr="00583D78">
        <w:rPr>
          <w:szCs w:val="22"/>
          <w:lang w:eastAsia="sk-SK"/>
        </w:rPr>
        <w:t> tis. eur a zo spolufinancovania zo ŠR o 9</w:t>
      </w:r>
      <w:r>
        <w:rPr>
          <w:szCs w:val="22"/>
          <w:lang w:eastAsia="sk-SK"/>
        </w:rPr>
        <w:t> 058</w:t>
      </w:r>
      <w:r w:rsidRPr="00583D78">
        <w:rPr>
          <w:szCs w:val="22"/>
          <w:lang w:eastAsia="sk-SK"/>
        </w:rPr>
        <w:t> tis. eur</w:t>
      </w:r>
      <w:r>
        <w:rPr>
          <w:szCs w:val="22"/>
          <w:lang w:eastAsia="sk-SK"/>
        </w:rPr>
        <w:t>, ich celkový objem v roku 2022 dosiahol hodnotu 164 621 tis. eur</w:t>
      </w:r>
      <w:r w:rsidRPr="00583D78">
        <w:rPr>
          <w:rFonts w:cs="Book Antiqua"/>
          <w:szCs w:val="22"/>
          <w:lang w:eastAsia="sk-SK"/>
        </w:rPr>
        <w:t xml:space="preserve">. </w:t>
      </w:r>
      <w:r w:rsidRPr="00757204">
        <w:rPr>
          <w:rFonts w:cs="Book Antiqua"/>
          <w:szCs w:val="22"/>
          <w:lang w:eastAsia="sk-SK"/>
        </w:rPr>
        <w:t>Kapitálové transfery zo ŠR, poukázané v celkovej výške 276</w:t>
      </w:r>
      <w:r w:rsidR="006B0F72">
        <w:rPr>
          <w:rFonts w:cs="Book Antiqua"/>
          <w:szCs w:val="22"/>
          <w:lang w:eastAsia="sk-SK"/>
        </w:rPr>
        <w:t> </w:t>
      </w:r>
      <w:r w:rsidRPr="00757204">
        <w:rPr>
          <w:rFonts w:cs="Book Antiqua"/>
          <w:szCs w:val="22"/>
          <w:lang w:eastAsia="sk-SK"/>
        </w:rPr>
        <w:t>711 tis. eur z rozpočtovej kapitoly MD SR, zaznamenali nárast o</w:t>
      </w:r>
      <w:r w:rsidR="00E57881">
        <w:rPr>
          <w:rFonts w:cs="Book Antiqua"/>
          <w:szCs w:val="22"/>
          <w:lang w:eastAsia="sk-SK"/>
        </w:rPr>
        <w:t> </w:t>
      </w:r>
      <w:r w:rsidRPr="00757204">
        <w:rPr>
          <w:rFonts w:cs="Book Antiqua"/>
          <w:szCs w:val="22"/>
          <w:lang w:eastAsia="sk-SK"/>
        </w:rPr>
        <w:t>7</w:t>
      </w:r>
      <w:r w:rsidR="00E57881">
        <w:rPr>
          <w:rFonts w:cs="Book Antiqua"/>
          <w:szCs w:val="22"/>
          <w:lang w:eastAsia="sk-SK"/>
        </w:rPr>
        <w:t> </w:t>
      </w:r>
      <w:r w:rsidRPr="00757204">
        <w:rPr>
          <w:rFonts w:cs="Book Antiqua"/>
          <w:szCs w:val="22"/>
          <w:lang w:eastAsia="sk-SK"/>
        </w:rPr>
        <w:t xml:space="preserve">986 tis. eur. Naopak príjmy z bežných transferov zo ŠR zaznamenali pokles o 2 368 tis. eur. </w:t>
      </w:r>
      <w:r w:rsidRPr="00CE3320">
        <w:rPr>
          <w:rFonts w:cs="Book Antiqua"/>
          <w:szCs w:val="22"/>
          <w:lang w:eastAsia="sk-SK"/>
        </w:rPr>
        <w:t>V roku 2022 tržby nadviazali</w:t>
      </w:r>
      <w:r w:rsidR="006B0F72">
        <w:rPr>
          <w:rFonts w:cs="Book Antiqua"/>
          <w:szCs w:val="22"/>
          <w:lang w:eastAsia="sk-SK"/>
        </w:rPr>
        <w:t xml:space="preserve"> svojim rastom</w:t>
      </w:r>
      <w:r w:rsidRPr="00CE3320">
        <w:rPr>
          <w:rFonts w:cs="Book Antiqua"/>
          <w:szCs w:val="22"/>
          <w:lang w:eastAsia="sk-SK"/>
        </w:rPr>
        <w:t xml:space="preserve"> na </w:t>
      </w:r>
      <w:r w:rsidR="006B0F72">
        <w:rPr>
          <w:rFonts w:cs="Book Antiqua"/>
          <w:szCs w:val="22"/>
          <w:lang w:eastAsia="sk-SK"/>
        </w:rPr>
        <w:t>rok</w:t>
      </w:r>
      <w:r w:rsidRPr="00CE3320">
        <w:rPr>
          <w:rFonts w:cs="Book Antiqua"/>
          <w:szCs w:val="22"/>
          <w:lang w:eastAsia="sk-SK"/>
        </w:rPr>
        <w:t xml:space="preserve"> 2021</w:t>
      </w:r>
      <w:r w:rsidR="006B0F72">
        <w:rPr>
          <w:rFonts w:cs="Book Antiqua"/>
          <w:szCs w:val="22"/>
          <w:lang w:eastAsia="sk-SK"/>
        </w:rPr>
        <w:t>, kedy sa obnovil rastúci trend</w:t>
      </w:r>
      <w:r w:rsidRPr="00CE3320">
        <w:rPr>
          <w:rFonts w:cs="Book Antiqua"/>
          <w:szCs w:val="22"/>
          <w:lang w:eastAsia="sk-SK"/>
        </w:rPr>
        <w:t xml:space="preserve"> mobility občanov a medzinárodného tranzitu</w:t>
      </w:r>
      <w:r w:rsidR="006B0F72">
        <w:rPr>
          <w:rFonts w:cs="Book Antiqua"/>
          <w:szCs w:val="22"/>
          <w:lang w:eastAsia="sk-SK"/>
        </w:rPr>
        <w:t xml:space="preserve"> tovaru</w:t>
      </w:r>
      <w:r w:rsidRPr="00CE3320">
        <w:rPr>
          <w:rFonts w:cs="Book Antiqua"/>
          <w:szCs w:val="22"/>
          <w:lang w:eastAsia="sk-SK"/>
        </w:rPr>
        <w:t xml:space="preserve"> cez naše územie</w:t>
      </w:r>
      <w:r w:rsidR="006B0F72">
        <w:rPr>
          <w:rFonts w:cs="Book Antiqua"/>
          <w:szCs w:val="22"/>
          <w:lang w:eastAsia="sk-SK"/>
        </w:rPr>
        <w:t xml:space="preserve"> po prvej vlne pandémie COVID-19</w:t>
      </w:r>
      <w:r w:rsidRPr="00CE3320">
        <w:rPr>
          <w:rFonts w:cs="Book Antiqua"/>
          <w:szCs w:val="22"/>
          <w:lang w:eastAsia="sk-SK"/>
        </w:rPr>
        <w:t xml:space="preserve">. </w:t>
      </w:r>
      <w:r w:rsidR="00E57881">
        <w:rPr>
          <w:rFonts w:cs="Book Antiqua"/>
          <w:szCs w:val="22"/>
          <w:lang w:eastAsia="sk-SK"/>
        </w:rPr>
        <w:t>Z</w:t>
      </w:r>
      <w:r w:rsidR="00E57881" w:rsidRPr="00E57881">
        <w:rPr>
          <w:rFonts w:cs="Book Antiqua"/>
          <w:szCs w:val="22"/>
          <w:lang w:eastAsia="sk-SK"/>
        </w:rPr>
        <w:t>áuj</w:t>
      </w:r>
      <w:r w:rsidR="00E57881">
        <w:rPr>
          <w:rFonts w:cs="Book Antiqua"/>
          <w:szCs w:val="22"/>
          <w:lang w:eastAsia="sk-SK"/>
        </w:rPr>
        <w:t>em</w:t>
      </w:r>
      <w:r w:rsidR="00E57881" w:rsidRPr="00E57881">
        <w:rPr>
          <w:rFonts w:cs="Book Antiqua"/>
          <w:szCs w:val="22"/>
          <w:lang w:eastAsia="sk-SK"/>
        </w:rPr>
        <w:t xml:space="preserve"> o kúpu e</w:t>
      </w:r>
      <w:r w:rsidR="00E4177E">
        <w:rPr>
          <w:rFonts w:cs="Book Antiqua"/>
          <w:szCs w:val="22"/>
          <w:lang w:eastAsia="sk-SK"/>
        </w:rPr>
        <w:t>lektronických diaľničných známok</w:t>
      </w:r>
      <w:r w:rsidR="00E57881">
        <w:rPr>
          <w:rFonts w:cs="Book Antiqua"/>
          <w:szCs w:val="22"/>
          <w:lang w:eastAsia="sk-SK"/>
        </w:rPr>
        <w:t xml:space="preserve"> bol obzvlášť zvýšený na</w:t>
      </w:r>
      <w:r w:rsidR="00E57881" w:rsidRPr="00E57881">
        <w:rPr>
          <w:rFonts w:cs="Book Antiqua"/>
          <w:szCs w:val="22"/>
          <w:lang w:eastAsia="sk-SK"/>
        </w:rPr>
        <w:t xml:space="preserve"> konci roka</w:t>
      </w:r>
      <w:r w:rsidR="006B0F72">
        <w:rPr>
          <w:rFonts w:cs="Book Antiqua"/>
          <w:szCs w:val="22"/>
          <w:lang w:eastAsia="sk-SK"/>
        </w:rPr>
        <w:t xml:space="preserve"> 2022</w:t>
      </w:r>
      <w:r w:rsidR="00E57881" w:rsidRPr="00E57881">
        <w:rPr>
          <w:rFonts w:cs="Book Antiqua"/>
          <w:szCs w:val="22"/>
          <w:lang w:eastAsia="sk-SK"/>
        </w:rPr>
        <w:t xml:space="preserve">, </w:t>
      </w:r>
      <w:r w:rsidR="006B0F72">
        <w:rPr>
          <w:rFonts w:cs="Book Antiqua"/>
          <w:szCs w:val="22"/>
          <w:lang w:eastAsia="sk-SK"/>
        </w:rPr>
        <w:t>ako reakcia na ohlásenie zvýšenia</w:t>
      </w:r>
      <w:r w:rsidR="00E57881" w:rsidRPr="00E57881">
        <w:rPr>
          <w:rFonts w:cs="Book Antiqua"/>
          <w:szCs w:val="22"/>
          <w:lang w:eastAsia="sk-SK"/>
        </w:rPr>
        <w:t xml:space="preserve"> cien diaľničných známok o</w:t>
      </w:r>
      <w:r w:rsidR="006B0F72">
        <w:rPr>
          <w:rFonts w:cs="Book Antiqua"/>
          <w:szCs w:val="22"/>
          <w:lang w:eastAsia="sk-SK"/>
        </w:rPr>
        <w:t> </w:t>
      </w:r>
      <w:r w:rsidR="00E57881" w:rsidRPr="00E57881">
        <w:rPr>
          <w:rFonts w:cs="Book Antiqua"/>
          <w:szCs w:val="22"/>
          <w:lang w:eastAsia="sk-SK"/>
        </w:rPr>
        <w:t>20</w:t>
      </w:r>
      <w:r w:rsidR="006B0F72">
        <w:rPr>
          <w:rFonts w:cs="Book Antiqua"/>
          <w:szCs w:val="22"/>
          <w:lang w:eastAsia="sk-SK"/>
        </w:rPr>
        <w:t> </w:t>
      </w:r>
      <w:r w:rsidR="00E57881" w:rsidRPr="00E57881">
        <w:rPr>
          <w:rFonts w:cs="Book Antiqua"/>
          <w:szCs w:val="22"/>
          <w:lang w:eastAsia="sk-SK"/>
        </w:rPr>
        <w:t xml:space="preserve">% </w:t>
      </w:r>
      <w:r w:rsidR="00E57881">
        <w:rPr>
          <w:rFonts w:cs="Book Antiqua"/>
          <w:szCs w:val="22"/>
          <w:lang w:eastAsia="sk-SK"/>
        </w:rPr>
        <w:t xml:space="preserve">s platnosťou </w:t>
      </w:r>
      <w:r w:rsidR="00E57881" w:rsidRPr="00E57881">
        <w:rPr>
          <w:rFonts w:cs="Book Antiqua"/>
          <w:szCs w:val="22"/>
          <w:lang w:eastAsia="sk-SK"/>
        </w:rPr>
        <w:t>od januára 2023</w:t>
      </w:r>
      <w:r w:rsidR="00E57881">
        <w:rPr>
          <w:rFonts w:cs="Book Antiqua"/>
          <w:szCs w:val="22"/>
          <w:lang w:eastAsia="sk-SK"/>
        </w:rPr>
        <w:t>.</w:t>
      </w:r>
    </w:p>
    <w:p w14:paraId="31A06FFB" w14:textId="486D9245" w:rsidR="00E4177E" w:rsidRDefault="001D01D5" w:rsidP="00703BC7">
      <w:pPr>
        <w:spacing w:before="120" w:after="120" w:line="240" w:lineRule="auto"/>
        <w:jc w:val="both"/>
        <w:rPr>
          <w:szCs w:val="22"/>
        </w:rPr>
      </w:pPr>
      <w:r w:rsidRPr="00734F4D">
        <w:rPr>
          <w:rFonts w:cs="Book Antiqua"/>
          <w:b/>
          <w:szCs w:val="22"/>
          <w:lang w:eastAsia="sk-SK"/>
        </w:rPr>
        <w:t>Celkové bežné výdavky</w:t>
      </w:r>
      <w:r w:rsidRPr="00E37169">
        <w:rPr>
          <w:rFonts w:cs="Book Antiqua"/>
          <w:szCs w:val="22"/>
          <w:lang w:eastAsia="sk-SK"/>
        </w:rPr>
        <w:t xml:space="preserve"> spoločnosti vzrástli o 88 057 tis. eur oproti roku 2021. Na tomto náraste sa najviac podieľali výdavky na nezrovnalosti a iné </w:t>
      </w:r>
      <w:proofErr w:type="spellStart"/>
      <w:r w:rsidRPr="00E37169">
        <w:rPr>
          <w:rFonts w:cs="Book Antiqua"/>
          <w:szCs w:val="22"/>
          <w:lang w:eastAsia="sk-SK"/>
        </w:rPr>
        <w:t>vratky</w:t>
      </w:r>
      <w:proofErr w:type="spellEnd"/>
      <w:r w:rsidRPr="00E37169">
        <w:rPr>
          <w:rFonts w:cs="Book Antiqua"/>
          <w:szCs w:val="22"/>
          <w:lang w:eastAsia="sk-SK"/>
        </w:rPr>
        <w:t xml:space="preserve"> za prostriedky EÚ (nárast o 85 699 tis. eur). </w:t>
      </w:r>
      <w:r w:rsidRPr="00E37169">
        <w:rPr>
          <w:szCs w:val="22"/>
        </w:rPr>
        <w:t xml:space="preserve">V roku 2021 boli spoločnosti udelené významné korekcie, na ktoré boli medzi NDS a Ministerstvom dopravy SR podpísané dohody o splátkach a splátkové kalendáre. </w:t>
      </w:r>
      <w:r w:rsidRPr="001D01D5">
        <w:rPr>
          <w:szCs w:val="22"/>
        </w:rPr>
        <w:t xml:space="preserve">Celková výška uhradených </w:t>
      </w:r>
      <w:proofErr w:type="spellStart"/>
      <w:r w:rsidRPr="001D01D5">
        <w:rPr>
          <w:szCs w:val="22"/>
        </w:rPr>
        <w:t>vratiek</w:t>
      </w:r>
      <w:proofErr w:type="spellEnd"/>
      <w:r w:rsidRPr="001D01D5">
        <w:rPr>
          <w:szCs w:val="22"/>
        </w:rPr>
        <w:t xml:space="preserve"> v roku 2022 bola 146</w:t>
      </w:r>
      <w:r>
        <w:rPr>
          <w:szCs w:val="22"/>
        </w:rPr>
        <w:t> 406 </w:t>
      </w:r>
      <w:r w:rsidRPr="001D01D5">
        <w:rPr>
          <w:szCs w:val="22"/>
        </w:rPr>
        <w:t>tis.</w:t>
      </w:r>
      <w:r>
        <w:rPr>
          <w:szCs w:val="22"/>
        </w:rPr>
        <w:t> eur</w:t>
      </w:r>
      <w:r w:rsidRPr="001D01D5">
        <w:rPr>
          <w:szCs w:val="22"/>
        </w:rPr>
        <w:t xml:space="preserve">, čo predstavuje nárast oproti roku 2021 </w:t>
      </w:r>
      <w:r w:rsidR="00703BC7">
        <w:rPr>
          <w:szCs w:val="22"/>
        </w:rPr>
        <w:t>o </w:t>
      </w:r>
      <w:r w:rsidRPr="001D01D5">
        <w:rPr>
          <w:szCs w:val="22"/>
        </w:rPr>
        <w:t>85</w:t>
      </w:r>
      <w:r w:rsidR="004B0B4E">
        <w:rPr>
          <w:szCs w:val="22"/>
        </w:rPr>
        <w:t> 700 </w:t>
      </w:r>
      <w:r w:rsidRPr="001D01D5">
        <w:rPr>
          <w:szCs w:val="22"/>
        </w:rPr>
        <w:t>tis.</w:t>
      </w:r>
      <w:r w:rsidR="00027721">
        <w:rPr>
          <w:szCs w:val="22"/>
        </w:rPr>
        <w:t> </w:t>
      </w:r>
      <w:r w:rsidR="004B0B4E">
        <w:rPr>
          <w:szCs w:val="22"/>
        </w:rPr>
        <w:t>eur</w:t>
      </w:r>
      <w:r w:rsidRPr="001D01D5">
        <w:rPr>
          <w:szCs w:val="22"/>
        </w:rPr>
        <w:t xml:space="preserve">. Výška úhrady v roku 2022 zahŕňa aj predčasnú úhradu </w:t>
      </w:r>
      <w:proofErr w:type="spellStart"/>
      <w:r w:rsidRPr="001D01D5">
        <w:rPr>
          <w:szCs w:val="22"/>
        </w:rPr>
        <w:t>vratiek</w:t>
      </w:r>
      <w:proofErr w:type="spellEnd"/>
      <w:r w:rsidRPr="001D01D5">
        <w:rPr>
          <w:szCs w:val="22"/>
        </w:rPr>
        <w:t xml:space="preserve"> za korekcie splatné v roku 2023, čo bolo v</w:t>
      </w:r>
      <w:r w:rsidR="004B0B4E">
        <w:rPr>
          <w:szCs w:val="22"/>
        </w:rPr>
        <w:t xml:space="preserve"> októbri </w:t>
      </w:r>
      <w:r w:rsidRPr="001D01D5">
        <w:rPr>
          <w:szCs w:val="22"/>
        </w:rPr>
        <w:t xml:space="preserve">2022 aj zrealizované na základe rozhodnutia </w:t>
      </w:r>
      <w:r w:rsidR="004B0B4E">
        <w:rPr>
          <w:szCs w:val="22"/>
        </w:rPr>
        <w:t>Ministerstva doprav</w:t>
      </w:r>
      <w:r w:rsidR="00921698">
        <w:rPr>
          <w:szCs w:val="22"/>
        </w:rPr>
        <w:t>y</w:t>
      </w:r>
      <w:r w:rsidR="004B0B4E">
        <w:rPr>
          <w:szCs w:val="22"/>
        </w:rPr>
        <w:t xml:space="preserve"> </w:t>
      </w:r>
      <w:r w:rsidR="00703BC7">
        <w:rPr>
          <w:szCs w:val="22"/>
        </w:rPr>
        <w:t xml:space="preserve">SR. </w:t>
      </w:r>
    </w:p>
    <w:p w14:paraId="5BCB7097" w14:textId="213A2480" w:rsidR="001D01D5" w:rsidRPr="003B6B8E" w:rsidRDefault="001D01D5" w:rsidP="001D01D5">
      <w:pPr>
        <w:spacing w:before="120" w:after="120" w:line="240" w:lineRule="auto"/>
        <w:jc w:val="both"/>
        <w:rPr>
          <w:szCs w:val="22"/>
        </w:rPr>
      </w:pPr>
      <w:r>
        <w:rPr>
          <w:szCs w:val="22"/>
        </w:rPr>
        <w:t>M</w:t>
      </w:r>
      <w:r w:rsidRPr="003B6B8E">
        <w:rPr>
          <w:szCs w:val="22"/>
        </w:rPr>
        <w:t>zdov</w:t>
      </w:r>
      <w:r>
        <w:rPr>
          <w:szCs w:val="22"/>
        </w:rPr>
        <w:t>é</w:t>
      </w:r>
      <w:r w:rsidRPr="003B6B8E">
        <w:rPr>
          <w:szCs w:val="22"/>
        </w:rPr>
        <w:t xml:space="preserve"> a odvodov</w:t>
      </w:r>
      <w:r>
        <w:rPr>
          <w:szCs w:val="22"/>
        </w:rPr>
        <w:t>é</w:t>
      </w:r>
      <w:r w:rsidRPr="003B6B8E">
        <w:rPr>
          <w:szCs w:val="22"/>
        </w:rPr>
        <w:t xml:space="preserve"> výdavk</w:t>
      </w:r>
      <w:r>
        <w:rPr>
          <w:szCs w:val="22"/>
        </w:rPr>
        <w:t xml:space="preserve">y medziročne vzrástli </w:t>
      </w:r>
      <w:r w:rsidRPr="003B6B8E">
        <w:rPr>
          <w:szCs w:val="22"/>
        </w:rPr>
        <w:t>celkom o 4 833 tis. eur.</w:t>
      </w:r>
      <w:r w:rsidR="00E4177E">
        <w:rPr>
          <w:szCs w:val="22"/>
        </w:rPr>
        <w:t xml:space="preserve"> </w:t>
      </w:r>
      <w:r w:rsidRPr="003B6B8E">
        <w:rPr>
          <w:szCs w:val="22"/>
        </w:rPr>
        <w:t xml:space="preserve">Výdavky na obstaranie kapitálových aktív dosiahli výšku 430 465 tis. eur, čo predstavuje medziročný </w:t>
      </w:r>
      <w:r>
        <w:rPr>
          <w:szCs w:val="22"/>
        </w:rPr>
        <w:t>nárast o 27 190</w:t>
      </w:r>
      <w:r w:rsidRPr="003B6B8E">
        <w:rPr>
          <w:szCs w:val="22"/>
        </w:rPr>
        <w:t> tis. eur. Najvyššie investície v roku 2022 boli vynaložené na stavby diaľnic a rýchlostných ciest D1/2037 Lietavská Lúčka - </w:t>
      </w:r>
      <w:proofErr w:type="spellStart"/>
      <w:r w:rsidRPr="003B6B8E">
        <w:rPr>
          <w:szCs w:val="22"/>
        </w:rPr>
        <w:t>Dubná</w:t>
      </w:r>
      <w:proofErr w:type="spellEnd"/>
      <w:r w:rsidRPr="003B6B8E">
        <w:rPr>
          <w:szCs w:val="22"/>
        </w:rPr>
        <w:t xml:space="preserve"> Skala vrátane tunela Višňové (78 135 tis. eur), D1 Hubová – Ivachnová (70 913 tis. eur), R2/1979 Kriváň - Lovinobaňa (55 090 tis. eur) a R4 Prešov – severný obchvat I. etapa (42 027 tis. eur).</w:t>
      </w:r>
    </w:p>
    <w:p w14:paraId="26AB48F8" w14:textId="4C3C4595" w:rsidR="001D01D5" w:rsidRPr="00CD6BCC" w:rsidRDefault="001D01D5" w:rsidP="001D01D5">
      <w:pPr>
        <w:spacing w:after="120" w:line="240" w:lineRule="auto"/>
        <w:jc w:val="both"/>
        <w:rPr>
          <w:szCs w:val="22"/>
          <w:lang w:eastAsia="sk-SK"/>
        </w:rPr>
      </w:pPr>
      <w:r w:rsidRPr="00AD3824">
        <w:rPr>
          <w:rFonts w:cs="Book Antiqua"/>
          <w:szCs w:val="22"/>
          <w:lang w:eastAsia="sk-SK"/>
        </w:rPr>
        <w:t>Na ESA schodok negatívne vplýval pokl</w:t>
      </w:r>
      <w:r w:rsidRPr="00AD3824">
        <w:rPr>
          <w:color w:val="000000"/>
          <w:szCs w:val="22"/>
        </w:rPr>
        <w:t xml:space="preserve">es </w:t>
      </w:r>
      <w:r w:rsidRPr="00AD3824">
        <w:rPr>
          <w:rFonts w:cs="Book Antiqua"/>
          <w:szCs w:val="22"/>
          <w:lang w:eastAsia="sk-SK"/>
        </w:rPr>
        <w:t>pohľadávok o 19 634 tis. eur a nárast záväzkov o 4 629 tis. eur.</w:t>
      </w:r>
      <w:r w:rsidRPr="00AD3824">
        <w:rPr>
          <w:szCs w:val="22"/>
          <w:lang w:eastAsia="sk-SK"/>
        </w:rPr>
        <w:t xml:space="preserve"> Pohľadávky súvisiace s prevádzkovaním elektronického mýta sa znížili o 22 757 tis. eur, naopak pohľadávky voči odberateľom vzrástli o 3 076 tis. eur. </w:t>
      </w:r>
      <w:r>
        <w:rPr>
          <w:szCs w:val="22"/>
          <w:lang w:eastAsia="sk-SK"/>
        </w:rPr>
        <w:t xml:space="preserve"> </w:t>
      </w:r>
      <w:r w:rsidRPr="00AD3824">
        <w:rPr>
          <w:szCs w:val="22"/>
          <w:lang w:eastAsia="sk-SK"/>
        </w:rPr>
        <w:t>Ide predovšetkým o odberateľské faktúry vystavené koncom roka so splatnosťou v januári 2023</w:t>
      </w:r>
      <w:r w:rsidRPr="00CD6BCC">
        <w:rPr>
          <w:szCs w:val="22"/>
          <w:lang w:eastAsia="sk-SK"/>
        </w:rPr>
        <w:t>. Pod nárast záväzkov sa podpísal odložený daňový záväzok, ktorý vzrástol o 6 555 tis.</w:t>
      </w:r>
      <w:r w:rsidR="00703BC7">
        <w:rPr>
          <w:szCs w:val="22"/>
          <w:lang w:eastAsia="sk-SK"/>
        </w:rPr>
        <w:t> </w:t>
      </w:r>
      <w:r w:rsidRPr="00CD6BCC">
        <w:rPr>
          <w:szCs w:val="22"/>
          <w:lang w:eastAsia="sk-SK"/>
        </w:rPr>
        <w:t>eur v roku 2022</w:t>
      </w:r>
      <w:r w:rsidR="003C43AA">
        <w:rPr>
          <w:szCs w:val="22"/>
          <w:lang w:eastAsia="sk-SK"/>
        </w:rPr>
        <w:t>.</w:t>
      </w:r>
    </w:p>
    <w:p w14:paraId="4C931CC5" w14:textId="236200A9" w:rsidR="00E26601" w:rsidRPr="00703F93" w:rsidRDefault="00E26601" w:rsidP="00E26601">
      <w:pPr>
        <w:spacing w:after="120" w:line="240" w:lineRule="auto"/>
        <w:jc w:val="both"/>
      </w:pPr>
      <w:r w:rsidRPr="00AA3B59">
        <w:rPr>
          <w:u w:val="single"/>
        </w:rPr>
        <w:t>Železnice Slovenskej republiky a. s.  (ŽSR)</w:t>
      </w:r>
      <w:r w:rsidRPr="00AA3B59">
        <w:t xml:space="preserve">  oproti predchádzajúcemu roku </w:t>
      </w:r>
      <w:r w:rsidRPr="00734F4D">
        <w:rPr>
          <w:b/>
        </w:rPr>
        <w:t>zlepšili svoje hospodárenie</w:t>
      </w:r>
      <w:r w:rsidRPr="00AA3B59">
        <w:t xml:space="preserve"> o 124 814 tis. eur a dosiahli prebytok 106 668 tis. eur</w:t>
      </w:r>
      <w:r w:rsidRPr="006A5C4E">
        <w:t>. Pozitívny vplyv na túto skutočnosť mal medziročný hotovostný nárast príjmov o 226 928 tis. eur eliminovaný nárastom hotovostných výdavkov o 156 154 tis. eur</w:t>
      </w:r>
      <w:r w:rsidRPr="00703F93">
        <w:t>.</w:t>
      </w:r>
      <w:r>
        <w:t xml:space="preserve"> </w:t>
      </w:r>
    </w:p>
    <w:p w14:paraId="42C38377" w14:textId="20014E5C" w:rsidR="00E26601" w:rsidRPr="00FB5AA6" w:rsidRDefault="00E26601" w:rsidP="00E26601">
      <w:pPr>
        <w:spacing w:after="120" w:line="240" w:lineRule="auto"/>
        <w:jc w:val="both"/>
      </w:pPr>
      <w:r w:rsidRPr="007769BB">
        <w:rPr>
          <w:b/>
        </w:rPr>
        <w:t xml:space="preserve">Celkové prijaté granty a transfery vzrástli medziročne o 228 672 tis. eur. </w:t>
      </w:r>
      <w:r>
        <w:rPr>
          <w:szCs w:val="22"/>
        </w:rPr>
        <w:t>V Rozpočte verejnej správy na roky 2022 – 2024 bola ŽSR pridelená dotácia na prevádzkovanie železničnej infraštruktúry vo výške</w:t>
      </w:r>
      <w:r w:rsidR="009E2C20">
        <w:rPr>
          <w:szCs w:val="22"/>
        </w:rPr>
        <w:t> </w:t>
      </w:r>
      <w:r>
        <w:rPr>
          <w:szCs w:val="22"/>
        </w:rPr>
        <w:t>239 100 tis. eur. Schválená dotácia na prevádzkovanie železničnej infraštruktúry neumožňovala zabezpečiť všetky činnosti vyplývajúce z predmetu Zmluvy o prevádzkovaní železničnej infraštruktúry v plnom rozsahu a to aj s prih</w:t>
      </w:r>
      <w:r w:rsidR="00734F4D">
        <w:rPr>
          <w:szCs w:val="22"/>
        </w:rPr>
        <w:t>liadnutím na nárasty cien energií</w:t>
      </w:r>
      <w:r>
        <w:rPr>
          <w:szCs w:val="22"/>
        </w:rPr>
        <w:t>, služieb, tovaru a práce. V priebehu roku bola navýšená dotácia na prevádzkovanie železničnej infraštruktúry o 35 000 tis</w:t>
      </w:r>
      <w:r w:rsidR="009E2C20">
        <w:rPr>
          <w:szCs w:val="22"/>
        </w:rPr>
        <w:t>.</w:t>
      </w:r>
      <w:r>
        <w:rPr>
          <w:szCs w:val="22"/>
        </w:rPr>
        <w:t xml:space="preserve"> eur a následne o 7 000 tis. eur na financovanie odloženej údržby a 73 500 tis. eur na zabezpečenie vyrovnaného hospodárenia zo Zmluvy </w:t>
      </w:r>
      <w:r>
        <w:rPr>
          <w:szCs w:val="22"/>
        </w:rPr>
        <w:lastRenderedPageBreak/>
        <w:t>o prevádzkovaní železničnej infraštruktúry.</w:t>
      </w:r>
      <w:r>
        <w:t xml:space="preserve"> </w:t>
      </w:r>
      <w:r w:rsidRPr="00985B10">
        <w:t xml:space="preserve">V </w:t>
      </w:r>
      <w:r w:rsidRPr="00985B10">
        <w:rPr>
          <w:szCs w:val="22"/>
        </w:rPr>
        <w:t>zmysle dodatkov č.</w:t>
      </w:r>
      <w:r w:rsidR="009E2C20">
        <w:rPr>
          <w:szCs w:val="22"/>
        </w:rPr>
        <w:t> </w:t>
      </w:r>
      <w:r w:rsidRPr="00985B10">
        <w:rPr>
          <w:szCs w:val="22"/>
        </w:rPr>
        <w:t xml:space="preserve">14 až č. 16 k Zmluve o prevádzkovaní železničnej infraštruktúry na roky 2017 - 2021 uzatvorenej medzi MD SR a ŽSR prijala spoločnosť v roku 2022 </w:t>
      </w:r>
      <w:r>
        <w:rPr>
          <w:szCs w:val="22"/>
        </w:rPr>
        <w:t xml:space="preserve">celkovú </w:t>
      </w:r>
      <w:r w:rsidRPr="00985B10">
        <w:rPr>
          <w:szCs w:val="22"/>
        </w:rPr>
        <w:t>dotáciu na prevádzkovanie železničnej infraštruktú</w:t>
      </w:r>
      <w:r w:rsidR="00921698">
        <w:rPr>
          <w:szCs w:val="22"/>
        </w:rPr>
        <w:t>ry vo výške 354 600 tis. eur (k </w:t>
      </w:r>
      <w:r w:rsidRPr="00985B10">
        <w:rPr>
          <w:szCs w:val="22"/>
        </w:rPr>
        <w:t>31.</w:t>
      </w:r>
      <w:r w:rsidR="00921698">
        <w:rPr>
          <w:szCs w:val="22"/>
        </w:rPr>
        <w:t> </w:t>
      </w:r>
      <w:r w:rsidRPr="00985B10">
        <w:rPr>
          <w:szCs w:val="22"/>
        </w:rPr>
        <w:t>decembru 2021:</w:t>
      </w:r>
      <w:r>
        <w:rPr>
          <w:szCs w:val="22"/>
        </w:rPr>
        <w:t> </w:t>
      </w:r>
      <w:r w:rsidRPr="00985B10">
        <w:rPr>
          <w:szCs w:val="22"/>
        </w:rPr>
        <w:t xml:space="preserve">298 600 tis. eur). </w:t>
      </w:r>
      <w:r>
        <w:t>Zároveň n</w:t>
      </w:r>
      <w:r w:rsidRPr="00985B10">
        <w:t>a základe ZPŽI bola v roku 2022 Spoločnosti rozpočtovaná kompenzácia finančných dopadov spojených so znížením úhrad za prístup k železničnej infraštruktúre pre nákladných</w:t>
      </w:r>
      <w:r>
        <w:t xml:space="preserve"> dopravcov vo výške 22 500 tis. eur</w:t>
      </w:r>
      <w:r w:rsidRPr="00985B10">
        <w:t xml:space="preserve"> (k 31. decembru 2021: 28</w:t>
      </w:r>
      <w:r>
        <w:t> </w:t>
      </w:r>
      <w:r w:rsidRPr="00985B10">
        <w:t xml:space="preserve"> 241</w:t>
      </w:r>
      <w:r>
        <w:t> tis. eur</w:t>
      </w:r>
      <w:r w:rsidRPr="00985B10">
        <w:t>). Zľavy nákladným dopravcom za prístup k železničnej infraštruktúre boli v zmysle zmluvy poskytnuté do 31. decembra 2022 v celkovej hodnote 21</w:t>
      </w:r>
      <w:r>
        <w:t> 315 </w:t>
      </w:r>
      <w:r w:rsidRPr="00985B10">
        <w:t>tis.</w:t>
      </w:r>
      <w:r>
        <w:t xml:space="preserve"> eur </w:t>
      </w:r>
      <w:r w:rsidRPr="00985B10">
        <w:t>(k 31. decembru 2021:</w:t>
      </w:r>
      <w:r>
        <w:t> </w:t>
      </w:r>
      <w:r w:rsidRPr="00985B10">
        <w:t>27</w:t>
      </w:r>
      <w:r>
        <w:t> </w:t>
      </w:r>
      <w:r w:rsidRPr="00985B10">
        <w:t>760</w:t>
      </w:r>
      <w:r>
        <w:t> </w:t>
      </w:r>
      <w:r w:rsidRPr="00985B10">
        <w:t>tis.</w:t>
      </w:r>
      <w:r>
        <w:t> eur)</w:t>
      </w:r>
      <w:r w:rsidRPr="00985B10">
        <w:t xml:space="preserve">. </w:t>
      </w:r>
      <w:r>
        <w:t xml:space="preserve">Vyššie sumy prijatých  dotácií  </w:t>
      </w:r>
      <w:r w:rsidRPr="00606E6D">
        <w:t>mali</w:t>
      </w:r>
      <w:r w:rsidRPr="00606E6D">
        <w:rPr>
          <w:szCs w:val="22"/>
        </w:rPr>
        <w:t xml:space="preserve"> za</w:t>
      </w:r>
      <w:r w:rsidRPr="00985B10">
        <w:rPr>
          <w:szCs w:val="22"/>
        </w:rPr>
        <w:t xml:space="preserve"> následok, že p</w:t>
      </w:r>
      <w:r w:rsidRPr="00985B10">
        <w:t xml:space="preserve">ríjmy z bežných </w:t>
      </w:r>
      <w:r w:rsidRPr="00FB5AA6">
        <w:t>transferov zo ŠR vzrástli o 51 181 tis. eur oproti predchádzajúcemu obdobiu a dosiahli úroveň 378 079 tis. eur. Z rozpočtovej</w:t>
      </w:r>
      <w:r w:rsidRPr="00D336CC">
        <w:t xml:space="preserve"> kapitoly </w:t>
      </w:r>
      <w:r w:rsidRPr="00D336CC">
        <w:rPr>
          <w:szCs w:val="22"/>
        </w:rPr>
        <w:t xml:space="preserve">MD SR </w:t>
      </w:r>
      <w:r w:rsidRPr="00D336CC">
        <w:rPr>
          <w:rFonts w:cs="Book Antiqua"/>
          <w:szCs w:val="22"/>
          <w:lang w:eastAsia="sk-SK"/>
        </w:rPr>
        <w:t xml:space="preserve">boli ŽSR v roku 2022 poukázané kapitálové transfery v celkovej výške 95 328 tis. eur  na </w:t>
      </w:r>
      <w:r w:rsidRPr="00D336CC">
        <w:t>financovanie viacerých investičných projektov</w:t>
      </w:r>
      <w:r>
        <w:t xml:space="preserve"> výstavby a obnovy železničnej siete (k 31. decembru 2021: 104 453 tis. eur)</w:t>
      </w:r>
      <w:r w:rsidRPr="00D336CC">
        <w:t xml:space="preserve">. </w:t>
      </w:r>
      <w:r w:rsidRPr="00FB5AA6">
        <w:t>Celkové prijaté kapitálové transfery boli vo výške </w:t>
      </w:r>
      <w:r w:rsidRPr="00FB5AA6">
        <w:rPr>
          <w:rFonts w:cs="Book Antiqua"/>
          <w:szCs w:val="22"/>
          <w:lang w:eastAsia="sk-SK"/>
        </w:rPr>
        <w:t xml:space="preserve">195 484 tis. eur </w:t>
      </w:r>
      <w:r w:rsidRPr="00FB5AA6">
        <w:t xml:space="preserve">a oproti predchádzajúcemu roku vzrástli o 64 831 tis. eur </w:t>
      </w:r>
      <w:r w:rsidRPr="00FB5AA6">
        <w:rPr>
          <w:szCs w:val="22"/>
          <w:lang w:eastAsia="sk-SK"/>
        </w:rPr>
        <w:t xml:space="preserve">v nadväznosti na realizované investičné výdavky a ich následnú refundáciu. Pozitívny vplyv na medziročný rast príjmov mali prijaté platby z </w:t>
      </w:r>
      <w:r w:rsidRPr="00FB5AA6">
        <w:rPr>
          <w:rFonts w:cs="Book Antiqua"/>
          <w:szCs w:val="22"/>
          <w:lang w:eastAsia="sk-SK"/>
        </w:rPr>
        <w:t xml:space="preserve">programu CEF (Nástroj na prepájanie Európy) v sume 130 611 tis. eur, ktoré vzrástli o 112 659 tis. eur. Prostriedky z programu CEF sú viazané na zmluvné projekty na podporu investícií do budovania novej dopravnej infraštruktúry a </w:t>
      </w:r>
      <w:r w:rsidRPr="00FB5AA6">
        <w:t>modernizácie železničných tratí existujúcej dopravnej infraštruktúry.</w:t>
      </w:r>
    </w:p>
    <w:p w14:paraId="61973429" w14:textId="77777777" w:rsidR="00E26601" w:rsidRDefault="00E26601" w:rsidP="00E26601">
      <w:pPr>
        <w:spacing w:after="120" w:line="240" w:lineRule="auto"/>
        <w:jc w:val="both"/>
        <w:rPr>
          <w:szCs w:val="22"/>
        </w:rPr>
      </w:pPr>
      <w:r w:rsidRPr="00A56572">
        <w:rPr>
          <w:rFonts w:cs="Book Antiqua"/>
          <w:szCs w:val="22"/>
          <w:lang w:eastAsia="sk-SK"/>
        </w:rPr>
        <w:t xml:space="preserve">Oproti roku 2021 </w:t>
      </w:r>
      <w:r w:rsidRPr="00734F4D">
        <w:rPr>
          <w:rFonts w:cs="Book Antiqua"/>
          <w:b/>
          <w:szCs w:val="22"/>
          <w:lang w:eastAsia="sk-SK"/>
        </w:rPr>
        <w:t>vzrástli celkové bežné výdavky</w:t>
      </w:r>
      <w:r w:rsidRPr="00A56572">
        <w:rPr>
          <w:rFonts w:cs="Book Antiqua"/>
          <w:szCs w:val="22"/>
          <w:lang w:eastAsia="sk-SK"/>
        </w:rPr>
        <w:t xml:space="preserve"> spoločnosti o 115 742 tis. eur.  Rast výdavkov na energie o 76 217 tis. eur, výdavkov na bežné transfery, vrátenie finančných prostriedkov do EÚ z OPII (nárast o 35 383 tis. eur) a vyššie výdavky na splátky úrokov čiastočne </w:t>
      </w:r>
      <w:r w:rsidRPr="00A56572">
        <w:rPr>
          <w:szCs w:val="22"/>
        </w:rPr>
        <w:t>eliminovala úspora vo výdavkoch</w:t>
      </w:r>
      <w:r w:rsidRPr="00A56572">
        <w:rPr>
          <w:rFonts w:cs="Book Antiqua"/>
          <w:szCs w:val="22"/>
          <w:lang w:eastAsia="sk-SK"/>
        </w:rPr>
        <w:t xml:space="preserve"> na materiál a na opravu a údržbu infraštruktúry a na </w:t>
      </w:r>
      <w:r w:rsidRPr="00A56572">
        <w:rPr>
          <w:szCs w:val="22"/>
        </w:rPr>
        <w:t>včasné odstraňovanie porúch a prevádzkových obmedzení o 12 382 tis. eur</w:t>
      </w:r>
      <w:r>
        <w:rPr>
          <w:szCs w:val="22"/>
        </w:rPr>
        <w:t xml:space="preserve"> a pokles výdavkov na všeobecné služby o 26 053 tis. eur. Zlepšovaním pracovných a mzdových podmienok a udržania zamestnanosti medziročne narástli výdavky na mzdy a poistné v úhrne o 13 539 tis. eur (poskytovanie stabilizačného a náborového príspevku, príspevkov na bývanie a ubytovanie, duálne vzdelávanie, štipendijný program a iné)</w:t>
      </w:r>
    </w:p>
    <w:p w14:paraId="00B8F120" w14:textId="4FCEDEE7" w:rsidR="00E26601" w:rsidRPr="00591040" w:rsidRDefault="00E26601" w:rsidP="00E26601">
      <w:pPr>
        <w:spacing w:after="120" w:line="240" w:lineRule="auto"/>
        <w:jc w:val="both"/>
      </w:pPr>
      <w:r w:rsidRPr="007879F0">
        <w:rPr>
          <w:rFonts w:cs="Book Antiqua"/>
          <w:szCs w:val="22"/>
          <w:lang w:eastAsia="sk-SK"/>
        </w:rPr>
        <w:t xml:space="preserve">V roku 2022 pokračoval </w:t>
      </w:r>
      <w:r w:rsidRPr="00734F4D">
        <w:rPr>
          <w:rFonts w:cs="Book Antiqua"/>
          <w:b/>
          <w:szCs w:val="22"/>
          <w:lang w:eastAsia="sk-SK"/>
        </w:rPr>
        <w:t>rastúci trend výdavkov na obstaranie kapitálových aktív</w:t>
      </w:r>
      <w:r w:rsidRPr="007879F0">
        <w:rPr>
          <w:rFonts w:cs="Book Antiqua"/>
          <w:szCs w:val="22"/>
          <w:lang w:eastAsia="sk-SK"/>
        </w:rPr>
        <w:t xml:space="preserve"> a dosiahli hodnotu 245 517 tis. eur (v tom z programu CEF 42 731 tis. eur), čo predstavuje medziročný nárast o </w:t>
      </w:r>
      <w:r w:rsidR="009E2C20">
        <w:rPr>
          <w:rFonts w:cs="Book Antiqua"/>
          <w:szCs w:val="22"/>
          <w:lang w:eastAsia="sk-SK"/>
        </w:rPr>
        <w:t>40</w:t>
      </w:r>
      <w:r w:rsidRPr="007879F0">
        <w:rPr>
          <w:rFonts w:cs="Book Antiqua"/>
          <w:szCs w:val="22"/>
          <w:lang w:eastAsia="sk-SK"/>
        </w:rPr>
        <w:t> </w:t>
      </w:r>
      <w:r w:rsidR="009E2C20">
        <w:rPr>
          <w:rFonts w:cs="Book Antiqua"/>
          <w:szCs w:val="22"/>
          <w:lang w:eastAsia="sk-SK"/>
        </w:rPr>
        <w:t>412</w:t>
      </w:r>
      <w:r w:rsidRPr="007879F0">
        <w:rPr>
          <w:rFonts w:cs="Book Antiqua"/>
          <w:szCs w:val="22"/>
          <w:lang w:eastAsia="sk-SK"/>
        </w:rPr>
        <w:t xml:space="preserve"> tis. eur. </w:t>
      </w:r>
      <w:r>
        <w:rPr>
          <w:szCs w:val="22"/>
        </w:rPr>
        <w:t>V roku 2022 bol ukončený projekt modernizácie trate Púchov – Považská Teplá s dvoma tunelmi, mostami a estakádou. Medzi ďalšie najvýznamnejšie stavby patrili „</w:t>
      </w:r>
      <w:r w:rsidRPr="00257F3D">
        <w:t>Dostavba zriaďovacej stanice Žilina-Teplička a nadväzujúcej železničnej infraštruktúry v uzle Žilina - realizác</w:t>
      </w:r>
      <w:r w:rsidR="00921698">
        <w:t>ia -Sekcia č. 2 (61 984 </w:t>
      </w:r>
      <w:r>
        <w:t>tis. eur)“, „</w:t>
      </w:r>
      <w:r w:rsidRPr="00257F3D">
        <w:t>Modernizácia trate Púchov - Žilina, pre rýc</w:t>
      </w:r>
      <w:r>
        <w:t>hlosť do 160 km/hod., I. etapa (</w:t>
      </w:r>
      <w:r w:rsidRPr="00257F3D">
        <w:t>23</w:t>
      </w:r>
      <w:r>
        <w:t> </w:t>
      </w:r>
      <w:r w:rsidRPr="00257F3D">
        <w:t>691</w:t>
      </w:r>
      <w:r>
        <w:t> </w:t>
      </w:r>
      <w:r w:rsidRPr="00257F3D">
        <w:t>tis.</w:t>
      </w:r>
      <w:r>
        <w:t> eur)“, „</w:t>
      </w:r>
      <w:r w:rsidRPr="00257F3D">
        <w:t xml:space="preserve">Modernizácia železničnej </w:t>
      </w:r>
      <w:r w:rsidRPr="00482B4B">
        <w:t xml:space="preserve">trate Žilina - Košice, úsek trate Liptovský Mikuláš - Poprad Tatry (mimo) - 1.etapa Poprad – Lučivná (18 431 tis. eur)“, „Elektrifikácia trate Haniska pri Košiciach - Moldava nad Bodvou, realizácia (9 138 tis. eur)“. </w:t>
      </w:r>
      <w:r w:rsidRPr="00482B4B">
        <w:rPr>
          <w:szCs w:val="22"/>
        </w:rPr>
        <w:t xml:space="preserve">Projekty boli financované </w:t>
      </w:r>
      <w:r w:rsidRPr="00591040">
        <w:rPr>
          <w:szCs w:val="22"/>
        </w:rPr>
        <w:t>z vlastných zdrojov, z Operačného programu Integrovaná infraštruktúra, z kapitálového transferu zo ŠR a</w:t>
      </w:r>
      <w:r w:rsidR="00027721">
        <w:rPr>
          <w:szCs w:val="22"/>
        </w:rPr>
        <w:t> </w:t>
      </w:r>
      <w:r w:rsidRPr="00591040">
        <w:rPr>
          <w:szCs w:val="22"/>
        </w:rPr>
        <w:t>z</w:t>
      </w:r>
      <w:r w:rsidR="00027721">
        <w:rPr>
          <w:szCs w:val="22"/>
        </w:rPr>
        <w:t> </w:t>
      </w:r>
      <w:r w:rsidRPr="00591040">
        <w:rPr>
          <w:szCs w:val="22"/>
        </w:rPr>
        <w:t>programu CEF.</w:t>
      </w:r>
    </w:p>
    <w:p w14:paraId="5206FF23" w14:textId="77777777" w:rsidR="00E26601" w:rsidRPr="004D7E94" w:rsidRDefault="00E26601" w:rsidP="00E26601">
      <w:pPr>
        <w:spacing w:before="120" w:after="0" w:line="240" w:lineRule="auto"/>
        <w:contextualSpacing/>
        <w:jc w:val="both"/>
      </w:pPr>
      <w:r w:rsidRPr="004D7E94">
        <w:t>Pozitívne na ESA schodok vplýval nárast pohľadávok o 4 225 tis. eur a pokles záväzkov o 25 019 tis. eur.</w:t>
      </w:r>
    </w:p>
    <w:p w14:paraId="751CBBAA" w14:textId="77777777" w:rsidR="00E26601" w:rsidRDefault="00E26601" w:rsidP="00E26601">
      <w:pPr>
        <w:spacing w:after="0" w:line="240" w:lineRule="auto"/>
        <w:contextualSpacing/>
        <w:jc w:val="both"/>
        <w:rPr>
          <w:lang w:eastAsia="sk-SK"/>
        </w:rPr>
      </w:pPr>
      <w:r>
        <w:t xml:space="preserve">Významný </w:t>
      </w:r>
      <w:r w:rsidRPr="00BC485E">
        <w:t>vplyv na medziročn</w:t>
      </w:r>
      <w:r>
        <w:t xml:space="preserve">ý pokles záväzkov o 25 019 tis. eur malo zníženie odloženého daňového záväzku o 19 207 tis. eur a </w:t>
      </w:r>
      <w:r w:rsidRPr="00BC485E">
        <w:t>zníže</w:t>
      </w:r>
      <w:r>
        <w:t>nie záväzkov z obchodného styku o 11 686 tis. eur (v tom</w:t>
      </w:r>
      <w:r w:rsidRPr="00BC485E">
        <w:t xml:space="preserve"> </w:t>
      </w:r>
      <w:r>
        <w:t>úhrada zádržného vo výške 18 000 tis. eur</w:t>
      </w:r>
      <w:r w:rsidRPr="00BC485E">
        <w:t xml:space="preserve"> na projekte OPII - </w:t>
      </w:r>
      <w:r w:rsidRPr="00BC485E">
        <w:rPr>
          <w:lang w:eastAsia="sk-SK"/>
        </w:rPr>
        <w:t xml:space="preserve"> Trať Púchov - Žilina, I. etapa, úsek Púchov - </w:t>
      </w:r>
      <w:r>
        <w:rPr>
          <w:lang w:eastAsia="sk-SK"/>
        </w:rPr>
        <w:t xml:space="preserve">Považská Teplá). </w:t>
      </w:r>
    </w:p>
    <w:p w14:paraId="6E6ECB4B" w14:textId="7F9C605A" w:rsidR="00797316" w:rsidRPr="00761561" w:rsidRDefault="00797316" w:rsidP="008604F3">
      <w:pPr>
        <w:autoSpaceDE w:val="0"/>
        <w:autoSpaceDN w:val="0"/>
        <w:adjustRightInd w:val="0"/>
        <w:spacing w:before="120" w:after="120" w:line="240" w:lineRule="auto"/>
        <w:jc w:val="both"/>
      </w:pPr>
      <w:r w:rsidRPr="00BD3A73">
        <w:t xml:space="preserve">Hospodárenie </w:t>
      </w:r>
      <w:r w:rsidRPr="00BD3A73">
        <w:rPr>
          <w:u w:val="single"/>
        </w:rPr>
        <w:t>Železničnej spoločnosti Slovensko, a. s. (ZSSK)</w:t>
      </w:r>
      <w:r w:rsidRPr="00BD3A73">
        <w:t xml:space="preserve"> v roku 2022 </w:t>
      </w:r>
      <w:r w:rsidR="009E2C20">
        <w:t>sčasti</w:t>
      </w:r>
      <w:r w:rsidRPr="00BD3A73">
        <w:t xml:space="preserve"> ovplyvnil</w:t>
      </w:r>
      <w:r w:rsidRPr="00BD3A73">
        <w:rPr>
          <w:rFonts w:ascii="Raleway-Regular" w:eastAsia="Raleway-Regular" w:hAnsi="Arial Narrow" w:cs="Raleway-Regular"/>
          <w:sz w:val="21"/>
          <w:szCs w:val="21"/>
        </w:rPr>
        <w:t xml:space="preserve"> </w:t>
      </w:r>
      <w:r w:rsidR="007769BB" w:rsidRPr="007769BB">
        <w:t>pretrvávajúci</w:t>
      </w:r>
      <w:r w:rsidR="007769BB">
        <w:rPr>
          <w:rFonts w:ascii="Raleway-Regular" w:eastAsia="Raleway-Regular" w:hAnsi="Arial Narrow" w:cs="Raleway-Regular"/>
          <w:sz w:val="21"/>
          <w:szCs w:val="21"/>
        </w:rPr>
        <w:t xml:space="preserve"> </w:t>
      </w:r>
      <w:r w:rsidRPr="00BD3A73">
        <w:t>v</w:t>
      </w:r>
      <w:r w:rsidRPr="00BD3A73">
        <w:rPr>
          <w:rFonts w:hint="eastAsia"/>
        </w:rPr>
        <w:t>ý</w:t>
      </w:r>
      <w:r w:rsidRPr="00BD3A73">
        <w:t>padok tr</w:t>
      </w:r>
      <w:r w:rsidRPr="00BD3A73">
        <w:rPr>
          <w:rFonts w:hint="eastAsia"/>
        </w:rPr>
        <w:t>ž</w:t>
      </w:r>
      <w:r w:rsidRPr="00BD3A73">
        <w:t>ieb s</w:t>
      </w:r>
      <w:r w:rsidRPr="00BD3A73">
        <w:rPr>
          <w:rFonts w:hint="eastAsia"/>
        </w:rPr>
        <w:t>ú</w:t>
      </w:r>
      <w:r w:rsidRPr="00BD3A73">
        <w:t>visiacich s pand</w:t>
      </w:r>
      <w:r w:rsidRPr="00BD3A73">
        <w:rPr>
          <w:rFonts w:hint="eastAsia"/>
        </w:rPr>
        <w:t>é</w:t>
      </w:r>
      <w:r w:rsidRPr="00BD3A73">
        <w:t>miou,</w:t>
      </w:r>
      <w:r w:rsidR="009E2C20">
        <w:t xml:space="preserve"> výraznejší vplyv mali</w:t>
      </w:r>
      <w:r w:rsidRPr="00BD3A73">
        <w:t xml:space="preserve"> rast</w:t>
      </w:r>
      <w:r w:rsidRPr="00BD3A73">
        <w:rPr>
          <w:rFonts w:hint="eastAsia"/>
        </w:rPr>
        <w:t>ú</w:t>
      </w:r>
      <w:r w:rsidRPr="00BD3A73">
        <w:t>ce ceny nakupovan</w:t>
      </w:r>
      <w:r w:rsidRPr="00BD3A73">
        <w:rPr>
          <w:rFonts w:hint="eastAsia"/>
        </w:rPr>
        <w:t>ý</w:t>
      </w:r>
      <w:r w:rsidRPr="00BD3A73">
        <w:t>ch tovarov a slu</w:t>
      </w:r>
      <w:r w:rsidRPr="00BD3A73">
        <w:rPr>
          <w:rFonts w:hint="eastAsia"/>
        </w:rPr>
        <w:t>ž</w:t>
      </w:r>
      <w:r w:rsidRPr="00BD3A73">
        <w:t>ieb a finan</w:t>
      </w:r>
      <w:r w:rsidRPr="00BD3A73">
        <w:rPr>
          <w:rFonts w:hint="eastAsia"/>
        </w:rPr>
        <w:t>č</w:t>
      </w:r>
      <w:r w:rsidRPr="00BD3A73">
        <w:t>n</w:t>
      </w:r>
      <w:r w:rsidRPr="00BD3A73">
        <w:rPr>
          <w:rFonts w:hint="eastAsia"/>
        </w:rPr>
        <w:t>ý</w:t>
      </w:r>
      <w:r w:rsidRPr="00BD3A73">
        <w:t xml:space="preserve"> dopad humanit</w:t>
      </w:r>
      <w:r w:rsidRPr="00BD3A73">
        <w:rPr>
          <w:rFonts w:hint="eastAsia"/>
        </w:rPr>
        <w:t>á</w:t>
      </w:r>
      <w:r w:rsidRPr="00BD3A73">
        <w:t>rnej pomoci poskytovanej v s</w:t>
      </w:r>
      <w:r w:rsidRPr="00BD3A73">
        <w:rPr>
          <w:rFonts w:hint="eastAsia"/>
        </w:rPr>
        <w:t>ú</w:t>
      </w:r>
      <w:r w:rsidRPr="00BD3A73">
        <w:t>vislosti s vojnov</w:t>
      </w:r>
      <w:r w:rsidRPr="00BD3A73">
        <w:rPr>
          <w:rFonts w:hint="eastAsia"/>
        </w:rPr>
        <w:t>ý</w:t>
      </w:r>
      <w:r w:rsidRPr="00BD3A73">
        <w:t>m konfliktom na Ukrajine.</w:t>
      </w:r>
      <w:r>
        <w:t xml:space="preserve">  Prebytkové hospodárenie </w:t>
      </w:r>
      <w:r w:rsidRPr="00BD3A73">
        <w:t>z roku 2021 vo výške 187 769 tis. eur spoločnosť zhorš</w:t>
      </w:r>
      <w:r w:rsidR="00921698">
        <w:t>ila o 191 798 </w:t>
      </w:r>
      <w:r w:rsidRPr="00BD3A73">
        <w:t xml:space="preserve">tis. eur a dosiahla </w:t>
      </w:r>
      <w:r w:rsidRPr="000033EA">
        <w:rPr>
          <w:b/>
        </w:rPr>
        <w:t>schodok na úrovni 4 029 tis. eur</w:t>
      </w:r>
      <w:r w:rsidRPr="00BD3A73">
        <w:t>.</w:t>
      </w:r>
      <w:r>
        <w:t xml:space="preserve"> </w:t>
      </w:r>
      <w:r w:rsidRPr="000B748F">
        <w:rPr>
          <w:rFonts w:cs="Book Antiqua"/>
          <w:szCs w:val="22"/>
          <w:lang w:eastAsia="sk-SK"/>
        </w:rPr>
        <w:t xml:space="preserve">Na túto skutočnosť negatívne vplýval vyšší </w:t>
      </w:r>
      <w:r>
        <w:rPr>
          <w:rFonts w:cs="Book Antiqua"/>
          <w:szCs w:val="22"/>
          <w:lang w:eastAsia="sk-SK"/>
        </w:rPr>
        <w:t>pokles</w:t>
      </w:r>
      <w:r w:rsidRPr="000B748F">
        <w:rPr>
          <w:rFonts w:cs="Book Antiqua"/>
          <w:szCs w:val="22"/>
          <w:lang w:eastAsia="sk-SK"/>
        </w:rPr>
        <w:t xml:space="preserve"> hotovostných </w:t>
      </w:r>
      <w:r>
        <w:rPr>
          <w:rFonts w:cs="Book Antiqua"/>
          <w:szCs w:val="22"/>
          <w:lang w:eastAsia="sk-SK"/>
        </w:rPr>
        <w:t>príjmov</w:t>
      </w:r>
      <w:r w:rsidRPr="000B748F">
        <w:rPr>
          <w:rFonts w:cs="Book Antiqua"/>
          <w:szCs w:val="22"/>
          <w:lang w:eastAsia="sk-SK"/>
        </w:rPr>
        <w:t xml:space="preserve"> o 1</w:t>
      </w:r>
      <w:r>
        <w:rPr>
          <w:rFonts w:cs="Book Antiqua"/>
          <w:szCs w:val="22"/>
          <w:lang w:eastAsia="sk-SK"/>
        </w:rPr>
        <w:t>75</w:t>
      </w:r>
      <w:r w:rsidRPr="000B748F">
        <w:rPr>
          <w:rFonts w:cs="Book Antiqua"/>
          <w:szCs w:val="22"/>
          <w:lang w:eastAsia="sk-SK"/>
        </w:rPr>
        <w:t> </w:t>
      </w:r>
      <w:r>
        <w:rPr>
          <w:rFonts w:cs="Book Antiqua"/>
          <w:szCs w:val="22"/>
          <w:lang w:eastAsia="sk-SK"/>
        </w:rPr>
        <w:t>713</w:t>
      </w:r>
      <w:r w:rsidRPr="000B748F">
        <w:rPr>
          <w:rFonts w:cs="Book Antiqua"/>
          <w:szCs w:val="22"/>
          <w:lang w:eastAsia="sk-SK"/>
        </w:rPr>
        <w:t xml:space="preserve"> tis. eur ako </w:t>
      </w:r>
      <w:r>
        <w:rPr>
          <w:rFonts w:cs="Book Antiqua"/>
          <w:szCs w:val="22"/>
          <w:lang w:eastAsia="sk-SK"/>
        </w:rPr>
        <w:t>pokles</w:t>
      </w:r>
      <w:r w:rsidRPr="000B748F">
        <w:rPr>
          <w:rFonts w:cs="Book Antiqua"/>
          <w:szCs w:val="22"/>
          <w:lang w:eastAsia="sk-SK"/>
        </w:rPr>
        <w:t xml:space="preserve"> hotovostných </w:t>
      </w:r>
      <w:r>
        <w:rPr>
          <w:rFonts w:cs="Book Antiqua"/>
          <w:szCs w:val="22"/>
          <w:lang w:eastAsia="sk-SK"/>
        </w:rPr>
        <w:t xml:space="preserve">výdavkov </w:t>
      </w:r>
      <w:r w:rsidRPr="000B748F">
        <w:rPr>
          <w:rFonts w:cs="Book Antiqua"/>
          <w:szCs w:val="22"/>
          <w:lang w:eastAsia="sk-SK"/>
        </w:rPr>
        <w:t>o </w:t>
      </w:r>
      <w:r>
        <w:rPr>
          <w:rFonts w:cs="Book Antiqua"/>
          <w:szCs w:val="22"/>
          <w:lang w:eastAsia="sk-SK"/>
        </w:rPr>
        <w:t>11</w:t>
      </w:r>
      <w:r w:rsidRPr="000B748F">
        <w:rPr>
          <w:rFonts w:cs="Book Antiqua"/>
          <w:szCs w:val="22"/>
          <w:lang w:eastAsia="sk-SK"/>
        </w:rPr>
        <w:t> </w:t>
      </w:r>
      <w:r>
        <w:rPr>
          <w:rFonts w:cs="Book Antiqua"/>
          <w:szCs w:val="22"/>
          <w:lang w:eastAsia="sk-SK"/>
        </w:rPr>
        <w:t>239</w:t>
      </w:r>
      <w:r w:rsidR="00027721">
        <w:rPr>
          <w:rFonts w:cs="Book Antiqua"/>
          <w:szCs w:val="22"/>
          <w:lang w:eastAsia="sk-SK"/>
        </w:rPr>
        <w:t> tis. eur.</w:t>
      </w:r>
    </w:p>
    <w:p w14:paraId="01947C6E" w14:textId="5F899F4B" w:rsidR="00797316" w:rsidRDefault="00797316" w:rsidP="000033EA">
      <w:pPr>
        <w:spacing w:after="0" w:line="240" w:lineRule="auto"/>
        <w:jc w:val="both"/>
      </w:pPr>
      <w:r w:rsidRPr="008856CE">
        <w:t xml:space="preserve">Čiastočný negatívny vplyv na osobnú železničnú dopravu mali náklady súvisiace s </w:t>
      </w:r>
      <w:proofErr w:type="spellStart"/>
      <w:r w:rsidRPr="008856CE">
        <w:t>protipandemickými</w:t>
      </w:r>
      <w:proofErr w:type="spellEnd"/>
      <w:r w:rsidRPr="008856CE">
        <w:t xml:space="preserve"> opatreniami, ako aj zvýšené náklady v súvislosti s poskytovanou</w:t>
      </w:r>
      <w:r w:rsidR="000033EA">
        <w:t xml:space="preserve"> humanitárnou pomocou odídencom </w:t>
      </w:r>
      <w:r w:rsidRPr="008856CE">
        <w:t>z</w:t>
      </w:r>
      <w:r w:rsidR="00027721">
        <w:t> </w:t>
      </w:r>
      <w:r w:rsidRPr="008856CE">
        <w:t xml:space="preserve">Ukrajiny a tiež finančný dopad </w:t>
      </w:r>
      <w:proofErr w:type="spellStart"/>
      <w:r w:rsidRPr="008856CE">
        <w:t>nadinflačného</w:t>
      </w:r>
      <w:proofErr w:type="spellEnd"/>
      <w:r w:rsidRPr="008856CE">
        <w:t xml:space="preserve"> rastu cien nakupovaných tovarov a </w:t>
      </w:r>
      <w:r w:rsidRPr="00347811">
        <w:t>služieb</w:t>
      </w:r>
      <w:r w:rsidRPr="00347811">
        <w:rPr>
          <w:rFonts w:ascii="Arial" w:hAnsi="Arial" w:cs="Arial"/>
          <w:color w:val="050707"/>
          <w:sz w:val="27"/>
          <w:szCs w:val="27"/>
          <w:shd w:val="clear" w:color="auto" w:fill="FFFFFF"/>
        </w:rPr>
        <w:t>.</w:t>
      </w:r>
      <w:r w:rsidRPr="00347811">
        <w:t xml:space="preserve"> Napriek</w:t>
      </w:r>
      <w:r w:rsidRPr="008856CE">
        <w:t xml:space="preserve"> tomu sa spoločnosti medziročne zvýšili tržby z prepravy cestujúcich v porovnaní s rokom 2021 o 70,6</w:t>
      </w:r>
      <w:r w:rsidR="00027721">
        <w:t> </w:t>
      </w:r>
      <w:r w:rsidRPr="008856CE">
        <w:t xml:space="preserve">%, </w:t>
      </w:r>
      <w:r w:rsidRPr="0082293B">
        <w:rPr>
          <w:b/>
        </w:rPr>
        <w:lastRenderedPageBreak/>
        <w:t>medziročne sa prepravilo o</w:t>
      </w:r>
      <w:r w:rsidR="0082293B" w:rsidRPr="0082293B">
        <w:rPr>
          <w:b/>
        </w:rPr>
        <w:t> </w:t>
      </w:r>
      <w:r w:rsidRPr="0082293B">
        <w:rPr>
          <w:b/>
        </w:rPr>
        <w:t>47</w:t>
      </w:r>
      <w:r w:rsidR="0082293B" w:rsidRPr="0082293B">
        <w:rPr>
          <w:b/>
        </w:rPr>
        <w:t xml:space="preserve"> </w:t>
      </w:r>
      <w:r w:rsidRPr="0082293B">
        <w:rPr>
          <w:b/>
        </w:rPr>
        <w:t>% viac cestujúcich</w:t>
      </w:r>
      <w:r w:rsidR="0082293B">
        <w:t>,</w:t>
      </w:r>
      <w:r w:rsidRPr="008856CE">
        <w:t xml:space="preserve"> čo sa  prejavilo nárastom príjmov o 35 160 tis. eur. </w:t>
      </w:r>
      <w:r>
        <w:t xml:space="preserve">Rast tržieb bol eliminovaný poklesom </w:t>
      </w:r>
      <w:r w:rsidRPr="00347811">
        <w:t xml:space="preserve">príjmov z grantov a transferov </w:t>
      </w:r>
      <w:r>
        <w:t xml:space="preserve">medziročne </w:t>
      </w:r>
      <w:r w:rsidRPr="00347811">
        <w:t>o 205 837</w:t>
      </w:r>
      <w:r>
        <w:t> tis. eur</w:t>
      </w:r>
      <w:r w:rsidR="0082293B">
        <w:t>.</w:t>
      </w:r>
    </w:p>
    <w:p w14:paraId="3DB0D8F6" w14:textId="36B79463" w:rsidR="0082293B" w:rsidRDefault="0082293B" w:rsidP="000033EA">
      <w:pPr>
        <w:spacing w:after="0" w:line="240" w:lineRule="auto"/>
        <w:jc w:val="both"/>
      </w:pPr>
    </w:p>
    <w:p w14:paraId="387626AF" w14:textId="271F0101" w:rsidR="00797316" w:rsidRPr="003F342C" w:rsidRDefault="00797316" w:rsidP="00797316">
      <w:pPr>
        <w:spacing w:after="120" w:line="240" w:lineRule="auto"/>
        <w:jc w:val="both"/>
        <w:rPr>
          <w:szCs w:val="22"/>
        </w:rPr>
      </w:pPr>
      <w:r w:rsidRPr="00570B23">
        <w:rPr>
          <w:color w:val="000000"/>
        </w:rPr>
        <w:t>Celkovo bol zo ŠR spoločnosti poskytnutý bežný transfer na úrovni 379 865 tis. eur čo predstavuje pokles o 122 798 tis. eur.</w:t>
      </w:r>
      <w:r w:rsidR="00DB6C8E">
        <w:rPr>
          <w:rStyle w:val="Odkaznapoznmkupodiarou"/>
          <w:color w:val="000000"/>
        </w:rPr>
        <w:footnoteReference w:id="6"/>
      </w:r>
      <w:r w:rsidR="003C43AA">
        <w:rPr>
          <w:color w:val="000000"/>
        </w:rPr>
        <w:t xml:space="preserve"> </w:t>
      </w:r>
      <w:r w:rsidRPr="00570B23">
        <w:rPr>
          <w:color w:val="000000"/>
        </w:rPr>
        <w:t xml:space="preserve">Prijaté kapitálové transfery poukázané z rozpočtovej kapitoly </w:t>
      </w:r>
      <w:r w:rsidR="00921698">
        <w:rPr>
          <w:szCs w:val="22"/>
        </w:rPr>
        <w:t>Ministerstva dopravy</w:t>
      </w:r>
      <w:r w:rsidR="003F342C">
        <w:rPr>
          <w:szCs w:val="22"/>
        </w:rPr>
        <w:t> </w:t>
      </w:r>
      <w:r w:rsidRPr="00570B23">
        <w:rPr>
          <w:szCs w:val="22"/>
        </w:rPr>
        <w:t xml:space="preserve">SR </w:t>
      </w:r>
      <w:r w:rsidR="00921698">
        <w:rPr>
          <w:color w:val="000000"/>
        </w:rPr>
        <w:t>vo </w:t>
      </w:r>
      <w:r>
        <w:rPr>
          <w:color w:val="000000"/>
        </w:rPr>
        <w:t>výške 87</w:t>
      </w:r>
      <w:r w:rsidRPr="00570B23">
        <w:rPr>
          <w:color w:val="000000"/>
        </w:rPr>
        <w:t> </w:t>
      </w:r>
      <w:r>
        <w:rPr>
          <w:color w:val="000000"/>
        </w:rPr>
        <w:t>354</w:t>
      </w:r>
      <w:r w:rsidRPr="00570B23">
        <w:rPr>
          <w:color w:val="000000"/>
        </w:rPr>
        <w:t xml:space="preserve"> tis. eur zaznamenali </w:t>
      </w:r>
      <w:r>
        <w:rPr>
          <w:color w:val="000000"/>
        </w:rPr>
        <w:t>medziročne pokles o 86</w:t>
      </w:r>
      <w:r w:rsidRPr="00570B23">
        <w:rPr>
          <w:color w:val="000000"/>
        </w:rPr>
        <w:t> </w:t>
      </w:r>
      <w:r>
        <w:rPr>
          <w:color w:val="000000"/>
        </w:rPr>
        <w:t>509</w:t>
      </w:r>
      <w:r w:rsidRPr="00570B23">
        <w:rPr>
          <w:color w:val="000000"/>
        </w:rPr>
        <w:t> tis. eur</w:t>
      </w:r>
      <w:r>
        <w:rPr>
          <w:color w:val="000000"/>
        </w:rPr>
        <w:t xml:space="preserve"> z dôvodu ukončenia vybraných EÚ projektov v roku 2021 (Motorové jednotky a Elektrické jednotky pre prímestskú a regionálnu dopravu, Nákup koľajových vozidiel pre Ozubnicovú železnicu)</w:t>
      </w:r>
      <w:r w:rsidR="00686EFD">
        <w:rPr>
          <w:color w:val="000000"/>
        </w:rPr>
        <w:t xml:space="preserve">, na ktoré boli od roku 2013 čerpané nenávratné finančné príspevky z Kohézneho fondu.  </w:t>
      </w:r>
    </w:p>
    <w:p w14:paraId="27B6CD30" w14:textId="59E01A6D" w:rsidR="00797316" w:rsidRPr="00BB4B6F" w:rsidRDefault="00797316" w:rsidP="00797316">
      <w:pPr>
        <w:spacing w:after="120" w:line="240" w:lineRule="auto"/>
        <w:jc w:val="both"/>
        <w:rPr>
          <w:szCs w:val="22"/>
          <w:highlight w:val="yellow"/>
          <w:lang w:eastAsia="sk-SK"/>
        </w:rPr>
      </w:pPr>
      <w:r w:rsidRPr="008856CE">
        <w:t>Na hospodárenie ZSSK majú tiež výrazný vplyv inflácia a vysoké ceny energií. Súvisí to najmä s</w:t>
      </w:r>
      <w:r w:rsidR="00027721">
        <w:t> </w:t>
      </w:r>
      <w:r w:rsidRPr="008856CE">
        <w:t xml:space="preserve">nakupovaním trakčnej elektrickej energie a trakčnej nafty, ale aj s rastom cien elektriky, zemného plynu a tepla. </w:t>
      </w:r>
      <w:r>
        <w:t xml:space="preserve">Napriek </w:t>
      </w:r>
      <w:r w:rsidR="00133489">
        <w:t>eliminovaniu</w:t>
      </w:r>
      <w:r>
        <w:t xml:space="preserve"> týchto negatívnych vplyvo</w:t>
      </w:r>
      <w:r w:rsidR="00133489">
        <w:t>v</w:t>
      </w:r>
      <w:r>
        <w:t xml:space="preserve"> </w:t>
      </w:r>
      <w:r w:rsidR="000214D6">
        <w:t xml:space="preserve">šetrením vo výdavkoch na všeobecné služby, prepravné, dane, </w:t>
      </w:r>
      <w:r w:rsidR="005D0F2C">
        <w:t xml:space="preserve">splácaní </w:t>
      </w:r>
      <w:r w:rsidR="000214D6">
        <w:t>úrok</w:t>
      </w:r>
      <w:r w:rsidR="005D0F2C">
        <w:t>ov</w:t>
      </w:r>
      <w:r w:rsidR="000214D6">
        <w:t xml:space="preserve">, poistné a ďalšie výdavky vzrástli </w:t>
      </w:r>
      <w:r>
        <w:t>bežné výdavky oproti roku 2021 o 72 222 tis. eur a dosiahli úroveň 460 812 tis. eur. Pokračoval rastúci trend mzdových a odvodových výdavkov a to zvýšením t</w:t>
      </w:r>
      <w:r w:rsidRPr="004E2AC3">
        <w:t>arifných miezd pre jednotlivé profesie a rôznych benefitov v zmysle pla</w:t>
      </w:r>
      <w:r w:rsidR="00133489">
        <w:t>t</w:t>
      </w:r>
      <w:r w:rsidRPr="004E2AC3">
        <w:t xml:space="preserve">nej Kolektívnej zmluvy </w:t>
      </w:r>
      <w:r w:rsidRPr="004E2AC3">
        <w:rPr>
          <w:color w:val="000000"/>
        </w:rPr>
        <w:t>(o 13 290 tis. eur). Medziročný rast výdavkov na tovary a služby o 59 518 tis. eur ovplyvnil nárast cien trakčných zdrojov (trakčná elektrická energia o 51% a motorová nafta o 41%), nárast cien spotrebného materiálu (o 79 738 tis. eur</w:t>
      </w:r>
      <w:r w:rsidRPr="009877A4">
        <w:rPr>
          <w:color w:val="000000"/>
        </w:rPr>
        <w:t>), dodávateľské opravy a údržby koľajových vozidiel, vrátane kapitalizačných opráv koľajových vozidiel (nárast o 25 028 tis. eur)</w:t>
      </w:r>
      <w:r>
        <w:rPr>
          <w:color w:val="000000"/>
        </w:rPr>
        <w:t xml:space="preserve"> a</w:t>
      </w:r>
      <w:r w:rsidRPr="009877A4">
        <w:rPr>
          <w:color w:val="000000"/>
        </w:rPr>
        <w:t xml:space="preserve"> špeciálne služby (nárast o 22 175 tis. eur)</w:t>
      </w:r>
      <w:r>
        <w:rPr>
          <w:color w:val="000000"/>
        </w:rPr>
        <w:t xml:space="preserve">. </w:t>
      </w:r>
    </w:p>
    <w:p w14:paraId="2AEA5F90" w14:textId="79768D5E" w:rsidR="00797316" w:rsidRPr="001136E6" w:rsidRDefault="00797316" w:rsidP="00797316">
      <w:pPr>
        <w:spacing w:after="120" w:line="240" w:lineRule="auto"/>
        <w:jc w:val="both"/>
        <w:rPr>
          <w:color w:val="000000"/>
        </w:rPr>
      </w:pPr>
      <w:r w:rsidRPr="001136E6">
        <w:rPr>
          <w:szCs w:val="22"/>
          <w:lang w:eastAsia="sk-SK"/>
        </w:rPr>
        <w:t>V roku 2022 spoločnosť pokračovala vo výraznejšej modernizácii vozového parku v sume 120 432 tis. eur (rušne,</w:t>
      </w:r>
      <w:r w:rsidRPr="001136E6">
        <w:rPr>
          <w:color w:val="000000"/>
        </w:rPr>
        <w:t xml:space="preserve"> vozne, vlakové súpravy, iné koľajové vozidlá). K prijatým dotáciám boli recipročne čerpané  kapitálové výdavky o 83 461 tis. eur menej ako v predchádzajúcom rozpočtovom období</w:t>
      </w:r>
      <w:r>
        <w:rPr>
          <w:color w:val="000000"/>
        </w:rPr>
        <w:t xml:space="preserve"> v značnej mierne ovplyvnené ukončením projektov. V priebehu roka </w:t>
      </w:r>
      <w:r w:rsidRPr="001749C7">
        <w:rPr>
          <w:color w:val="000000"/>
        </w:rPr>
        <w:t>boli poskytnuté preddavky na nov</w:t>
      </w:r>
      <w:r>
        <w:rPr>
          <w:color w:val="000000"/>
        </w:rPr>
        <w:t>é elektrické jednotky v hodnote </w:t>
      </w:r>
      <w:r w:rsidRPr="001749C7">
        <w:rPr>
          <w:color w:val="000000"/>
        </w:rPr>
        <w:t>26</w:t>
      </w:r>
      <w:r>
        <w:rPr>
          <w:color w:val="000000"/>
        </w:rPr>
        <w:t> </w:t>
      </w:r>
      <w:r w:rsidRPr="001749C7">
        <w:rPr>
          <w:color w:val="000000"/>
        </w:rPr>
        <w:t>915</w:t>
      </w:r>
      <w:r>
        <w:rPr>
          <w:color w:val="000000"/>
        </w:rPr>
        <w:t> </w:t>
      </w:r>
      <w:r w:rsidRPr="001749C7">
        <w:rPr>
          <w:color w:val="000000"/>
        </w:rPr>
        <w:t>tis.</w:t>
      </w:r>
      <w:r>
        <w:rPr>
          <w:color w:val="000000"/>
        </w:rPr>
        <w:t> eur</w:t>
      </w:r>
      <w:r w:rsidR="00363541">
        <w:rPr>
          <w:color w:val="000000"/>
        </w:rPr>
        <w:t>.</w:t>
      </w:r>
      <w:r w:rsidRPr="001749C7">
        <w:rPr>
          <w:color w:val="000000"/>
        </w:rPr>
        <w:t xml:space="preserve"> </w:t>
      </w:r>
    </w:p>
    <w:p w14:paraId="26EA85D5" w14:textId="3B59BB7B" w:rsidR="00914CEF" w:rsidRPr="0080007E" w:rsidRDefault="00914CEF" w:rsidP="00914CEF">
      <w:pPr>
        <w:spacing w:after="120" w:line="240" w:lineRule="auto"/>
        <w:jc w:val="both"/>
        <w:rPr>
          <w:color w:val="000000"/>
        </w:rPr>
      </w:pPr>
      <w:r w:rsidRPr="00C70C6C">
        <w:rPr>
          <w:lang w:eastAsia="sk-SK"/>
        </w:rPr>
        <w:t xml:space="preserve">ZSSK zároveň plánovala vyššie kapitálové výdavky na obstaranie investícií zo zdrojov ZSSK, ktoré sa ale z dôvodu udelenia súhlasu s načerpaním dlhodobého investičného úveru MF SR </w:t>
      </w:r>
      <w:r w:rsidR="003B5F1D">
        <w:rPr>
          <w:lang w:eastAsia="sk-SK"/>
        </w:rPr>
        <w:t xml:space="preserve">až </w:t>
      </w:r>
      <w:r w:rsidRPr="00C70C6C">
        <w:rPr>
          <w:lang w:eastAsia="sk-SK"/>
        </w:rPr>
        <w:t>v septembri 202</w:t>
      </w:r>
      <w:r>
        <w:rPr>
          <w:lang w:eastAsia="sk-SK"/>
        </w:rPr>
        <w:t>2</w:t>
      </w:r>
      <w:r w:rsidRPr="00C70C6C">
        <w:rPr>
          <w:lang w:eastAsia="sk-SK"/>
        </w:rPr>
        <w:t xml:space="preserve">, nepodarilo zrealizovať v celkovom plánovanom objeme (najväčší sklz vznikol v nižšej realizácii a posune projektov v okruhu </w:t>
      </w:r>
      <w:r w:rsidRPr="00BD37AF">
        <w:rPr>
          <w:lang w:eastAsia="sk-SK"/>
        </w:rPr>
        <w:t xml:space="preserve">stavieb a IT investícií). </w:t>
      </w:r>
      <w:r w:rsidRPr="0080007E">
        <w:rPr>
          <w:color w:val="000000"/>
        </w:rPr>
        <w:t>Naďalej sa pokračovalo v realizácii EÚ projektov plánových ZSSK, najmä výstavba troch stredísk technicko-hygienickej údržby</w:t>
      </w:r>
      <w:r w:rsidR="00DD1A10">
        <w:rPr>
          <w:color w:val="000000"/>
        </w:rPr>
        <w:t xml:space="preserve"> (THU)</w:t>
      </w:r>
      <w:r w:rsidRPr="0080007E">
        <w:rPr>
          <w:color w:val="000000"/>
        </w:rPr>
        <w:t xml:space="preserve"> v mestách Humenné, Nové Zámky a</w:t>
      </w:r>
      <w:r w:rsidR="00BF2996">
        <w:rPr>
          <w:color w:val="000000"/>
        </w:rPr>
        <w:t> </w:t>
      </w:r>
      <w:r w:rsidRPr="0080007E">
        <w:rPr>
          <w:color w:val="000000"/>
        </w:rPr>
        <w:t>Zvolen</w:t>
      </w:r>
      <w:r w:rsidR="00BF2996">
        <w:rPr>
          <w:color w:val="000000"/>
        </w:rPr>
        <w:t xml:space="preserve"> </w:t>
      </w:r>
      <w:r w:rsidRPr="0080007E">
        <w:rPr>
          <w:color w:val="000000"/>
        </w:rPr>
        <w:t xml:space="preserve"> na zlepšenie podmienok na vykonávanie drobných opráv a čistenia vlakov</w:t>
      </w:r>
      <w:r w:rsidR="00BF2996">
        <w:rPr>
          <w:color w:val="000000"/>
        </w:rPr>
        <w:t xml:space="preserve"> (25 520 tis. eur)</w:t>
      </w:r>
      <w:r w:rsidRPr="0080007E">
        <w:rPr>
          <w:color w:val="000000"/>
        </w:rPr>
        <w:t xml:space="preserve">, projekt Modernizácia </w:t>
      </w:r>
      <w:r w:rsidR="00BF2996">
        <w:rPr>
          <w:color w:val="000000"/>
        </w:rPr>
        <w:t>EJ radu 425 (6 299 tis. eur)</w:t>
      </w:r>
      <w:r w:rsidRPr="0080007E">
        <w:rPr>
          <w:color w:val="000000"/>
        </w:rPr>
        <w:t>, projekt Modernizácia koľajových vozidiel pre Tatranskú železnicu, Modernizácia osobných vozňov</w:t>
      </w:r>
      <w:r>
        <w:rPr>
          <w:color w:val="000000"/>
        </w:rPr>
        <w:t xml:space="preserve"> </w:t>
      </w:r>
      <w:r>
        <w:t>(</w:t>
      </w:r>
      <w:r w:rsidRPr="00BD37AF">
        <w:rPr>
          <w:lang w:eastAsia="sk-SK"/>
        </w:rPr>
        <w:t>projekt „Modernizácie vozidlového parku</w:t>
      </w:r>
      <w:r>
        <w:rPr>
          <w:lang w:eastAsia="sk-SK"/>
        </w:rPr>
        <w:t xml:space="preserve"> ŽKV v rámci OPII – 3. časť“ v sume 26 </w:t>
      </w:r>
      <w:r w:rsidR="00BF2996">
        <w:rPr>
          <w:lang w:eastAsia="sk-SK"/>
        </w:rPr>
        <w:t>915</w:t>
      </w:r>
      <w:r>
        <w:rPr>
          <w:lang w:eastAsia="sk-SK"/>
        </w:rPr>
        <w:t> tis. eur, projekt „</w:t>
      </w:r>
      <w:r w:rsidRPr="00BD37AF">
        <w:rPr>
          <w:lang w:eastAsia="sk-SK"/>
        </w:rPr>
        <w:t>Obstaranie elektrických jednotiek pre Ozubnicovú aj</w:t>
      </w:r>
      <w:r>
        <w:rPr>
          <w:lang w:eastAsia="sk-SK"/>
        </w:rPr>
        <w:t xml:space="preserve"> Tatranskú elektrickú železnicu“ v sume 3 344 tis. eur).</w:t>
      </w:r>
    </w:p>
    <w:p w14:paraId="2CD12532" w14:textId="77777777" w:rsidR="00797316" w:rsidRPr="007C05BD" w:rsidRDefault="00797316" w:rsidP="00797316">
      <w:pPr>
        <w:spacing w:after="120" w:line="240" w:lineRule="auto"/>
        <w:jc w:val="both"/>
      </w:pPr>
      <w:r w:rsidRPr="00E460FB">
        <w:t xml:space="preserve">ESA schodok negatívne ovplyvnil rozdiel položiek časového rozlíšenia. Záväzky medziročne vzrástli o 27 194 tis. eur, ale nárast pohľadávok o 24 486 tis. eur značne eliminoval celkový dopad na ESA schodok. </w:t>
      </w:r>
      <w:r w:rsidRPr="007C05BD">
        <w:t xml:space="preserve">Medziročne došlo k nárastu na účtoch dodávateľov a nevyfakturovaných dodávok o 11 198 tis. eur v súvislosti s úhradami investičných faktúr z predchádzajúceho obdobia v hodnote 43 600 tis. eur za stavebné práce pre projekt vybudovania infraštruktúry na kontrolu a prípravu vozového parku železničnej osobnej dopravy. </w:t>
      </w:r>
    </w:p>
    <w:p w14:paraId="617AEE2B" w14:textId="382A1F1F" w:rsidR="009E452F" w:rsidRPr="006B6A05" w:rsidRDefault="009E452F" w:rsidP="009E452F">
      <w:pPr>
        <w:spacing w:before="120" w:after="0" w:line="240" w:lineRule="auto"/>
        <w:jc w:val="both"/>
      </w:pPr>
      <w:r w:rsidRPr="008604F3">
        <w:rPr>
          <w:szCs w:val="22"/>
          <w:u w:val="single"/>
        </w:rPr>
        <w:t>Spoločnosť M</w:t>
      </w:r>
      <w:r w:rsidRPr="006B6A05">
        <w:rPr>
          <w:szCs w:val="22"/>
          <w:u w:val="single"/>
        </w:rPr>
        <w:t xml:space="preserve">H </w:t>
      </w:r>
      <w:proofErr w:type="spellStart"/>
      <w:r w:rsidRPr="006B6A05">
        <w:rPr>
          <w:szCs w:val="22"/>
          <w:u w:val="single"/>
        </w:rPr>
        <w:t>Invest</w:t>
      </w:r>
      <w:proofErr w:type="spellEnd"/>
      <w:r w:rsidRPr="006B6A05">
        <w:rPr>
          <w:szCs w:val="22"/>
          <w:u w:val="single"/>
        </w:rPr>
        <w:t>, s. r. o.</w:t>
      </w:r>
      <w:r w:rsidRPr="006B6A05">
        <w:rPr>
          <w:szCs w:val="22"/>
        </w:rPr>
        <w:t xml:space="preserve"> dosiahla v roku 2022 schodok 3 138 tis. eur, čo predstavuje </w:t>
      </w:r>
      <w:r w:rsidRPr="00927E00">
        <w:rPr>
          <w:b/>
          <w:szCs w:val="22"/>
        </w:rPr>
        <w:t>medziročné zhoršenie hospodárenia o 131 602 tis. eur</w:t>
      </w:r>
      <w:r w:rsidRPr="006B6A05">
        <w:rPr>
          <w:szCs w:val="22"/>
        </w:rPr>
        <w:t xml:space="preserve">. Tento rozdiel vznikol </w:t>
      </w:r>
      <w:r>
        <w:rPr>
          <w:szCs w:val="22"/>
        </w:rPr>
        <w:t>v dôsledku</w:t>
      </w:r>
      <w:r w:rsidRPr="006B6A05">
        <w:rPr>
          <w:szCs w:val="22"/>
        </w:rPr>
        <w:t xml:space="preserve"> výnimočne vysokých príjmov spoločnosti </w:t>
      </w:r>
      <w:r w:rsidRPr="006B6A05">
        <w:t>v roku 2021</w:t>
      </w:r>
      <w:r>
        <w:t>,</w:t>
      </w:r>
      <w:r w:rsidRPr="006B6A05">
        <w:t xml:space="preserve"> predovšetkým z dôvodu prijatia vkladu do základného imania v sume 120 064 tis. eur</w:t>
      </w:r>
      <w:r w:rsidRPr="006B6A05">
        <w:rPr>
          <w:rStyle w:val="Odkaznapoznmkupodiarou"/>
        </w:rPr>
        <w:footnoteReference w:id="7"/>
      </w:r>
      <w:r w:rsidRPr="006B6A05">
        <w:t xml:space="preserve"> v súvislosti so splatením nesplatenej časti vkladu do ZI v nadväznosti na rozhodnutie jediného spoločníka (MH SR) z roku 2016 a vkladu do základného imania v sume 9 843 tis. eur v súvislosti s výstavbou priemyselného parku Rimavská Sobota. V roku 2022 dosiahla spoločnosť celkové ESA príjmy v sume 2 347 tis. eur, z čoho nedaňové príjmy vo výške </w:t>
      </w:r>
      <w:r w:rsidRPr="006B6A05">
        <w:lastRenderedPageBreak/>
        <w:t>1 056 tis. eur. ESA výdavky dosiahli v roku 2022 úroveň 5 485 tis. eur, nárast o 2 262 tis. eur, z čoho najvyšší nárast zaznamenali výdavky na nájomné budov</w:t>
      </w:r>
      <w:r>
        <w:t xml:space="preserve"> v súvislosti s úhradou nájomného za sídlo Európskej agentúry práce (ELA) v Slovenskej republike. Slovenská republika sa zaviazala platiť nájomné za priestory ELA do novembra 2031 prostredníctvom spoločnosti MH </w:t>
      </w:r>
      <w:proofErr w:type="spellStart"/>
      <w:r>
        <w:t>Invest</w:t>
      </w:r>
      <w:proofErr w:type="spellEnd"/>
      <w:r>
        <w:t>.</w:t>
      </w:r>
    </w:p>
    <w:p w14:paraId="7BF4A24A" w14:textId="77777777" w:rsidR="00563559" w:rsidRPr="00834BC0" w:rsidRDefault="00563559" w:rsidP="009E452F">
      <w:pPr>
        <w:keepNext/>
        <w:spacing w:before="120" w:after="120" w:line="240" w:lineRule="auto"/>
        <w:jc w:val="both"/>
        <w:rPr>
          <w:b/>
          <w:color w:val="4F81BD" w:themeColor="accent1"/>
          <w:sz w:val="24"/>
          <w:szCs w:val="24"/>
        </w:rPr>
      </w:pPr>
      <w:r w:rsidRPr="00834BC0">
        <w:rPr>
          <w:b/>
          <w:color w:val="4F81BD" w:themeColor="accent1"/>
          <w:sz w:val="24"/>
          <w:szCs w:val="24"/>
        </w:rPr>
        <w:t>Verejné vysoké školy</w:t>
      </w:r>
    </w:p>
    <w:p w14:paraId="712BF999" w14:textId="04580C14" w:rsidR="00834BC0" w:rsidRPr="00834BC0" w:rsidRDefault="006F27A0" w:rsidP="00834BC0">
      <w:pPr>
        <w:spacing w:after="120" w:line="240" w:lineRule="auto"/>
        <w:jc w:val="both"/>
        <w:rPr>
          <w:szCs w:val="22"/>
        </w:rPr>
      </w:pPr>
      <w:r w:rsidRPr="00834BC0">
        <w:rPr>
          <w:szCs w:val="22"/>
          <w:u w:val="single"/>
        </w:rPr>
        <w:t>Verejné vysoké školy</w:t>
      </w:r>
      <w:r w:rsidRPr="00834BC0">
        <w:rPr>
          <w:szCs w:val="22"/>
        </w:rPr>
        <w:t xml:space="preserve"> </w:t>
      </w:r>
      <w:r w:rsidR="00834BC0" w:rsidRPr="00834BC0">
        <w:rPr>
          <w:szCs w:val="22"/>
        </w:rPr>
        <w:t xml:space="preserve">v roku 2022 dosiahli schodok 1 806 tis. eur čim </w:t>
      </w:r>
      <w:r w:rsidR="00834BC0" w:rsidRPr="003F7022">
        <w:rPr>
          <w:b/>
          <w:szCs w:val="22"/>
        </w:rPr>
        <w:t>zhoršili svoje hospodárenie medziročne o 42 200 tis. eur.</w:t>
      </w:r>
      <w:r w:rsidR="00834BC0" w:rsidRPr="00834BC0">
        <w:rPr>
          <w:szCs w:val="22"/>
        </w:rPr>
        <w:t xml:space="preserve"> V porovnaní s rokom 2021 negatívne na hospodárenie pôsobili najmä </w:t>
      </w:r>
      <w:r w:rsidR="00AC7D80">
        <w:rPr>
          <w:szCs w:val="22"/>
        </w:rPr>
        <w:t xml:space="preserve">medziročne </w:t>
      </w:r>
      <w:r w:rsidR="00834BC0" w:rsidRPr="00834BC0">
        <w:rPr>
          <w:szCs w:val="22"/>
        </w:rPr>
        <w:t>zvýšené výdavky na tovary a služby o 34 826 tis. eur súvisiace prevažne s nárastom cien energií a celkovým nárastom cien jednotlivých tovarov. Taktiež došlo k nárastu výdavkov na mzdy medziročne o 24 078 tis. eur a k zvýšen</w:t>
      </w:r>
      <w:r w:rsidR="00AC7D80">
        <w:rPr>
          <w:szCs w:val="22"/>
        </w:rPr>
        <w:t>iu</w:t>
      </w:r>
      <w:r w:rsidR="00834BC0" w:rsidRPr="00834BC0">
        <w:rPr>
          <w:szCs w:val="22"/>
        </w:rPr>
        <w:t xml:space="preserve"> výdavko</w:t>
      </w:r>
      <w:r w:rsidR="00AC7D80">
        <w:rPr>
          <w:szCs w:val="22"/>
        </w:rPr>
        <w:t>v</w:t>
      </w:r>
      <w:r w:rsidR="00834BC0" w:rsidRPr="00834BC0">
        <w:rPr>
          <w:szCs w:val="22"/>
        </w:rPr>
        <w:t xml:space="preserve"> na obstaranie kapitálových aktív o 32 106 tis. eur určených prevažne na rekonštrukcie budov a modernizáciu vybavenia jednotlivých vysokých škôl. Pozitívny vplyv na hospodárenie vysokých škôl mali vyššie príjmy z granto</w:t>
      </w:r>
      <w:r w:rsidR="00235657">
        <w:rPr>
          <w:szCs w:val="22"/>
        </w:rPr>
        <w:t>v a transferov o 48 830 tis. eur</w:t>
      </w:r>
      <w:r w:rsidR="00834BC0" w:rsidRPr="00834BC0">
        <w:rPr>
          <w:szCs w:val="22"/>
        </w:rPr>
        <w:t xml:space="preserve"> pochádzajúcich prevažne zo štátneho rozpočtu. </w:t>
      </w:r>
      <w:r w:rsidR="00235657">
        <w:rPr>
          <w:szCs w:val="22"/>
        </w:rPr>
        <w:t>Celkové príjmy z grantov a transferov dosiahli</w:t>
      </w:r>
      <w:r w:rsidR="009E2318">
        <w:rPr>
          <w:szCs w:val="22"/>
        </w:rPr>
        <w:t xml:space="preserve"> sumu 813 845 tis. eur.</w:t>
      </w:r>
    </w:p>
    <w:p w14:paraId="50DC8247" w14:textId="531BEBA5" w:rsidR="00563559" w:rsidRPr="00A65C5A" w:rsidRDefault="00563559" w:rsidP="00834BC0">
      <w:pPr>
        <w:spacing w:after="120" w:line="240" w:lineRule="auto"/>
        <w:jc w:val="both"/>
        <w:rPr>
          <w:b/>
          <w:color w:val="4F81BD" w:themeColor="accent1"/>
          <w:sz w:val="24"/>
          <w:szCs w:val="24"/>
        </w:rPr>
      </w:pPr>
      <w:r w:rsidRPr="00A65C5A">
        <w:rPr>
          <w:b/>
          <w:color w:val="4F81BD" w:themeColor="accent1"/>
          <w:sz w:val="24"/>
          <w:szCs w:val="24"/>
        </w:rPr>
        <w:t xml:space="preserve">Zdravotnícke zariadenia ústrednej </w:t>
      </w:r>
      <w:r w:rsidRPr="00F25A0A">
        <w:rPr>
          <w:b/>
          <w:color w:val="4F81BD" w:themeColor="accent1"/>
          <w:sz w:val="24"/>
          <w:szCs w:val="24"/>
        </w:rPr>
        <w:t>správy a územnej samosprávy</w:t>
      </w:r>
    </w:p>
    <w:p w14:paraId="2E1ECD11" w14:textId="6EA5878C" w:rsidR="00EC4FA3" w:rsidRPr="00EC4FA3" w:rsidRDefault="002E60C1" w:rsidP="002E60C1">
      <w:pPr>
        <w:spacing w:after="120" w:line="240" w:lineRule="auto"/>
        <w:jc w:val="both"/>
      </w:pPr>
      <w:r w:rsidRPr="00A65C5A">
        <w:rPr>
          <w:szCs w:val="22"/>
          <w:u w:val="single"/>
        </w:rPr>
        <w:t>Zdravotnícke zariadenia ústrednej správy</w:t>
      </w:r>
      <w:r w:rsidRPr="00A65C5A">
        <w:rPr>
          <w:szCs w:val="22"/>
        </w:rPr>
        <w:t xml:space="preserve"> dosiahli </w:t>
      </w:r>
      <w:r w:rsidR="00042DE1" w:rsidRPr="00A65C5A">
        <w:rPr>
          <w:szCs w:val="22"/>
        </w:rPr>
        <w:t>pri jesennej notifikácii</w:t>
      </w:r>
      <w:r w:rsidRPr="00A65C5A">
        <w:rPr>
          <w:szCs w:val="22"/>
        </w:rPr>
        <w:t xml:space="preserve"> výšku </w:t>
      </w:r>
      <w:r w:rsidR="004B56F3" w:rsidRPr="00A65C5A">
        <w:rPr>
          <w:szCs w:val="22"/>
        </w:rPr>
        <w:t>prebytku</w:t>
      </w:r>
      <w:r w:rsidR="00D96428" w:rsidRPr="00A65C5A">
        <w:rPr>
          <w:szCs w:val="22"/>
        </w:rPr>
        <w:t> </w:t>
      </w:r>
      <w:r w:rsidR="004B56F3" w:rsidRPr="00A65C5A">
        <w:rPr>
          <w:szCs w:val="22"/>
        </w:rPr>
        <w:t>250</w:t>
      </w:r>
      <w:r w:rsidRPr="00A65C5A">
        <w:rPr>
          <w:szCs w:val="22"/>
        </w:rPr>
        <w:t> </w:t>
      </w:r>
      <w:r w:rsidR="004B56F3" w:rsidRPr="00A65C5A">
        <w:rPr>
          <w:szCs w:val="22"/>
        </w:rPr>
        <w:t>011</w:t>
      </w:r>
      <w:r w:rsidRPr="00A65C5A">
        <w:rPr>
          <w:szCs w:val="22"/>
        </w:rPr>
        <w:t xml:space="preserve"> tis. eur. Oproti predchádzajúcemu roku </w:t>
      </w:r>
      <w:r w:rsidRPr="003F7022">
        <w:rPr>
          <w:b/>
          <w:szCs w:val="22"/>
        </w:rPr>
        <w:t>došlo k </w:t>
      </w:r>
      <w:r w:rsidR="004B56F3" w:rsidRPr="003F7022">
        <w:rPr>
          <w:b/>
          <w:szCs w:val="22"/>
        </w:rPr>
        <w:t>výraznému</w:t>
      </w:r>
      <w:r w:rsidRPr="003F7022">
        <w:rPr>
          <w:b/>
          <w:szCs w:val="22"/>
        </w:rPr>
        <w:t xml:space="preserve"> zlepšeniu v celkovom hospodárení o </w:t>
      </w:r>
      <w:r w:rsidR="004B56F3" w:rsidRPr="003F7022">
        <w:rPr>
          <w:b/>
          <w:szCs w:val="22"/>
        </w:rPr>
        <w:t>295 968</w:t>
      </w:r>
      <w:r w:rsidRPr="003F7022">
        <w:rPr>
          <w:b/>
          <w:szCs w:val="22"/>
        </w:rPr>
        <w:t> tis. eur</w:t>
      </w:r>
      <w:r w:rsidRPr="00A65C5A">
        <w:rPr>
          <w:szCs w:val="22"/>
        </w:rPr>
        <w:t xml:space="preserve">. </w:t>
      </w:r>
      <w:r w:rsidRPr="004C173C">
        <w:t>Zdravotnícke zariadenia dosiah</w:t>
      </w:r>
      <w:r w:rsidR="00D96428" w:rsidRPr="004C173C">
        <w:t xml:space="preserve">li hotovostný </w:t>
      </w:r>
      <w:r w:rsidR="004C173C" w:rsidRPr="004C173C">
        <w:t>schodok</w:t>
      </w:r>
      <w:r w:rsidR="00D96428" w:rsidRPr="004C173C">
        <w:t xml:space="preserve"> vo výške </w:t>
      </w:r>
      <w:r w:rsidR="004C173C" w:rsidRPr="004C173C">
        <w:t>47</w:t>
      </w:r>
      <w:r w:rsidRPr="004C173C">
        <w:t> </w:t>
      </w:r>
      <w:r w:rsidR="004C173C" w:rsidRPr="004C173C">
        <w:t>138 tis. eur, čo predstavovalo zhor</w:t>
      </w:r>
      <w:r w:rsidRPr="004C173C">
        <w:t>šenie hospodárenia o</w:t>
      </w:r>
      <w:r w:rsidR="004C173C" w:rsidRPr="004C173C">
        <w:t>proti predchádzajúcemu roku o 143</w:t>
      </w:r>
      <w:r w:rsidRPr="004C173C">
        <w:t> </w:t>
      </w:r>
      <w:r w:rsidR="004C173C" w:rsidRPr="004C173C">
        <w:t>501</w:t>
      </w:r>
      <w:r w:rsidRPr="004C173C">
        <w:t> tis. eur</w:t>
      </w:r>
      <w:r w:rsidR="00EC4FA3">
        <w:t xml:space="preserve">. </w:t>
      </w:r>
      <w:r w:rsidR="008F42A3">
        <w:t>Pozitívny vplyv</w:t>
      </w:r>
      <w:r w:rsidR="00EB5502">
        <w:t xml:space="preserve"> na saldo</w:t>
      </w:r>
      <w:r w:rsidR="008F42A3">
        <w:t xml:space="preserve"> mali </w:t>
      </w:r>
      <w:r w:rsidR="008F42A3" w:rsidRPr="008F42A3">
        <w:t>vyššie príjmy</w:t>
      </w:r>
      <w:r w:rsidR="005640DD" w:rsidRPr="008F42A3">
        <w:t xml:space="preserve"> </w:t>
      </w:r>
      <w:r w:rsidR="00EC4FA3" w:rsidRPr="008F42A3">
        <w:t>najmä z administratívnych a iných poplatkov (najmä za lekárske výkony a poskytnutú zdravotnú starostlivosť) o 1</w:t>
      </w:r>
      <w:r w:rsidRPr="008F42A3">
        <w:t>4</w:t>
      </w:r>
      <w:r w:rsidR="00EC4FA3" w:rsidRPr="008F42A3">
        <w:t>0 597</w:t>
      </w:r>
      <w:r w:rsidRPr="008F42A3">
        <w:t> tis. eur</w:t>
      </w:r>
      <w:r w:rsidR="00EC4FA3" w:rsidRPr="008F42A3">
        <w:t xml:space="preserve"> </w:t>
      </w:r>
      <w:r w:rsidR="008F42A3" w:rsidRPr="008F42A3">
        <w:t xml:space="preserve">viac ako </w:t>
      </w:r>
      <w:r w:rsidR="003F7022">
        <w:t xml:space="preserve">v </w:t>
      </w:r>
      <w:r w:rsidR="00EC4FA3" w:rsidRPr="008F42A3">
        <w:t>predchádzajúcemu roku</w:t>
      </w:r>
      <w:r w:rsidR="005E4FED" w:rsidRPr="008F42A3">
        <w:t>.</w:t>
      </w:r>
      <w:r w:rsidRPr="008F42A3">
        <w:t xml:space="preserve"> Pozitívny vplyv </w:t>
      </w:r>
      <w:r w:rsidR="00042DE1" w:rsidRPr="008F42A3">
        <w:t xml:space="preserve">na medziročné hospodárenie </w:t>
      </w:r>
      <w:r w:rsidRPr="008F42A3">
        <w:t>mali aj prijaté bežn</w:t>
      </w:r>
      <w:r w:rsidR="00052A68" w:rsidRPr="008F42A3">
        <w:t>é</w:t>
      </w:r>
      <w:r w:rsidRPr="008F42A3">
        <w:t xml:space="preserve"> transfer</w:t>
      </w:r>
      <w:r w:rsidR="00052A68" w:rsidRPr="008F42A3">
        <w:t>y</w:t>
      </w:r>
      <w:r w:rsidR="00042DE1" w:rsidRPr="008F42A3">
        <w:t xml:space="preserve"> z</w:t>
      </w:r>
      <w:r w:rsidR="00257902" w:rsidRPr="008F42A3">
        <w:t xml:space="preserve"> kapitoly </w:t>
      </w:r>
      <w:r w:rsidR="00042DE1" w:rsidRPr="008F42A3">
        <w:t>Ministerstva zdravotníctva SR vyššie</w:t>
      </w:r>
      <w:r w:rsidR="008F42A3" w:rsidRPr="008F42A3">
        <w:t xml:space="preserve"> o 28</w:t>
      </w:r>
      <w:r w:rsidRPr="008F42A3">
        <w:t> </w:t>
      </w:r>
      <w:r w:rsidR="008F42A3" w:rsidRPr="008F42A3">
        <w:t>309</w:t>
      </w:r>
      <w:r w:rsidRPr="008F42A3">
        <w:t> tis. eur</w:t>
      </w:r>
      <w:r w:rsidR="00257902" w:rsidRPr="008F42A3">
        <w:t>)</w:t>
      </w:r>
      <w:r w:rsidRPr="008F42A3">
        <w:t xml:space="preserve">. </w:t>
      </w:r>
      <w:r w:rsidR="008F42A3" w:rsidRPr="008F42A3">
        <w:t xml:space="preserve">V roku 2022 zdravotnícke zariadenia ústrednej správy prijali z kapitoly Ministerstva zdravotníctva SR aj transfer vo výške 101 687 tis. eur určený na vyplatenie stabilizačného príspevku zdravotníckym pracovníkom. </w:t>
      </w:r>
      <w:r w:rsidRPr="00EC4FA3">
        <w:t>Zdravotnícke zariadenia </w:t>
      </w:r>
      <w:r w:rsidR="00042DE1" w:rsidRPr="00EC4FA3">
        <w:t xml:space="preserve">dosiahli </w:t>
      </w:r>
      <w:r w:rsidR="00687DFC">
        <w:t xml:space="preserve">v roku 2022 </w:t>
      </w:r>
      <w:r w:rsidR="00EC4FA3" w:rsidRPr="00EC4FA3">
        <w:t>schodkové hospodárenie, keď</w:t>
      </w:r>
      <w:r w:rsidR="008618F9">
        <w:t>že</w:t>
      </w:r>
      <w:r w:rsidR="00EC4FA3" w:rsidRPr="00EC4FA3">
        <w:t xml:space="preserve"> </w:t>
      </w:r>
      <w:r w:rsidRPr="00EC4FA3">
        <w:t>aj napriek </w:t>
      </w:r>
      <w:r w:rsidR="00EC4FA3" w:rsidRPr="00EC4FA3">
        <w:t xml:space="preserve">vyšším príjmom došlo zároveň aj k </w:t>
      </w:r>
      <w:r w:rsidRPr="00EC4FA3">
        <w:t>zvýšeným výdavkom najmä na mzdy, odvod</w:t>
      </w:r>
      <w:r w:rsidR="00EC4FA3" w:rsidRPr="00EC4FA3">
        <w:t>y a tovary a služby (nárast o 286</w:t>
      </w:r>
      <w:r w:rsidRPr="00EC4FA3">
        <w:t> </w:t>
      </w:r>
      <w:r w:rsidR="00EC4FA3" w:rsidRPr="00EC4FA3">
        <w:t>0</w:t>
      </w:r>
      <w:r w:rsidRPr="00EC4FA3">
        <w:t>22 tis. eur oproti roku 202</w:t>
      </w:r>
      <w:r w:rsidR="00EC4FA3" w:rsidRPr="00EC4FA3">
        <w:t>1</w:t>
      </w:r>
      <w:r w:rsidRPr="00EC4FA3">
        <w:t>)</w:t>
      </w:r>
      <w:r w:rsidR="008618F9">
        <w:t xml:space="preserve">. Zvýšené výdavky </w:t>
      </w:r>
      <w:r w:rsidRPr="00EC4FA3">
        <w:t>súvis</w:t>
      </w:r>
      <w:r w:rsidR="00EC4FA3" w:rsidRPr="00EC4FA3">
        <w:t>eli</w:t>
      </w:r>
      <w:r w:rsidRPr="00EC4FA3">
        <w:t xml:space="preserve"> </w:t>
      </w:r>
      <w:r w:rsidR="008618F9">
        <w:t xml:space="preserve">najmä </w:t>
      </w:r>
      <w:r w:rsidRPr="00EC4FA3">
        <w:t>s rieše</w:t>
      </w:r>
      <w:r w:rsidR="00EC4FA3" w:rsidRPr="00EC4FA3">
        <w:t xml:space="preserve">ním </w:t>
      </w:r>
      <w:proofErr w:type="spellStart"/>
      <w:r w:rsidR="00EC4FA3" w:rsidRPr="00EC4FA3">
        <w:t>protipandemických</w:t>
      </w:r>
      <w:proofErr w:type="spellEnd"/>
      <w:r w:rsidR="00EC4FA3" w:rsidRPr="00EC4FA3">
        <w:t xml:space="preserve"> opatrení,</w:t>
      </w:r>
      <w:r w:rsidRPr="00EC4FA3">
        <w:t> postupnými obnovenými zdravotnými výkonmi</w:t>
      </w:r>
      <w:r w:rsidR="00EC4FA3" w:rsidRPr="00EC4FA3">
        <w:t>, ale zároveň aj rastom inflácie a zvýšením cien energií</w:t>
      </w:r>
      <w:r w:rsidR="00042DE1" w:rsidRPr="00EC4FA3">
        <w:t>.</w:t>
      </w:r>
      <w:r w:rsidR="00EC4FA3" w:rsidRPr="00EC4FA3">
        <w:t xml:space="preserve"> </w:t>
      </w:r>
    </w:p>
    <w:p w14:paraId="44D7B9D0" w14:textId="707F7670" w:rsidR="009A76AC" w:rsidRPr="009A76AC" w:rsidRDefault="002E60C1" w:rsidP="005B6514">
      <w:pPr>
        <w:spacing w:after="120" w:line="240" w:lineRule="auto"/>
        <w:jc w:val="both"/>
        <w:rPr>
          <w:szCs w:val="22"/>
        </w:rPr>
      </w:pPr>
      <w:r w:rsidRPr="005B6514">
        <w:t>Na</w:t>
      </w:r>
      <w:r w:rsidR="00635D6C" w:rsidRPr="005B6514">
        <w:t>jväčší vplyv na celkové zlepšeni</w:t>
      </w:r>
      <w:r w:rsidRPr="005B6514">
        <w:t xml:space="preserve">e hospodárenia </w:t>
      </w:r>
      <w:r w:rsidR="00B15D39">
        <w:t xml:space="preserve">v ESA metodike </w:t>
      </w:r>
      <w:r w:rsidRPr="005B6514">
        <w:t xml:space="preserve">oproti hotovostnému </w:t>
      </w:r>
      <w:r w:rsidR="00635D6C" w:rsidRPr="005B6514">
        <w:t>schodku</w:t>
      </w:r>
      <w:r w:rsidRPr="005B6514">
        <w:t xml:space="preserve"> predstavoval </w:t>
      </w:r>
      <w:r w:rsidR="00635D6C" w:rsidRPr="005B6514">
        <w:t>pokles</w:t>
      </w:r>
      <w:r w:rsidR="00EC14AA" w:rsidRPr="005B6514">
        <w:t xml:space="preserve"> celkových záväzkov o 15</w:t>
      </w:r>
      <w:r w:rsidR="00635D6C" w:rsidRPr="005B6514">
        <w:t>5</w:t>
      </w:r>
      <w:r w:rsidRPr="005B6514">
        <w:t> </w:t>
      </w:r>
      <w:r w:rsidR="00635D6C" w:rsidRPr="005B6514">
        <w:t>179</w:t>
      </w:r>
      <w:r w:rsidRPr="005B6514">
        <w:t> tis. eur (</w:t>
      </w:r>
      <w:r w:rsidR="00635D6C" w:rsidRPr="005B6514">
        <w:rPr>
          <w:szCs w:val="22"/>
        </w:rPr>
        <w:t>v roku 2021</w:t>
      </w:r>
      <w:r w:rsidRPr="005B6514">
        <w:rPr>
          <w:szCs w:val="22"/>
        </w:rPr>
        <w:t xml:space="preserve"> bol medziročný nárast záväzkov vo výške</w:t>
      </w:r>
      <w:r w:rsidR="00D96428" w:rsidRPr="005B6514">
        <w:rPr>
          <w:szCs w:val="22"/>
        </w:rPr>
        <w:t> </w:t>
      </w:r>
      <w:r w:rsidR="00635D6C" w:rsidRPr="005B6514">
        <w:rPr>
          <w:szCs w:val="22"/>
        </w:rPr>
        <w:t>157 827</w:t>
      </w:r>
      <w:r w:rsidRPr="005B6514">
        <w:rPr>
          <w:szCs w:val="22"/>
        </w:rPr>
        <w:t> tis. eur</w:t>
      </w:r>
      <w:r w:rsidR="00635D6C" w:rsidRPr="005B6514">
        <w:rPr>
          <w:szCs w:val="22"/>
        </w:rPr>
        <w:t>)</w:t>
      </w:r>
      <w:r w:rsidR="000253C4" w:rsidRPr="005B6514">
        <w:rPr>
          <w:szCs w:val="22"/>
        </w:rPr>
        <w:t xml:space="preserve">. </w:t>
      </w:r>
      <w:r w:rsidR="005B6514" w:rsidRPr="005B6514">
        <w:rPr>
          <w:szCs w:val="22"/>
        </w:rPr>
        <w:t xml:space="preserve">V príspevkových organizáciách, ktoré tvoria najväčšiu skupinu zdravotníckych zariadení z pohľadu právnej formy, došlo medziročne k poklesu záväzkov o 162 074 tis. eur. </w:t>
      </w:r>
      <w:r w:rsidR="005B6514" w:rsidRPr="003F7022">
        <w:rPr>
          <w:b/>
          <w:szCs w:val="22"/>
        </w:rPr>
        <w:t>Išlo predovšetkým o vplyv oddlžovania</w:t>
      </w:r>
      <w:r w:rsidR="00587083">
        <w:rPr>
          <w:szCs w:val="22"/>
        </w:rPr>
        <w:t xml:space="preserve"> v </w:t>
      </w:r>
      <w:r w:rsidR="00587083" w:rsidRPr="004839B9">
        <w:t>súlade s Návrhom finančnej stabilizácie zdravotníckych zariadení</w:t>
      </w:r>
      <w:r w:rsidR="00587083">
        <w:rPr>
          <w:rStyle w:val="Odkaznapoznmkupodiarou"/>
        </w:rPr>
        <w:footnoteReference w:id="8"/>
      </w:r>
      <w:r w:rsidR="005B6514" w:rsidRPr="005B6514">
        <w:rPr>
          <w:szCs w:val="22"/>
        </w:rPr>
        <w:t xml:space="preserve">, a to voči Sociálnej poisťovni o 186 186 tis. eur a voči ostatným veriteľom o 112 072 tis. eur. Tento pozitívny </w:t>
      </w:r>
      <w:r w:rsidR="005B6514" w:rsidRPr="00CC6ED3">
        <w:rPr>
          <w:szCs w:val="22"/>
        </w:rPr>
        <w:t>vplyv bol eliminovaný najmä nárastom daňových záväzkov a záväzkov voči zamestnancom</w:t>
      </w:r>
      <w:r w:rsidR="00CB4038" w:rsidRPr="00CC6ED3">
        <w:rPr>
          <w:szCs w:val="22"/>
        </w:rPr>
        <w:t xml:space="preserve"> týkajúcich sa stabilizačného príspevku</w:t>
      </w:r>
      <w:r w:rsidR="005B6514" w:rsidRPr="00CC6ED3">
        <w:rPr>
          <w:szCs w:val="22"/>
        </w:rPr>
        <w:t xml:space="preserve">. </w:t>
      </w:r>
      <w:r w:rsidR="009A76AC" w:rsidRPr="00CC6ED3">
        <w:rPr>
          <w:szCs w:val="22"/>
        </w:rPr>
        <w:t>Vo</w:t>
      </w:r>
      <w:r w:rsidR="009A76AC" w:rsidRPr="009A76AC">
        <w:rPr>
          <w:szCs w:val="22"/>
        </w:rPr>
        <w:t xml:space="preserve"> všetkých právnych formách v prípade nárastu záväzkov voči zamestnancom a daňových záväzkov išlo najmä o záväzky súvisiace s vyplatením druhej polovice stabilizačného príspevku v decembrových mzdách s výplatným termínom v januári 2023.</w:t>
      </w:r>
    </w:p>
    <w:p w14:paraId="230049FD" w14:textId="121B5998" w:rsidR="009A76AC" w:rsidRPr="009A76AC" w:rsidRDefault="009A76AC" w:rsidP="009A76AC">
      <w:pPr>
        <w:spacing w:line="240" w:lineRule="auto"/>
        <w:jc w:val="both"/>
        <w:rPr>
          <w:szCs w:val="22"/>
        </w:rPr>
      </w:pPr>
      <w:r w:rsidRPr="009A76AC">
        <w:rPr>
          <w:szCs w:val="22"/>
        </w:rPr>
        <w:t xml:space="preserve">Pozitívny vplyv </w:t>
      </w:r>
      <w:r w:rsidR="003022FB">
        <w:rPr>
          <w:szCs w:val="22"/>
        </w:rPr>
        <w:t>vo výške 100</w:t>
      </w:r>
      <w:r w:rsidR="00FD7E3B">
        <w:rPr>
          <w:szCs w:val="22"/>
        </w:rPr>
        <w:t xml:space="preserve"> 944 tis. eur </w:t>
      </w:r>
      <w:r w:rsidRPr="009A76AC">
        <w:rPr>
          <w:szCs w:val="22"/>
        </w:rPr>
        <w:t xml:space="preserve">na celkové hospodárenie podľa ESA malo akruálne zaznamenanie výdavkov na stabilizačný príspevok, ktoré sa v zmysle ESA metodiky majú zaznamenať do obdobia, s ktorými vecne a časovo súvisia. V zmysle dohody o poskytnutí stabilizačného príspevku sa zamestnanec zaviazal, že zotrvá v pracovnom pomere nepretržite počas troch rokov, preto výdavok zdravotníckych zariadení v sektore verejnej správy bude rozložený na obdobie rokov 2023, 2024 a 2025 v pomernej časti. </w:t>
      </w:r>
    </w:p>
    <w:p w14:paraId="53B3273E" w14:textId="114B8B26" w:rsidR="00EE51D1" w:rsidRDefault="002E60C1" w:rsidP="00EE51D1">
      <w:pPr>
        <w:spacing w:line="240" w:lineRule="auto"/>
        <w:jc w:val="both"/>
        <w:rPr>
          <w:sz w:val="24"/>
          <w:szCs w:val="24"/>
          <w:highlight w:val="green"/>
        </w:rPr>
      </w:pPr>
      <w:r w:rsidRPr="004C173C">
        <w:rPr>
          <w:szCs w:val="22"/>
        </w:rPr>
        <w:t xml:space="preserve">Pozitívny vplyv na hospodárenie </w:t>
      </w:r>
      <w:r w:rsidR="00EE51D1">
        <w:rPr>
          <w:szCs w:val="22"/>
        </w:rPr>
        <w:t xml:space="preserve">v roku 2022 </w:t>
      </w:r>
      <w:r w:rsidRPr="004C173C">
        <w:rPr>
          <w:szCs w:val="22"/>
        </w:rPr>
        <w:t>mal nárast pohľadávok vo výške</w:t>
      </w:r>
      <w:r w:rsidR="00D96428" w:rsidRPr="004C173C">
        <w:rPr>
          <w:szCs w:val="22"/>
        </w:rPr>
        <w:t> </w:t>
      </w:r>
      <w:r w:rsidR="004C173C" w:rsidRPr="004C173C">
        <w:rPr>
          <w:szCs w:val="22"/>
        </w:rPr>
        <w:t>33</w:t>
      </w:r>
      <w:r w:rsidRPr="004C173C">
        <w:rPr>
          <w:szCs w:val="22"/>
        </w:rPr>
        <w:t> </w:t>
      </w:r>
      <w:r w:rsidR="004C173C" w:rsidRPr="004C173C">
        <w:rPr>
          <w:szCs w:val="22"/>
        </w:rPr>
        <w:t>691</w:t>
      </w:r>
      <w:r w:rsidR="00EE51D1">
        <w:rPr>
          <w:szCs w:val="22"/>
        </w:rPr>
        <w:t> tis. eur (v roku 2021 došlo k nárastu pohľadávok a 31 762 tis.</w:t>
      </w:r>
      <w:r w:rsidR="00EE51D1">
        <w:t> </w:t>
      </w:r>
      <w:r w:rsidR="00EE51D1">
        <w:rPr>
          <w:szCs w:val="22"/>
        </w:rPr>
        <w:t xml:space="preserve">eur), </w:t>
      </w:r>
      <w:r w:rsidRPr="004C173C">
        <w:rPr>
          <w:szCs w:val="22"/>
        </w:rPr>
        <w:t>išlo predovšetkým o </w:t>
      </w:r>
      <w:r w:rsidRPr="004C173C">
        <w:t>pohľadávky voči zdravotným poisťovniam za poskytnutú zdravotnú starostlivosť</w:t>
      </w:r>
      <w:r w:rsidR="00EE51D1">
        <w:t xml:space="preserve">). Pozitívny vplyv mala aj </w:t>
      </w:r>
      <w:r w:rsidR="00EE51D1" w:rsidRPr="00EE51D1">
        <w:t xml:space="preserve">prijatá pôžička Kúpeľov Sliač, a. s. (od MH Manažmentu, a. s.) vo výške 1 500 tis. eur, ktorá bola preklasifikovaná na </w:t>
      </w:r>
      <w:r w:rsidR="00FD7E3B">
        <w:t xml:space="preserve">príjmový </w:t>
      </w:r>
      <w:r w:rsidR="00EE51D1" w:rsidRPr="00EE51D1">
        <w:t xml:space="preserve">kapitálový </w:t>
      </w:r>
      <w:r w:rsidR="00EE51D1" w:rsidRPr="00EE51D1">
        <w:lastRenderedPageBreak/>
        <w:t>transfer a taktiež aj prijatý vklad do základného imania UN sv. Michala (zo ŠFA</w:t>
      </w:r>
      <w:r w:rsidR="00FD7E3B">
        <w:t xml:space="preserve">, vzájomné toky sa v rámci verejnej správy </w:t>
      </w:r>
      <w:proofErr w:type="spellStart"/>
      <w:r w:rsidR="00FD7E3B">
        <w:t>vykonsolidujú</w:t>
      </w:r>
      <w:proofErr w:type="spellEnd"/>
      <w:r w:rsidR="00EE51D1" w:rsidRPr="00EE51D1">
        <w:t xml:space="preserve">) </w:t>
      </w:r>
      <w:r w:rsidR="00FD7E3B" w:rsidRPr="00EE51D1">
        <w:t xml:space="preserve">preklasifikovaný </w:t>
      </w:r>
      <w:r w:rsidR="00EE51D1" w:rsidRPr="00EE51D1">
        <w:t xml:space="preserve">na </w:t>
      </w:r>
      <w:r w:rsidR="00FD7E3B">
        <w:t xml:space="preserve">prijatý </w:t>
      </w:r>
      <w:r w:rsidR="00EE51D1" w:rsidRPr="00EE51D1">
        <w:t>kapitálový transfer vo výške 5 000 tis. eur</w:t>
      </w:r>
      <w:r w:rsidR="0051671D">
        <w:t>.</w:t>
      </w:r>
    </w:p>
    <w:p w14:paraId="73FA4BD3" w14:textId="04F807FC" w:rsidR="00B95054" w:rsidRDefault="002E60C1" w:rsidP="003572CF">
      <w:pPr>
        <w:spacing w:after="120" w:line="240" w:lineRule="auto"/>
        <w:jc w:val="both"/>
      </w:pPr>
      <w:r w:rsidRPr="001147D5">
        <w:rPr>
          <w:u w:val="single"/>
        </w:rPr>
        <w:t xml:space="preserve">Zdravotnícke zariadenia územnej samosprávy </w:t>
      </w:r>
      <w:r w:rsidR="00851D2B" w:rsidRPr="001147D5">
        <w:t>dosiahli v roku 2022 ESA prebytok 29 023 tis. eur, oproti roku 2021 došlo k zlepšeniu hospodárenia o 37 733 tis. eur</w:t>
      </w:r>
      <w:r w:rsidR="00851D2B" w:rsidRPr="003F11BD">
        <w:t xml:space="preserve">. </w:t>
      </w:r>
      <w:r w:rsidR="00B95054" w:rsidRPr="00003F36">
        <w:t>Pozitívny vplyv na ho</w:t>
      </w:r>
      <w:r w:rsidR="00B95054">
        <w:t>tovostné hospodárenie mali vyššie príjmy najmä z administratívnych a iných poplatkov (najmä za lekárske výkony a poskytnutú zdravotnú starostlivosť) v</w:t>
      </w:r>
      <w:r w:rsidR="00995893">
        <w:t xml:space="preserve"> celkovej</w:t>
      </w:r>
      <w:r w:rsidR="00B95054">
        <w:t xml:space="preserve"> výške 221 126</w:t>
      </w:r>
      <w:r w:rsidR="00B95054" w:rsidRPr="00003F36">
        <w:t> tis. eur</w:t>
      </w:r>
      <w:r w:rsidR="003022FB">
        <w:t xml:space="preserve"> (o 14 367</w:t>
      </w:r>
      <w:r w:rsidR="00B95054" w:rsidRPr="00003F36">
        <w:t> tis. eur</w:t>
      </w:r>
      <w:r w:rsidR="00B95054">
        <w:t xml:space="preserve"> viac ako v roku 2021).</w:t>
      </w:r>
      <w:r w:rsidR="00E47036" w:rsidRPr="00E47036">
        <w:t xml:space="preserve"> </w:t>
      </w:r>
      <w:r w:rsidR="00E47036" w:rsidRPr="008F42A3">
        <w:t xml:space="preserve">V roku 2022 zdravotnícke zariadenia </w:t>
      </w:r>
      <w:r w:rsidR="00E47036">
        <w:t>územnej</w:t>
      </w:r>
      <w:r w:rsidR="00E47036" w:rsidRPr="008F42A3">
        <w:t xml:space="preserve"> </w:t>
      </w:r>
      <w:r w:rsidR="00E47036">
        <w:t>samo</w:t>
      </w:r>
      <w:r w:rsidR="00E47036" w:rsidRPr="008F42A3">
        <w:t>správy prijali z kapitoly Ministerstva zdravotníctva SR aj transfer</w:t>
      </w:r>
      <w:r w:rsidR="00E47036">
        <w:t xml:space="preserve"> vo výške 16</w:t>
      </w:r>
      <w:r w:rsidR="00E47036" w:rsidRPr="008F42A3">
        <w:t> </w:t>
      </w:r>
      <w:r w:rsidR="00E47036">
        <w:t>567</w:t>
      </w:r>
      <w:r w:rsidR="00E47036" w:rsidRPr="008F42A3">
        <w:t> tis. eur určený na vyplatenie stabilizačného príspevku zdravotníckym pracovníkom.</w:t>
      </w:r>
    </w:p>
    <w:p w14:paraId="353ED5A5" w14:textId="563CC40B" w:rsidR="009A76AC" w:rsidRPr="009A76AC" w:rsidRDefault="003572CF" w:rsidP="00401E83">
      <w:pPr>
        <w:spacing w:after="120" w:line="240" w:lineRule="auto"/>
        <w:jc w:val="both"/>
        <w:rPr>
          <w:szCs w:val="22"/>
        </w:rPr>
      </w:pPr>
      <w:r w:rsidRPr="00003F36">
        <w:t xml:space="preserve">Pozitívny vplyv na hospodárenie mal </w:t>
      </w:r>
      <w:r w:rsidR="00B95054">
        <w:t xml:space="preserve">aj </w:t>
      </w:r>
      <w:r w:rsidRPr="00003F36">
        <w:t>nárast pohľadávok o 4 797 tis. eur</w:t>
      </w:r>
      <w:r w:rsidR="00FD7E3B">
        <w:t>,</w:t>
      </w:r>
      <w:r w:rsidRPr="00003F36">
        <w:t xml:space="preserve"> </w:t>
      </w:r>
      <w:r w:rsidR="00851D2B" w:rsidRPr="003F11BD">
        <w:t>pokles celkových záväzkov o</w:t>
      </w:r>
      <w:r w:rsidR="00B95054">
        <w:t xml:space="preserve"> 1 250 tis. eur </w:t>
      </w:r>
      <w:r w:rsidR="00FD7E3B">
        <w:t>Pri poklese záväzkov i</w:t>
      </w:r>
      <w:r w:rsidR="004E1F3D">
        <w:t>šlo predovšetkým</w:t>
      </w:r>
      <w:r w:rsidR="00851D2B">
        <w:t xml:space="preserve"> </w:t>
      </w:r>
      <w:r w:rsidR="004E1F3D">
        <w:t xml:space="preserve">o vplyv oddlženia </w:t>
      </w:r>
      <w:r w:rsidR="00003F36" w:rsidRPr="004839B9">
        <w:t>v súlade s</w:t>
      </w:r>
      <w:r w:rsidR="00B7741D" w:rsidRPr="004839B9">
        <w:t xml:space="preserve"> Návrhom finančnej stabilizácie zdravotníckych zariadení </w:t>
      </w:r>
      <w:r w:rsidR="00003F36" w:rsidRPr="004839B9">
        <w:rPr>
          <w:szCs w:val="22"/>
        </w:rPr>
        <w:t>voči Sociálnej poisťovni</w:t>
      </w:r>
      <w:r w:rsidR="004E1F3D" w:rsidRPr="004839B9">
        <w:rPr>
          <w:szCs w:val="22"/>
        </w:rPr>
        <w:t xml:space="preserve"> o 13 927 tis. eur a voči ostatným veriteľom o</w:t>
      </w:r>
      <w:r w:rsidR="00995893">
        <w:rPr>
          <w:szCs w:val="22"/>
        </w:rPr>
        <w:t> </w:t>
      </w:r>
      <w:r w:rsidR="004E1F3D" w:rsidRPr="004839B9">
        <w:rPr>
          <w:szCs w:val="22"/>
        </w:rPr>
        <w:t>2</w:t>
      </w:r>
      <w:r w:rsidR="00995893">
        <w:rPr>
          <w:szCs w:val="22"/>
        </w:rPr>
        <w:t xml:space="preserve">  </w:t>
      </w:r>
      <w:r w:rsidR="004E1F3D" w:rsidRPr="004839B9">
        <w:rPr>
          <w:szCs w:val="22"/>
        </w:rPr>
        <w:t>030 tis. eur</w:t>
      </w:r>
      <w:r w:rsidR="00003F36" w:rsidRPr="004839B9">
        <w:t xml:space="preserve"> </w:t>
      </w:r>
      <w:r w:rsidR="002E60C1" w:rsidRPr="004839B9">
        <w:t>(v roku 202</w:t>
      </w:r>
      <w:r w:rsidR="00003F36" w:rsidRPr="004839B9">
        <w:t>1</w:t>
      </w:r>
      <w:r w:rsidR="002E60C1" w:rsidRPr="004839B9">
        <w:t xml:space="preserve"> </w:t>
      </w:r>
      <w:r w:rsidR="00003F36" w:rsidRPr="004839B9">
        <w:t xml:space="preserve">sa </w:t>
      </w:r>
      <w:r w:rsidR="004E1F3D" w:rsidRPr="004839B9">
        <w:t xml:space="preserve">oddlžovanie </w:t>
      </w:r>
      <w:r w:rsidR="00003F36" w:rsidRPr="004839B9">
        <w:t>nerealizovalo</w:t>
      </w:r>
      <w:r w:rsidR="002E60C1" w:rsidRPr="004839B9">
        <w:rPr>
          <w:szCs w:val="22"/>
        </w:rPr>
        <w:t>).</w:t>
      </w:r>
      <w:r w:rsidR="002E60C1" w:rsidRPr="004839B9">
        <w:t xml:space="preserve"> </w:t>
      </w:r>
      <w:r w:rsidR="004E1F3D" w:rsidRPr="004839B9">
        <w:t>Tento pozitívny vplyv bol eliminovaný najmä nárastom daňových záväzk</w:t>
      </w:r>
      <w:r w:rsidR="009A76AC">
        <w:t>ov a záväzkov voči zamestnancom,</w:t>
      </w:r>
      <w:r w:rsidR="009A76AC" w:rsidRPr="009A76AC">
        <w:rPr>
          <w:szCs w:val="22"/>
        </w:rPr>
        <w:t xml:space="preserve"> išlo najmä o záväzky súvisiace s vyplatením druhej polovice stabilizačného príspevku v decembrových mzdách s výplatným termínom v januári 2023.</w:t>
      </w:r>
    </w:p>
    <w:p w14:paraId="24637637" w14:textId="07EF59F1" w:rsidR="002E60C1" w:rsidRPr="00BB4B6F" w:rsidRDefault="00CF398A" w:rsidP="002E60C1">
      <w:pPr>
        <w:spacing w:after="120" w:line="240" w:lineRule="auto"/>
        <w:jc w:val="both"/>
        <w:rPr>
          <w:szCs w:val="22"/>
          <w:highlight w:val="yellow"/>
        </w:rPr>
      </w:pPr>
      <w:r>
        <w:t>Významný pozitívn</w:t>
      </w:r>
      <w:r w:rsidR="00851D2B" w:rsidRPr="00003F36">
        <w:t xml:space="preserve">y vplyv na celkové hospodárenie podľa ESA </w:t>
      </w:r>
      <w:r w:rsidR="004C5652">
        <w:t xml:space="preserve">v roku 2022 </w:t>
      </w:r>
      <w:r w:rsidR="00851D2B" w:rsidRPr="00003F36">
        <w:t xml:space="preserve">malo </w:t>
      </w:r>
      <w:r w:rsidR="00DD7BA8" w:rsidRPr="00003F36">
        <w:t xml:space="preserve">aj </w:t>
      </w:r>
      <w:r w:rsidR="00851D2B" w:rsidRPr="00003F36">
        <w:t>akruálne zaznamenanie výdavkov na stabilizačný príspevok</w:t>
      </w:r>
      <w:r w:rsidR="00DD7BA8" w:rsidRPr="00003F36">
        <w:t xml:space="preserve"> </w:t>
      </w:r>
      <w:r w:rsidR="00DD7BA8" w:rsidRPr="00D65050">
        <w:t>vo výške 16</w:t>
      </w:r>
      <w:r w:rsidR="00003F36" w:rsidRPr="00D65050">
        <w:t> </w:t>
      </w:r>
      <w:r w:rsidR="00DD7BA8" w:rsidRPr="00D65050">
        <w:t>530</w:t>
      </w:r>
      <w:r w:rsidR="00003F36" w:rsidRPr="00D65050">
        <w:t> </w:t>
      </w:r>
      <w:r w:rsidR="00DD7BA8" w:rsidRPr="00D65050">
        <w:t>tis. eur</w:t>
      </w:r>
      <w:r w:rsidR="00851D2B" w:rsidRPr="00D65050">
        <w:t>, obdobne</w:t>
      </w:r>
      <w:r w:rsidR="00851D2B" w:rsidRPr="00003F36">
        <w:t xml:space="preserve"> ako pri zdravotníckych zariadeniach ústredných.</w:t>
      </w:r>
    </w:p>
    <w:p w14:paraId="29DFEA29" w14:textId="77777777" w:rsidR="007D1EDC" w:rsidRPr="008F22EB" w:rsidRDefault="007D1EDC" w:rsidP="007D1EDC">
      <w:pPr>
        <w:keepNext/>
        <w:spacing w:after="120" w:line="240" w:lineRule="auto"/>
        <w:jc w:val="both"/>
        <w:rPr>
          <w:b/>
          <w:color w:val="4F81BD" w:themeColor="accent1"/>
          <w:sz w:val="24"/>
          <w:szCs w:val="24"/>
        </w:rPr>
      </w:pPr>
      <w:r w:rsidRPr="008F22EB">
        <w:rPr>
          <w:b/>
          <w:color w:val="4F81BD" w:themeColor="accent1"/>
          <w:sz w:val="24"/>
          <w:szCs w:val="24"/>
        </w:rPr>
        <w:t>Ostatné subjekty ústrednej správy</w:t>
      </w:r>
      <w:r w:rsidRPr="008F22EB">
        <w:rPr>
          <w:b/>
          <w:color w:val="4F81BD" w:themeColor="accent1"/>
          <w:vertAlign w:val="superscript"/>
        </w:rPr>
        <w:footnoteReference w:id="9"/>
      </w:r>
    </w:p>
    <w:p w14:paraId="0E26F2E0" w14:textId="117F5F6E" w:rsidR="007D1EDC" w:rsidRPr="008F22EB" w:rsidRDefault="007D1EDC" w:rsidP="007D1EDC">
      <w:pPr>
        <w:spacing w:after="120" w:line="240" w:lineRule="auto"/>
        <w:jc w:val="both"/>
        <w:rPr>
          <w:rFonts w:cs="Book Antiqua"/>
          <w:szCs w:val="22"/>
          <w:lang w:eastAsia="sk-SK"/>
        </w:rPr>
      </w:pPr>
      <w:r w:rsidRPr="008F22EB">
        <w:t>Hospodárenie ostatných subjektov ústrednej správy (v tom ostatné podniky ústrednej správy, Rozhlas a televízia Slovenska, Slovenský pozemkový fond, Agentúra pre núdzové zásoby ropy a ropných výrobkov a štátne neziskové organizácie štátu)</w:t>
      </w:r>
      <w:r w:rsidR="00A13F85">
        <w:t xml:space="preserve"> </w:t>
      </w:r>
      <w:r w:rsidRPr="008F22EB">
        <w:t xml:space="preserve">malo celkový pozitívny vplyv na saldo verejnej správy. Spolu zaznamenali prebytok v sume 266 361 tis. eur, čo predstavuje zlepšenie oproti roku 2021 </w:t>
      </w:r>
      <w:r w:rsidRPr="008F22EB">
        <w:rPr>
          <w:rFonts w:cs="Book Antiqua"/>
          <w:szCs w:val="22"/>
          <w:lang w:eastAsia="sk-SK"/>
        </w:rPr>
        <w:t>o 123 646 tis. eur.</w:t>
      </w:r>
      <w:r w:rsidR="00115D0B">
        <w:rPr>
          <w:rFonts w:cs="Book Antiqua"/>
          <w:szCs w:val="22"/>
          <w:lang w:eastAsia="sk-SK"/>
        </w:rPr>
        <w:t xml:space="preserve"> Nasledujúci text opisuje len významné zlepšenia alebo zhoršenia hospodárenia oproti roku 2021.</w:t>
      </w:r>
    </w:p>
    <w:p w14:paraId="074035E6" w14:textId="776D8DB5" w:rsidR="007D1EDC" w:rsidRPr="00BB4B6F" w:rsidRDefault="007D1EDC" w:rsidP="007D1EDC">
      <w:pPr>
        <w:spacing w:after="120" w:line="240" w:lineRule="auto"/>
        <w:jc w:val="both"/>
        <w:rPr>
          <w:highlight w:val="yellow"/>
        </w:rPr>
      </w:pPr>
      <w:r w:rsidRPr="008D3B92">
        <w:rPr>
          <w:rFonts w:cs="Book Antiqua"/>
          <w:szCs w:val="22"/>
          <w:u w:val="single"/>
          <w:lang w:eastAsia="sk-SK"/>
        </w:rPr>
        <w:t>Ostatné ústredné podniky</w:t>
      </w:r>
      <w:r w:rsidRPr="008D3B92">
        <w:rPr>
          <w:rFonts w:cs="Book Antiqua"/>
          <w:szCs w:val="22"/>
          <w:lang w:eastAsia="sk-SK"/>
        </w:rPr>
        <w:t xml:space="preserve"> dosiahli v roku 2022 medziročné zlepšenie hospodárenia o 120 272 tis. eur s </w:t>
      </w:r>
      <w:r w:rsidRPr="008D3B92">
        <w:rPr>
          <w:szCs w:val="22"/>
        </w:rPr>
        <w:t>celkovým prebytkom 131 295 tis. eur</w:t>
      </w:r>
      <w:r w:rsidRPr="008D3B92">
        <w:rPr>
          <w:rFonts w:cs="Book Antiqua"/>
          <w:szCs w:val="22"/>
          <w:lang w:eastAsia="sk-SK"/>
        </w:rPr>
        <w:t>. V</w:t>
      </w:r>
      <w:r w:rsidRPr="008D3B92">
        <w:rPr>
          <w:szCs w:val="22"/>
        </w:rPr>
        <w:t xml:space="preserve"> rámci skupiny hospodárila s najvyšším prebytkom spoločnosť Valaliky Industrial Park, s. r. o. (153 621 tis. eur). Spoločnosť prijala vklad do ZI v hodnote 214 118 tis. eur na realizáciu investičného projektu „Strategické územie Valaliky“. </w:t>
      </w:r>
      <w:r w:rsidR="00981ABA">
        <w:rPr>
          <w:szCs w:val="22"/>
        </w:rPr>
        <w:t>Podľa metodiky ESA2010 bola táto transakcia zaznamenaná ako prijatý kapitálový transfer s vplyvom na saldo hospodárenia</w:t>
      </w:r>
      <w:r w:rsidR="005406D6">
        <w:rPr>
          <w:szCs w:val="22"/>
        </w:rPr>
        <w:t xml:space="preserve"> spoločnosti</w:t>
      </w:r>
      <w:r w:rsidR="00981ABA">
        <w:rPr>
          <w:szCs w:val="22"/>
        </w:rPr>
        <w:t xml:space="preserve">. </w:t>
      </w:r>
      <w:r w:rsidRPr="008D3B92">
        <w:rPr>
          <w:szCs w:val="22"/>
        </w:rPr>
        <w:t>Časť prijatej sumy preinvestovala na obstaranie kapitálových aktív v sume 54 515 tis. eur. Išlo predovšetkým o nákup pozemkov.</w:t>
      </w:r>
    </w:p>
    <w:p w14:paraId="6BAD76BC" w14:textId="3C901911" w:rsidR="00511786" w:rsidRDefault="00511786" w:rsidP="00511786">
      <w:pPr>
        <w:spacing w:after="120" w:line="240" w:lineRule="auto"/>
        <w:jc w:val="both"/>
      </w:pPr>
      <w:r w:rsidRPr="00F25C80">
        <w:rPr>
          <w:u w:val="single"/>
        </w:rPr>
        <w:t>Agentúra pre núdzové zásoby ropy a ropných výrobkov</w:t>
      </w:r>
      <w:r w:rsidRPr="00F25C80">
        <w:t xml:space="preserve"> (EOSA) zaznamenala v roku 2022 zlepšenie hospodárenia o 39 611 tis. eur, keď dosiahla prebytok </w:t>
      </w:r>
      <w:r>
        <w:t xml:space="preserve">vo výške </w:t>
      </w:r>
      <w:r w:rsidRPr="00F25C80">
        <w:t xml:space="preserve">86 214 tis. eur. Pozitívny vplyv na hospodárenie mal nárast celkových </w:t>
      </w:r>
      <w:r>
        <w:t xml:space="preserve">hotovostných </w:t>
      </w:r>
      <w:r w:rsidRPr="00F25C80">
        <w:t xml:space="preserve">príjmov o 4 448  tis. eur a súčasný pokles celkových </w:t>
      </w:r>
      <w:r>
        <w:t xml:space="preserve">hotovostných </w:t>
      </w:r>
      <w:r w:rsidRPr="00F25C80">
        <w:t xml:space="preserve">výdavkov o 3 916 tis. eur. Hlavným zdrojom príjmov sú príjmy z povinného poplatku za udržiavanie núdzových zásob ropy a ropných výrobkov, ktoré dosiahli hodnotu 96 153 tis. eur (nárast o 4 564 tis. eur). Uvedené príjmy z poplatku sa odvíjajú od spotreby, resp. objemu ropy a ropných výrobkov dovezených alebo uvedených do daňového voľného obehu. Pozitívny vplyv </w:t>
      </w:r>
      <w:r>
        <w:t>poklesu</w:t>
      </w:r>
      <w:r w:rsidRPr="00F25C80">
        <w:t xml:space="preserve"> výdavkov </w:t>
      </w:r>
      <w:r>
        <w:t>na obmenu, skladovanie a udržiavanie</w:t>
      </w:r>
      <w:r w:rsidRPr="00F25C80">
        <w:t xml:space="preserve"> núdzových zásob o 10 964 tis. eur bol do veľkej miery neutralizovaný nárastom daňových výdavkov o 7 444 tis. eur.</w:t>
      </w:r>
    </w:p>
    <w:p w14:paraId="78B10121" w14:textId="77777777" w:rsidR="00511786" w:rsidRPr="00F25C80" w:rsidRDefault="00511786" w:rsidP="00511786">
      <w:pPr>
        <w:spacing w:after="120" w:line="240" w:lineRule="auto"/>
        <w:jc w:val="both"/>
      </w:pPr>
      <w:r>
        <w:t xml:space="preserve">Pod zlepšenie hospodárenia sa podpísal najmä nárast </w:t>
      </w:r>
      <w:r w:rsidRPr="00F25C80">
        <w:t xml:space="preserve">pohľadávok v sume 30 870 tis. eur súvisel so zapožičaním núdzových zásob motorovej nafty a automobilového benzínu spoločnosti OMV Slovensko, s. r. o. podľa zákona č. 218/2013  Z. z. o núdzových zásobách ropy a ropných výrobkov a o riešení stavu ropnej núdze, a to z dôvodu vážnej poruchy destilačnej jednotky v rafinérii OMV vo </w:t>
      </w:r>
      <w:proofErr w:type="spellStart"/>
      <w:r w:rsidRPr="00F25C80">
        <w:t>Schwechate</w:t>
      </w:r>
      <w:proofErr w:type="spellEnd"/>
      <w:r w:rsidRPr="00F25C80">
        <w:t xml:space="preserve"> a tým aj ohrozenia zásobovania ropných výrobkov na slovenskom trhu.</w:t>
      </w:r>
    </w:p>
    <w:p w14:paraId="20526588" w14:textId="77777777" w:rsidR="00731361" w:rsidRDefault="00731361">
      <w:pPr>
        <w:rPr>
          <w:szCs w:val="22"/>
          <w:u w:val="single"/>
        </w:rPr>
      </w:pPr>
      <w:r>
        <w:rPr>
          <w:szCs w:val="22"/>
          <w:u w:val="single"/>
        </w:rPr>
        <w:br w:type="page"/>
      </w:r>
    </w:p>
    <w:p w14:paraId="3AF7969F" w14:textId="0C4623D1" w:rsidR="00834BC0" w:rsidRPr="004F0713" w:rsidRDefault="002A7144" w:rsidP="00834BC0">
      <w:pPr>
        <w:spacing w:after="120" w:line="240" w:lineRule="auto"/>
        <w:jc w:val="both"/>
        <w:rPr>
          <w:szCs w:val="22"/>
        </w:rPr>
      </w:pPr>
      <w:r w:rsidRPr="00030A36">
        <w:rPr>
          <w:szCs w:val="22"/>
          <w:u w:val="single"/>
        </w:rPr>
        <w:lastRenderedPageBreak/>
        <w:t>Štátne neziskové organizácie</w:t>
      </w:r>
      <w:r w:rsidRPr="00030A36">
        <w:rPr>
          <w:szCs w:val="22"/>
        </w:rPr>
        <w:t xml:space="preserve"> </w:t>
      </w:r>
      <w:r w:rsidR="00834BC0" w:rsidRPr="00030A36">
        <w:rPr>
          <w:szCs w:val="22"/>
        </w:rPr>
        <w:t xml:space="preserve">dosiahli </w:t>
      </w:r>
      <w:r w:rsidR="00030A36">
        <w:rPr>
          <w:szCs w:val="22"/>
        </w:rPr>
        <w:t>v roku 2022 ESA prebytok 36 979 tis. </w:t>
      </w:r>
      <w:r w:rsidR="00834BC0" w:rsidRPr="00030A36">
        <w:rPr>
          <w:szCs w:val="22"/>
        </w:rPr>
        <w:t>eur, čo predstavuje horší výsledok</w:t>
      </w:r>
      <w:r w:rsidR="00030A36">
        <w:rPr>
          <w:szCs w:val="22"/>
        </w:rPr>
        <w:t xml:space="preserve"> oproti roku 2021 o 35 800 tis. </w:t>
      </w:r>
      <w:r w:rsidR="00834BC0" w:rsidRPr="00030A36">
        <w:rPr>
          <w:szCs w:val="22"/>
        </w:rPr>
        <w:t>eur. Najväčší negatívny vplyv mal Fond na podporu športu, ktorý medziročne zho</w:t>
      </w:r>
      <w:r w:rsidR="00030A36">
        <w:rPr>
          <w:szCs w:val="22"/>
        </w:rPr>
        <w:t>ršil hospodárenie o 45 800 tis. </w:t>
      </w:r>
      <w:r w:rsidR="00834BC0" w:rsidRPr="00030A36">
        <w:rPr>
          <w:szCs w:val="22"/>
        </w:rPr>
        <w:t>eur. Na strane príjmov tohto fondu malo negatívny vplyv čerpanie nižšieho objemu prostried</w:t>
      </w:r>
      <w:r w:rsidR="008D1C30">
        <w:rPr>
          <w:szCs w:val="22"/>
        </w:rPr>
        <w:t>kov</w:t>
      </w:r>
      <w:r w:rsidR="00834BC0" w:rsidRPr="00030A36">
        <w:rPr>
          <w:szCs w:val="22"/>
        </w:rPr>
        <w:t xml:space="preserve"> určen</w:t>
      </w:r>
      <w:r w:rsidR="008D1C30">
        <w:rPr>
          <w:szCs w:val="22"/>
        </w:rPr>
        <w:t>ých</w:t>
      </w:r>
      <w:r w:rsidR="00834BC0" w:rsidRPr="00030A36">
        <w:rPr>
          <w:szCs w:val="22"/>
        </w:rPr>
        <w:t xml:space="preserve"> na budovanie a modernizáciu športovej infraštruktúry medziročne o 18 700 tis.</w:t>
      </w:r>
      <w:r w:rsidR="00030A36">
        <w:rPr>
          <w:szCs w:val="22"/>
        </w:rPr>
        <w:t> </w:t>
      </w:r>
      <w:r w:rsidR="00834BC0" w:rsidRPr="00030A36">
        <w:rPr>
          <w:szCs w:val="22"/>
        </w:rPr>
        <w:t>eur. Taktiež v roku 2022 Fond na podporu športu nedostal finančné prostriedky určené na pomoc a zmiernenie dopadov pandémie COVID-19 pre profesionálny a amatérsky šport, pre prevádzkovateľov športovísk a organizátorov športových p</w:t>
      </w:r>
      <w:r w:rsidR="00030A36">
        <w:rPr>
          <w:szCs w:val="22"/>
        </w:rPr>
        <w:t xml:space="preserve">odujatí </w:t>
      </w:r>
      <w:r w:rsidR="00834BC0" w:rsidRPr="00030A36">
        <w:rPr>
          <w:szCs w:val="22"/>
        </w:rPr>
        <w:t>ako tomu bolo v roku 2021</w:t>
      </w:r>
      <w:r w:rsidR="00115D0B">
        <w:rPr>
          <w:szCs w:val="22"/>
        </w:rPr>
        <w:br/>
        <w:t>(9 500 tis. </w:t>
      </w:r>
      <w:r w:rsidR="00115D0B" w:rsidRPr="00030A36">
        <w:rPr>
          <w:szCs w:val="22"/>
        </w:rPr>
        <w:t>eur</w:t>
      </w:r>
      <w:r w:rsidR="00115D0B">
        <w:rPr>
          <w:szCs w:val="22"/>
        </w:rPr>
        <w:t>)</w:t>
      </w:r>
      <w:r w:rsidR="00834BC0" w:rsidRPr="00030A36">
        <w:rPr>
          <w:szCs w:val="22"/>
        </w:rPr>
        <w:t>. Na strane výdavkov malo negatívny vplyv na medziročné hospodárenie Fondu na podporu športu vyššie čerpanie prostriedkov určených na budovanie športovej infraštruktúry národného významu o 15 798 tis</w:t>
      </w:r>
      <w:r w:rsidR="00030A36">
        <w:rPr>
          <w:szCs w:val="22"/>
        </w:rPr>
        <w:t>. </w:t>
      </w:r>
      <w:r w:rsidR="00834BC0" w:rsidRPr="00030A36">
        <w:rPr>
          <w:szCs w:val="22"/>
        </w:rPr>
        <w:t>eur z dôvodu, že v roku 2021 sa tieto pr</w:t>
      </w:r>
      <w:r w:rsidR="00030A36">
        <w:rPr>
          <w:szCs w:val="22"/>
        </w:rPr>
        <w:t>ostriedky nečerpali a projekty s</w:t>
      </w:r>
      <w:r w:rsidR="00834BC0" w:rsidRPr="00030A36">
        <w:rPr>
          <w:szCs w:val="22"/>
        </w:rPr>
        <w:t>a naplno rozbehli až</w:t>
      </w:r>
      <w:r w:rsidR="008803F6">
        <w:rPr>
          <w:szCs w:val="22"/>
        </w:rPr>
        <w:t> </w:t>
      </w:r>
      <w:r w:rsidR="00834BC0" w:rsidRPr="00030A36">
        <w:rPr>
          <w:szCs w:val="22"/>
        </w:rPr>
        <w:t xml:space="preserve">v roku 2022. </w:t>
      </w:r>
    </w:p>
    <w:p w14:paraId="1547BB47" w14:textId="6951CA99" w:rsidR="00A45FEB" w:rsidRPr="004F0713" w:rsidRDefault="00A45FEB" w:rsidP="00A45FEB">
      <w:pPr>
        <w:spacing w:after="120" w:line="240" w:lineRule="auto"/>
        <w:jc w:val="both"/>
        <w:rPr>
          <w:b/>
          <w:color w:val="4F81BD" w:themeColor="accent1"/>
          <w:sz w:val="24"/>
          <w:szCs w:val="24"/>
        </w:rPr>
      </w:pPr>
      <w:r w:rsidRPr="004F0713">
        <w:rPr>
          <w:b/>
          <w:color w:val="4F81BD" w:themeColor="accent1"/>
          <w:sz w:val="24"/>
          <w:szCs w:val="24"/>
        </w:rPr>
        <w:t>Územná samospráva</w:t>
      </w:r>
    </w:p>
    <w:p w14:paraId="29614D03" w14:textId="77777777" w:rsidR="00B91047" w:rsidRPr="005774D1" w:rsidRDefault="00B91047" w:rsidP="00B91047">
      <w:pPr>
        <w:spacing w:after="120" w:line="240" w:lineRule="auto"/>
        <w:jc w:val="both"/>
        <w:rPr>
          <w:szCs w:val="22"/>
        </w:rPr>
      </w:pPr>
      <w:r w:rsidRPr="005774D1">
        <w:rPr>
          <w:szCs w:val="22"/>
          <w:u w:val="single"/>
        </w:rPr>
        <w:t>Územná samospráva ako celok dosiahla schodok</w:t>
      </w:r>
      <w:r w:rsidRPr="005774D1">
        <w:rPr>
          <w:szCs w:val="22"/>
        </w:rPr>
        <w:t xml:space="preserve">  412 174 tis. eur, čo predstavuje medziročné zhoršenie salda oproti roku 2021 o 390 546 tis. eur (v roku 2021 dosiahla schodok 21 628 tis. eur). </w:t>
      </w:r>
    </w:p>
    <w:p w14:paraId="14D43D04" w14:textId="6C0101EC" w:rsidR="00B91047" w:rsidRPr="00C6563F" w:rsidRDefault="00B91047" w:rsidP="00B91047">
      <w:pPr>
        <w:spacing w:after="120" w:line="240" w:lineRule="auto"/>
        <w:jc w:val="both"/>
        <w:rPr>
          <w:szCs w:val="22"/>
        </w:rPr>
      </w:pPr>
      <w:r w:rsidRPr="00C6563F">
        <w:rPr>
          <w:szCs w:val="22"/>
        </w:rPr>
        <w:t xml:space="preserve">Hospodárenie samospráv v roku 2022 </w:t>
      </w:r>
      <w:r w:rsidRPr="00C6563F">
        <w:rPr>
          <w:iCs/>
          <w:szCs w:val="22"/>
        </w:rPr>
        <w:t>negatívne ovplyvnili viaceré objektívne okolnosti: pandémia koronavírusu, rastúca miera inflácie, rast cien energií, služieb a tovarov, osobitne stavebných materiálov, nárast ďalších povinností bez dostatočných finančných kompenzácií, napr. separovanie kuchynského odpadu, ktoré si obce museli zafinancovať len z poplatkov za odpad, dofinancovanie súkromných domovov sociálnych služieb a škôl, celoplošná zimná údržba, a aj komunálne voľby.</w:t>
      </w:r>
    </w:p>
    <w:p w14:paraId="2D357C86" w14:textId="3DE75CBD" w:rsidR="00B91047" w:rsidRPr="00204F80" w:rsidRDefault="00B91047" w:rsidP="00B91047">
      <w:pPr>
        <w:spacing w:after="120" w:line="240" w:lineRule="auto"/>
        <w:jc w:val="both"/>
        <w:rPr>
          <w:szCs w:val="22"/>
        </w:rPr>
      </w:pPr>
      <w:r w:rsidRPr="00115D0B">
        <w:rPr>
          <w:b/>
          <w:szCs w:val="22"/>
        </w:rPr>
        <w:t>Rozpočtové hospodárenie obcí v  skončilo  so schodkom 287 784 tis. eur.</w:t>
      </w:r>
      <w:r w:rsidRPr="00115D0B">
        <w:rPr>
          <w:szCs w:val="22"/>
        </w:rPr>
        <w:t xml:space="preserve"> V porovnaní s rokom 2021, </w:t>
      </w:r>
      <w:r w:rsidRPr="00204F80">
        <w:rPr>
          <w:szCs w:val="22"/>
        </w:rPr>
        <w:t>došlo k</w:t>
      </w:r>
      <w:r w:rsidR="009C639F">
        <w:rPr>
          <w:szCs w:val="22"/>
        </w:rPr>
        <w:t> zhoršeniu hospodárenia</w:t>
      </w:r>
      <w:r w:rsidRPr="00204F80">
        <w:rPr>
          <w:szCs w:val="22"/>
        </w:rPr>
        <w:t xml:space="preserve"> obcí o 290 155 tis. eur. K negatívnemu vývoju salda obcí prispel vyšší medziročný nárast celkových výdavkov (o 701 715 tis. eur) ako bol nárast celkových príjmov (o 410 811 tis. eur).</w:t>
      </w:r>
    </w:p>
    <w:p w14:paraId="5F830098" w14:textId="2394CCCA" w:rsidR="00F4241D" w:rsidRPr="00C667BA" w:rsidRDefault="00F4241D" w:rsidP="00F4241D">
      <w:pPr>
        <w:spacing w:before="120" w:after="0" w:line="240" w:lineRule="auto"/>
        <w:jc w:val="both"/>
        <w:rPr>
          <w:szCs w:val="22"/>
          <w:highlight w:val="yellow"/>
        </w:rPr>
      </w:pPr>
      <w:r>
        <w:rPr>
          <w:szCs w:val="22"/>
        </w:rPr>
        <w:t xml:space="preserve">Z daňových príjmov (nárast </w:t>
      </w:r>
      <w:r w:rsidRPr="00C667BA">
        <w:rPr>
          <w:szCs w:val="22"/>
        </w:rPr>
        <w:t xml:space="preserve">o 236 705 tis. eur </w:t>
      </w:r>
      <w:r>
        <w:rPr>
          <w:szCs w:val="22"/>
        </w:rPr>
        <w:t xml:space="preserve">) </w:t>
      </w:r>
      <w:r w:rsidRPr="00C667BA">
        <w:rPr>
          <w:szCs w:val="22"/>
        </w:rPr>
        <w:t>má významný podiel daň z príjmov fyzických osôb vrátane sankcií</w:t>
      </w:r>
      <w:r>
        <w:rPr>
          <w:szCs w:val="22"/>
        </w:rPr>
        <w:t>, ktorá</w:t>
      </w:r>
      <w:r w:rsidRPr="00C667BA">
        <w:rPr>
          <w:szCs w:val="22"/>
        </w:rPr>
        <w:t xml:space="preserve"> </w:t>
      </w:r>
      <w:r>
        <w:rPr>
          <w:szCs w:val="22"/>
        </w:rPr>
        <w:t xml:space="preserve">medziročne </w:t>
      </w:r>
      <w:r w:rsidRPr="00C667BA">
        <w:rPr>
          <w:szCs w:val="22"/>
        </w:rPr>
        <w:t>vzrástla o 223 083 tis. eur (o 9,8 %), daň z nehnuteľností (najviac daň zo stavieb) vzrástla o 825 tis. eur (o 0,2 %) a d</w:t>
      </w:r>
      <w:r w:rsidR="00DC28F9">
        <w:rPr>
          <w:szCs w:val="22"/>
        </w:rPr>
        <w:t>ane</w:t>
      </w:r>
      <w:r w:rsidRPr="00C667BA">
        <w:rPr>
          <w:szCs w:val="22"/>
        </w:rPr>
        <w:t xml:space="preserve"> za špecifické služby (daň za rozvoj) vzrástla o 1</w:t>
      </w:r>
      <w:r>
        <w:rPr>
          <w:szCs w:val="22"/>
        </w:rPr>
        <w:t>2</w:t>
      </w:r>
      <w:r w:rsidRPr="00C667BA">
        <w:rPr>
          <w:szCs w:val="22"/>
        </w:rPr>
        <w:t> </w:t>
      </w:r>
      <w:r>
        <w:rPr>
          <w:szCs w:val="22"/>
        </w:rPr>
        <w:t>603</w:t>
      </w:r>
      <w:r w:rsidRPr="00C667BA">
        <w:rPr>
          <w:szCs w:val="22"/>
        </w:rPr>
        <w:t> tis. eur (o </w:t>
      </w:r>
      <w:r>
        <w:rPr>
          <w:szCs w:val="22"/>
        </w:rPr>
        <w:t>5,1</w:t>
      </w:r>
      <w:r w:rsidRPr="00C667BA">
        <w:rPr>
          <w:szCs w:val="22"/>
        </w:rPr>
        <w:t xml:space="preserve"> %). Niektoré z obcí kompenzovali čiastočný výpadok podielových daní zvýšením sadzieb dane z nehnuteľnosti. </w:t>
      </w:r>
    </w:p>
    <w:p w14:paraId="3956E5A6" w14:textId="2F20902C" w:rsidR="00CC6ED3" w:rsidRPr="0048633B" w:rsidRDefault="00F4241D" w:rsidP="00F4241D">
      <w:pPr>
        <w:spacing w:before="120" w:after="0" w:line="240" w:lineRule="auto"/>
        <w:jc w:val="both"/>
        <w:rPr>
          <w:szCs w:val="22"/>
        </w:rPr>
      </w:pPr>
      <w:r w:rsidRPr="0048633B">
        <w:rPr>
          <w:szCs w:val="22"/>
        </w:rPr>
        <w:t>Aj nedaňové príjmy zaznamenali nárast o 112 135 tis. eur.</w:t>
      </w:r>
      <w:r>
        <w:rPr>
          <w:szCs w:val="22"/>
        </w:rPr>
        <w:t xml:space="preserve"> Príjmy z vlastníctva sa zvýšili o 12 158 tis.</w:t>
      </w:r>
      <w:r>
        <w:t> </w:t>
      </w:r>
      <w:r>
        <w:rPr>
          <w:szCs w:val="22"/>
        </w:rPr>
        <w:t xml:space="preserve">eur, z toho príjmy z prenajatých budov, priestorov a objektov o 9 179 tis. eur, </w:t>
      </w:r>
      <w:r w:rsidRPr="0048633B">
        <w:rPr>
          <w:szCs w:val="22"/>
        </w:rPr>
        <w:t>príjmy z administratívnych poplatkov narástli o sumu 74 891 tis. eur, a to naj</w:t>
      </w:r>
      <w:r>
        <w:rPr>
          <w:szCs w:val="22"/>
        </w:rPr>
        <w:t xml:space="preserve">mä poplatky a platby za stravné </w:t>
      </w:r>
      <w:r w:rsidRPr="0048633B">
        <w:rPr>
          <w:szCs w:val="22"/>
        </w:rPr>
        <w:t xml:space="preserve">(o 41 620 tis. eur) a poplatky a platby za predaj výrobkov, tovarov a služieb (o 21 052 tis. eur). Kapitálové príjmy dosiahli úroveň 84 632 tis. eur a oproti skutočnosti roku 2021 došlo k ich nárastu o 22 787 tis. eur (o 36,8 %). </w:t>
      </w:r>
    </w:p>
    <w:p w14:paraId="79FA5D7E" w14:textId="7E614633" w:rsidR="00F4241D" w:rsidRPr="00C245AC" w:rsidRDefault="00F4241D" w:rsidP="00CC6ED3">
      <w:pPr>
        <w:spacing w:before="120" w:after="0" w:line="240" w:lineRule="auto"/>
        <w:jc w:val="both"/>
        <w:rPr>
          <w:szCs w:val="22"/>
        </w:rPr>
      </w:pPr>
      <w:r w:rsidRPr="001577FC">
        <w:rPr>
          <w:szCs w:val="22"/>
        </w:rPr>
        <w:t>Pozitívny vplyv na hospodárenie obcí mali zvýšené transfery a granty zo štátu, ktoré dosiahli úroveň 2 041 271 tis. eur a v porovnaní so skutočnosťou predchádzajúceho roka vzrástli o 61 971 tis. eur</w:t>
      </w:r>
      <w:r>
        <w:rPr>
          <w:szCs w:val="22"/>
        </w:rPr>
        <w:t xml:space="preserve"> </w:t>
      </w:r>
      <w:r w:rsidRPr="00E37EBE">
        <w:rPr>
          <w:szCs w:val="22"/>
        </w:rPr>
        <w:t>(o 3,1 </w:t>
      </w:r>
      <w:r w:rsidRPr="009E50FD">
        <w:rPr>
          <w:szCs w:val="22"/>
        </w:rPr>
        <w:t>%). Oproti roku 2021 došlo k nárastu bežných grantov a transferov o</w:t>
      </w:r>
      <w:r w:rsidR="00434D5E">
        <w:rPr>
          <w:szCs w:val="22"/>
        </w:rPr>
        <w:t> </w:t>
      </w:r>
      <w:r w:rsidRPr="009E50FD">
        <w:rPr>
          <w:szCs w:val="22"/>
        </w:rPr>
        <w:t>617</w:t>
      </w:r>
      <w:r w:rsidR="00434D5E">
        <w:rPr>
          <w:szCs w:val="22"/>
        </w:rPr>
        <w:t> </w:t>
      </w:r>
      <w:r>
        <w:rPr>
          <w:szCs w:val="22"/>
        </w:rPr>
        <w:t xml:space="preserve">tis. eur, </w:t>
      </w:r>
      <w:r w:rsidRPr="009E50FD">
        <w:rPr>
          <w:szCs w:val="22"/>
        </w:rPr>
        <w:t xml:space="preserve">najmä z dôvodu nárastu transferov na prenesený výkon štátnej správy o 51 750 tis. eur (o 5,0 %) a tiež nárastu zahraničných bežných grantov o  510 tis. eur (o 10,5%). </w:t>
      </w:r>
      <w:r>
        <w:rPr>
          <w:szCs w:val="22"/>
        </w:rPr>
        <w:t xml:space="preserve">Medziročne zaznamenali nárast príjmy z kapitálových </w:t>
      </w:r>
      <w:r w:rsidRPr="00C245AC">
        <w:rPr>
          <w:szCs w:val="22"/>
        </w:rPr>
        <w:t>k grantov a transferov o 57 89</w:t>
      </w:r>
      <w:r w:rsidR="00434D5E">
        <w:rPr>
          <w:szCs w:val="22"/>
        </w:rPr>
        <w:t>4</w:t>
      </w:r>
      <w:r w:rsidRPr="00C245AC">
        <w:rPr>
          <w:szCs w:val="22"/>
        </w:rPr>
        <w:t> tis. eur (o 21,5 %) a tiež zahraničné kapitálové granty o 3 03</w:t>
      </w:r>
      <w:r w:rsidR="00434D5E">
        <w:rPr>
          <w:szCs w:val="22"/>
        </w:rPr>
        <w:t>5</w:t>
      </w:r>
      <w:r w:rsidRPr="00C245AC">
        <w:rPr>
          <w:szCs w:val="22"/>
        </w:rPr>
        <w:t> tis. eur (o 44,4 %)</w:t>
      </w:r>
      <w:r>
        <w:rPr>
          <w:szCs w:val="22"/>
        </w:rPr>
        <w:t xml:space="preserve">. </w:t>
      </w:r>
      <w:r w:rsidRPr="00C245AC">
        <w:rPr>
          <w:szCs w:val="22"/>
        </w:rPr>
        <w:t>Uvedené sa premietlo do vyššieho  čerpania kapitálových výdavkov.</w:t>
      </w:r>
    </w:p>
    <w:p w14:paraId="14E19B8B" w14:textId="77777777" w:rsidR="00F4241D" w:rsidRPr="00C245AC" w:rsidRDefault="00F4241D" w:rsidP="00F4241D">
      <w:pPr>
        <w:spacing w:after="120" w:line="240" w:lineRule="auto"/>
        <w:contextualSpacing/>
        <w:jc w:val="both"/>
        <w:rPr>
          <w:szCs w:val="22"/>
        </w:rPr>
      </w:pPr>
      <w:r w:rsidRPr="009E50FD">
        <w:rPr>
          <w:szCs w:val="22"/>
        </w:rPr>
        <w:t>Pozitívny vplyv na saldo eliminoval pokles príjmov z tuzemských bežných transferov zo štátneho rozpočtu o 60 090 tis. eur (o -10,4 %) a príjmy z prostriedkov z rozpočtu Európskej únie o 85 tis. eur (o -11,8 %).</w:t>
      </w:r>
      <w:r>
        <w:rPr>
          <w:szCs w:val="22"/>
        </w:rPr>
        <w:t xml:space="preserve"> </w:t>
      </w:r>
    </w:p>
    <w:p w14:paraId="2E18E536" w14:textId="77777777" w:rsidR="00F4241D" w:rsidRDefault="00F4241D" w:rsidP="00F4241D">
      <w:pPr>
        <w:spacing w:after="120" w:line="240" w:lineRule="auto"/>
        <w:contextualSpacing/>
        <w:jc w:val="both"/>
        <w:rPr>
          <w:szCs w:val="22"/>
          <w:highlight w:val="yellow"/>
        </w:rPr>
      </w:pPr>
    </w:p>
    <w:p w14:paraId="0C1E078F" w14:textId="5C8F58C8" w:rsidR="00F4241D" w:rsidRPr="0053707E" w:rsidRDefault="00F4241D" w:rsidP="00F4241D">
      <w:pPr>
        <w:spacing w:before="120" w:line="240" w:lineRule="auto"/>
        <w:jc w:val="both"/>
        <w:rPr>
          <w:szCs w:val="22"/>
        </w:rPr>
      </w:pPr>
      <w:r w:rsidRPr="0053707E">
        <w:rPr>
          <w:szCs w:val="22"/>
        </w:rPr>
        <w:t>Čiastky, ktoré prijali obce v rámci bežných transferov boli určené na úhradu nákladov súvisiacich s ozbrojeným konfliktom na Ukrajine (na ubytovanie odídencov), na refundáciu výdavkov v súvislosti s ochorením COVID-19,</w:t>
      </w:r>
      <w:r w:rsidR="00907004">
        <w:rPr>
          <w:szCs w:val="22"/>
        </w:rPr>
        <w:t xml:space="preserve"> na prenesený výkon štátnej správy v oblasti školstva,</w:t>
      </w:r>
      <w:r w:rsidRPr="0053707E">
        <w:rPr>
          <w:szCs w:val="22"/>
        </w:rPr>
        <w:t xml:space="preserve"> na ochranu životného prostredia, na sociálne služby a iné. Kapitálové transfery zo ŠR a zahraničných subjektov a tiež prostriedky z EÚ boli obciam poskytnuté na realizáciu prebiehajúcich a plánovaných investičných akcií v rámci projektov odpadového hospodárstva, sociálnych služieb, školstva a dopravy.</w:t>
      </w:r>
    </w:p>
    <w:p w14:paraId="7714C29A" w14:textId="77777777" w:rsidR="00F4241D" w:rsidRPr="0053707E" w:rsidRDefault="00F4241D" w:rsidP="00F4241D">
      <w:pPr>
        <w:spacing w:after="120" w:line="240" w:lineRule="auto"/>
        <w:jc w:val="both"/>
        <w:rPr>
          <w:szCs w:val="22"/>
        </w:rPr>
      </w:pPr>
      <w:r w:rsidRPr="0053707E">
        <w:rPr>
          <w:szCs w:val="22"/>
        </w:rPr>
        <w:t xml:space="preserve">Opatrenia vo vzťahu k hospodáreniu obcí prijaté v súvislosti s pandémiou platili aj pre časť roka 2022 čo vyvolalo zvýšené náklady na ich zabezpečenie. Celkové ESA výdavky obcí dosiahli </w:t>
      </w:r>
      <w:r w:rsidRPr="0053707E">
        <w:rPr>
          <w:szCs w:val="22"/>
        </w:rPr>
        <w:lastRenderedPageBreak/>
        <w:t>úroveň </w:t>
      </w:r>
      <w:r>
        <w:rPr>
          <w:szCs w:val="22"/>
        </w:rPr>
        <w:t>6</w:t>
      </w:r>
      <w:r w:rsidRPr="0053707E">
        <w:rPr>
          <w:szCs w:val="22"/>
        </w:rPr>
        <w:t> </w:t>
      </w:r>
      <w:r>
        <w:rPr>
          <w:szCs w:val="22"/>
        </w:rPr>
        <w:t>218</w:t>
      </w:r>
      <w:r w:rsidRPr="0053707E">
        <w:rPr>
          <w:szCs w:val="22"/>
        </w:rPr>
        <w:t> </w:t>
      </w:r>
      <w:r>
        <w:rPr>
          <w:szCs w:val="22"/>
        </w:rPr>
        <w:t>177</w:t>
      </w:r>
      <w:r w:rsidRPr="0053707E">
        <w:rPr>
          <w:szCs w:val="22"/>
        </w:rPr>
        <w:t> tis. eur, z toho bežné výdavky sa pohybovali na hodnote </w:t>
      </w:r>
      <w:r>
        <w:rPr>
          <w:szCs w:val="22"/>
        </w:rPr>
        <w:t>5</w:t>
      </w:r>
      <w:r w:rsidRPr="0053707E">
        <w:rPr>
          <w:szCs w:val="22"/>
        </w:rPr>
        <w:t> </w:t>
      </w:r>
      <w:r>
        <w:rPr>
          <w:szCs w:val="22"/>
        </w:rPr>
        <w:t>189</w:t>
      </w:r>
      <w:r w:rsidRPr="0053707E">
        <w:rPr>
          <w:szCs w:val="22"/>
        </w:rPr>
        <w:t> 9</w:t>
      </w:r>
      <w:r>
        <w:rPr>
          <w:szCs w:val="22"/>
        </w:rPr>
        <w:t>04</w:t>
      </w:r>
      <w:r w:rsidRPr="0053707E">
        <w:rPr>
          <w:szCs w:val="22"/>
        </w:rPr>
        <w:t> tis. eur a kapitálové výdavky na hodnote </w:t>
      </w:r>
      <w:r>
        <w:rPr>
          <w:szCs w:val="22"/>
        </w:rPr>
        <w:t>974</w:t>
      </w:r>
      <w:r w:rsidRPr="0053707E">
        <w:rPr>
          <w:szCs w:val="22"/>
        </w:rPr>
        <w:t> </w:t>
      </w:r>
      <w:r>
        <w:rPr>
          <w:szCs w:val="22"/>
        </w:rPr>
        <w:t>795</w:t>
      </w:r>
      <w:r w:rsidRPr="0053707E">
        <w:rPr>
          <w:szCs w:val="22"/>
        </w:rPr>
        <w:t xml:space="preserve"> tis. eur. </w:t>
      </w:r>
      <w:r>
        <w:rPr>
          <w:szCs w:val="22"/>
        </w:rPr>
        <w:t>Zvyšok tvoria položky časového rozlíšenia a ostatné úpravy.</w:t>
      </w:r>
    </w:p>
    <w:p w14:paraId="727A7CFC" w14:textId="59E68303" w:rsidR="00F4241D" w:rsidRPr="001054E8" w:rsidRDefault="00F4241D" w:rsidP="00F4241D">
      <w:pPr>
        <w:spacing w:before="120" w:line="240" w:lineRule="auto"/>
        <w:jc w:val="both"/>
        <w:rPr>
          <w:szCs w:val="22"/>
        </w:rPr>
      </w:pPr>
      <w:r w:rsidRPr="00184E0D">
        <w:rPr>
          <w:szCs w:val="22"/>
        </w:rPr>
        <w:t xml:space="preserve">V porovnaní s rokom 2021 došlo k nárastu bežných výdavkov o 443 956 tis. eur (o 9,4 %). Medziročne narástli bežné výdavky na mzdy, platy a ostatné osobné vyrovnania (o 130 817 tis. eur) a s tým súvisiace daňové odvody a odvody do fondov sociálneho a zdravotného poistenia (o 47 456 tis. eur), narástli </w:t>
      </w:r>
      <w:r w:rsidRPr="001054E8">
        <w:rPr>
          <w:szCs w:val="22"/>
        </w:rPr>
        <w:t>výdavky na tovary a služby o 146 114 tis. eur (o 10,1 %), z toho najvyšší nárast výdavkov bol na energiách, výdavkoch na knihy a časopisy, na potravinách, palive a nájme dopravných prostriedkov, na rutinnej a štandardnej údržbe softvéru, nájme za budovy a objekty, na všeobecných službách a </w:t>
      </w:r>
      <w:proofErr w:type="spellStart"/>
      <w:r w:rsidRPr="001054E8">
        <w:rPr>
          <w:szCs w:val="22"/>
        </w:rPr>
        <w:t>vratkách</w:t>
      </w:r>
      <w:proofErr w:type="spellEnd"/>
      <w:r w:rsidRPr="001054E8">
        <w:rPr>
          <w:szCs w:val="22"/>
        </w:rPr>
        <w:t>. Vzrástli výdavky na odmeny a príspevky o sumu 6 736 tis. eur (o 38,8 %). Nárast cien energií štát navyše výrazne kompenz</w:t>
      </w:r>
      <w:r>
        <w:rPr>
          <w:szCs w:val="22"/>
        </w:rPr>
        <w:t>oval uvoľnením 77 000 tis. </w:t>
      </w:r>
      <w:r w:rsidRPr="001054E8">
        <w:rPr>
          <w:szCs w:val="22"/>
        </w:rPr>
        <w:t>eur pre regionálne školstvo</w:t>
      </w:r>
      <w:r>
        <w:rPr>
          <w:szCs w:val="22"/>
        </w:rPr>
        <w:t xml:space="preserve">. </w:t>
      </w:r>
      <w:r w:rsidRPr="001054E8">
        <w:rPr>
          <w:szCs w:val="22"/>
        </w:rPr>
        <w:t xml:space="preserve">Z bežných výdavkov sa medziročne ušetrilo najmä na výpočtovej technike, všeobecnom materiály, rutinnej a štandardnej údržbe budov a objektov, na vyplatených cestovných náhradách a za odmeny mimo pracovného pomeru (o 25 988 tis. eur). </w:t>
      </w:r>
    </w:p>
    <w:p w14:paraId="6019D73E" w14:textId="77777777" w:rsidR="00F4241D" w:rsidRPr="0023630F" w:rsidRDefault="00F4241D" w:rsidP="00F4241D">
      <w:pPr>
        <w:spacing w:before="120" w:after="0" w:line="240" w:lineRule="auto"/>
        <w:jc w:val="both"/>
        <w:rPr>
          <w:szCs w:val="22"/>
        </w:rPr>
      </w:pPr>
      <w:r w:rsidRPr="00226706">
        <w:rPr>
          <w:szCs w:val="22"/>
        </w:rPr>
        <w:t xml:space="preserve">Recipročne k vyšším prijatým bežným grantom a transferom sa čerpali výdavky na bežné transfery sumou 800 818 tis. eur. Na zvýšení o 118 926 tis. eur (o 17,4 %) sa podieľali najmä transfery v rámci verejnej správy, z toho boli vyššie najmä transfery pre príspevkové organizácie o 15 461 tis. eur a obci na úhradu nákladov preneseného výkonu štátnej správy o 8 203 tis. eur, avšak opačný efekt sa prejavil </w:t>
      </w:r>
      <w:r w:rsidRPr="0023630F">
        <w:rPr>
          <w:szCs w:val="22"/>
        </w:rPr>
        <w:t>v nižších dotáciách pre dopravné podniky (pokles o 12 932 tis. eur).</w:t>
      </w:r>
    </w:p>
    <w:p w14:paraId="5A633D90" w14:textId="77777777" w:rsidR="00F4241D" w:rsidRPr="0023630F" w:rsidRDefault="00F4241D" w:rsidP="00F4241D">
      <w:pPr>
        <w:spacing w:before="120" w:after="0" w:line="240" w:lineRule="auto"/>
        <w:jc w:val="both"/>
        <w:rPr>
          <w:szCs w:val="22"/>
        </w:rPr>
      </w:pPr>
      <w:r w:rsidRPr="0023630F">
        <w:rPr>
          <w:szCs w:val="22"/>
        </w:rPr>
        <w:t xml:space="preserve">Zvýšili sa tiež bežné transfery jednotlivcom a neziskovým právnickým osobám </w:t>
      </w:r>
      <w:r w:rsidRPr="0023630F">
        <w:t>o 98 955 tis</w:t>
      </w:r>
      <w:r w:rsidRPr="0023630F">
        <w:rPr>
          <w:szCs w:val="22"/>
        </w:rPr>
        <w:t>. eur (o 46,1 %), z toho najviac súkromným školám (o 17 716 tis. eur), transfery nefinančným subjektom nezaradeným vo verejnej správe a zároveň poklesli náklady na likvidáciu  akciových spoločností (o -39,7 %) a bežné transfery do zahraničia (o -8,6 %).</w:t>
      </w:r>
    </w:p>
    <w:p w14:paraId="2C3DA790" w14:textId="3CB7CD2C" w:rsidR="00F4241D" w:rsidRPr="004B3C7E" w:rsidRDefault="00F4241D" w:rsidP="00F4241D">
      <w:pPr>
        <w:spacing w:before="120" w:line="240" w:lineRule="auto"/>
        <w:jc w:val="both"/>
        <w:rPr>
          <w:sz w:val="24"/>
          <w:szCs w:val="24"/>
        </w:rPr>
      </w:pPr>
      <w:r w:rsidRPr="00B91824">
        <w:rPr>
          <w:szCs w:val="22"/>
        </w:rPr>
        <w:t>Oproti predchádzajúcemu obdobiu, kedy obce šetrili na investíciách a bolo čiastočne pozastavené čerpanie kapitálových výdavkov, sa v roku 2022 naplno rozbehli investičné akcie a rozvojové projekty čo sa prejavilo v medziročnom náraste výdavkov na obstaranie kapitálových aktív o sumu  246 430 tis. eur (o 35,4 %). Viac sa čerpalo nielen v súvislosti s</w:t>
      </w:r>
      <w:r w:rsidR="00907004">
        <w:rPr>
          <w:szCs w:val="22"/>
        </w:rPr>
        <w:t>o zmiernením pandémie</w:t>
      </w:r>
      <w:r w:rsidRPr="00B91824">
        <w:rPr>
          <w:szCs w:val="22"/>
        </w:rPr>
        <w:t xml:space="preserve">, ale aj z dôvodu časového posunu realizácie projektov </w:t>
      </w:r>
      <w:r w:rsidRPr="00E7720E">
        <w:rPr>
          <w:szCs w:val="22"/>
        </w:rPr>
        <w:t xml:space="preserve">spolufinancovaných z prostriedkov EŠIF a súvisiaceho procesu obstarávania. Z tohto pohľadu mala medziročne najvyšší nárast realizácia nových stavieb spolu s rekonštrukciou, modernizáciou  a stavebnými úpravami o 237 873 tis. eur. Z investičných výdavkov boli finančné zdroje </w:t>
      </w:r>
      <w:r>
        <w:rPr>
          <w:szCs w:val="22"/>
        </w:rPr>
        <w:t xml:space="preserve">alokované do </w:t>
      </w:r>
      <w:r w:rsidRPr="00E7720E">
        <w:rPr>
          <w:szCs w:val="22"/>
        </w:rPr>
        <w:t xml:space="preserve"> projekt</w:t>
      </w:r>
      <w:r>
        <w:rPr>
          <w:szCs w:val="22"/>
        </w:rPr>
        <w:t>ov</w:t>
      </w:r>
      <w:r w:rsidRPr="00E7720E">
        <w:rPr>
          <w:szCs w:val="22"/>
        </w:rPr>
        <w:t xml:space="preserve"> sociálnej inklúzie,</w:t>
      </w:r>
      <w:r>
        <w:rPr>
          <w:szCs w:val="22"/>
        </w:rPr>
        <w:t xml:space="preserve"> na</w:t>
      </w:r>
      <w:r w:rsidRPr="00E7720E">
        <w:rPr>
          <w:szCs w:val="22"/>
        </w:rPr>
        <w:t xml:space="preserve"> elimináciu súčasných zdrojov znečisťovania v rámci projektov kvalita životného prostredia, na rozšírenie kanalizačných sietí  a čističiek odpadových vôd, na zníženie energetickej náročnosti budov, na výstavbu, modernizáciu a rekonštrukciu budov, na nákup pozemkov, nákladných vozidiel a špeciálnych strojov</w:t>
      </w:r>
      <w:r w:rsidR="00CC6ED3">
        <w:rPr>
          <w:szCs w:val="22"/>
        </w:rPr>
        <w:t xml:space="preserve"> a ďalšie projekty </w:t>
      </w:r>
      <w:r w:rsidRPr="00E7720E">
        <w:rPr>
          <w:szCs w:val="22"/>
        </w:rPr>
        <w:t xml:space="preserve">rozvoja občianskej vybavenosti </w:t>
      </w:r>
      <w:r w:rsidR="00CC6ED3">
        <w:rPr>
          <w:szCs w:val="22"/>
        </w:rPr>
        <w:t xml:space="preserve">a infraštruktúry. </w:t>
      </w:r>
      <w:r w:rsidRPr="00E7720E">
        <w:rPr>
          <w:szCs w:val="22"/>
        </w:rPr>
        <w:t>Výdavky boli čerpané v rámci programov financovaných z vlastných a úverových zdrojov, ale i zo zdrojov EÚ a spolufinancovania ŠR</w:t>
      </w:r>
      <w:r w:rsidRPr="004B3C7E">
        <w:rPr>
          <w:sz w:val="24"/>
          <w:szCs w:val="24"/>
        </w:rPr>
        <w:t xml:space="preserve">. </w:t>
      </w:r>
    </w:p>
    <w:p w14:paraId="0CE543C5" w14:textId="2820C71D" w:rsidR="00F4241D" w:rsidRPr="00E7720E" w:rsidRDefault="00F4241D" w:rsidP="00F4241D">
      <w:pPr>
        <w:spacing w:before="120" w:after="0" w:line="240" w:lineRule="auto"/>
        <w:jc w:val="both"/>
        <w:rPr>
          <w:szCs w:val="22"/>
        </w:rPr>
      </w:pPr>
      <w:r w:rsidRPr="00986AB5">
        <w:rPr>
          <w:szCs w:val="22"/>
        </w:rPr>
        <w:t>Ani v poskytovaní kapitálových transferov nedosiahli obce úsporu, poskytnutá suma vo výške  32 624 tis. eur znamená medziročný nárast o 11 329 tis. eur (o 53,2 %). Najv</w:t>
      </w:r>
      <w:r w:rsidR="00D35E45">
        <w:rPr>
          <w:szCs w:val="22"/>
        </w:rPr>
        <w:t>yšší</w:t>
      </w:r>
      <w:r w:rsidRPr="00986AB5">
        <w:rPr>
          <w:szCs w:val="22"/>
        </w:rPr>
        <w:t xml:space="preserve"> medziročný nárast mali </w:t>
      </w:r>
      <w:r w:rsidRPr="00E7720E">
        <w:rPr>
          <w:szCs w:val="22"/>
        </w:rPr>
        <w:t xml:space="preserve">transfery iným obciam, príspevkovým organizáciám a pre dopravné podniky v úhrne o 10 292 tis. eur. </w:t>
      </w:r>
    </w:p>
    <w:p w14:paraId="5265A459" w14:textId="16BFD6C8" w:rsidR="00F4241D" w:rsidRPr="00BF1954" w:rsidRDefault="00F4241D" w:rsidP="00F4241D">
      <w:pPr>
        <w:spacing w:before="120" w:after="0" w:line="240" w:lineRule="auto"/>
        <w:jc w:val="both"/>
        <w:rPr>
          <w:szCs w:val="22"/>
        </w:rPr>
      </w:pPr>
      <w:r w:rsidRPr="00E7720E">
        <w:rPr>
          <w:szCs w:val="22"/>
        </w:rPr>
        <w:t>Medzi negatívne faktory ovplyvňujúce saldo hospodárenia patrila zmena stavu položiek časového rozlíšenia vo výške 37 301 tis</w:t>
      </w:r>
      <w:r w:rsidRPr="00BF1954">
        <w:rPr>
          <w:szCs w:val="22"/>
        </w:rPr>
        <w:t>. eur a ostatných úprav vo výške 1 274 tis. eur. Z nich sa najviac na ESA schodku podieľal nárast záväzkov o 52 044 tis. eur (najmä záväzkov voči dodávateľom a prijatých preddavkov o 48 514 tis. eur a ostatných záväzkov o 44 239 tis. eur). Nárast pohľadávok z nedaňových príjmov o sumu 3 219 tis. eur, ostatných pohľadávok o 4 123 tis. eur a nákladov budúcich období o 2 097 tis. eur čiastočne eliminoval vplyv spôsobený nárastom záväzkov.</w:t>
      </w:r>
    </w:p>
    <w:p w14:paraId="6ACC1192" w14:textId="3761D70D" w:rsidR="003A2324" w:rsidRPr="00164FF6" w:rsidRDefault="003A2324" w:rsidP="003A2324">
      <w:pPr>
        <w:spacing w:before="120" w:after="120" w:line="240" w:lineRule="auto"/>
        <w:jc w:val="both"/>
        <w:rPr>
          <w:szCs w:val="22"/>
        </w:rPr>
      </w:pPr>
      <w:r w:rsidRPr="00164FF6">
        <w:rPr>
          <w:szCs w:val="22"/>
          <w:u w:val="single"/>
        </w:rPr>
        <w:t>Vyššie územné celky</w:t>
      </w:r>
      <w:r w:rsidRPr="00164FF6">
        <w:rPr>
          <w:szCs w:val="22"/>
        </w:rPr>
        <w:t xml:space="preserve"> </w:t>
      </w:r>
      <w:r w:rsidRPr="00BF1954">
        <w:rPr>
          <w:b/>
          <w:szCs w:val="22"/>
        </w:rPr>
        <w:t>zhoršili svoje hospodárenie oproti roku 2021</w:t>
      </w:r>
      <w:r w:rsidRPr="00164FF6">
        <w:rPr>
          <w:szCs w:val="22"/>
        </w:rPr>
        <w:t xml:space="preserve"> a dosiahli schodok vo výške 141 839 tis. eur, čo je pokles salda o 115 091 tis. eur. Na negatívny vývoj salda vplýval predovšetkým medziročný nárast výdavkov, ktorý bol vyšší v porovnaní s medziročným rastom príjmov. </w:t>
      </w:r>
    </w:p>
    <w:p w14:paraId="31CAFB70" w14:textId="4AD34AD9" w:rsidR="003A2324" w:rsidRPr="00B6621A" w:rsidRDefault="003A2324" w:rsidP="003A2324">
      <w:pPr>
        <w:spacing w:after="120" w:line="240" w:lineRule="auto"/>
        <w:jc w:val="both"/>
        <w:rPr>
          <w:szCs w:val="22"/>
        </w:rPr>
      </w:pPr>
      <w:r w:rsidRPr="00B6621A">
        <w:rPr>
          <w:szCs w:val="22"/>
        </w:rPr>
        <w:t>Medziročné zvýšenie rozpočtu bežných príjmov ovplyvnili najmä vyšší výnos z podielu dane z príjmu o 98 95</w:t>
      </w:r>
      <w:r w:rsidR="00AA6122">
        <w:rPr>
          <w:szCs w:val="22"/>
        </w:rPr>
        <w:t>5</w:t>
      </w:r>
      <w:r w:rsidRPr="00B6621A">
        <w:rPr>
          <w:szCs w:val="22"/>
        </w:rPr>
        <w:t> tis. eur (o 10,0 %), nárast príjmov z dividend o 1 800 tis. eur, príjmov z predaja výrobkov, tovarov a služieb o 4 992 tis. eur, príjmov za stravné v školách a školských zariadeniach o 7 106 tis. eur</w:t>
      </w:r>
      <w:r>
        <w:rPr>
          <w:szCs w:val="22"/>
        </w:rPr>
        <w:t xml:space="preserve"> </w:t>
      </w:r>
      <w:r>
        <w:rPr>
          <w:szCs w:val="22"/>
        </w:rPr>
        <w:lastRenderedPageBreak/>
        <w:t>a príjmov z </w:t>
      </w:r>
      <w:proofErr w:type="spellStart"/>
      <w:r>
        <w:rPr>
          <w:szCs w:val="22"/>
        </w:rPr>
        <w:t>vratiek</w:t>
      </w:r>
      <w:proofErr w:type="spellEnd"/>
      <w:r>
        <w:rPr>
          <w:szCs w:val="22"/>
        </w:rPr>
        <w:t xml:space="preserve"> o 3 671 tis. eur </w:t>
      </w:r>
      <w:r w:rsidRPr="00B6621A">
        <w:rPr>
          <w:szCs w:val="22"/>
        </w:rPr>
        <w:t>eliminovaný poklesom príjmov z prenájmu majetku VÚC (budov a priestorov) o 1 775 tis. eur</w:t>
      </w:r>
      <w:r>
        <w:rPr>
          <w:szCs w:val="22"/>
        </w:rPr>
        <w:t xml:space="preserve"> a iných príjmov a refundácií o 2 065 tis. eur</w:t>
      </w:r>
      <w:r w:rsidRPr="00B6621A">
        <w:rPr>
          <w:szCs w:val="22"/>
        </w:rPr>
        <w:t xml:space="preserve">. Ide najmä o platby od občanov umiestnených v zariadeniach sociálnych služieb za poskytované služby, platby za stravné, za ubytovacie služby, poplatky a platby za zápisné a školné a z administratívnych poplatkov. </w:t>
      </w:r>
    </w:p>
    <w:p w14:paraId="0EFEAF00" w14:textId="69646855" w:rsidR="003A2324" w:rsidRPr="00E90CD3" w:rsidRDefault="003A2324" w:rsidP="003A2324">
      <w:pPr>
        <w:spacing w:after="120" w:line="240" w:lineRule="auto"/>
        <w:jc w:val="both"/>
        <w:rPr>
          <w:szCs w:val="22"/>
        </w:rPr>
      </w:pPr>
      <w:r w:rsidRPr="00641BF9">
        <w:rPr>
          <w:szCs w:val="22"/>
        </w:rPr>
        <w:t>Z prostriedkov štátneho rozpočtu a zo zahraničných grantov a transferov boli VÚC poskytnuté bežné granty a transfery v sume 595 863 tis. eur, z toho tuzemské bežné transfery v sume 591 714 tis. eur a zahraničné bežné granty vo výške 4 </w:t>
      </w:r>
      <w:r w:rsidRPr="00E90CD3">
        <w:rPr>
          <w:szCs w:val="22"/>
        </w:rPr>
        <w:t>148 tis. eur. Ich medziročný</w:t>
      </w:r>
      <w:r w:rsidRPr="00641BF9">
        <w:rPr>
          <w:szCs w:val="22"/>
        </w:rPr>
        <w:t xml:space="preserve"> nárast o 14 759 tis. eur (o 2,5 %) mal pozitívny vplyv na saldo</w:t>
      </w:r>
      <w:r w:rsidRPr="00E90CD3">
        <w:rPr>
          <w:szCs w:val="22"/>
        </w:rPr>
        <w:t>. Väčšiu časť z prijatých transferov samosprávnych krajov tvoria transfery určené na prenesený výkon štátnej správy v oblasti školstva, ktoré sa upravovali smerom nahor z dôvodu zmien normatívnych a nenormatívnych finančných prostriedkov, financovali sa úlohy spojené s regionálnym rozvojom, ochranou životného prostredia, ako aj realizácia projektov spolufinancovaných z Európskej únie. Účelové dotácie boli použité najmä na  financovanie kompetencií preneseného výkonu štátnej správy.</w:t>
      </w:r>
    </w:p>
    <w:p w14:paraId="5B8C4FEA" w14:textId="1CFF8A4B" w:rsidR="003A2324" w:rsidRPr="0021541C" w:rsidRDefault="003A2324" w:rsidP="003A2324">
      <w:pPr>
        <w:spacing w:after="120" w:line="240" w:lineRule="auto"/>
        <w:jc w:val="both"/>
        <w:rPr>
          <w:szCs w:val="22"/>
        </w:rPr>
      </w:pPr>
      <w:r w:rsidRPr="0021541C">
        <w:rPr>
          <w:szCs w:val="22"/>
        </w:rPr>
        <w:t>Rastúci trend pozitívne ovplyvnil nárast prijatých tuzemsk</w:t>
      </w:r>
      <w:r w:rsidR="00DE42BE">
        <w:rPr>
          <w:szCs w:val="22"/>
        </w:rPr>
        <w:t>ých kapitálových</w:t>
      </w:r>
      <w:r w:rsidRPr="0021541C">
        <w:rPr>
          <w:szCs w:val="22"/>
        </w:rPr>
        <w:t xml:space="preserve"> grantov a transferov mierne negovaný poklesom prijatých zahraničných grantov určených na financovanie projektov, ktoré oproti roku 2021 vzrástli v úhrne o 4 010 tis. eur (o 7,5 %). Išlo najmä o refundáciu výdavkov na </w:t>
      </w:r>
      <w:proofErr w:type="spellStart"/>
      <w:r w:rsidRPr="0021541C">
        <w:rPr>
          <w:szCs w:val="22"/>
        </w:rPr>
        <w:t>zazmluvnených</w:t>
      </w:r>
      <w:proofErr w:type="spellEnd"/>
      <w:r w:rsidRPr="0021541C">
        <w:rPr>
          <w:szCs w:val="22"/>
        </w:rPr>
        <w:t xml:space="preserve"> projektoch.</w:t>
      </w:r>
    </w:p>
    <w:p w14:paraId="30E2B7B3" w14:textId="14AAEB39" w:rsidR="003A2324" w:rsidRPr="0021541C" w:rsidRDefault="003A2324" w:rsidP="003A2324">
      <w:pPr>
        <w:spacing w:after="120" w:line="240" w:lineRule="auto"/>
        <w:jc w:val="both"/>
        <w:rPr>
          <w:szCs w:val="22"/>
        </w:rPr>
      </w:pPr>
      <w:r w:rsidRPr="0021541C">
        <w:rPr>
          <w:szCs w:val="22"/>
        </w:rPr>
        <w:t>Bežné výdavky vzrástli úhrnom medziročne o 1</w:t>
      </w:r>
      <w:r w:rsidR="001946A9">
        <w:rPr>
          <w:szCs w:val="22"/>
        </w:rPr>
        <w:t>33 454 tis. eur</w:t>
      </w:r>
      <w:r w:rsidR="00BE7472">
        <w:rPr>
          <w:szCs w:val="22"/>
        </w:rPr>
        <w:t xml:space="preserve">. </w:t>
      </w:r>
      <w:r w:rsidRPr="0021541C">
        <w:rPr>
          <w:szCs w:val="22"/>
        </w:rPr>
        <w:t>Transfery v rámci verejnej správy vzrástli o 79 761 tis. eur a boli smerované najmä príspevkovým organizáciám (nárast o 36 137 tis. eur), obciam a rozpočtovým organizáciám. Transfery mimo verejnej správy poskytnuté jednotlivcom a neziskovým právnickým osobám, občianskym združeniam a nadáciám, dotácie dopravcom – právnickým osobám nezaradeným v sektore verejnej správy, ktorí zabezpečujú výkony vo verejnom záujme a na vykrytie strát vo verejnom záujme pri zabezpečovaní prímestskej autobusovej dopravy osôb a iným subjektom sa zvýšili úhrnom o 42 857 tis. eur.</w:t>
      </w:r>
    </w:p>
    <w:p w14:paraId="04AE12E4" w14:textId="5DD8DEEF" w:rsidR="003A2324" w:rsidRPr="003A1304" w:rsidRDefault="005371FD" w:rsidP="003A2324">
      <w:pPr>
        <w:spacing w:after="120" w:line="240" w:lineRule="auto"/>
        <w:jc w:val="both"/>
        <w:rPr>
          <w:szCs w:val="22"/>
        </w:rPr>
      </w:pPr>
      <w:r>
        <w:rPr>
          <w:szCs w:val="22"/>
        </w:rPr>
        <w:t>L</w:t>
      </w:r>
      <w:r w:rsidR="003A2324" w:rsidRPr="003A1304">
        <w:rPr>
          <w:szCs w:val="22"/>
        </w:rPr>
        <w:t>egislatívne opatrenia ako sú zvýšenie miezd zamestnancov vo verejnej správe úpravou platových taríf zvýšili výdavky na mzdy a odvody o 24 290 tis. eur</w:t>
      </w:r>
      <w:r w:rsidR="003A2324">
        <w:rPr>
          <w:szCs w:val="22"/>
        </w:rPr>
        <w:t xml:space="preserve"> </w:t>
      </w:r>
      <w:r w:rsidR="003A2324" w:rsidRPr="0021541C">
        <w:rPr>
          <w:szCs w:val="22"/>
        </w:rPr>
        <w:t>(o </w:t>
      </w:r>
      <w:r w:rsidR="003A2324">
        <w:rPr>
          <w:szCs w:val="22"/>
        </w:rPr>
        <w:t>8</w:t>
      </w:r>
      <w:r w:rsidR="003A2324" w:rsidRPr="0021541C">
        <w:rPr>
          <w:szCs w:val="22"/>
        </w:rPr>
        <w:t>,</w:t>
      </w:r>
      <w:r w:rsidR="003A2324">
        <w:rPr>
          <w:szCs w:val="22"/>
        </w:rPr>
        <w:t>8</w:t>
      </w:r>
      <w:r w:rsidR="003A2324" w:rsidRPr="0021541C">
        <w:rPr>
          <w:szCs w:val="22"/>
        </w:rPr>
        <w:t> %)</w:t>
      </w:r>
      <w:r w:rsidR="003A2324" w:rsidRPr="003A1304">
        <w:rPr>
          <w:szCs w:val="22"/>
        </w:rPr>
        <w:t xml:space="preserve">, medziročne o sumu 29 593 tis. eur </w:t>
      </w:r>
      <w:r w:rsidR="003A2324" w:rsidRPr="0021541C">
        <w:rPr>
          <w:szCs w:val="22"/>
        </w:rPr>
        <w:t>(o </w:t>
      </w:r>
      <w:r w:rsidR="003A2324">
        <w:rPr>
          <w:szCs w:val="22"/>
        </w:rPr>
        <w:t>12</w:t>
      </w:r>
      <w:r w:rsidR="003A2324" w:rsidRPr="0021541C">
        <w:rPr>
          <w:szCs w:val="22"/>
        </w:rPr>
        <w:t>,</w:t>
      </w:r>
      <w:r w:rsidR="003A2324">
        <w:rPr>
          <w:szCs w:val="22"/>
        </w:rPr>
        <w:t>2</w:t>
      </w:r>
      <w:r w:rsidR="003A2324" w:rsidRPr="0021541C">
        <w:rPr>
          <w:szCs w:val="22"/>
        </w:rPr>
        <w:t> %)</w:t>
      </w:r>
      <w:r w:rsidR="003A2324">
        <w:rPr>
          <w:szCs w:val="22"/>
        </w:rPr>
        <w:t xml:space="preserve"> </w:t>
      </w:r>
      <w:r w:rsidR="003A2324" w:rsidRPr="003A1304">
        <w:rPr>
          <w:szCs w:val="22"/>
        </w:rPr>
        <w:t>narástli výdavky na tovary a služby, z toho najviac na energie, všeobecný materiál, potraviny, zahraničné cestovné náhrady, cestovné náhrady, na špeciálne služby a výdavky zdravotníckym zariadeniam.</w:t>
      </w:r>
    </w:p>
    <w:p w14:paraId="0D9EEECC" w14:textId="77777777" w:rsidR="003A2324" w:rsidRPr="001009AE" w:rsidRDefault="003A2324" w:rsidP="003A2324">
      <w:pPr>
        <w:spacing w:after="120" w:line="240" w:lineRule="auto"/>
        <w:jc w:val="both"/>
        <w:rPr>
          <w:szCs w:val="22"/>
        </w:rPr>
      </w:pPr>
      <w:r w:rsidRPr="001009AE">
        <w:rPr>
          <w:szCs w:val="22"/>
        </w:rPr>
        <w:t xml:space="preserve">Negatívny vplyv tohto rastu čiastočne eliminovali úspory v obstaraní interiérového vybavenia, výpočtovej techniky, prevádzkových strojoch, daniach a vo výdavkoch za nezrovnalosti a iné </w:t>
      </w:r>
      <w:proofErr w:type="spellStart"/>
      <w:r w:rsidRPr="001009AE">
        <w:rPr>
          <w:szCs w:val="22"/>
        </w:rPr>
        <w:t>vratky</w:t>
      </w:r>
      <w:proofErr w:type="spellEnd"/>
      <w:r w:rsidRPr="001009AE">
        <w:rPr>
          <w:szCs w:val="22"/>
        </w:rPr>
        <w:t xml:space="preserve"> za prostriedky EÚ. </w:t>
      </w:r>
    </w:p>
    <w:p w14:paraId="253BBA2A" w14:textId="780D9E96" w:rsidR="003A2324" w:rsidRPr="00CB718A" w:rsidRDefault="003A2324" w:rsidP="003A2324">
      <w:pPr>
        <w:spacing w:before="120" w:line="240" w:lineRule="auto"/>
        <w:jc w:val="both"/>
        <w:rPr>
          <w:szCs w:val="22"/>
        </w:rPr>
      </w:pPr>
      <w:r w:rsidRPr="00983FCE">
        <w:rPr>
          <w:szCs w:val="22"/>
        </w:rPr>
        <w:t>V nadväznosti na uvoľnenie opatrení z predchádzajúcich období a vyššie prijaté kapitálové granty a transfery čerpali samosprávne kraje kapitálové výdavky na úrovni 320 806 tis. eur, čo predstavuje medziročný nárast o 103 460 tis. eur (o 47,6 %).</w:t>
      </w:r>
      <w:r>
        <w:rPr>
          <w:szCs w:val="22"/>
        </w:rPr>
        <w:t xml:space="preserve"> Výdavky na obstarávanie kapitálových </w:t>
      </w:r>
      <w:r w:rsidR="005371FD">
        <w:rPr>
          <w:szCs w:val="22"/>
        </w:rPr>
        <w:t xml:space="preserve">aktív </w:t>
      </w:r>
      <w:r>
        <w:rPr>
          <w:szCs w:val="22"/>
        </w:rPr>
        <w:t>sa zvýšili o 69 03</w:t>
      </w:r>
      <w:r w:rsidR="00BE7472">
        <w:rPr>
          <w:szCs w:val="22"/>
        </w:rPr>
        <w:t>9</w:t>
      </w:r>
      <w:r>
        <w:rPr>
          <w:szCs w:val="22"/>
        </w:rPr>
        <w:t xml:space="preserve"> tis. eur a časť z nich bola použitá na </w:t>
      </w:r>
      <w:r w:rsidRPr="0021541C">
        <w:t>dofinancovanie investičných akcií schválených v</w:t>
      </w:r>
      <w:r w:rsidR="00DD4867">
        <w:t> </w:t>
      </w:r>
      <w:r w:rsidRPr="0021541C">
        <w:t>predchádzajúcich rokoch, ktoré boli ku koncu minulého roka neukončené alebo neuhradené</w:t>
      </w:r>
      <w:r>
        <w:t xml:space="preserve">,  ďalej na spolufinancovanie projektových dokumentácií v súvislosti s možnosťou uchádzať sa o finančné prostriedky z Plánu obnovy a odolnosti, na výdavky súvisiace s prípravou výstavby cyklotrás (štúdie, projektové dokumentácie). </w:t>
      </w:r>
      <w:r w:rsidRPr="00CB718A">
        <w:rPr>
          <w:szCs w:val="22"/>
        </w:rPr>
        <w:t>Kapitálové transfery poskytli VÚC najmä príspevkovým organizáciám v objeme 75 582 tis. eur (nárast o 55,8 % oproti roku 2021).</w:t>
      </w:r>
    </w:p>
    <w:p w14:paraId="7F619D9E" w14:textId="77777777" w:rsidR="003A2324" w:rsidRPr="005371FD" w:rsidRDefault="003A2324" w:rsidP="005427F0">
      <w:pPr>
        <w:spacing w:before="120" w:line="240" w:lineRule="auto"/>
        <w:jc w:val="both"/>
        <w:rPr>
          <w:szCs w:val="22"/>
        </w:rPr>
      </w:pPr>
      <w:r w:rsidRPr="005371FD">
        <w:rPr>
          <w:szCs w:val="22"/>
        </w:rPr>
        <w:t xml:space="preserve">Saldo ESA 2010 bolo ovplyvnené aj nárastom záväzkov o 23 236 tis. eur, z toho najvyšší medziročný nárast mali záväzky voči dodávateľom (o 16 282 tis. eur). V menšej miere k zhoršeniu prebytku prispel aj nárast ostatných záväzkov (o 6 575 tis. eur) oproti predchádzajúcemu obdobiu. </w:t>
      </w:r>
    </w:p>
    <w:p w14:paraId="4452AB3F" w14:textId="67BD8F72" w:rsidR="00B91047" w:rsidRDefault="00B91047" w:rsidP="00B91047">
      <w:pPr>
        <w:autoSpaceDE w:val="0"/>
        <w:autoSpaceDN w:val="0"/>
        <w:adjustRightInd w:val="0"/>
        <w:spacing w:after="0" w:line="240" w:lineRule="auto"/>
        <w:jc w:val="both"/>
        <w:rPr>
          <w:szCs w:val="22"/>
        </w:rPr>
      </w:pPr>
      <w:r w:rsidRPr="001C2D88">
        <w:rPr>
          <w:szCs w:val="22"/>
          <w:u w:val="single"/>
        </w:rPr>
        <w:t>Dopravné podniky samosprávy</w:t>
      </w:r>
      <w:r w:rsidRPr="005E1070">
        <w:rPr>
          <w:rStyle w:val="Odkaznapoznmkupodiarou"/>
          <w:szCs w:val="22"/>
        </w:rPr>
        <w:footnoteReference w:id="10"/>
      </w:r>
      <w:r w:rsidRPr="001C2D88">
        <w:rPr>
          <w:szCs w:val="22"/>
        </w:rPr>
        <w:t xml:space="preserve"> v roku 2022 hospodárili na porovnateľnej úrovni s predchádzajúcim obdobím a s ESA schodkom vo výške 9 411 tis. eur zlepšili svoje hosp</w:t>
      </w:r>
      <w:r w:rsidR="00921698">
        <w:rPr>
          <w:szCs w:val="22"/>
        </w:rPr>
        <w:t>odárenie o  230 tis. eur (2021: </w:t>
      </w:r>
      <w:r w:rsidRPr="001C2D88">
        <w:rPr>
          <w:szCs w:val="22"/>
        </w:rPr>
        <w:t xml:space="preserve">schodok 9 641 tis. eur). </w:t>
      </w:r>
    </w:p>
    <w:p w14:paraId="32806CCD" w14:textId="77777777" w:rsidR="00B91047" w:rsidRDefault="00B91047" w:rsidP="00B91047">
      <w:pPr>
        <w:autoSpaceDE w:val="0"/>
        <w:autoSpaceDN w:val="0"/>
        <w:adjustRightInd w:val="0"/>
        <w:spacing w:after="0" w:line="240" w:lineRule="auto"/>
        <w:jc w:val="both"/>
        <w:rPr>
          <w:szCs w:val="22"/>
        </w:rPr>
      </w:pPr>
      <w:r w:rsidRPr="00DB5C4C">
        <w:rPr>
          <w:szCs w:val="22"/>
        </w:rPr>
        <w:t>Postupný návrat na úroveň pred pandémiou COVID-19 a vplyvom uvoľnenia opatrení s tým súvisiacich sa  zvýšil počet prepravovaných osôb, zvýšili sa dopravné výkony, narástli tržby za predaj cestovných líst</w:t>
      </w:r>
      <w:r>
        <w:rPr>
          <w:szCs w:val="22"/>
        </w:rPr>
        <w:t>k</w:t>
      </w:r>
      <w:r w:rsidRPr="00DB5C4C">
        <w:rPr>
          <w:szCs w:val="22"/>
        </w:rPr>
        <w:t xml:space="preserve">ov,  </w:t>
      </w:r>
      <w:r w:rsidRPr="00DB5C4C">
        <w:rPr>
          <w:szCs w:val="22"/>
        </w:rPr>
        <w:lastRenderedPageBreak/>
        <w:t>z výberu pokút a vymožených pohľadávok, z reklamnej činnosti, zvýšil sa dopyt na zájazdovú, zmluvnú a  príležitostnú dopravu a  zlepšilo sa celkové hospodárenie dopravných podnikov, čo sa prejavilo v medziročnom náraste nedaňových príjmov o</w:t>
      </w:r>
      <w:r>
        <w:rPr>
          <w:szCs w:val="22"/>
        </w:rPr>
        <w:t xml:space="preserve"> 15 078 tis. eur. </w:t>
      </w:r>
    </w:p>
    <w:p w14:paraId="03DAB0F2" w14:textId="77777777" w:rsidR="00B91047" w:rsidRPr="00DB5C4C" w:rsidRDefault="00B91047" w:rsidP="00B91047">
      <w:pPr>
        <w:autoSpaceDE w:val="0"/>
        <w:autoSpaceDN w:val="0"/>
        <w:adjustRightInd w:val="0"/>
        <w:spacing w:after="0" w:line="240" w:lineRule="auto"/>
        <w:jc w:val="both"/>
        <w:rPr>
          <w:szCs w:val="22"/>
        </w:rPr>
      </w:pPr>
    </w:p>
    <w:p w14:paraId="77C2D76D" w14:textId="77777777" w:rsidR="00B91047" w:rsidRPr="00AA24CE" w:rsidRDefault="00B91047" w:rsidP="00B91047">
      <w:pPr>
        <w:spacing w:after="120" w:line="240" w:lineRule="auto"/>
        <w:jc w:val="both"/>
        <w:rPr>
          <w:szCs w:val="22"/>
        </w:rPr>
      </w:pPr>
      <w:r w:rsidRPr="00185292">
        <w:rPr>
          <w:szCs w:val="22"/>
        </w:rPr>
        <w:t xml:space="preserve">Celkový príjem z grantov a transferov bol v roku  2022 vo výške 147 068 tis. eur. Bežné transfery medziročne poklesli o 4 553 tis. eur, z ktorých najvýznamnejšiu časť tvoria bežné transfery z rozpočtu obce na úhradu za služby vo verejnom záujme v zmysle dohodnutých Rámcových zmlúv </w:t>
      </w:r>
      <w:r w:rsidRPr="00546AF7">
        <w:rPr>
          <w:szCs w:val="22"/>
        </w:rPr>
        <w:t>(pokles o 11 806 tis. eur).</w:t>
      </w:r>
      <w:r w:rsidRPr="00546AF7">
        <w:rPr>
          <w:color w:val="FF0000"/>
          <w:szCs w:val="22"/>
        </w:rPr>
        <w:t xml:space="preserve"> </w:t>
      </w:r>
      <w:r w:rsidRPr="00AA24CE">
        <w:rPr>
          <w:szCs w:val="22"/>
        </w:rPr>
        <w:t>Naplnenie výšky príjmov z kapitálových grantov a zálohových platieb z príspevkov z EŠIF a spolufinancovania zo ŠR na zmluvné projekty modernizácie dopravného dispečingu, údržbovej základne a zastávok, nákupu automatov a za účelom obstarania väčšieho množstva dopravných prostriedkov (trolejbusy, autobusy, servisné vozidlá, montážna plošina) na obnovu vozového parku, malo priaznivý vplyv na ESA hospodárenie dopravných podnikov a výsledkom bol nárast o </w:t>
      </w:r>
      <w:r>
        <w:rPr>
          <w:szCs w:val="22"/>
        </w:rPr>
        <w:t>7</w:t>
      </w:r>
      <w:r w:rsidRPr="00AA24CE">
        <w:rPr>
          <w:szCs w:val="22"/>
        </w:rPr>
        <w:t> </w:t>
      </w:r>
      <w:r>
        <w:rPr>
          <w:szCs w:val="22"/>
        </w:rPr>
        <w:t>333</w:t>
      </w:r>
      <w:r w:rsidRPr="00AA24CE">
        <w:rPr>
          <w:szCs w:val="22"/>
        </w:rPr>
        <w:t> tis. eur.</w:t>
      </w:r>
    </w:p>
    <w:p w14:paraId="08CF748D" w14:textId="77777777" w:rsidR="00B91047" w:rsidRPr="006E7DB4" w:rsidRDefault="00B91047" w:rsidP="00B91047">
      <w:pPr>
        <w:spacing w:after="120" w:line="240" w:lineRule="auto"/>
        <w:jc w:val="both"/>
        <w:rPr>
          <w:szCs w:val="22"/>
        </w:rPr>
      </w:pPr>
      <w:r w:rsidRPr="006E7DB4">
        <w:rPr>
          <w:szCs w:val="22"/>
        </w:rPr>
        <w:t xml:space="preserve">Na strane výdavkov došlo k medziročnému nárastu o 74 106 tis. eur a to vo všetkých položkách. Bežné výdavky sa zvýšili oproti roku 2021 o 21 499 tis. eur a výdavky na obstaranie kapitálových aktív o 52 607 tis. eur. </w:t>
      </w:r>
    </w:p>
    <w:p w14:paraId="19B6F3C1" w14:textId="77777777" w:rsidR="00B91047" w:rsidRDefault="00B91047" w:rsidP="00B91047">
      <w:pPr>
        <w:spacing w:after="120" w:line="240" w:lineRule="auto"/>
        <w:jc w:val="both"/>
        <w:rPr>
          <w:szCs w:val="22"/>
        </w:rPr>
      </w:pPr>
      <w:r w:rsidRPr="005F09A1">
        <w:rPr>
          <w:szCs w:val="22"/>
        </w:rPr>
        <w:t xml:space="preserve">So zlepšujúcou sa situáciou  a zrušením obmedzení spojených s obdobím </w:t>
      </w:r>
      <w:proofErr w:type="spellStart"/>
      <w:r w:rsidRPr="005F09A1">
        <w:rPr>
          <w:szCs w:val="22"/>
        </w:rPr>
        <w:t>pandemickej</w:t>
      </w:r>
      <w:proofErr w:type="spellEnd"/>
      <w:r w:rsidRPr="005F09A1">
        <w:rPr>
          <w:szCs w:val="22"/>
        </w:rPr>
        <w:t xml:space="preserve"> krízy sa zlepšilo aj hospodárenie dopravných podnikov a vrátili sa do normálneho režimu, čo sa prejavilo vo zvýšených nákladoch na prevádzku. V roku 2022 prišlo k nárastu počtu zamestnancov a opätovne sa začali vyplácať bonusy vodičom,  kolektívnym vyjednávaním sa dohodli určité mzdové zvýhodnenia a kompenzácie za sťažený výkon práce a zvýšila sa minimálna mzda podľa platnej legislatívy čo sa odzrkadlilo v medziročnom náraste mzdových prostriedkov a k nim prislúchajúcich odvodov o 11 637 tis. eur. </w:t>
      </w:r>
    </w:p>
    <w:p w14:paraId="1AB2053D" w14:textId="77777777" w:rsidR="00B91047" w:rsidRPr="00FE71A5" w:rsidRDefault="00B91047" w:rsidP="00B91047">
      <w:pPr>
        <w:spacing w:after="120" w:line="240" w:lineRule="auto"/>
        <w:jc w:val="both"/>
        <w:rPr>
          <w:szCs w:val="22"/>
        </w:rPr>
      </w:pPr>
      <w:r w:rsidRPr="00FE71A5">
        <w:rPr>
          <w:szCs w:val="22"/>
        </w:rPr>
        <w:t xml:space="preserve">Výdavky na tovary a služby sa čerpali na úrovni 93 313 tis. eur čo predstavuje medziročný nárast o 9 591 tis. eur. Z dôvodu zvýšenia priamych </w:t>
      </w:r>
      <w:r w:rsidRPr="007E2B3E">
        <w:rPr>
          <w:szCs w:val="22"/>
        </w:rPr>
        <w:t>materiálových nákladov sa zvýšili ceny pohonných hmôt, energií a materiálu. O </w:t>
      </w:r>
      <w:r>
        <w:rPr>
          <w:szCs w:val="22"/>
        </w:rPr>
        <w:t>14</w:t>
      </w:r>
      <w:r w:rsidRPr="007E2B3E">
        <w:rPr>
          <w:szCs w:val="22"/>
        </w:rPr>
        <w:t> </w:t>
      </w:r>
      <w:r>
        <w:rPr>
          <w:szCs w:val="22"/>
        </w:rPr>
        <w:t>313</w:t>
      </w:r>
      <w:r w:rsidRPr="007E2B3E">
        <w:rPr>
          <w:szCs w:val="22"/>
        </w:rPr>
        <w:t> tis. eur vzrástli náklady na energie (nárast o 3 370 tis. eur), na naftu (nárast o 8 366 tis. eur), servis, údržbu a</w:t>
      </w:r>
      <w:r>
        <w:rPr>
          <w:szCs w:val="22"/>
        </w:rPr>
        <w:t> </w:t>
      </w:r>
      <w:r w:rsidRPr="007E2B3E">
        <w:rPr>
          <w:szCs w:val="22"/>
        </w:rPr>
        <w:t>opravy</w:t>
      </w:r>
      <w:r>
        <w:rPr>
          <w:szCs w:val="22"/>
        </w:rPr>
        <w:t xml:space="preserve"> súvisiace s dopravou</w:t>
      </w:r>
      <w:r w:rsidRPr="007E2B3E">
        <w:rPr>
          <w:szCs w:val="22"/>
        </w:rPr>
        <w:t xml:space="preserve"> (nárast o 2 210 tis. eur) a pomocný materiál (nárast o 367 tis. eur)</w:t>
      </w:r>
      <w:r>
        <w:rPr>
          <w:szCs w:val="22"/>
        </w:rPr>
        <w:t xml:space="preserve">. </w:t>
      </w:r>
    </w:p>
    <w:p w14:paraId="3A7FABA2" w14:textId="2B49929F" w:rsidR="00B91047" w:rsidRPr="005F09A1" w:rsidRDefault="00B91047" w:rsidP="00B91047">
      <w:pPr>
        <w:spacing w:after="120" w:line="240" w:lineRule="auto"/>
        <w:jc w:val="both"/>
        <w:rPr>
          <w:szCs w:val="22"/>
        </w:rPr>
      </w:pPr>
      <w:r w:rsidRPr="0084365C">
        <w:rPr>
          <w:szCs w:val="22"/>
        </w:rPr>
        <w:t>Opačný trend vo forme šetrenia</w:t>
      </w:r>
      <w:r>
        <w:rPr>
          <w:szCs w:val="22"/>
        </w:rPr>
        <w:t xml:space="preserve"> o 5 816 tis. eur</w:t>
      </w:r>
      <w:r w:rsidRPr="0084365C">
        <w:rPr>
          <w:szCs w:val="22"/>
        </w:rPr>
        <w:t xml:space="preserve"> mali náklady na opravy a odstraňovanie havarijných stavov a</w:t>
      </w:r>
      <w:r>
        <w:rPr>
          <w:szCs w:val="22"/>
        </w:rPr>
        <w:t xml:space="preserve"> </w:t>
      </w:r>
      <w:r w:rsidRPr="0084365C">
        <w:rPr>
          <w:szCs w:val="22"/>
        </w:rPr>
        <w:t>údržbu</w:t>
      </w:r>
      <w:r>
        <w:rPr>
          <w:szCs w:val="22"/>
        </w:rPr>
        <w:t xml:space="preserve"> budov a objektov a softvéru (pokles o 297 tis. eur), na </w:t>
      </w:r>
      <w:r w:rsidR="00D80C8F">
        <w:rPr>
          <w:szCs w:val="22"/>
        </w:rPr>
        <w:t>čistenie a dezinfekciu</w:t>
      </w:r>
      <w:r w:rsidRPr="0084365C">
        <w:rPr>
          <w:szCs w:val="22"/>
        </w:rPr>
        <w:t xml:space="preserve"> vozidiel a pracovných priestorov, strážna služba a upratovacie služby, ďalej IT služby, právne a poradenské služby na exekučné trovy zastavených starých exekúcií (pokles o </w:t>
      </w:r>
      <w:r w:rsidRPr="0084365C">
        <w:t>5 519</w:t>
      </w:r>
      <w:r w:rsidRPr="0084365C">
        <w:rPr>
          <w:szCs w:val="22"/>
        </w:rPr>
        <w:t xml:space="preserve"> tis. eur). </w:t>
      </w:r>
    </w:p>
    <w:p w14:paraId="4EE841B7" w14:textId="4B2F8951" w:rsidR="00B91047" w:rsidRPr="00211EC3" w:rsidRDefault="00B91047" w:rsidP="00B91047">
      <w:pPr>
        <w:spacing w:after="120" w:line="240" w:lineRule="auto"/>
        <w:jc w:val="both"/>
        <w:rPr>
          <w:szCs w:val="22"/>
          <w:highlight w:val="yellow"/>
        </w:rPr>
      </w:pPr>
      <w:r w:rsidRPr="0084365C">
        <w:rPr>
          <w:szCs w:val="22"/>
        </w:rPr>
        <w:t xml:space="preserve">V nadväznosti na prehodnotenie priorít v rámci investičných akcií prebiehajúcich alebo plánovaných projektov, ich presun do ďalších rokov (modernizácia údržbovej základne, dopravného dispečingu, nákup </w:t>
      </w:r>
      <w:r w:rsidR="00593988">
        <w:rPr>
          <w:szCs w:val="22"/>
        </w:rPr>
        <w:t xml:space="preserve">vodíkových </w:t>
      </w:r>
      <w:r w:rsidRPr="0084365C">
        <w:rPr>
          <w:szCs w:val="22"/>
        </w:rPr>
        <w:t>autobusov</w:t>
      </w:r>
      <w:r w:rsidR="00593988">
        <w:rPr>
          <w:szCs w:val="22"/>
        </w:rPr>
        <w:t xml:space="preserve">, </w:t>
      </w:r>
      <w:proofErr w:type="spellStart"/>
      <w:r w:rsidR="00593988">
        <w:rPr>
          <w:szCs w:val="22"/>
        </w:rPr>
        <w:t>elektrobuso</w:t>
      </w:r>
      <w:r w:rsidR="00D80C8F">
        <w:rPr>
          <w:szCs w:val="22"/>
        </w:rPr>
        <w:t>v</w:t>
      </w:r>
      <w:proofErr w:type="spellEnd"/>
      <w:r w:rsidRPr="0084365C">
        <w:rPr>
          <w:szCs w:val="22"/>
        </w:rPr>
        <w:t xml:space="preserve"> a špeciálnych dopravných prostriedkov, informatizácia MHD) a prebiehajúce verejné obstarávania, sa zaznamenal medziročný nárast vo výdavkoch na obstaranie kapitálových aktív </w:t>
      </w:r>
      <w:r w:rsidRPr="00211EC3">
        <w:rPr>
          <w:rFonts w:cs="Book Antiqua"/>
          <w:szCs w:val="22"/>
          <w:lang w:eastAsia="sk-SK"/>
        </w:rPr>
        <w:t xml:space="preserve">o 52 607 tis. eur. Kapitálové výdavky v roku 2022 dosiahli hodnotu 61 039  tis. eur, najvyššie investičné výdavky boli vynaložené na modernizáciu a skvalitnenie prevádzky mestskej hromadnej dopravy, do vozového parku a infraštruktúry z vlastných zdrojov, zdrojov EÚ a spolufinancovania zo ŠR. V roku 2022 sa pokračovalo v obstarávaní autobusov, </w:t>
      </w:r>
      <w:proofErr w:type="spellStart"/>
      <w:r w:rsidRPr="00211EC3">
        <w:rPr>
          <w:rFonts w:cs="Book Antiqua"/>
          <w:szCs w:val="22"/>
          <w:lang w:eastAsia="sk-SK"/>
        </w:rPr>
        <w:t>nízkopodlažných</w:t>
      </w:r>
      <w:proofErr w:type="spellEnd"/>
      <w:r w:rsidRPr="00211EC3">
        <w:rPr>
          <w:rFonts w:cs="Book Antiqua"/>
          <w:szCs w:val="22"/>
          <w:lang w:eastAsia="sk-SK"/>
        </w:rPr>
        <w:t xml:space="preserve">  energeticky úsporných trolejbusov,</w:t>
      </w:r>
      <w:r>
        <w:rPr>
          <w:rFonts w:cs="Book Antiqua"/>
          <w:szCs w:val="22"/>
          <w:lang w:eastAsia="sk-SK"/>
        </w:rPr>
        <w:t xml:space="preserve"> </w:t>
      </w:r>
      <w:r w:rsidRPr="00211EC3">
        <w:rPr>
          <w:rFonts w:cs="Book Antiqua"/>
          <w:szCs w:val="22"/>
          <w:lang w:eastAsia="sk-SK"/>
        </w:rPr>
        <w:t> zrekonštruovali sa električkové trate</w:t>
      </w:r>
      <w:r>
        <w:rPr>
          <w:rFonts w:cs="Book Antiqua"/>
          <w:szCs w:val="22"/>
          <w:lang w:eastAsia="sk-SK"/>
        </w:rPr>
        <w:t>,</w:t>
      </w:r>
      <w:r w:rsidR="00593988">
        <w:rPr>
          <w:rFonts w:cs="Book Antiqua"/>
          <w:szCs w:val="22"/>
          <w:lang w:eastAsia="sk-SK"/>
        </w:rPr>
        <w:t xml:space="preserve"> údržbové základne, </w:t>
      </w:r>
      <w:r w:rsidRPr="00211EC3">
        <w:rPr>
          <w:rFonts w:cs="Book Antiqua"/>
          <w:szCs w:val="22"/>
          <w:lang w:eastAsia="sk-SK"/>
        </w:rPr>
        <w:t>zastávky</w:t>
      </w:r>
      <w:r w:rsidR="00593988">
        <w:rPr>
          <w:rFonts w:cs="Book Antiqua"/>
          <w:szCs w:val="22"/>
          <w:lang w:eastAsia="sk-SK"/>
        </w:rPr>
        <w:t xml:space="preserve"> a zmodernizovali sa odbavovacie systémy.</w:t>
      </w:r>
      <w:r>
        <w:rPr>
          <w:rFonts w:cs="Book Antiqua"/>
          <w:szCs w:val="22"/>
          <w:lang w:eastAsia="sk-SK"/>
        </w:rPr>
        <w:t xml:space="preserve"> </w:t>
      </w:r>
      <w:r w:rsidRPr="00211EC3">
        <w:rPr>
          <w:rFonts w:cs="Book Antiqua"/>
          <w:szCs w:val="22"/>
          <w:lang w:eastAsia="sk-SK"/>
        </w:rPr>
        <w:t xml:space="preserve">Celkovo boli investície zamerané </w:t>
      </w:r>
      <w:r w:rsidRPr="00211EC3">
        <w:rPr>
          <w:szCs w:val="22"/>
        </w:rPr>
        <w:t>najmä na modernizáciu prevádzky mestskej hromadnej dopravy, riešenia energetických úspor a technické vybavenie spoločnosti.</w:t>
      </w:r>
    </w:p>
    <w:p w14:paraId="5CB066E5" w14:textId="0725E2E9" w:rsidR="00B91047" w:rsidRPr="00E97550" w:rsidRDefault="00B91047" w:rsidP="00B91047">
      <w:pPr>
        <w:spacing w:before="120" w:after="0" w:line="240" w:lineRule="auto"/>
        <w:jc w:val="both"/>
        <w:rPr>
          <w:szCs w:val="22"/>
        </w:rPr>
      </w:pPr>
      <w:r w:rsidRPr="003E6712">
        <w:rPr>
          <w:szCs w:val="22"/>
        </w:rPr>
        <w:t>Hospodárenie bolo pozitívne ovplyvnené nárastom pohľadávok o 28 878 tis. eur, poklesom záväzkov o 7 032 tis. eur a </w:t>
      </w:r>
      <w:proofErr w:type="spellStart"/>
      <w:r w:rsidRPr="003E6712">
        <w:rPr>
          <w:szCs w:val="22"/>
        </w:rPr>
        <w:t>doimputovaným</w:t>
      </w:r>
      <w:proofErr w:type="spellEnd"/>
      <w:r w:rsidRPr="003E6712">
        <w:rPr>
          <w:szCs w:val="22"/>
        </w:rPr>
        <w:t xml:space="preserve"> výdavkom za obstaranie kapitálových </w:t>
      </w:r>
      <w:r w:rsidR="00D80C8F">
        <w:rPr>
          <w:szCs w:val="22"/>
        </w:rPr>
        <w:t xml:space="preserve">aktív prostredníctvom leasingu </w:t>
      </w:r>
      <w:r w:rsidRPr="003E6712">
        <w:rPr>
          <w:szCs w:val="22"/>
        </w:rPr>
        <w:t>(DP Martin a DP Žilina) o 113 tis. </w:t>
      </w:r>
      <w:r w:rsidRPr="00F5539F">
        <w:rPr>
          <w:szCs w:val="22"/>
        </w:rPr>
        <w:t xml:space="preserve">eur. Najvyšší nárast na položke ostatných pohľadávok o 15 816 tis. eur bol spôsobený prijatím vyšších preddavkových platieb z obcí za poskytovanie služieb vo verejnom záujme, zo zúčtovania preddavkových platieb cez dopravný softvér a úhrad pohľadávok z ekonomicky oprávnených </w:t>
      </w:r>
      <w:r w:rsidRPr="00E97550">
        <w:rPr>
          <w:szCs w:val="22"/>
        </w:rPr>
        <w:t>nákladov za predchádzajúce obdobie. Na strane záväzkov najvyšší medziročný pokles bol na záväzkoch voči dodávateľom a z nevyfakturovaných dodávok o 5 432 tis. eur za obstaranie autobusov, a zo splatenia dlhodobého záväzku z postúpenej pohľadávky.</w:t>
      </w:r>
    </w:p>
    <w:p w14:paraId="488E95E1" w14:textId="77777777" w:rsidR="00563559" w:rsidRPr="00C939BA" w:rsidRDefault="00563559" w:rsidP="00D27756">
      <w:pPr>
        <w:keepNext/>
        <w:spacing w:before="120" w:after="120" w:line="240" w:lineRule="auto"/>
        <w:jc w:val="both"/>
        <w:rPr>
          <w:b/>
          <w:color w:val="4F81BD" w:themeColor="accent1"/>
          <w:sz w:val="24"/>
          <w:szCs w:val="24"/>
        </w:rPr>
      </w:pPr>
      <w:r w:rsidRPr="00C939BA">
        <w:rPr>
          <w:b/>
          <w:color w:val="4F81BD" w:themeColor="accent1"/>
          <w:sz w:val="24"/>
          <w:szCs w:val="24"/>
        </w:rPr>
        <w:lastRenderedPageBreak/>
        <w:t>Fondy sociálneho zabezpečenia</w:t>
      </w:r>
    </w:p>
    <w:p w14:paraId="0CB92D9A" w14:textId="4BE0905F" w:rsidR="005F391E" w:rsidRPr="00C939BA" w:rsidRDefault="005F391E" w:rsidP="005F391E">
      <w:pPr>
        <w:spacing w:after="120" w:line="240" w:lineRule="auto"/>
        <w:jc w:val="both"/>
        <w:rPr>
          <w:szCs w:val="22"/>
        </w:rPr>
      </w:pPr>
      <w:r w:rsidRPr="00C939BA">
        <w:rPr>
          <w:szCs w:val="22"/>
          <w:u w:val="single"/>
        </w:rPr>
        <w:t>Sociálna poisťovňa</w:t>
      </w:r>
      <w:r w:rsidR="00F85A35" w:rsidRPr="00C939BA">
        <w:rPr>
          <w:szCs w:val="22"/>
        </w:rPr>
        <w:t xml:space="preserve"> </w:t>
      </w:r>
      <w:r w:rsidR="00F85A35" w:rsidRPr="00FF4ABC">
        <w:rPr>
          <w:b/>
          <w:szCs w:val="22"/>
        </w:rPr>
        <w:t>dosiahla v roku 2022</w:t>
      </w:r>
      <w:r w:rsidRPr="00FF4ABC">
        <w:rPr>
          <w:b/>
          <w:szCs w:val="22"/>
        </w:rPr>
        <w:t xml:space="preserve"> prebytok vo výške</w:t>
      </w:r>
      <w:r w:rsidR="00A351C5" w:rsidRPr="00FF4ABC">
        <w:rPr>
          <w:b/>
          <w:szCs w:val="22"/>
        </w:rPr>
        <w:t> </w:t>
      </w:r>
      <w:r w:rsidR="00F85A35" w:rsidRPr="00FF4ABC">
        <w:rPr>
          <w:b/>
          <w:szCs w:val="22"/>
        </w:rPr>
        <w:t>87 435</w:t>
      </w:r>
      <w:r w:rsidRPr="00FF4ABC">
        <w:rPr>
          <w:b/>
          <w:szCs w:val="22"/>
        </w:rPr>
        <w:t> tis. eur a z</w:t>
      </w:r>
      <w:r w:rsidR="00C939BA" w:rsidRPr="00FF4ABC">
        <w:rPr>
          <w:b/>
          <w:szCs w:val="22"/>
        </w:rPr>
        <w:t>hor</w:t>
      </w:r>
      <w:r w:rsidRPr="00FF4ABC">
        <w:rPr>
          <w:b/>
          <w:szCs w:val="22"/>
        </w:rPr>
        <w:t>šila si hospodárenie oproti roku 202</w:t>
      </w:r>
      <w:r w:rsidR="00C939BA" w:rsidRPr="00FF4ABC">
        <w:rPr>
          <w:b/>
          <w:szCs w:val="22"/>
        </w:rPr>
        <w:t>1</w:t>
      </w:r>
      <w:r w:rsidR="00C939BA" w:rsidRPr="00C939BA">
        <w:rPr>
          <w:szCs w:val="22"/>
        </w:rPr>
        <w:t xml:space="preserve"> o 241</w:t>
      </w:r>
      <w:r w:rsidRPr="00C939BA">
        <w:rPr>
          <w:szCs w:val="22"/>
        </w:rPr>
        <w:t> </w:t>
      </w:r>
      <w:r w:rsidR="00C939BA" w:rsidRPr="00C939BA">
        <w:rPr>
          <w:szCs w:val="22"/>
        </w:rPr>
        <w:t>179</w:t>
      </w:r>
      <w:r w:rsidRPr="00C939BA">
        <w:rPr>
          <w:szCs w:val="22"/>
        </w:rPr>
        <w:t xml:space="preserve"> tis. eur. </w:t>
      </w:r>
      <w:r w:rsidRPr="00C939BA">
        <w:t xml:space="preserve">V </w:t>
      </w:r>
      <w:r w:rsidR="00C939BA" w:rsidRPr="00C939BA">
        <w:rPr>
          <w:szCs w:val="22"/>
        </w:rPr>
        <w:t>roku 2022</w:t>
      </w:r>
      <w:r w:rsidRPr="00C939BA">
        <w:rPr>
          <w:szCs w:val="22"/>
        </w:rPr>
        <w:t xml:space="preserve"> sa v hotovostnom vyjadrení vybralo na</w:t>
      </w:r>
      <w:r w:rsidR="005B3DF1" w:rsidRPr="00C939BA">
        <w:rPr>
          <w:szCs w:val="22"/>
        </w:rPr>
        <w:t xml:space="preserve"> príjmoch na poistnom </w:t>
      </w:r>
      <w:r w:rsidR="00C939BA" w:rsidRPr="00C939BA">
        <w:rPr>
          <w:szCs w:val="22"/>
        </w:rPr>
        <w:t>o 899 482</w:t>
      </w:r>
      <w:r w:rsidR="005B3DF1" w:rsidRPr="00C939BA">
        <w:rPr>
          <w:szCs w:val="22"/>
        </w:rPr>
        <w:t> </w:t>
      </w:r>
      <w:r w:rsidRPr="00C939BA">
        <w:rPr>
          <w:szCs w:val="22"/>
        </w:rPr>
        <w:t xml:space="preserve">tis. eur viac ako v predchádzajúcom roku. </w:t>
      </w:r>
      <w:r w:rsidRPr="006963F8">
        <w:rPr>
          <w:szCs w:val="22"/>
        </w:rPr>
        <w:t>Išlo pre</w:t>
      </w:r>
      <w:r w:rsidR="00A06611" w:rsidRPr="006963F8">
        <w:rPr>
          <w:szCs w:val="22"/>
        </w:rPr>
        <w:t>dovšetkým o príjem poistného od </w:t>
      </w:r>
      <w:r w:rsidR="006963F8" w:rsidRPr="006963F8">
        <w:rPr>
          <w:szCs w:val="22"/>
        </w:rPr>
        <w:t>zamestnávateľov o 500 270</w:t>
      </w:r>
      <w:r w:rsidR="005B3DF1" w:rsidRPr="006963F8">
        <w:rPr>
          <w:szCs w:val="22"/>
        </w:rPr>
        <w:t> tis. </w:t>
      </w:r>
      <w:r w:rsidR="006963F8" w:rsidRPr="006963F8">
        <w:rPr>
          <w:szCs w:val="22"/>
        </w:rPr>
        <w:t>eur a od zamestnancov o 159 361</w:t>
      </w:r>
      <w:r w:rsidR="00A351C5" w:rsidRPr="006963F8">
        <w:rPr>
          <w:szCs w:val="22"/>
        </w:rPr>
        <w:t> </w:t>
      </w:r>
      <w:r w:rsidRPr="006963F8">
        <w:rPr>
          <w:szCs w:val="22"/>
        </w:rPr>
        <w:t>tis.</w:t>
      </w:r>
      <w:r w:rsidR="00A351C5" w:rsidRPr="006963F8">
        <w:rPr>
          <w:szCs w:val="22"/>
        </w:rPr>
        <w:t> </w:t>
      </w:r>
      <w:r w:rsidRPr="006963F8">
        <w:rPr>
          <w:szCs w:val="22"/>
        </w:rPr>
        <w:t>eur</w:t>
      </w:r>
      <w:r w:rsidRPr="0077393A">
        <w:rPr>
          <w:szCs w:val="22"/>
        </w:rPr>
        <w:t xml:space="preserve">. </w:t>
      </w:r>
      <w:r w:rsidR="0077393A" w:rsidRPr="0077393A">
        <w:rPr>
          <w:szCs w:val="22"/>
        </w:rPr>
        <w:t>V roku 2022</w:t>
      </w:r>
      <w:r w:rsidRPr="0077393A">
        <w:rPr>
          <w:szCs w:val="22"/>
        </w:rPr>
        <w:t xml:space="preserve"> mala na príjmy vplyv aj odplata za pohľadávky z poistného voči zdravotníckym zariadeniam postúpené na štátnu s</w:t>
      </w:r>
      <w:r w:rsidR="00A351C5" w:rsidRPr="0077393A">
        <w:rPr>
          <w:szCs w:val="22"/>
        </w:rPr>
        <w:t xml:space="preserve">poločnosť </w:t>
      </w:r>
      <w:proofErr w:type="spellStart"/>
      <w:r w:rsidR="00A351C5" w:rsidRPr="0077393A">
        <w:rPr>
          <w:szCs w:val="22"/>
        </w:rPr>
        <w:t>Debitum</w:t>
      </w:r>
      <w:proofErr w:type="spellEnd"/>
      <w:r w:rsidR="00A351C5" w:rsidRPr="0077393A">
        <w:rPr>
          <w:szCs w:val="22"/>
        </w:rPr>
        <w:t>, a. s. v sume </w:t>
      </w:r>
      <w:r w:rsidR="006963F8" w:rsidRPr="0077393A">
        <w:rPr>
          <w:szCs w:val="22"/>
        </w:rPr>
        <w:t>1</w:t>
      </w:r>
      <w:r w:rsidRPr="0077393A">
        <w:rPr>
          <w:szCs w:val="22"/>
        </w:rPr>
        <w:t>9</w:t>
      </w:r>
      <w:r w:rsidR="006963F8" w:rsidRPr="0077393A">
        <w:rPr>
          <w:szCs w:val="22"/>
        </w:rPr>
        <w:t>8</w:t>
      </w:r>
      <w:r w:rsidR="0077393A" w:rsidRPr="0077393A">
        <w:rPr>
          <w:szCs w:val="22"/>
        </w:rPr>
        <w:t> 636</w:t>
      </w:r>
      <w:r w:rsidRPr="0077393A">
        <w:rPr>
          <w:szCs w:val="22"/>
        </w:rPr>
        <w:t xml:space="preserve"> tis. eur. </w:t>
      </w:r>
      <w:r w:rsidR="0077393A" w:rsidRPr="0077393A">
        <w:rPr>
          <w:szCs w:val="22"/>
        </w:rPr>
        <w:t>Išlo o vplyv druhej etapy oddlžovania v súlade s Návrhom finančnej stabilizácie zdravotníckych zariadení schválenej vládou SR v roku 2020</w:t>
      </w:r>
      <w:r w:rsidR="0077393A" w:rsidRPr="0077393A">
        <w:rPr>
          <w:rStyle w:val="Odkaznapoznmkupodiarou"/>
          <w:sz w:val="24"/>
          <w:szCs w:val="24"/>
        </w:rPr>
        <w:footnoteReference w:id="11"/>
      </w:r>
      <w:r w:rsidRPr="0077393A">
        <w:rPr>
          <w:szCs w:val="22"/>
        </w:rPr>
        <w:t>.</w:t>
      </w:r>
      <w:r w:rsidR="000F6836">
        <w:rPr>
          <w:szCs w:val="22"/>
        </w:rPr>
        <w:t xml:space="preserve"> V</w:t>
      </w:r>
      <w:r w:rsidR="000F6836" w:rsidRPr="0074675F">
        <w:rPr>
          <w:szCs w:val="22"/>
        </w:rPr>
        <w:t xml:space="preserve"> roku 2021 sa oddlženie pohľadávok Sociálnej poisťovne nerealizovalo</w:t>
      </w:r>
      <w:r w:rsidR="000F6836">
        <w:rPr>
          <w:szCs w:val="22"/>
        </w:rPr>
        <w:t>.</w:t>
      </w:r>
      <w:r w:rsidR="00C939BA" w:rsidRPr="0077393A">
        <w:t xml:space="preserve"> </w:t>
      </w:r>
      <w:r w:rsidR="00C939BA" w:rsidRPr="00C939BA">
        <w:t xml:space="preserve">Výšku hotovostného prebytku </w:t>
      </w:r>
      <w:r w:rsidRPr="00C939BA">
        <w:t>ovplyvnil aj transfer, ktor</w:t>
      </w:r>
      <w:r w:rsidR="00C939BA" w:rsidRPr="00C939BA">
        <w:t>ý Sociálna poisťovňa v roku 2022</w:t>
      </w:r>
      <w:r w:rsidRPr="00C939BA">
        <w:t xml:space="preserve"> prijala zo štátneho rozpočtu SR vo výške</w:t>
      </w:r>
      <w:r w:rsidR="00A351C5" w:rsidRPr="00C939BA">
        <w:t> </w:t>
      </w:r>
      <w:r w:rsidR="00C939BA" w:rsidRPr="00C939BA">
        <w:t>103</w:t>
      </w:r>
      <w:r w:rsidRPr="00C939BA">
        <w:rPr>
          <w:szCs w:val="22"/>
        </w:rPr>
        <w:t> </w:t>
      </w:r>
      <w:r w:rsidR="00C939BA" w:rsidRPr="00C939BA">
        <w:rPr>
          <w:szCs w:val="22"/>
        </w:rPr>
        <w:t>488</w:t>
      </w:r>
      <w:r w:rsidRPr="00C939BA">
        <w:rPr>
          <w:szCs w:val="22"/>
        </w:rPr>
        <w:t> tis. eur</w:t>
      </w:r>
      <w:r w:rsidRPr="00C939BA">
        <w:t xml:space="preserve"> </w:t>
      </w:r>
      <w:r w:rsidRPr="00C939BA">
        <w:rPr>
          <w:szCs w:val="22"/>
        </w:rPr>
        <w:t>na zabezpečenie platobnej schopnosti Sociálnej poisťovne (v porovnaní s rokom 202</w:t>
      </w:r>
      <w:r w:rsidR="00C939BA" w:rsidRPr="00C939BA">
        <w:rPr>
          <w:szCs w:val="22"/>
        </w:rPr>
        <w:t>1 bol transfer nižší o 736 </w:t>
      </w:r>
      <w:r w:rsidRPr="00C939BA">
        <w:rPr>
          <w:szCs w:val="22"/>
        </w:rPr>
        <w:t>5</w:t>
      </w:r>
      <w:r w:rsidR="00C939BA" w:rsidRPr="00C939BA">
        <w:rPr>
          <w:szCs w:val="22"/>
        </w:rPr>
        <w:t>12</w:t>
      </w:r>
      <w:r w:rsidRPr="00C939BA">
        <w:rPr>
          <w:szCs w:val="22"/>
        </w:rPr>
        <w:t xml:space="preserve"> tis. eur). </w:t>
      </w:r>
    </w:p>
    <w:p w14:paraId="37172C69" w14:textId="4FA2883C" w:rsidR="005F391E" w:rsidRPr="00381822" w:rsidRDefault="005F391E" w:rsidP="005F391E">
      <w:pPr>
        <w:spacing w:after="120" w:line="240" w:lineRule="auto"/>
        <w:jc w:val="both"/>
        <w:rPr>
          <w:szCs w:val="22"/>
        </w:rPr>
      </w:pPr>
      <w:r w:rsidRPr="00381822">
        <w:rPr>
          <w:szCs w:val="22"/>
        </w:rPr>
        <w:t>A</w:t>
      </w:r>
      <w:r w:rsidRPr="00381822">
        <w:t>j napriek vyšším príjmom na poistnom, zaznamenala Sociálna poisťovňa vyššie čerpanie výdavkov zo sociálneho poistenia, ktoré súviselo predovšetkým s</w:t>
      </w:r>
      <w:r w:rsidR="000F6836">
        <w:rPr>
          <w:szCs w:val="22"/>
        </w:rPr>
        <w:t> pokračujúcimi zvýšenými výdavkami</w:t>
      </w:r>
      <w:r w:rsidRPr="00381822">
        <w:rPr>
          <w:szCs w:val="22"/>
        </w:rPr>
        <w:t xml:space="preserve"> (</w:t>
      </w:r>
      <w:proofErr w:type="spellStart"/>
      <w:r w:rsidRPr="00381822">
        <w:rPr>
          <w:szCs w:val="22"/>
        </w:rPr>
        <w:t>pandemické</w:t>
      </w:r>
      <w:proofErr w:type="spellEnd"/>
      <w:r w:rsidRPr="00381822">
        <w:rPr>
          <w:szCs w:val="22"/>
        </w:rPr>
        <w:t xml:space="preserve"> nemocenské dávky, ošetrovné a dávky v nezamestnanosti) a taktiež aj s valorizáciou dôchodkových dávok. </w:t>
      </w:r>
      <w:r w:rsidRPr="009B5996">
        <w:rPr>
          <w:szCs w:val="22"/>
        </w:rPr>
        <w:t>Výdavky poistenia ted</w:t>
      </w:r>
      <w:r w:rsidR="00C939BA" w:rsidRPr="009B5996">
        <w:rPr>
          <w:szCs w:val="22"/>
        </w:rPr>
        <w:t>a v roku 2022</w:t>
      </w:r>
      <w:r w:rsidR="003A4448" w:rsidRPr="009B5996">
        <w:rPr>
          <w:szCs w:val="22"/>
        </w:rPr>
        <w:t xml:space="preserve"> prestavovali sumu </w:t>
      </w:r>
      <w:r w:rsidR="00C939BA" w:rsidRPr="009B5996">
        <w:rPr>
          <w:szCs w:val="22"/>
        </w:rPr>
        <w:t>9 586 387</w:t>
      </w:r>
      <w:r w:rsidRPr="009B5996">
        <w:rPr>
          <w:szCs w:val="22"/>
        </w:rPr>
        <w:t xml:space="preserve"> tis. eur, čo bolo </w:t>
      </w:r>
      <w:r w:rsidR="009B5996" w:rsidRPr="009B5996">
        <w:rPr>
          <w:szCs w:val="22"/>
        </w:rPr>
        <w:t>o 106</w:t>
      </w:r>
      <w:r w:rsidRPr="009B5996">
        <w:rPr>
          <w:szCs w:val="22"/>
        </w:rPr>
        <w:t> </w:t>
      </w:r>
      <w:r w:rsidR="009B5996" w:rsidRPr="009B5996">
        <w:rPr>
          <w:szCs w:val="22"/>
        </w:rPr>
        <w:t>668</w:t>
      </w:r>
      <w:r w:rsidRPr="009B5996">
        <w:rPr>
          <w:szCs w:val="22"/>
        </w:rPr>
        <w:t xml:space="preserve"> tis. eur viac ako v predchádzajúcom </w:t>
      </w:r>
      <w:r w:rsidR="000F6836">
        <w:rPr>
          <w:szCs w:val="22"/>
        </w:rPr>
        <w:t xml:space="preserve">roku. </w:t>
      </w:r>
      <w:r w:rsidRPr="00261DC9">
        <w:rPr>
          <w:szCs w:val="22"/>
        </w:rPr>
        <w:t>Toto zvýšenie vyplatených dávok bolo kryté aj z prijatého transferu zo štátneho rozpočtu SR</w:t>
      </w:r>
      <w:r w:rsidRPr="00381822">
        <w:rPr>
          <w:szCs w:val="22"/>
        </w:rPr>
        <w:t>, ktorý bol poskytnutý v súvislosti s </w:t>
      </w:r>
      <w:proofErr w:type="spellStart"/>
      <w:r w:rsidRPr="00381822">
        <w:rPr>
          <w:szCs w:val="22"/>
        </w:rPr>
        <w:t>pandemickou</w:t>
      </w:r>
      <w:proofErr w:type="spellEnd"/>
      <w:r w:rsidRPr="00381822">
        <w:rPr>
          <w:szCs w:val="22"/>
        </w:rPr>
        <w:t xml:space="preserve"> situáciou a vyplácaním mimoriadnych dávok (napr. </w:t>
      </w:r>
      <w:proofErr w:type="spellStart"/>
      <w:r w:rsidRPr="00381822">
        <w:rPr>
          <w:szCs w:val="22"/>
        </w:rPr>
        <w:t>pandemické</w:t>
      </w:r>
      <w:proofErr w:type="spellEnd"/>
      <w:r w:rsidRPr="00381822">
        <w:rPr>
          <w:szCs w:val="22"/>
        </w:rPr>
        <w:t xml:space="preserve"> nemocenské, </w:t>
      </w:r>
      <w:proofErr w:type="spellStart"/>
      <w:r w:rsidRPr="00381822">
        <w:rPr>
          <w:szCs w:val="22"/>
        </w:rPr>
        <w:t>pandemické</w:t>
      </w:r>
      <w:proofErr w:type="spellEnd"/>
      <w:r w:rsidRPr="00381822">
        <w:rPr>
          <w:szCs w:val="22"/>
        </w:rPr>
        <w:t xml:space="preserve"> ošetrovné a pod</w:t>
      </w:r>
      <w:r w:rsidRPr="00251883">
        <w:rPr>
          <w:szCs w:val="22"/>
        </w:rPr>
        <w:t>.)</w:t>
      </w:r>
      <w:r w:rsidR="00251883" w:rsidRPr="00251883">
        <w:rPr>
          <w:szCs w:val="22"/>
        </w:rPr>
        <w:t>.</w:t>
      </w:r>
      <w:r w:rsidR="00251883" w:rsidRPr="00251883">
        <w:rPr>
          <w:sz w:val="24"/>
          <w:szCs w:val="24"/>
        </w:rPr>
        <w:t xml:space="preserve"> </w:t>
      </w:r>
      <w:r w:rsidR="00251883" w:rsidRPr="00251883">
        <w:rPr>
          <w:szCs w:val="22"/>
        </w:rPr>
        <w:t>V roku 2022 sa vyplatilo 20 720 tis. eur v súvislosti s</w:t>
      </w:r>
      <w:r w:rsidR="00027721">
        <w:rPr>
          <w:szCs w:val="22"/>
        </w:rPr>
        <w:t> </w:t>
      </w:r>
      <w:r w:rsidR="00251883" w:rsidRPr="00251883">
        <w:rPr>
          <w:szCs w:val="22"/>
        </w:rPr>
        <w:t xml:space="preserve">poskytovaním podpory a vrátením časti podpory/podpory v čase skrátenej práce (tzv. trvalý </w:t>
      </w:r>
      <w:proofErr w:type="spellStart"/>
      <w:r w:rsidR="00251883" w:rsidRPr="00251883">
        <w:rPr>
          <w:szCs w:val="22"/>
        </w:rPr>
        <w:t>kurzarbeit</w:t>
      </w:r>
      <w:proofErr w:type="spellEnd"/>
      <w:r w:rsidR="00251883" w:rsidRPr="00251883">
        <w:rPr>
          <w:rStyle w:val="Odkaznapoznmkupodiarou"/>
          <w:szCs w:val="22"/>
        </w:rPr>
        <w:footnoteReference w:id="12"/>
      </w:r>
      <w:r w:rsidR="00251883" w:rsidRPr="00251883">
        <w:rPr>
          <w:szCs w:val="22"/>
        </w:rPr>
        <w:t>).</w:t>
      </w:r>
    </w:p>
    <w:p w14:paraId="0F0F8C38" w14:textId="0C66A09B" w:rsidR="005F391E" w:rsidRPr="00BB4B6F" w:rsidRDefault="005F391E" w:rsidP="005F391E">
      <w:pPr>
        <w:spacing w:after="120" w:line="240" w:lineRule="auto"/>
        <w:jc w:val="both"/>
        <w:rPr>
          <w:szCs w:val="22"/>
          <w:highlight w:val="yellow"/>
        </w:rPr>
      </w:pPr>
      <w:proofErr w:type="spellStart"/>
      <w:r w:rsidRPr="009B5996">
        <w:rPr>
          <w:szCs w:val="22"/>
        </w:rPr>
        <w:t>Akrualizácia</w:t>
      </w:r>
      <w:proofErr w:type="spellEnd"/>
      <w:r w:rsidRPr="009B5996">
        <w:rPr>
          <w:szCs w:val="22"/>
        </w:rPr>
        <w:t xml:space="preserve"> hotovostného výdavku z dôchodkových dávok</w:t>
      </w:r>
      <w:r w:rsidRPr="009B5996">
        <w:rPr>
          <w:szCs w:val="22"/>
          <w:vertAlign w:val="superscript"/>
        </w:rPr>
        <w:footnoteReference w:id="13"/>
      </w:r>
      <w:r w:rsidRPr="009B5996">
        <w:rPr>
          <w:szCs w:val="22"/>
        </w:rPr>
        <w:t xml:space="preserve"> predstavovala </w:t>
      </w:r>
      <w:r w:rsidR="00F724D1">
        <w:rPr>
          <w:szCs w:val="22"/>
        </w:rPr>
        <w:t>pozit</w:t>
      </w:r>
      <w:r w:rsidRPr="009B5996">
        <w:rPr>
          <w:szCs w:val="22"/>
        </w:rPr>
        <w:t xml:space="preserve">ívny vplyv </w:t>
      </w:r>
      <w:r w:rsidR="003A4448" w:rsidRPr="009B5996">
        <w:rPr>
          <w:szCs w:val="22"/>
        </w:rPr>
        <w:t>vo výške </w:t>
      </w:r>
      <w:r w:rsidR="009B5996" w:rsidRPr="009B5996">
        <w:rPr>
          <w:szCs w:val="22"/>
        </w:rPr>
        <w:t>4</w:t>
      </w:r>
      <w:r w:rsidRPr="009B5996">
        <w:rPr>
          <w:szCs w:val="22"/>
        </w:rPr>
        <w:t> </w:t>
      </w:r>
      <w:r w:rsidR="009B5996" w:rsidRPr="009B5996">
        <w:rPr>
          <w:szCs w:val="22"/>
        </w:rPr>
        <w:t>008</w:t>
      </w:r>
      <w:r w:rsidRPr="009B5996">
        <w:rPr>
          <w:szCs w:val="22"/>
        </w:rPr>
        <w:t> tis. eur, čo v porovnaní s predchádzajúcim rokom znam</w:t>
      </w:r>
      <w:r w:rsidR="009B5996" w:rsidRPr="009B5996">
        <w:rPr>
          <w:szCs w:val="22"/>
        </w:rPr>
        <w:t xml:space="preserve">enal </w:t>
      </w:r>
      <w:r w:rsidR="00F1197A">
        <w:rPr>
          <w:szCs w:val="22"/>
        </w:rPr>
        <w:t>pozitívny vplyv na saldo</w:t>
      </w:r>
      <w:r w:rsidR="009B5996" w:rsidRPr="009B5996">
        <w:rPr>
          <w:szCs w:val="22"/>
        </w:rPr>
        <w:t xml:space="preserve"> o 74 162</w:t>
      </w:r>
      <w:r w:rsidRPr="009B5996">
        <w:rPr>
          <w:szCs w:val="22"/>
        </w:rPr>
        <w:t xml:space="preserve"> tis. eur. </w:t>
      </w:r>
      <w:r w:rsidRPr="009B5996">
        <w:t xml:space="preserve">Najväčší pozitívny vplyv na ESA prebytok mala </w:t>
      </w:r>
      <w:proofErr w:type="spellStart"/>
      <w:r w:rsidRPr="009B5996">
        <w:t>imputácia</w:t>
      </w:r>
      <w:proofErr w:type="spellEnd"/>
      <w:r w:rsidRPr="009B5996">
        <w:t xml:space="preserve"> pohľadávok na poistnom voči zdravotníckym zariadeniam vo výške</w:t>
      </w:r>
      <w:r w:rsidR="003A4448" w:rsidRPr="009B5996">
        <w:t> </w:t>
      </w:r>
      <w:r w:rsidR="009B5996" w:rsidRPr="009B5996">
        <w:t>103 </w:t>
      </w:r>
      <w:r w:rsidRPr="009B5996">
        <w:t>8</w:t>
      </w:r>
      <w:r w:rsidR="009B5996" w:rsidRPr="009B5996">
        <w:t>54 tis. eur (oproti roku 2021 došlo k poklesu o 9 904</w:t>
      </w:r>
      <w:r w:rsidR="004504C0">
        <w:t> tis. eur)</w:t>
      </w:r>
      <w:r w:rsidR="009B5996">
        <w:t>.</w:t>
      </w:r>
      <w:r w:rsidR="004504C0">
        <w:t xml:space="preserve"> </w:t>
      </w:r>
      <w:r w:rsidR="006E121D" w:rsidRPr="006E121D">
        <w:rPr>
          <w:szCs w:val="22"/>
        </w:rPr>
        <w:t>Negatívny vplyv predstavoval pokles pohľadávok na poistnom voči zdravotníckym zariadeniam v súvislosti s oddlžením vo výške 202 119 tis. eur (z toho istina 201 583 tis. eur a penále 536 tis. eur)</w:t>
      </w:r>
      <w:r w:rsidR="006E121D">
        <w:rPr>
          <w:szCs w:val="22"/>
        </w:rPr>
        <w:t xml:space="preserve"> </w:t>
      </w:r>
      <w:r w:rsidR="004504C0">
        <w:t>a</w:t>
      </w:r>
      <w:r w:rsidR="006E121D">
        <w:t xml:space="preserve"> taktiež aj </w:t>
      </w:r>
      <w:r w:rsidR="004504C0">
        <w:t>a</w:t>
      </w:r>
      <w:r w:rsidRPr="009B5996">
        <w:t xml:space="preserve">kruálne </w:t>
      </w:r>
      <w:r w:rsidR="003A4448" w:rsidRPr="009B5996">
        <w:t xml:space="preserve">zaznamenanie poistného </w:t>
      </w:r>
      <w:r w:rsidR="009B5996">
        <w:t xml:space="preserve">predstavovalo </w:t>
      </w:r>
      <w:r w:rsidR="004504C0">
        <w:t xml:space="preserve">v roku 2022 </w:t>
      </w:r>
      <w:r w:rsidR="009B5996">
        <w:t xml:space="preserve">negatívny vplyv </w:t>
      </w:r>
      <w:r w:rsidR="003A4448" w:rsidRPr="009B5996">
        <w:t>vo výške </w:t>
      </w:r>
      <w:r w:rsidR="009B5996" w:rsidRPr="009B5996">
        <w:t>42</w:t>
      </w:r>
      <w:r w:rsidRPr="009B5996">
        <w:t> </w:t>
      </w:r>
      <w:r w:rsidR="009B5996" w:rsidRPr="009B5996">
        <w:t>530 tis. eur (oproti roku 2021</w:t>
      </w:r>
      <w:r w:rsidRPr="009B5996">
        <w:t xml:space="preserve"> došlo </w:t>
      </w:r>
      <w:r w:rsidRPr="009B5996">
        <w:rPr>
          <w:szCs w:val="22"/>
        </w:rPr>
        <w:t>k </w:t>
      </w:r>
      <w:r w:rsidR="009B5996" w:rsidRPr="009B5996">
        <w:rPr>
          <w:szCs w:val="22"/>
        </w:rPr>
        <w:t>poklesu</w:t>
      </w:r>
      <w:r w:rsidRPr="009B5996">
        <w:rPr>
          <w:szCs w:val="22"/>
        </w:rPr>
        <w:t xml:space="preserve"> o 1</w:t>
      </w:r>
      <w:r w:rsidR="009B5996" w:rsidRPr="009B5996">
        <w:rPr>
          <w:szCs w:val="22"/>
        </w:rPr>
        <w:t>2</w:t>
      </w:r>
      <w:r w:rsidRPr="009B5996">
        <w:rPr>
          <w:szCs w:val="22"/>
        </w:rPr>
        <w:t>8</w:t>
      </w:r>
      <w:r w:rsidR="003A4448" w:rsidRPr="009B5996">
        <w:rPr>
          <w:szCs w:val="22"/>
        </w:rPr>
        <w:t> </w:t>
      </w:r>
      <w:r w:rsidR="009B5996" w:rsidRPr="009B5996">
        <w:rPr>
          <w:szCs w:val="22"/>
        </w:rPr>
        <w:t>292</w:t>
      </w:r>
      <w:r w:rsidR="003A4448" w:rsidRPr="009B5996">
        <w:rPr>
          <w:szCs w:val="22"/>
        </w:rPr>
        <w:t> </w:t>
      </w:r>
      <w:r w:rsidRPr="009B5996">
        <w:rPr>
          <w:szCs w:val="22"/>
        </w:rPr>
        <w:t>tis.</w:t>
      </w:r>
      <w:r w:rsidR="003A4448" w:rsidRPr="009B5996">
        <w:rPr>
          <w:szCs w:val="22"/>
        </w:rPr>
        <w:t> </w:t>
      </w:r>
      <w:r w:rsidRPr="009B5996">
        <w:rPr>
          <w:szCs w:val="22"/>
        </w:rPr>
        <w:t xml:space="preserve">eur). </w:t>
      </w:r>
    </w:p>
    <w:p w14:paraId="53AB5E27" w14:textId="709ABB34" w:rsidR="005F391E" w:rsidRPr="00BB4B6F" w:rsidRDefault="005F391E" w:rsidP="005F391E">
      <w:pPr>
        <w:spacing w:after="120" w:line="240" w:lineRule="auto"/>
        <w:jc w:val="both"/>
        <w:rPr>
          <w:szCs w:val="22"/>
          <w:highlight w:val="yellow"/>
        </w:rPr>
      </w:pPr>
      <w:r w:rsidRPr="00004469">
        <w:rPr>
          <w:szCs w:val="22"/>
          <w:u w:val="single"/>
        </w:rPr>
        <w:t>Verejné zdravotné poistenie</w:t>
      </w:r>
      <w:r w:rsidRPr="00004469">
        <w:rPr>
          <w:rStyle w:val="Odkaznapoznmkupodiarou"/>
          <w:szCs w:val="22"/>
        </w:rPr>
        <w:footnoteReference w:id="14"/>
      </w:r>
      <w:r w:rsidR="00004469" w:rsidRPr="00004469">
        <w:rPr>
          <w:szCs w:val="22"/>
        </w:rPr>
        <w:t xml:space="preserve"> </w:t>
      </w:r>
      <w:r w:rsidR="00004469" w:rsidRPr="00C56D7D">
        <w:rPr>
          <w:b/>
          <w:szCs w:val="22"/>
        </w:rPr>
        <w:t>dosiahlo prebytok</w:t>
      </w:r>
      <w:r w:rsidRPr="00C56D7D">
        <w:rPr>
          <w:b/>
          <w:szCs w:val="22"/>
        </w:rPr>
        <w:t xml:space="preserve"> v</w:t>
      </w:r>
      <w:r w:rsidR="00007D5C" w:rsidRPr="00C56D7D">
        <w:rPr>
          <w:b/>
          <w:szCs w:val="22"/>
        </w:rPr>
        <w:t> </w:t>
      </w:r>
      <w:r w:rsidRPr="00C56D7D">
        <w:rPr>
          <w:b/>
          <w:szCs w:val="22"/>
        </w:rPr>
        <w:t>hodnote</w:t>
      </w:r>
      <w:r w:rsidR="00007D5C" w:rsidRPr="00C56D7D">
        <w:rPr>
          <w:b/>
          <w:szCs w:val="22"/>
        </w:rPr>
        <w:t> </w:t>
      </w:r>
      <w:r w:rsidRPr="00C56D7D">
        <w:rPr>
          <w:b/>
          <w:szCs w:val="22"/>
        </w:rPr>
        <w:t>5</w:t>
      </w:r>
      <w:r w:rsidR="00004469" w:rsidRPr="00C56D7D">
        <w:rPr>
          <w:b/>
          <w:szCs w:val="22"/>
        </w:rPr>
        <w:t>52</w:t>
      </w:r>
      <w:r w:rsidRPr="00C56D7D">
        <w:rPr>
          <w:b/>
          <w:szCs w:val="22"/>
        </w:rPr>
        <w:t> tis. eur.</w:t>
      </w:r>
      <w:r w:rsidRPr="00004469">
        <w:rPr>
          <w:szCs w:val="22"/>
        </w:rPr>
        <w:t xml:space="preserve"> V porovnaní s predch</w:t>
      </w:r>
      <w:r w:rsidR="00004469" w:rsidRPr="00004469">
        <w:rPr>
          <w:szCs w:val="22"/>
        </w:rPr>
        <w:t>ádzajúcim rokom došlo k zlepšeniu celkového hospodárenia o 43</w:t>
      </w:r>
      <w:r w:rsidRPr="00004469">
        <w:rPr>
          <w:szCs w:val="22"/>
        </w:rPr>
        <w:t> </w:t>
      </w:r>
      <w:r w:rsidR="00004469" w:rsidRPr="00004469">
        <w:rPr>
          <w:szCs w:val="22"/>
        </w:rPr>
        <w:t>063</w:t>
      </w:r>
      <w:r w:rsidR="00004469">
        <w:rPr>
          <w:szCs w:val="22"/>
        </w:rPr>
        <w:t> tis. eur. V roku 2022</w:t>
      </w:r>
      <w:r w:rsidRPr="00004469">
        <w:rPr>
          <w:szCs w:val="22"/>
        </w:rPr>
        <w:t xml:space="preserve"> sa vybralo na príjmoch z odvodov v hotovostnom vyjad</w:t>
      </w:r>
      <w:r w:rsidR="00004469" w:rsidRPr="00004469">
        <w:rPr>
          <w:szCs w:val="22"/>
        </w:rPr>
        <w:t>rení o 350 912</w:t>
      </w:r>
      <w:r w:rsidRPr="00004469">
        <w:rPr>
          <w:szCs w:val="22"/>
        </w:rPr>
        <w:t xml:space="preserve"> tis. eur viac ako v predchádzajúcom </w:t>
      </w:r>
      <w:r w:rsidRPr="00761958">
        <w:rPr>
          <w:szCs w:val="22"/>
        </w:rPr>
        <w:t>roku (z toho Všeobecná zdravotná poisťovň</w:t>
      </w:r>
      <w:r w:rsidR="00761958" w:rsidRPr="00761958">
        <w:rPr>
          <w:szCs w:val="22"/>
        </w:rPr>
        <w:t>a, a. s. zaznamenala nárast o 234</w:t>
      </w:r>
      <w:r w:rsidRPr="00761958">
        <w:rPr>
          <w:szCs w:val="22"/>
        </w:rPr>
        <w:t> 5</w:t>
      </w:r>
      <w:r w:rsidR="00761958" w:rsidRPr="00761958">
        <w:rPr>
          <w:szCs w:val="22"/>
        </w:rPr>
        <w:t>56 tis. eur,</w:t>
      </w:r>
      <w:r w:rsidRPr="00761958">
        <w:rPr>
          <w:szCs w:val="22"/>
        </w:rPr>
        <w:t> Dôver</w:t>
      </w:r>
      <w:r w:rsidR="00761958" w:rsidRPr="00761958">
        <w:rPr>
          <w:szCs w:val="22"/>
        </w:rPr>
        <w:t>a, a. s. zaznamenala nárast o 83 033</w:t>
      </w:r>
      <w:r w:rsidRPr="00761958">
        <w:rPr>
          <w:szCs w:val="22"/>
        </w:rPr>
        <w:t> tis. eur</w:t>
      </w:r>
      <w:r w:rsidR="00761958" w:rsidRPr="00761958">
        <w:rPr>
          <w:szCs w:val="22"/>
        </w:rPr>
        <w:t xml:space="preserve"> a </w:t>
      </w:r>
      <w:proofErr w:type="spellStart"/>
      <w:r w:rsidR="00761958" w:rsidRPr="00761958">
        <w:rPr>
          <w:szCs w:val="22"/>
        </w:rPr>
        <w:t>Union</w:t>
      </w:r>
      <w:proofErr w:type="spellEnd"/>
      <w:r w:rsidR="00761958" w:rsidRPr="00761958">
        <w:rPr>
          <w:szCs w:val="22"/>
        </w:rPr>
        <w:t>, a. s. zaznamenal nárast o 33 323 tis. eur</w:t>
      </w:r>
      <w:r w:rsidRPr="00761958">
        <w:rPr>
          <w:szCs w:val="22"/>
        </w:rPr>
        <w:t xml:space="preserve">). </w:t>
      </w:r>
      <w:r w:rsidR="001A50F9" w:rsidRPr="00565685">
        <w:rPr>
          <w:szCs w:val="22"/>
        </w:rPr>
        <w:t>Celkové v</w:t>
      </w:r>
      <w:r w:rsidR="001A50F9" w:rsidRPr="00565685">
        <w:rPr>
          <w:color w:val="000000"/>
          <w:szCs w:val="22"/>
          <w:lang w:eastAsia="sk-SK"/>
        </w:rPr>
        <w:t>ýdavky verejného zdravotného poistenia na zdravotnú starostlivosť boli vo výške 5 930 426 tis. eur, čo predstavovalo v porovnaní s predchádzajúcim rokom nárast o 443 715 tis. eur.</w:t>
      </w:r>
      <w:r w:rsidR="001A50F9">
        <w:rPr>
          <w:color w:val="000000"/>
          <w:szCs w:val="22"/>
          <w:lang w:eastAsia="sk-SK"/>
        </w:rPr>
        <w:t xml:space="preserve"> </w:t>
      </w:r>
      <w:r w:rsidR="001F550C" w:rsidRPr="00565685">
        <w:rPr>
          <w:szCs w:val="22"/>
        </w:rPr>
        <w:t>Medziročn</w:t>
      </w:r>
      <w:r w:rsidR="001F550C">
        <w:rPr>
          <w:szCs w:val="22"/>
        </w:rPr>
        <w:t>ý</w:t>
      </w:r>
      <w:r w:rsidR="001F550C" w:rsidRPr="00565685">
        <w:rPr>
          <w:szCs w:val="22"/>
        </w:rPr>
        <w:t xml:space="preserve"> nárast príjmov z odvodov súvisel s</w:t>
      </w:r>
      <w:r w:rsidR="008777F5">
        <w:rPr>
          <w:szCs w:val="22"/>
        </w:rPr>
        <w:t> </w:t>
      </w:r>
      <w:r w:rsidR="001F550C" w:rsidRPr="00565685">
        <w:rPr>
          <w:szCs w:val="22"/>
        </w:rPr>
        <w:t>nárastom úspešnosti výberu poistného za ekonomicky aktívne obyvateľstvo a zároveň došlo aj k vyššiemu čerpaniu výdavkov na zdravotnú starostlivosť, ktoré súvisel</w:t>
      </w:r>
      <w:r w:rsidR="001A50F9">
        <w:rPr>
          <w:szCs w:val="22"/>
        </w:rPr>
        <w:t>o</w:t>
      </w:r>
      <w:r w:rsidR="008777F5" w:rsidRPr="008777F5">
        <w:rPr>
          <w:szCs w:val="22"/>
        </w:rPr>
        <w:t xml:space="preserve"> </w:t>
      </w:r>
      <w:r w:rsidR="008777F5">
        <w:rPr>
          <w:szCs w:val="22"/>
        </w:rPr>
        <w:t>najmä s vyššou infláciou a rastom cien energií</w:t>
      </w:r>
      <w:r w:rsidR="001F550C" w:rsidRPr="00565685">
        <w:rPr>
          <w:szCs w:val="22"/>
        </w:rPr>
        <w:t xml:space="preserve"> </w:t>
      </w:r>
      <w:r w:rsidR="008777F5">
        <w:rPr>
          <w:szCs w:val="22"/>
        </w:rPr>
        <w:t xml:space="preserve">a zároveň aj </w:t>
      </w:r>
      <w:r w:rsidR="001F550C" w:rsidRPr="00565685">
        <w:rPr>
          <w:szCs w:val="22"/>
        </w:rPr>
        <w:t xml:space="preserve">s oživením poskytovanej zdravotnej starostlivosti (ktorá bola kvôli pandémii COVID-19 </w:t>
      </w:r>
      <w:r w:rsidR="008777F5">
        <w:rPr>
          <w:szCs w:val="22"/>
        </w:rPr>
        <w:t>v </w:t>
      </w:r>
      <w:r w:rsidR="001F550C" w:rsidRPr="00565685">
        <w:rPr>
          <w:szCs w:val="22"/>
        </w:rPr>
        <w:t>roku 2020 a 2021 pozastavená)</w:t>
      </w:r>
      <w:r w:rsidR="008777F5">
        <w:rPr>
          <w:szCs w:val="22"/>
        </w:rPr>
        <w:t>.</w:t>
      </w:r>
    </w:p>
    <w:p w14:paraId="45173410" w14:textId="546CA8E9" w:rsidR="00761958" w:rsidRPr="00761958" w:rsidRDefault="00761958" w:rsidP="005F391E">
      <w:pPr>
        <w:spacing w:after="120" w:line="240" w:lineRule="auto"/>
        <w:jc w:val="both"/>
        <w:rPr>
          <w:szCs w:val="22"/>
          <w:highlight w:val="yellow"/>
        </w:rPr>
      </w:pPr>
      <w:r w:rsidRPr="00761958">
        <w:rPr>
          <w:szCs w:val="22"/>
        </w:rPr>
        <w:t>Najväčší pozitívny vplyv predstavoval transfer Všeobecnej zdravotnej poisťovni, a. s. poskytnutý zo štátnych finančných aktív formou vkladu do základného imania vo výške 160 000 tis. eur</w:t>
      </w:r>
      <w:r>
        <w:rPr>
          <w:szCs w:val="22"/>
        </w:rPr>
        <w:t xml:space="preserve"> (v roku 2021 </w:t>
      </w:r>
      <w:r>
        <w:rPr>
          <w:szCs w:val="22"/>
        </w:rPr>
        <w:lastRenderedPageBreak/>
        <w:t>nebol poskytnutý transfer vo forme vkladu do základného imania)</w:t>
      </w:r>
      <w:r w:rsidRPr="00761958">
        <w:rPr>
          <w:szCs w:val="22"/>
        </w:rPr>
        <w:t>. Na základe vecného účelu použitia týchto prostriedkov bola finančná operácia preklasifikovaná na kapitálový transfer.</w:t>
      </w:r>
    </w:p>
    <w:p w14:paraId="0EE61A06" w14:textId="3098A359" w:rsidR="005F391E" w:rsidRPr="00BB4B6F" w:rsidRDefault="006A0726" w:rsidP="005F391E">
      <w:pPr>
        <w:spacing w:after="120" w:line="240" w:lineRule="auto"/>
        <w:jc w:val="both"/>
        <w:rPr>
          <w:szCs w:val="22"/>
          <w:highlight w:val="yellow"/>
        </w:rPr>
      </w:pPr>
      <w:r>
        <w:rPr>
          <w:b/>
          <w:szCs w:val="22"/>
        </w:rPr>
        <w:t>V</w:t>
      </w:r>
      <w:r w:rsidR="005F391E" w:rsidRPr="00C56D7D">
        <w:rPr>
          <w:b/>
          <w:szCs w:val="22"/>
        </w:rPr>
        <w:t>erejné zdravotné</w:t>
      </w:r>
      <w:r>
        <w:rPr>
          <w:b/>
          <w:szCs w:val="22"/>
        </w:rPr>
        <w:t xml:space="preserve"> poistenie</w:t>
      </w:r>
      <w:r w:rsidR="005F391E" w:rsidRPr="00C56D7D">
        <w:rPr>
          <w:b/>
          <w:szCs w:val="22"/>
        </w:rPr>
        <w:t xml:space="preserve"> aj napriek hotovostnému schodku zaznamenal</w:t>
      </w:r>
      <w:r>
        <w:rPr>
          <w:b/>
          <w:szCs w:val="22"/>
        </w:rPr>
        <w:t>o</w:t>
      </w:r>
      <w:r w:rsidR="005F391E" w:rsidRPr="00C56D7D">
        <w:rPr>
          <w:b/>
          <w:szCs w:val="22"/>
        </w:rPr>
        <w:t xml:space="preserve"> </w:t>
      </w:r>
      <w:r w:rsidR="00004469" w:rsidRPr="00C56D7D">
        <w:rPr>
          <w:b/>
          <w:szCs w:val="22"/>
        </w:rPr>
        <w:t>ESA prebytok</w:t>
      </w:r>
      <w:r w:rsidR="00EE5E93">
        <w:rPr>
          <w:szCs w:val="22"/>
        </w:rPr>
        <w:t xml:space="preserve"> vo výške 552 tis. eur (</w:t>
      </w:r>
      <w:r w:rsidR="00EE5E93" w:rsidRPr="009B5996">
        <w:t xml:space="preserve">oproti roku 2021 došlo </w:t>
      </w:r>
      <w:r w:rsidR="00EE5E93" w:rsidRPr="009B5996">
        <w:rPr>
          <w:szCs w:val="22"/>
        </w:rPr>
        <w:t>k</w:t>
      </w:r>
      <w:r w:rsidR="00EE5E93">
        <w:rPr>
          <w:szCs w:val="22"/>
        </w:rPr>
        <w:t> zlepšeniu hospodárenia o 43</w:t>
      </w:r>
      <w:r w:rsidR="00EE5E93" w:rsidRPr="009B5996">
        <w:rPr>
          <w:szCs w:val="22"/>
        </w:rPr>
        <w:t> </w:t>
      </w:r>
      <w:r w:rsidR="00EE5E93">
        <w:rPr>
          <w:szCs w:val="22"/>
        </w:rPr>
        <w:t>063</w:t>
      </w:r>
      <w:r w:rsidR="00EE5E93" w:rsidRPr="009B5996">
        <w:rPr>
          <w:szCs w:val="22"/>
        </w:rPr>
        <w:t> tis. eur)</w:t>
      </w:r>
      <w:r w:rsidR="005F391E" w:rsidRPr="00004469">
        <w:rPr>
          <w:szCs w:val="22"/>
        </w:rPr>
        <w:t xml:space="preserve">. </w:t>
      </w:r>
      <w:r w:rsidR="005F391E" w:rsidRPr="00EE5E93">
        <w:rPr>
          <w:szCs w:val="22"/>
        </w:rPr>
        <w:t>Na celkové hospodárenie mala vplyv vo významnej miere aj metodická  zmena prevodového mostíka</w:t>
      </w:r>
      <w:r w:rsidR="0003038A" w:rsidRPr="00EE5E93">
        <w:rPr>
          <w:szCs w:val="22"/>
        </w:rPr>
        <w:t xml:space="preserve"> na</w:t>
      </w:r>
      <w:r w:rsidR="009D49F5" w:rsidRPr="00EE5E93">
        <w:rPr>
          <w:szCs w:val="22"/>
        </w:rPr>
        <w:t> </w:t>
      </w:r>
      <w:r w:rsidR="0003038A" w:rsidRPr="00EE5E93">
        <w:rPr>
          <w:szCs w:val="22"/>
        </w:rPr>
        <w:t xml:space="preserve">metodiku </w:t>
      </w:r>
      <w:r w:rsidR="00F40ABA" w:rsidRPr="00EE5E93">
        <w:rPr>
          <w:szCs w:val="22"/>
        </w:rPr>
        <w:t>ESA 2010</w:t>
      </w:r>
      <w:r w:rsidR="005F391E" w:rsidRPr="00EE5E93">
        <w:rPr>
          <w:szCs w:val="22"/>
        </w:rPr>
        <w:t xml:space="preserve">, kde boli niektoré položky príjmov, výdavkov, pohľadávok a záväzkov prehodnotené a imputované do systému verejného zdravotného poistenia. </w:t>
      </w:r>
      <w:r w:rsidR="0003038A" w:rsidRPr="00EE5E93">
        <w:rPr>
          <w:szCs w:val="22"/>
        </w:rPr>
        <w:t>N</w:t>
      </w:r>
      <w:r w:rsidR="005F391E" w:rsidRPr="00EE5E93">
        <w:rPr>
          <w:szCs w:val="22"/>
        </w:rPr>
        <w:t>a zl</w:t>
      </w:r>
      <w:r w:rsidR="005F391E" w:rsidRPr="00A35409">
        <w:rPr>
          <w:szCs w:val="22"/>
        </w:rPr>
        <w:t xml:space="preserve">epšenie hospodárenia mala pozitívny vplyv aj </w:t>
      </w:r>
      <w:proofErr w:type="spellStart"/>
      <w:r w:rsidR="005F391E" w:rsidRPr="00A35409">
        <w:rPr>
          <w:szCs w:val="22"/>
        </w:rPr>
        <w:t>akrualizácia</w:t>
      </w:r>
      <w:proofErr w:type="spellEnd"/>
      <w:r w:rsidR="005F391E" w:rsidRPr="00A35409">
        <w:rPr>
          <w:szCs w:val="22"/>
        </w:rPr>
        <w:t xml:space="preserve"> poistného </w:t>
      </w:r>
      <w:r w:rsidR="00007D5C" w:rsidRPr="00A35409">
        <w:rPr>
          <w:szCs w:val="22"/>
        </w:rPr>
        <w:t>vo výške </w:t>
      </w:r>
      <w:r w:rsidR="00A35409" w:rsidRPr="00A35409">
        <w:rPr>
          <w:szCs w:val="22"/>
        </w:rPr>
        <w:t>19 260</w:t>
      </w:r>
      <w:r w:rsidR="005F391E" w:rsidRPr="00A35409">
        <w:rPr>
          <w:szCs w:val="22"/>
        </w:rPr>
        <w:t xml:space="preserve"> tis. eur, čo v porovnaní s predchádzajúcim rokom predstavovalo </w:t>
      </w:r>
      <w:r w:rsidR="00A35409">
        <w:rPr>
          <w:szCs w:val="22"/>
        </w:rPr>
        <w:t>pokles</w:t>
      </w:r>
      <w:r w:rsidR="005F391E" w:rsidRPr="00A35409">
        <w:rPr>
          <w:szCs w:val="22"/>
        </w:rPr>
        <w:t xml:space="preserve"> </w:t>
      </w:r>
      <w:r w:rsidR="0003038A" w:rsidRPr="00A35409">
        <w:rPr>
          <w:szCs w:val="22"/>
        </w:rPr>
        <w:t xml:space="preserve">vplyvu </w:t>
      </w:r>
      <w:proofErr w:type="spellStart"/>
      <w:r w:rsidR="0003038A" w:rsidRPr="00A35409">
        <w:rPr>
          <w:szCs w:val="22"/>
        </w:rPr>
        <w:t>akrualizácie</w:t>
      </w:r>
      <w:proofErr w:type="spellEnd"/>
      <w:r w:rsidR="0003038A" w:rsidRPr="00A35409">
        <w:rPr>
          <w:szCs w:val="22"/>
        </w:rPr>
        <w:t xml:space="preserve"> </w:t>
      </w:r>
      <w:r w:rsidR="005F391E" w:rsidRPr="00A35409">
        <w:rPr>
          <w:szCs w:val="22"/>
        </w:rPr>
        <w:t>o</w:t>
      </w:r>
      <w:r w:rsidR="00A35409" w:rsidRPr="00A35409">
        <w:rPr>
          <w:szCs w:val="22"/>
        </w:rPr>
        <w:t> 26</w:t>
      </w:r>
      <w:r w:rsidR="005F391E" w:rsidRPr="00A35409">
        <w:rPr>
          <w:szCs w:val="22"/>
        </w:rPr>
        <w:t> </w:t>
      </w:r>
      <w:r w:rsidR="00A35409" w:rsidRPr="00A35409">
        <w:rPr>
          <w:szCs w:val="22"/>
        </w:rPr>
        <w:t>483</w:t>
      </w:r>
      <w:r w:rsidR="005F391E" w:rsidRPr="00A35409">
        <w:rPr>
          <w:szCs w:val="22"/>
        </w:rPr>
        <w:t xml:space="preserve"> tis. eur. </w:t>
      </w:r>
    </w:p>
    <w:p w14:paraId="25622BFF" w14:textId="2C4BE116" w:rsidR="00F942EF" w:rsidRPr="00F942EF" w:rsidRDefault="00F942EF" w:rsidP="00F942EF">
      <w:pPr>
        <w:spacing w:after="120" w:line="240" w:lineRule="auto"/>
        <w:jc w:val="both"/>
        <w:rPr>
          <w:szCs w:val="22"/>
        </w:rPr>
      </w:pPr>
      <w:r w:rsidRPr="00F942EF">
        <w:rPr>
          <w:szCs w:val="22"/>
        </w:rPr>
        <w:t>Pozitívny vplyv na celkové hospodárenie mal nárast pohľadávok o 17 478 tis. eur (v roku 2021 došlo k poklesu pohľadávok o 37 883 tis. eur), išlo predovšetkým o nárast pohľadávok voči poskytovateľom zdravotnej starostlivosti o 7 823 tis. eur, voči štátnemu rozpočtu o 6 126 tis. eur a nárast pohľadávok z daní o 2 478 tis. eur.</w:t>
      </w:r>
    </w:p>
    <w:p w14:paraId="6C3EAAFB" w14:textId="77777777" w:rsidR="00F942EF" w:rsidRDefault="00F942EF" w:rsidP="00F942EF">
      <w:pPr>
        <w:spacing w:after="120" w:line="240" w:lineRule="auto"/>
        <w:jc w:val="both"/>
        <w:rPr>
          <w:szCs w:val="22"/>
        </w:rPr>
      </w:pPr>
      <w:r w:rsidRPr="00F942EF">
        <w:rPr>
          <w:szCs w:val="22"/>
        </w:rPr>
        <w:t>Medziročný nárast záväzkov zhoršil hospodárenie zdravotných poisťovní o 53 033 tis. eur (v roku 2021 došlo k poklesu záväzkov o 13 718 tis. eur), pričom išlo predovšetkým o nárast záväzkov voči poskytovateľom zdravotnej starostlivosti o 24 861 tis. eur, voči lekárňam o 15 376 tis. eur a záväzky voči Úradu pre dohľad nad zdravotnou starostlivosťou o 9 700</w:t>
      </w:r>
      <w:r w:rsidRPr="00F942EF">
        <w:t> tis. eur</w:t>
      </w:r>
      <w:r w:rsidRPr="00F942EF">
        <w:rPr>
          <w:szCs w:val="22"/>
        </w:rPr>
        <w:t xml:space="preserve">.  Súčasne došlo k poklesu záväzkov z daní o 6 016 tis. eur. </w:t>
      </w:r>
    </w:p>
    <w:p w14:paraId="0719BBC9" w14:textId="737480C2" w:rsidR="005F391E" w:rsidRPr="00CD1A13" w:rsidRDefault="005F391E" w:rsidP="00F942EF">
      <w:pPr>
        <w:spacing w:after="120" w:line="240" w:lineRule="auto"/>
        <w:jc w:val="both"/>
        <w:rPr>
          <w:szCs w:val="22"/>
        </w:rPr>
      </w:pPr>
      <w:r w:rsidRPr="00B715D7">
        <w:rPr>
          <w:szCs w:val="22"/>
        </w:rPr>
        <w:t xml:space="preserve">Na hospodárenie negatívne vplýval aj výdavkový transfer z verejnej časti zdravotného poistenia do súkromnej časti zdravotných poisťovní </w:t>
      </w:r>
      <w:r w:rsidR="00764C6E">
        <w:rPr>
          <w:szCs w:val="22"/>
        </w:rPr>
        <w:t>spolu vo výške</w:t>
      </w:r>
      <w:r w:rsidR="00B81F06">
        <w:rPr>
          <w:szCs w:val="22"/>
        </w:rPr>
        <w:t xml:space="preserve"> 88 965</w:t>
      </w:r>
      <w:r w:rsidR="00764C6E">
        <w:rPr>
          <w:szCs w:val="22"/>
        </w:rPr>
        <w:t xml:space="preserve"> </w:t>
      </w:r>
      <w:r w:rsidR="00B81F06">
        <w:rPr>
          <w:szCs w:val="22"/>
        </w:rPr>
        <w:t xml:space="preserve">tis. eur </w:t>
      </w:r>
      <w:r w:rsidRPr="00B715D7">
        <w:rPr>
          <w:szCs w:val="22"/>
        </w:rPr>
        <w:t>(</w:t>
      </w:r>
      <w:r w:rsidR="00B715D7" w:rsidRPr="00B715D7">
        <w:rPr>
          <w:szCs w:val="22"/>
        </w:rPr>
        <w:t xml:space="preserve">išlo </w:t>
      </w:r>
      <w:r w:rsidR="00764C6E">
        <w:rPr>
          <w:szCs w:val="22"/>
        </w:rPr>
        <w:t xml:space="preserve">najmä </w:t>
      </w:r>
      <w:r w:rsidR="00B715D7" w:rsidRPr="00B715D7">
        <w:rPr>
          <w:szCs w:val="22"/>
        </w:rPr>
        <w:t xml:space="preserve">o </w:t>
      </w:r>
      <w:r w:rsidR="00764C6E" w:rsidRPr="00B715D7">
        <w:rPr>
          <w:szCs w:val="22"/>
        </w:rPr>
        <w:t>platba za správu verejného zdravotného poistenia</w:t>
      </w:r>
      <w:r w:rsidR="00B81F06">
        <w:rPr>
          <w:szCs w:val="22"/>
        </w:rPr>
        <w:t xml:space="preserve"> 83 785 tis. eur</w:t>
      </w:r>
      <w:r w:rsidR="00764C6E">
        <w:rPr>
          <w:szCs w:val="22"/>
        </w:rPr>
        <w:t xml:space="preserve">, </w:t>
      </w:r>
      <w:r w:rsidR="00764C6E" w:rsidRPr="00B715D7">
        <w:rPr>
          <w:szCs w:val="22"/>
        </w:rPr>
        <w:t>výplat</w:t>
      </w:r>
      <w:r w:rsidR="00764C6E">
        <w:rPr>
          <w:szCs w:val="22"/>
        </w:rPr>
        <w:t>u</w:t>
      </w:r>
      <w:r w:rsidR="00764C6E" w:rsidRPr="00B715D7">
        <w:rPr>
          <w:szCs w:val="22"/>
        </w:rPr>
        <w:t xml:space="preserve"> dividend akcionárom </w:t>
      </w:r>
      <w:proofErr w:type="spellStart"/>
      <w:r w:rsidR="00764C6E" w:rsidRPr="00B715D7">
        <w:rPr>
          <w:szCs w:val="22"/>
        </w:rPr>
        <w:t>Union</w:t>
      </w:r>
      <w:proofErr w:type="spellEnd"/>
      <w:r w:rsidR="00764C6E" w:rsidRPr="00B715D7">
        <w:rPr>
          <w:szCs w:val="22"/>
        </w:rPr>
        <w:t>, a.</w:t>
      </w:r>
      <w:r w:rsidR="00764C6E">
        <w:rPr>
          <w:szCs w:val="22"/>
        </w:rPr>
        <w:t xml:space="preserve"> </w:t>
      </w:r>
      <w:r w:rsidR="005019EB">
        <w:rPr>
          <w:szCs w:val="22"/>
        </w:rPr>
        <w:t>s. v sume 4 900 tis. </w:t>
      </w:r>
      <w:r w:rsidR="00764C6E" w:rsidRPr="00B715D7">
        <w:rPr>
          <w:szCs w:val="22"/>
        </w:rPr>
        <w:t>eur</w:t>
      </w:r>
      <w:r w:rsidR="00B81F06">
        <w:rPr>
          <w:szCs w:val="22"/>
        </w:rPr>
        <w:t>,</w:t>
      </w:r>
      <w:r w:rsidR="00764C6E" w:rsidRPr="00B715D7">
        <w:rPr>
          <w:szCs w:val="22"/>
        </w:rPr>
        <w:t xml:space="preserve"> a </w:t>
      </w:r>
      <w:r w:rsidR="00B715D7" w:rsidRPr="00B715D7">
        <w:rPr>
          <w:szCs w:val="22"/>
        </w:rPr>
        <w:t>splátku istiny úveru zdravotnej poisťovne Dôvera, a.</w:t>
      </w:r>
      <w:r w:rsidR="00027721">
        <w:rPr>
          <w:szCs w:val="22"/>
        </w:rPr>
        <w:t> </w:t>
      </w:r>
      <w:r w:rsidR="00B715D7" w:rsidRPr="00B715D7">
        <w:rPr>
          <w:szCs w:val="22"/>
        </w:rPr>
        <w:t>s. v</w:t>
      </w:r>
      <w:r w:rsidR="00027721">
        <w:rPr>
          <w:szCs w:val="22"/>
        </w:rPr>
        <w:t> </w:t>
      </w:r>
      <w:r w:rsidR="00B715D7" w:rsidRPr="00B715D7">
        <w:rPr>
          <w:szCs w:val="22"/>
        </w:rPr>
        <w:t>sume 280 tis. eur</w:t>
      </w:r>
      <w:r w:rsidR="00007D5C" w:rsidRPr="00B715D7">
        <w:rPr>
          <w:szCs w:val="22"/>
        </w:rPr>
        <w:t>)</w:t>
      </w:r>
      <w:r w:rsidR="00B715D7" w:rsidRPr="00B715D7">
        <w:rPr>
          <w:szCs w:val="22"/>
        </w:rPr>
        <w:t xml:space="preserve">. </w:t>
      </w:r>
      <w:r w:rsidR="00B715D7" w:rsidRPr="00CD1A13">
        <w:rPr>
          <w:szCs w:val="22"/>
        </w:rPr>
        <w:t>V roku 2021</w:t>
      </w:r>
      <w:r w:rsidRPr="00CD1A13">
        <w:rPr>
          <w:szCs w:val="22"/>
        </w:rPr>
        <w:t xml:space="preserve"> predst</w:t>
      </w:r>
      <w:r w:rsidR="00007D5C" w:rsidRPr="00CD1A13">
        <w:rPr>
          <w:szCs w:val="22"/>
        </w:rPr>
        <w:t>avovala hodnota tohto transferu </w:t>
      </w:r>
      <w:r w:rsidR="00B81F06">
        <w:rPr>
          <w:szCs w:val="22"/>
        </w:rPr>
        <w:t xml:space="preserve">porovnateľnú úroveň. </w:t>
      </w:r>
    </w:p>
    <w:p w14:paraId="791951B6" w14:textId="77777777" w:rsidR="00A615D3" w:rsidRPr="00DC0F15" w:rsidRDefault="003D050C" w:rsidP="00B051D3">
      <w:pPr>
        <w:pStyle w:val="Nadpis2"/>
        <w:numPr>
          <w:ilvl w:val="0"/>
          <w:numId w:val="0"/>
        </w:numPr>
        <w:spacing w:after="120"/>
        <w:ind w:left="896"/>
      </w:pPr>
      <w:bookmarkStart w:id="19" w:name="_Toc148704465"/>
      <w:r w:rsidRPr="00DC0F15">
        <w:t>1</w:t>
      </w:r>
      <w:r w:rsidR="00C102B8" w:rsidRPr="00DC0F15">
        <w:t>.</w:t>
      </w:r>
      <w:r w:rsidR="008E7556" w:rsidRPr="00DC0F15">
        <w:t>3</w:t>
      </w:r>
      <w:r w:rsidR="00C102B8" w:rsidRPr="00DC0F15">
        <w:t>.</w:t>
      </w:r>
      <w:r w:rsidR="00C102B8" w:rsidRPr="00DC0F15">
        <w:tab/>
      </w:r>
      <w:r w:rsidRPr="00DC0F15">
        <w:t>Dlh verejnej správy</w:t>
      </w:r>
      <w:bookmarkEnd w:id="19"/>
    </w:p>
    <w:p w14:paraId="43336F8C" w14:textId="0EDBDD00" w:rsidR="00B81F06" w:rsidRDefault="00912710" w:rsidP="00B81F06">
      <w:pPr>
        <w:spacing w:after="120" w:line="240" w:lineRule="auto"/>
        <w:jc w:val="both"/>
        <w:rPr>
          <w:b/>
          <w:color w:val="4F81BD" w:themeColor="accent1"/>
          <w:szCs w:val="22"/>
        </w:rPr>
      </w:pPr>
      <w:r w:rsidRPr="00DC0F15">
        <w:rPr>
          <w:b/>
          <w:color w:val="4F81BD" w:themeColor="accent1"/>
          <w:szCs w:val="22"/>
        </w:rPr>
        <w:t>Hrubý dlh verejnej správy</w:t>
      </w:r>
      <w:r w:rsidRPr="00B81F06">
        <w:rPr>
          <w:b/>
          <w:color w:val="4F81BD" w:themeColor="accent1"/>
          <w:szCs w:val="22"/>
        </w:rPr>
        <w:t xml:space="preserve"> </w:t>
      </w:r>
      <w:r w:rsidR="00DC0F15" w:rsidRPr="00B81F06">
        <w:rPr>
          <w:b/>
          <w:color w:val="4F81BD" w:themeColor="accent1"/>
          <w:szCs w:val="22"/>
        </w:rPr>
        <w:t xml:space="preserve">(maastrichtský dlh) </w:t>
      </w:r>
      <w:r w:rsidR="00DC0F15" w:rsidRPr="00DC0F15">
        <w:rPr>
          <w:b/>
          <w:color w:val="4F81BD" w:themeColor="accent1"/>
          <w:szCs w:val="22"/>
        </w:rPr>
        <w:t>dosiahol k 31.12.2022 výšku </w:t>
      </w:r>
      <w:r w:rsidR="00DC0F15" w:rsidRPr="00B81F06">
        <w:rPr>
          <w:b/>
          <w:color w:val="4F81BD" w:themeColor="accent1"/>
          <w:szCs w:val="22"/>
        </w:rPr>
        <w:t>63 377 974</w:t>
      </w:r>
      <w:r w:rsidR="00DC0F15" w:rsidRPr="00DC0F15">
        <w:rPr>
          <w:b/>
          <w:color w:val="4F81BD" w:themeColor="accent1"/>
          <w:szCs w:val="22"/>
        </w:rPr>
        <w:t> tis. eur (57,8 % HDP)</w:t>
      </w:r>
      <w:r w:rsidR="00DC0F15" w:rsidRPr="00B81F06">
        <w:rPr>
          <w:b/>
          <w:color w:val="4F81BD" w:themeColor="accent1"/>
          <w:szCs w:val="22"/>
        </w:rPr>
        <w:t xml:space="preserve"> a medziročne sa jeho pomer k HDP znížil o </w:t>
      </w:r>
      <w:r w:rsidR="00B81F06">
        <w:rPr>
          <w:b/>
          <w:color w:val="4F81BD" w:themeColor="accent1"/>
          <w:szCs w:val="22"/>
        </w:rPr>
        <w:t>3,3 p. b.</w:t>
      </w:r>
    </w:p>
    <w:p w14:paraId="566B1192" w14:textId="0E728B40" w:rsidR="00B81F06" w:rsidRDefault="00B81F06" w:rsidP="00B81F06">
      <w:pPr>
        <w:spacing w:after="120" w:line="240" w:lineRule="auto"/>
        <w:jc w:val="both"/>
      </w:pPr>
      <w:r>
        <w:t xml:space="preserve">V nominálnom vyjadrení dlh verejnej správy, očistený o vzájomné výpožičky v rámci verejnej správ, medziročne vzrástol </w:t>
      </w:r>
      <w:r w:rsidRPr="00D12064">
        <w:rPr>
          <w:szCs w:val="22"/>
        </w:rPr>
        <w:t xml:space="preserve">o </w:t>
      </w:r>
      <w:r w:rsidRPr="00D12064">
        <w:rPr>
          <w:bCs/>
          <w:szCs w:val="22"/>
          <w:lang w:eastAsia="sk-SK"/>
        </w:rPr>
        <w:t>2 140 217 tis. eur.</w:t>
      </w:r>
      <w:r>
        <w:rPr>
          <w:bCs/>
          <w:sz w:val="20"/>
          <w:szCs w:val="20"/>
          <w:lang w:eastAsia="sk-SK"/>
        </w:rPr>
        <w:t xml:space="preserve"> </w:t>
      </w:r>
      <w:r w:rsidRPr="00B81F06">
        <w:t>Medzi</w:t>
      </w:r>
      <w:r>
        <w:t>ročný rast nominálneho HDP, ktorý bol silne ovplyvnený rastom cenovej hladiny, spôsobil</w:t>
      </w:r>
      <w:r w:rsidRPr="00B81F06">
        <w:t xml:space="preserve"> zníženiu podielu </w:t>
      </w:r>
      <w:r>
        <w:t>hodnoty dlhu voči</w:t>
      </w:r>
      <w:r w:rsidRPr="00B81F06">
        <w:t xml:space="preserve"> HDP o 5,4 p. b.</w:t>
      </w:r>
    </w:p>
    <w:p w14:paraId="5B54DEA1" w14:textId="2207B83A" w:rsidR="00B81F06" w:rsidRPr="00B81F06" w:rsidRDefault="00B81F06" w:rsidP="00B81F06">
      <w:pPr>
        <w:spacing w:after="120" w:line="240" w:lineRule="auto"/>
        <w:jc w:val="both"/>
      </w:pPr>
      <w:r>
        <w:t>Pri porovnaní medziročného vývoja dlhu za jednotlivé zložky, vzrástol tradične hlavne štátny dlh, a to o 1 848 991 tis. eur, emitovaním najmä štátnych dlhopisov na priebežné krytie schodku roku 2022 ako aj na splátky dlhopisov emitované v predchádzajúcich rokoch.</w:t>
      </w:r>
      <w:r w:rsidR="007B3611">
        <w:t xml:space="preserve"> Rast štátneho dlhu bol pozitívne ovplyvnený poklesom zadlženia u niektorých obchodných spoločností ako napríklad Železničná spoločnosť Slovenska, </w:t>
      </w:r>
      <w:proofErr w:type="spellStart"/>
      <w:r w:rsidR="007B3611">
        <w:t>a.s</w:t>
      </w:r>
      <w:proofErr w:type="spellEnd"/>
      <w:r w:rsidR="007B3611">
        <w:t xml:space="preserve">. alebo Národnej diaľničnej spoločnosti, </w:t>
      </w:r>
      <w:proofErr w:type="spellStart"/>
      <w:r w:rsidR="007B3611">
        <w:t>a.s</w:t>
      </w:r>
      <w:proofErr w:type="spellEnd"/>
      <w:r w:rsidR="007B3611">
        <w:t>. Výrazne vyššie zadlženie medzi rokmi 2022 a 2021, v porovnaní s </w:t>
      </w:r>
      <w:proofErr w:type="spellStart"/>
      <w:r w:rsidR="007B3611">
        <w:t>pandemickými</w:t>
      </w:r>
      <w:proofErr w:type="spellEnd"/>
      <w:r w:rsidR="007B3611">
        <w:t xml:space="preserve"> rokmi 2020 a 2021, zaznamenali subjekty územnej samosprávy. Obce zvýšili svoje zadlženie o 106 790 tis. eur (pričom v roku 2021 bol nárast 50 997 tis. eur) a vyššie územné celky aktuálne o 57 582 tis. eur v porovnaní s 8 993 tis. eur v roku 2021. Čerpaním nových úverov zvýšili svoj dlh aj dopravné podniky vo verejnej správe, kedy po poklese v roku 2021 o 5 704 tis. eur akcelerovali rast dlhu v roku 2022 o 41 473 tis. eur.</w:t>
      </w:r>
    </w:p>
    <w:p w14:paraId="4458A6A6" w14:textId="77777777" w:rsidR="00731361" w:rsidRDefault="00731361">
      <w:r>
        <w:br w:type="page"/>
      </w:r>
    </w:p>
    <w:tbl>
      <w:tblPr>
        <w:tblW w:w="5000" w:type="pct"/>
        <w:tblCellMar>
          <w:left w:w="70" w:type="dxa"/>
          <w:right w:w="70" w:type="dxa"/>
        </w:tblCellMar>
        <w:tblLook w:val="04A0" w:firstRow="1" w:lastRow="0" w:firstColumn="1" w:lastColumn="0" w:noHBand="0" w:noVBand="1"/>
      </w:tblPr>
      <w:tblGrid>
        <w:gridCol w:w="5000"/>
        <w:gridCol w:w="1049"/>
        <w:gridCol w:w="1040"/>
        <w:gridCol w:w="1103"/>
        <w:gridCol w:w="1162"/>
      </w:tblGrid>
      <w:tr w:rsidR="00DC0F15" w:rsidRPr="00DC0F15" w14:paraId="7D33EC60" w14:textId="77777777" w:rsidTr="000B1F5C">
        <w:trPr>
          <w:trHeight w:val="290"/>
        </w:trPr>
        <w:tc>
          <w:tcPr>
            <w:tcW w:w="3789" w:type="pct"/>
            <w:gridSpan w:val="3"/>
            <w:tcBorders>
              <w:top w:val="nil"/>
              <w:left w:val="nil"/>
              <w:bottom w:val="single" w:sz="4" w:space="0" w:color="auto"/>
              <w:right w:val="nil"/>
            </w:tcBorders>
            <w:shd w:val="clear" w:color="auto" w:fill="auto"/>
            <w:noWrap/>
            <w:vAlign w:val="center"/>
            <w:hideMark/>
          </w:tcPr>
          <w:p w14:paraId="4B206407" w14:textId="296FE2B3" w:rsidR="00DC0F15" w:rsidRPr="00DC0F15" w:rsidRDefault="00DC0F15" w:rsidP="003C5653">
            <w:pPr>
              <w:spacing w:after="0" w:line="240" w:lineRule="auto"/>
              <w:rPr>
                <w:b/>
                <w:bCs/>
                <w:color w:val="4F81BD"/>
                <w:sz w:val="20"/>
                <w:szCs w:val="20"/>
                <w:lang w:eastAsia="sk-SK"/>
              </w:rPr>
            </w:pPr>
            <w:r w:rsidRPr="00DC0F15">
              <w:rPr>
                <w:b/>
                <w:bCs/>
                <w:color w:val="4F81BD"/>
                <w:sz w:val="20"/>
                <w:szCs w:val="20"/>
                <w:lang w:eastAsia="sk-SK"/>
              </w:rPr>
              <w:lastRenderedPageBreak/>
              <w:t>Tabuľka 6 - Maastrichtský dlh verejnej správy podľa jednotlivých subjektov</w:t>
            </w:r>
          </w:p>
        </w:tc>
        <w:tc>
          <w:tcPr>
            <w:tcW w:w="590" w:type="pct"/>
            <w:tcBorders>
              <w:top w:val="nil"/>
              <w:left w:val="nil"/>
              <w:bottom w:val="single" w:sz="4" w:space="0" w:color="auto"/>
              <w:right w:val="nil"/>
            </w:tcBorders>
            <w:shd w:val="clear" w:color="auto" w:fill="auto"/>
            <w:noWrap/>
            <w:vAlign w:val="center"/>
            <w:hideMark/>
          </w:tcPr>
          <w:p w14:paraId="34AA35E3" w14:textId="77777777" w:rsidR="00DC0F15" w:rsidRPr="00DC0F15" w:rsidRDefault="00DC0F15" w:rsidP="003C5653">
            <w:pPr>
              <w:spacing w:after="0" w:line="240" w:lineRule="auto"/>
              <w:jc w:val="right"/>
              <w:rPr>
                <w:b/>
                <w:bCs/>
                <w:color w:val="00B0F0"/>
                <w:sz w:val="20"/>
                <w:szCs w:val="20"/>
                <w:lang w:eastAsia="sk-SK"/>
              </w:rPr>
            </w:pPr>
            <w:r w:rsidRPr="00DC0F15">
              <w:rPr>
                <w:b/>
                <w:bCs/>
                <w:color w:val="00B0F0"/>
                <w:sz w:val="20"/>
                <w:szCs w:val="20"/>
                <w:lang w:eastAsia="sk-SK"/>
              </w:rPr>
              <w:t> </w:t>
            </w:r>
          </w:p>
        </w:tc>
        <w:tc>
          <w:tcPr>
            <w:tcW w:w="621" w:type="pct"/>
            <w:tcBorders>
              <w:top w:val="nil"/>
              <w:left w:val="nil"/>
              <w:bottom w:val="single" w:sz="4" w:space="0" w:color="auto"/>
              <w:right w:val="nil"/>
            </w:tcBorders>
            <w:shd w:val="clear" w:color="auto" w:fill="auto"/>
            <w:noWrap/>
            <w:vAlign w:val="center"/>
            <w:hideMark/>
          </w:tcPr>
          <w:p w14:paraId="00E21B0A" w14:textId="77777777" w:rsidR="00DC0F15" w:rsidRPr="00DC0F15" w:rsidRDefault="00DC0F15" w:rsidP="003C5653">
            <w:pPr>
              <w:spacing w:after="0" w:line="240" w:lineRule="auto"/>
              <w:jc w:val="right"/>
              <w:rPr>
                <w:b/>
                <w:bCs/>
                <w:color w:val="4F81BD"/>
                <w:sz w:val="20"/>
                <w:szCs w:val="20"/>
                <w:lang w:eastAsia="sk-SK"/>
              </w:rPr>
            </w:pPr>
            <w:r w:rsidRPr="00DC0F15">
              <w:rPr>
                <w:b/>
                <w:bCs/>
                <w:color w:val="4F81BD"/>
                <w:sz w:val="20"/>
                <w:szCs w:val="20"/>
                <w:lang w:eastAsia="sk-SK"/>
              </w:rPr>
              <w:t>v tis. eur</w:t>
            </w:r>
          </w:p>
        </w:tc>
      </w:tr>
      <w:tr w:rsidR="00DC0F15" w:rsidRPr="00DC0F15" w14:paraId="1F69DF04" w14:textId="77777777" w:rsidTr="000B1F5C">
        <w:trPr>
          <w:trHeight w:val="280"/>
        </w:trPr>
        <w:tc>
          <w:tcPr>
            <w:tcW w:w="2673" w:type="pct"/>
            <w:vMerge w:val="restart"/>
            <w:tcBorders>
              <w:top w:val="nil"/>
              <w:left w:val="nil"/>
              <w:bottom w:val="single" w:sz="4" w:space="0" w:color="000000"/>
              <w:right w:val="nil"/>
            </w:tcBorders>
            <w:shd w:val="clear" w:color="auto" w:fill="auto"/>
            <w:vAlign w:val="center"/>
            <w:hideMark/>
          </w:tcPr>
          <w:p w14:paraId="4C002359" w14:textId="77777777" w:rsidR="00DC0F15" w:rsidRPr="00DC0F15" w:rsidRDefault="00DC0F15" w:rsidP="003C5653">
            <w:pPr>
              <w:spacing w:after="0" w:line="240" w:lineRule="auto"/>
              <w:jc w:val="both"/>
              <w:rPr>
                <w:b/>
                <w:bCs/>
                <w:sz w:val="20"/>
                <w:szCs w:val="20"/>
                <w:lang w:eastAsia="sk-SK"/>
              </w:rPr>
            </w:pPr>
          </w:p>
        </w:tc>
        <w:tc>
          <w:tcPr>
            <w:tcW w:w="561" w:type="pct"/>
            <w:tcBorders>
              <w:top w:val="nil"/>
              <w:left w:val="nil"/>
              <w:bottom w:val="nil"/>
              <w:right w:val="nil"/>
            </w:tcBorders>
            <w:shd w:val="clear" w:color="auto" w:fill="auto"/>
            <w:vAlign w:val="center"/>
            <w:hideMark/>
          </w:tcPr>
          <w:p w14:paraId="3C58F81B"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2020 S</w:t>
            </w:r>
          </w:p>
        </w:tc>
        <w:tc>
          <w:tcPr>
            <w:tcW w:w="556" w:type="pct"/>
            <w:tcBorders>
              <w:top w:val="nil"/>
              <w:left w:val="nil"/>
              <w:bottom w:val="nil"/>
              <w:right w:val="nil"/>
            </w:tcBorders>
            <w:shd w:val="clear" w:color="auto" w:fill="auto"/>
            <w:vAlign w:val="center"/>
            <w:hideMark/>
          </w:tcPr>
          <w:p w14:paraId="3C32F76E"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2021 S</w:t>
            </w:r>
          </w:p>
        </w:tc>
        <w:tc>
          <w:tcPr>
            <w:tcW w:w="590" w:type="pct"/>
            <w:tcBorders>
              <w:top w:val="nil"/>
              <w:left w:val="nil"/>
              <w:bottom w:val="nil"/>
              <w:right w:val="nil"/>
            </w:tcBorders>
            <w:shd w:val="clear" w:color="auto" w:fill="auto"/>
            <w:vAlign w:val="center"/>
            <w:hideMark/>
          </w:tcPr>
          <w:p w14:paraId="0A4B05B7"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2022 S</w:t>
            </w:r>
          </w:p>
        </w:tc>
        <w:tc>
          <w:tcPr>
            <w:tcW w:w="621" w:type="pct"/>
            <w:tcBorders>
              <w:top w:val="nil"/>
              <w:left w:val="nil"/>
              <w:bottom w:val="nil"/>
              <w:right w:val="nil"/>
            </w:tcBorders>
            <w:shd w:val="clear" w:color="auto" w:fill="auto"/>
            <w:vAlign w:val="center"/>
            <w:hideMark/>
          </w:tcPr>
          <w:p w14:paraId="7B26ED48"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Medziročný rozdiel</w:t>
            </w:r>
          </w:p>
        </w:tc>
      </w:tr>
      <w:tr w:rsidR="00DC0F15" w:rsidRPr="00DC0F15" w14:paraId="1A63B62E" w14:textId="77777777" w:rsidTr="000B1F5C">
        <w:trPr>
          <w:trHeight w:val="280"/>
        </w:trPr>
        <w:tc>
          <w:tcPr>
            <w:tcW w:w="2673" w:type="pct"/>
            <w:vMerge/>
            <w:tcBorders>
              <w:top w:val="nil"/>
              <w:left w:val="nil"/>
              <w:bottom w:val="single" w:sz="4" w:space="0" w:color="000000"/>
              <w:right w:val="nil"/>
            </w:tcBorders>
            <w:vAlign w:val="center"/>
            <w:hideMark/>
          </w:tcPr>
          <w:p w14:paraId="3B9D59AC" w14:textId="77777777" w:rsidR="00DC0F15" w:rsidRPr="00DC0F15" w:rsidRDefault="00DC0F15" w:rsidP="003C5653">
            <w:pPr>
              <w:spacing w:after="0" w:line="240" w:lineRule="auto"/>
              <w:rPr>
                <w:b/>
                <w:bCs/>
                <w:sz w:val="20"/>
                <w:szCs w:val="20"/>
                <w:lang w:eastAsia="sk-SK"/>
              </w:rPr>
            </w:pPr>
          </w:p>
        </w:tc>
        <w:tc>
          <w:tcPr>
            <w:tcW w:w="561" w:type="pct"/>
            <w:tcBorders>
              <w:top w:val="nil"/>
              <w:left w:val="nil"/>
              <w:bottom w:val="single" w:sz="4" w:space="0" w:color="auto"/>
              <w:right w:val="nil"/>
            </w:tcBorders>
            <w:shd w:val="clear" w:color="auto" w:fill="auto"/>
            <w:noWrap/>
            <w:vAlign w:val="bottom"/>
            <w:hideMark/>
          </w:tcPr>
          <w:p w14:paraId="1E85DE53"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1</w:t>
            </w:r>
          </w:p>
        </w:tc>
        <w:tc>
          <w:tcPr>
            <w:tcW w:w="556" w:type="pct"/>
            <w:tcBorders>
              <w:top w:val="nil"/>
              <w:left w:val="nil"/>
              <w:bottom w:val="single" w:sz="4" w:space="0" w:color="auto"/>
              <w:right w:val="nil"/>
            </w:tcBorders>
            <w:shd w:val="clear" w:color="auto" w:fill="auto"/>
            <w:noWrap/>
            <w:vAlign w:val="bottom"/>
            <w:hideMark/>
          </w:tcPr>
          <w:p w14:paraId="10AECA88"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2</w:t>
            </w:r>
          </w:p>
        </w:tc>
        <w:tc>
          <w:tcPr>
            <w:tcW w:w="590" w:type="pct"/>
            <w:tcBorders>
              <w:top w:val="nil"/>
              <w:left w:val="nil"/>
              <w:bottom w:val="single" w:sz="4" w:space="0" w:color="auto"/>
              <w:right w:val="nil"/>
            </w:tcBorders>
            <w:shd w:val="clear" w:color="auto" w:fill="auto"/>
            <w:noWrap/>
            <w:vAlign w:val="bottom"/>
            <w:hideMark/>
          </w:tcPr>
          <w:p w14:paraId="1C9C759C"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3</w:t>
            </w:r>
          </w:p>
        </w:tc>
        <w:tc>
          <w:tcPr>
            <w:tcW w:w="621" w:type="pct"/>
            <w:tcBorders>
              <w:top w:val="nil"/>
              <w:left w:val="nil"/>
              <w:bottom w:val="single" w:sz="4" w:space="0" w:color="auto"/>
              <w:right w:val="nil"/>
            </w:tcBorders>
            <w:shd w:val="clear" w:color="auto" w:fill="auto"/>
            <w:noWrap/>
            <w:vAlign w:val="bottom"/>
            <w:hideMark/>
          </w:tcPr>
          <w:p w14:paraId="3958AFF9" w14:textId="77777777" w:rsidR="00DC0F15" w:rsidRPr="00DC0F15" w:rsidRDefault="00DC0F15" w:rsidP="003C5653">
            <w:pPr>
              <w:spacing w:after="0" w:line="240" w:lineRule="auto"/>
              <w:jc w:val="center"/>
              <w:rPr>
                <w:b/>
                <w:bCs/>
                <w:sz w:val="20"/>
                <w:szCs w:val="20"/>
                <w:lang w:eastAsia="sk-SK"/>
              </w:rPr>
            </w:pPr>
            <w:r w:rsidRPr="00DC0F15">
              <w:rPr>
                <w:b/>
                <w:bCs/>
                <w:sz w:val="20"/>
                <w:szCs w:val="20"/>
                <w:lang w:eastAsia="sk-SK"/>
              </w:rPr>
              <w:t>4=(3-2)</w:t>
            </w:r>
          </w:p>
        </w:tc>
      </w:tr>
      <w:tr w:rsidR="00DC0F15" w:rsidRPr="00DC0F15" w14:paraId="7A060049" w14:textId="77777777" w:rsidTr="000B1F5C">
        <w:trPr>
          <w:trHeight w:val="260"/>
        </w:trPr>
        <w:tc>
          <w:tcPr>
            <w:tcW w:w="2673" w:type="pct"/>
            <w:tcBorders>
              <w:top w:val="nil"/>
              <w:left w:val="nil"/>
              <w:bottom w:val="nil"/>
              <w:right w:val="nil"/>
            </w:tcBorders>
            <w:shd w:val="clear" w:color="auto" w:fill="auto"/>
            <w:noWrap/>
            <w:vAlign w:val="bottom"/>
            <w:hideMark/>
          </w:tcPr>
          <w:p w14:paraId="7E50CA90"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Ústredná správa</w:t>
            </w:r>
          </w:p>
        </w:tc>
        <w:tc>
          <w:tcPr>
            <w:tcW w:w="561" w:type="pct"/>
            <w:tcBorders>
              <w:top w:val="nil"/>
              <w:left w:val="nil"/>
              <w:bottom w:val="nil"/>
              <w:right w:val="nil"/>
            </w:tcBorders>
            <w:shd w:val="clear" w:color="auto" w:fill="auto"/>
            <w:noWrap/>
            <w:vAlign w:val="bottom"/>
            <w:hideMark/>
          </w:tcPr>
          <w:p w14:paraId="7C77FDEE"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54 351 376</w:t>
            </w:r>
          </w:p>
        </w:tc>
        <w:tc>
          <w:tcPr>
            <w:tcW w:w="556" w:type="pct"/>
            <w:tcBorders>
              <w:top w:val="nil"/>
              <w:left w:val="nil"/>
              <w:bottom w:val="nil"/>
              <w:right w:val="nil"/>
            </w:tcBorders>
            <w:shd w:val="clear" w:color="auto" w:fill="auto"/>
            <w:noWrap/>
            <w:vAlign w:val="bottom"/>
            <w:hideMark/>
          </w:tcPr>
          <w:p w14:paraId="22558AF9"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60 500 712</w:t>
            </w:r>
          </w:p>
        </w:tc>
        <w:tc>
          <w:tcPr>
            <w:tcW w:w="590" w:type="pct"/>
            <w:tcBorders>
              <w:top w:val="nil"/>
              <w:left w:val="nil"/>
              <w:bottom w:val="nil"/>
              <w:right w:val="nil"/>
            </w:tcBorders>
            <w:shd w:val="clear" w:color="auto" w:fill="auto"/>
            <w:noWrap/>
            <w:vAlign w:val="bottom"/>
            <w:hideMark/>
          </w:tcPr>
          <w:p w14:paraId="46C14182"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62 352 266</w:t>
            </w:r>
          </w:p>
        </w:tc>
        <w:tc>
          <w:tcPr>
            <w:tcW w:w="621" w:type="pct"/>
            <w:tcBorders>
              <w:top w:val="nil"/>
              <w:left w:val="nil"/>
              <w:bottom w:val="nil"/>
              <w:right w:val="nil"/>
            </w:tcBorders>
            <w:shd w:val="clear" w:color="auto" w:fill="auto"/>
            <w:noWrap/>
            <w:vAlign w:val="bottom"/>
            <w:hideMark/>
          </w:tcPr>
          <w:p w14:paraId="7EFAE3E7"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1 848 991</w:t>
            </w:r>
          </w:p>
        </w:tc>
      </w:tr>
      <w:tr w:rsidR="00DC0F15" w:rsidRPr="00DC0F15" w14:paraId="5B2DB79C" w14:textId="77777777" w:rsidTr="000B1F5C">
        <w:trPr>
          <w:trHeight w:val="260"/>
        </w:trPr>
        <w:tc>
          <w:tcPr>
            <w:tcW w:w="2673" w:type="pct"/>
            <w:tcBorders>
              <w:top w:val="nil"/>
              <w:left w:val="nil"/>
              <w:bottom w:val="nil"/>
              <w:right w:val="nil"/>
            </w:tcBorders>
            <w:shd w:val="clear" w:color="auto" w:fill="auto"/>
            <w:noWrap/>
            <w:vAlign w:val="bottom"/>
            <w:hideMark/>
          </w:tcPr>
          <w:p w14:paraId="5345FBF6" w14:textId="77777777" w:rsidR="00DC0F15" w:rsidRPr="00DC0F15" w:rsidRDefault="00DC0F15" w:rsidP="003C5653">
            <w:pPr>
              <w:spacing w:after="0" w:line="240" w:lineRule="auto"/>
              <w:ind w:firstLineChars="100" w:firstLine="200"/>
              <w:rPr>
                <w:sz w:val="20"/>
                <w:szCs w:val="20"/>
                <w:lang w:eastAsia="sk-SK"/>
              </w:rPr>
            </w:pPr>
            <w:r w:rsidRPr="00DC0F15">
              <w:rPr>
                <w:sz w:val="20"/>
                <w:szCs w:val="20"/>
                <w:lang w:eastAsia="sk-SK"/>
              </w:rPr>
              <w:t xml:space="preserve">z toho: </w:t>
            </w:r>
          </w:p>
        </w:tc>
        <w:tc>
          <w:tcPr>
            <w:tcW w:w="561" w:type="pct"/>
            <w:tcBorders>
              <w:top w:val="nil"/>
              <w:left w:val="nil"/>
              <w:bottom w:val="nil"/>
              <w:right w:val="nil"/>
            </w:tcBorders>
            <w:shd w:val="clear" w:color="auto" w:fill="auto"/>
            <w:noWrap/>
            <w:vAlign w:val="bottom"/>
            <w:hideMark/>
          </w:tcPr>
          <w:p w14:paraId="3EDFE78E" w14:textId="77777777" w:rsidR="00DC0F15" w:rsidRPr="00DC0F15" w:rsidRDefault="00DC0F15" w:rsidP="003C5653">
            <w:pPr>
              <w:spacing w:after="0" w:line="240" w:lineRule="auto"/>
              <w:ind w:firstLineChars="100" w:firstLine="200"/>
              <w:rPr>
                <w:sz w:val="20"/>
                <w:szCs w:val="20"/>
                <w:lang w:eastAsia="sk-SK"/>
              </w:rPr>
            </w:pPr>
          </w:p>
        </w:tc>
        <w:tc>
          <w:tcPr>
            <w:tcW w:w="556" w:type="pct"/>
            <w:tcBorders>
              <w:top w:val="nil"/>
              <w:left w:val="nil"/>
              <w:bottom w:val="nil"/>
              <w:right w:val="nil"/>
            </w:tcBorders>
            <w:shd w:val="clear" w:color="auto" w:fill="auto"/>
            <w:noWrap/>
            <w:vAlign w:val="bottom"/>
            <w:hideMark/>
          </w:tcPr>
          <w:p w14:paraId="2EC30E99" w14:textId="77777777" w:rsidR="00DC0F15" w:rsidRPr="00DC0F15" w:rsidRDefault="00DC0F15" w:rsidP="003C5653">
            <w:pPr>
              <w:spacing w:after="0" w:line="240" w:lineRule="auto"/>
              <w:rPr>
                <w:sz w:val="20"/>
                <w:szCs w:val="20"/>
                <w:lang w:eastAsia="sk-SK"/>
              </w:rPr>
            </w:pPr>
          </w:p>
        </w:tc>
        <w:tc>
          <w:tcPr>
            <w:tcW w:w="590" w:type="pct"/>
            <w:tcBorders>
              <w:top w:val="nil"/>
              <w:left w:val="nil"/>
              <w:bottom w:val="nil"/>
              <w:right w:val="nil"/>
            </w:tcBorders>
            <w:shd w:val="clear" w:color="auto" w:fill="auto"/>
            <w:noWrap/>
            <w:vAlign w:val="bottom"/>
            <w:hideMark/>
          </w:tcPr>
          <w:p w14:paraId="0C13DF86" w14:textId="77777777" w:rsidR="00DC0F15" w:rsidRPr="00DC0F15" w:rsidRDefault="00DC0F15" w:rsidP="003C5653">
            <w:pPr>
              <w:spacing w:after="0" w:line="240" w:lineRule="auto"/>
              <w:rPr>
                <w:sz w:val="20"/>
                <w:szCs w:val="20"/>
                <w:lang w:eastAsia="sk-SK"/>
              </w:rPr>
            </w:pPr>
          </w:p>
        </w:tc>
        <w:tc>
          <w:tcPr>
            <w:tcW w:w="621" w:type="pct"/>
            <w:tcBorders>
              <w:top w:val="nil"/>
              <w:left w:val="nil"/>
              <w:bottom w:val="nil"/>
              <w:right w:val="nil"/>
            </w:tcBorders>
            <w:shd w:val="clear" w:color="auto" w:fill="auto"/>
            <w:noWrap/>
            <w:vAlign w:val="bottom"/>
            <w:hideMark/>
          </w:tcPr>
          <w:p w14:paraId="7172C648" w14:textId="77777777" w:rsidR="00DC0F15" w:rsidRPr="00DC0F15" w:rsidRDefault="00DC0F15" w:rsidP="003C5653">
            <w:pPr>
              <w:spacing w:after="0" w:line="240" w:lineRule="auto"/>
              <w:rPr>
                <w:sz w:val="20"/>
                <w:szCs w:val="20"/>
                <w:lang w:eastAsia="sk-SK"/>
              </w:rPr>
            </w:pPr>
          </w:p>
        </w:tc>
      </w:tr>
      <w:tr w:rsidR="00DC0F15" w:rsidRPr="00DC0F15" w14:paraId="4A778A97" w14:textId="77777777" w:rsidTr="000B1F5C">
        <w:trPr>
          <w:trHeight w:val="310"/>
        </w:trPr>
        <w:tc>
          <w:tcPr>
            <w:tcW w:w="2673" w:type="pct"/>
            <w:tcBorders>
              <w:top w:val="nil"/>
              <w:left w:val="nil"/>
              <w:bottom w:val="nil"/>
              <w:right w:val="nil"/>
            </w:tcBorders>
            <w:shd w:val="clear" w:color="auto" w:fill="auto"/>
            <w:noWrap/>
            <w:vAlign w:val="bottom"/>
            <w:hideMark/>
          </w:tcPr>
          <w:p w14:paraId="03E9B477"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 xml:space="preserve">Štátny dlh  </w:t>
            </w:r>
            <w:r w:rsidRPr="00DC0F15">
              <w:rPr>
                <w:sz w:val="20"/>
                <w:szCs w:val="20"/>
                <w:vertAlign w:val="superscript"/>
                <w:lang w:eastAsia="sk-SK"/>
              </w:rPr>
              <w:t>1)</w:t>
            </w:r>
          </w:p>
        </w:tc>
        <w:tc>
          <w:tcPr>
            <w:tcW w:w="561" w:type="pct"/>
            <w:tcBorders>
              <w:top w:val="nil"/>
              <w:left w:val="nil"/>
              <w:bottom w:val="nil"/>
              <w:right w:val="nil"/>
            </w:tcBorders>
            <w:shd w:val="clear" w:color="auto" w:fill="auto"/>
            <w:noWrap/>
            <w:vAlign w:val="bottom"/>
            <w:hideMark/>
          </w:tcPr>
          <w:p w14:paraId="37BCF61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52 876 796</w:t>
            </w:r>
          </w:p>
        </w:tc>
        <w:tc>
          <w:tcPr>
            <w:tcW w:w="556" w:type="pct"/>
            <w:tcBorders>
              <w:top w:val="nil"/>
              <w:left w:val="nil"/>
              <w:bottom w:val="nil"/>
              <w:right w:val="nil"/>
            </w:tcBorders>
            <w:shd w:val="clear" w:color="auto" w:fill="auto"/>
            <w:noWrap/>
            <w:vAlign w:val="bottom"/>
            <w:hideMark/>
          </w:tcPr>
          <w:p w14:paraId="6738FD4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59 244 402</w:t>
            </w:r>
          </w:p>
        </w:tc>
        <w:tc>
          <w:tcPr>
            <w:tcW w:w="590" w:type="pct"/>
            <w:tcBorders>
              <w:top w:val="nil"/>
              <w:left w:val="nil"/>
              <w:bottom w:val="nil"/>
              <w:right w:val="nil"/>
            </w:tcBorders>
            <w:shd w:val="clear" w:color="auto" w:fill="auto"/>
            <w:noWrap/>
            <w:vAlign w:val="bottom"/>
            <w:hideMark/>
          </w:tcPr>
          <w:p w14:paraId="1058BC5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61 204 864</w:t>
            </w:r>
          </w:p>
        </w:tc>
        <w:tc>
          <w:tcPr>
            <w:tcW w:w="621" w:type="pct"/>
            <w:tcBorders>
              <w:top w:val="nil"/>
              <w:left w:val="nil"/>
              <w:bottom w:val="nil"/>
              <w:right w:val="nil"/>
            </w:tcBorders>
            <w:shd w:val="clear" w:color="auto" w:fill="auto"/>
            <w:noWrap/>
            <w:vAlign w:val="bottom"/>
            <w:hideMark/>
          </w:tcPr>
          <w:p w14:paraId="373D6C7B"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1 960 462</w:t>
            </w:r>
          </w:p>
        </w:tc>
      </w:tr>
      <w:tr w:rsidR="00DC0F15" w:rsidRPr="00DC0F15" w14:paraId="0EA10FBD" w14:textId="77777777" w:rsidTr="000B1F5C">
        <w:trPr>
          <w:trHeight w:val="260"/>
        </w:trPr>
        <w:tc>
          <w:tcPr>
            <w:tcW w:w="2673" w:type="pct"/>
            <w:tcBorders>
              <w:top w:val="nil"/>
              <w:left w:val="nil"/>
              <w:bottom w:val="nil"/>
              <w:right w:val="nil"/>
            </w:tcBorders>
            <w:shd w:val="clear" w:color="auto" w:fill="auto"/>
            <w:noWrap/>
            <w:vAlign w:val="bottom"/>
            <w:hideMark/>
          </w:tcPr>
          <w:p w14:paraId="670CAFE0"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Príspevkové organizácie ústrednej správy</w:t>
            </w:r>
          </w:p>
        </w:tc>
        <w:tc>
          <w:tcPr>
            <w:tcW w:w="561" w:type="pct"/>
            <w:tcBorders>
              <w:top w:val="nil"/>
              <w:left w:val="nil"/>
              <w:bottom w:val="nil"/>
              <w:right w:val="nil"/>
            </w:tcBorders>
            <w:shd w:val="clear" w:color="auto" w:fill="auto"/>
            <w:noWrap/>
            <w:vAlign w:val="bottom"/>
            <w:hideMark/>
          </w:tcPr>
          <w:p w14:paraId="6CC4093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1 738</w:t>
            </w:r>
          </w:p>
        </w:tc>
        <w:tc>
          <w:tcPr>
            <w:tcW w:w="556" w:type="pct"/>
            <w:tcBorders>
              <w:top w:val="nil"/>
              <w:left w:val="nil"/>
              <w:bottom w:val="nil"/>
              <w:right w:val="nil"/>
            </w:tcBorders>
            <w:shd w:val="clear" w:color="auto" w:fill="auto"/>
            <w:noWrap/>
            <w:vAlign w:val="bottom"/>
            <w:hideMark/>
          </w:tcPr>
          <w:p w14:paraId="37A2E2A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4 726</w:t>
            </w:r>
          </w:p>
        </w:tc>
        <w:tc>
          <w:tcPr>
            <w:tcW w:w="590" w:type="pct"/>
            <w:tcBorders>
              <w:top w:val="nil"/>
              <w:left w:val="nil"/>
              <w:bottom w:val="nil"/>
              <w:right w:val="nil"/>
            </w:tcBorders>
            <w:shd w:val="clear" w:color="auto" w:fill="auto"/>
            <w:noWrap/>
            <w:vAlign w:val="bottom"/>
            <w:hideMark/>
          </w:tcPr>
          <w:p w14:paraId="7EDD8F0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3 687</w:t>
            </w:r>
          </w:p>
        </w:tc>
        <w:tc>
          <w:tcPr>
            <w:tcW w:w="621" w:type="pct"/>
            <w:tcBorders>
              <w:top w:val="nil"/>
              <w:left w:val="nil"/>
              <w:bottom w:val="nil"/>
              <w:right w:val="nil"/>
            </w:tcBorders>
            <w:shd w:val="clear" w:color="auto" w:fill="auto"/>
            <w:noWrap/>
            <w:vAlign w:val="bottom"/>
            <w:hideMark/>
          </w:tcPr>
          <w:p w14:paraId="14C6185B"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-1 039</w:t>
            </w:r>
          </w:p>
        </w:tc>
      </w:tr>
      <w:tr w:rsidR="00DC0F15" w:rsidRPr="00DC0F15" w14:paraId="5FD5C618" w14:textId="77777777" w:rsidTr="000B1F5C">
        <w:trPr>
          <w:trHeight w:val="260"/>
        </w:trPr>
        <w:tc>
          <w:tcPr>
            <w:tcW w:w="2673" w:type="pct"/>
            <w:tcBorders>
              <w:top w:val="nil"/>
              <w:left w:val="nil"/>
              <w:bottom w:val="nil"/>
              <w:right w:val="nil"/>
            </w:tcBorders>
            <w:shd w:val="clear" w:color="auto" w:fill="auto"/>
            <w:noWrap/>
            <w:vAlign w:val="bottom"/>
            <w:hideMark/>
          </w:tcPr>
          <w:p w14:paraId="53E56D5F"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Obchodné spoločnosti štátu</w:t>
            </w:r>
          </w:p>
        </w:tc>
        <w:tc>
          <w:tcPr>
            <w:tcW w:w="561" w:type="pct"/>
            <w:tcBorders>
              <w:top w:val="nil"/>
              <w:left w:val="nil"/>
              <w:bottom w:val="nil"/>
              <w:right w:val="nil"/>
            </w:tcBorders>
            <w:shd w:val="clear" w:color="auto" w:fill="auto"/>
            <w:noWrap/>
            <w:vAlign w:val="bottom"/>
            <w:hideMark/>
          </w:tcPr>
          <w:p w14:paraId="23A1B9B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924 755</w:t>
            </w:r>
          </w:p>
        </w:tc>
        <w:tc>
          <w:tcPr>
            <w:tcW w:w="556" w:type="pct"/>
            <w:tcBorders>
              <w:top w:val="nil"/>
              <w:left w:val="nil"/>
              <w:bottom w:val="nil"/>
              <w:right w:val="nil"/>
            </w:tcBorders>
            <w:shd w:val="clear" w:color="auto" w:fill="auto"/>
            <w:noWrap/>
            <w:vAlign w:val="bottom"/>
            <w:hideMark/>
          </w:tcPr>
          <w:p w14:paraId="0E5D8F8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739 838</w:t>
            </w:r>
          </w:p>
        </w:tc>
        <w:tc>
          <w:tcPr>
            <w:tcW w:w="590" w:type="pct"/>
            <w:tcBorders>
              <w:top w:val="nil"/>
              <w:left w:val="nil"/>
              <w:bottom w:val="nil"/>
              <w:right w:val="nil"/>
            </w:tcBorders>
            <w:shd w:val="clear" w:color="auto" w:fill="auto"/>
            <w:noWrap/>
            <w:vAlign w:val="bottom"/>
            <w:hideMark/>
          </w:tcPr>
          <w:p w14:paraId="3657C17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669 088</w:t>
            </w:r>
          </w:p>
        </w:tc>
        <w:tc>
          <w:tcPr>
            <w:tcW w:w="621" w:type="pct"/>
            <w:tcBorders>
              <w:top w:val="nil"/>
              <w:left w:val="nil"/>
              <w:bottom w:val="nil"/>
              <w:right w:val="nil"/>
            </w:tcBorders>
            <w:shd w:val="clear" w:color="auto" w:fill="auto"/>
            <w:noWrap/>
            <w:vAlign w:val="bottom"/>
            <w:hideMark/>
          </w:tcPr>
          <w:p w14:paraId="5FA5345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-70 750</w:t>
            </w:r>
          </w:p>
        </w:tc>
      </w:tr>
      <w:tr w:rsidR="00DC0F15" w:rsidRPr="00DC0F15" w14:paraId="08849F9A" w14:textId="77777777" w:rsidTr="000B1F5C">
        <w:trPr>
          <w:trHeight w:val="260"/>
        </w:trPr>
        <w:tc>
          <w:tcPr>
            <w:tcW w:w="2673" w:type="pct"/>
            <w:tcBorders>
              <w:top w:val="nil"/>
              <w:left w:val="nil"/>
              <w:bottom w:val="nil"/>
              <w:right w:val="nil"/>
            </w:tcBorders>
            <w:shd w:val="clear" w:color="auto" w:fill="auto"/>
            <w:noWrap/>
            <w:vAlign w:val="bottom"/>
            <w:hideMark/>
          </w:tcPr>
          <w:p w14:paraId="271D746A" w14:textId="77777777" w:rsidR="00DC0F15" w:rsidRPr="00DC0F15" w:rsidRDefault="00DC0F15" w:rsidP="003C5653">
            <w:pPr>
              <w:spacing w:after="0" w:line="240" w:lineRule="auto"/>
              <w:ind w:firstLineChars="300" w:firstLine="600"/>
              <w:rPr>
                <w:sz w:val="20"/>
                <w:szCs w:val="20"/>
                <w:lang w:eastAsia="sk-SK"/>
              </w:rPr>
            </w:pPr>
            <w:r w:rsidRPr="00DC0F15">
              <w:rPr>
                <w:sz w:val="20"/>
                <w:szCs w:val="20"/>
                <w:lang w:eastAsia="sk-SK"/>
              </w:rPr>
              <w:t>z toho:</w:t>
            </w:r>
          </w:p>
        </w:tc>
        <w:tc>
          <w:tcPr>
            <w:tcW w:w="561" w:type="pct"/>
            <w:tcBorders>
              <w:top w:val="nil"/>
              <w:left w:val="nil"/>
              <w:bottom w:val="nil"/>
              <w:right w:val="nil"/>
            </w:tcBorders>
            <w:shd w:val="clear" w:color="auto" w:fill="auto"/>
            <w:noWrap/>
            <w:vAlign w:val="bottom"/>
            <w:hideMark/>
          </w:tcPr>
          <w:p w14:paraId="3007DD5A" w14:textId="77777777" w:rsidR="00DC0F15" w:rsidRPr="00DC0F15" w:rsidRDefault="00DC0F15" w:rsidP="003C5653">
            <w:pPr>
              <w:spacing w:after="0" w:line="240" w:lineRule="auto"/>
              <w:ind w:firstLineChars="300" w:firstLine="600"/>
              <w:rPr>
                <w:sz w:val="20"/>
                <w:szCs w:val="20"/>
                <w:lang w:eastAsia="sk-SK"/>
              </w:rPr>
            </w:pPr>
          </w:p>
        </w:tc>
        <w:tc>
          <w:tcPr>
            <w:tcW w:w="556" w:type="pct"/>
            <w:tcBorders>
              <w:top w:val="nil"/>
              <w:left w:val="nil"/>
              <w:bottom w:val="nil"/>
              <w:right w:val="nil"/>
            </w:tcBorders>
            <w:shd w:val="clear" w:color="auto" w:fill="auto"/>
            <w:noWrap/>
            <w:vAlign w:val="bottom"/>
            <w:hideMark/>
          </w:tcPr>
          <w:p w14:paraId="38C38D2D" w14:textId="77777777" w:rsidR="00DC0F15" w:rsidRPr="00DC0F15" w:rsidRDefault="00DC0F15" w:rsidP="003C5653">
            <w:pPr>
              <w:spacing w:after="0" w:line="240" w:lineRule="auto"/>
              <w:rPr>
                <w:sz w:val="20"/>
                <w:szCs w:val="20"/>
                <w:lang w:eastAsia="sk-SK"/>
              </w:rPr>
            </w:pPr>
          </w:p>
        </w:tc>
        <w:tc>
          <w:tcPr>
            <w:tcW w:w="590" w:type="pct"/>
            <w:tcBorders>
              <w:top w:val="nil"/>
              <w:left w:val="nil"/>
              <w:bottom w:val="nil"/>
              <w:right w:val="nil"/>
            </w:tcBorders>
            <w:shd w:val="clear" w:color="auto" w:fill="auto"/>
            <w:noWrap/>
            <w:vAlign w:val="bottom"/>
            <w:hideMark/>
          </w:tcPr>
          <w:p w14:paraId="410BDC20" w14:textId="77777777" w:rsidR="00DC0F15" w:rsidRPr="00DC0F15" w:rsidRDefault="00DC0F15" w:rsidP="003C5653">
            <w:pPr>
              <w:spacing w:after="0" w:line="240" w:lineRule="auto"/>
              <w:rPr>
                <w:sz w:val="20"/>
                <w:szCs w:val="20"/>
                <w:lang w:eastAsia="sk-SK"/>
              </w:rPr>
            </w:pPr>
          </w:p>
        </w:tc>
        <w:tc>
          <w:tcPr>
            <w:tcW w:w="621" w:type="pct"/>
            <w:tcBorders>
              <w:top w:val="nil"/>
              <w:left w:val="nil"/>
              <w:bottom w:val="nil"/>
              <w:right w:val="nil"/>
            </w:tcBorders>
            <w:shd w:val="clear" w:color="auto" w:fill="auto"/>
            <w:noWrap/>
            <w:vAlign w:val="bottom"/>
            <w:hideMark/>
          </w:tcPr>
          <w:p w14:paraId="7F089D39" w14:textId="77777777" w:rsidR="00DC0F15" w:rsidRPr="00DC0F15" w:rsidRDefault="00DC0F15" w:rsidP="003C5653">
            <w:pPr>
              <w:spacing w:after="0" w:line="240" w:lineRule="auto"/>
              <w:rPr>
                <w:sz w:val="20"/>
                <w:szCs w:val="20"/>
                <w:lang w:eastAsia="sk-SK"/>
              </w:rPr>
            </w:pPr>
          </w:p>
        </w:tc>
      </w:tr>
      <w:tr w:rsidR="00DC0F15" w:rsidRPr="00DC0F15" w14:paraId="097D9D4D" w14:textId="77777777" w:rsidTr="000B1F5C">
        <w:trPr>
          <w:trHeight w:val="260"/>
        </w:trPr>
        <w:tc>
          <w:tcPr>
            <w:tcW w:w="2673" w:type="pct"/>
            <w:tcBorders>
              <w:top w:val="nil"/>
              <w:left w:val="nil"/>
              <w:bottom w:val="nil"/>
              <w:right w:val="nil"/>
            </w:tcBorders>
            <w:shd w:val="clear" w:color="auto" w:fill="auto"/>
            <w:noWrap/>
            <w:vAlign w:val="bottom"/>
            <w:hideMark/>
          </w:tcPr>
          <w:p w14:paraId="62EB8F37"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Železničná spoločnosť Slovensko, a. s.</w:t>
            </w:r>
          </w:p>
        </w:tc>
        <w:tc>
          <w:tcPr>
            <w:tcW w:w="561" w:type="pct"/>
            <w:tcBorders>
              <w:top w:val="nil"/>
              <w:left w:val="nil"/>
              <w:bottom w:val="nil"/>
              <w:right w:val="nil"/>
            </w:tcBorders>
            <w:shd w:val="clear" w:color="auto" w:fill="auto"/>
            <w:noWrap/>
            <w:vAlign w:val="bottom"/>
            <w:hideMark/>
          </w:tcPr>
          <w:p w14:paraId="01E21AA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506 420</w:t>
            </w:r>
          </w:p>
        </w:tc>
        <w:tc>
          <w:tcPr>
            <w:tcW w:w="556" w:type="pct"/>
            <w:tcBorders>
              <w:top w:val="nil"/>
              <w:left w:val="nil"/>
              <w:bottom w:val="nil"/>
              <w:right w:val="nil"/>
            </w:tcBorders>
            <w:shd w:val="clear" w:color="auto" w:fill="auto"/>
            <w:noWrap/>
            <w:vAlign w:val="bottom"/>
            <w:hideMark/>
          </w:tcPr>
          <w:p w14:paraId="5A2470A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386 704</w:t>
            </w:r>
          </w:p>
        </w:tc>
        <w:tc>
          <w:tcPr>
            <w:tcW w:w="590" w:type="pct"/>
            <w:tcBorders>
              <w:top w:val="nil"/>
              <w:left w:val="nil"/>
              <w:bottom w:val="nil"/>
              <w:right w:val="nil"/>
            </w:tcBorders>
            <w:shd w:val="clear" w:color="auto" w:fill="auto"/>
            <w:noWrap/>
            <w:vAlign w:val="bottom"/>
            <w:hideMark/>
          </w:tcPr>
          <w:p w14:paraId="43035CB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335 407</w:t>
            </w:r>
          </w:p>
        </w:tc>
        <w:tc>
          <w:tcPr>
            <w:tcW w:w="621" w:type="pct"/>
            <w:tcBorders>
              <w:top w:val="nil"/>
              <w:left w:val="nil"/>
              <w:bottom w:val="nil"/>
              <w:right w:val="nil"/>
            </w:tcBorders>
            <w:shd w:val="clear" w:color="auto" w:fill="auto"/>
            <w:noWrap/>
            <w:vAlign w:val="bottom"/>
            <w:hideMark/>
          </w:tcPr>
          <w:p w14:paraId="7307B37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-51 297</w:t>
            </w:r>
          </w:p>
        </w:tc>
      </w:tr>
      <w:tr w:rsidR="00DC0F15" w:rsidRPr="00DC0F15" w14:paraId="58D40FA3" w14:textId="77777777" w:rsidTr="000B1F5C">
        <w:trPr>
          <w:trHeight w:val="260"/>
        </w:trPr>
        <w:tc>
          <w:tcPr>
            <w:tcW w:w="2673" w:type="pct"/>
            <w:tcBorders>
              <w:top w:val="nil"/>
              <w:left w:val="nil"/>
              <w:bottom w:val="nil"/>
              <w:right w:val="nil"/>
            </w:tcBorders>
            <w:shd w:val="clear" w:color="auto" w:fill="auto"/>
            <w:noWrap/>
            <w:vAlign w:val="bottom"/>
            <w:hideMark/>
          </w:tcPr>
          <w:p w14:paraId="33085330"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Exportno-importná banka SR</w:t>
            </w:r>
          </w:p>
        </w:tc>
        <w:tc>
          <w:tcPr>
            <w:tcW w:w="561" w:type="pct"/>
            <w:tcBorders>
              <w:top w:val="nil"/>
              <w:left w:val="nil"/>
              <w:bottom w:val="nil"/>
              <w:right w:val="nil"/>
            </w:tcBorders>
            <w:shd w:val="clear" w:color="auto" w:fill="auto"/>
            <w:noWrap/>
            <w:vAlign w:val="bottom"/>
            <w:hideMark/>
          </w:tcPr>
          <w:p w14:paraId="616C257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175 880</w:t>
            </w:r>
          </w:p>
        </w:tc>
        <w:tc>
          <w:tcPr>
            <w:tcW w:w="556" w:type="pct"/>
            <w:tcBorders>
              <w:top w:val="nil"/>
              <w:left w:val="nil"/>
              <w:bottom w:val="nil"/>
              <w:right w:val="nil"/>
            </w:tcBorders>
            <w:shd w:val="clear" w:color="auto" w:fill="auto"/>
            <w:noWrap/>
            <w:vAlign w:val="bottom"/>
            <w:hideMark/>
          </w:tcPr>
          <w:p w14:paraId="0CE6159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174 305</w:t>
            </w:r>
          </w:p>
        </w:tc>
        <w:tc>
          <w:tcPr>
            <w:tcW w:w="590" w:type="pct"/>
            <w:tcBorders>
              <w:top w:val="nil"/>
              <w:left w:val="nil"/>
              <w:bottom w:val="nil"/>
              <w:right w:val="nil"/>
            </w:tcBorders>
            <w:shd w:val="clear" w:color="auto" w:fill="auto"/>
            <w:noWrap/>
            <w:vAlign w:val="bottom"/>
            <w:hideMark/>
          </w:tcPr>
          <w:p w14:paraId="71D6B65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188 740</w:t>
            </w:r>
          </w:p>
        </w:tc>
        <w:tc>
          <w:tcPr>
            <w:tcW w:w="621" w:type="pct"/>
            <w:tcBorders>
              <w:top w:val="nil"/>
              <w:left w:val="nil"/>
              <w:bottom w:val="nil"/>
              <w:right w:val="nil"/>
            </w:tcBorders>
            <w:shd w:val="clear" w:color="auto" w:fill="auto"/>
            <w:noWrap/>
            <w:vAlign w:val="bottom"/>
            <w:hideMark/>
          </w:tcPr>
          <w:p w14:paraId="551D1C5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14 435</w:t>
            </w:r>
          </w:p>
        </w:tc>
      </w:tr>
      <w:tr w:rsidR="00DC0F15" w:rsidRPr="00DC0F15" w14:paraId="7020135B" w14:textId="77777777" w:rsidTr="000B1F5C">
        <w:trPr>
          <w:trHeight w:val="260"/>
        </w:trPr>
        <w:tc>
          <w:tcPr>
            <w:tcW w:w="2673" w:type="pct"/>
            <w:tcBorders>
              <w:top w:val="nil"/>
              <w:left w:val="nil"/>
              <w:bottom w:val="nil"/>
              <w:right w:val="nil"/>
            </w:tcBorders>
            <w:shd w:val="clear" w:color="auto" w:fill="auto"/>
            <w:noWrap/>
            <w:vAlign w:val="bottom"/>
            <w:hideMark/>
          </w:tcPr>
          <w:p w14:paraId="5A68D39A"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Železnice Slovenskej republiky</w:t>
            </w:r>
          </w:p>
        </w:tc>
        <w:tc>
          <w:tcPr>
            <w:tcW w:w="561" w:type="pct"/>
            <w:tcBorders>
              <w:top w:val="nil"/>
              <w:left w:val="nil"/>
              <w:bottom w:val="nil"/>
              <w:right w:val="nil"/>
            </w:tcBorders>
            <w:shd w:val="clear" w:color="auto" w:fill="auto"/>
            <w:noWrap/>
            <w:vAlign w:val="bottom"/>
            <w:hideMark/>
          </w:tcPr>
          <w:p w14:paraId="028AB0A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135 206</w:t>
            </w:r>
          </w:p>
        </w:tc>
        <w:tc>
          <w:tcPr>
            <w:tcW w:w="556" w:type="pct"/>
            <w:tcBorders>
              <w:top w:val="nil"/>
              <w:left w:val="nil"/>
              <w:bottom w:val="nil"/>
              <w:right w:val="nil"/>
            </w:tcBorders>
            <w:shd w:val="clear" w:color="auto" w:fill="auto"/>
            <w:noWrap/>
            <w:vAlign w:val="bottom"/>
            <w:hideMark/>
          </w:tcPr>
          <w:p w14:paraId="1DA8049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114 887</w:t>
            </w:r>
          </w:p>
        </w:tc>
        <w:tc>
          <w:tcPr>
            <w:tcW w:w="590" w:type="pct"/>
            <w:tcBorders>
              <w:top w:val="nil"/>
              <w:left w:val="nil"/>
              <w:bottom w:val="nil"/>
              <w:right w:val="nil"/>
            </w:tcBorders>
            <w:shd w:val="clear" w:color="auto" w:fill="auto"/>
            <w:noWrap/>
            <w:vAlign w:val="bottom"/>
            <w:hideMark/>
          </w:tcPr>
          <w:p w14:paraId="51C4A30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114 322</w:t>
            </w:r>
          </w:p>
        </w:tc>
        <w:tc>
          <w:tcPr>
            <w:tcW w:w="621" w:type="pct"/>
            <w:tcBorders>
              <w:top w:val="nil"/>
              <w:left w:val="nil"/>
              <w:bottom w:val="nil"/>
              <w:right w:val="nil"/>
            </w:tcBorders>
            <w:shd w:val="clear" w:color="auto" w:fill="auto"/>
            <w:noWrap/>
            <w:vAlign w:val="bottom"/>
            <w:hideMark/>
          </w:tcPr>
          <w:p w14:paraId="7FAECDF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-565</w:t>
            </w:r>
          </w:p>
        </w:tc>
      </w:tr>
      <w:tr w:rsidR="00DC0F15" w:rsidRPr="00DC0F15" w14:paraId="0AE42F24" w14:textId="77777777" w:rsidTr="000B1F5C">
        <w:trPr>
          <w:trHeight w:val="260"/>
        </w:trPr>
        <w:tc>
          <w:tcPr>
            <w:tcW w:w="2673" w:type="pct"/>
            <w:tcBorders>
              <w:top w:val="nil"/>
              <w:left w:val="nil"/>
              <w:bottom w:val="nil"/>
              <w:right w:val="nil"/>
            </w:tcBorders>
            <w:shd w:val="clear" w:color="auto" w:fill="auto"/>
            <w:noWrap/>
            <w:vAlign w:val="bottom"/>
            <w:hideMark/>
          </w:tcPr>
          <w:p w14:paraId="199384DE"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Národná diaľničná spoločnosť, a. s.</w:t>
            </w:r>
          </w:p>
        </w:tc>
        <w:tc>
          <w:tcPr>
            <w:tcW w:w="561" w:type="pct"/>
            <w:tcBorders>
              <w:top w:val="nil"/>
              <w:left w:val="nil"/>
              <w:bottom w:val="nil"/>
              <w:right w:val="nil"/>
            </w:tcBorders>
            <w:shd w:val="clear" w:color="auto" w:fill="auto"/>
            <w:noWrap/>
            <w:vAlign w:val="bottom"/>
            <w:hideMark/>
          </w:tcPr>
          <w:p w14:paraId="4B5D076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97 602</w:t>
            </w:r>
          </w:p>
        </w:tc>
        <w:tc>
          <w:tcPr>
            <w:tcW w:w="556" w:type="pct"/>
            <w:tcBorders>
              <w:top w:val="nil"/>
              <w:left w:val="nil"/>
              <w:bottom w:val="nil"/>
              <w:right w:val="nil"/>
            </w:tcBorders>
            <w:shd w:val="clear" w:color="auto" w:fill="auto"/>
            <w:noWrap/>
            <w:vAlign w:val="bottom"/>
            <w:hideMark/>
          </w:tcPr>
          <w:p w14:paraId="4AF1AA3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54 326</w:t>
            </w:r>
          </w:p>
        </w:tc>
        <w:tc>
          <w:tcPr>
            <w:tcW w:w="590" w:type="pct"/>
            <w:tcBorders>
              <w:top w:val="nil"/>
              <w:left w:val="nil"/>
              <w:bottom w:val="nil"/>
              <w:right w:val="nil"/>
            </w:tcBorders>
            <w:shd w:val="clear" w:color="auto" w:fill="auto"/>
            <w:noWrap/>
            <w:vAlign w:val="bottom"/>
            <w:hideMark/>
          </w:tcPr>
          <w:p w14:paraId="341C223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24 884</w:t>
            </w:r>
          </w:p>
        </w:tc>
        <w:tc>
          <w:tcPr>
            <w:tcW w:w="621" w:type="pct"/>
            <w:tcBorders>
              <w:top w:val="nil"/>
              <w:left w:val="nil"/>
              <w:bottom w:val="nil"/>
              <w:right w:val="nil"/>
            </w:tcBorders>
            <w:shd w:val="clear" w:color="auto" w:fill="auto"/>
            <w:noWrap/>
            <w:vAlign w:val="bottom"/>
            <w:hideMark/>
          </w:tcPr>
          <w:p w14:paraId="3658E208"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-29 442</w:t>
            </w:r>
          </w:p>
        </w:tc>
      </w:tr>
      <w:tr w:rsidR="00DC0F15" w:rsidRPr="00DC0F15" w14:paraId="4D316266" w14:textId="77777777" w:rsidTr="000B1F5C">
        <w:trPr>
          <w:trHeight w:val="260"/>
        </w:trPr>
        <w:tc>
          <w:tcPr>
            <w:tcW w:w="2673" w:type="pct"/>
            <w:tcBorders>
              <w:top w:val="nil"/>
              <w:left w:val="nil"/>
              <w:bottom w:val="nil"/>
              <w:right w:val="nil"/>
            </w:tcBorders>
            <w:shd w:val="clear" w:color="auto" w:fill="auto"/>
            <w:noWrap/>
            <w:vAlign w:val="bottom"/>
            <w:hideMark/>
          </w:tcPr>
          <w:p w14:paraId="6EF13092"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JAVYS, a. s.</w:t>
            </w:r>
          </w:p>
        </w:tc>
        <w:tc>
          <w:tcPr>
            <w:tcW w:w="561" w:type="pct"/>
            <w:tcBorders>
              <w:top w:val="nil"/>
              <w:left w:val="nil"/>
              <w:bottom w:val="nil"/>
              <w:right w:val="nil"/>
            </w:tcBorders>
            <w:shd w:val="clear" w:color="auto" w:fill="auto"/>
            <w:noWrap/>
            <w:vAlign w:val="bottom"/>
            <w:hideMark/>
          </w:tcPr>
          <w:p w14:paraId="35E14F98"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6 833</w:t>
            </w:r>
          </w:p>
        </w:tc>
        <w:tc>
          <w:tcPr>
            <w:tcW w:w="556" w:type="pct"/>
            <w:tcBorders>
              <w:top w:val="nil"/>
              <w:left w:val="nil"/>
              <w:bottom w:val="nil"/>
              <w:right w:val="nil"/>
            </w:tcBorders>
            <w:shd w:val="clear" w:color="auto" w:fill="auto"/>
            <w:noWrap/>
            <w:vAlign w:val="bottom"/>
            <w:hideMark/>
          </w:tcPr>
          <w:p w14:paraId="1FB74C1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6 806</w:t>
            </w:r>
          </w:p>
        </w:tc>
        <w:tc>
          <w:tcPr>
            <w:tcW w:w="590" w:type="pct"/>
            <w:tcBorders>
              <w:top w:val="nil"/>
              <w:left w:val="nil"/>
              <w:bottom w:val="nil"/>
              <w:right w:val="nil"/>
            </w:tcBorders>
            <w:shd w:val="clear" w:color="auto" w:fill="auto"/>
            <w:noWrap/>
            <w:vAlign w:val="bottom"/>
            <w:hideMark/>
          </w:tcPr>
          <w:p w14:paraId="55EFE2D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5 048</w:t>
            </w:r>
          </w:p>
        </w:tc>
        <w:tc>
          <w:tcPr>
            <w:tcW w:w="621" w:type="pct"/>
            <w:tcBorders>
              <w:top w:val="nil"/>
              <w:left w:val="nil"/>
              <w:bottom w:val="nil"/>
              <w:right w:val="nil"/>
            </w:tcBorders>
            <w:shd w:val="clear" w:color="auto" w:fill="auto"/>
            <w:noWrap/>
            <w:vAlign w:val="bottom"/>
            <w:hideMark/>
          </w:tcPr>
          <w:p w14:paraId="6EDDC73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-1 758</w:t>
            </w:r>
          </w:p>
        </w:tc>
      </w:tr>
      <w:tr w:rsidR="00DC0F15" w:rsidRPr="00DC0F15" w14:paraId="41D2C3D3" w14:textId="77777777" w:rsidTr="000B1F5C">
        <w:trPr>
          <w:trHeight w:val="260"/>
        </w:trPr>
        <w:tc>
          <w:tcPr>
            <w:tcW w:w="2673" w:type="pct"/>
            <w:tcBorders>
              <w:top w:val="nil"/>
              <w:left w:val="nil"/>
              <w:bottom w:val="nil"/>
              <w:right w:val="nil"/>
            </w:tcBorders>
            <w:shd w:val="clear" w:color="auto" w:fill="auto"/>
            <w:noWrap/>
            <w:vAlign w:val="bottom"/>
            <w:hideMark/>
          </w:tcPr>
          <w:p w14:paraId="7A98CAFA"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 xml:space="preserve">MH </w:t>
            </w:r>
            <w:proofErr w:type="spellStart"/>
            <w:r w:rsidRPr="00DC0F15">
              <w:rPr>
                <w:sz w:val="20"/>
                <w:szCs w:val="20"/>
                <w:lang w:eastAsia="sk-SK"/>
              </w:rPr>
              <w:t>Invest</w:t>
            </w:r>
            <w:proofErr w:type="spellEnd"/>
            <w:r w:rsidRPr="00DC0F15">
              <w:rPr>
                <w:sz w:val="20"/>
                <w:szCs w:val="20"/>
                <w:lang w:eastAsia="sk-SK"/>
              </w:rPr>
              <w:t xml:space="preserve"> II., s. r. o.</w:t>
            </w:r>
          </w:p>
        </w:tc>
        <w:tc>
          <w:tcPr>
            <w:tcW w:w="561" w:type="pct"/>
            <w:tcBorders>
              <w:top w:val="nil"/>
              <w:left w:val="nil"/>
              <w:bottom w:val="nil"/>
              <w:right w:val="nil"/>
            </w:tcBorders>
            <w:shd w:val="clear" w:color="auto" w:fill="auto"/>
            <w:noWrap/>
            <w:vAlign w:val="bottom"/>
            <w:hideMark/>
          </w:tcPr>
          <w:p w14:paraId="52AFD68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2 730</w:t>
            </w:r>
          </w:p>
        </w:tc>
        <w:tc>
          <w:tcPr>
            <w:tcW w:w="556" w:type="pct"/>
            <w:tcBorders>
              <w:top w:val="nil"/>
              <w:left w:val="nil"/>
              <w:bottom w:val="nil"/>
              <w:right w:val="nil"/>
            </w:tcBorders>
            <w:shd w:val="clear" w:color="auto" w:fill="auto"/>
            <w:noWrap/>
            <w:vAlign w:val="bottom"/>
            <w:hideMark/>
          </w:tcPr>
          <w:p w14:paraId="3EC6B14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2 730</w:t>
            </w:r>
          </w:p>
        </w:tc>
        <w:tc>
          <w:tcPr>
            <w:tcW w:w="590" w:type="pct"/>
            <w:tcBorders>
              <w:top w:val="nil"/>
              <w:left w:val="nil"/>
              <w:bottom w:val="nil"/>
              <w:right w:val="nil"/>
            </w:tcBorders>
            <w:shd w:val="clear" w:color="auto" w:fill="auto"/>
            <w:noWrap/>
            <w:vAlign w:val="bottom"/>
            <w:hideMark/>
          </w:tcPr>
          <w:p w14:paraId="678B79E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610</w:t>
            </w:r>
          </w:p>
        </w:tc>
        <w:tc>
          <w:tcPr>
            <w:tcW w:w="621" w:type="pct"/>
            <w:tcBorders>
              <w:top w:val="nil"/>
              <w:left w:val="nil"/>
              <w:bottom w:val="nil"/>
              <w:right w:val="nil"/>
            </w:tcBorders>
            <w:shd w:val="clear" w:color="auto" w:fill="auto"/>
            <w:noWrap/>
            <w:vAlign w:val="bottom"/>
            <w:hideMark/>
          </w:tcPr>
          <w:p w14:paraId="6CD1A5C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-2 120</w:t>
            </w:r>
          </w:p>
        </w:tc>
      </w:tr>
      <w:tr w:rsidR="00DC0F15" w:rsidRPr="00DC0F15" w14:paraId="116D2020" w14:textId="77777777" w:rsidTr="000B1F5C">
        <w:trPr>
          <w:trHeight w:val="260"/>
        </w:trPr>
        <w:tc>
          <w:tcPr>
            <w:tcW w:w="2673" w:type="pct"/>
            <w:tcBorders>
              <w:top w:val="nil"/>
              <w:left w:val="nil"/>
              <w:bottom w:val="nil"/>
              <w:right w:val="nil"/>
            </w:tcBorders>
            <w:shd w:val="clear" w:color="auto" w:fill="auto"/>
            <w:noWrap/>
            <w:vAlign w:val="bottom"/>
            <w:hideMark/>
          </w:tcPr>
          <w:p w14:paraId="4DAF5662"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MH Manažment, a. s.</w:t>
            </w:r>
          </w:p>
        </w:tc>
        <w:tc>
          <w:tcPr>
            <w:tcW w:w="561" w:type="pct"/>
            <w:tcBorders>
              <w:top w:val="nil"/>
              <w:left w:val="nil"/>
              <w:bottom w:val="nil"/>
              <w:right w:val="nil"/>
            </w:tcBorders>
            <w:shd w:val="clear" w:color="auto" w:fill="auto"/>
            <w:noWrap/>
            <w:vAlign w:val="bottom"/>
            <w:hideMark/>
          </w:tcPr>
          <w:p w14:paraId="5A91DA8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84</w:t>
            </w:r>
          </w:p>
        </w:tc>
        <w:tc>
          <w:tcPr>
            <w:tcW w:w="556" w:type="pct"/>
            <w:tcBorders>
              <w:top w:val="nil"/>
              <w:left w:val="nil"/>
              <w:bottom w:val="nil"/>
              <w:right w:val="nil"/>
            </w:tcBorders>
            <w:shd w:val="clear" w:color="auto" w:fill="auto"/>
            <w:noWrap/>
            <w:vAlign w:val="bottom"/>
            <w:hideMark/>
          </w:tcPr>
          <w:p w14:paraId="287A0AB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80</w:t>
            </w:r>
          </w:p>
        </w:tc>
        <w:tc>
          <w:tcPr>
            <w:tcW w:w="590" w:type="pct"/>
            <w:tcBorders>
              <w:top w:val="nil"/>
              <w:left w:val="nil"/>
              <w:bottom w:val="nil"/>
              <w:right w:val="nil"/>
            </w:tcBorders>
            <w:shd w:val="clear" w:color="auto" w:fill="auto"/>
            <w:noWrap/>
            <w:vAlign w:val="bottom"/>
            <w:hideMark/>
          </w:tcPr>
          <w:p w14:paraId="6CFB0BB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77</w:t>
            </w:r>
          </w:p>
        </w:tc>
        <w:tc>
          <w:tcPr>
            <w:tcW w:w="621" w:type="pct"/>
            <w:tcBorders>
              <w:top w:val="nil"/>
              <w:left w:val="nil"/>
              <w:bottom w:val="nil"/>
              <w:right w:val="nil"/>
            </w:tcBorders>
            <w:shd w:val="clear" w:color="auto" w:fill="auto"/>
            <w:noWrap/>
            <w:vAlign w:val="bottom"/>
            <w:hideMark/>
          </w:tcPr>
          <w:p w14:paraId="75FD4C8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w:t>
            </w:r>
          </w:p>
        </w:tc>
      </w:tr>
      <w:tr w:rsidR="00DC0F15" w:rsidRPr="00DC0F15" w14:paraId="647706CF" w14:textId="77777777" w:rsidTr="000B1F5C">
        <w:trPr>
          <w:trHeight w:val="260"/>
        </w:trPr>
        <w:tc>
          <w:tcPr>
            <w:tcW w:w="2673" w:type="pct"/>
            <w:tcBorders>
              <w:top w:val="nil"/>
              <w:left w:val="nil"/>
              <w:bottom w:val="nil"/>
              <w:right w:val="nil"/>
            </w:tcBorders>
            <w:shd w:val="clear" w:color="auto" w:fill="auto"/>
            <w:noWrap/>
            <w:vAlign w:val="bottom"/>
            <w:hideMark/>
          </w:tcPr>
          <w:p w14:paraId="227619B5" w14:textId="77777777" w:rsidR="00DC0F15" w:rsidRPr="00DC0F15" w:rsidRDefault="00DC0F15" w:rsidP="003C5653">
            <w:pPr>
              <w:spacing w:after="0" w:line="240" w:lineRule="auto"/>
              <w:ind w:firstLineChars="400" w:firstLine="800"/>
              <w:rPr>
                <w:sz w:val="20"/>
                <w:szCs w:val="20"/>
                <w:lang w:eastAsia="sk-SK"/>
              </w:rPr>
            </w:pPr>
            <w:r w:rsidRPr="00DC0F15">
              <w:rPr>
                <w:sz w:val="20"/>
                <w:szCs w:val="20"/>
                <w:lang w:eastAsia="sk-SK"/>
              </w:rPr>
              <w:t xml:space="preserve">MH </w:t>
            </w:r>
            <w:proofErr w:type="spellStart"/>
            <w:r w:rsidRPr="00DC0F15">
              <w:rPr>
                <w:sz w:val="20"/>
                <w:szCs w:val="20"/>
                <w:lang w:eastAsia="sk-SK"/>
              </w:rPr>
              <w:t>Invest</w:t>
            </w:r>
            <w:proofErr w:type="spellEnd"/>
            <w:r w:rsidRPr="00DC0F15">
              <w:rPr>
                <w:sz w:val="20"/>
                <w:szCs w:val="20"/>
                <w:lang w:eastAsia="sk-SK"/>
              </w:rPr>
              <w:t>, s. r .o.</w:t>
            </w:r>
          </w:p>
        </w:tc>
        <w:tc>
          <w:tcPr>
            <w:tcW w:w="561" w:type="pct"/>
            <w:tcBorders>
              <w:top w:val="nil"/>
              <w:left w:val="nil"/>
              <w:bottom w:val="nil"/>
              <w:right w:val="nil"/>
            </w:tcBorders>
            <w:shd w:val="clear" w:color="auto" w:fill="auto"/>
            <w:noWrap/>
            <w:vAlign w:val="bottom"/>
            <w:hideMark/>
          </w:tcPr>
          <w:p w14:paraId="27C5036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0</w:t>
            </w:r>
          </w:p>
        </w:tc>
        <w:tc>
          <w:tcPr>
            <w:tcW w:w="556" w:type="pct"/>
            <w:tcBorders>
              <w:top w:val="nil"/>
              <w:left w:val="nil"/>
              <w:bottom w:val="nil"/>
              <w:right w:val="nil"/>
            </w:tcBorders>
            <w:shd w:val="clear" w:color="auto" w:fill="auto"/>
            <w:noWrap/>
            <w:vAlign w:val="bottom"/>
            <w:hideMark/>
          </w:tcPr>
          <w:p w14:paraId="4C21622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0</w:t>
            </w:r>
          </w:p>
        </w:tc>
        <w:tc>
          <w:tcPr>
            <w:tcW w:w="590" w:type="pct"/>
            <w:tcBorders>
              <w:top w:val="nil"/>
              <w:left w:val="nil"/>
              <w:bottom w:val="nil"/>
              <w:right w:val="nil"/>
            </w:tcBorders>
            <w:shd w:val="clear" w:color="auto" w:fill="auto"/>
            <w:noWrap/>
            <w:vAlign w:val="bottom"/>
            <w:hideMark/>
          </w:tcPr>
          <w:p w14:paraId="37BF988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0</w:t>
            </w:r>
          </w:p>
        </w:tc>
        <w:tc>
          <w:tcPr>
            <w:tcW w:w="621" w:type="pct"/>
            <w:tcBorders>
              <w:top w:val="nil"/>
              <w:left w:val="nil"/>
              <w:bottom w:val="nil"/>
              <w:right w:val="nil"/>
            </w:tcBorders>
            <w:shd w:val="clear" w:color="auto" w:fill="auto"/>
            <w:noWrap/>
            <w:vAlign w:val="bottom"/>
            <w:hideMark/>
          </w:tcPr>
          <w:p w14:paraId="4C4A965B"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0</w:t>
            </w:r>
          </w:p>
        </w:tc>
      </w:tr>
      <w:tr w:rsidR="00DC0F15" w:rsidRPr="00DC0F15" w14:paraId="3AADC145" w14:textId="77777777" w:rsidTr="000B1F5C">
        <w:trPr>
          <w:trHeight w:val="260"/>
        </w:trPr>
        <w:tc>
          <w:tcPr>
            <w:tcW w:w="2673" w:type="pct"/>
            <w:tcBorders>
              <w:top w:val="nil"/>
              <w:left w:val="nil"/>
              <w:bottom w:val="nil"/>
              <w:right w:val="nil"/>
            </w:tcBorders>
            <w:shd w:val="clear" w:color="auto" w:fill="auto"/>
            <w:noWrap/>
            <w:vAlign w:val="bottom"/>
            <w:hideMark/>
          </w:tcPr>
          <w:p w14:paraId="454D26AA"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Verejné vysoké školy</w:t>
            </w:r>
          </w:p>
        </w:tc>
        <w:tc>
          <w:tcPr>
            <w:tcW w:w="561" w:type="pct"/>
            <w:tcBorders>
              <w:top w:val="nil"/>
              <w:left w:val="nil"/>
              <w:bottom w:val="nil"/>
              <w:right w:val="nil"/>
            </w:tcBorders>
            <w:shd w:val="clear" w:color="auto" w:fill="auto"/>
            <w:noWrap/>
            <w:vAlign w:val="bottom"/>
            <w:hideMark/>
          </w:tcPr>
          <w:p w14:paraId="3BD11E1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5 430</w:t>
            </w:r>
          </w:p>
        </w:tc>
        <w:tc>
          <w:tcPr>
            <w:tcW w:w="556" w:type="pct"/>
            <w:tcBorders>
              <w:top w:val="nil"/>
              <w:left w:val="nil"/>
              <w:bottom w:val="nil"/>
              <w:right w:val="nil"/>
            </w:tcBorders>
            <w:shd w:val="clear" w:color="auto" w:fill="auto"/>
            <w:noWrap/>
            <w:vAlign w:val="bottom"/>
            <w:hideMark/>
          </w:tcPr>
          <w:p w14:paraId="607BA25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7 888</w:t>
            </w:r>
          </w:p>
        </w:tc>
        <w:tc>
          <w:tcPr>
            <w:tcW w:w="590" w:type="pct"/>
            <w:tcBorders>
              <w:top w:val="nil"/>
              <w:left w:val="nil"/>
              <w:bottom w:val="nil"/>
              <w:right w:val="nil"/>
            </w:tcBorders>
            <w:shd w:val="clear" w:color="auto" w:fill="auto"/>
            <w:noWrap/>
            <w:vAlign w:val="bottom"/>
            <w:hideMark/>
          </w:tcPr>
          <w:p w14:paraId="020F722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12 060</w:t>
            </w:r>
          </w:p>
        </w:tc>
        <w:tc>
          <w:tcPr>
            <w:tcW w:w="621" w:type="pct"/>
            <w:tcBorders>
              <w:top w:val="nil"/>
              <w:left w:val="nil"/>
              <w:bottom w:val="nil"/>
              <w:right w:val="nil"/>
            </w:tcBorders>
            <w:shd w:val="clear" w:color="auto" w:fill="auto"/>
            <w:noWrap/>
            <w:vAlign w:val="bottom"/>
            <w:hideMark/>
          </w:tcPr>
          <w:p w14:paraId="259AB20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4 172</w:t>
            </w:r>
          </w:p>
        </w:tc>
      </w:tr>
      <w:tr w:rsidR="00DC0F15" w:rsidRPr="00DC0F15" w14:paraId="5A5B3294" w14:textId="77777777" w:rsidTr="000B1F5C">
        <w:trPr>
          <w:trHeight w:val="260"/>
        </w:trPr>
        <w:tc>
          <w:tcPr>
            <w:tcW w:w="2673" w:type="pct"/>
            <w:tcBorders>
              <w:top w:val="nil"/>
              <w:left w:val="nil"/>
              <w:bottom w:val="nil"/>
              <w:right w:val="nil"/>
            </w:tcBorders>
            <w:shd w:val="clear" w:color="auto" w:fill="auto"/>
            <w:noWrap/>
            <w:vAlign w:val="bottom"/>
            <w:hideMark/>
          </w:tcPr>
          <w:p w14:paraId="36DC3A0D"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Verejné výskumné inštitúcie</w:t>
            </w:r>
          </w:p>
        </w:tc>
        <w:tc>
          <w:tcPr>
            <w:tcW w:w="561" w:type="pct"/>
            <w:tcBorders>
              <w:top w:val="nil"/>
              <w:left w:val="nil"/>
              <w:bottom w:val="nil"/>
              <w:right w:val="nil"/>
            </w:tcBorders>
            <w:shd w:val="clear" w:color="auto" w:fill="auto"/>
            <w:noWrap/>
            <w:vAlign w:val="bottom"/>
            <w:hideMark/>
          </w:tcPr>
          <w:p w14:paraId="39ABD13A" w14:textId="77777777" w:rsidR="00DC0F15" w:rsidRPr="00DC0F15" w:rsidRDefault="00DC0F15" w:rsidP="003C5653">
            <w:pPr>
              <w:spacing w:after="0" w:line="240" w:lineRule="auto"/>
              <w:ind w:firstLineChars="200" w:firstLine="400"/>
              <w:rPr>
                <w:sz w:val="20"/>
                <w:szCs w:val="20"/>
                <w:lang w:eastAsia="sk-SK"/>
              </w:rPr>
            </w:pPr>
          </w:p>
        </w:tc>
        <w:tc>
          <w:tcPr>
            <w:tcW w:w="556" w:type="pct"/>
            <w:tcBorders>
              <w:top w:val="nil"/>
              <w:left w:val="nil"/>
              <w:bottom w:val="nil"/>
              <w:right w:val="nil"/>
            </w:tcBorders>
            <w:shd w:val="clear" w:color="auto" w:fill="auto"/>
            <w:noWrap/>
            <w:vAlign w:val="bottom"/>
            <w:hideMark/>
          </w:tcPr>
          <w:p w14:paraId="0F866302" w14:textId="77777777" w:rsidR="00DC0F15" w:rsidRPr="00DC0F15" w:rsidRDefault="00DC0F15" w:rsidP="003C5653">
            <w:pPr>
              <w:spacing w:after="0" w:line="240" w:lineRule="auto"/>
              <w:rPr>
                <w:sz w:val="20"/>
                <w:szCs w:val="20"/>
                <w:lang w:eastAsia="sk-SK"/>
              </w:rPr>
            </w:pPr>
          </w:p>
        </w:tc>
        <w:tc>
          <w:tcPr>
            <w:tcW w:w="590" w:type="pct"/>
            <w:tcBorders>
              <w:top w:val="nil"/>
              <w:left w:val="nil"/>
              <w:bottom w:val="nil"/>
              <w:right w:val="nil"/>
            </w:tcBorders>
            <w:shd w:val="clear" w:color="auto" w:fill="auto"/>
            <w:noWrap/>
            <w:vAlign w:val="bottom"/>
            <w:hideMark/>
          </w:tcPr>
          <w:p w14:paraId="3190FB6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2 563</w:t>
            </w:r>
          </w:p>
        </w:tc>
        <w:tc>
          <w:tcPr>
            <w:tcW w:w="621" w:type="pct"/>
            <w:tcBorders>
              <w:top w:val="nil"/>
              <w:left w:val="nil"/>
              <w:bottom w:val="nil"/>
              <w:right w:val="nil"/>
            </w:tcBorders>
            <w:shd w:val="clear" w:color="auto" w:fill="auto"/>
            <w:noWrap/>
            <w:vAlign w:val="bottom"/>
            <w:hideMark/>
          </w:tcPr>
          <w:p w14:paraId="22095053" w14:textId="77777777" w:rsidR="00DC0F15" w:rsidRPr="00DC0F15" w:rsidRDefault="00DC0F15" w:rsidP="003C5653">
            <w:pPr>
              <w:spacing w:after="0" w:line="240" w:lineRule="auto"/>
              <w:jc w:val="right"/>
              <w:rPr>
                <w:sz w:val="20"/>
                <w:szCs w:val="20"/>
                <w:lang w:eastAsia="sk-SK"/>
              </w:rPr>
            </w:pPr>
          </w:p>
        </w:tc>
      </w:tr>
      <w:tr w:rsidR="00DC0F15" w:rsidRPr="00DC0F15" w14:paraId="7F7CB101" w14:textId="77777777" w:rsidTr="000B1F5C">
        <w:trPr>
          <w:trHeight w:val="260"/>
        </w:trPr>
        <w:tc>
          <w:tcPr>
            <w:tcW w:w="2673" w:type="pct"/>
            <w:tcBorders>
              <w:top w:val="nil"/>
              <w:left w:val="nil"/>
              <w:bottom w:val="nil"/>
              <w:right w:val="nil"/>
            </w:tcBorders>
            <w:shd w:val="clear" w:color="auto" w:fill="auto"/>
            <w:noWrap/>
            <w:vAlign w:val="bottom"/>
            <w:hideMark/>
          </w:tcPr>
          <w:p w14:paraId="77B03AF8"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Zdravotnícke zariadenia ústrednej správy</w:t>
            </w:r>
          </w:p>
        </w:tc>
        <w:tc>
          <w:tcPr>
            <w:tcW w:w="561" w:type="pct"/>
            <w:tcBorders>
              <w:top w:val="nil"/>
              <w:left w:val="nil"/>
              <w:bottom w:val="nil"/>
              <w:right w:val="nil"/>
            </w:tcBorders>
            <w:shd w:val="clear" w:color="auto" w:fill="auto"/>
            <w:noWrap/>
            <w:vAlign w:val="bottom"/>
            <w:hideMark/>
          </w:tcPr>
          <w:p w14:paraId="3ED328D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196 741</w:t>
            </w:r>
          </w:p>
        </w:tc>
        <w:tc>
          <w:tcPr>
            <w:tcW w:w="556" w:type="pct"/>
            <w:tcBorders>
              <w:top w:val="nil"/>
              <w:left w:val="nil"/>
              <w:bottom w:val="nil"/>
              <w:right w:val="nil"/>
            </w:tcBorders>
            <w:shd w:val="clear" w:color="auto" w:fill="auto"/>
            <w:noWrap/>
            <w:vAlign w:val="bottom"/>
            <w:hideMark/>
          </w:tcPr>
          <w:p w14:paraId="45D1A2FB"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212 235</w:t>
            </w:r>
          </w:p>
        </w:tc>
        <w:tc>
          <w:tcPr>
            <w:tcW w:w="590" w:type="pct"/>
            <w:tcBorders>
              <w:top w:val="nil"/>
              <w:left w:val="nil"/>
              <w:bottom w:val="nil"/>
              <w:right w:val="nil"/>
            </w:tcBorders>
            <w:shd w:val="clear" w:color="auto" w:fill="auto"/>
            <w:noWrap/>
            <w:vAlign w:val="bottom"/>
            <w:hideMark/>
          </w:tcPr>
          <w:p w14:paraId="166654D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193 477</w:t>
            </w:r>
          </w:p>
        </w:tc>
        <w:tc>
          <w:tcPr>
            <w:tcW w:w="621" w:type="pct"/>
            <w:tcBorders>
              <w:top w:val="nil"/>
              <w:left w:val="nil"/>
              <w:bottom w:val="nil"/>
              <w:right w:val="nil"/>
            </w:tcBorders>
            <w:shd w:val="clear" w:color="auto" w:fill="auto"/>
            <w:noWrap/>
            <w:vAlign w:val="bottom"/>
            <w:hideMark/>
          </w:tcPr>
          <w:p w14:paraId="6ED1BE4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-18 758</w:t>
            </w:r>
          </w:p>
        </w:tc>
      </w:tr>
      <w:tr w:rsidR="00DC0F15" w:rsidRPr="00DC0F15" w14:paraId="2245B876" w14:textId="77777777" w:rsidTr="000B1F5C">
        <w:trPr>
          <w:trHeight w:val="260"/>
        </w:trPr>
        <w:tc>
          <w:tcPr>
            <w:tcW w:w="2673" w:type="pct"/>
            <w:tcBorders>
              <w:top w:val="nil"/>
              <w:left w:val="nil"/>
              <w:bottom w:val="nil"/>
              <w:right w:val="nil"/>
            </w:tcBorders>
            <w:shd w:val="clear" w:color="auto" w:fill="auto"/>
            <w:noWrap/>
            <w:vAlign w:val="bottom"/>
            <w:hideMark/>
          </w:tcPr>
          <w:p w14:paraId="6D9F7B0E"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Agentúra pre núdzové zásoby ropy a ropných výrobkov</w:t>
            </w:r>
          </w:p>
        </w:tc>
        <w:tc>
          <w:tcPr>
            <w:tcW w:w="561" w:type="pct"/>
            <w:tcBorders>
              <w:top w:val="nil"/>
              <w:left w:val="nil"/>
              <w:bottom w:val="nil"/>
              <w:right w:val="nil"/>
            </w:tcBorders>
            <w:shd w:val="clear" w:color="auto" w:fill="auto"/>
            <w:noWrap/>
            <w:vAlign w:val="bottom"/>
            <w:hideMark/>
          </w:tcPr>
          <w:p w14:paraId="1A40C67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331 485</w:t>
            </w:r>
          </w:p>
        </w:tc>
        <w:tc>
          <w:tcPr>
            <w:tcW w:w="556" w:type="pct"/>
            <w:tcBorders>
              <w:top w:val="nil"/>
              <w:left w:val="nil"/>
              <w:bottom w:val="nil"/>
              <w:right w:val="nil"/>
            </w:tcBorders>
            <w:shd w:val="clear" w:color="auto" w:fill="auto"/>
            <w:noWrap/>
            <w:vAlign w:val="bottom"/>
            <w:hideMark/>
          </w:tcPr>
          <w:p w14:paraId="420B93B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281 551</w:t>
            </w:r>
          </w:p>
        </w:tc>
        <w:tc>
          <w:tcPr>
            <w:tcW w:w="590" w:type="pct"/>
            <w:tcBorders>
              <w:top w:val="nil"/>
              <w:left w:val="nil"/>
              <w:bottom w:val="nil"/>
              <w:right w:val="nil"/>
            </w:tcBorders>
            <w:shd w:val="clear" w:color="auto" w:fill="auto"/>
            <w:noWrap/>
            <w:vAlign w:val="bottom"/>
            <w:hideMark/>
          </w:tcPr>
          <w:p w14:paraId="512F6378"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241 357</w:t>
            </w:r>
          </w:p>
        </w:tc>
        <w:tc>
          <w:tcPr>
            <w:tcW w:w="621" w:type="pct"/>
            <w:tcBorders>
              <w:top w:val="nil"/>
              <w:left w:val="nil"/>
              <w:bottom w:val="nil"/>
              <w:right w:val="nil"/>
            </w:tcBorders>
            <w:shd w:val="clear" w:color="auto" w:fill="auto"/>
            <w:noWrap/>
            <w:vAlign w:val="bottom"/>
            <w:hideMark/>
          </w:tcPr>
          <w:p w14:paraId="2207DA1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-40 194</w:t>
            </w:r>
          </w:p>
        </w:tc>
      </w:tr>
      <w:tr w:rsidR="00DC0F15" w:rsidRPr="00DC0F15" w14:paraId="684F2384" w14:textId="77777777" w:rsidTr="000B1F5C">
        <w:trPr>
          <w:trHeight w:val="260"/>
        </w:trPr>
        <w:tc>
          <w:tcPr>
            <w:tcW w:w="2673" w:type="pct"/>
            <w:tcBorders>
              <w:top w:val="nil"/>
              <w:left w:val="nil"/>
              <w:bottom w:val="nil"/>
              <w:right w:val="nil"/>
            </w:tcBorders>
            <w:shd w:val="clear" w:color="auto" w:fill="auto"/>
            <w:noWrap/>
            <w:vAlign w:val="bottom"/>
            <w:hideMark/>
          </w:tcPr>
          <w:p w14:paraId="67C24B20"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Ostatné subjekty ústrednej správy</w:t>
            </w:r>
          </w:p>
        </w:tc>
        <w:tc>
          <w:tcPr>
            <w:tcW w:w="561" w:type="pct"/>
            <w:tcBorders>
              <w:top w:val="nil"/>
              <w:left w:val="nil"/>
              <w:bottom w:val="nil"/>
              <w:right w:val="nil"/>
            </w:tcBorders>
            <w:shd w:val="clear" w:color="auto" w:fill="auto"/>
            <w:noWrap/>
            <w:vAlign w:val="bottom"/>
            <w:hideMark/>
          </w:tcPr>
          <w:p w14:paraId="23C8F6A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14 431</w:t>
            </w:r>
          </w:p>
        </w:tc>
        <w:tc>
          <w:tcPr>
            <w:tcW w:w="556" w:type="pct"/>
            <w:tcBorders>
              <w:top w:val="nil"/>
              <w:left w:val="nil"/>
              <w:bottom w:val="nil"/>
              <w:right w:val="nil"/>
            </w:tcBorders>
            <w:shd w:val="clear" w:color="auto" w:fill="auto"/>
            <w:noWrap/>
            <w:vAlign w:val="bottom"/>
            <w:hideMark/>
          </w:tcPr>
          <w:p w14:paraId="6FABFB7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10 072</w:t>
            </w:r>
          </w:p>
        </w:tc>
        <w:tc>
          <w:tcPr>
            <w:tcW w:w="590" w:type="pct"/>
            <w:tcBorders>
              <w:top w:val="nil"/>
              <w:left w:val="nil"/>
              <w:bottom w:val="nil"/>
              <w:right w:val="nil"/>
            </w:tcBorders>
            <w:shd w:val="clear" w:color="auto" w:fill="auto"/>
            <w:noWrap/>
            <w:vAlign w:val="bottom"/>
            <w:hideMark/>
          </w:tcPr>
          <w:p w14:paraId="33DB4CB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25 170</w:t>
            </w:r>
          </w:p>
        </w:tc>
        <w:tc>
          <w:tcPr>
            <w:tcW w:w="621" w:type="pct"/>
            <w:tcBorders>
              <w:top w:val="nil"/>
              <w:left w:val="nil"/>
              <w:bottom w:val="nil"/>
              <w:right w:val="nil"/>
            </w:tcBorders>
            <w:shd w:val="clear" w:color="auto" w:fill="auto"/>
            <w:noWrap/>
            <w:vAlign w:val="bottom"/>
            <w:hideMark/>
          </w:tcPr>
          <w:p w14:paraId="7F1BCB3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15 098</w:t>
            </w:r>
          </w:p>
        </w:tc>
      </w:tr>
      <w:tr w:rsidR="00DC0F15" w:rsidRPr="00DC0F15" w14:paraId="3917F707" w14:textId="77777777" w:rsidTr="000B1F5C">
        <w:trPr>
          <w:trHeight w:val="260"/>
        </w:trPr>
        <w:tc>
          <w:tcPr>
            <w:tcW w:w="2673" w:type="pct"/>
            <w:tcBorders>
              <w:top w:val="nil"/>
              <w:left w:val="nil"/>
              <w:bottom w:val="nil"/>
              <w:right w:val="nil"/>
            </w:tcBorders>
            <w:shd w:val="clear" w:color="auto" w:fill="auto"/>
            <w:noWrap/>
            <w:vAlign w:val="bottom"/>
            <w:hideMark/>
          </w:tcPr>
          <w:p w14:paraId="3F125D97"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Územná samospráva</w:t>
            </w:r>
          </w:p>
        </w:tc>
        <w:tc>
          <w:tcPr>
            <w:tcW w:w="561" w:type="pct"/>
            <w:tcBorders>
              <w:top w:val="nil"/>
              <w:left w:val="nil"/>
              <w:bottom w:val="nil"/>
              <w:right w:val="nil"/>
            </w:tcBorders>
            <w:shd w:val="clear" w:color="auto" w:fill="auto"/>
            <w:noWrap/>
            <w:vAlign w:val="bottom"/>
            <w:hideMark/>
          </w:tcPr>
          <w:p w14:paraId="3E9D2D24"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2 171 944</w:t>
            </w:r>
          </w:p>
        </w:tc>
        <w:tc>
          <w:tcPr>
            <w:tcW w:w="556" w:type="pct"/>
            <w:tcBorders>
              <w:top w:val="nil"/>
              <w:left w:val="nil"/>
              <w:bottom w:val="nil"/>
              <w:right w:val="nil"/>
            </w:tcBorders>
            <w:shd w:val="clear" w:color="auto" w:fill="auto"/>
            <w:noWrap/>
            <w:vAlign w:val="bottom"/>
            <w:hideMark/>
          </w:tcPr>
          <w:p w14:paraId="2ED99C44"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2 229 489</w:t>
            </w:r>
          </w:p>
        </w:tc>
        <w:tc>
          <w:tcPr>
            <w:tcW w:w="590" w:type="pct"/>
            <w:tcBorders>
              <w:top w:val="nil"/>
              <w:left w:val="nil"/>
              <w:bottom w:val="nil"/>
              <w:right w:val="nil"/>
            </w:tcBorders>
            <w:shd w:val="clear" w:color="auto" w:fill="auto"/>
            <w:noWrap/>
            <w:vAlign w:val="bottom"/>
            <w:hideMark/>
          </w:tcPr>
          <w:p w14:paraId="6D4C9C8A"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2 437 239</w:t>
            </w:r>
          </w:p>
        </w:tc>
        <w:tc>
          <w:tcPr>
            <w:tcW w:w="621" w:type="pct"/>
            <w:tcBorders>
              <w:top w:val="nil"/>
              <w:left w:val="nil"/>
              <w:bottom w:val="nil"/>
              <w:right w:val="nil"/>
            </w:tcBorders>
            <w:shd w:val="clear" w:color="auto" w:fill="auto"/>
            <w:noWrap/>
            <w:vAlign w:val="bottom"/>
            <w:hideMark/>
          </w:tcPr>
          <w:p w14:paraId="2F1E510C"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207 750</w:t>
            </w:r>
          </w:p>
        </w:tc>
      </w:tr>
      <w:tr w:rsidR="00DC0F15" w:rsidRPr="00DC0F15" w14:paraId="25CB1E4D" w14:textId="77777777" w:rsidTr="000B1F5C">
        <w:trPr>
          <w:trHeight w:val="260"/>
        </w:trPr>
        <w:tc>
          <w:tcPr>
            <w:tcW w:w="2673" w:type="pct"/>
            <w:tcBorders>
              <w:top w:val="nil"/>
              <w:left w:val="nil"/>
              <w:bottom w:val="nil"/>
              <w:right w:val="nil"/>
            </w:tcBorders>
            <w:shd w:val="clear" w:color="auto" w:fill="auto"/>
            <w:noWrap/>
            <w:vAlign w:val="bottom"/>
            <w:hideMark/>
          </w:tcPr>
          <w:p w14:paraId="676C8DD3"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Obce a ich rozpočtové organizácie</w:t>
            </w:r>
          </w:p>
        </w:tc>
        <w:tc>
          <w:tcPr>
            <w:tcW w:w="561" w:type="pct"/>
            <w:tcBorders>
              <w:top w:val="nil"/>
              <w:left w:val="nil"/>
              <w:bottom w:val="nil"/>
              <w:right w:val="nil"/>
            </w:tcBorders>
            <w:shd w:val="clear" w:color="auto" w:fill="auto"/>
            <w:noWrap/>
            <w:vAlign w:val="bottom"/>
            <w:hideMark/>
          </w:tcPr>
          <w:p w14:paraId="4A89C00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1 593 710</w:t>
            </w:r>
          </w:p>
        </w:tc>
        <w:tc>
          <w:tcPr>
            <w:tcW w:w="556" w:type="pct"/>
            <w:tcBorders>
              <w:top w:val="nil"/>
              <w:left w:val="nil"/>
              <w:bottom w:val="nil"/>
              <w:right w:val="nil"/>
            </w:tcBorders>
            <w:shd w:val="clear" w:color="auto" w:fill="auto"/>
            <w:noWrap/>
            <w:vAlign w:val="bottom"/>
            <w:hideMark/>
          </w:tcPr>
          <w:p w14:paraId="2198A75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1 644 707</w:t>
            </w:r>
          </w:p>
        </w:tc>
        <w:tc>
          <w:tcPr>
            <w:tcW w:w="590" w:type="pct"/>
            <w:tcBorders>
              <w:top w:val="nil"/>
              <w:left w:val="nil"/>
              <w:bottom w:val="nil"/>
              <w:right w:val="nil"/>
            </w:tcBorders>
            <w:shd w:val="clear" w:color="auto" w:fill="auto"/>
            <w:noWrap/>
            <w:vAlign w:val="bottom"/>
            <w:hideMark/>
          </w:tcPr>
          <w:p w14:paraId="78592D9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1 751 497</w:t>
            </w:r>
          </w:p>
        </w:tc>
        <w:tc>
          <w:tcPr>
            <w:tcW w:w="621" w:type="pct"/>
            <w:tcBorders>
              <w:top w:val="nil"/>
              <w:left w:val="nil"/>
              <w:bottom w:val="nil"/>
              <w:right w:val="nil"/>
            </w:tcBorders>
            <w:shd w:val="clear" w:color="auto" w:fill="auto"/>
            <w:noWrap/>
            <w:vAlign w:val="bottom"/>
            <w:hideMark/>
          </w:tcPr>
          <w:p w14:paraId="1036EA6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106 790</w:t>
            </w:r>
          </w:p>
        </w:tc>
      </w:tr>
      <w:tr w:rsidR="00DC0F15" w:rsidRPr="00DC0F15" w14:paraId="45C6F54B" w14:textId="77777777" w:rsidTr="000B1F5C">
        <w:trPr>
          <w:trHeight w:val="260"/>
        </w:trPr>
        <w:tc>
          <w:tcPr>
            <w:tcW w:w="2673" w:type="pct"/>
            <w:tcBorders>
              <w:top w:val="nil"/>
              <w:left w:val="nil"/>
              <w:bottom w:val="nil"/>
              <w:right w:val="nil"/>
            </w:tcBorders>
            <w:shd w:val="clear" w:color="auto" w:fill="auto"/>
            <w:noWrap/>
            <w:vAlign w:val="bottom"/>
            <w:hideMark/>
          </w:tcPr>
          <w:p w14:paraId="7C56423E"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Vyššie územné celky a ich rozpočtové organizácie</w:t>
            </w:r>
          </w:p>
        </w:tc>
        <w:tc>
          <w:tcPr>
            <w:tcW w:w="561" w:type="pct"/>
            <w:tcBorders>
              <w:top w:val="nil"/>
              <w:left w:val="nil"/>
              <w:bottom w:val="nil"/>
              <w:right w:val="nil"/>
            </w:tcBorders>
            <w:shd w:val="clear" w:color="auto" w:fill="auto"/>
            <w:noWrap/>
            <w:vAlign w:val="bottom"/>
            <w:hideMark/>
          </w:tcPr>
          <w:p w14:paraId="14382F4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498 712</w:t>
            </w:r>
          </w:p>
        </w:tc>
        <w:tc>
          <w:tcPr>
            <w:tcW w:w="556" w:type="pct"/>
            <w:tcBorders>
              <w:top w:val="nil"/>
              <w:left w:val="nil"/>
              <w:bottom w:val="nil"/>
              <w:right w:val="nil"/>
            </w:tcBorders>
            <w:shd w:val="clear" w:color="auto" w:fill="auto"/>
            <w:noWrap/>
            <w:vAlign w:val="bottom"/>
            <w:hideMark/>
          </w:tcPr>
          <w:p w14:paraId="4A7B4A4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507 705</w:t>
            </w:r>
          </w:p>
        </w:tc>
        <w:tc>
          <w:tcPr>
            <w:tcW w:w="590" w:type="pct"/>
            <w:tcBorders>
              <w:top w:val="nil"/>
              <w:left w:val="nil"/>
              <w:bottom w:val="nil"/>
              <w:right w:val="nil"/>
            </w:tcBorders>
            <w:shd w:val="clear" w:color="auto" w:fill="auto"/>
            <w:noWrap/>
            <w:vAlign w:val="bottom"/>
            <w:hideMark/>
          </w:tcPr>
          <w:p w14:paraId="76DE680D"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565 287</w:t>
            </w:r>
          </w:p>
        </w:tc>
        <w:tc>
          <w:tcPr>
            <w:tcW w:w="621" w:type="pct"/>
            <w:tcBorders>
              <w:top w:val="nil"/>
              <w:left w:val="nil"/>
              <w:bottom w:val="nil"/>
              <w:right w:val="nil"/>
            </w:tcBorders>
            <w:shd w:val="clear" w:color="auto" w:fill="auto"/>
            <w:noWrap/>
            <w:vAlign w:val="bottom"/>
            <w:hideMark/>
          </w:tcPr>
          <w:p w14:paraId="4D4AB32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57 582</w:t>
            </w:r>
          </w:p>
        </w:tc>
      </w:tr>
      <w:tr w:rsidR="00DC0F15" w:rsidRPr="00DC0F15" w14:paraId="1A89E018" w14:textId="77777777" w:rsidTr="000B1F5C">
        <w:trPr>
          <w:trHeight w:val="260"/>
        </w:trPr>
        <w:tc>
          <w:tcPr>
            <w:tcW w:w="2673" w:type="pct"/>
            <w:tcBorders>
              <w:top w:val="nil"/>
              <w:left w:val="nil"/>
              <w:bottom w:val="nil"/>
              <w:right w:val="nil"/>
            </w:tcBorders>
            <w:shd w:val="clear" w:color="auto" w:fill="auto"/>
            <w:noWrap/>
            <w:vAlign w:val="bottom"/>
            <w:hideMark/>
          </w:tcPr>
          <w:p w14:paraId="7CBD2532"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Dopravné podniky</w:t>
            </w:r>
          </w:p>
        </w:tc>
        <w:tc>
          <w:tcPr>
            <w:tcW w:w="561" w:type="pct"/>
            <w:tcBorders>
              <w:top w:val="nil"/>
              <w:left w:val="nil"/>
              <w:bottom w:val="nil"/>
              <w:right w:val="nil"/>
            </w:tcBorders>
            <w:shd w:val="clear" w:color="auto" w:fill="auto"/>
            <w:noWrap/>
            <w:vAlign w:val="bottom"/>
            <w:hideMark/>
          </w:tcPr>
          <w:p w14:paraId="7F48DF0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71 031</w:t>
            </w:r>
          </w:p>
        </w:tc>
        <w:tc>
          <w:tcPr>
            <w:tcW w:w="556" w:type="pct"/>
            <w:tcBorders>
              <w:top w:val="nil"/>
              <w:left w:val="nil"/>
              <w:bottom w:val="nil"/>
              <w:right w:val="nil"/>
            </w:tcBorders>
            <w:shd w:val="clear" w:color="auto" w:fill="auto"/>
            <w:noWrap/>
            <w:vAlign w:val="bottom"/>
            <w:hideMark/>
          </w:tcPr>
          <w:p w14:paraId="29A11717"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65 327</w:t>
            </w:r>
          </w:p>
        </w:tc>
        <w:tc>
          <w:tcPr>
            <w:tcW w:w="590" w:type="pct"/>
            <w:tcBorders>
              <w:top w:val="nil"/>
              <w:left w:val="nil"/>
              <w:bottom w:val="nil"/>
              <w:right w:val="nil"/>
            </w:tcBorders>
            <w:shd w:val="clear" w:color="auto" w:fill="auto"/>
            <w:noWrap/>
            <w:vAlign w:val="bottom"/>
            <w:hideMark/>
          </w:tcPr>
          <w:p w14:paraId="23FF977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106 800</w:t>
            </w:r>
          </w:p>
        </w:tc>
        <w:tc>
          <w:tcPr>
            <w:tcW w:w="621" w:type="pct"/>
            <w:tcBorders>
              <w:top w:val="nil"/>
              <w:left w:val="nil"/>
              <w:bottom w:val="nil"/>
              <w:right w:val="nil"/>
            </w:tcBorders>
            <w:shd w:val="clear" w:color="auto" w:fill="auto"/>
            <w:noWrap/>
            <w:vAlign w:val="bottom"/>
            <w:hideMark/>
          </w:tcPr>
          <w:p w14:paraId="1F6255F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41 473</w:t>
            </w:r>
          </w:p>
        </w:tc>
      </w:tr>
      <w:tr w:rsidR="00DC0F15" w:rsidRPr="00DC0F15" w14:paraId="79129953" w14:textId="77777777" w:rsidTr="000B1F5C">
        <w:trPr>
          <w:trHeight w:val="260"/>
        </w:trPr>
        <w:tc>
          <w:tcPr>
            <w:tcW w:w="2673" w:type="pct"/>
            <w:tcBorders>
              <w:top w:val="nil"/>
              <w:left w:val="nil"/>
              <w:bottom w:val="nil"/>
              <w:right w:val="nil"/>
            </w:tcBorders>
            <w:shd w:val="clear" w:color="auto" w:fill="auto"/>
            <w:noWrap/>
            <w:vAlign w:val="bottom"/>
            <w:hideMark/>
          </w:tcPr>
          <w:p w14:paraId="3666C4FF"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Príspevkové organizácie obcí</w:t>
            </w:r>
          </w:p>
        </w:tc>
        <w:tc>
          <w:tcPr>
            <w:tcW w:w="561" w:type="pct"/>
            <w:tcBorders>
              <w:top w:val="nil"/>
              <w:left w:val="nil"/>
              <w:bottom w:val="nil"/>
              <w:right w:val="nil"/>
            </w:tcBorders>
            <w:shd w:val="clear" w:color="auto" w:fill="auto"/>
            <w:noWrap/>
            <w:vAlign w:val="bottom"/>
            <w:hideMark/>
          </w:tcPr>
          <w:p w14:paraId="1FA04108"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1 943</w:t>
            </w:r>
          </w:p>
        </w:tc>
        <w:tc>
          <w:tcPr>
            <w:tcW w:w="556" w:type="pct"/>
            <w:tcBorders>
              <w:top w:val="nil"/>
              <w:left w:val="nil"/>
              <w:bottom w:val="nil"/>
              <w:right w:val="nil"/>
            </w:tcBorders>
            <w:shd w:val="clear" w:color="auto" w:fill="auto"/>
            <w:noWrap/>
            <w:vAlign w:val="bottom"/>
            <w:hideMark/>
          </w:tcPr>
          <w:p w14:paraId="61EB93F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2 270</w:t>
            </w:r>
          </w:p>
        </w:tc>
        <w:tc>
          <w:tcPr>
            <w:tcW w:w="590" w:type="pct"/>
            <w:tcBorders>
              <w:top w:val="nil"/>
              <w:left w:val="nil"/>
              <w:bottom w:val="nil"/>
              <w:right w:val="nil"/>
            </w:tcBorders>
            <w:shd w:val="clear" w:color="auto" w:fill="auto"/>
            <w:noWrap/>
            <w:vAlign w:val="bottom"/>
            <w:hideMark/>
          </w:tcPr>
          <w:p w14:paraId="25975BB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1 722</w:t>
            </w:r>
          </w:p>
        </w:tc>
        <w:tc>
          <w:tcPr>
            <w:tcW w:w="621" w:type="pct"/>
            <w:tcBorders>
              <w:top w:val="nil"/>
              <w:left w:val="nil"/>
              <w:bottom w:val="nil"/>
              <w:right w:val="nil"/>
            </w:tcBorders>
            <w:shd w:val="clear" w:color="auto" w:fill="auto"/>
            <w:noWrap/>
            <w:vAlign w:val="bottom"/>
            <w:hideMark/>
          </w:tcPr>
          <w:p w14:paraId="3AA578A8"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-548</w:t>
            </w:r>
          </w:p>
        </w:tc>
      </w:tr>
      <w:tr w:rsidR="00DC0F15" w:rsidRPr="00DC0F15" w14:paraId="49953098" w14:textId="77777777" w:rsidTr="000B1F5C">
        <w:trPr>
          <w:trHeight w:val="260"/>
        </w:trPr>
        <w:tc>
          <w:tcPr>
            <w:tcW w:w="2673" w:type="pct"/>
            <w:tcBorders>
              <w:top w:val="nil"/>
              <w:left w:val="nil"/>
              <w:bottom w:val="nil"/>
              <w:right w:val="nil"/>
            </w:tcBorders>
            <w:shd w:val="clear" w:color="auto" w:fill="auto"/>
            <w:noWrap/>
            <w:vAlign w:val="bottom"/>
            <w:hideMark/>
          </w:tcPr>
          <w:p w14:paraId="5990EC41"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Príspevkové organizácie VÚC</w:t>
            </w:r>
          </w:p>
        </w:tc>
        <w:tc>
          <w:tcPr>
            <w:tcW w:w="561" w:type="pct"/>
            <w:tcBorders>
              <w:top w:val="nil"/>
              <w:left w:val="nil"/>
              <w:bottom w:val="nil"/>
              <w:right w:val="nil"/>
            </w:tcBorders>
            <w:shd w:val="clear" w:color="auto" w:fill="auto"/>
            <w:noWrap/>
            <w:vAlign w:val="bottom"/>
            <w:hideMark/>
          </w:tcPr>
          <w:p w14:paraId="27C4510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857</w:t>
            </w:r>
          </w:p>
        </w:tc>
        <w:tc>
          <w:tcPr>
            <w:tcW w:w="556" w:type="pct"/>
            <w:tcBorders>
              <w:top w:val="nil"/>
              <w:left w:val="nil"/>
              <w:bottom w:val="nil"/>
              <w:right w:val="nil"/>
            </w:tcBorders>
            <w:shd w:val="clear" w:color="auto" w:fill="auto"/>
            <w:noWrap/>
            <w:vAlign w:val="bottom"/>
            <w:hideMark/>
          </w:tcPr>
          <w:p w14:paraId="31665EF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1 009</w:t>
            </w:r>
          </w:p>
        </w:tc>
        <w:tc>
          <w:tcPr>
            <w:tcW w:w="590" w:type="pct"/>
            <w:tcBorders>
              <w:top w:val="nil"/>
              <w:left w:val="nil"/>
              <w:bottom w:val="nil"/>
              <w:right w:val="nil"/>
            </w:tcBorders>
            <w:shd w:val="clear" w:color="auto" w:fill="auto"/>
            <w:noWrap/>
            <w:vAlign w:val="bottom"/>
            <w:hideMark/>
          </w:tcPr>
          <w:p w14:paraId="3F557A7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1 246</w:t>
            </w:r>
          </w:p>
        </w:tc>
        <w:tc>
          <w:tcPr>
            <w:tcW w:w="621" w:type="pct"/>
            <w:tcBorders>
              <w:top w:val="nil"/>
              <w:left w:val="nil"/>
              <w:bottom w:val="nil"/>
              <w:right w:val="nil"/>
            </w:tcBorders>
            <w:shd w:val="clear" w:color="auto" w:fill="auto"/>
            <w:noWrap/>
            <w:vAlign w:val="bottom"/>
            <w:hideMark/>
          </w:tcPr>
          <w:p w14:paraId="4D47766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237</w:t>
            </w:r>
          </w:p>
        </w:tc>
      </w:tr>
      <w:tr w:rsidR="00DC0F15" w:rsidRPr="00DC0F15" w14:paraId="0B683B51" w14:textId="77777777" w:rsidTr="000B1F5C">
        <w:trPr>
          <w:trHeight w:val="260"/>
        </w:trPr>
        <w:tc>
          <w:tcPr>
            <w:tcW w:w="2673" w:type="pct"/>
            <w:tcBorders>
              <w:top w:val="nil"/>
              <w:left w:val="nil"/>
              <w:bottom w:val="nil"/>
              <w:right w:val="nil"/>
            </w:tcBorders>
            <w:shd w:val="clear" w:color="auto" w:fill="auto"/>
            <w:noWrap/>
            <w:vAlign w:val="bottom"/>
            <w:hideMark/>
          </w:tcPr>
          <w:p w14:paraId="7B760A63"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Zdravotnícke zariadenia miestnej samosprávy</w:t>
            </w:r>
          </w:p>
        </w:tc>
        <w:tc>
          <w:tcPr>
            <w:tcW w:w="561" w:type="pct"/>
            <w:tcBorders>
              <w:top w:val="nil"/>
              <w:left w:val="nil"/>
              <w:bottom w:val="nil"/>
              <w:right w:val="nil"/>
            </w:tcBorders>
            <w:shd w:val="clear" w:color="auto" w:fill="auto"/>
            <w:noWrap/>
            <w:vAlign w:val="bottom"/>
            <w:hideMark/>
          </w:tcPr>
          <w:p w14:paraId="7A7969A1"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2 621</w:t>
            </w:r>
          </w:p>
        </w:tc>
        <w:tc>
          <w:tcPr>
            <w:tcW w:w="556" w:type="pct"/>
            <w:tcBorders>
              <w:top w:val="nil"/>
              <w:left w:val="nil"/>
              <w:bottom w:val="nil"/>
              <w:right w:val="nil"/>
            </w:tcBorders>
            <w:shd w:val="clear" w:color="auto" w:fill="auto"/>
            <w:noWrap/>
            <w:vAlign w:val="bottom"/>
            <w:hideMark/>
          </w:tcPr>
          <w:p w14:paraId="1ED63476"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3 321</w:t>
            </w:r>
          </w:p>
        </w:tc>
        <w:tc>
          <w:tcPr>
            <w:tcW w:w="590" w:type="pct"/>
            <w:tcBorders>
              <w:top w:val="nil"/>
              <w:left w:val="nil"/>
              <w:bottom w:val="nil"/>
              <w:right w:val="nil"/>
            </w:tcBorders>
            <w:shd w:val="clear" w:color="auto" w:fill="auto"/>
            <w:noWrap/>
            <w:vAlign w:val="bottom"/>
            <w:hideMark/>
          </w:tcPr>
          <w:p w14:paraId="1AA746C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3 362</w:t>
            </w:r>
          </w:p>
        </w:tc>
        <w:tc>
          <w:tcPr>
            <w:tcW w:w="621" w:type="pct"/>
            <w:tcBorders>
              <w:top w:val="nil"/>
              <w:left w:val="nil"/>
              <w:bottom w:val="nil"/>
              <w:right w:val="nil"/>
            </w:tcBorders>
            <w:shd w:val="clear" w:color="auto" w:fill="auto"/>
            <w:noWrap/>
            <w:vAlign w:val="bottom"/>
            <w:hideMark/>
          </w:tcPr>
          <w:p w14:paraId="1E53AED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41</w:t>
            </w:r>
          </w:p>
        </w:tc>
      </w:tr>
      <w:tr w:rsidR="00DC0F15" w:rsidRPr="00DC0F15" w14:paraId="035DA48F" w14:textId="77777777" w:rsidTr="000B1F5C">
        <w:trPr>
          <w:trHeight w:val="260"/>
        </w:trPr>
        <w:tc>
          <w:tcPr>
            <w:tcW w:w="2673" w:type="pct"/>
            <w:tcBorders>
              <w:top w:val="nil"/>
              <w:left w:val="nil"/>
              <w:bottom w:val="nil"/>
              <w:right w:val="nil"/>
            </w:tcBorders>
            <w:shd w:val="clear" w:color="auto" w:fill="auto"/>
            <w:noWrap/>
            <w:vAlign w:val="bottom"/>
            <w:hideMark/>
          </w:tcPr>
          <w:p w14:paraId="38B83C89"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Ostatné subjekty miestnej samosprávy</w:t>
            </w:r>
          </w:p>
        </w:tc>
        <w:tc>
          <w:tcPr>
            <w:tcW w:w="561" w:type="pct"/>
            <w:tcBorders>
              <w:top w:val="nil"/>
              <w:left w:val="nil"/>
              <w:bottom w:val="nil"/>
              <w:right w:val="nil"/>
            </w:tcBorders>
            <w:shd w:val="clear" w:color="auto" w:fill="auto"/>
            <w:noWrap/>
            <w:vAlign w:val="bottom"/>
            <w:hideMark/>
          </w:tcPr>
          <w:p w14:paraId="0EF730C2"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3 070</w:t>
            </w:r>
          </w:p>
        </w:tc>
        <w:tc>
          <w:tcPr>
            <w:tcW w:w="556" w:type="pct"/>
            <w:tcBorders>
              <w:top w:val="nil"/>
              <w:left w:val="nil"/>
              <w:bottom w:val="nil"/>
              <w:right w:val="nil"/>
            </w:tcBorders>
            <w:shd w:val="clear" w:color="auto" w:fill="auto"/>
            <w:noWrap/>
            <w:vAlign w:val="bottom"/>
            <w:hideMark/>
          </w:tcPr>
          <w:p w14:paraId="3C1645E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5 150</w:t>
            </w:r>
          </w:p>
        </w:tc>
        <w:tc>
          <w:tcPr>
            <w:tcW w:w="590" w:type="pct"/>
            <w:tcBorders>
              <w:top w:val="nil"/>
              <w:left w:val="nil"/>
              <w:bottom w:val="nil"/>
              <w:right w:val="nil"/>
            </w:tcBorders>
            <w:shd w:val="clear" w:color="auto" w:fill="auto"/>
            <w:noWrap/>
            <w:vAlign w:val="bottom"/>
            <w:hideMark/>
          </w:tcPr>
          <w:p w14:paraId="3D84E7C4"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7 325</w:t>
            </w:r>
          </w:p>
        </w:tc>
        <w:tc>
          <w:tcPr>
            <w:tcW w:w="621" w:type="pct"/>
            <w:tcBorders>
              <w:top w:val="nil"/>
              <w:left w:val="nil"/>
              <w:bottom w:val="nil"/>
              <w:right w:val="nil"/>
            </w:tcBorders>
            <w:shd w:val="clear" w:color="auto" w:fill="auto"/>
            <w:noWrap/>
            <w:vAlign w:val="bottom"/>
            <w:hideMark/>
          </w:tcPr>
          <w:p w14:paraId="2EBC282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2 175</w:t>
            </w:r>
          </w:p>
        </w:tc>
      </w:tr>
      <w:tr w:rsidR="00DC0F15" w:rsidRPr="00DC0F15" w14:paraId="275F8DF4" w14:textId="77777777" w:rsidTr="000B1F5C">
        <w:trPr>
          <w:trHeight w:val="260"/>
        </w:trPr>
        <w:tc>
          <w:tcPr>
            <w:tcW w:w="2673" w:type="pct"/>
            <w:tcBorders>
              <w:top w:val="nil"/>
              <w:left w:val="nil"/>
              <w:bottom w:val="nil"/>
              <w:right w:val="nil"/>
            </w:tcBorders>
            <w:shd w:val="clear" w:color="auto" w:fill="auto"/>
            <w:noWrap/>
            <w:vAlign w:val="bottom"/>
            <w:hideMark/>
          </w:tcPr>
          <w:p w14:paraId="3A7EB87F"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Fondy sociálneho zabezpečenia</w:t>
            </w:r>
          </w:p>
        </w:tc>
        <w:tc>
          <w:tcPr>
            <w:tcW w:w="561" w:type="pct"/>
            <w:tcBorders>
              <w:top w:val="nil"/>
              <w:left w:val="nil"/>
              <w:bottom w:val="nil"/>
              <w:right w:val="nil"/>
            </w:tcBorders>
            <w:shd w:val="clear" w:color="auto" w:fill="auto"/>
            <w:noWrap/>
            <w:vAlign w:val="bottom"/>
            <w:hideMark/>
          </w:tcPr>
          <w:p w14:paraId="2A78C2F8"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1 274</w:t>
            </w:r>
          </w:p>
        </w:tc>
        <w:tc>
          <w:tcPr>
            <w:tcW w:w="556" w:type="pct"/>
            <w:tcBorders>
              <w:top w:val="nil"/>
              <w:left w:val="nil"/>
              <w:bottom w:val="nil"/>
              <w:right w:val="nil"/>
            </w:tcBorders>
            <w:shd w:val="clear" w:color="auto" w:fill="auto"/>
            <w:noWrap/>
            <w:vAlign w:val="bottom"/>
            <w:hideMark/>
          </w:tcPr>
          <w:p w14:paraId="75DC6DF8"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1 012</w:t>
            </w:r>
          </w:p>
        </w:tc>
        <w:tc>
          <w:tcPr>
            <w:tcW w:w="590" w:type="pct"/>
            <w:tcBorders>
              <w:top w:val="nil"/>
              <w:left w:val="nil"/>
              <w:bottom w:val="nil"/>
              <w:right w:val="nil"/>
            </w:tcBorders>
            <w:shd w:val="clear" w:color="auto" w:fill="auto"/>
            <w:noWrap/>
            <w:vAlign w:val="bottom"/>
            <w:hideMark/>
          </w:tcPr>
          <w:p w14:paraId="2473C70B"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931</w:t>
            </w:r>
          </w:p>
        </w:tc>
        <w:tc>
          <w:tcPr>
            <w:tcW w:w="621" w:type="pct"/>
            <w:tcBorders>
              <w:top w:val="nil"/>
              <w:left w:val="nil"/>
              <w:bottom w:val="nil"/>
              <w:right w:val="nil"/>
            </w:tcBorders>
            <w:shd w:val="clear" w:color="auto" w:fill="auto"/>
            <w:noWrap/>
            <w:vAlign w:val="bottom"/>
            <w:hideMark/>
          </w:tcPr>
          <w:p w14:paraId="08A7C5E5"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-81</w:t>
            </w:r>
          </w:p>
        </w:tc>
      </w:tr>
      <w:tr w:rsidR="00DC0F15" w:rsidRPr="00DC0F15" w14:paraId="1C87AFEE" w14:textId="77777777" w:rsidTr="000B1F5C">
        <w:trPr>
          <w:trHeight w:val="260"/>
        </w:trPr>
        <w:tc>
          <w:tcPr>
            <w:tcW w:w="2673" w:type="pct"/>
            <w:tcBorders>
              <w:top w:val="nil"/>
              <w:left w:val="nil"/>
              <w:bottom w:val="nil"/>
              <w:right w:val="nil"/>
            </w:tcBorders>
            <w:shd w:val="clear" w:color="auto" w:fill="auto"/>
            <w:noWrap/>
            <w:vAlign w:val="bottom"/>
            <w:hideMark/>
          </w:tcPr>
          <w:p w14:paraId="17D5801E"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Sociálna poisťovňa</w:t>
            </w:r>
          </w:p>
        </w:tc>
        <w:tc>
          <w:tcPr>
            <w:tcW w:w="561" w:type="pct"/>
            <w:tcBorders>
              <w:top w:val="nil"/>
              <w:left w:val="nil"/>
              <w:bottom w:val="nil"/>
              <w:right w:val="nil"/>
            </w:tcBorders>
            <w:shd w:val="clear" w:color="auto" w:fill="auto"/>
            <w:noWrap/>
            <w:vAlign w:val="bottom"/>
            <w:hideMark/>
          </w:tcPr>
          <w:p w14:paraId="74A0B465"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499</w:t>
            </w:r>
          </w:p>
        </w:tc>
        <w:tc>
          <w:tcPr>
            <w:tcW w:w="556" w:type="pct"/>
            <w:tcBorders>
              <w:top w:val="nil"/>
              <w:left w:val="nil"/>
              <w:bottom w:val="nil"/>
              <w:right w:val="nil"/>
            </w:tcBorders>
            <w:shd w:val="clear" w:color="auto" w:fill="auto"/>
            <w:noWrap/>
            <w:vAlign w:val="bottom"/>
            <w:hideMark/>
          </w:tcPr>
          <w:p w14:paraId="54357B0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790</w:t>
            </w:r>
          </w:p>
        </w:tc>
        <w:tc>
          <w:tcPr>
            <w:tcW w:w="590" w:type="pct"/>
            <w:tcBorders>
              <w:top w:val="nil"/>
              <w:left w:val="nil"/>
              <w:bottom w:val="nil"/>
              <w:right w:val="nil"/>
            </w:tcBorders>
            <w:shd w:val="clear" w:color="auto" w:fill="auto"/>
            <w:noWrap/>
            <w:vAlign w:val="bottom"/>
            <w:hideMark/>
          </w:tcPr>
          <w:p w14:paraId="22BEA56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586</w:t>
            </w:r>
          </w:p>
        </w:tc>
        <w:tc>
          <w:tcPr>
            <w:tcW w:w="621" w:type="pct"/>
            <w:tcBorders>
              <w:top w:val="nil"/>
              <w:left w:val="nil"/>
              <w:bottom w:val="nil"/>
              <w:right w:val="nil"/>
            </w:tcBorders>
            <w:shd w:val="clear" w:color="auto" w:fill="auto"/>
            <w:noWrap/>
            <w:vAlign w:val="bottom"/>
            <w:hideMark/>
          </w:tcPr>
          <w:p w14:paraId="06DB0CD3"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-204</w:t>
            </w:r>
          </w:p>
        </w:tc>
      </w:tr>
      <w:tr w:rsidR="00DC0F15" w:rsidRPr="00DC0F15" w14:paraId="7FA4DD2C" w14:textId="77777777" w:rsidTr="000B1F5C">
        <w:trPr>
          <w:trHeight w:val="260"/>
        </w:trPr>
        <w:tc>
          <w:tcPr>
            <w:tcW w:w="2673" w:type="pct"/>
            <w:tcBorders>
              <w:top w:val="nil"/>
              <w:left w:val="nil"/>
              <w:bottom w:val="nil"/>
              <w:right w:val="nil"/>
            </w:tcBorders>
            <w:shd w:val="clear" w:color="auto" w:fill="auto"/>
            <w:noWrap/>
            <w:vAlign w:val="bottom"/>
            <w:hideMark/>
          </w:tcPr>
          <w:p w14:paraId="1C74F68F"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Verejné zdravotné poistenie</w:t>
            </w:r>
          </w:p>
        </w:tc>
        <w:tc>
          <w:tcPr>
            <w:tcW w:w="561" w:type="pct"/>
            <w:tcBorders>
              <w:top w:val="nil"/>
              <w:left w:val="nil"/>
              <w:bottom w:val="nil"/>
              <w:right w:val="nil"/>
            </w:tcBorders>
            <w:shd w:val="clear" w:color="auto" w:fill="auto"/>
            <w:noWrap/>
            <w:vAlign w:val="bottom"/>
            <w:hideMark/>
          </w:tcPr>
          <w:p w14:paraId="4E238F2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775</w:t>
            </w:r>
          </w:p>
        </w:tc>
        <w:tc>
          <w:tcPr>
            <w:tcW w:w="556" w:type="pct"/>
            <w:tcBorders>
              <w:top w:val="nil"/>
              <w:left w:val="nil"/>
              <w:bottom w:val="nil"/>
              <w:right w:val="nil"/>
            </w:tcBorders>
            <w:shd w:val="clear" w:color="auto" w:fill="auto"/>
            <w:noWrap/>
            <w:vAlign w:val="bottom"/>
            <w:hideMark/>
          </w:tcPr>
          <w:p w14:paraId="4537EF1C"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222</w:t>
            </w:r>
          </w:p>
        </w:tc>
        <w:tc>
          <w:tcPr>
            <w:tcW w:w="590" w:type="pct"/>
            <w:tcBorders>
              <w:top w:val="nil"/>
              <w:left w:val="nil"/>
              <w:bottom w:val="nil"/>
              <w:right w:val="nil"/>
            </w:tcBorders>
            <w:shd w:val="clear" w:color="auto" w:fill="auto"/>
            <w:noWrap/>
            <w:vAlign w:val="bottom"/>
            <w:hideMark/>
          </w:tcPr>
          <w:p w14:paraId="0DDCEF80"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345</w:t>
            </w:r>
          </w:p>
        </w:tc>
        <w:tc>
          <w:tcPr>
            <w:tcW w:w="621" w:type="pct"/>
            <w:tcBorders>
              <w:top w:val="nil"/>
              <w:left w:val="nil"/>
              <w:bottom w:val="nil"/>
              <w:right w:val="nil"/>
            </w:tcBorders>
            <w:shd w:val="clear" w:color="auto" w:fill="auto"/>
            <w:noWrap/>
            <w:vAlign w:val="bottom"/>
            <w:hideMark/>
          </w:tcPr>
          <w:p w14:paraId="6FDCAB4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123</w:t>
            </w:r>
          </w:p>
        </w:tc>
      </w:tr>
      <w:tr w:rsidR="00DC0F15" w:rsidRPr="00DC0F15" w14:paraId="29517363" w14:textId="77777777" w:rsidTr="000B1F5C">
        <w:trPr>
          <w:trHeight w:val="260"/>
        </w:trPr>
        <w:tc>
          <w:tcPr>
            <w:tcW w:w="2673" w:type="pct"/>
            <w:tcBorders>
              <w:top w:val="nil"/>
              <w:left w:val="nil"/>
              <w:bottom w:val="nil"/>
              <w:right w:val="nil"/>
            </w:tcBorders>
            <w:shd w:val="clear" w:color="auto" w:fill="auto"/>
            <w:noWrap/>
            <w:vAlign w:val="bottom"/>
            <w:hideMark/>
          </w:tcPr>
          <w:p w14:paraId="72C5DB57"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Verejná správa spolu</w:t>
            </w:r>
          </w:p>
        </w:tc>
        <w:tc>
          <w:tcPr>
            <w:tcW w:w="561" w:type="pct"/>
            <w:tcBorders>
              <w:top w:val="nil"/>
              <w:left w:val="nil"/>
              <w:bottom w:val="nil"/>
              <w:right w:val="nil"/>
            </w:tcBorders>
            <w:shd w:val="clear" w:color="auto" w:fill="auto"/>
            <w:noWrap/>
            <w:vAlign w:val="bottom"/>
            <w:hideMark/>
          </w:tcPr>
          <w:p w14:paraId="2B7C8A46"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56 524 594</w:t>
            </w:r>
          </w:p>
        </w:tc>
        <w:tc>
          <w:tcPr>
            <w:tcW w:w="556" w:type="pct"/>
            <w:tcBorders>
              <w:top w:val="nil"/>
              <w:left w:val="nil"/>
              <w:bottom w:val="nil"/>
              <w:right w:val="nil"/>
            </w:tcBorders>
            <w:shd w:val="clear" w:color="auto" w:fill="auto"/>
            <w:noWrap/>
            <w:vAlign w:val="bottom"/>
            <w:hideMark/>
          </w:tcPr>
          <w:p w14:paraId="63D16809"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62 731 213</w:t>
            </w:r>
          </w:p>
        </w:tc>
        <w:tc>
          <w:tcPr>
            <w:tcW w:w="590" w:type="pct"/>
            <w:tcBorders>
              <w:top w:val="nil"/>
              <w:left w:val="nil"/>
              <w:bottom w:val="nil"/>
              <w:right w:val="nil"/>
            </w:tcBorders>
            <w:shd w:val="clear" w:color="auto" w:fill="auto"/>
            <w:noWrap/>
            <w:vAlign w:val="bottom"/>
            <w:hideMark/>
          </w:tcPr>
          <w:p w14:paraId="7390FB7B"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64 790 436</w:t>
            </w:r>
          </w:p>
        </w:tc>
        <w:tc>
          <w:tcPr>
            <w:tcW w:w="621" w:type="pct"/>
            <w:tcBorders>
              <w:top w:val="nil"/>
              <w:left w:val="nil"/>
              <w:bottom w:val="nil"/>
              <w:right w:val="nil"/>
            </w:tcBorders>
            <w:shd w:val="clear" w:color="auto" w:fill="auto"/>
            <w:noWrap/>
            <w:vAlign w:val="bottom"/>
            <w:hideMark/>
          </w:tcPr>
          <w:p w14:paraId="1C0C9233"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2 059 223</w:t>
            </w:r>
          </w:p>
        </w:tc>
      </w:tr>
      <w:tr w:rsidR="00DC0F15" w:rsidRPr="00DC0F15" w14:paraId="15B98E54" w14:textId="77777777" w:rsidTr="000B1F5C">
        <w:trPr>
          <w:trHeight w:val="260"/>
        </w:trPr>
        <w:tc>
          <w:tcPr>
            <w:tcW w:w="2673" w:type="pct"/>
            <w:tcBorders>
              <w:top w:val="nil"/>
              <w:left w:val="nil"/>
              <w:bottom w:val="nil"/>
              <w:right w:val="nil"/>
            </w:tcBorders>
            <w:shd w:val="clear" w:color="auto" w:fill="auto"/>
            <w:noWrap/>
            <w:vAlign w:val="bottom"/>
            <w:hideMark/>
          </w:tcPr>
          <w:p w14:paraId="34C47408" w14:textId="77777777" w:rsidR="00DC0F15" w:rsidRPr="00DC0F15" w:rsidRDefault="00DC0F15" w:rsidP="003C5653">
            <w:pPr>
              <w:spacing w:after="0" w:line="240" w:lineRule="auto"/>
              <w:ind w:firstLineChars="200" w:firstLine="400"/>
              <w:rPr>
                <w:i/>
                <w:iCs/>
                <w:sz w:val="20"/>
                <w:szCs w:val="20"/>
                <w:lang w:eastAsia="sk-SK"/>
              </w:rPr>
            </w:pPr>
            <w:r w:rsidRPr="00DC0F15">
              <w:rPr>
                <w:i/>
                <w:iCs/>
                <w:sz w:val="20"/>
                <w:szCs w:val="20"/>
                <w:lang w:eastAsia="sk-SK"/>
              </w:rPr>
              <w:t>Konsolidácia</w:t>
            </w:r>
          </w:p>
        </w:tc>
        <w:tc>
          <w:tcPr>
            <w:tcW w:w="561" w:type="pct"/>
            <w:tcBorders>
              <w:top w:val="nil"/>
              <w:left w:val="nil"/>
              <w:bottom w:val="nil"/>
              <w:right w:val="nil"/>
            </w:tcBorders>
            <w:shd w:val="clear" w:color="auto" w:fill="auto"/>
            <w:noWrap/>
            <w:vAlign w:val="bottom"/>
            <w:hideMark/>
          </w:tcPr>
          <w:p w14:paraId="6FA4334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1 531 715</w:t>
            </w:r>
          </w:p>
        </w:tc>
        <w:tc>
          <w:tcPr>
            <w:tcW w:w="556" w:type="pct"/>
            <w:tcBorders>
              <w:top w:val="nil"/>
              <w:left w:val="nil"/>
              <w:bottom w:val="nil"/>
              <w:right w:val="nil"/>
            </w:tcBorders>
            <w:shd w:val="clear" w:color="auto" w:fill="auto"/>
            <w:noWrap/>
            <w:vAlign w:val="bottom"/>
            <w:hideMark/>
          </w:tcPr>
          <w:p w14:paraId="09509CA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1 493 456</w:t>
            </w:r>
          </w:p>
        </w:tc>
        <w:tc>
          <w:tcPr>
            <w:tcW w:w="590" w:type="pct"/>
            <w:tcBorders>
              <w:top w:val="nil"/>
              <w:left w:val="nil"/>
              <w:bottom w:val="nil"/>
              <w:right w:val="nil"/>
            </w:tcBorders>
            <w:shd w:val="clear" w:color="auto" w:fill="auto"/>
            <w:noWrap/>
            <w:vAlign w:val="bottom"/>
            <w:hideMark/>
          </w:tcPr>
          <w:p w14:paraId="7496E61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1 412 462</w:t>
            </w:r>
          </w:p>
        </w:tc>
        <w:tc>
          <w:tcPr>
            <w:tcW w:w="621" w:type="pct"/>
            <w:tcBorders>
              <w:top w:val="nil"/>
              <w:left w:val="nil"/>
              <w:bottom w:val="nil"/>
              <w:right w:val="nil"/>
            </w:tcBorders>
            <w:shd w:val="clear" w:color="auto" w:fill="auto"/>
            <w:noWrap/>
            <w:vAlign w:val="bottom"/>
            <w:hideMark/>
          </w:tcPr>
          <w:p w14:paraId="5C070E39"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-80 994</w:t>
            </w:r>
          </w:p>
        </w:tc>
      </w:tr>
      <w:tr w:rsidR="00DC0F15" w:rsidRPr="00DC0F15" w14:paraId="26A3E8B2" w14:textId="77777777" w:rsidTr="000B1F5C">
        <w:trPr>
          <w:trHeight w:val="260"/>
        </w:trPr>
        <w:tc>
          <w:tcPr>
            <w:tcW w:w="2673" w:type="pct"/>
            <w:tcBorders>
              <w:top w:val="nil"/>
              <w:left w:val="nil"/>
              <w:bottom w:val="nil"/>
              <w:right w:val="nil"/>
            </w:tcBorders>
            <w:shd w:val="clear" w:color="auto" w:fill="auto"/>
            <w:noWrap/>
            <w:vAlign w:val="bottom"/>
            <w:hideMark/>
          </w:tcPr>
          <w:p w14:paraId="0A95FC65" w14:textId="77777777" w:rsidR="00DC0F15" w:rsidRPr="00DC0F15" w:rsidRDefault="00DC0F15" w:rsidP="003C5653">
            <w:pPr>
              <w:spacing w:after="0" w:line="240" w:lineRule="auto"/>
              <w:ind w:firstLineChars="200" w:firstLine="400"/>
              <w:rPr>
                <w:sz w:val="20"/>
                <w:szCs w:val="20"/>
                <w:lang w:eastAsia="sk-SK"/>
              </w:rPr>
            </w:pPr>
            <w:r w:rsidRPr="00DC0F15">
              <w:rPr>
                <w:sz w:val="20"/>
                <w:szCs w:val="20"/>
                <w:lang w:eastAsia="sk-SK"/>
              </w:rPr>
              <w:t>z toho: konsolidácia v skupine miestnej samosprávy</w:t>
            </w:r>
          </w:p>
        </w:tc>
        <w:tc>
          <w:tcPr>
            <w:tcW w:w="561" w:type="pct"/>
            <w:tcBorders>
              <w:top w:val="nil"/>
              <w:left w:val="nil"/>
              <w:bottom w:val="nil"/>
              <w:right w:val="nil"/>
            </w:tcBorders>
            <w:shd w:val="clear" w:color="auto" w:fill="auto"/>
            <w:noWrap/>
            <w:vAlign w:val="bottom"/>
            <w:hideMark/>
          </w:tcPr>
          <w:p w14:paraId="370053EF"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999 327</w:t>
            </w:r>
          </w:p>
        </w:tc>
        <w:tc>
          <w:tcPr>
            <w:tcW w:w="556" w:type="pct"/>
            <w:tcBorders>
              <w:top w:val="nil"/>
              <w:left w:val="nil"/>
              <w:bottom w:val="nil"/>
              <w:right w:val="nil"/>
            </w:tcBorders>
            <w:shd w:val="clear" w:color="auto" w:fill="auto"/>
            <w:noWrap/>
            <w:vAlign w:val="bottom"/>
            <w:hideMark/>
          </w:tcPr>
          <w:p w14:paraId="22A0B5DE"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1 041 193</w:t>
            </w:r>
          </w:p>
        </w:tc>
        <w:tc>
          <w:tcPr>
            <w:tcW w:w="590" w:type="pct"/>
            <w:tcBorders>
              <w:top w:val="nil"/>
              <w:left w:val="nil"/>
              <w:bottom w:val="nil"/>
              <w:right w:val="nil"/>
            </w:tcBorders>
            <w:shd w:val="clear" w:color="auto" w:fill="auto"/>
            <w:noWrap/>
            <w:vAlign w:val="bottom"/>
            <w:hideMark/>
          </w:tcPr>
          <w:p w14:paraId="0A6DC86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1 056 567</w:t>
            </w:r>
          </w:p>
        </w:tc>
        <w:tc>
          <w:tcPr>
            <w:tcW w:w="621" w:type="pct"/>
            <w:tcBorders>
              <w:top w:val="nil"/>
              <w:left w:val="nil"/>
              <w:bottom w:val="nil"/>
              <w:right w:val="nil"/>
            </w:tcBorders>
            <w:shd w:val="clear" w:color="auto" w:fill="auto"/>
            <w:noWrap/>
            <w:vAlign w:val="bottom"/>
            <w:hideMark/>
          </w:tcPr>
          <w:p w14:paraId="30AE37EA" w14:textId="77777777" w:rsidR="00DC0F15" w:rsidRPr="00DC0F15" w:rsidRDefault="00DC0F15" w:rsidP="003C5653">
            <w:pPr>
              <w:spacing w:after="0" w:line="240" w:lineRule="auto"/>
              <w:jc w:val="right"/>
              <w:rPr>
                <w:sz w:val="20"/>
                <w:szCs w:val="20"/>
                <w:lang w:eastAsia="sk-SK"/>
              </w:rPr>
            </w:pPr>
            <w:r w:rsidRPr="00DC0F15">
              <w:rPr>
                <w:sz w:val="20"/>
                <w:szCs w:val="20"/>
                <w:lang w:eastAsia="sk-SK"/>
              </w:rPr>
              <w:t>15 374</w:t>
            </w:r>
          </w:p>
        </w:tc>
      </w:tr>
      <w:tr w:rsidR="00DC0F15" w:rsidRPr="00DC0F15" w14:paraId="3AB2A082" w14:textId="77777777" w:rsidTr="000B1F5C">
        <w:trPr>
          <w:trHeight w:val="260"/>
        </w:trPr>
        <w:tc>
          <w:tcPr>
            <w:tcW w:w="2673" w:type="pct"/>
            <w:tcBorders>
              <w:top w:val="single" w:sz="4" w:space="0" w:color="auto"/>
              <w:left w:val="nil"/>
              <w:bottom w:val="nil"/>
              <w:right w:val="nil"/>
            </w:tcBorders>
            <w:shd w:val="clear" w:color="auto" w:fill="auto"/>
            <w:noWrap/>
            <w:vAlign w:val="bottom"/>
            <w:hideMark/>
          </w:tcPr>
          <w:p w14:paraId="7922C296" w14:textId="77777777" w:rsidR="00DC0F15" w:rsidRPr="00DC0F15" w:rsidRDefault="00DC0F15" w:rsidP="003C5653">
            <w:pPr>
              <w:spacing w:after="0" w:line="240" w:lineRule="auto"/>
              <w:rPr>
                <w:b/>
                <w:bCs/>
                <w:sz w:val="20"/>
                <w:szCs w:val="20"/>
                <w:lang w:eastAsia="sk-SK"/>
              </w:rPr>
            </w:pPr>
            <w:r w:rsidRPr="00DC0F15">
              <w:rPr>
                <w:b/>
                <w:bCs/>
                <w:sz w:val="20"/>
                <w:szCs w:val="20"/>
                <w:lang w:eastAsia="sk-SK"/>
              </w:rPr>
              <w:t>Verejná správa spolu konsolidovaná</w:t>
            </w:r>
          </w:p>
        </w:tc>
        <w:tc>
          <w:tcPr>
            <w:tcW w:w="561" w:type="pct"/>
            <w:tcBorders>
              <w:top w:val="single" w:sz="4" w:space="0" w:color="auto"/>
              <w:left w:val="nil"/>
              <w:bottom w:val="nil"/>
              <w:right w:val="nil"/>
            </w:tcBorders>
            <w:shd w:val="clear" w:color="auto" w:fill="auto"/>
            <w:noWrap/>
            <w:vAlign w:val="bottom"/>
            <w:hideMark/>
          </w:tcPr>
          <w:p w14:paraId="458FF119"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54 992 879</w:t>
            </w:r>
          </w:p>
        </w:tc>
        <w:tc>
          <w:tcPr>
            <w:tcW w:w="556" w:type="pct"/>
            <w:tcBorders>
              <w:top w:val="single" w:sz="4" w:space="0" w:color="auto"/>
              <w:left w:val="nil"/>
              <w:bottom w:val="nil"/>
              <w:right w:val="nil"/>
            </w:tcBorders>
            <w:shd w:val="clear" w:color="auto" w:fill="auto"/>
            <w:noWrap/>
            <w:vAlign w:val="bottom"/>
            <w:hideMark/>
          </w:tcPr>
          <w:p w14:paraId="3E21289E"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61 237 757</w:t>
            </w:r>
          </w:p>
        </w:tc>
        <w:tc>
          <w:tcPr>
            <w:tcW w:w="590" w:type="pct"/>
            <w:tcBorders>
              <w:top w:val="single" w:sz="4" w:space="0" w:color="auto"/>
              <w:left w:val="nil"/>
              <w:bottom w:val="nil"/>
              <w:right w:val="nil"/>
            </w:tcBorders>
            <w:shd w:val="clear" w:color="auto" w:fill="auto"/>
            <w:noWrap/>
            <w:vAlign w:val="bottom"/>
            <w:hideMark/>
          </w:tcPr>
          <w:p w14:paraId="19201BC1"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63 377 974</w:t>
            </w:r>
          </w:p>
        </w:tc>
        <w:tc>
          <w:tcPr>
            <w:tcW w:w="621" w:type="pct"/>
            <w:tcBorders>
              <w:top w:val="single" w:sz="4" w:space="0" w:color="auto"/>
              <w:left w:val="nil"/>
              <w:bottom w:val="nil"/>
              <w:right w:val="nil"/>
            </w:tcBorders>
            <w:shd w:val="clear" w:color="auto" w:fill="auto"/>
            <w:noWrap/>
            <w:vAlign w:val="bottom"/>
            <w:hideMark/>
          </w:tcPr>
          <w:p w14:paraId="7FD5733B"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2 140 217</w:t>
            </w:r>
          </w:p>
        </w:tc>
      </w:tr>
      <w:tr w:rsidR="00DC0F15" w:rsidRPr="00DC0F15" w14:paraId="62775A81" w14:textId="77777777" w:rsidTr="000B1F5C">
        <w:trPr>
          <w:trHeight w:val="260"/>
        </w:trPr>
        <w:tc>
          <w:tcPr>
            <w:tcW w:w="2673" w:type="pct"/>
            <w:tcBorders>
              <w:top w:val="nil"/>
              <w:left w:val="nil"/>
              <w:bottom w:val="single" w:sz="4" w:space="0" w:color="auto"/>
              <w:right w:val="nil"/>
            </w:tcBorders>
            <w:shd w:val="clear" w:color="auto" w:fill="auto"/>
            <w:noWrap/>
            <w:vAlign w:val="bottom"/>
            <w:hideMark/>
          </w:tcPr>
          <w:p w14:paraId="71C481A7" w14:textId="77777777" w:rsidR="00DC0F15" w:rsidRPr="00DC0F15" w:rsidRDefault="00DC0F15" w:rsidP="003C5653">
            <w:pPr>
              <w:spacing w:after="0" w:line="240" w:lineRule="auto"/>
              <w:ind w:firstLineChars="200" w:firstLine="400"/>
              <w:rPr>
                <w:b/>
                <w:bCs/>
                <w:sz w:val="20"/>
                <w:szCs w:val="20"/>
                <w:lang w:eastAsia="sk-SK"/>
              </w:rPr>
            </w:pPr>
            <w:r w:rsidRPr="00DC0F15">
              <w:rPr>
                <w:b/>
                <w:bCs/>
                <w:sz w:val="20"/>
                <w:szCs w:val="20"/>
                <w:lang w:eastAsia="sk-SK"/>
              </w:rPr>
              <w:t>% z HDP</w:t>
            </w:r>
          </w:p>
        </w:tc>
        <w:tc>
          <w:tcPr>
            <w:tcW w:w="561" w:type="pct"/>
            <w:tcBorders>
              <w:top w:val="nil"/>
              <w:left w:val="nil"/>
              <w:bottom w:val="single" w:sz="4" w:space="0" w:color="auto"/>
              <w:right w:val="nil"/>
            </w:tcBorders>
            <w:shd w:val="clear" w:color="auto" w:fill="auto"/>
            <w:noWrap/>
            <w:vAlign w:val="bottom"/>
            <w:hideMark/>
          </w:tcPr>
          <w:p w14:paraId="1AAEC920"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58,9</w:t>
            </w:r>
          </w:p>
        </w:tc>
        <w:tc>
          <w:tcPr>
            <w:tcW w:w="556" w:type="pct"/>
            <w:tcBorders>
              <w:top w:val="nil"/>
              <w:left w:val="nil"/>
              <w:bottom w:val="single" w:sz="4" w:space="0" w:color="auto"/>
              <w:right w:val="nil"/>
            </w:tcBorders>
            <w:shd w:val="clear" w:color="auto" w:fill="auto"/>
            <w:noWrap/>
            <w:vAlign w:val="bottom"/>
            <w:hideMark/>
          </w:tcPr>
          <w:p w14:paraId="3E668201"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61,1</w:t>
            </w:r>
          </w:p>
        </w:tc>
        <w:tc>
          <w:tcPr>
            <w:tcW w:w="590" w:type="pct"/>
            <w:tcBorders>
              <w:top w:val="nil"/>
              <w:left w:val="nil"/>
              <w:bottom w:val="single" w:sz="4" w:space="0" w:color="auto"/>
              <w:right w:val="nil"/>
            </w:tcBorders>
            <w:shd w:val="clear" w:color="auto" w:fill="auto"/>
            <w:noWrap/>
            <w:vAlign w:val="bottom"/>
            <w:hideMark/>
          </w:tcPr>
          <w:p w14:paraId="7D962EBC"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57,8</w:t>
            </w:r>
          </w:p>
        </w:tc>
        <w:tc>
          <w:tcPr>
            <w:tcW w:w="621" w:type="pct"/>
            <w:tcBorders>
              <w:top w:val="nil"/>
              <w:left w:val="nil"/>
              <w:bottom w:val="single" w:sz="4" w:space="0" w:color="auto"/>
              <w:right w:val="nil"/>
            </w:tcBorders>
            <w:shd w:val="clear" w:color="auto" w:fill="auto"/>
            <w:noWrap/>
            <w:vAlign w:val="bottom"/>
            <w:hideMark/>
          </w:tcPr>
          <w:p w14:paraId="058BE25A" w14:textId="77777777" w:rsidR="00DC0F15" w:rsidRPr="00DC0F15" w:rsidRDefault="00DC0F15" w:rsidP="003C5653">
            <w:pPr>
              <w:spacing w:after="0" w:line="240" w:lineRule="auto"/>
              <w:jc w:val="right"/>
              <w:rPr>
                <w:b/>
                <w:bCs/>
                <w:sz w:val="20"/>
                <w:szCs w:val="20"/>
                <w:lang w:eastAsia="sk-SK"/>
              </w:rPr>
            </w:pPr>
            <w:r w:rsidRPr="00DC0F15">
              <w:rPr>
                <w:b/>
                <w:bCs/>
                <w:sz w:val="20"/>
                <w:szCs w:val="20"/>
                <w:lang w:eastAsia="sk-SK"/>
              </w:rPr>
              <w:t>-3,3</w:t>
            </w:r>
          </w:p>
        </w:tc>
      </w:tr>
    </w:tbl>
    <w:p w14:paraId="17D7EF77" w14:textId="77777777" w:rsidR="00DC0F15" w:rsidRPr="00DC0F15" w:rsidRDefault="00DC0F15" w:rsidP="00DC0F15">
      <w:pPr>
        <w:spacing w:after="120" w:line="240" w:lineRule="auto"/>
        <w:ind w:right="-284"/>
        <w:jc w:val="both"/>
        <w:rPr>
          <w:sz w:val="16"/>
          <w:szCs w:val="16"/>
          <w:lang w:eastAsia="sk-SK"/>
        </w:rPr>
      </w:pPr>
      <w:r w:rsidRPr="00DC0F15">
        <w:rPr>
          <w:color w:val="000000"/>
          <w:sz w:val="16"/>
          <w:szCs w:val="16"/>
          <w:vertAlign w:val="superscript"/>
          <w:lang w:eastAsia="sk-SK"/>
        </w:rPr>
        <w:t xml:space="preserve">1) </w:t>
      </w:r>
      <w:r w:rsidRPr="00DC0F15">
        <w:rPr>
          <w:color w:val="000000"/>
          <w:sz w:val="16"/>
          <w:szCs w:val="16"/>
          <w:lang w:eastAsia="sk-SK"/>
        </w:rPr>
        <w:t>Bez tzv. refinančného systému a záväzkov z vkladov subjektov verejnej správy v Štátnej pokladnici</w:t>
      </w:r>
      <w:r w:rsidRPr="00DC0F15">
        <w:rPr>
          <w:color w:val="000000"/>
          <w:sz w:val="16"/>
          <w:szCs w:val="16"/>
          <w:lang w:eastAsia="sk-SK"/>
        </w:rPr>
        <w:tab/>
      </w:r>
      <w:r w:rsidRPr="00DC0F15">
        <w:rPr>
          <w:color w:val="000000"/>
          <w:sz w:val="16"/>
          <w:szCs w:val="16"/>
          <w:lang w:eastAsia="sk-SK"/>
        </w:rPr>
        <w:tab/>
        <w:t xml:space="preserve">          </w:t>
      </w:r>
      <w:r w:rsidRPr="00DC0F15">
        <w:rPr>
          <w:sz w:val="16"/>
          <w:szCs w:val="16"/>
          <w:lang w:eastAsia="sk-SK"/>
        </w:rPr>
        <w:t>Zdroj: MF SR</w:t>
      </w:r>
    </w:p>
    <w:p w14:paraId="520A7196" w14:textId="77777777" w:rsidR="00DC0F15" w:rsidRPr="005C0165" w:rsidRDefault="00DC0F15" w:rsidP="000B1F5C">
      <w:pPr>
        <w:keepNext/>
        <w:spacing w:before="120" w:after="0" w:line="240" w:lineRule="auto"/>
        <w:contextualSpacing/>
        <w:jc w:val="both"/>
        <w:rPr>
          <w:szCs w:val="22"/>
        </w:rPr>
      </w:pPr>
      <w:r w:rsidRPr="005C0165">
        <w:rPr>
          <w:b/>
          <w:szCs w:val="22"/>
        </w:rPr>
        <w:t xml:space="preserve">Na zvýšení </w:t>
      </w:r>
      <w:r w:rsidRPr="005C0165">
        <w:rPr>
          <w:szCs w:val="22"/>
        </w:rPr>
        <w:t>maastrichtského dlhu v roku 2022 mali vplyv najmä tieto skutočnosti:</w:t>
      </w:r>
    </w:p>
    <w:p w14:paraId="75B45AA9" w14:textId="77777777" w:rsidR="00DC0F15" w:rsidRPr="005C0165" w:rsidRDefault="00DC0F15" w:rsidP="00DC0F15">
      <w:pPr>
        <w:numPr>
          <w:ilvl w:val="0"/>
          <w:numId w:val="9"/>
        </w:numPr>
        <w:spacing w:after="120" w:line="240" w:lineRule="auto"/>
        <w:contextualSpacing/>
        <w:jc w:val="both"/>
        <w:rPr>
          <w:szCs w:val="22"/>
        </w:rPr>
      </w:pPr>
      <w:r w:rsidRPr="005C0165">
        <w:rPr>
          <w:szCs w:val="22"/>
        </w:rPr>
        <w:t>schodok štátneho rozpočtu na hotovostnej báze a ďalšie požiadavky na cudzie zdroje vyplývajúce z riadenia dlhu a likvidity, ktoré vyvolali potrebu emitovať štátne dlhopisy v menovitej hodnote 5 215 000 tis. eur,</w:t>
      </w:r>
    </w:p>
    <w:p w14:paraId="2306F710" w14:textId="77777777" w:rsidR="00DC0F15" w:rsidRPr="005C0165" w:rsidRDefault="00DC0F15" w:rsidP="00DC0F15">
      <w:pPr>
        <w:numPr>
          <w:ilvl w:val="0"/>
          <w:numId w:val="9"/>
        </w:numPr>
        <w:spacing w:after="120" w:line="240" w:lineRule="auto"/>
        <w:contextualSpacing/>
        <w:jc w:val="both"/>
        <w:rPr>
          <w:szCs w:val="22"/>
        </w:rPr>
      </w:pPr>
      <w:r w:rsidRPr="005C0165">
        <w:rPr>
          <w:szCs w:val="22"/>
        </w:rPr>
        <w:t xml:space="preserve">čerpanie štvrtej </w:t>
      </w:r>
      <w:proofErr w:type="spellStart"/>
      <w:r w:rsidRPr="005C0165">
        <w:rPr>
          <w:szCs w:val="22"/>
        </w:rPr>
        <w:t>tranže</w:t>
      </w:r>
      <w:proofErr w:type="spellEnd"/>
      <w:r w:rsidRPr="005C0165">
        <w:rPr>
          <w:szCs w:val="22"/>
        </w:rPr>
        <w:t xml:space="preserve"> úverov od Európskej investičnej banky vo výške 100 000 tis. eur v rámci štátneho dlhu,</w:t>
      </w:r>
    </w:p>
    <w:p w14:paraId="5D40E96B" w14:textId="77777777" w:rsidR="00DC0F15" w:rsidRPr="005C0165" w:rsidRDefault="00DC0F15" w:rsidP="00DC0F15">
      <w:pPr>
        <w:keepNext/>
        <w:numPr>
          <w:ilvl w:val="0"/>
          <w:numId w:val="9"/>
        </w:numPr>
        <w:spacing w:after="120" w:line="240" w:lineRule="auto"/>
        <w:ind w:left="357" w:hanging="357"/>
        <w:contextualSpacing/>
        <w:jc w:val="both"/>
        <w:rPr>
          <w:szCs w:val="22"/>
        </w:rPr>
      </w:pPr>
      <w:r w:rsidRPr="005C0165">
        <w:rPr>
          <w:szCs w:val="22"/>
        </w:rPr>
        <w:t>nárast konsolidovaného dlhu obcí o 114 621 tis. eur a vyšších územných celkov o 34 354 tis. eur,</w:t>
      </w:r>
    </w:p>
    <w:p w14:paraId="1E478816" w14:textId="77777777" w:rsidR="00DC0F15" w:rsidRPr="005C0165" w:rsidRDefault="00DC0F15" w:rsidP="00DC0F15">
      <w:pPr>
        <w:keepNext/>
        <w:numPr>
          <w:ilvl w:val="0"/>
          <w:numId w:val="9"/>
        </w:numPr>
        <w:spacing w:after="120" w:line="240" w:lineRule="auto"/>
        <w:ind w:left="357" w:hanging="357"/>
        <w:contextualSpacing/>
        <w:jc w:val="both"/>
        <w:rPr>
          <w:szCs w:val="22"/>
        </w:rPr>
      </w:pPr>
      <w:r w:rsidRPr="005C0165">
        <w:rPr>
          <w:szCs w:val="22"/>
        </w:rPr>
        <w:t>zvýšenie dlhu dopravných podnikov o 41 473 tis. eur,</w:t>
      </w:r>
    </w:p>
    <w:p w14:paraId="393C8225" w14:textId="77777777" w:rsidR="00DC0F15" w:rsidRPr="005C0165" w:rsidRDefault="00DC0F15" w:rsidP="00DC0F15">
      <w:pPr>
        <w:numPr>
          <w:ilvl w:val="0"/>
          <w:numId w:val="9"/>
        </w:numPr>
        <w:spacing w:after="120" w:line="240" w:lineRule="auto"/>
        <w:contextualSpacing/>
        <w:jc w:val="both"/>
        <w:rPr>
          <w:szCs w:val="22"/>
        </w:rPr>
      </w:pPr>
      <w:r w:rsidRPr="005C0165">
        <w:rPr>
          <w:szCs w:val="22"/>
        </w:rPr>
        <w:t>zvýšenie dlhu ostatných subjektov ústrednej správy o 15 098 tis. eur spôsobené najmä nárastom zadlženosti novo-zaradeného Slovenského vodohospodárskeho podniku, š. p.,</w:t>
      </w:r>
    </w:p>
    <w:p w14:paraId="61598A39" w14:textId="77777777" w:rsidR="00DC0F15" w:rsidRPr="005C0165" w:rsidRDefault="00DC0F15" w:rsidP="00DC0F15">
      <w:pPr>
        <w:numPr>
          <w:ilvl w:val="0"/>
          <w:numId w:val="9"/>
        </w:numPr>
        <w:spacing w:after="120" w:line="240" w:lineRule="auto"/>
        <w:contextualSpacing/>
        <w:jc w:val="both"/>
        <w:rPr>
          <w:szCs w:val="22"/>
        </w:rPr>
      </w:pPr>
      <w:r w:rsidRPr="005C0165">
        <w:rPr>
          <w:szCs w:val="22"/>
        </w:rPr>
        <w:t>zvýšenie dlhu Exportno-importnej banky SR o 14 435 tis. eur,</w:t>
      </w:r>
    </w:p>
    <w:p w14:paraId="4318A32B" w14:textId="77777777" w:rsidR="00DC0F15" w:rsidRPr="005C0165" w:rsidRDefault="00DC0F15" w:rsidP="00DC0F15">
      <w:pPr>
        <w:numPr>
          <w:ilvl w:val="0"/>
          <w:numId w:val="9"/>
        </w:numPr>
        <w:spacing w:after="120" w:line="240" w:lineRule="auto"/>
        <w:contextualSpacing/>
        <w:jc w:val="both"/>
        <w:rPr>
          <w:szCs w:val="22"/>
        </w:rPr>
      </w:pPr>
      <w:r w:rsidRPr="005C0165">
        <w:rPr>
          <w:szCs w:val="22"/>
        </w:rPr>
        <w:t>nárast konsolidovaného dlhu verejných vysokých škôl o 4 472 tis. eur.</w:t>
      </w:r>
    </w:p>
    <w:p w14:paraId="23388921" w14:textId="77777777" w:rsidR="00DC0F15" w:rsidRPr="005C0165" w:rsidRDefault="00DC0F15" w:rsidP="00DC0F15">
      <w:pPr>
        <w:spacing w:after="0" w:line="240" w:lineRule="auto"/>
        <w:jc w:val="both"/>
        <w:rPr>
          <w:szCs w:val="22"/>
        </w:rPr>
      </w:pPr>
      <w:r w:rsidRPr="005C0165">
        <w:rPr>
          <w:szCs w:val="22"/>
        </w:rPr>
        <w:t>Naopak</w:t>
      </w:r>
      <w:r w:rsidRPr="005C0165">
        <w:rPr>
          <w:b/>
          <w:szCs w:val="22"/>
        </w:rPr>
        <w:t>, zníženie</w:t>
      </w:r>
      <w:r w:rsidRPr="005C0165">
        <w:rPr>
          <w:szCs w:val="22"/>
        </w:rPr>
        <w:t xml:space="preserve"> maastrichtského dlhu v roku 2022 spôsobili najmä tieto skutočnosti:</w:t>
      </w:r>
    </w:p>
    <w:p w14:paraId="4AF18F07"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lastRenderedPageBreak/>
        <w:t>pokles úrovne vkladov dobrovoľných klientov nepatriacich do sektora verejnej správy v Štátnej pokladnici o 1 666 229 tis. eur,</w:t>
      </w:r>
    </w:p>
    <w:p w14:paraId="3008E9CB"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splátky záväzkov zo štátnych pokladničných poukážok v menovitej hodnote 1 403 771 tis. eur,</w:t>
      </w:r>
    </w:p>
    <w:p w14:paraId="60FDD9F3"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zníženie úrovne zábezpek v štátnom dlhu o 117 665 tis. eur,</w:t>
      </w:r>
    </w:p>
    <w:p w14:paraId="059F2AE1"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splátky úverov v štátnom dlhu v hodnote 9 870 tis. eur,</w:t>
      </w:r>
    </w:p>
    <w:p w14:paraId="463CA6EC"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pokles zadlženosti Železničnej spoločnosti Slovensko, a. s. o 51 297 tis. eur,</w:t>
      </w:r>
    </w:p>
    <w:p w14:paraId="1FDC7385"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zníženie dlhu Národnej diaľničnej spoločnosti, a. s. o 29 442 tis. eur,</w:t>
      </w:r>
    </w:p>
    <w:p w14:paraId="6748693D"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pokles konsolidovaného dlhu zdravotníckych zariadení spadajúcich pod ústrednú správu o 18 149 tis. eur,</w:t>
      </w:r>
    </w:p>
    <w:p w14:paraId="5FFA44A4"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zníženie konsolidovaného dlhu Železníc Slovenskej republiky o 10 988 tis. eur.</w:t>
      </w:r>
    </w:p>
    <w:p w14:paraId="1F282E9B" w14:textId="77777777" w:rsidR="00DC0F15" w:rsidRPr="005C0165" w:rsidRDefault="00DC0F15" w:rsidP="00DC0F15">
      <w:pPr>
        <w:pStyle w:val="Odsekzoznamu"/>
        <w:numPr>
          <w:ilvl w:val="0"/>
          <w:numId w:val="20"/>
        </w:numPr>
        <w:ind w:left="426" w:hanging="426"/>
        <w:jc w:val="both"/>
        <w:rPr>
          <w:rFonts w:cs="Times New Roman"/>
        </w:rPr>
      </w:pPr>
      <w:r w:rsidRPr="005C0165">
        <w:rPr>
          <w:rFonts w:cs="Times New Roman"/>
        </w:rPr>
        <w:t>nárast konsolidovaného dlhu verejných vysokých škôl o 4 172 tis. eur.</w:t>
      </w:r>
    </w:p>
    <w:p w14:paraId="6390C0C8" w14:textId="77777777" w:rsidR="00DC0F15" w:rsidRPr="00DC0F15" w:rsidRDefault="00DC0F15" w:rsidP="00DC0F15">
      <w:pPr>
        <w:pStyle w:val="Odsekzoznamu"/>
        <w:ind w:left="426"/>
        <w:jc w:val="both"/>
        <w:rPr>
          <w:rFonts w:cs="Times New Roman"/>
        </w:rPr>
      </w:pPr>
    </w:p>
    <w:p w14:paraId="434095A4" w14:textId="138490FD" w:rsidR="00DC0F15" w:rsidRPr="005C0165" w:rsidRDefault="00DC0F15" w:rsidP="00DC0F15">
      <w:pPr>
        <w:jc w:val="both"/>
        <w:rPr>
          <w:szCs w:val="22"/>
        </w:rPr>
      </w:pPr>
      <w:r w:rsidRPr="005C0165">
        <w:rPr>
          <w:szCs w:val="22"/>
        </w:rPr>
        <w:t>V roku 2022 najviac prispel k nárastu dlhu hotovostný schodok štátneho rozpočtu vo výške 4 524 852 tis. eur, ktorý medziročne klesol o</w:t>
      </w:r>
      <w:r w:rsidR="00042DE4" w:rsidRPr="005C0165">
        <w:rPr>
          <w:szCs w:val="22"/>
        </w:rPr>
        <w:t> 2 489 275 </w:t>
      </w:r>
      <w:r w:rsidRPr="005C0165">
        <w:rPr>
          <w:szCs w:val="22"/>
        </w:rPr>
        <w:t>tis. eur</w:t>
      </w:r>
      <w:r w:rsidRPr="005C0165">
        <w:rPr>
          <w:rStyle w:val="Odkaznapoznmkupodiarou"/>
          <w:szCs w:val="22"/>
        </w:rPr>
        <w:footnoteReference w:id="15"/>
      </w:r>
      <w:r w:rsidRPr="005C0165">
        <w:rPr>
          <w:szCs w:val="22"/>
        </w:rPr>
        <w:t>.</w:t>
      </w:r>
    </w:p>
    <w:p w14:paraId="1FB99E61" w14:textId="77777777" w:rsidR="00DC0F15" w:rsidRPr="005C0165" w:rsidRDefault="00DC0F15" w:rsidP="00DC0F15">
      <w:pPr>
        <w:spacing w:after="120" w:line="240" w:lineRule="auto"/>
        <w:jc w:val="both"/>
        <w:rPr>
          <w:szCs w:val="22"/>
        </w:rPr>
      </w:pPr>
      <w:r w:rsidRPr="005C0165">
        <w:rPr>
          <w:szCs w:val="22"/>
        </w:rPr>
        <w:t>Štátny dlh vo výške </w:t>
      </w:r>
      <w:r w:rsidRPr="005C0165">
        <w:rPr>
          <w:szCs w:val="22"/>
          <w:lang w:eastAsia="sk-SK"/>
        </w:rPr>
        <w:t>61 204 864 tis. eur</w:t>
      </w:r>
      <w:r w:rsidRPr="005C0165">
        <w:rPr>
          <w:szCs w:val="22"/>
        </w:rPr>
        <w:t xml:space="preserve"> tvorí 96,6 % konsolidovaného dlhu verejnej správy. Z tejto hodnoty tvoria štátne dlhopisy 54 811 293 tis. eur, zahraničné úvery od finančných inštitúcií, ktorých beneficientom je Ministerstvo financií SR 4 013 241 tis. eur. Podiel Slovenska na pôžičkách Európskeho nástroja finančnej stability (EFSF) zostáva na úrovni 1 859 323 tis. eur ako v predchádzajúcom roku.</w:t>
      </w:r>
    </w:p>
    <w:p w14:paraId="2EFDB4FF" w14:textId="77777777" w:rsidR="00DC0F15" w:rsidRPr="005C0165" w:rsidRDefault="00DC0F15" w:rsidP="00DC0F15">
      <w:pPr>
        <w:spacing w:after="120" w:line="240" w:lineRule="auto"/>
        <w:jc w:val="both"/>
        <w:rPr>
          <w:szCs w:val="22"/>
        </w:rPr>
      </w:pPr>
      <w:r w:rsidRPr="005C0165">
        <w:rPr>
          <w:szCs w:val="22"/>
        </w:rPr>
        <w:t>Do štátneho dlhu za rok 2022 bol už pri jarnej notifikácii zahrnutý vplyv schémy podpory zelenej energie. Rozdiel medzi vyzbieranými poplatkami od spotrebiteľov elektrickej energie, ktoré sú zakomponované v cene elektriny, a subvenciami platenými výrobcom zelenej elektriny, predstavuje dlhový záväzok vlády. Výška záväzku nebola v porovnaní s jarnou notifikáciu revidovaná, zostáva na úrovni 119 000 tis. eur, čo znamená medziročný pokles o 90 938 tis. eur.</w:t>
      </w:r>
    </w:p>
    <w:p w14:paraId="10C056E2" w14:textId="77777777" w:rsidR="00DC0F15" w:rsidRPr="00DC0F15" w:rsidRDefault="00DC0F15" w:rsidP="00DC0F15">
      <w:pPr>
        <w:spacing w:after="120" w:line="240" w:lineRule="auto"/>
        <w:jc w:val="both"/>
        <w:rPr>
          <w:b/>
          <w:color w:val="4F81BD" w:themeColor="accent1"/>
          <w:szCs w:val="22"/>
        </w:rPr>
      </w:pPr>
      <w:r w:rsidRPr="00DC0F15">
        <w:rPr>
          <w:b/>
          <w:color w:val="4F81BD" w:themeColor="accent1"/>
          <w:szCs w:val="22"/>
        </w:rPr>
        <w:t>Štruktúra dlhu verejnej správy k 31.12.2022 bola nasledovná:</w:t>
      </w:r>
    </w:p>
    <w:p w14:paraId="3DD1D2A6" w14:textId="77777777" w:rsidR="00DC0F15" w:rsidRPr="00DC0F15" w:rsidRDefault="00DC0F15" w:rsidP="00DC0F15">
      <w:pPr>
        <w:pStyle w:val="Odsekzoznamu"/>
        <w:numPr>
          <w:ilvl w:val="0"/>
          <w:numId w:val="9"/>
        </w:numPr>
        <w:ind w:left="357" w:hanging="357"/>
        <w:jc w:val="both"/>
        <w:rPr>
          <w:rFonts w:cs="Times New Roman"/>
        </w:rPr>
      </w:pPr>
      <w:r w:rsidRPr="00DC0F15">
        <w:rPr>
          <w:rFonts w:cs="Times New Roman"/>
        </w:rPr>
        <w:t>Z hľadiska zdrojov financovania bol dlh financovaný predovšetkým cennými papiermi (86,5 %) a bankovými úvermi a inými záväzkami (13,2 %), z ktorých 22,3 % predstavuje záväzok Slovenska z EFSF, 1,4 % tvorí zelená energia a 1,0 % tvoria dlhodobé záväzky z obchodného styku a prijaté preddavky. Zostávajúcich 0,3 % tvorili majoritne záväzky, ktoré vyplývajú z vkladov peňažných prostriedkov v Štátnej pokladnici tých klientov, ktorí nie sú súčasťou verejnej správy.</w:t>
      </w:r>
    </w:p>
    <w:p w14:paraId="358B0D23" w14:textId="77777777" w:rsidR="00DC0F15" w:rsidRPr="00DC0F15" w:rsidRDefault="00DC0F15" w:rsidP="00DC0F15">
      <w:pPr>
        <w:pStyle w:val="Odsekzoznamu"/>
        <w:numPr>
          <w:ilvl w:val="0"/>
          <w:numId w:val="9"/>
        </w:numPr>
        <w:jc w:val="both"/>
        <w:rPr>
          <w:rFonts w:cs="Times New Roman"/>
        </w:rPr>
      </w:pPr>
      <w:r w:rsidRPr="00DC0F15">
        <w:rPr>
          <w:rFonts w:cs="Times New Roman"/>
        </w:rPr>
        <w:t>Z hľadiska meny bol dlh verejnej správy v roku 2022 tvorený z 99,1 % dlhom v eurách. Len 0,9 % dlhu pripadá na iné meny, najmä v prípade štátnych dlhopisov (americké doláre, nórske koruny, švajčiarske franky a japonské jeny).</w:t>
      </w:r>
    </w:p>
    <w:p w14:paraId="3283C198" w14:textId="77777777" w:rsidR="00DC0F15" w:rsidRPr="00DC0F15" w:rsidRDefault="00DC0F15" w:rsidP="00DC0F15">
      <w:pPr>
        <w:pStyle w:val="Odsekzoznamu"/>
        <w:numPr>
          <w:ilvl w:val="0"/>
          <w:numId w:val="9"/>
        </w:numPr>
        <w:jc w:val="both"/>
        <w:rPr>
          <w:rFonts w:cs="Times New Roman"/>
        </w:rPr>
      </w:pPr>
      <w:r w:rsidRPr="00DC0F15">
        <w:rPr>
          <w:rFonts w:cs="Times New Roman"/>
        </w:rPr>
        <w:t>Z hľadiska pôvodnej splatnosti je dlh verejnej správy takmer výlučne dlhodobý. Z celkovej výšky dlhu tvorí dlh so splatnosťou dlhšou ako jeden rok 99,3 %. Z toho 3,7 % dlhu je splatných v rozpätí 1 až 5 rokov, 12,4 % dlhu je splatných od 5 do 10 rokov, 37,0 % dlhu je splatných v intervale od 10 do 15 rokov a splatnosť 46,2 % dlhu je vyššia ako 15 rokov. Do jedného roka je pôvodne splatných 0,7 % dlhu verejnej správy.</w:t>
      </w:r>
    </w:p>
    <w:p w14:paraId="03A6C1CF" w14:textId="77777777" w:rsidR="00DC0F15" w:rsidRPr="00DC0F15" w:rsidRDefault="00DC0F15" w:rsidP="00DC0F15">
      <w:pPr>
        <w:pStyle w:val="Odsekzoznamu"/>
        <w:numPr>
          <w:ilvl w:val="0"/>
          <w:numId w:val="9"/>
        </w:numPr>
        <w:spacing w:after="120"/>
        <w:ind w:left="357" w:hanging="357"/>
        <w:jc w:val="both"/>
        <w:rPr>
          <w:rFonts w:cs="Times New Roman"/>
        </w:rPr>
      </w:pPr>
      <w:r w:rsidRPr="00DC0F15">
        <w:rPr>
          <w:rFonts w:cs="Times New Roman"/>
        </w:rPr>
        <w:t>Z hľadiska teritoriálnej štruktúry pripadalo na tuzemských veriteľov 52,0 % a na zahraničných veriteľov 48,0 % z celkového dlhu. Tuzemskými veriteľmi sú predovšetkým finančné korporácie, ktoré majú v držbe 51,0 % dlhu subjektov verejnej správy.</w:t>
      </w:r>
    </w:p>
    <w:p w14:paraId="2F65D0A8" w14:textId="57860EFD" w:rsidR="005E1070" w:rsidRDefault="00DC0F15" w:rsidP="00DC0F15">
      <w:pPr>
        <w:spacing w:after="0" w:line="240" w:lineRule="auto"/>
        <w:jc w:val="both"/>
      </w:pPr>
      <w:r w:rsidRPr="00DC0F15">
        <w:t>Ďalšie informácie k zahraničným úverom v správe Ministerstva financií SR ako aj k úverom niektorých subjektov verejnej správy sú uvedené v prílohe č. 3 tejto správy, v súhrnnej účtovnej závierke.</w:t>
      </w:r>
    </w:p>
    <w:p w14:paraId="4CF9E9EF" w14:textId="77777777" w:rsidR="005E1070" w:rsidRDefault="005E1070">
      <w:r>
        <w:br w:type="page"/>
      </w:r>
    </w:p>
    <w:p w14:paraId="7002882F" w14:textId="77777777" w:rsidR="00DC0F15" w:rsidRPr="00DC0F15" w:rsidRDefault="00DC0F15" w:rsidP="00DC0F15">
      <w:pPr>
        <w:pStyle w:val="Nadpis2"/>
        <w:numPr>
          <w:ilvl w:val="0"/>
          <w:numId w:val="0"/>
        </w:numPr>
        <w:spacing w:after="120"/>
        <w:ind w:left="896"/>
      </w:pPr>
      <w:bookmarkStart w:id="20" w:name="_Toc117251102"/>
      <w:bookmarkStart w:id="21" w:name="_Toc148704466"/>
      <w:r w:rsidRPr="00DC0F15">
        <w:lastRenderedPageBreak/>
        <w:t>1.4.</w:t>
      </w:r>
      <w:r w:rsidRPr="00DC0F15">
        <w:tab/>
        <w:t>Čistý dlh verejnej správy</w:t>
      </w:r>
      <w:bookmarkEnd w:id="20"/>
      <w:bookmarkEnd w:id="21"/>
    </w:p>
    <w:p w14:paraId="26AAA0CD" w14:textId="77777777" w:rsidR="005C0165" w:rsidRDefault="00DC0F15" w:rsidP="005C0165">
      <w:pPr>
        <w:spacing w:after="0" w:line="240" w:lineRule="auto"/>
        <w:jc w:val="both"/>
        <w:rPr>
          <w:szCs w:val="22"/>
        </w:rPr>
      </w:pPr>
      <w:r w:rsidRPr="00DC0F15">
        <w:rPr>
          <w:szCs w:val="22"/>
        </w:rPr>
        <w:t>Pokým hrubý dlh dosiahol k 31.12.2022 hodnotu 57,8 % HDP a medziročne klesol o 3,3 p. b.,</w:t>
      </w:r>
      <w:r w:rsidRPr="00DC0F15">
        <w:rPr>
          <w:color w:val="4F81BD" w:themeColor="accent1"/>
          <w:szCs w:val="22"/>
        </w:rPr>
        <w:t xml:space="preserve"> </w:t>
      </w:r>
      <w:r w:rsidR="00042DE4" w:rsidRPr="00042DE4">
        <w:rPr>
          <w:b/>
          <w:color w:val="4F81BD" w:themeColor="accent1"/>
          <w:szCs w:val="22"/>
        </w:rPr>
        <w:t xml:space="preserve">čistý dlh dosiahol k 31.12.2022 výšku 52 242 374 tis. eur (47,6 % HDP) a oproti roku 2021 klesol o 2,0 p. b. </w:t>
      </w:r>
      <w:r w:rsidRPr="00DC0F15">
        <w:rPr>
          <w:szCs w:val="22"/>
        </w:rPr>
        <w:t>Čistý dlh verejnej správy je analyticky vhodnejší ukazovateľ ako hrubý dlh pri pohľade na medziročnú dynamiku dlhu, pretože na rozdiel od ukazovateľa hrubého dlhu eliminuje rozdiely vzniknuté nárastom alebo poklesom finančných aktív a tým vernejšie zobrazuje sku</w:t>
      </w:r>
      <w:r w:rsidR="005C0165">
        <w:rPr>
          <w:szCs w:val="22"/>
        </w:rPr>
        <w:t xml:space="preserve">točný vývoj zadlženosti štátu. </w:t>
      </w:r>
    </w:p>
    <w:p w14:paraId="2EB7928C" w14:textId="30E39A7E" w:rsidR="00DC0F15" w:rsidRDefault="00DC0F15" w:rsidP="005C0165">
      <w:pPr>
        <w:spacing w:before="120" w:after="0" w:line="240" w:lineRule="auto"/>
        <w:jc w:val="both"/>
        <w:rPr>
          <w:szCs w:val="22"/>
        </w:rPr>
      </w:pPr>
      <w:r w:rsidRPr="00DC0F15">
        <w:rPr>
          <w:szCs w:val="22"/>
        </w:rPr>
        <w:t>Čistý dlh ukazuje schopnosť štátu splatiť svoj hrubý dlh na základe speňaženia svojich najlikvidnejších finančných aktív</w:t>
      </w:r>
      <w:r w:rsidRPr="00DC0F15">
        <w:rPr>
          <w:b/>
          <w:szCs w:val="22"/>
        </w:rPr>
        <w:t xml:space="preserve">. Pokiaľ hrubý dlh verejnej správy prezentovaný v prvej kapitole je presne vymedzený v metodike ESA 2010, metodiku čistého dlhu zatiaľ upravuje len definícia v usmernení Európskej komisie. </w:t>
      </w:r>
      <w:r w:rsidRPr="00DC0F15">
        <w:rPr>
          <w:szCs w:val="22"/>
        </w:rPr>
        <w:t xml:space="preserve">Podľa tejto definície </w:t>
      </w:r>
      <w:r w:rsidRPr="00DC0F15">
        <w:rPr>
          <w:szCs w:val="22"/>
          <w:u w:val="single"/>
        </w:rPr>
        <w:t>čistý dlh verejnej správy predstavuje rozdiel medzi hrubým maastrichtským dlhom a súčtom menového zlata a špeciálnych práv čerpania (SDR), hotovosti, cenných papierov v trhovej hodnote (okrem akcií) a kótovaných akcií v trhovej hodnote</w:t>
      </w:r>
      <w:r w:rsidRPr="00DC0F15">
        <w:rPr>
          <w:szCs w:val="22"/>
        </w:rPr>
        <w:t>.</w:t>
      </w:r>
    </w:p>
    <w:tbl>
      <w:tblPr>
        <w:tblW w:w="5000" w:type="pct"/>
        <w:tblCellMar>
          <w:left w:w="70" w:type="dxa"/>
          <w:right w:w="70" w:type="dxa"/>
        </w:tblCellMar>
        <w:tblLook w:val="04A0" w:firstRow="1" w:lastRow="0" w:firstColumn="1" w:lastColumn="0" w:noHBand="0" w:noVBand="1"/>
      </w:tblPr>
      <w:tblGrid>
        <w:gridCol w:w="2613"/>
        <w:gridCol w:w="540"/>
        <w:gridCol w:w="1166"/>
        <w:gridCol w:w="1166"/>
        <w:gridCol w:w="1087"/>
        <w:gridCol w:w="67"/>
        <w:gridCol w:w="535"/>
        <w:gridCol w:w="369"/>
        <w:gridCol w:w="335"/>
        <w:gridCol w:w="569"/>
        <w:gridCol w:w="30"/>
        <w:gridCol w:w="877"/>
      </w:tblGrid>
      <w:tr w:rsidR="00042DE4" w:rsidRPr="00042DE4" w14:paraId="1EA0CFCC" w14:textId="77777777" w:rsidTr="001B5F32">
        <w:trPr>
          <w:gridAfter w:val="1"/>
          <w:wAfter w:w="469" w:type="pct"/>
          <w:trHeight w:val="255"/>
        </w:trPr>
        <w:tc>
          <w:tcPr>
            <w:tcW w:w="3513" w:type="pct"/>
            <w:gridSpan w:val="5"/>
            <w:tcBorders>
              <w:top w:val="nil"/>
              <w:left w:val="nil"/>
              <w:bottom w:val="nil"/>
              <w:right w:val="nil"/>
            </w:tcBorders>
            <w:shd w:val="clear" w:color="auto" w:fill="auto"/>
            <w:noWrap/>
            <w:vAlign w:val="bottom"/>
            <w:hideMark/>
          </w:tcPr>
          <w:p w14:paraId="607F3037" w14:textId="77777777" w:rsidR="00042DE4" w:rsidRPr="00042DE4" w:rsidRDefault="00042DE4" w:rsidP="001B5F32">
            <w:pPr>
              <w:spacing w:after="0" w:line="240" w:lineRule="auto"/>
              <w:rPr>
                <w:b/>
                <w:bCs/>
                <w:color w:val="4F81BD"/>
                <w:sz w:val="20"/>
                <w:szCs w:val="20"/>
                <w:lang w:eastAsia="sk-SK"/>
              </w:rPr>
            </w:pPr>
          </w:p>
          <w:p w14:paraId="0A698A98" w14:textId="77777777" w:rsidR="00042DE4" w:rsidRPr="00042DE4" w:rsidRDefault="00042DE4" w:rsidP="001B5F32">
            <w:pPr>
              <w:spacing w:after="0" w:line="240" w:lineRule="auto"/>
              <w:rPr>
                <w:sz w:val="20"/>
                <w:szCs w:val="20"/>
                <w:lang w:eastAsia="sk-SK"/>
              </w:rPr>
            </w:pPr>
            <w:r w:rsidRPr="00042DE4">
              <w:rPr>
                <w:b/>
                <w:bCs/>
                <w:color w:val="4F81BD"/>
                <w:sz w:val="20"/>
                <w:szCs w:val="20"/>
                <w:lang w:eastAsia="sk-SK"/>
              </w:rPr>
              <w:t xml:space="preserve">Tabuľka 7 </w:t>
            </w:r>
            <w:r w:rsidRPr="00042DE4">
              <w:rPr>
                <w:bCs/>
                <w:color w:val="4F81BD"/>
                <w:sz w:val="20"/>
                <w:szCs w:val="20"/>
                <w:lang w:eastAsia="sk-SK"/>
              </w:rPr>
              <w:t>-</w:t>
            </w:r>
            <w:r w:rsidRPr="00042DE4">
              <w:rPr>
                <w:b/>
                <w:bCs/>
                <w:color w:val="4F81BD"/>
                <w:sz w:val="20"/>
                <w:szCs w:val="20"/>
                <w:lang w:eastAsia="sk-SK"/>
              </w:rPr>
              <w:t xml:space="preserve"> Čistý a hrubý dlh verejnej správy</w:t>
            </w:r>
          </w:p>
        </w:tc>
        <w:tc>
          <w:tcPr>
            <w:tcW w:w="322" w:type="pct"/>
            <w:gridSpan w:val="2"/>
            <w:tcBorders>
              <w:top w:val="nil"/>
              <w:left w:val="nil"/>
              <w:bottom w:val="nil"/>
              <w:right w:val="nil"/>
            </w:tcBorders>
            <w:shd w:val="clear" w:color="auto" w:fill="auto"/>
            <w:noWrap/>
            <w:vAlign w:val="bottom"/>
            <w:hideMark/>
          </w:tcPr>
          <w:p w14:paraId="0DF6B02E" w14:textId="77777777" w:rsidR="00042DE4" w:rsidRPr="00042DE4" w:rsidRDefault="00042DE4" w:rsidP="001B5F32">
            <w:pPr>
              <w:spacing w:after="0" w:line="240" w:lineRule="auto"/>
              <w:rPr>
                <w:sz w:val="20"/>
                <w:szCs w:val="20"/>
                <w:lang w:eastAsia="sk-SK"/>
              </w:rPr>
            </w:pPr>
          </w:p>
        </w:tc>
        <w:tc>
          <w:tcPr>
            <w:tcW w:w="376" w:type="pct"/>
            <w:gridSpan w:val="2"/>
            <w:tcBorders>
              <w:top w:val="nil"/>
              <w:left w:val="nil"/>
              <w:bottom w:val="nil"/>
              <w:right w:val="nil"/>
            </w:tcBorders>
            <w:shd w:val="clear" w:color="auto" w:fill="auto"/>
            <w:noWrap/>
            <w:vAlign w:val="center"/>
            <w:hideMark/>
          </w:tcPr>
          <w:p w14:paraId="4BD188B6" w14:textId="77777777" w:rsidR="00042DE4" w:rsidRPr="00042DE4" w:rsidRDefault="00042DE4" w:rsidP="001B5F32">
            <w:pPr>
              <w:spacing w:after="0" w:line="240" w:lineRule="auto"/>
              <w:rPr>
                <w:sz w:val="20"/>
                <w:szCs w:val="20"/>
                <w:lang w:eastAsia="sk-SK"/>
              </w:rPr>
            </w:pPr>
          </w:p>
        </w:tc>
        <w:tc>
          <w:tcPr>
            <w:tcW w:w="320" w:type="pct"/>
            <w:gridSpan w:val="2"/>
            <w:tcBorders>
              <w:top w:val="nil"/>
              <w:left w:val="nil"/>
              <w:bottom w:val="nil"/>
              <w:right w:val="nil"/>
            </w:tcBorders>
            <w:shd w:val="clear" w:color="auto" w:fill="auto"/>
            <w:noWrap/>
            <w:vAlign w:val="center"/>
            <w:hideMark/>
          </w:tcPr>
          <w:p w14:paraId="40768A34" w14:textId="77777777" w:rsidR="00042DE4" w:rsidRPr="00042DE4" w:rsidRDefault="00042DE4" w:rsidP="001B5F32">
            <w:pPr>
              <w:spacing w:after="0" w:line="240" w:lineRule="auto"/>
              <w:rPr>
                <w:sz w:val="20"/>
                <w:szCs w:val="20"/>
                <w:lang w:eastAsia="sk-SK"/>
              </w:rPr>
            </w:pPr>
          </w:p>
        </w:tc>
      </w:tr>
      <w:tr w:rsidR="00042DE4" w:rsidRPr="00042DE4" w14:paraId="44CB0B82" w14:textId="77777777" w:rsidTr="001B5F32">
        <w:trPr>
          <w:trHeight w:val="255"/>
        </w:trPr>
        <w:tc>
          <w:tcPr>
            <w:tcW w:w="1397" w:type="pct"/>
            <w:tcBorders>
              <w:top w:val="single" w:sz="4" w:space="0" w:color="auto"/>
              <w:left w:val="nil"/>
              <w:bottom w:val="nil"/>
              <w:right w:val="nil"/>
            </w:tcBorders>
            <w:shd w:val="clear" w:color="auto" w:fill="auto"/>
            <w:noWrap/>
            <w:vAlign w:val="center"/>
            <w:hideMark/>
          </w:tcPr>
          <w:p w14:paraId="1A5095F6" w14:textId="77777777" w:rsidR="00042DE4" w:rsidRPr="00042DE4" w:rsidRDefault="00042DE4" w:rsidP="001B5F32">
            <w:pPr>
              <w:spacing w:after="0" w:line="240" w:lineRule="auto"/>
              <w:rPr>
                <w:b/>
                <w:bCs/>
                <w:color w:val="000000"/>
                <w:sz w:val="20"/>
                <w:szCs w:val="20"/>
                <w:lang w:eastAsia="sk-SK"/>
              </w:rPr>
            </w:pPr>
            <w:r w:rsidRPr="00042DE4">
              <w:rPr>
                <w:b/>
                <w:bCs/>
                <w:color w:val="000000"/>
                <w:sz w:val="20"/>
                <w:szCs w:val="20"/>
                <w:lang w:eastAsia="sk-SK"/>
              </w:rPr>
              <w:t> </w:t>
            </w:r>
          </w:p>
        </w:tc>
        <w:tc>
          <w:tcPr>
            <w:tcW w:w="289" w:type="pct"/>
            <w:tcBorders>
              <w:top w:val="single" w:sz="4" w:space="0" w:color="auto"/>
              <w:left w:val="nil"/>
              <w:bottom w:val="nil"/>
              <w:right w:val="nil"/>
            </w:tcBorders>
            <w:shd w:val="clear" w:color="auto" w:fill="auto"/>
            <w:noWrap/>
            <w:vAlign w:val="center"/>
            <w:hideMark/>
          </w:tcPr>
          <w:p w14:paraId="2095B178"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w:t>
            </w:r>
          </w:p>
        </w:tc>
        <w:tc>
          <w:tcPr>
            <w:tcW w:w="623" w:type="pct"/>
            <w:tcBorders>
              <w:top w:val="single" w:sz="4" w:space="0" w:color="auto"/>
              <w:left w:val="nil"/>
              <w:bottom w:val="nil"/>
              <w:right w:val="nil"/>
            </w:tcBorders>
            <w:shd w:val="clear" w:color="auto" w:fill="auto"/>
            <w:vAlign w:val="center"/>
            <w:hideMark/>
          </w:tcPr>
          <w:p w14:paraId="29C61DCA"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w:t>
            </w:r>
          </w:p>
        </w:tc>
        <w:tc>
          <w:tcPr>
            <w:tcW w:w="623" w:type="pct"/>
            <w:tcBorders>
              <w:top w:val="single" w:sz="4" w:space="0" w:color="auto"/>
              <w:left w:val="nil"/>
              <w:bottom w:val="nil"/>
              <w:right w:val="nil"/>
            </w:tcBorders>
            <w:shd w:val="clear" w:color="auto" w:fill="auto"/>
            <w:noWrap/>
            <w:vAlign w:val="center"/>
            <w:hideMark/>
          </w:tcPr>
          <w:p w14:paraId="30719604"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v tis. eur</w:t>
            </w:r>
          </w:p>
        </w:tc>
        <w:tc>
          <w:tcPr>
            <w:tcW w:w="617" w:type="pct"/>
            <w:gridSpan w:val="2"/>
            <w:tcBorders>
              <w:top w:val="single" w:sz="4" w:space="0" w:color="auto"/>
              <w:left w:val="nil"/>
              <w:bottom w:val="nil"/>
              <w:right w:val="single" w:sz="4" w:space="0" w:color="auto"/>
            </w:tcBorders>
            <w:shd w:val="clear" w:color="auto" w:fill="auto"/>
            <w:vAlign w:val="center"/>
            <w:hideMark/>
          </w:tcPr>
          <w:p w14:paraId="1094E3CF"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w:t>
            </w:r>
          </w:p>
        </w:tc>
        <w:tc>
          <w:tcPr>
            <w:tcW w:w="483" w:type="pct"/>
            <w:gridSpan w:val="2"/>
            <w:tcBorders>
              <w:top w:val="single" w:sz="4" w:space="0" w:color="auto"/>
              <w:left w:val="nil"/>
              <w:bottom w:val="nil"/>
              <w:right w:val="nil"/>
            </w:tcBorders>
            <w:shd w:val="clear" w:color="auto" w:fill="auto"/>
            <w:noWrap/>
            <w:vAlign w:val="center"/>
            <w:hideMark/>
          </w:tcPr>
          <w:p w14:paraId="3AF43332"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w:t>
            </w:r>
          </w:p>
        </w:tc>
        <w:tc>
          <w:tcPr>
            <w:tcW w:w="483" w:type="pct"/>
            <w:gridSpan w:val="2"/>
            <w:tcBorders>
              <w:top w:val="single" w:sz="4" w:space="0" w:color="auto"/>
              <w:left w:val="nil"/>
              <w:bottom w:val="nil"/>
              <w:right w:val="nil"/>
            </w:tcBorders>
            <w:shd w:val="clear" w:color="auto" w:fill="auto"/>
            <w:noWrap/>
            <w:vAlign w:val="center"/>
            <w:hideMark/>
          </w:tcPr>
          <w:p w14:paraId="455CEB71"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HDP</w:t>
            </w:r>
          </w:p>
        </w:tc>
        <w:tc>
          <w:tcPr>
            <w:tcW w:w="485" w:type="pct"/>
            <w:gridSpan w:val="2"/>
            <w:tcBorders>
              <w:top w:val="single" w:sz="4" w:space="0" w:color="auto"/>
              <w:left w:val="nil"/>
              <w:bottom w:val="nil"/>
              <w:right w:val="nil"/>
            </w:tcBorders>
            <w:shd w:val="clear" w:color="auto" w:fill="auto"/>
            <w:noWrap/>
            <w:vAlign w:val="center"/>
            <w:hideMark/>
          </w:tcPr>
          <w:p w14:paraId="18C12592"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w:t>
            </w:r>
          </w:p>
        </w:tc>
      </w:tr>
      <w:tr w:rsidR="00042DE4" w:rsidRPr="00042DE4" w14:paraId="48E24C2A" w14:textId="77777777" w:rsidTr="001B5F32">
        <w:trPr>
          <w:trHeight w:val="255"/>
        </w:trPr>
        <w:tc>
          <w:tcPr>
            <w:tcW w:w="1397" w:type="pct"/>
            <w:tcBorders>
              <w:top w:val="nil"/>
              <w:left w:val="nil"/>
              <w:bottom w:val="single" w:sz="4" w:space="0" w:color="auto"/>
              <w:right w:val="nil"/>
            </w:tcBorders>
            <w:shd w:val="clear" w:color="auto" w:fill="auto"/>
            <w:noWrap/>
            <w:vAlign w:val="center"/>
            <w:hideMark/>
          </w:tcPr>
          <w:p w14:paraId="3C856048"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w:t>
            </w:r>
          </w:p>
        </w:tc>
        <w:tc>
          <w:tcPr>
            <w:tcW w:w="289" w:type="pct"/>
            <w:tcBorders>
              <w:top w:val="nil"/>
              <w:left w:val="nil"/>
              <w:bottom w:val="single" w:sz="4" w:space="0" w:color="auto"/>
              <w:right w:val="nil"/>
            </w:tcBorders>
            <w:shd w:val="clear" w:color="auto" w:fill="auto"/>
            <w:noWrap/>
            <w:vAlign w:val="center"/>
            <w:hideMark/>
          </w:tcPr>
          <w:p w14:paraId="63CB6CC4"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 </w:t>
            </w:r>
          </w:p>
        </w:tc>
        <w:tc>
          <w:tcPr>
            <w:tcW w:w="623" w:type="pct"/>
            <w:tcBorders>
              <w:top w:val="nil"/>
              <w:left w:val="nil"/>
              <w:bottom w:val="single" w:sz="4" w:space="0" w:color="auto"/>
              <w:right w:val="nil"/>
            </w:tcBorders>
            <w:shd w:val="clear" w:color="auto" w:fill="auto"/>
            <w:noWrap/>
            <w:vAlign w:val="bottom"/>
            <w:hideMark/>
          </w:tcPr>
          <w:p w14:paraId="0E188767"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2020 S</w:t>
            </w:r>
          </w:p>
        </w:tc>
        <w:tc>
          <w:tcPr>
            <w:tcW w:w="623" w:type="pct"/>
            <w:tcBorders>
              <w:top w:val="nil"/>
              <w:left w:val="nil"/>
              <w:bottom w:val="single" w:sz="4" w:space="0" w:color="auto"/>
              <w:right w:val="nil"/>
            </w:tcBorders>
            <w:shd w:val="clear" w:color="auto" w:fill="auto"/>
            <w:noWrap/>
            <w:vAlign w:val="bottom"/>
            <w:hideMark/>
          </w:tcPr>
          <w:p w14:paraId="5E0F38FB"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2021 S</w:t>
            </w:r>
          </w:p>
        </w:tc>
        <w:tc>
          <w:tcPr>
            <w:tcW w:w="617" w:type="pct"/>
            <w:gridSpan w:val="2"/>
            <w:tcBorders>
              <w:top w:val="nil"/>
              <w:left w:val="nil"/>
              <w:bottom w:val="single" w:sz="4" w:space="0" w:color="auto"/>
              <w:right w:val="single" w:sz="4" w:space="0" w:color="auto"/>
            </w:tcBorders>
            <w:shd w:val="clear" w:color="auto" w:fill="auto"/>
            <w:noWrap/>
            <w:vAlign w:val="bottom"/>
            <w:hideMark/>
          </w:tcPr>
          <w:p w14:paraId="0909E8BA"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2022 S</w:t>
            </w:r>
          </w:p>
        </w:tc>
        <w:tc>
          <w:tcPr>
            <w:tcW w:w="483" w:type="pct"/>
            <w:gridSpan w:val="2"/>
            <w:tcBorders>
              <w:top w:val="nil"/>
              <w:left w:val="nil"/>
              <w:bottom w:val="single" w:sz="4" w:space="0" w:color="auto"/>
              <w:right w:val="nil"/>
            </w:tcBorders>
            <w:shd w:val="clear" w:color="auto" w:fill="auto"/>
            <w:noWrap/>
            <w:vAlign w:val="bottom"/>
            <w:hideMark/>
          </w:tcPr>
          <w:p w14:paraId="5C31DE7E"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2020 S</w:t>
            </w:r>
          </w:p>
        </w:tc>
        <w:tc>
          <w:tcPr>
            <w:tcW w:w="483" w:type="pct"/>
            <w:gridSpan w:val="2"/>
            <w:tcBorders>
              <w:top w:val="nil"/>
              <w:left w:val="nil"/>
              <w:bottom w:val="single" w:sz="4" w:space="0" w:color="auto"/>
              <w:right w:val="nil"/>
            </w:tcBorders>
            <w:shd w:val="clear" w:color="auto" w:fill="auto"/>
            <w:noWrap/>
            <w:vAlign w:val="bottom"/>
            <w:hideMark/>
          </w:tcPr>
          <w:p w14:paraId="00316716"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2021 S</w:t>
            </w:r>
          </w:p>
        </w:tc>
        <w:tc>
          <w:tcPr>
            <w:tcW w:w="485" w:type="pct"/>
            <w:gridSpan w:val="2"/>
            <w:tcBorders>
              <w:top w:val="nil"/>
              <w:left w:val="nil"/>
              <w:bottom w:val="single" w:sz="4" w:space="0" w:color="auto"/>
              <w:right w:val="nil"/>
            </w:tcBorders>
            <w:shd w:val="clear" w:color="auto" w:fill="auto"/>
            <w:noWrap/>
            <w:vAlign w:val="bottom"/>
            <w:hideMark/>
          </w:tcPr>
          <w:p w14:paraId="024C6C45"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2022 S</w:t>
            </w:r>
          </w:p>
        </w:tc>
      </w:tr>
      <w:tr w:rsidR="00042DE4" w:rsidRPr="00042DE4" w14:paraId="3C6252D4" w14:textId="77777777" w:rsidTr="001B5F32">
        <w:trPr>
          <w:trHeight w:val="255"/>
        </w:trPr>
        <w:tc>
          <w:tcPr>
            <w:tcW w:w="1397" w:type="pct"/>
            <w:tcBorders>
              <w:top w:val="nil"/>
              <w:left w:val="nil"/>
              <w:bottom w:val="nil"/>
              <w:right w:val="nil"/>
            </w:tcBorders>
            <w:shd w:val="clear" w:color="auto" w:fill="auto"/>
            <w:noWrap/>
            <w:vAlign w:val="center"/>
            <w:hideMark/>
          </w:tcPr>
          <w:p w14:paraId="2C90B8D8" w14:textId="77777777" w:rsidR="00042DE4" w:rsidRPr="00042DE4" w:rsidRDefault="00042DE4" w:rsidP="001B5F32">
            <w:pPr>
              <w:spacing w:after="0" w:line="240" w:lineRule="auto"/>
              <w:rPr>
                <w:b/>
                <w:bCs/>
                <w:color w:val="000000"/>
                <w:sz w:val="20"/>
                <w:szCs w:val="20"/>
                <w:lang w:eastAsia="sk-SK"/>
              </w:rPr>
            </w:pPr>
            <w:r w:rsidRPr="00042DE4">
              <w:rPr>
                <w:b/>
                <w:bCs/>
                <w:color w:val="000000"/>
                <w:sz w:val="20"/>
                <w:szCs w:val="20"/>
                <w:lang w:eastAsia="sk-SK"/>
              </w:rPr>
              <w:t>Hrubý dlh verejnej správy</w:t>
            </w:r>
          </w:p>
        </w:tc>
        <w:tc>
          <w:tcPr>
            <w:tcW w:w="289" w:type="pct"/>
            <w:tcBorders>
              <w:top w:val="nil"/>
              <w:left w:val="nil"/>
              <w:bottom w:val="nil"/>
              <w:right w:val="nil"/>
            </w:tcBorders>
            <w:shd w:val="clear" w:color="auto" w:fill="auto"/>
            <w:noWrap/>
            <w:vAlign w:val="center"/>
            <w:hideMark/>
          </w:tcPr>
          <w:p w14:paraId="471008F7"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(1)</w:t>
            </w:r>
          </w:p>
        </w:tc>
        <w:tc>
          <w:tcPr>
            <w:tcW w:w="623" w:type="pct"/>
            <w:tcBorders>
              <w:top w:val="nil"/>
              <w:left w:val="nil"/>
              <w:bottom w:val="nil"/>
              <w:right w:val="nil"/>
            </w:tcBorders>
            <w:shd w:val="clear" w:color="auto" w:fill="auto"/>
            <w:vAlign w:val="center"/>
            <w:hideMark/>
          </w:tcPr>
          <w:p w14:paraId="4D34C50B" w14:textId="77777777" w:rsidR="00042DE4" w:rsidRPr="00042DE4" w:rsidRDefault="00042DE4" w:rsidP="001B5F32">
            <w:pPr>
              <w:spacing w:after="0" w:line="240" w:lineRule="auto"/>
              <w:jc w:val="right"/>
              <w:rPr>
                <w:b/>
                <w:bCs/>
                <w:sz w:val="20"/>
                <w:szCs w:val="20"/>
                <w:lang w:eastAsia="sk-SK"/>
              </w:rPr>
            </w:pPr>
            <w:r w:rsidRPr="00042DE4">
              <w:rPr>
                <w:b/>
                <w:bCs/>
                <w:sz w:val="20"/>
                <w:szCs w:val="20"/>
              </w:rPr>
              <w:t>54 992 879</w:t>
            </w:r>
          </w:p>
        </w:tc>
        <w:tc>
          <w:tcPr>
            <w:tcW w:w="623" w:type="pct"/>
            <w:tcBorders>
              <w:top w:val="nil"/>
              <w:left w:val="nil"/>
              <w:bottom w:val="nil"/>
              <w:right w:val="nil"/>
            </w:tcBorders>
            <w:shd w:val="clear" w:color="auto" w:fill="auto"/>
            <w:vAlign w:val="center"/>
            <w:hideMark/>
          </w:tcPr>
          <w:p w14:paraId="7C78249D" w14:textId="77777777" w:rsidR="00042DE4" w:rsidRPr="00042DE4" w:rsidRDefault="00042DE4" w:rsidP="001B5F32">
            <w:pPr>
              <w:spacing w:after="0" w:line="240" w:lineRule="auto"/>
              <w:jc w:val="right"/>
              <w:rPr>
                <w:b/>
                <w:bCs/>
                <w:sz w:val="20"/>
                <w:szCs w:val="20"/>
                <w:lang w:eastAsia="sk-SK"/>
              </w:rPr>
            </w:pPr>
            <w:r w:rsidRPr="00042DE4">
              <w:rPr>
                <w:b/>
                <w:bCs/>
                <w:sz w:val="20"/>
                <w:szCs w:val="20"/>
              </w:rPr>
              <w:t>61 237 757</w:t>
            </w:r>
          </w:p>
        </w:tc>
        <w:tc>
          <w:tcPr>
            <w:tcW w:w="617" w:type="pct"/>
            <w:gridSpan w:val="2"/>
            <w:tcBorders>
              <w:top w:val="nil"/>
              <w:left w:val="nil"/>
              <w:bottom w:val="nil"/>
              <w:right w:val="single" w:sz="4" w:space="0" w:color="auto"/>
            </w:tcBorders>
            <w:shd w:val="clear" w:color="auto" w:fill="auto"/>
            <w:vAlign w:val="center"/>
            <w:hideMark/>
          </w:tcPr>
          <w:p w14:paraId="28219146" w14:textId="77777777" w:rsidR="00042DE4" w:rsidRPr="00042DE4" w:rsidRDefault="00042DE4" w:rsidP="001B5F32">
            <w:pPr>
              <w:spacing w:after="0" w:line="240" w:lineRule="auto"/>
              <w:jc w:val="right"/>
              <w:rPr>
                <w:b/>
                <w:bCs/>
                <w:sz w:val="20"/>
                <w:szCs w:val="20"/>
                <w:lang w:eastAsia="sk-SK"/>
              </w:rPr>
            </w:pPr>
            <w:r w:rsidRPr="00042DE4">
              <w:rPr>
                <w:b/>
                <w:bCs/>
                <w:sz w:val="20"/>
                <w:szCs w:val="20"/>
              </w:rPr>
              <w:t>63 377 974</w:t>
            </w:r>
          </w:p>
        </w:tc>
        <w:tc>
          <w:tcPr>
            <w:tcW w:w="483" w:type="pct"/>
            <w:gridSpan w:val="2"/>
            <w:tcBorders>
              <w:top w:val="nil"/>
              <w:left w:val="nil"/>
              <w:bottom w:val="nil"/>
              <w:right w:val="nil"/>
            </w:tcBorders>
            <w:shd w:val="clear" w:color="auto" w:fill="auto"/>
            <w:vAlign w:val="center"/>
            <w:hideMark/>
          </w:tcPr>
          <w:p w14:paraId="2ACEF62F"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58,9</w:t>
            </w:r>
          </w:p>
        </w:tc>
        <w:tc>
          <w:tcPr>
            <w:tcW w:w="483" w:type="pct"/>
            <w:gridSpan w:val="2"/>
            <w:tcBorders>
              <w:top w:val="nil"/>
              <w:left w:val="nil"/>
              <w:bottom w:val="nil"/>
              <w:right w:val="nil"/>
            </w:tcBorders>
            <w:shd w:val="clear" w:color="auto" w:fill="auto"/>
            <w:vAlign w:val="center"/>
            <w:hideMark/>
          </w:tcPr>
          <w:p w14:paraId="60C7350D"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61,1</w:t>
            </w:r>
          </w:p>
        </w:tc>
        <w:tc>
          <w:tcPr>
            <w:tcW w:w="485" w:type="pct"/>
            <w:gridSpan w:val="2"/>
            <w:tcBorders>
              <w:top w:val="nil"/>
              <w:left w:val="nil"/>
              <w:bottom w:val="nil"/>
              <w:right w:val="nil"/>
            </w:tcBorders>
            <w:shd w:val="clear" w:color="auto" w:fill="auto"/>
            <w:vAlign w:val="center"/>
            <w:hideMark/>
          </w:tcPr>
          <w:p w14:paraId="554B149B"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57,8</w:t>
            </w:r>
          </w:p>
        </w:tc>
      </w:tr>
      <w:tr w:rsidR="00042DE4" w:rsidRPr="00042DE4" w14:paraId="55330D68" w14:textId="77777777" w:rsidTr="001B5F32">
        <w:trPr>
          <w:trHeight w:val="255"/>
        </w:trPr>
        <w:tc>
          <w:tcPr>
            <w:tcW w:w="1397" w:type="pct"/>
            <w:tcBorders>
              <w:top w:val="nil"/>
              <w:left w:val="nil"/>
              <w:bottom w:val="nil"/>
              <w:right w:val="nil"/>
            </w:tcBorders>
            <w:shd w:val="clear" w:color="auto" w:fill="auto"/>
            <w:noWrap/>
            <w:vAlign w:val="center"/>
            <w:hideMark/>
          </w:tcPr>
          <w:p w14:paraId="231064A9" w14:textId="77777777" w:rsidR="00042DE4" w:rsidRPr="00042DE4" w:rsidRDefault="00042DE4" w:rsidP="001B5F32">
            <w:pPr>
              <w:spacing w:after="0" w:line="240" w:lineRule="auto"/>
              <w:rPr>
                <w:b/>
                <w:bCs/>
                <w:color w:val="000000"/>
                <w:sz w:val="20"/>
                <w:szCs w:val="20"/>
                <w:lang w:eastAsia="sk-SK"/>
              </w:rPr>
            </w:pPr>
            <w:r w:rsidRPr="00042DE4">
              <w:rPr>
                <w:b/>
                <w:bCs/>
                <w:color w:val="000000"/>
                <w:sz w:val="20"/>
                <w:szCs w:val="20"/>
                <w:lang w:eastAsia="sk-SK"/>
              </w:rPr>
              <w:t xml:space="preserve">Likvidné finančné aktíva:    </w:t>
            </w:r>
          </w:p>
        </w:tc>
        <w:tc>
          <w:tcPr>
            <w:tcW w:w="289" w:type="pct"/>
            <w:tcBorders>
              <w:top w:val="nil"/>
              <w:left w:val="nil"/>
              <w:bottom w:val="nil"/>
              <w:right w:val="nil"/>
            </w:tcBorders>
            <w:shd w:val="clear" w:color="auto" w:fill="auto"/>
            <w:noWrap/>
            <w:vAlign w:val="center"/>
            <w:hideMark/>
          </w:tcPr>
          <w:p w14:paraId="46F27279"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(2)</w:t>
            </w:r>
          </w:p>
        </w:tc>
        <w:tc>
          <w:tcPr>
            <w:tcW w:w="623" w:type="pct"/>
            <w:tcBorders>
              <w:top w:val="nil"/>
              <w:left w:val="nil"/>
              <w:bottom w:val="nil"/>
              <w:right w:val="nil"/>
            </w:tcBorders>
            <w:shd w:val="clear" w:color="auto" w:fill="auto"/>
            <w:vAlign w:val="center"/>
            <w:hideMark/>
          </w:tcPr>
          <w:p w14:paraId="5E1E65F2" w14:textId="77777777" w:rsidR="00042DE4" w:rsidRPr="00042DE4" w:rsidRDefault="00042DE4" w:rsidP="001B5F32">
            <w:pPr>
              <w:spacing w:after="0" w:line="240" w:lineRule="auto"/>
              <w:jc w:val="right"/>
              <w:rPr>
                <w:b/>
                <w:bCs/>
                <w:sz w:val="20"/>
                <w:szCs w:val="20"/>
                <w:lang w:eastAsia="sk-SK"/>
              </w:rPr>
            </w:pPr>
            <w:r w:rsidRPr="00042DE4">
              <w:rPr>
                <w:b/>
                <w:bCs/>
                <w:sz w:val="20"/>
                <w:szCs w:val="20"/>
              </w:rPr>
              <w:t>9 318 031</w:t>
            </w:r>
          </w:p>
        </w:tc>
        <w:tc>
          <w:tcPr>
            <w:tcW w:w="623" w:type="pct"/>
            <w:tcBorders>
              <w:top w:val="nil"/>
              <w:left w:val="nil"/>
              <w:bottom w:val="nil"/>
              <w:right w:val="nil"/>
            </w:tcBorders>
            <w:shd w:val="clear" w:color="auto" w:fill="auto"/>
            <w:vAlign w:val="center"/>
            <w:hideMark/>
          </w:tcPr>
          <w:p w14:paraId="4F39D486" w14:textId="77777777" w:rsidR="00042DE4" w:rsidRPr="00042DE4" w:rsidRDefault="00042DE4" w:rsidP="001B5F32">
            <w:pPr>
              <w:spacing w:after="0" w:line="240" w:lineRule="auto"/>
              <w:jc w:val="right"/>
              <w:rPr>
                <w:b/>
                <w:bCs/>
                <w:sz w:val="20"/>
                <w:szCs w:val="20"/>
                <w:lang w:eastAsia="sk-SK"/>
              </w:rPr>
            </w:pPr>
            <w:r w:rsidRPr="00042DE4">
              <w:rPr>
                <w:b/>
                <w:bCs/>
                <w:sz w:val="20"/>
                <w:szCs w:val="20"/>
              </w:rPr>
              <w:t>11 474 328</w:t>
            </w:r>
          </w:p>
        </w:tc>
        <w:tc>
          <w:tcPr>
            <w:tcW w:w="617" w:type="pct"/>
            <w:gridSpan w:val="2"/>
            <w:tcBorders>
              <w:top w:val="nil"/>
              <w:left w:val="nil"/>
              <w:bottom w:val="nil"/>
              <w:right w:val="single" w:sz="4" w:space="0" w:color="auto"/>
            </w:tcBorders>
            <w:shd w:val="clear" w:color="auto" w:fill="auto"/>
            <w:vAlign w:val="center"/>
            <w:hideMark/>
          </w:tcPr>
          <w:p w14:paraId="789AE9D3" w14:textId="77777777" w:rsidR="00042DE4" w:rsidRPr="00042DE4" w:rsidRDefault="00042DE4" w:rsidP="001B5F32">
            <w:pPr>
              <w:spacing w:after="0" w:line="240" w:lineRule="auto"/>
              <w:jc w:val="right"/>
              <w:rPr>
                <w:b/>
                <w:bCs/>
                <w:sz w:val="20"/>
                <w:szCs w:val="20"/>
                <w:lang w:eastAsia="sk-SK"/>
              </w:rPr>
            </w:pPr>
            <w:r w:rsidRPr="00042DE4">
              <w:rPr>
                <w:b/>
                <w:bCs/>
                <w:sz w:val="20"/>
                <w:szCs w:val="20"/>
              </w:rPr>
              <w:t>11 135 600</w:t>
            </w:r>
          </w:p>
        </w:tc>
        <w:tc>
          <w:tcPr>
            <w:tcW w:w="483" w:type="pct"/>
            <w:gridSpan w:val="2"/>
            <w:tcBorders>
              <w:top w:val="nil"/>
              <w:left w:val="nil"/>
              <w:bottom w:val="nil"/>
              <w:right w:val="nil"/>
            </w:tcBorders>
            <w:shd w:val="clear" w:color="auto" w:fill="auto"/>
            <w:vAlign w:val="center"/>
            <w:hideMark/>
          </w:tcPr>
          <w:p w14:paraId="6A0938FD"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10,0</w:t>
            </w:r>
          </w:p>
        </w:tc>
        <w:tc>
          <w:tcPr>
            <w:tcW w:w="483" w:type="pct"/>
            <w:gridSpan w:val="2"/>
            <w:tcBorders>
              <w:top w:val="nil"/>
              <w:left w:val="nil"/>
              <w:bottom w:val="nil"/>
              <w:right w:val="nil"/>
            </w:tcBorders>
            <w:shd w:val="clear" w:color="auto" w:fill="auto"/>
            <w:vAlign w:val="center"/>
            <w:hideMark/>
          </w:tcPr>
          <w:p w14:paraId="7EDC2D21"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11,4</w:t>
            </w:r>
          </w:p>
        </w:tc>
        <w:tc>
          <w:tcPr>
            <w:tcW w:w="485" w:type="pct"/>
            <w:gridSpan w:val="2"/>
            <w:tcBorders>
              <w:top w:val="nil"/>
              <w:left w:val="nil"/>
              <w:bottom w:val="nil"/>
              <w:right w:val="nil"/>
            </w:tcBorders>
            <w:shd w:val="clear" w:color="auto" w:fill="auto"/>
            <w:vAlign w:val="center"/>
            <w:hideMark/>
          </w:tcPr>
          <w:p w14:paraId="5FBC486B"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10,2</w:t>
            </w:r>
          </w:p>
        </w:tc>
      </w:tr>
      <w:tr w:rsidR="00042DE4" w:rsidRPr="00042DE4" w14:paraId="25A160A9" w14:textId="77777777" w:rsidTr="001B5F32">
        <w:trPr>
          <w:trHeight w:val="330"/>
        </w:trPr>
        <w:tc>
          <w:tcPr>
            <w:tcW w:w="1397" w:type="pct"/>
            <w:tcBorders>
              <w:top w:val="nil"/>
              <w:left w:val="nil"/>
              <w:bottom w:val="nil"/>
              <w:right w:val="nil"/>
            </w:tcBorders>
            <w:shd w:val="clear" w:color="auto" w:fill="auto"/>
            <w:noWrap/>
            <w:vAlign w:val="center"/>
            <w:hideMark/>
          </w:tcPr>
          <w:p w14:paraId="22963523"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xml:space="preserve">         - menové zlato a SDR </w:t>
            </w:r>
          </w:p>
        </w:tc>
        <w:tc>
          <w:tcPr>
            <w:tcW w:w="289" w:type="pct"/>
            <w:tcBorders>
              <w:top w:val="nil"/>
              <w:left w:val="nil"/>
              <w:bottom w:val="nil"/>
              <w:right w:val="nil"/>
            </w:tcBorders>
            <w:shd w:val="clear" w:color="auto" w:fill="auto"/>
            <w:noWrap/>
            <w:vAlign w:val="bottom"/>
            <w:hideMark/>
          </w:tcPr>
          <w:p w14:paraId="778137D5" w14:textId="77777777" w:rsidR="00042DE4" w:rsidRPr="00042DE4" w:rsidRDefault="00042DE4" w:rsidP="001B5F32">
            <w:pPr>
              <w:spacing w:after="0" w:line="240" w:lineRule="auto"/>
              <w:rPr>
                <w:color w:val="000000"/>
                <w:sz w:val="20"/>
                <w:szCs w:val="20"/>
                <w:lang w:eastAsia="sk-SK"/>
              </w:rPr>
            </w:pPr>
          </w:p>
        </w:tc>
        <w:tc>
          <w:tcPr>
            <w:tcW w:w="623" w:type="pct"/>
            <w:tcBorders>
              <w:top w:val="nil"/>
              <w:left w:val="nil"/>
              <w:bottom w:val="nil"/>
              <w:right w:val="nil"/>
            </w:tcBorders>
            <w:shd w:val="clear" w:color="auto" w:fill="auto"/>
            <w:vAlign w:val="center"/>
            <w:hideMark/>
          </w:tcPr>
          <w:p w14:paraId="3347E875" w14:textId="77777777" w:rsidR="00042DE4" w:rsidRPr="00042DE4" w:rsidRDefault="00042DE4" w:rsidP="001B5F32">
            <w:pPr>
              <w:spacing w:after="0" w:line="240" w:lineRule="auto"/>
              <w:jc w:val="right"/>
              <w:rPr>
                <w:sz w:val="20"/>
                <w:szCs w:val="20"/>
                <w:lang w:eastAsia="sk-SK"/>
              </w:rPr>
            </w:pPr>
            <w:r w:rsidRPr="00042DE4">
              <w:rPr>
                <w:sz w:val="20"/>
                <w:szCs w:val="20"/>
              </w:rPr>
              <w:t>0</w:t>
            </w:r>
          </w:p>
        </w:tc>
        <w:tc>
          <w:tcPr>
            <w:tcW w:w="623" w:type="pct"/>
            <w:tcBorders>
              <w:top w:val="nil"/>
              <w:left w:val="nil"/>
              <w:bottom w:val="nil"/>
              <w:right w:val="nil"/>
            </w:tcBorders>
            <w:shd w:val="clear" w:color="auto" w:fill="auto"/>
            <w:vAlign w:val="center"/>
            <w:hideMark/>
          </w:tcPr>
          <w:p w14:paraId="68AD9091" w14:textId="77777777" w:rsidR="00042DE4" w:rsidRPr="00042DE4" w:rsidRDefault="00042DE4" w:rsidP="001B5F32">
            <w:pPr>
              <w:spacing w:after="0" w:line="240" w:lineRule="auto"/>
              <w:jc w:val="right"/>
              <w:rPr>
                <w:sz w:val="20"/>
                <w:szCs w:val="20"/>
                <w:lang w:eastAsia="sk-SK"/>
              </w:rPr>
            </w:pPr>
            <w:r w:rsidRPr="00042DE4">
              <w:rPr>
                <w:sz w:val="20"/>
                <w:szCs w:val="20"/>
              </w:rPr>
              <w:t>0</w:t>
            </w:r>
          </w:p>
        </w:tc>
        <w:tc>
          <w:tcPr>
            <w:tcW w:w="617" w:type="pct"/>
            <w:gridSpan w:val="2"/>
            <w:tcBorders>
              <w:top w:val="nil"/>
              <w:left w:val="nil"/>
              <w:bottom w:val="nil"/>
              <w:right w:val="single" w:sz="4" w:space="0" w:color="auto"/>
            </w:tcBorders>
            <w:shd w:val="clear" w:color="auto" w:fill="auto"/>
            <w:vAlign w:val="center"/>
            <w:hideMark/>
          </w:tcPr>
          <w:p w14:paraId="658FF020" w14:textId="77777777" w:rsidR="00042DE4" w:rsidRPr="00042DE4" w:rsidRDefault="00042DE4" w:rsidP="001B5F32">
            <w:pPr>
              <w:spacing w:after="0" w:line="240" w:lineRule="auto"/>
              <w:jc w:val="right"/>
              <w:rPr>
                <w:sz w:val="20"/>
                <w:szCs w:val="20"/>
                <w:lang w:eastAsia="sk-SK"/>
              </w:rPr>
            </w:pPr>
            <w:r w:rsidRPr="00042DE4">
              <w:rPr>
                <w:sz w:val="20"/>
                <w:szCs w:val="20"/>
              </w:rPr>
              <w:t>0</w:t>
            </w:r>
          </w:p>
        </w:tc>
        <w:tc>
          <w:tcPr>
            <w:tcW w:w="483" w:type="pct"/>
            <w:gridSpan w:val="2"/>
            <w:tcBorders>
              <w:top w:val="nil"/>
              <w:left w:val="nil"/>
              <w:bottom w:val="nil"/>
              <w:right w:val="nil"/>
            </w:tcBorders>
            <w:shd w:val="clear" w:color="auto" w:fill="auto"/>
            <w:vAlign w:val="center"/>
            <w:hideMark/>
          </w:tcPr>
          <w:p w14:paraId="5DFBF994"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3" w:type="pct"/>
            <w:gridSpan w:val="2"/>
            <w:tcBorders>
              <w:top w:val="nil"/>
              <w:left w:val="nil"/>
              <w:bottom w:val="nil"/>
              <w:right w:val="nil"/>
            </w:tcBorders>
            <w:shd w:val="clear" w:color="auto" w:fill="auto"/>
            <w:vAlign w:val="center"/>
            <w:hideMark/>
          </w:tcPr>
          <w:p w14:paraId="26A28992"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5" w:type="pct"/>
            <w:gridSpan w:val="2"/>
            <w:tcBorders>
              <w:top w:val="nil"/>
              <w:left w:val="nil"/>
              <w:bottom w:val="nil"/>
              <w:right w:val="nil"/>
            </w:tcBorders>
            <w:shd w:val="clear" w:color="auto" w:fill="auto"/>
            <w:vAlign w:val="center"/>
            <w:hideMark/>
          </w:tcPr>
          <w:p w14:paraId="4484619B"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r>
      <w:tr w:rsidR="00042DE4" w:rsidRPr="00042DE4" w14:paraId="72F4F4EA" w14:textId="77777777" w:rsidTr="001B5F32">
        <w:trPr>
          <w:trHeight w:val="330"/>
        </w:trPr>
        <w:tc>
          <w:tcPr>
            <w:tcW w:w="1397" w:type="pct"/>
            <w:tcBorders>
              <w:top w:val="nil"/>
              <w:left w:val="nil"/>
              <w:bottom w:val="nil"/>
              <w:right w:val="nil"/>
            </w:tcBorders>
            <w:shd w:val="clear" w:color="auto" w:fill="auto"/>
            <w:noWrap/>
            <w:vAlign w:val="center"/>
            <w:hideMark/>
          </w:tcPr>
          <w:p w14:paraId="3B05F5B5"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xml:space="preserve">         - hotovosť na účtoch VS </w:t>
            </w:r>
          </w:p>
        </w:tc>
        <w:tc>
          <w:tcPr>
            <w:tcW w:w="289" w:type="pct"/>
            <w:tcBorders>
              <w:top w:val="nil"/>
              <w:left w:val="nil"/>
              <w:bottom w:val="nil"/>
              <w:right w:val="nil"/>
            </w:tcBorders>
            <w:shd w:val="clear" w:color="auto" w:fill="auto"/>
            <w:noWrap/>
            <w:vAlign w:val="bottom"/>
            <w:hideMark/>
          </w:tcPr>
          <w:p w14:paraId="6EAFF113" w14:textId="77777777" w:rsidR="00042DE4" w:rsidRPr="00042DE4" w:rsidRDefault="00042DE4" w:rsidP="001B5F32">
            <w:pPr>
              <w:spacing w:after="0" w:line="240" w:lineRule="auto"/>
              <w:rPr>
                <w:color w:val="000000"/>
                <w:sz w:val="20"/>
                <w:szCs w:val="20"/>
                <w:lang w:eastAsia="sk-SK"/>
              </w:rPr>
            </w:pPr>
          </w:p>
        </w:tc>
        <w:tc>
          <w:tcPr>
            <w:tcW w:w="623" w:type="pct"/>
            <w:tcBorders>
              <w:top w:val="nil"/>
              <w:left w:val="nil"/>
              <w:bottom w:val="nil"/>
              <w:right w:val="nil"/>
            </w:tcBorders>
            <w:shd w:val="clear" w:color="auto" w:fill="auto"/>
            <w:vAlign w:val="center"/>
            <w:hideMark/>
          </w:tcPr>
          <w:p w14:paraId="6EC05B50" w14:textId="77777777" w:rsidR="00042DE4" w:rsidRPr="00042DE4" w:rsidRDefault="00042DE4" w:rsidP="001B5F32">
            <w:pPr>
              <w:spacing w:after="0" w:line="240" w:lineRule="auto"/>
              <w:jc w:val="right"/>
              <w:rPr>
                <w:sz w:val="20"/>
                <w:szCs w:val="20"/>
                <w:lang w:eastAsia="sk-SK"/>
              </w:rPr>
            </w:pPr>
            <w:r w:rsidRPr="00042DE4">
              <w:rPr>
                <w:sz w:val="20"/>
                <w:szCs w:val="20"/>
              </w:rPr>
              <w:t>9 312 589</w:t>
            </w:r>
          </w:p>
        </w:tc>
        <w:tc>
          <w:tcPr>
            <w:tcW w:w="623" w:type="pct"/>
            <w:tcBorders>
              <w:top w:val="nil"/>
              <w:left w:val="nil"/>
              <w:bottom w:val="nil"/>
              <w:right w:val="nil"/>
            </w:tcBorders>
            <w:shd w:val="clear" w:color="auto" w:fill="auto"/>
            <w:vAlign w:val="center"/>
            <w:hideMark/>
          </w:tcPr>
          <w:p w14:paraId="647BFE2D" w14:textId="77777777" w:rsidR="00042DE4" w:rsidRPr="00042DE4" w:rsidRDefault="00042DE4" w:rsidP="001B5F32">
            <w:pPr>
              <w:spacing w:after="0" w:line="240" w:lineRule="auto"/>
              <w:jc w:val="right"/>
              <w:rPr>
                <w:sz w:val="20"/>
                <w:szCs w:val="20"/>
                <w:lang w:eastAsia="sk-SK"/>
              </w:rPr>
            </w:pPr>
            <w:r w:rsidRPr="00042DE4">
              <w:rPr>
                <w:sz w:val="20"/>
                <w:szCs w:val="20"/>
              </w:rPr>
              <w:t>11 469 448</w:t>
            </w:r>
          </w:p>
        </w:tc>
        <w:tc>
          <w:tcPr>
            <w:tcW w:w="617" w:type="pct"/>
            <w:gridSpan w:val="2"/>
            <w:tcBorders>
              <w:top w:val="nil"/>
              <w:left w:val="nil"/>
              <w:bottom w:val="nil"/>
              <w:right w:val="single" w:sz="4" w:space="0" w:color="auto"/>
            </w:tcBorders>
            <w:shd w:val="clear" w:color="auto" w:fill="auto"/>
            <w:vAlign w:val="center"/>
            <w:hideMark/>
          </w:tcPr>
          <w:p w14:paraId="03D2F6C4" w14:textId="77777777" w:rsidR="00042DE4" w:rsidRPr="00042DE4" w:rsidRDefault="00042DE4" w:rsidP="001B5F32">
            <w:pPr>
              <w:spacing w:after="0" w:line="240" w:lineRule="auto"/>
              <w:jc w:val="right"/>
              <w:rPr>
                <w:sz w:val="20"/>
                <w:szCs w:val="20"/>
                <w:lang w:eastAsia="sk-SK"/>
              </w:rPr>
            </w:pPr>
            <w:r w:rsidRPr="00042DE4">
              <w:rPr>
                <w:sz w:val="20"/>
                <w:szCs w:val="20"/>
              </w:rPr>
              <w:t>11 130 761</w:t>
            </w:r>
          </w:p>
        </w:tc>
        <w:tc>
          <w:tcPr>
            <w:tcW w:w="483" w:type="pct"/>
            <w:gridSpan w:val="2"/>
            <w:tcBorders>
              <w:top w:val="nil"/>
              <w:left w:val="nil"/>
              <w:bottom w:val="nil"/>
              <w:right w:val="nil"/>
            </w:tcBorders>
            <w:shd w:val="clear" w:color="auto" w:fill="auto"/>
            <w:vAlign w:val="center"/>
            <w:hideMark/>
          </w:tcPr>
          <w:p w14:paraId="4F517EB1"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10,0</w:t>
            </w:r>
          </w:p>
        </w:tc>
        <w:tc>
          <w:tcPr>
            <w:tcW w:w="483" w:type="pct"/>
            <w:gridSpan w:val="2"/>
            <w:tcBorders>
              <w:top w:val="nil"/>
              <w:left w:val="nil"/>
              <w:bottom w:val="nil"/>
              <w:right w:val="nil"/>
            </w:tcBorders>
            <w:shd w:val="clear" w:color="auto" w:fill="auto"/>
            <w:vAlign w:val="center"/>
            <w:hideMark/>
          </w:tcPr>
          <w:p w14:paraId="04761CB4"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11,4</w:t>
            </w:r>
          </w:p>
        </w:tc>
        <w:tc>
          <w:tcPr>
            <w:tcW w:w="485" w:type="pct"/>
            <w:gridSpan w:val="2"/>
            <w:tcBorders>
              <w:top w:val="nil"/>
              <w:left w:val="nil"/>
              <w:bottom w:val="nil"/>
              <w:right w:val="nil"/>
            </w:tcBorders>
            <w:shd w:val="clear" w:color="auto" w:fill="auto"/>
            <w:vAlign w:val="center"/>
            <w:hideMark/>
          </w:tcPr>
          <w:p w14:paraId="4237D50C"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10,2</w:t>
            </w:r>
          </w:p>
        </w:tc>
      </w:tr>
      <w:tr w:rsidR="00042DE4" w:rsidRPr="00042DE4" w14:paraId="451A966D" w14:textId="77777777" w:rsidTr="001B5F32">
        <w:trPr>
          <w:trHeight w:val="330"/>
        </w:trPr>
        <w:tc>
          <w:tcPr>
            <w:tcW w:w="1397" w:type="pct"/>
            <w:tcBorders>
              <w:top w:val="nil"/>
              <w:left w:val="nil"/>
              <w:bottom w:val="nil"/>
              <w:right w:val="nil"/>
            </w:tcBorders>
            <w:shd w:val="clear" w:color="auto" w:fill="auto"/>
            <w:noWrap/>
            <w:vAlign w:val="center"/>
            <w:hideMark/>
          </w:tcPr>
          <w:p w14:paraId="3A64A0C1"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xml:space="preserve">         - cenné papiere</w:t>
            </w:r>
          </w:p>
        </w:tc>
        <w:tc>
          <w:tcPr>
            <w:tcW w:w="289" w:type="pct"/>
            <w:tcBorders>
              <w:top w:val="nil"/>
              <w:left w:val="nil"/>
              <w:bottom w:val="nil"/>
              <w:right w:val="nil"/>
            </w:tcBorders>
            <w:shd w:val="clear" w:color="auto" w:fill="auto"/>
            <w:noWrap/>
            <w:vAlign w:val="bottom"/>
            <w:hideMark/>
          </w:tcPr>
          <w:p w14:paraId="4177EDBF" w14:textId="77777777" w:rsidR="00042DE4" w:rsidRPr="00042DE4" w:rsidRDefault="00042DE4" w:rsidP="001B5F32">
            <w:pPr>
              <w:spacing w:after="0" w:line="240" w:lineRule="auto"/>
              <w:rPr>
                <w:color w:val="000000"/>
                <w:sz w:val="20"/>
                <w:szCs w:val="20"/>
                <w:lang w:eastAsia="sk-SK"/>
              </w:rPr>
            </w:pPr>
          </w:p>
        </w:tc>
        <w:tc>
          <w:tcPr>
            <w:tcW w:w="623" w:type="pct"/>
            <w:tcBorders>
              <w:top w:val="nil"/>
              <w:left w:val="nil"/>
              <w:bottom w:val="nil"/>
              <w:right w:val="nil"/>
            </w:tcBorders>
            <w:shd w:val="clear" w:color="auto" w:fill="auto"/>
            <w:vAlign w:val="center"/>
            <w:hideMark/>
          </w:tcPr>
          <w:p w14:paraId="30E885DD" w14:textId="77777777" w:rsidR="00042DE4" w:rsidRPr="00042DE4" w:rsidRDefault="00042DE4" w:rsidP="001B5F32">
            <w:pPr>
              <w:spacing w:after="0" w:line="240" w:lineRule="auto"/>
              <w:jc w:val="right"/>
              <w:rPr>
                <w:sz w:val="20"/>
                <w:szCs w:val="20"/>
                <w:lang w:eastAsia="sk-SK"/>
              </w:rPr>
            </w:pPr>
            <w:r w:rsidRPr="00042DE4">
              <w:rPr>
                <w:sz w:val="20"/>
                <w:szCs w:val="20"/>
              </w:rPr>
              <w:t>5 442</w:t>
            </w:r>
          </w:p>
        </w:tc>
        <w:tc>
          <w:tcPr>
            <w:tcW w:w="623" w:type="pct"/>
            <w:tcBorders>
              <w:top w:val="nil"/>
              <w:left w:val="nil"/>
              <w:bottom w:val="nil"/>
              <w:right w:val="nil"/>
            </w:tcBorders>
            <w:shd w:val="clear" w:color="auto" w:fill="auto"/>
            <w:vAlign w:val="center"/>
            <w:hideMark/>
          </w:tcPr>
          <w:p w14:paraId="63644214" w14:textId="77777777" w:rsidR="00042DE4" w:rsidRPr="00042DE4" w:rsidRDefault="00042DE4" w:rsidP="001B5F32">
            <w:pPr>
              <w:spacing w:after="0" w:line="240" w:lineRule="auto"/>
              <w:jc w:val="right"/>
              <w:rPr>
                <w:sz w:val="20"/>
                <w:szCs w:val="20"/>
                <w:lang w:eastAsia="sk-SK"/>
              </w:rPr>
            </w:pPr>
            <w:r w:rsidRPr="00042DE4">
              <w:rPr>
                <w:sz w:val="20"/>
                <w:szCs w:val="20"/>
              </w:rPr>
              <w:t>4 880</w:t>
            </w:r>
          </w:p>
        </w:tc>
        <w:tc>
          <w:tcPr>
            <w:tcW w:w="617" w:type="pct"/>
            <w:gridSpan w:val="2"/>
            <w:tcBorders>
              <w:top w:val="nil"/>
              <w:left w:val="nil"/>
              <w:bottom w:val="nil"/>
              <w:right w:val="single" w:sz="4" w:space="0" w:color="auto"/>
            </w:tcBorders>
            <w:shd w:val="clear" w:color="auto" w:fill="auto"/>
            <w:vAlign w:val="center"/>
            <w:hideMark/>
          </w:tcPr>
          <w:p w14:paraId="1847EE75" w14:textId="77777777" w:rsidR="00042DE4" w:rsidRPr="00042DE4" w:rsidRDefault="00042DE4" w:rsidP="001B5F32">
            <w:pPr>
              <w:spacing w:after="0" w:line="240" w:lineRule="auto"/>
              <w:jc w:val="right"/>
              <w:rPr>
                <w:sz w:val="20"/>
                <w:szCs w:val="20"/>
                <w:lang w:eastAsia="sk-SK"/>
              </w:rPr>
            </w:pPr>
            <w:r w:rsidRPr="00042DE4">
              <w:rPr>
                <w:sz w:val="20"/>
                <w:szCs w:val="20"/>
              </w:rPr>
              <w:t>4 839</w:t>
            </w:r>
          </w:p>
        </w:tc>
        <w:tc>
          <w:tcPr>
            <w:tcW w:w="483" w:type="pct"/>
            <w:gridSpan w:val="2"/>
            <w:tcBorders>
              <w:top w:val="nil"/>
              <w:left w:val="nil"/>
              <w:bottom w:val="nil"/>
              <w:right w:val="nil"/>
            </w:tcBorders>
            <w:shd w:val="clear" w:color="auto" w:fill="auto"/>
            <w:vAlign w:val="center"/>
            <w:hideMark/>
          </w:tcPr>
          <w:p w14:paraId="1A93B547"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3" w:type="pct"/>
            <w:gridSpan w:val="2"/>
            <w:tcBorders>
              <w:top w:val="nil"/>
              <w:left w:val="nil"/>
              <w:bottom w:val="nil"/>
              <w:right w:val="nil"/>
            </w:tcBorders>
            <w:shd w:val="clear" w:color="auto" w:fill="auto"/>
            <w:vAlign w:val="center"/>
            <w:hideMark/>
          </w:tcPr>
          <w:p w14:paraId="2F9E362B"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5" w:type="pct"/>
            <w:gridSpan w:val="2"/>
            <w:tcBorders>
              <w:top w:val="nil"/>
              <w:left w:val="nil"/>
              <w:bottom w:val="nil"/>
              <w:right w:val="nil"/>
            </w:tcBorders>
            <w:shd w:val="clear" w:color="auto" w:fill="auto"/>
            <w:vAlign w:val="center"/>
            <w:hideMark/>
          </w:tcPr>
          <w:p w14:paraId="6390CD23"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r>
      <w:tr w:rsidR="00042DE4" w:rsidRPr="00042DE4" w14:paraId="56ECA1EA" w14:textId="77777777" w:rsidTr="001B5F32">
        <w:trPr>
          <w:trHeight w:val="330"/>
        </w:trPr>
        <w:tc>
          <w:tcPr>
            <w:tcW w:w="1397" w:type="pct"/>
            <w:tcBorders>
              <w:top w:val="nil"/>
              <w:left w:val="nil"/>
              <w:bottom w:val="nil"/>
              <w:right w:val="nil"/>
            </w:tcBorders>
            <w:shd w:val="clear" w:color="auto" w:fill="auto"/>
            <w:noWrap/>
            <w:vAlign w:val="center"/>
            <w:hideMark/>
          </w:tcPr>
          <w:p w14:paraId="28099DDA" w14:textId="77777777" w:rsidR="00042DE4" w:rsidRPr="00042DE4" w:rsidRDefault="00042DE4" w:rsidP="001B5F32">
            <w:pPr>
              <w:spacing w:after="0" w:line="240" w:lineRule="auto"/>
              <w:rPr>
                <w:color w:val="000000"/>
                <w:sz w:val="20"/>
                <w:szCs w:val="20"/>
                <w:lang w:eastAsia="sk-SK"/>
              </w:rPr>
            </w:pPr>
            <w:r w:rsidRPr="00042DE4">
              <w:rPr>
                <w:color w:val="000000"/>
                <w:sz w:val="20"/>
                <w:szCs w:val="20"/>
                <w:lang w:eastAsia="sk-SK"/>
              </w:rPr>
              <w:t xml:space="preserve">         - kótované akcie</w:t>
            </w:r>
          </w:p>
        </w:tc>
        <w:tc>
          <w:tcPr>
            <w:tcW w:w="289" w:type="pct"/>
            <w:tcBorders>
              <w:top w:val="nil"/>
              <w:left w:val="nil"/>
              <w:bottom w:val="nil"/>
              <w:right w:val="nil"/>
            </w:tcBorders>
            <w:shd w:val="clear" w:color="auto" w:fill="auto"/>
            <w:noWrap/>
            <w:vAlign w:val="bottom"/>
            <w:hideMark/>
          </w:tcPr>
          <w:p w14:paraId="13F98E43" w14:textId="77777777" w:rsidR="00042DE4" w:rsidRPr="00042DE4" w:rsidRDefault="00042DE4" w:rsidP="001B5F32">
            <w:pPr>
              <w:spacing w:after="0" w:line="240" w:lineRule="auto"/>
              <w:rPr>
                <w:color w:val="000000"/>
                <w:sz w:val="20"/>
                <w:szCs w:val="20"/>
                <w:lang w:eastAsia="sk-SK"/>
              </w:rPr>
            </w:pPr>
          </w:p>
        </w:tc>
        <w:tc>
          <w:tcPr>
            <w:tcW w:w="623" w:type="pct"/>
            <w:tcBorders>
              <w:top w:val="nil"/>
              <w:left w:val="nil"/>
              <w:bottom w:val="nil"/>
              <w:right w:val="nil"/>
            </w:tcBorders>
            <w:shd w:val="clear" w:color="auto" w:fill="auto"/>
            <w:vAlign w:val="center"/>
            <w:hideMark/>
          </w:tcPr>
          <w:p w14:paraId="67D3608D" w14:textId="77777777" w:rsidR="00042DE4" w:rsidRPr="00042DE4" w:rsidRDefault="00042DE4" w:rsidP="001B5F32">
            <w:pPr>
              <w:spacing w:after="0" w:line="240" w:lineRule="auto"/>
              <w:jc w:val="right"/>
              <w:rPr>
                <w:sz w:val="20"/>
                <w:szCs w:val="20"/>
                <w:lang w:eastAsia="sk-SK"/>
              </w:rPr>
            </w:pPr>
            <w:r w:rsidRPr="00042DE4">
              <w:rPr>
                <w:sz w:val="20"/>
                <w:szCs w:val="20"/>
                <w:lang w:eastAsia="sk-SK"/>
              </w:rPr>
              <w:t>0</w:t>
            </w:r>
          </w:p>
        </w:tc>
        <w:tc>
          <w:tcPr>
            <w:tcW w:w="623" w:type="pct"/>
            <w:tcBorders>
              <w:top w:val="nil"/>
              <w:left w:val="nil"/>
              <w:bottom w:val="nil"/>
              <w:right w:val="nil"/>
            </w:tcBorders>
            <w:shd w:val="clear" w:color="auto" w:fill="auto"/>
            <w:vAlign w:val="center"/>
            <w:hideMark/>
          </w:tcPr>
          <w:p w14:paraId="332BF49D" w14:textId="77777777" w:rsidR="00042DE4" w:rsidRPr="00042DE4" w:rsidRDefault="00042DE4" w:rsidP="001B5F32">
            <w:pPr>
              <w:spacing w:after="0" w:line="240" w:lineRule="auto"/>
              <w:jc w:val="right"/>
              <w:rPr>
                <w:sz w:val="20"/>
                <w:szCs w:val="20"/>
                <w:lang w:eastAsia="sk-SK"/>
              </w:rPr>
            </w:pPr>
            <w:r w:rsidRPr="00042DE4">
              <w:rPr>
                <w:sz w:val="20"/>
                <w:szCs w:val="20"/>
                <w:lang w:eastAsia="sk-SK"/>
              </w:rPr>
              <w:t>0</w:t>
            </w:r>
          </w:p>
        </w:tc>
        <w:tc>
          <w:tcPr>
            <w:tcW w:w="617" w:type="pct"/>
            <w:gridSpan w:val="2"/>
            <w:tcBorders>
              <w:top w:val="nil"/>
              <w:left w:val="nil"/>
              <w:bottom w:val="nil"/>
              <w:right w:val="single" w:sz="4" w:space="0" w:color="auto"/>
            </w:tcBorders>
            <w:shd w:val="clear" w:color="auto" w:fill="auto"/>
            <w:vAlign w:val="center"/>
            <w:hideMark/>
          </w:tcPr>
          <w:p w14:paraId="3853FA63" w14:textId="77777777" w:rsidR="00042DE4" w:rsidRPr="00042DE4" w:rsidRDefault="00042DE4" w:rsidP="001B5F32">
            <w:pPr>
              <w:spacing w:after="0" w:line="240" w:lineRule="auto"/>
              <w:jc w:val="right"/>
              <w:rPr>
                <w:sz w:val="20"/>
                <w:szCs w:val="20"/>
                <w:lang w:eastAsia="sk-SK"/>
              </w:rPr>
            </w:pPr>
            <w:r w:rsidRPr="00042DE4">
              <w:rPr>
                <w:sz w:val="20"/>
                <w:szCs w:val="20"/>
                <w:lang w:eastAsia="sk-SK"/>
              </w:rPr>
              <w:t>0</w:t>
            </w:r>
          </w:p>
        </w:tc>
        <w:tc>
          <w:tcPr>
            <w:tcW w:w="483" w:type="pct"/>
            <w:gridSpan w:val="2"/>
            <w:tcBorders>
              <w:top w:val="nil"/>
              <w:left w:val="nil"/>
              <w:bottom w:val="nil"/>
              <w:right w:val="nil"/>
            </w:tcBorders>
            <w:shd w:val="clear" w:color="auto" w:fill="auto"/>
            <w:vAlign w:val="center"/>
            <w:hideMark/>
          </w:tcPr>
          <w:p w14:paraId="08B96928"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3" w:type="pct"/>
            <w:gridSpan w:val="2"/>
            <w:tcBorders>
              <w:top w:val="nil"/>
              <w:left w:val="nil"/>
              <w:bottom w:val="nil"/>
              <w:right w:val="nil"/>
            </w:tcBorders>
            <w:shd w:val="clear" w:color="auto" w:fill="auto"/>
            <w:vAlign w:val="center"/>
            <w:hideMark/>
          </w:tcPr>
          <w:p w14:paraId="4C03D80E"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c>
          <w:tcPr>
            <w:tcW w:w="485" w:type="pct"/>
            <w:gridSpan w:val="2"/>
            <w:tcBorders>
              <w:top w:val="nil"/>
              <w:left w:val="nil"/>
              <w:bottom w:val="nil"/>
              <w:right w:val="nil"/>
            </w:tcBorders>
            <w:shd w:val="clear" w:color="auto" w:fill="auto"/>
            <w:vAlign w:val="center"/>
            <w:hideMark/>
          </w:tcPr>
          <w:p w14:paraId="4A847796" w14:textId="77777777" w:rsidR="00042DE4" w:rsidRPr="00042DE4" w:rsidRDefault="00042DE4" w:rsidP="001B5F32">
            <w:pPr>
              <w:spacing w:after="0" w:line="240" w:lineRule="auto"/>
              <w:jc w:val="center"/>
              <w:rPr>
                <w:color w:val="000000"/>
                <w:sz w:val="20"/>
                <w:szCs w:val="20"/>
                <w:lang w:eastAsia="sk-SK"/>
              </w:rPr>
            </w:pPr>
            <w:r w:rsidRPr="00042DE4">
              <w:rPr>
                <w:color w:val="000000"/>
                <w:sz w:val="20"/>
                <w:szCs w:val="20"/>
              </w:rPr>
              <w:t>0,0</w:t>
            </w:r>
          </w:p>
        </w:tc>
      </w:tr>
      <w:tr w:rsidR="00042DE4" w:rsidRPr="00042DE4" w14:paraId="670FDF28" w14:textId="77777777" w:rsidTr="001B5F32">
        <w:trPr>
          <w:trHeight w:val="255"/>
        </w:trPr>
        <w:tc>
          <w:tcPr>
            <w:tcW w:w="1397" w:type="pct"/>
            <w:tcBorders>
              <w:top w:val="single" w:sz="4" w:space="0" w:color="auto"/>
              <w:left w:val="nil"/>
              <w:bottom w:val="single" w:sz="4" w:space="0" w:color="auto"/>
              <w:right w:val="nil"/>
            </w:tcBorders>
            <w:shd w:val="clear" w:color="auto" w:fill="auto"/>
            <w:noWrap/>
            <w:vAlign w:val="center"/>
            <w:hideMark/>
          </w:tcPr>
          <w:p w14:paraId="4F0C617A" w14:textId="77777777" w:rsidR="00042DE4" w:rsidRPr="00042DE4" w:rsidRDefault="00042DE4" w:rsidP="001B5F32">
            <w:pPr>
              <w:spacing w:after="0" w:line="240" w:lineRule="auto"/>
              <w:rPr>
                <w:b/>
                <w:bCs/>
                <w:color w:val="000000"/>
                <w:sz w:val="20"/>
                <w:szCs w:val="20"/>
                <w:lang w:eastAsia="sk-SK"/>
              </w:rPr>
            </w:pPr>
            <w:r w:rsidRPr="00042DE4">
              <w:rPr>
                <w:b/>
                <w:bCs/>
                <w:color w:val="000000"/>
                <w:sz w:val="20"/>
                <w:szCs w:val="20"/>
                <w:lang w:eastAsia="sk-SK"/>
              </w:rPr>
              <w:t xml:space="preserve">Čistý dlh verejnej správy </w:t>
            </w:r>
            <w:r w:rsidRPr="00042DE4">
              <w:rPr>
                <w:color w:val="000000"/>
                <w:sz w:val="20"/>
                <w:szCs w:val="20"/>
                <w:lang w:eastAsia="sk-SK"/>
              </w:rPr>
              <w:t xml:space="preserve">                              </w:t>
            </w:r>
          </w:p>
        </w:tc>
        <w:tc>
          <w:tcPr>
            <w:tcW w:w="289" w:type="pct"/>
            <w:tcBorders>
              <w:top w:val="single" w:sz="4" w:space="0" w:color="auto"/>
              <w:left w:val="nil"/>
              <w:bottom w:val="single" w:sz="4" w:space="0" w:color="auto"/>
              <w:right w:val="nil"/>
            </w:tcBorders>
            <w:shd w:val="clear" w:color="auto" w:fill="auto"/>
            <w:noWrap/>
            <w:vAlign w:val="center"/>
            <w:hideMark/>
          </w:tcPr>
          <w:p w14:paraId="29046C80"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lang w:eastAsia="sk-SK"/>
              </w:rPr>
              <w:t>(1-2)</w:t>
            </w:r>
          </w:p>
        </w:tc>
        <w:tc>
          <w:tcPr>
            <w:tcW w:w="623" w:type="pct"/>
            <w:tcBorders>
              <w:top w:val="single" w:sz="4" w:space="0" w:color="auto"/>
              <w:left w:val="nil"/>
              <w:bottom w:val="single" w:sz="4" w:space="0" w:color="auto"/>
              <w:right w:val="nil"/>
            </w:tcBorders>
            <w:shd w:val="clear" w:color="auto" w:fill="auto"/>
            <w:vAlign w:val="center"/>
            <w:hideMark/>
          </w:tcPr>
          <w:p w14:paraId="29C3228C" w14:textId="77777777" w:rsidR="00042DE4" w:rsidRPr="00042DE4" w:rsidRDefault="00042DE4" w:rsidP="001B5F32">
            <w:pPr>
              <w:spacing w:after="0" w:line="240" w:lineRule="auto"/>
              <w:jc w:val="right"/>
              <w:rPr>
                <w:b/>
                <w:bCs/>
                <w:color w:val="000000"/>
                <w:sz w:val="20"/>
                <w:szCs w:val="20"/>
                <w:lang w:eastAsia="sk-SK"/>
              </w:rPr>
            </w:pPr>
            <w:r w:rsidRPr="00042DE4">
              <w:rPr>
                <w:b/>
                <w:bCs/>
                <w:color w:val="000000"/>
                <w:sz w:val="20"/>
                <w:szCs w:val="20"/>
              </w:rPr>
              <w:t>45 674 848</w:t>
            </w:r>
          </w:p>
        </w:tc>
        <w:tc>
          <w:tcPr>
            <w:tcW w:w="623" w:type="pct"/>
            <w:tcBorders>
              <w:top w:val="single" w:sz="4" w:space="0" w:color="auto"/>
              <w:left w:val="nil"/>
              <w:bottom w:val="single" w:sz="4" w:space="0" w:color="auto"/>
              <w:right w:val="nil"/>
            </w:tcBorders>
            <w:shd w:val="clear" w:color="auto" w:fill="auto"/>
            <w:vAlign w:val="center"/>
            <w:hideMark/>
          </w:tcPr>
          <w:p w14:paraId="3E11299B" w14:textId="77777777" w:rsidR="00042DE4" w:rsidRPr="00042DE4" w:rsidRDefault="00042DE4" w:rsidP="001B5F32">
            <w:pPr>
              <w:spacing w:after="0" w:line="240" w:lineRule="auto"/>
              <w:jc w:val="right"/>
              <w:rPr>
                <w:b/>
                <w:bCs/>
                <w:color w:val="000000"/>
                <w:sz w:val="20"/>
                <w:szCs w:val="20"/>
                <w:lang w:eastAsia="sk-SK"/>
              </w:rPr>
            </w:pPr>
            <w:r w:rsidRPr="00042DE4">
              <w:rPr>
                <w:b/>
                <w:bCs/>
                <w:color w:val="000000"/>
                <w:sz w:val="20"/>
                <w:szCs w:val="20"/>
              </w:rPr>
              <w:t>49 763 429</w:t>
            </w:r>
          </w:p>
        </w:tc>
        <w:tc>
          <w:tcPr>
            <w:tcW w:w="617" w:type="pct"/>
            <w:gridSpan w:val="2"/>
            <w:tcBorders>
              <w:top w:val="single" w:sz="4" w:space="0" w:color="auto"/>
              <w:left w:val="nil"/>
              <w:bottom w:val="single" w:sz="4" w:space="0" w:color="auto"/>
              <w:right w:val="single" w:sz="4" w:space="0" w:color="auto"/>
            </w:tcBorders>
            <w:shd w:val="clear" w:color="auto" w:fill="auto"/>
            <w:vAlign w:val="center"/>
            <w:hideMark/>
          </w:tcPr>
          <w:p w14:paraId="3375E37F" w14:textId="77777777" w:rsidR="00042DE4" w:rsidRPr="00042DE4" w:rsidRDefault="00042DE4" w:rsidP="001B5F32">
            <w:pPr>
              <w:spacing w:after="0" w:line="240" w:lineRule="auto"/>
              <w:jc w:val="right"/>
              <w:rPr>
                <w:b/>
                <w:bCs/>
                <w:color w:val="000000"/>
                <w:sz w:val="20"/>
                <w:szCs w:val="20"/>
                <w:lang w:eastAsia="sk-SK"/>
              </w:rPr>
            </w:pPr>
            <w:r w:rsidRPr="00042DE4">
              <w:rPr>
                <w:b/>
                <w:bCs/>
                <w:color w:val="000000"/>
                <w:sz w:val="20"/>
                <w:szCs w:val="20"/>
              </w:rPr>
              <w:t>52 242 374</w:t>
            </w:r>
          </w:p>
        </w:tc>
        <w:tc>
          <w:tcPr>
            <w:tcW w:w="483" w:type="pct"/>
            <w:gridSpan w:val="2"/>
            <w:tcBorders>
              <w:top w:val="single" w:sz="4" w:space="0" w:color="auto"/>
              <w:left w:val="nil"/>
              <w:bottom w:val="single" w:sz="4" w:space="0" w:color="auto"/>
              <w:right w:val="nil"/>
            </w:tcBorders>
            <w:shd w:val="clear" w:color="auto" w:fill="auto"/>
            <w:vAlign w:val="center"/>
            <w:hideMark/>
          </w:tcPr>
          <w:p w14:paraId="4CA53DDA"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48,9</w:t>
            </w:r>
          </w:p>
        </w:tc>
        <w:tc>
          <w:tcPr>
            <w:tcW w:w="483" w:type="pct"/>
            <w:gridSpan w:val="2"/>
            <w:tcBorders>
              <w:top w:val="single" w:sz="4" w:space="0" w:color="auto"/>
              <w:left w:val="nil"/>
              <w:bottom w:val="single" w:sz="4" w:space="0" w:color="auto"/>
              <w:right w:val="nil"/>
            </w:tcBorders>
            <w:shd w:val="clear" w:color="auto" w:fill="auto"/>
            <w:vAlign w:val="center"/>
            <w:hideMark/>
          </w:tcPr>
          <w:p w14:paraId="7A42AF4E"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49,6</w:t>
            </w:r>
          </w:p>
        </w:tc>
        <w:tc>
          <w:tcPr>
            <w:tcW w:w="485" w:type="pct"/>
            <w:gridSpan w:val="2"/>
            <w:tcBorders>
              <w:top w:val="single" w:sz="4" w:space="0" w:color="auto"/>
              <w:left w:val="nil"/>
              <w:bottom w:val="single" w:sz="4" w:space="0" w:color="auto"/>
              <w:right w:val="nil"/>
            </w:tcBorders>
            <w:shd w:val="clear" w:color="auto" w:fill="auto"/>
            <w:vAlign w:val="center"/>
            <w:hideMark/>
          </w:tcPr>
          <w:p w14:paraId="6B4C3EBE" w14:textId="77777777" w:rsidR="00042DE4" w:rsidRPr="00042DE4" w:rsidRDefault="00042DE4" w:rsidP="001B5F32">
            <w:pPr>
              <w:spacing w:after="0" w:line="240" w:lineRule="auto"/>
              <w:jc w:val="center"/>
              <w:rPr>
                <w:b/>
                <w:bCs/>
                <w:color w:val="000000"/>
                <w:sz w:val="20"/>
                <w:szCs w:val="20"/>
                <w:lang w:eastAsia="sk-SK"/>
              </w:rPr>
            </w:pPr>
            <w:r w:rsidRPr="00042DE4">
              <w:rPr>
                <w:b/>
                <w:bCs/>
                <w:color w:val="000000"/>
                <w:sz w:val="20"/>
                <w:szCs w:val="20"/>
              </w:rPr>
              <w:t>47,6</w:t>
            </w:r>
          </w:p>
        </w:tc>
      </w:tr>
    </w:tbl>
    <w:p w14:paraId="6BB6998E" w14:textId="77777777" w:rsidR="00042DE4" w:rsidRPr="00042DE4" w:rsidRDefault="00042DE4" w:rsidP="00042DE4">
      <w:pPr>
        <w:spacing w:after="0" w:line="240" w:lineRule="auto"/>
        <w:jc w:val="right"/>
        <w:rPr>
          <w:sz w:val="18"/>
          <w:szCs w:val="18"/>
        </w:rPr>
      </w:pPr>
      <w:r w:rsidRPr="00042DE4">
        <w:rPr>
          <w:sz w:val="18"/>
          <w:szCs w:val="18"/>
          <w:lang w:eastAsia="sk-SK"/>
        </w:rPr>
        <w:t xml:space="preserve">  Zdroj: ŠÚ SR</w:t>
      </w:r>
    </w:p>
    <w:p w14:paraId="342A5848" w14:textId="143F9579" w:rsidR="00042DE4" w:rsidRPr="00042DE4" w:rsidRDefault="00042DE4" w:rsidP="00042DE4">
      <w:pPr>
        <w:spacing w:before="120" w:after="120" w:line="240" w:lineRule="auto"/>
        <w:jc w:val="both"/>
      </w:pPr>
      <w:r w:rsidRPr="00042DE4">
        <w:t xml:space="preserve">V prípade verejnej správy je súčasťou likvidných aktív najmä hotovosť na účtoch subjektov verejnej správy a v menšej </w:t>
      </w:r>
      <w:r w:rsidRPr="00042DE4">
        <w:rPr>
          <w:szCs w:val="22"/>
        </w:rPr>
        <w:t>miere</w:t>
      </w:r>
      <w:r w:rsidRPr="00042DE4">
        <w:t xml:space="preserve"> cenné papiere. </w:t>
      </w:r>
      <w:r w:rsidRPr="005C0165">
        <w:rPr>
          <w:b/>
        </w:rPr>
        <w:t>V roku 2022 oproti roku 2021 úroveň vkladov a obeživa poklesla o vyše 300 000 tis. eur,</w:t>
      </w:r>
      <w:r w:rsidRPr="00042DE4">
        <w:t xml:space="preserve"> najmä u rozpočtových organizácií štátu a</w:t>
      </w:r>
      <w:r w:rsidR="000620F9">
        <w:t> </w:t>
      </w:r>
      <w:r w:rsidRPr="00042DE4">
        <w:t>obcí</w:t>
      </w:r>
      <w:r w:rsidR="000620F9">
        <w:t>. H</w:t>
      </w:r>
      <w:r w:rsidR="009F3851">
        <w:t>otovostná rezerva štátu k 31. 12. 2022 dosiahla 8 556 910 tis. eur</w:t>
      </w:r>
      <w:r w:rsidR="000620F9">
        <w:t xml:space="preserve"> a jej úroveň sa oproti predchádzajúcemu roku znížila o 600 990 tis. eur.</w:t>
      </w:r>
      <w:r w:rsidRPr="00042DE4">
        <w:t xml:space="preserve"> </w:t>
      </w:r>
      <w:r w:rsidR="009F3851">
        <w:t>N</w:t>
      </w:r>
      <w:r w:rsidRPr="00042DE4">
        <w:t>ajvýraznejšie medziročné nárasty na tejto položke zaznamenali Environmentálny fond, Sociálna poisťovňa a Eximbanka a v rámci ostatných subjektov ústrednej správy Valaliky Industria</w:t>
      </w:r>
      <w:r w:rsidR="005C0165">
        <w:t>l</w:t>
      </w:r>
      <w:r w:rsidRPr="00042DE4">
        <w:t xml:space="preserve"> Park. Oproti jarnej notifikácii prišlo k aktualizácii údajov, pričom za sledované obdobie 2019 – 2022 mala vplyv štandardná </w:t>
      </w:r>
      <w:proofErr w:type="spellStart"/>
      <w:r w:rsidRPr="00042DE4">
        <w:t>reklasifikácia</w:t>
      </w:r>
      <w:proofErr w:type="spellEnd"/>
      <w:r w:rsidRPr="00042DE4">
        <w:t xml:space="preserve"> jednotiek. </w:t>
      </w:r>
    </w:p>
    <w:p w14:paraId="57898554" w14:textId="77777777" w:rsidR="00042DE4" w:rsidRPr="00042DE4" w:rsidRDefault="00042DE4" w:rsidP="00042DE4">
      <w:pPr>
        <w:spacing w:after="0" w:line="240" w:lineRule="auto"/>
        <w:jc w:val="both"/>
      </w:pPr>
      <w:r w:rsidRPr="00042DE4">
        <w:t>Cenné papiere v aktívach predstavujú najmä cenné papiere obcí, kde prišlo k medziročnému poklesu.</w:t>
      </w:r>
    </w:p>
    <w:p w14:paraId="5FBC6E61" w14:textId="015B6325" w:rsidR="000A0D79" w:rsidRDefault="000A0D79">
      <w:pPr>
        <w:rPr>
          <w:szCs w:val="22"/>
        </w:rPr>
      </w:pPr>
      <w:r>
        <w:rPr>
          <w:szCs w:val="22"/>
        </w:rPr>
        <w:br w:type="page"/>
      </w:r>
    </w:p>
    <w:p w14:paraId="6D19D152" w14:textId="19C2107F" w:rsidR="003D050C" w:rsidRPr="00170393" w:rsidRDefault="00042DE4" w:rsidP="00A615D3">
      <w:pPr>
        <w:pStyle w:val="Nadpis2"/>
        <w:numPr>
          <w:ilvl w:val="0"/>
          <w:numId w:val="0"/>
        </w:numPr>
        <w:ind w:left="728" w:firstLine="168"/>
      </w:pPr>
      <w:bookmarkStart w:id="22" w:name="_Toc496786978"/>
      <w:bookmarkStart w:id="23" w:name="_Toc148704467"/>
      <w:r w:rsidRPr="00170393">
        <w:lastRenderedPageBreak/>
        <w:t>1</w:t>
      </w:r>
      <w:r w:rsidR="00A615D3" w:rsidRPr="00170393">
        <w:t>.</w:t>
      </w:r>
      <w:r w:rsidR="000231EB" w:rsidRPr="00170393">
        <w:t>5</w:t>
      </w:r>
      <w:r w:rsidR="00A615D3" w:rsidRPr="00170393">
        <w:t>.</w:t>
      </w:r>
      <w:r w:rsidR="00A615D3" w:rsidRPr="00170393">
        <w:tab/>
      </w:r>
      <w:r w:rsidR="003D050C" w:rsidRPr="00170393">
        <w:t>Porovnanie salda a dlhu verejnej správy v rámci Európskej únie</w:t>
      </w:r>
      <w:bookmarkEnd w:id="22"/>
      <w:bookmarkEnd w:id="23"/>
    </w:p>
    <w:p w14:paraId="78122CDA" w14:textId="77777777" w:rsidR="00170393" w:rsidRPr="00BB4B6F" w:rsidRDefault="00170393" w:rsidP="00170393">
      <w:pPr>
        <w:spacing w:after="120" w:line="240" w:lineRule="auto"/>
        <w:jc w:val="both"/>
        <w:rPr>
          <w:b/>
          <w:bCs/>
          <w:szCs w:val="22"/>
          <w:highlight w:val="yellow"/>
          <w:lang w:eastAsia="sk-SK"/>
        </w:rPr>
      </w:pPr>
      <w:r w:rsidRPr="00FD2599">
        <w:rPr>
          <w:szCs w:val="22"/>
        </w:rPr>
        <w:t>V rámci Európskej únie (27 krajín) v roku 2022 dosiahlo 1</w:t>
      </w:r>
      <w:r>
        <w:rPr>
          <w:szCs w:val="22"/>
        </w:rPr>
        <w:t>5 krajín vyšší schodok a 13</w:t>
      </w:r>
      <w:r w:rsidRPr="00FD2599">
        <w:rPr>
          <w:szCs w:val="22"/>
        </w:rPr>
        <w:t xml:space="preserve"> krajín dosiahlo vyšší dlh verejnej správy ako Slovenská republika. </w:t>
      </w:r>
      <w:r w:rsidRPr="00FD2599">
        <w:rPr>
          <w:b/>
          <w:bCs/>
          <w:szCs w:val="22"/>
          <w:lang w:eastAsia="sk-SK"/>
        </w:rPr>
        <w:t xml:space="preserve">Priemerný schodok EÚ27 bol 3,3 % HDP (Slovensko schodok 2,0 % HDP) a priemerný dlh verejnej správy EÚ27 bol 83,5 % HDP (Slovensko 57,8 % HDP) v roku 2022. </w:t>
      </w:r>
    </w:p>
    <w:p w14:paraId="6C4FA23A" w14:textId="57BD090A" w:rsidR="00170393" w:rsidRDefault="00170393" w:rsidP="00170393">
      <w:pPr>
        <w:spacing w:line="240" w:lineRule="auto"/>
        <w:jc w:val="both"/>
        <w:rPr>
          <w:szCs w:val="22"/>
        </w:rPr>
      </w:pPr>
      <w:r w:rsidRPr="00FD2599">
        <w:rPr>
          <w:szCs w:val="22"/>
        </w:rPr>
        <w:t xml:space="preserve">V rámci krajín EÚ27 došlo k nárastu HDP o 1 266 411 mil. eur (o 8,0 %) a nárastu dlhu o 482 028 mil. eur (o 3,6 %). Slovenská republika dosiahla </w:t>
      </w:r>
      <w:r w:rsidRPr="000B44E4">
        <w:rPr>
          <w:szCs w:val="22"/>
        </w:rPr>
        <w:t xml:space="preserve">v porovnaní s priemerom krajín EÚ aj Eurozóny lepšie hodnoty deficitu a dlhu. Medziročne v porovnaní s ostatnými EÚ krajinami dosiahla Slovenská republika </w:t>
      </w:r>
      <w:r>
        <w:rPr>
          <w:szCs w:val="22"/>
        </w:rPr>
        <w:t xml:space="preserve">(spolu s Írskom) </w:t>
      </w:r>
      <w:r w:rsidRPr="000B44E4">
        <w:rPr>
          <w:szCs w:val="22"/>
        </w:rPr>
        <w:t>tretie najvyššie medziročné zlepšenie deficitu oproti roku 2021.</w:t>
      </w:r>
    </w:p>
    <w:p w14:paraId="7FB06C8A" w14:textId="3BA79D27" w:rsidR="000D6986" w:rsidRPr="00BB4B6F" w:rsidRDefault="000D6986" w:rsidP="000D6986">
      <w:pPr>
        <w:spacing w:after="120" w:line="240" w:lineRule="auto"/>
        <w:jc w:val="both"/>
        <w:rPr>
          <w:szCs w:val="22"/>
          <w:highlight w:val="yellow"/>
        </w:rPr>
      </w:pPr>
      <w:r w:rsidRPr="0078191C">
        <w:rPr>
          <w:szCs w:val="22"/>
        </w:rPr>
        <w:t>V porovnaní s predchádzajúcim rokom nastalo takmer u všetkých krajín zlepšenie hospodárenia, t. j. percentuálne poklesol</w:t>
      </w:r>
      <w:r w:rsidRPr="00995ABF">
        <w:rPr>
          <w:szCs w:val="22"/>
        </w:rPr>
        <w:t xml:space="preserve"> vládny schodok aj vládny dlh. V Eurozóne (19) podiel deficitu k HDP klesol zo 5,2</w:t>
      </w:r>
      <w:r w:rsidR="00D12064">
        <w:rPr>
          <w:szCs w:val="22"/>
        </w:rPr>
        <w:t> </w:t>
      </w:r>
      <w:r w:rsidRPr="00995ABF">
        <w:rPr>
          <w:szCs w:val="22"/>
        </w:rPr>
        <w:t>% v roku 2021 na 3,6 % HDP v roku 2022 (t. j. zlepšenie o 1,6 p. b.) a v rámci EÚ z 4,7 % HDP na 3,3 % HDP (t. j. zlepšenie o 1,4 p. b.). V Eurozóne (19) podiel vládneho dlhu klesol z 94,8 % ku koncu roka 2021 na 91,0 % HDP (t. j. zlepšenie o 3,8 p. b.)  ku koncu roka 2022 a v rámci EÚ z 87,4 % na 83,5 % HDP (t. j. zlepšenie o 3,9 p. b.).</w:t>
      </w:r>
    </w:p>
    <w:p w14:paraId="2E40E4DE" w14:textId="77777777" w:rsidR="000D6986" w:rsidRPr="009A5757" w:rsidRDefault="000D6986" w:rsidP="000D6986">
      <w:pPr>
        <w:spacing w:after="120" w:line="240" w:lineRule="auto"/>
        <w:jc w:val="both"/>
        <w:rPr>
          <w:szCs w:val="22"/>
          <w:highlight w:val="yellow"/>
        </w:rPr>
      </w:pPr>
      <w:r w:rsidRPr="00461BCC">
        <w:rPr>
          <w:szCs w:val="22"/>
        </w:rPr>
        <w:t xml:space="preserve">Najvyššie schodky verejnej správy v rámci EÚ 27 v roku 2022 vykázali krajiny ako Taliansko 8,0 %, Rumunsko 6,3 %, Maďarsko 6,2 %, Malta 5,7 %, Francúzsko 4,8 %, Španielsko 4,7 % a Lotyšsko 4,6 %. </w:t>
      </w:r>
      <w:r w:rsidRPr="009A5757">
        <w:rPr>
          <w:szCs w:val="22"/>
        </w:rPr>
        <w:t>Medziročné zlepšenie dosiahlo Grécko o 4,6 p. b., Cyprus o 4,3 p. b., Slovensko a Írsko o 3,2 p. b, Chorvátsko a Lotyšsko o 2,6 p. b. a Rakúsko o 2,3 p. b. Medziročné zhoršenie dosiahli len tri krajiny, a to Poľsko o 1,9 p. b., Luxembursko o 0,9 p. b. a Dánsko o 0,8 p. b. Ostatné krajiny zaznamenali zlepšenie hospodárenia oproti predchádzajúcemu roku.</w:t>
      </w:r>
    </w:p>
    <w:p w14:paraId="0A98E082" w14:textId="198CF6F8" w:rsidR="000D6986" w:rsidRPr="00D644D8" w:rsidRDefault="000D6986" w:rsidP="000D6986">
      <w:pPr>
        <w:spacing w:line="240" w:lineRule="auto"/>
        <w:jc w:val="both"/>
        <w:rPr>
          <w:szCs w:val="22"/>
        </w:rPr>
      </w:pPr>
      <w:r w:rsidRPr="009A5757">
        <w:rPr>
          <w:szCs w:val="22"/>
        </w:rPr>
        <w:t xml:space="preserve">Medzi krajinami s najvyšším dlhom sa nachádzajú krajiny s dlhodobo vysokými </w:t>
      </w:r>
      <w:r>
        <w:rPr>
          <w:szCs w:val="22"/>
        </w:rPr>
        <w:t>dlhmi ako Grécko a Taliansko. Šes</w:t>
      </w:r>
      <w:r w:rsidRPr="009A5757">
        <w:rPr>
          <w:szCs w:val="22"/>
        </w:rPr>
        <w:t xml:space="preserve">ť krajín dosiahlo úroveň zadlženosti nad 100 % HDP. Najvyšší dlh verejnej správy v roku 2022 opäť </w:t>
      </w:r>
      <w:r w:rsidRPr="008E77D0">
        <w:rPr>
          <w:szCs w:val="22"/>
        </w:rPr>
        <w:t>vykázalo Grécko 172,6 % HDP, Taliansko 141,7 % HDP, Portugalsko 112,4 % HDP, Francúzsko 111,8 %</w:t>
      </w:r>
      <w:r>
        <w:rPr>
          <w:szCs w:val="22"/>
        </w:rPr>
        <w:t xml:space="preserve">, </w:t>
      </w:r>
      <w:r w:rsidRPr="008E77D0">
        <w:rPr>
          <w:szCs w:val="22"/>
        </w:rPr>
        <w:t>Španielsko 111,6 % HDP</w:t>
      </w:r>
      <w:r>
        <w:rPr>
          <w:szCs w:val="22"/>
        </w:rPr>
        <w:t xml:space="preserve"> a Belgicko 104,3 %</w:t>
      </w:r>
      <w:r w:rsidRPr="008E77D0">
        <w:rPr>
          <w:szCs w:val="22"/>
        </w:rPr>
        <w:t xml:space="preserve">. </w:t>
      </w:r>
      <w:r w:rsidRPr="00D644D8">
        <w:rPr>
          <w:szCs w:val="22"/>
        </w:rPr>
        <w:t>Medziročný nárast dlhu dosiahli len  štyri krajiny, a to Česká republika o 2,2 p. b., Fínsko o 0,8 p. b., Estónsko o 0,7 p. b. a Luxembursko o 0,2 p. b. K najvýraznejšiemu medziročné</w:t>
      </w:r>
      <w:r w:rsidRPr="008E77D0">
        <w:rPr>
          <w:szCs w:val="22"/>
        </w:rPr>
        <w:t>mu zníženiu zadlženia došlo v </w:t>
      </w:r>
      <w:r w:rsidRPr="00211226">
        <w:rPr>
          <w:szCs w:val="22"/>
        </w:rPr>
        <w:t>krajinách ako Grécko až o 22,4 p. b., Cyprus o 13,7 p. b., Portugalsko o 12,1 p. b., Írsko o 10,0 p. b. a Chorvátsko o 9,9 p. b</w:t>
      </w:r>
      <w:r w:rsidRPr="00D644D8">
        <w:rPr>
          <w:szCs w:val="22"/>
        </w:rPr>
        <w:t xml:space="preserve">. </w:t>
      </w:r>
      <w:r w:rsidRPr="00F7120B">
        <w:rPr>
          <w:szCs w:val="22"/>
        </w:rPr>
        <w:t>Ostatné krajiny zaznamenali zníženie zadlženosti oproti predchádzajúcemu roku.</w:t>
      </w:r>
      <w:r>
        <w:rPr>
          <w:szCs w:val="22"/>
        </w:rPr>
        <w:t xml:space="preserve"> </w:t>
      </w:r>
      <w:r w:rsidRPr="00D644D8">
        <w:rPr>
          <w:szCs w:val="22"/>
        </w:rPr>
        <w:t>Najnižší dlh vykázalo opäť Estónsko vo výške 18,5 % HDP, Bulharsko 22,6 % HDP, Luxembursko 24,7 % HDP a Dánsko 29,8 %</w:t>
      </w:r>
      <w:r w:rsidR="008803F6">
        <w:rPr>
          <w:szCs w:val="22"/>
        </w:rPr>
        <w:t> </w:t>
      </w:r>
      <w:bookmarkStart w:id="24" w:name="_GoBack"/>
      <w:bookmarkEnd w:id="24"/>
      <w:r w:rsidRPr="00D644D8">
        <w:rPr>
          <w:szCs w:val="22"/>
        </w:rPr>
        <w:t>HDP.</w:t>
      </w:r>
    </w:p>
    <w:p w14:paraId="0A10A6B8" w14:textId="77777777" w:rsidR="000D6986" w:rsidRDefault="000D6986" w:rsidP="00170393">
      <w:pPr>
        <w:spacing w:line="240" w:lineRule="auto"/>
        <w:jc w:val="both"/>
        <w:rPr>
          <w:szCs w:val="22"/>
        </w:rPr>
      </w:pPr>
    </w:p>
    <w:p w14:paraId="60260C35" w14:textId="7095993D" w:rsidR="000D6986" w:rsidRDefault="000D6986" w:rsidP="00170393">
      <w:pPr>
        <w:spacing w:line="240" w:lineRule="auto"/>
        <w:jc w:val="both"/>
        <w:rPr>
          <w:szCs w:val="22"/>
        </w:rPr>
      </w:pPr>
    </w:p>
    <w:p w14:paraId="3624A6EE" w14:textId="4E4326AC" w:rsidR="000D6986" w:rsidRDefault="000D6986" w:rsidP="00170393">
      <w:pPr>
        <w:spacing w:line="240" w:lineRule="auto"/>
        <w:jc w:val="both"/>
        <w:rPr>
          <w:szCs w:val="22"/>
        </w:rPr>
      </w:pPr>
    </w:p>
    <w:p w14:paraId="012F63C3" w14:textId="67F64B83" w:rsidR="000A0D79" w:rsidRDefault="000A0D79">
      <w:pPr>
        <w:rPr>
          <w:szCs w:val="22"/>
        </w:rPr>
      </w:pPr>
      <w:r>
        <w:rPr>
          <w:szCs w:val="22"/>
        </w:rPr>
        <w:br w:type="page"/>
      </w:r>
    </w:p>
    <w:p w14:paraId="6EBBD4E0" w14:textId="77777777" w:rsidR="000D6986" w:rsidRDefault="000D6986" w:rsidP="00170393">
      <w:pPr>
        <w:spacing w:line="240" w:lineRule="auto"/>
        <w:jc w:val="both"/>
        <w:rPr>
          <w:szCs w:val="22"/>
        </w:rPr>
      </w:pPr>
    </w:p>
    <w:p w14:paraId="76E7568E" w14:textId="77777777" w:rsidR="00CB64EF" w:rsidRPr="00ED5DB1" w:rsidRDefault="00CB64EF" w:rsidP="00CB64EF">
      <w:pPr>
        <w:spacing w:after="0" w:line="240" w:lineRule="auto"/>
        <w:jc w:val="both"/>
        <w:rPr>
          <w:szCs w:val="22"/>
        </w:rPr>
      </w:pPr>
      <w:r w:rsidRPr="00ED5DB1">
        <w:rPr>
          <w:b/>
          <w:bCs/>
          <w:color w:val="4F81BD"/>
          <w:sz w:val="20"/>
          <w:szCs w:val="20"/>
          <w:lang w:eastAsia="sk-SK"/>
        </w:rPr>
        <w:t xml:space="preserve">Tabuľka 8 </w:t>
      </w:r>
      <w:r w:rsidRPr="00ED5DB1">
        <w:rPr>
          <w:bCs/>
          <w:color w:val="4F81BD"/>
          <w:sz w:val="20"/>
          <w:szCs w:val="20"/>
          <w:lang w:eastAsia="sk-SK"/>
        </w:rPr>
        <w:t>-</w:t>
      </w:r>
      <w:r w:rsidRPr="00ED5DB1">
        <w:rPr>
          <w:b/>
          <w:bCs/>
          <w:color w:val="4F81BD"/>
          <w:sz w:val="20"/>
          <w:szCs w:val="20"/>
          <w:lang w:eastAsia="sk-SK"/>
        </w:rPr>
        <w:t xml:space="preserve"> Saldo a dlh verejnej správy v EÚ27                                                                                             v % HDP</w:t>
      </w:r>
      <w:r w:rsidRPr="00ED5DB1">
        <w:rPr>
          <w:b/>
          <w:bCs/>
          <w:color w:val="4F81BD"/>
          <w:sz w:val="20"/>
          <w:szCs w:val="20"/>
          <w:vertAlign w:val="superscript"/>
          <w:lang w:eastAsia="sk-SK"/>
        </w:rPr>
        <w:t>1)</w:t>
      </w:r>
    </w:p>
    <w:tbl>
      <w:tblPr>
        <w:tblW w:w="9404" w:type="dxa"/>
        <w:tblCellMar>
          <w:left w:w="70" w:type="dxa"/>
          <w:right w:w="70" w:type="dxa"/>
        </w:tblCellMar>
        <w:tblLook w:val="04A0" w:firstRow="1" w:lastRow="0" w:firstColumn="1" w:lastColumn="0" w:noHBand="0" w:noVBand="1"/>
      </w:tblPr>
      <w:tblGrid>
        <w:gridCol w:w="1542"/>
        <w:gridCol w:w="764"/>
        <w:gridCol w:w="826"/>
        <w:gridCol w:w="742"/>
        <w:gridCol w:w="728"/>
        <w:gridCol w:w="1453"/>
        <w:gridCol w:w="843"/>
        <w:gridCol w:w="843"/>
        <w:gridCol w:w="864"/>
        <w:gridCol w:w="799"/>
      </w:tblGrid>
      <w:tr w:rsidR="00CB64EF" w:rsidRPr="00E03AC1" w14:paraId="15E28C47" w14:textId="77777777" w:rsidTr="002847E9">
        <w:trPr>
          <w:trHeight w:val="259"/>
        </w:trPr>
        <w:tc>
          <w:tcPr>
            <w:tcW w:w="4602"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32B113"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 xml:space="preserve">Saldo verejnej správy </w:t>
            </w:r>
          </w:p>
        </w:tc>
        <w:tc>
          <w:tcPr>
            <w:tcW w:w="4802" w:type="dxa"/>
            <w:gridSpan w:val="5"/>
            <w:tcBorders>
              <w:top w:val="single" w:sz="4" w:space="0" w:color="auto"/>
              <w:left w:val="nil"/>
              <w:bottom w:val="single" w:sz="4" w:space="0" w:color="auto"/>
              <w:right w:val="single" w:sz="4" w:space="0" w:color="auto"/>
            </w:tcBorders>
            <w:shd w:val="clear" w:color="auto" w:fill="auto"/>
            <w:vAlign w:val="center"/>
            <w:hideMark/>
          </w:tcPr>
          <w:p w14:paraId="39C00091"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 xml:space="preserve">Hrubý dlh verejnej správy </w:t>
            </w:r>
          </w:p>
        </w:tc>
      </w:tr>
      <w:tr w:rsidR="00CB64EF" w:rsidRPr="00E03AC1" w14:paraId="36C0DD24" w14:textId="77777777" w:rsidTr="002847E9">
        <w:trPr>
          <w:trHeight w:val="477"/>
        </w:trPr>
        <w:tc>
          <w:tcPr>
            <w:tcW w:w="1542" w:type="dxa"/>
            <w:tcBorders>
              <w:top w:val="nil"/>
              <w:left w:val="single" w:sz="4" w:space="0" w:color="auto"/>
              <w:bottom w:val="single" w:sz="4" w:space="0" w:color="auto"/>
              <w:right w:val="nil"/>
            </w:tcBorders>
            <w:shd w:val="clear" w:color="auto" w:fill="auto"/>
            <w:vAlign w:val="center"/>
            <w:hideMark/>
          </w:tcPr>
          <w:p w14:paraId="2F2C2BDA" w14:textId="77777777" w:rsidR="00CB64EF" w:rsidRPr="00E03AC1" w:rsidRDefault="00CB64EF" w:rsidP="002847E9">
            <w:pPr>
              <w:spacing w:after="0" w:line="240" w:lineRule="auto"/>
              <w:rPr>
                <w:b/>
                <w:bCs/>
                <w:sz w:val="20"/>
                <w:szCs w:val="20"/>
                <w:lang w:eastAsia="sk-SK"/>
              </w:rPr>
            </w:pPr>
            <w:r w:rsidRPr="00E03AC1">
              <w:rPr>
                <w:b/>
                <w:bCs/>
                <w:sz w:val="20"/>
                <w:szCs w:val="20"/>
                <w:lang w:eastAsia="sk-SK"/>
              </w:rPr>
              <w:t> </w:t>
            </w:r>
          </w:p>
        </w:tc>
        <w:tc>
          <w:tcPr>
            <w:tcW w:w="764" w:type="dxa"/>
            <w:tcBorders>
              <w:top w:val="nil"/>
              <w:left w:val="nil"/>
              <w:bottom w:val="single" w:sz="4" w:space="0" w:color="auto"/>
              <w:right w:val="nil"/>
            </w:tcBorders>
            <w:shd w:val="clear" w:color="auto" w:fill="auto"/>
            <w:vAlign w:val="center"/>
            <w:hideMark/>
          </w:tcPr>
          <w:p w14:paraId="4C9B1C8B" w14:textId="77777777" w:rsidR="00CB64EF" w:rsidRPr="00E03AC1" w:rsidRDefault="00CB64EF" w:rsidP="002847E9">
            <w:pPr>
              <w:spacing w:after="0" w:line="240" w:lineRule="auto"/>
              <w:jc w:val="center"/>
              <w:rPr>
                <w:b/>
                <w:bCs/>
                <w:sz w:val="20"/>
                <w:szCs w:val="20"/>
                <w:lang w:eastAsia="sk-SK"/>
              </w:rPr>
            </w:pPr>
            <w:r>
              <w:rPr>
                <w:b/>
                <w:bCs/>
                <w:sz w:val="20"/>
                <w:szCs w:val="20"/>
                <w:lang w:eastAsia="sk-SK"/>
              </w:rPr>
              <w:t>2020</w:t>
            </w:r>
          </w:p>
        </w:tc>
        <w:tc>
          <w:tcPr>
            <w:tcW w:w="826" w:type="dxa"/>
            <w:tcBorders>
              <w:top w:val="nil"/>
              <w:left w:val="nil"/>
              <w:bottom w:val="single" w:sz="4" w:space="0" w:color="auto"/>
              <w:right w:val="nil"/>
            </w:tcBorders>
            <w:shd w:val="clear" w:color="auto" w:fill="auto"/>
            <w:vAlign w:val="center"/>
            <w:hideMark/>
          </w:tcPr>
          <w:p w14:paraId="75A2CBDF"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2</w:t>
            </w:r>
            <w:r>
              <w:rPr>
                <w:b/>
                <w:bCs/>
                <w:sz w:val="20"/>
                <w:szCs w:val="20"/>
                <w:lang w:eastAsia="sk-SK"/>
              </w:rPr>
              <w:t>021</w:t>
            </w:r>
          </w:p>
        </w:tc>
        <w:tc>
          <w:tcPr>
            <w:tcW w:w="742" w:type="dxa"/>
            <w:tcBorders>
              <w:top w:val="nil"/>
              <w:left w:val="nil"/>
              <w:bottom w:val="single" w:sz="4" w:space="0" w:color="auto"/>
              <w:right w:val="nil"/>
            </w:tcBorders>
            <w:shd w:val="clear" w:color="auto" w:fill="auto"/>
            <w:vAlign w:val="center"/>
            <w:hideMark/>
          </w:tcPr>
          <w:p w14:paraId="01741FE1"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202</w:t>
            </w:r>
            <w:r>
              <w:rPr>
                <w:b/>
                <w:bCs/>
                <w:sz w:val="20"/>
                <w:szCs w:val="20"/>
                <w:lang w:eastAsia="sk-SK"/>
              </w:rPr>
              <w:t>2</w:t>
            </w:r>
          </w:p>
        </w:tc>
        <w:tc>
          <w:tcPr>
            <w:tcW w:w="728" w:type="dxa"/>
            <w:tcBorders>
              <w:top w:val="nil"/>
              <w:left w:val="nil"/>
              <w:bottom w:val="single" w:sz="4" w:space="0" w:color="auto"/>
              <w:right w:val="nil"/>
            </w:tcBorders>
            <w:shd w:val="clear" w:color="auto" w:fill="auto"/>
            <w:vAlign w:val="center"/>
            <w:hideMark/>
          </w:tcPr>
          <w:p w14:paraId="5EF7A393"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Δ 202</w:t>
            </w:r>
            <w:r>
              <w:rPr>
                <w:b/>
                <w:bCs/>
                <w:sz w:val="20"/>
                <w:szCs w:val="20"/>
                <w:lang w:eastAsia="sk-SK"/>
              </w:rPr>
              <w:t>2 -2021</w:t>
            </w:r>
          </w:p>
        </w:tc>
        <w:tc>
          <w:tcPr>
            <w:tcW w:w="1453" w:type="dxa"/>
            <w:tcBorders>
              <w:top w:val="nil"/>
              <w:left w:val="single" w:sz="4" w:space="0" w:color="auto"/>
              <w:bottom w:val="single" w:sz="4" w:space="0" w:color="auto"/>
              <w:right w:val="nil"/>
            </w:tcBorders>
            <w:shd w:val="clear" w:color="auto" w:fill="auto"/>
            <w:noWrap/>
            <w:vAlign w:val="center"/>
            <w:hideMark/>
          </w:tcPr>
          <w:p w14:paraId="5D4B1804" w14:textId="77777777" w:rsidR="00CB64EF" w:rsidRPr="00E03AC1" w:rsidRDefault="00CB64EF" w:rsidP="002847E9">
            <w:pPr>
              <w:spacing w:after="0" w:line="240" w:lineRule="auto"/>
              <w:ind w:firstLineChars="100" w:firstLine="200"/>
              <w:jc w:val="right"/>
              <w:rPr>
                <w:b/>
                <w:bCs/>
                <w:sz w:val="20"/>
                <w:szCs w:val="20"/>
                <w:lang w:eastAsia="sk-SK"/>
              </w:rPr>
            </w:pPr>
            <w:r w:rsidRPr="00E03AC1">
              <w:rPr>
                <w:b/>
                <w:bCs/>
                <w:sz w:val="20"/>
                <w:szCs w:val="20"/>
                <w:lang w:eastAsia="sk-SK"/>
              </w:rPr>
              <w:t> </w:t>
            </w:r>
          </w:p>
        </w:tc>
        <w:tc>
          <w:tcPr>
            <w:tcW w:w="843" w:type="dxa"/>
            <w:tcBorders>
              <w:top w:val="nil"/>
              <w:left w:val="nil"/>
              <w:bottom w:val="single" w:sz="4" w:space="0" w:color="auto"/>
              <w:right w:val="nil"/>
            </w:tcBorders>
            <w:shd w:val="clear" w:color="auto" w:fill="auto"/>
            <w:vAlign w:val="center"/>
            <w:hideMark/>
          </w:tcPr>
          <w:p w14:paraId="24E5400D" w14:textId="77777777" w:rsidR="00CB64EF" w:rsidRPr="00E03AC1" w:rsidRDefault="00CB64EF" w:rsidP="002847E9">
            <w:pPr>
              <w:spacing w:after="0" w:line="240" w:lineRule="auto"/>
              <w:jc w:val="center"/>
              <w:rPr>
                <w:b/>
                <w:bCs/>
                <w:sz w:val="20"/>
                <w:szCs w:val="20"/>
                <w:lang w:eastAsia="sk-SK"/>
              </w:rPr>
            </w:pPr>
            <w:r>
              <w:rPr>
                <w:b/>
                <w:bCs/>
                <w:sz w:val="20"/>
                <w:szCs w:val="20"/>
                <w:lang w:eastAsia="sk-SK"/>
              </w:rPr>
              <w:t>2020</w:t>
            </w:r>
          </w:p>
        </w:tc>
        <w:tc>
          <w:tcPr>
            <w:tcW w:w="843" w:type="dxa"/>
            <w:tcBorders>
              <w:top w:val="nil"/>
              <w:left w:val="nil"/>
              <w:bottom w:val="single" w:sz="4" w:space="0" w:color="auto"/>
              <w:right w:val="nil"/>
            </w:tcBorders>
            <w:shd w:val="clear" w:color="auto" w:fill="auto"/>
            <w:vAlign w:val="center"/>
            <w:hideMark/>
          </w:tcPr>
          <w:p w14:paraId="09D6EA19"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2</w:t>
            </w:r>
            <w:r>
              <w:rPr>
                <w:b/>
                <w:bCs/>
                <w:sz w:val="20"/>
                <w:szCs w:val="20"/>
                <w:lang w:eastAsia="sk-SK"/>
              </w:rPr>
              <w:t>021</w:t>
            </w:r>
          </w:p>
        </w:tc>
        <w:tc>
          <w:tcPr>
            <w:tcW w:w="864" w:type="dxa"/>
            <w:tcBorders>
              <w:top w:val="nil"/>
              <w:left w:val="nil"/>
              <w:bottom w:val="single" w:sz="4" w:space="0" w:color="auto"/>
              <w:right w:val="nil"/>
            </w:tcBorders>
            <w:shd w:val="clear" w:color="auto" w:fill="auto"/>
            <w:vAlign w:val="center"/>
            <w:hideMark/>
          </w:tcPr>
          <w:p w14:paraId="14DF7D7A"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202</w:t>
            </w:r>
            <w:r>
              <w:rPr>
                <w:b/>
                <w:bCs/>
                <w:sz w:val="20"/>
                <w:szCs w:val="20"/>
                <w:lang w:eastAsia="sk-SK"/>
              </w:rPr>
              <w:t>2</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CDD743B" w14:textId="77777777" w:rsidR="00CB64EF" w:rsidRPr="00E03AC1" w:rsidRDefault="00CB64EF" w:rsidP="002847E9">
            <w:pPr>
              <w:spacing w:after="0" w:line="240" w:lineRule="auto"/>
              <w:jc w:val="center"/>
              <w:rPr>
                <w:b/>
                <w:bCs/>
                <w:sz w:val="20"/>
                <w:szCs w:val="20"/>
                <w:lang w:eastAsia="sk-SK"/>
              </w:rPr>
            </w:pPr>
            <w:r w:rsidRPr="00E03AC1">
              <w:rPr>
                <w:b/>
                <w:bCs/>
                <w:sz w:val="20"/>
                <w:szCs w:val="20"/>
                <w:lang w:eastAsia="sk-SK"/>
              </w:rPr>
              <w:t>Δ 202</w:t>
            </w:r>
            <w:r>
              <w:rPr>
                <w:b/>
                <w:bCs/>
                <w:sz w:val="20"/>
                <w:szCs w:val="20"/>
                <w:lang w:eastAsia="sk-SK"/>
              </w:rPr>
              <w:t>2 -2021</w:t>
            </w:r>
          </w:p>
        </w:tc>
      </w:tr>
      <w:tr w:rsidR="00C061D1" w:rsidRPr="00E03AC1" w14:paraId="2812BF94"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1FF08286" w14:textId="77777777" w:rsidR="00C061D1" w:rsidRPr="00E03AC1" w:rsidRDefault="00C061D1" w:rsidP="00C061D1">
            <w:pPr>
              <w:spacing w:after="0" w:line="240" w:lineRule="auto"/>
              <w:rPr>
                <w:b/>
                <w:bCs/>
                <w:sz w:val="20"/>
                <w:szCs w:val="20"/>
                <w:lang w:eastAsia="sk-SK"/>
              </w:rPr>
            </w:pPr>
            <w:r>
              <w:rPr>
                <w:b/>
                <w:bCs/>
                <w:sz w:val="20"/>
                <w:szCs w:val="20"/>
              </w:rPr>
              <w:t>EÚ (27 krajín)</w:t>
            </w:r>
          </w:p>
        </w:tc>
        <w:tc>
          <w:tcPr>
            <w:tcW w:w="764" w:type="dxa"/>
            <w:tcBorders>
              <w:top w:val="nil"/>
              <w:left w:val="nil"/>
              <w:bottom w:val="nil"/>
              <w:right w:val="nil"/>
            </w:tcBorders>
            <w:shd w:val="clear" w:color="auto" w:fill="auto"/>
            <w:noWrap/>
            <w:vAlign w:val="center"/>
            <w:hideMark/>
          </w:tcPr>
          <w:p w14:paraId="68CC1D5A" w14:textId="2A590A85"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-6,7</w:t>
            </w:r>
          </w:p>
        </w:tc>
        <w:tc>
          <w:tcPr>
            <w:tcW w:w="826" w:type="dxa"/>
            <w:tcBorders>
              <w:top w:val="nil"/>
              <w:left w:val="nil"/>
              <w:bottom w:val="nil"/>
              <w:right w:val="nil"/>
            </w:tcBorders>
            <w:shd w:val="clear" w:color="auto" w:fill="auto"/>
            <w:noWrap/>
            <w:vAlign w:val="center"/>
            <w:hideMark/>
          </w:tcPr>
          <w:p w14:paraId="798EFB41" w14:textId="40E75C77"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-4,7</w:t>
            </w:r>
          </w:p>
        </w:tc>
        <w:tc>
          <w:tcPr>
            <w:tcW w:w="742" w:type="dxa"/>
            <w:tcBorders>
              <w:top w:val="nil"/>
              <w:left w:val="nil"/>
              <w:bottom w:val="nil"/>
              <w:right w:val="nil"/>
            </w:tcBorders>
            <w:shd w:val="clear" w:color="auto" w:fill="auto"/>
            <w:noWrap/>
            <w:vAlign w:val="center"/>
            <w:hideMark/>
          </w:tcPr>
          <w:p w14:paraId="7D49EC96" w14:textId="6B146B12"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-3,3</w:t>
            </w:r>
          </w:p>
        </w:tc>
        <w:tc>
          <w:tcPr>
            <w:tcW w:w="728" w:type="dxa"/>
            <w:tcBorders>
              <w:top w:val="nil"/>
              <w:left w:val="nil"/>
              <w:bottom w:val="nil"/>
              <w:right w:val="nil"/>
            </w:tcBorders>
            <w:shd w:val="clear" w:color="auto" w:fill="auto"/>
            <w:noWrap/>
            <w:vAlign w:val="center"/>
            <w:hideMark/>
          </w:tcPr>
          <w:p w14:paraId="18063FFD" w14:textId="3CE313B5" w:rsidR="00C061D1" w:rsidRPr="00E03AC1" w:rsidRDefault="00C061D1" w:rsidP="00C061D1">
            <w:pPr>
              <w:spacing w:after="0" w:line="240" w:lineRule="auto"/>
              <w:ind w:firstLineChars="100" w:firstLine="200"/>
              <w:jc w:val="center"/>
              <w:rPr>
                <w:b/>
                <w:bCs/>
                <w:color w:val="00B050"/>
                <w:sz w:val="20"/>
                <w:szCs w:val="20"/>
                <w:lang w:eastAsia="sk-SK"/>
              </w:rPr>
            </w:pPr>
            <w:r>
              <w:rPr>
                <w:b/>
                <w:bCs/>
                <w:color w:val="00B050"/>
                <w:sz w:val="20"/>
                <w:szCs w:val="20"/>
              </w:rPr>
              <w:t>1,4</w:t>
            </w:r>
          </w:p>
        </w:tc>
        <w:tc>
          <w:tcPr>
            <w:tcW w:w="1453" w:type="dxa"/>
            <w:tcBorders>
              <w:top w:val="nil"/>
              <w:left w:val="single" w:sz="4" w:space="0" w:color="auto"/>
              <w:bottom w:val="nil"/>
              <w:right w:val="nil"/>
            </w:tcBorders>
            <w:shd w:val="clear" w:color="auto" w:fill="auto"/>
            <w:noWrap/>
            <w:vAlign w:val="center"/>
            <w:hideMark/>
          </w:tcPr>
          <w:p w14:paraId="42D18C60" w14:textId="77777777" w:rsidR="00C061D1" w:rsidRPr="00E03AC1" w:rsidRDefault="00C061D1" w:rsidP="00C061D1">
            <w:pPr>
              <w:spacing w:after="0" w:line="240" w:lineRule="auto"/>
              <w:ind w:right="-349"/>
              <w:rPr>
                <w:b/>
                <w:bCs/>
                <w:sz w:val="20"/>
                <w:szCs w:val="20"/>
                <w:lang w:eastAsia="sk-SK"/>
              </w:rPr>
            </w:pPr>
            <w:r>
              <w:rPr>
                <w:b/>
                <w:bCs/>
                <w:sz w:val="20"/>
                <w:szCs w:val="20"/>
              </w:rPr>
              <w:t>EÚ (27 krajín)</w:t>
            </w:r>
          </w:p>
        </w:tc>
        <w:tc>
          <w:tcPr>
            <w:tcW w:w="843" w:type="dxa"/>
            <w:tcBorders>
              <w:top w:val="nil"/>
              <w:left w:val="nil"/>
              <w:bottom w:val="nil"/>
              <w:right w:val="nil"/>
            </w:tcBorders>
            <w:shd w:val="clear" w:color="auto" w:fill="auto"/>
            <w:noWrap/>
            <w:vAlign w:val="center"/>
            <w:hideMark/>
          </w:tcPr>
          <w:p w14:paraId="7C0312F1" w14:textId="3B7C5C97"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90,0</w:t>
            </w:r>
          </w:p>
        </w:tc>
        <w:tc>
          <w:tcPr>
            <w:tcW w:w="843" w:type="dxa"/>
            <w:tcBorders>
              <w:top w:val="nil"/>
              <w:left w:val="nil"/>
              <w:bottom w:val="nil"/>
              <w:right w:val="nil"/>
            </w:tcBorders>
            <w:shd w:val="clear" w:color="auto" w:fill="auto"/>
            <w:noWrap/>
            <w:vAlign w:val="center"/>
            <w:hideMark/>
          </w:tcPr>
          <w:p w14:paraId="1CFAA01D" w14:textId="62A8D87E"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87,4</w:t>
            </w:r>
          </w:p>
        </w:tc>
        <w:tc>
          <w:tcPr>
            <w:tcW w:w="864" w:type="dxa"/>
            <w:tcBorders>
              <w:top w:val="nil"/>
              <w:left w:val="nil"/>
              <w:bottom w:val="nil"/>
              <w:right w:val="nil"/>
            </w:tcBorders>
            <w:shd w:val="clear" w:color="auto" w:fill="auto"/>
            <w:noWrap/>
            <w:vAlign w:val="center"/>
            <w:hideMark/>
          </w:tcPr>
          <w:p w14:paraId="55DD360D" w14:textId="71F55A04"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83,5</w:t>
            </w:r>
          </w:p>
        </w:tc>
        <w:tc>
          <w:tcPr>
            <w:tcW w:w="799" w:type="dxa"/>
            <w:tcBorders>
              <w:top w:val="nil"/>
              <w:left w:val="nil"/>
              <w:bottom w:val="nil"/>
              <w:right w:val="single" w:sz="4" w:space="0" w:color="auto"/>
            </w:tcBorders>
            <w:shd w:val="clear" w:color="auto" w:fill="auto"/>
            <w:noWrap/>
            <w:vAlign w:val="center"/>
            <w:hideMark/>
          </w:tcPr>
          <w:p w14:paraId="226F6F6F" w14:textId="32A3C598" w:rsidR="00C061D1" w:rsidRPr="00E03AC1" w:rsidRDefault="00C061D1" w:rsidP="00C061D1">
            <w:pPr>
              <w:tabs>
                <w:tab w:val="decimal" w:pos="230"/>
              </w:tabs>
              <w:spacing w:after="0" w:line="240" w:lineRule="auto"/>
              <w:ind w:right="32" w:firstLineChars="100" w:firstLine="200"/>
              <w:jc w:val="right"/>
              <w:rPr>
                <w:b/>
                <w:bCs/>
                <w:color w:val="00B050"/>
                <w:sz w:val="20"/>
                <w:szCs w:val="20"/>
                <w:lang w:eastAsia="sk-SK"/>
              </w:rPr>
            </w:pPr>
            <w:r>
              <w:rPr>
                <w:b/>
                <w:bCs/>
                <w:color w:val="00B050"/>
                <w:sz w:val="20"/>
                <w:szCs w:val="20"/>
              </w:rPr>
              <w:t>-3,9</w:t>
            </w:r>
          </w:p>
        </w:tc>
      </w:tr>
      <w:tr w:rsidR="00C061D1" w:rsidRPr="00E03AC1" w14:paraId="393AC327"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724C6AD4" w14:textId="77777777" w:rsidR="00C061D1" w:rsidRPr="00E03AC1" w:rsidRDefault="00C061D1" w:rsidP="00C061D1">
            <w:pPr>
              <w:spacing w:after="0" w:line="240" w:lineRule="auto"/>
              <w:rPr>
                <w:b/>
                <w:bCs/>
                <w:sz w:val="20"/>
                <w:szCs w:val="20"/>
                <w:lang w:eastAsia="sk-SK"/>
              </w:rPr>
            </w:pPr>
            <w:r>
              <w:rPr>
                <w:b/>
                <w:bCs/>
                <w:sz w:val="20"/>
                <w:szCs w:val="20"/>
              </w:rPr>
              <w:t>Euro zóna (19)</w:t>
            </w:r>
          </w:p>
        </w:tc>
        <w:tc>
          <w:tcPr>
            <w:tcW w:w="764" w:type="dxa"/>
            <w:tcBorders>
              <w:top w:val="nil"/>
              <w:left w:val="nil"/>
              <w:bottom w:val="nil"/>
              <w:right w:val="nil"/>
            </w:tcBorders>
            <w:shd w:val="clear" w:color="auto" w:fill="auto"/>
            <w:noWrap/>
            <w:vAlign w:val="center"/>
            <w:hideMark/>
          </w:tcPr>
          <w:p w14:paraId="78AB2D97" w14:textId="04554268"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-7,1</w:t>
            </w:r>
          </w:p>
        </w:tc>
        <w:tc>
          <w:tcPr>
            <w:tcW w:w="826" w:type="dxa"/>
            <w:tcBorders>
              <w:top w:val="nil"/>
              <w:left w:val="nil"/>
              <w:bottom w:val="nil"/>
              <w:right w:val="nil"/>
            </w:tcBorders>
            <w:shd w:val="clear" w:color="auto" w:fill="auto"/>
            <w:noWrap/>
            <w:vAlign w:val="center"/>
            <w:hideMark/>
          </w:tcPr>
          <w:p w14:paraId="5A00ED52" w14:textId="4095AD5A"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-5,2</w:t>
            </w:r>
          </w:p>
        </w:tc>
        <w:tc>
          <w:tcPr>
            <w:tcW w:w="742" w:type="dxa"/>
            <w:tcBorders>
              <w:top w:val="nil"/>
              <w:left w:val="nil"/>
              <w:bottom w:val="nil"/>
              <w:right w:val="nil"/>
            </w:tcBorders>
            <w:shd w:val="clear" w:color="auto" w:fill="auto"/>
            <w:noWrap/>
            <w:vAlign w:val="center"/>
            <w:hideMark/>
          </w:tcPr>
          <w:p w14:paraId="709D392E" w14:textId="25A8ECF6"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-3,6</w:t>
            </w:r>
          </w:p>
        </w:tc>
        <w:tc>
          <w:tcPr>
            <w:tcW w:w="728" w:type="dxa"/>
            <w:tcBorders>
              <w:top w:val="nil"/>
              <w:left w:val="nil"/>
              <w:bottom w:val="nil"/>
              <w:right w:val="nil"/>
            </w:tcBorders>
            <w:shd w:val="clear" w:color="auto" w:fill="auto"/>
            <w:noWrap/>
            <w:vAlign w:val="center"/>
            <w:hideMark/>
          </w:tcPr>
          <w:p w14:paraId="5AA7841C" w14:textId="35D2F077" w:rsidR="00C061D1" w:rsidRPr="00E03AC1" w:rsidRDefault="00C061D1" w:rsidP="00C061D1">
            <w:pPr>
              <w:spacing w:after="0" w:line="240" w:lineRule="auto"/>
              <w:ind w:firstLineChars="100" w:firstLine="200"/>
              <w:jc w:val="center"/>
              <w:rPr>
                <w:b/>
                <w:bCs/>
                <w:color w:val="00B050"/>
                <w:sz w:val="20"/>
                <w:szCs w:val="20"/>
                <w:lang w:eastAsia="sk-SK"/>
              </w:rPr>
            </w:pPr>
            <w:r>
              <w:rPr>
                <w:b/>
                <w:bCs/>
                <w:color w:val="00B050"/>
                <w:sz w:val="20"/>
                <w:szCs w:val="20"/>
              </w:rPr>
              <w:t>1,6</w:t>
            </w:r>
          </w:p>
        </w:tc>
        <w:tc>
          <w:tcPr>
            <w:tcW w:w="1453" w:type="dxa"/>
            <w:tcBorders>
              <w:top w:val="nil"/>
              <w:left w:val="single" w:sz="4" w:space="0" w:color="auto"/>
              <w:bottom w:val="nil"/>
              <w:right w:val="nil"/>
            </w:tcBorders>
            <w:shd w:val="clear" w:color="auto" w:fill="auto"/>
            <w:noWrap/>
            <w:vAlign w:val="center"/>
            <w:hideMark/>
          </w:tcPr>
          <w:p w14:paraId="6783FD50" w14:textId="77777777" w:rsidR="00C061D1" w:rsidRPr="00E03AC1" w:rsidRDefault="00C061D1" w:rsidP="00C061D1">
            <w:pPr>
              <w:spacing w:after="0" w:line="240" w:lineRule="auto"/>
              <w:ind w:right="-207"/>
              <w:rPr>
                <w:b/>
                <w:bCs/>
                <w:sz w:val="20"/>
                <w:szCs w:val="20"/>
                <w:lang w:eastAsia="sk-SK"/>
              </w:rPr>
            </w:pPr>
            <w:r>
              <w:rPr>
                <w:b/>
                <w:bCs/>
                <w:sz w:val="20"/>
                <w:szCs w:val="20"/>
              </w:rPr>
              <w:t>Euro zóna (19)</w:t>
            </w:r>
          </w:p>
        </w:tc>
        <w:tc>
          <w:tcPr>
            <w:tcW w:w="843" w:type="dxa"/>
            <w:tcBorders>
              <w:top w:val="nil"/>
              <w:left w:val="nil"/>
              <w:bottom w:val="nil"/>
              <w:right w:val="nil"/>
            </w:tcBorders>
            <w:shd w:val="clear" w:color="auto" w:fill="auto"/>
            <w:noWrap/>
            <w:vAlign w:val="center"/>
            <w:hideMark/>
          </w:tcPr>
          <w:p w14:paraId="4D99C96B" w14:textId="633E658A"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97,2</w:t>
            </w:r>
          </w:p>
        </w:tc>
        <w:tc>
          <w:tcPr>
            <w:tcW w:w="843" w:type="dxa"/>
            <w:tcBorders>
              <w:top w:val="nil"/>
              <w:left w:val="nil"/>
              <w:bottom w:val="nil"/>
              <w:right w:val="nil"/>
            </w:tcBorders>
            <w:shd w:val="clear" w:color="auto" w:fill="auto"/>
            <w:noWrap/>
            <w:vAlign w:val="center"/>
            <w:hideMark/>
          </w:tcPr>
          <w:p w14:paraId="1FD0E22B" w14:textId="49402B63"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94,8</w:t>
            </w:r>
          </w:p>
        </w:tc>
        <w:tc>
          <w:tcPr>
            <w:tcW w:w="864" w:type="dxa"/>
            <w:tcBorders>
              <w:top w:val="nil"/>
              <w:left w:val="nil"/>
              <w:bottom w:val="nil"/>
              <w:right w:val="nil"/>
            </w:tcBorders>
            <w:shd w:val="clear" w:color="auto" w:fill="auto"/>
            <w:noWrap/>
            <w:vAlign w:val="center"/>
            <w:hideMark/>
          </w:tcPr>
          <w:p w14:paraId="2B814C5C" w14:textId="06D99795"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91,0</w:t>
            </w:r>
          </w:p>
        </w:tc>
        <w:tc>
          <w:tcPr>
            <w:tcW w:w="799" w:type="dxa"/>
            <w:tcBorders>
              <w:top w:val="nil"/>
              <w:left w:val="nil"/>
              <w:bottom w:val="nil"/>
              <w:right w:val="single" w:sz="4" w:space="0" w:color="auto"/>
            </w:tcBorders>
            <w:shd w:val="clear" w:color="auto" w:fill="auto"/>
            <w:noWrap/>
            <w:vAlign w:val="center"/>
            <w:hideMark/>
          </w:tcPr>
          <w:p w14:paraId="1A5B3CDE" w14:textId="59315ADB" w:rsidR="00C061D1" w:rsidRPr="00E03AC1" w:rsidRDefault="00C061D1" w:rsidP="00C061D1">
            <w:pPr>
              <w:tabs>
                <w:tab w:val="decimal" w:pos="230"/>
              </w:tabs>
              <w:spacing w:after="0" w:line="240" w:lineRule="auto"/>
              <w:ind w:right="32" w:firstLineChars="100" w:firstLine="200"/>
              <w:jc w:val="right"/>
              <w:rPr>
                <w:b/>
                <w:bCs/>
                <w:color w:val="00B050"/>
                <w:sz w:val="20"/>
                <w:szCs w:val="20"/>
                <w:lang w:eastAsia="sk-SK"/>
              </w:rPr>
            </w:pPr>
            <w:r>
              <w:rPr>
                <w:b/>
                <w:bCs/>
                <w:color w:val="00B050"/>
                <w:sz w:val="20"/>
                <w:szCs w:val="20"/>
              </w:rPr>
              <w:t>-3,8</w:t>
            </w:r>
          </w:p>
        </w:tc>
      </w:tr>
      <w:tr w:rsidR="00C061D1" w:rsidRPr="00E03AC1" w14:paraId="76279A44" w14:textId="77777777" w:rsidTr="002847E9">
        <w:trPr>
          <w:trHeight w:val="307"/>
        </w:trPr>
        <w:tc>
          <w:tcPr>
            <w:tcW w:w="1542" w:type="dxa"/>
            <w:tcBorders>
              <w:top w:val="nil"/>
              <w:left w:val="single" w:sz="4" w:space="0" w:color="auto"/>
              <w:bottom w:val="nil"/>
              <w:right w:val="nil"/>
            </w:tcBorders>
            <w:shd w:val="clear" w:color="auto" w:fill="auto"/>
            <w:noWrap/>
            <w:vAlign w:val="center"/>
          </w:tcPr>
          <w:p w14:paraId="1E5D72FB" w14:textId="77777777" w:rsidR="00C061D1" w:rsidRPr="00E03AC1" w:rsidRDefault="00C061D1" w:rsidP="00C061D1">
            <w:pPr>
              <w:spacing w:after="0" w:line="240" w:lineRule="auto"/>
              <w:rPr>
                <w:b/>
                <w:bCs/>
                <w:sz w:val="20"/>
                <w:szCs w:val="20"/>
                <w:lang w:eastAsia="sk-SK"/>
              </w:rPr>
            </w:pPr>
            <w:r>
              <w:rPr>
                <w:b/>
                <w:bCs/>
                <w:sz w:val="20"/>
                <w:szCs w:val="20"/>
              </w:rPr>
              <w:t>Euro zóna (20)</w:t>
            </w:r>
            <w:r w:rsidRPr="007E7988">
              <w:rPr>
                <w:b/>
                <w:bCs/>
                <w:sz w:val="20"/>
                <w:szCs w:val="20"/>
                <w:vertAlign w:val="superscript"/>
              </w:rPr>
              <w:t>2</w:t>
            </w:r>
          </w:p>
        </w:tc>
        <w:tc>
          <w:tcPr>
            <w:tcW w:w="764" w:type="dxa"/>
            <w:tcBorders>
              <w:top w:val="nil"/>
              <w:left w:val="nil"/>
              <w:bottom w:val="nil"/>
              <w:right w:val="nil"/>
            </w:tcBorders>
            <w:shd w:val="clear" w:color="auto" w:fill="auto"/>
            <w:noWrap/>
            <w:vAlign w:val="center"/>
          </w:tcPr>
          <w:p w14:paraId="0210C96D" w14:textId="10FD8737"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-7,1</w:t>
            </w:r>
          </w:p>
        </w:tc>
        <w:tc>
          <w:tcPr>
            <w:tcW w:w="826" w:type="dxa"/>
            <w:tcBorders>
              <w:top w:val="nil"/>
              <w:left w:val="nil"/>
              <w:bottom w:val="nil"/>
              <w:right w:val="nil"/>
            </w:tcBorders>
            <w:shd w:val="clear" w:color="auto" w:fill="auto"/>
            <w:noWrap/>
            <w:vAlign w:val="center"/>
          </w:tcPr>
          <w:p w14:paraId="590BFD97" w14:textId="4A2E66B1"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-5,2</w:t>
            </w:r>
          </w:p>
        </w:tc>
        <w:tc>
          <w:tcPr>
            <w:tcW w:w="742" w:type="dxa"/>
            <w:tcBorders>
              <w:top w:val="nil"/>
              <w:left w:val="nil"/>
              <w:bottom w:val="nil"/>
              <w:right w:val="nil"/>
            </w:tcBorders>
            <w:shd w:val="clear" w:color="auto" w:fill="auto"/>
            <w:noWrap/>
            <w:vAlign w:val="center"/>
          </w:tcPr>
          <w:p w14:paraId="3C0C5D07" w14:textId="6CC35112"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-3,6</w:t>
            </w:r>
          </w:p>
        </w:tc>
        <w:tc>
          <w:tcPr>
            <w:tcW w:w="728" w:type="dxa"/>
            <w:tcBorders>
              <w:top w:val="nil"/>
              <w:left w:val="nil"/>
              <w:bottom w:val="nil"/>
              <w:right w:val="nil"/>
            </w:tcBorders>
            <w:shd w:val="clear" w:color="auto" w:fill="auto"/>
            <w:noWrap/>
            <w:vAlign w:val="center"/>
          </w:tcPr>
          <w:p w14:paraId="4159B7D9" w14:textId="4B708DC5" w:rsidR="00C061D1" w:rsidRPr="00E03AC1" w:rsidRDefault="00C061D1" w:rsidP="00C061D1">
            <w:pPr>
              <w:spacing w:after="0" w:line="240" w:lineRule="auto"/>
              <w:ind w:firstLineChars="100" w:firstLine="200"/>
              <w:jc w:val="center"/>
              <w:rPr>
                <w:b/>
                <w:bCs/>
                <w:color w:val="00B050"/>
                <w:sz w:val="20"/>
                <w:szCs w:val="20"/>
                <w:lang w:eastAsia="sk-SK"/>
              </w:rPr>
            </w:pPr>
            <w:r>
              <w:rPr>
                <w:b/>
                <w:bCs/>
                <w:color w:val="00B050"/>
                <w:sz w:val="20"/>
                <w:szCs w:val="20"/>
              </w:rPr>
              <w:t>1,6</w:t>
            </w:r>
          </w:p>
        </w:tc>
        <w:tc>
          <w:tcPr>
            <w:tcW w:w="1453" w:type="dxa"/>
            <w:tcBorders>
              <w:top w:val="nil"/>
              <w:left w:val="single" w:sz="4" w:space="0" w:color="auto"/>
              <w:bottom w:val="nil"/>
              <w:right w:val="nil"/>
            </w:tcBorders>
            <w:shd w:val="clear" w:color="auto" w:fill="auto"/>
            <w:noWrap/>
            <w:vAlign w:val="center"/>
          </w:tcPr>
          <w:p w14:paraId="29EEE5A9" w14:textId="77777777" w:rsidR="00C061D1" w:rsidRPr="00E03AC1" w:rsidRDefault="00C061D1" w:rsidP="00C061D1">
            <w:pPr>
              <w:spacing w:after="0" w:line="240" w:lineRule="auto"/>
              <w:ind w:right="-66"/>
              <w:rPr>
                <w:b/>
                <w:bCs/>
                <w:sz w:val="20"/>
                <w:szCs w:val="20"/>
                <w:lang w:eastAsia="sk-SK"/>
              </w:rPr>
            </w:pPr>
            <w:r>
              <w:rPr>
                <w:b/>
                <w:bCs/>
                <w:sz w:val="20"/>
                <w:szCs w:val="20"/>
              </w:rPr>
              <w:t>Euro zóna (20)</w:t>
            </w:r>
            <w:r w:rsidRPr="007E7988">
              <w:rPr>
                <w:b/>
                <w:bCs/>
                <w:sz w:val="20"/>
                <w:szCs w:val="20"/>
                <w:vertAlign w:val="superscript"/>
              </w:rPr>
              <w:t>2</w:t>
            </w:r>
          </w:p>
        </w:tc>
        <w:tc>
          <w:tcPr>
            <w:tcW w:w="843" w:type="dxa"/>
            <w:tcBorders>
              <w:top w:val="nil"/>
              <w:left w:val="nil"/>
              <w:bottom w:val="nil"/>
              <w:right w:val="nil"/>
            </w:tcBorders>
            <w:shd w:val="clear" w:color="auto" w:fill="auto"/>
            <w:noWrap/>
            <w:vAlign w:val="center"/>
          </w:tcPr>
          <w:p w14:paraId="4CED5877" w14:textId="6396B210"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97,2</w:t>
            </w:r>
          </w:p>
        </w:tc>
        <w:tc>
          <w:tcPr>
            <w:tcW w:w="843" w:type="dxa"/>
            <w:tcBorders>
              <w:top w:val="nil"/>
              <w:left w:val="nil"/>
              <w:bottom w:val="nil"/>
              <w:right w:val="nil"/>
            </w:tcBorders>
            <w:shd w:val="clear" w:color="auto" w:fill="auto"/>
            <w:noWrap/>
            <w:vAlign w:val="center"/>
          </w:tcPr>
          <w:p w14:paraId="48679F6D" w14:textId="78040C74"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94,7</w:t>
            </w:r>
          </w:p>
        </w:tc>
        <w:tc>
          <w:tcPr>
            <w:tcW w:w="864" w:type="dxa"/>
            <w:tcBorders>
              <w:top w:val="nil"/>
              <w:left w:val="nil"/>
              <w:bottom w:val="nil"/>
              <w:right w:val="nil"/>
            </w:tcBorders>
            <w:shd w:val="clear" w:color="auto" w:fill="auto"/>
            <w:noWrap/>
            <w:vAlign w:val="center"/>
          </w:tcPr>
          <w:p w14:paraId="4A5BFC67" w14:textId="202CB096"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90,9</w:t>
            </w:r>
          </w:p>
        </w:tc>
        <w:tc>
          <w:tcPr>
            <w:tcW w:w="799" w:type="dxa"/>
            <w:tcBorders>
              <w:top w:val="nil"/>
              <w:left w:val="nil"/>
              <w:bottom w:val="nil"/>
              <w:right w:val="single" w:sz="4" w:space="0" w:color="auto"/>
            </w:tcBorders>
            <w:shd w:val="clear" w:color="auto" w:fill="auto"/>
            <w:noWrap/>
            <w:vAlign w:val="center"/>
          </w:tcPr>
          <w:p w14:paraId="45EED329" w14:textId="41571D23" w:rsidR="00C061D1" w:rsidRPr="00E03AC1" w:rsidRDefault="00C061D1" w:rsidP="00C061D1">
            <w:pPr>
              <w:tabs>
                <w:tab w:val="decimal" w:pos="230"/>
              </w:tabs>
              <w:spacing w:after="0" w:line="240" w:lineRule="auto"/>
              <w:ind w:right="32" w:firstLineChars="100" w:firstLine="200"/>
              <w:jc w:val="right"/>
              <w:rPr>
                <w:b/>
                <w:bCs/>
                <w:color w:val="00B050"/>
                <w:sz w:val="20"/>
                <w:szCs w:val="20"/>
                <w:lang w:eastAsia="sk-SK"/>
              </w:rPr>
            </w:pPr>
            <w:r>
              <w:rPr>
                <w:b/>
                <w:bCs/>
                <w:color w:val="00B050"/>
                <w:sz w:val="20"/>
                <w:szCs w:val="20"/>
              </w:rPr>
              <w:t>-3,8</w:t>
            </w:r>
          </w:p>
        </w:tc>
      </w:tr>
      <w:tr w:rsidR="00C061D1" w:rsidRPr="00E03AC1" w14:paraId="58F2A5C5"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685622C1" w14:textId="6F4BB49E" w:rsidR="00C061D1" w:rsidRPr="00E03AC1" w:rsidRDefault="00C061D1" w:rsidP="00C061D1">
            <w:pPr>
              <w:spacing w:after="0" w:line="240" w:lineRule="auto"/>
              <w:rPr>
                <w:sz w:val="20"/>
                <w:szCs w:val="20"/>
                <w:lang w:eastAsia="sk-SK"/>
              </w:rPr>
            </w:pPr>
            <w:r>
              <w:rPr>
                <w:sz w:val="20"/>
                <w:szCs w:val="20"/>
              </w:rPr>
              <w:t>Taliansko</w:t>
            </w:r>
          </w:p>
        </w:tc>
        <w:tc>
          <w:tcPr>
            <w:tcW w:w="764" w:type="dxa"/>
            <w:tcBorders>
              <w:top w:val="nil"/>
              <w:left w:val="nil"/>
              <w:bottom w:val="nil"/>
              <w:right w:val="nil"/>
            </w:tcBorders>
            <w:shd w:val="clear" w:color="auto" w:fill="auto"/>
            <w:noWrap/>
            <w:vAlign w:val="center"/>
            <w:hideMark/>
          </w:tcPr>
          <w:p w14:paraId="4B803049" w14:textId="76AACA0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-9,6</w:t>
            </w:r>
          </w:p>
        </w:tc>
        <w:tc>
          <w:tcPr>
            <w:tcW w:w="826" w:type="dxa"/>
            <w:tcBorders>
              <w:top w:val="nil"/>
              <w:left w:val="nil"/>
              <w:bottom w:val="nil"/>
              <w:right w:val="nil"/>
            </w:tcBorders>
            <w:shd w:val="clear" w:color="auto" w:fill="auto"/>
            <w:noWrap/>
            <w:vAlign w:val="center"/>
            <w:hideMark/>
          </w:tcPr>
          <w:p w14:paraId="0FC9491F" w14:textId="105D36D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-8,8</w:t>
            </w:r>
          </w:p>
        </w:tc>
        <w:tc>
          <w:tcPr>
            <w:tcW w:w="742" w:type="dxa"/>
            <w:tcBorders>
              <w:top w:val="nil"/>
              <w:left w:val="nil"/>
              <w:bottom w:val="nil"/>
              <w:right w:val="nil"/>
            </w:tcBorders>
            <w:shd w:val="clear" w:color="auto" w:fill="auto"/>
            <w:noWrap/>
            <w:vAlign w:val="center"/>
            <w:hideMark/>
          </w:tcPr>
          <w:p w14:paraId="3806F39E" w14:textId="435427C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-8,0</w:t>
            </w:r>
          </w:p>
        </w:tc>
        <w:tc>
          <w:tcPr>
            <w:tcW w:w="728" w:type="dxa"/>
            <w:tcBorders>
              <w:top w:val="nil"/>
              <w:left w:val="nil"/>
              <w:bottom w:val="nil"/>
              <w:right w:val="nil"/>
            </w:tcBorders>
            <w:shd w:val="clear" w:color="auto" w:fill="auto"/>
            <w:noWrap/>
            <w:vAlign w:val="center"/>
            <w:hideMark/>
          </w:tcPr>
          <w:p w14:paraId="7DBCC791" w14:textId="592278D7"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0,8</w:t>
            </w:r>
          </w:p>
        </w:tc>
        <w:tc>
          <w:tcPr>
            <w:tcW w:w="1453" w:type="dxa"/>
            <w:tcBorders>
              <w:top w:val="nil"/>
              <w:left w:val="single" w:sz="4" w:space="0" w:color="auto"/>
              <w:bottom w:val="nil"/>
              <w:right w:val="nil"/>
            </w:tcBorders>
            <w:shd w:val="clear" w:color="auto" w:fill="auto"/>
            <w:noWrap/>
            <w:vAlign w:val="center"/>
            <w:hideMark/>
          </w:tcPr>
          <w:p w14:paraId="4E40F757" w14:textId="50C8A5AE" w:rsidR="00C061D1" w:rsidRPr="00E03AC1" w:rsidRDefault="00C061D1" w:rsidP="00C061D1">
            <w:pPr>
              <w:spacing w:after="0" w:line="240" w:lineRule="auto"/>
              <w:rPr>
                <w:sz w:val="20"/>
                <w:szCs w:val="20"/>
                <w:lang w:eastAsia="sk-SK"/>
              </w:rPr>
            </w:pPr>
            <w:r>
              <w:rPr>
                <w:sz w:val="20"/>
                <w:szCs w:val="20"/>
              </w:rPr>
              <w:t>Grécko</w:t>
            </w:r>
          </w:p>
        </w:tc>
        <w:tc>
          <w:tcPr>
            <w:tcW w:w="843" w:type="dxa"/>
            <w:tcBorders>
              <w:top w:val="nil"/>
              <w:left w:val="nil"/>
              <w:bottom w:val="nil"/>
              <w:right w:val="nil"/>
            </w:tcBorders>
            <w:shd w:val="clear" w:color="auto" w:fill="auto"/>
            <w:noWrap/>
            <w:vAlign w:val="center"/>
            <w:hideMark/>
          </w:tcPr>
          <w:p w14:paraId="2D5DB393" w14:textId="6C95898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207,0</w:t>
            </w:r>
          </w:p>
        </w:tc>
        <w:tc>
          <w:tcPr>
            <w:tcW w:w="843" w:type="dxa"/>
            <w:tcBorders>
              <w:top w:val="nil"/>
              <w:left w:val="nil"/>
              <w:bottom w:val="nil"/>
              <w:right w:val="nil"/>
            </w:tcBorders>
            <w:shd w:val="clear" w:color="auto" w:fill="auto"/>
            <w:noWrap/>
            <w:vAlign w:val="center"/>
            <w:hideMark/>
          </w:tcPr>
          <w:p w14:paraId="7EBEE89D" w14:textId="58C24D6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195,0</w:t>
            </w:r>
          </w:p>
        </w:tc>
        <w:tc>
          <w:tcPr>
            <w:tcW w:w="864" w:type="dxa"/>
            <w:tcBorders>
              <w:top w:val="nil"/>
              <w:left w:val="nil"/>
              <w:bottom w:val="nil"/>
              <w:right w:val="nil"/>
            </w:tcBorders>
            <w:shd w:val="clear" w:color="auto" w:fill="auto"/>
            <w:noWrap/>
            <w:vAlign w:val="center"/>
            <w:hideMark/>
          </w:tcPr>
          <w:p w14:paraId="7CEEC38C" w14:textId="68B5DF2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172,6</w:t>
            </w:r>
          </w:p>
        </w:tc>
        <w:tc>
          <w:tcPr>
            <w:tcW w:w="799" w:type="dxa"/>
            <w:tcBorders>
              <w:top w:val="nil"/>
              <w:left w:val="nil"/>
              <w:bottom w:val="nil"/>
              <w:right w:val="single" w:sz="4" w:space="0" w:color="auto"/>
            </w:tcBorders>
            <w:shd w:val="clear" w:color="auto" w:fill="auto"/>
            <w:noWrap/>
            <w:vAlign w:val="center"/>
            <w:hideMark/>
          </w:tcPr>
          <w:p w14:paraId="6ED0BD14" w14:textId="295ED150"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-22,4</w:t>
            </w:r>
          </w:p>
        </w:tc>
      </w:tr>
      <w:tr w:rsidR="00C061D1" w:rsidRPr="00E03AC1" w14:paraId="2567F6AC"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6FCE59FE" w14:textId="262DE781" w:rsidR="00C061D1" w:rsidRPr="00E03AC1" w:rsidRDefault="00C061D1" w:rsidP="00C061D1">
            <w:pPr>
              <w:spacing w:after="0" w:line="240" w:lineRule="auto"/>
              <w:rPr>
                <w:sz w:val="20"/>
                <w:szCs w:val="20"/>
                <w:lang w:eastAsia="sk-SK"/>
              </w:rPr>
            </w:pPr>
            <w:r>
              <w:rPr>
                <w:sz w:val="20"/>
                <w:szCs w:val="20"/>
              </w:rPr>
              <w:t>Rumunsko</w:t>
            </w:r>
          </w:p>
        </w:tc>
        <w:tc>
          <w:tcPr>
            <w:tcW w:w="764" w:type="dxa"/>
            <w:tcBorders>
              <w:top w:val="nil"/>
              <w:left w:val="nil"/>
              <w:bottom w:val="nil"/>
              <w:right w:val="nil"/>
            </w:tcBorders>
            <w:shd w:val="clear" w:color="auto" w:fill="auto"/>
            <w:noWrap/>
            <w:vAlign w:val="center"/>
            <w:hideMark/>
          </w:tcPr>
          <w:p w14:paraId="5A5F66E6" w14:textId="70B55D6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-9,3</w:t>
            </w:r>
          </w:p>
        </w:tc>
        <w:tc>
          <w:tcPr>
            <w:tcW w:w="826" w:type="dxa"/>
            <w:tcBorders>
              <w:top w:val="nil"/>
              <w:left w:val="nil"/>
              <w:bottom w:val="nil"/>
              <w:right w:val="nil"/>
            </w:tcBorders>
            <w:shd w:val="clear" w:color="auto" w:fill="auto"/>
            <w:noWrap/>
            <w:vAlign w:val="center"/>
            <w:hideMark/>
          </w:tcPr>
          <w:p w14:paraId="18FB68B0" w14:textId="07663E3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-7,2</w:t>
            </w:r>
          </w:p>
        </w:tc>
        <w:tc>
          <w:tcPr>
            <w:tcW w:w="742" w:type="dxa"/>
            <w:tcBorders>
              <w:top w:val="nil"/>
              <w:left w:val="nil"/>
              <w:bottom w:val="nil"/>
              <w:right w:val="nil"/>
            </w:tcBorders>
            <w:shd w:val="clear" w:color="auto" w:fill="auto"/>
            <w:noWrap/>
            <w:vAlign w:val="center"/>
            <w:hideMark/>
          </w:tcPr>
          <w:p w14:paraId="7FEBE753" w14:textId="41D9508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-6,3</w:t>
            </w:r>
          </w:p>
        </w:tc>
        <w:tc>
          <w:tcPr>
            <w:tcW w:w="728" w:type="dxa"/>
            <w:tcBorders>
              <w:top w:val="nil"/>
              <w:left w:val="nil"/>
              <w:bottom w:val="nil"/>
              <w:right w:val="nil"/>
            </w:tcBorders>
            <w:shd w:val="clear" w:color="auto" w:fill="auto"/>
            <w:noWrap/>
            <w:vAlign w:val="center"/>
            <w:hideMark/>
          </w:tcPr>
          <w:p w14:paraId="18164E9F" w14:textId="3E713E4F"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0,9</w:t>
            </w:r>
          </w:p>
        </w:tc>
        <w:tc>
          <w:tcPr>
            <w:tcW w:w="1453" w:type="dxa"/>
            <w:tcBorders>
              <w:top w:val="nil"/>
              <w:left w:val="single" w:sz="4" w:space="0" w:color="auto"/>
              <w:bottom w:val="nil"/>
              <w:right w:val="nil"/>
            </w:tcBorders>
            <w:shd w:val="clear" w:color="auto" w:fill="auto"/>
            <w:noWrap/>
            <w:vAlign w:val="center"/>
            <w:hideMark/>
          </w:tcPr>
          <w:p w14:paraId="2AD2D9CB" w14:textId="094319F0" w:rsidR="00C061D1" w:rsidRPr="00E03AC1" w:rsidRDefault="00C061D1" w:rsidP="00C061D1">
            <w:pPr>
              <w:spacing w:after="0" w:line="240" w:lineRule="auto"/>
              <w:rPr>
                <w:sz w:val="20"/>
                <w:szCs w:val="20"/>
                <w:lang w:eastAsia="sk-SK"/>
              </w:rPr>
            </w:pPr>
            <w:r>
              <w:rPr>
                <w:sz w:val="20"/>
                <w:szCs w:val="20"/>
              </w:rPr>
              <w:t>Taliansko</w:t>
            </w:r>
          </w:p>
        </w:tc>
        <w:tc>
          <w:tcPr>
            <w:tcW w:w="843" w:type="dxa"/>
            <w:tcBorders>
              <w:top w:val="nil"/>
              <w:left w:val="nil"/>
              <w:bottom w:val="nil"/>
              <w:right w:val="nil"/>
            </w:tcBorders>
            <w:shd w:val="clear" w:color="auto" w:fill="auto"/>
            <w:noWrap/>
            <w:vAlign w:val="center"/>
            <w:hideMark/>
          </w:tcPr>
          <w:p w14:paraId="75FA04C7" w14:textId="291A269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154,9</w:t>
            </w:r>
          </w:p>
        </w:tc>
        <w:tc>
          <w:tcPr>
            <w:tcW w:w="843" w:type="dxa"/>
            <w:tcBorders>
              <w:top w:val="nil"/>
              <w:left w:val="nil"/>
              <w:bottom w:val="nil"/>
              <w:right w:val="nil"/>
            </w:tcBorders>
            <w:shd w:val="clear" w:color="auto" w:fill="auto"/>
            <w:noWrap/>
            <w:vAlign w:val="center"/>
            <w:hideMark/>
          </w:tcPr>
          <w:p w14:paraId="139643CD" w14:textId="4BAE13E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147,1</w:t>
            </w:r>
          </w:p>
        </w:tc>
        <w:tc>
          <w:tcPr>
            <w:tcW w:w="864" w:type="dxa"/>
            <w:tcBorders>
              <w:top w:val="nil"/>
              <w:left w:val="nil"/>
              <w:bottom w:val="nil"/>
              <w:right w:val="nil"/>
            </w:tcBorders>
            <w:shd w:val="clear" w:color="auto" w:fill="auto"/>
            <w:noWrap/>
            <w:vAlign w:val="center"/>
            <w:hideMark/>
          </w:tcPr>
          <w:p w14:paraId="06B3CC8B" w14:textId="79C76DD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141,7</w:t>
            </w:r>
          </w:p>
        </w:tc>
        <w:tc>
          <w:tcPr>
            <w:tcW w:w="799" w:type="dxa"/>
            <w:tcBorders>
              <w:top w:val="nil"/>
              <w:left w:val="nil"/>
              <w:bottom w:val="nil"/>
              <w:right w:val="single" w:sz="4" w:space="0" w:color="auto"/>
            </w:tcBorders>
            <w:shd w:val="clear" w:color="auto" w:fill="auto"/>
            <w:noWrap/>
            <w:vAlign w:val="center"/>
            <w:hideMark/>
          </w:tcPr>
          <w:p w14:paraId="3ABAA565" w14:textId="4474AEDC"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-5,4</w:t>
            </w:r>
          </w:p>
        </w:tc>
      </w:tr>
      <w:tr w:rsidR="00C061D1" w:rsidRPr="00E03AC1" w14:paraId="3484C0DF"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206EFC4D" w14:textId="01A6D546" w:rsidR="00C061D1" w:rsidRPr="00E03AC1" w:rsidRDefault="00C061D1" w:rsidP="00C061D1">
            <w:pPr>
              <w:spacing w:after="0" w:line="240" w:lineRule="auto"/>
              <w:rPr>
                <w:sz w:val="20"/>
                <w:szCs w:val="20"/>
                <w:lang w:eastAsia="sk-SK"/>
              </w:rPr>
            </w:pPr>
            <w:r>
              <w:rPr>
                <w:sz w:val="20"/>
                <w:szCs w:val="20"/>
              </w:rPr>
              <w:t>Maďarsko</w:t>
            </w:r>
          </w:p>
        </w:tc>
        <w:tc>
          <w:tcPr>
            <w:tcW w:w="764" w:type="dxa"/>
            <w:tcBorders>
              <w:top w:val="nil"/>
              <w:left w:val="nil"/>
              <w:bottom w:val="nil"/>
              <w:right w:val="nil"/>
            </w:tcBorders>
            <w:shd w:val="clear" w:color="auto" w:fill="auto"/>
            <w:noWrap/>
            <w:vAlign w:val="center"/>
            <w:hideMark/>
          </w:tcPr>
          <w:p w14:paraId="5CD1EB51" w14:textId="4564C9A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-7,6</w:t>
            </w:r>
          </w:p>
        </w:tc>
        <w:tc>
          <w:tcPr>
            <w:tcW w:w="826" w:type="dxa"/>
            <w:tcBorders>
              <w:top w:val="nil"/>
              <w:left w:val="nil"/>
              <w:bottom w:val="nil"/>
              <w:right w:val="nil"/>
            </w:tcBorders>
            <w:shd w:val="clear" w:color="auto" w:fill="auto"/>
            <w:noWrap/>
            <w:vAlign w:val="center"/>
            <w:hideMark/>
          </w:tcPr>
          <w:p w14:paraId="7C3D57FE" w14:textId="1A2FB6A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-7,2</w:t>
            </w:r>
          </w:p>
        </w:tc>
        <w:tc>
          <w:tcPr>
            <w:tcW w:w="742" w:type="dxa"/>
            <w:tcBorders>
              <w:top w:val="nil"/>
              <w:left w:val="nil"/>
              <w:bottom w:val="nil"/>
              <w:right w:val="nil"/>
            </w:tcBorders>
            <w:shd w:val="clear" w:color="auto" w:fill="auto"/>
            <w:noWrap/>
            <w:vAlign w:val="center"/>
            <w:hideMark/>
          </w:tcPr>
          <w:p w14:paraId="586595BF" w14:textId="45EC10E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-6,2</w:t>
            </w:r>
          </w:p>
        </w:tc>
        <w:tc>
          <w:tcPr>
            <w:tcW w:w="728" w:type="dxa"/>
            <w:tcBorders>
              <w:top w:val="nil"/>
              <w:left w:val="nil"/>
              <w:bottom w:val="nil"/>
              <w:right w:val="nil"/>
            </w:tcBorders>
            <w:shd w:val="clear" w:color="auto" w:fill="auto"/>
            <w:noWrap/>
            <w:vAlign w:val="center"/>
            <w:hideMark/>
          </w:tcPr>
          <w:p w14:paraId="4C2E9E92" w14:textId="7FE7DD06"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1,0</w:t>
            </w:r>
          </w:p>
        </w:tc>
        <w:tc>
          <w:tcPr>
            <w:tcW w:w="1453" w:type="dxa"/>
            <w:tcBorders>
              <w:top w:val="nil"/>
              <w:left w:val="single" w:sz="4" w:space="0" w:color="auto"/>
              <w:bottom w:val="nil"/>
              <w:right w:val="nil"/>
            </w:tcBorders>
            <w:shd w:val="clear" w:color="auto" w:fill="auto"/>
            <w:noWrap/>
            <w:vAlign w:val="center"/>
            <w:hideMark/>
          </w:tcPr>
          <w:p w14:paraId="33862D3E" w14:textId="7D749AAE" w:rsidR="00C061D1" w:rsidRPr="00E03AC1" w:rsidRDefault="00C061D1" w:rsidP="00C061D1">
            <w:pPr>
              <w:spacing w:after="0" w:line="240" w:lineRule="auto"/>
              <w:rPr>
                <w:sz w:val="20"/>
                <w:szCs w:val="20"/>
                <w:lang w:eastAsia="sk-SK"/>
              </w:rPr>
            </w:pPr>
            <w:r>
              <w:rPr>
                <w:sz w:val="20"/>
                <w:szCs w:val="20"/>
              </w:rPr>
              <w:t>Portugalsko</w:t>
            </w:r>
          </w:p>
        </w:tc>
        <w:tc>
          <w:tcPr>
            <w:tcW w:w="843" w:type="dxa"/>
            <w:tcBorders>
              <w:top w:val="nil"/>
              <w:left w:val="nil"/>
              <w:bottom w:val="nil"/>
              <w:right w:val="nil"/>
            </w:tcBorders>
            <w:shd w:val="clear" w:color="auto" w:fill="auto"/>
            <w:noWrap/>
            <w:vAlign w:val="center"/>
            <w:hideMark/>
          </w:tcPr>
          <w:p w14:paraId="3D827412" w14:textId="4303326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134,9</w:t>
            </w:r>
          </w:p>
        </w:tc>
        <w:tc>
          <w:tcPr>
            <w:tcW w:w="843" w:type="dxa"/>
            <w:tcBorders>
              <w:top w:val="nil"/>
              <w:left w:val="nil"/>
              <w:bottom w:val="nil"/>
              <w:right w:val="nil"/>
            </w:tcBorders>
            <w:shd w:val="clear" w:color="auto" w:fill="auto"/>
            <w:noWrap/>
            <w:vAlign w:val="center"/>
            <w:hideMark/>
          </w:tcPr>
          <w:p w14:paraId="50ABBA7E" w14:textId="43702E0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124,5</w:t>
            </w:r>
          </w:p>
        </w:tc>
        <w:tc>
          <w:tcPr>
            <w:tcW w:w="864" w:type="dxa"/>
            <w:tcBorders>
              <w:top w:val="nil"/>
              <w:left w:val="nil"/>
              <w:bottom w:val="nil"/>
              <w:right w:val="nil"/>
            </w:tcBorders>
            <w:shd w:val="clear" w:color="auto" w:fill="auto"/>
            <w:noWrap/>
            <w:vAlign w:val="center"/>
            <w:hideMark/>
          </w:tcPr>
          <w:p w14:paraId="671E5973" w14:textId="2299200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112,4</w:t>
            </w:r>
          </w:p>
        </w:tc>
        <w:tc>
          <w:tcPr>
            <w:tcW w:w="799" w:type="dxa"/>
            <w:tcBorders>
              <w:top w:val="nil"/>
              <w:left w:val="nil"/>
              <w:bottom w:val="nil"/>
              <w:right w:val="single" w:sz="4" w:space="0" w:color="auto"/>
            </w:tcBorders>
            <w:shd w:val="clear" w:color="auto" w:fill="auto"/>
            <w:noWrap/>
            <w:vAlign w:val="center"/>
            <w:hideMark/>
          </w:tcPr>
          <w:p w14:paraId="125A7D47" w14:textId="36D2F6F0"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-12,1</w:t>
            </w:r>
          </w:p>
        </w:tc>
      </w:tr>
      <w:tr w:rsidR="00C061D1" w:rsidRPr="00E03AC1" w14:paraId="4075AE1A"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63E7E7B4" w14:textId="7DD7D077" w:rsidR="00C061D1" w:rsidRPr="00E03AC1" w:rsidRDefault="00C061D1" w:rsidP="00C061D1">
            <w:pPr>
              <w:spacing w:after="0" w:line="240" w:lineRule="auto"/>
              <w:rPr>
                <w:sz w:val="20"/>
                <w:szCs w:val="20"/>
                <w:lang w:eastAsia="sk-SK"/>
              </w:rPr>
            </w:pPr>
            <w:r>
              <w:rPr>
                <w:sz w:val="20"/>
                <w:szCs w:val="20"/>
              </w:rPr>
              <w:t>Malta</w:t>
            </w:r>
          </w:p>
        </w:tc>
        <w:tc>
          <w:tcPr>
            <w:tcW w:w="764" w:type="dxa"/>
            <w:tcBorders>
              <w:top w:val="nil"/>
              <w:left w:val="nil"/>
              <w:bottom w:val="nil"/>
              <w:right w:val="nil"/>
            </w:tcBorders>
            <w:shd w:val="clear" w:color="auto" w:fill="auto"/>
            <w:noWrap/>
            <w:vAlign w:val="center"/>
            <w:hideMark/>
          </w:tcPr>
          <w:p w14:paraId="52B0C32D" w14:textId="5BA6686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-9,6</w:t>
            </w:r>
          </w:p>
        </w:tc>
        <w:tc>
          <w:tcPr>
            <w:tcW w:w="826" w:type="dxa"/>
            <w:tcBorders>
              <w:top w:val="nil"/>
              <w:left w:val="nil"/>
              <w:bottom w:val="nil"/>
              <w:right w:val="nil"/>
            </w:tcBorders>
            <w:shd w:val="clear" w:color="auto" w:fill="auto"/>
            <w:noWrap/>
            <w:vAlign w:val="center"/>
            <w:hideMark/>
          </w:tcPr>
          <w:p w14:paraId="623C6691" w14:textId="3D6A336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-7,5</w:t>
            </w:r>
          </w:p>
        </w:tc>
        <w:tc>
          <w:tcPr>
            <w:tcW w:w="742" w:type="dxa"/>
            <w:tcBorders>
              <w:top w:val="nil"/>
              <w:left w:val="nil"/>
              <w:bottom w:val="nil"/>
              <w:right w:val="nil"/>
            </w:tcBorders>
            <w:shd w:val="clear" w:color="auto" w:fill="auto"/>
            <w:noWrap/>
            <w:vAlign w:val="center"/>
            <w:hideMark/>
          </w:tcPr>
          <w:p w14:paraId="4237C4FB" w14:textId="3D686C9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-5,7</w:t>
            </w:r>
          </w:p>
        </w:tc>
        <w:tc>
          <w:tcPr>
            <w:tcW w:w="728" w:type="dxa"/>
            <w:tcBorders>
              <w:top w:val="nil"/>
              <w:left w:val="nil"/>
              <w:bottom w:val="nil"/>
              <w:right w:val="nil"/>
            </w:tcBorders>
            <w:shd w:val="clear" w:color="auto" w:fill="auto"/>
            <w:noWrap/>
            <w:vAlign w:val="center"/>
            <w:hideMark/>
          </w:tcPr>
          <w:p w14:paraId="708CB822" w14:textId="7D8BF0A9"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1,8</w:t>
            </w:r>
          </w:p>
        </w:tc>
        <w:tc>
          <w:tcPr>
            <w:tcW w:w="1453" w:type="dxa"/>
            <w:tcBorders>
              <w:top w:val="nil"/>
              <w:left w:val="single" w:sz="4" w:space="0" w:color="auto"/>
              <w:bottom w:val="nil"/>
              <w:right w:val="nil"/>
            </w:tcBorders>
            <w:shd w:val="clear" w:color="auto" w:fill="auto"/>
            <w:noWrap/>
            <w:vAlign w:val="center"/>
            <w:hideMark/>
          </w:tcPr>
          <w:p w14:paraId="6180E038" w14:textId="0C901991" w:rsidR="00C061D1" w:rsidRPr="00E03AC1" w:rsidRDefault="00C061D1" w:rsidP="00C061D1">
            <w:pPr>
              <w:spacing w:after="0" w:line="240" w:lineRule="auto"/>
              <w:rPr>
                <w:sz w:val="20"/>
                <w:szCs w:val="20"/>
                <w:lang w:eastAsia="sk-SK"/>
              </w:rPr>
            </w:pPr>
            <w:r>
              <w:rPr>
                <w:sz w:val="20"/>
                <w:szCs w:val="20"/>
              </w:rPr>
              <w:t>Francúzsko</w:t>
            </w:r>
          </w:p>
        </w:tc>
        <w:tc>
          <w:tcPr>
            <w:tcW w:w="843" w:type="dxa"/>
            <w:tcBorders>
              <w:top w:val="nil"/>
              <w:left w:val="nil"/>
              <w:bottom w:val="nil"/>
              <w:right w:val="nil"/>
            </w:tcBorders>
            <w:shd w:val="clear" w:color="auto" w:fill="auto"/>
            <w:noWrap/>
            <w:vAlign w:val="center"/>
            <w:hideMark/>
          </w:tcPr>
          <w:p w14:paraId="2826A587" w14:textId="7C66DF7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114,6</w:t>
            </w:r>
          </w:p>
        </w:tc>
        <w:tc>
          <w:tcPr>
            <w:tcW w:w="843" w:type="dxa"/>
            <w:tcBorders>
              <w:top w:val="nil"/>
              <w:left w:val="nil"/>
              <w:bottom w:val="nil"/>
              <w:right w:val="nil"/>
            </w:tcBorders>
            <w:shd w:val="clear" w:color="auto" w:fill="auto"/>
            <w:noWrap/>
            <w:vAlign w:val="center"/>
            <w:hideMark/>
          </w:tcPr>
          <w:p w14:paraId="6DA8F612" w14:textId="10A917C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112,9</w:t>
            </w:r>
          </w:p>
        </w:tc>
        <w:tc>
          <w:tcPr>
            <w:tcW w:w="864" w:type="dxa"/>
            <w:tcBorders>
              <w:top w:val="nil"/>
              <w:left w:val="nil"/>
              <w:bottom w:val="nil"/>
              <w:right w:val="nil"/>
            </w:tcBorders>
            <w:shd w:val="clear" w:color="auto" w:fill="auto"/>
            <w:noWrap/>
            <w:vAlign w:val="center"/>
            <w:hideMark/>
          </w:tcPr>
          <w:p w14:paraId="05F4FC11" w14:textId="3B5ADBD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111,8</w:t>
            </w:r>
          </w:p>
        </w:tc>
        <w:tc>
          <w:tcPr>
            <w:tcW w:w="799" w:type="dxa"/>
            <w:tcBorders>
              <w:top w:val="nil"/>
              <w:left w:val="nil"/>
              <w:bottom w:val="nil"/>
              <w:right w:val="single" w:sz="4" w:space="0" w:color="auto"/>
            </w:tcBorders>
            <w:shd w:val="clear" w:color="auto" w:fill="auto"/>
            <w:noWrap/>
            <w:vAlign w:val="center"/>
            <w:hideMark/>
          </w:tcPr>
          <w:p w14:paraId="2276BE77" w14:textId="5F661622"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-1,1</w:t>
            </w:r>
          </w:p>
        </w:tc>
      </w:tr>
      <w:tr w:rsidR="00C061D1" w:rsidRPr="00E03AC1" w14:paraId="7DCCEAC0"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7DA4F13C" w14:textId="1CE9E577" w:rsidR="00C061D1" w:rsidRPr="00E03AC1" w:rsidRDefault="00C061D1" w:rsidP="00C061D1">
            <w:pPr>
              <w:spacing w:after="0" w:line="240" w:lineRule="auto"/>
              <w:rPr>
                <w:sz w:val="20"/>
                <w:szCs w:val="20"/>
                <w:lang w:eastAsia="sk-SK"/>
              </w:rPr>
            </w:pPr>
            <w:r>
              <w:rPr>
                <w:sz w:val="20"/>
                <w:szCs w:val="20"/>
              </w:rPr>
              <w:t>Francúzsko</w:t>
            </w:r>
          </w:p>
        </w:tc>
        <w:tc>
          <w:tcPr>
            <w:tcW w:w="764" w:type="dxa"/>
            <w:tcBorders>
              <w:top w:val="nil"/>
              <w:left w:val="nil"/>
              <w:bottom w:val="nil"/>
              <w:right w:val="nil"/>
            </w:tcBorders>
            <w:shd w:val="clear" w:color="auto" w:fill="auto"/>
            <w:noWrap/>
            <w:vAlign w:val="center"/>
            <w:hideMark/>
          </w:tcPr>
          <w:p w14:paraId="3BC78A2D" w14:textId="3BC313C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-9,0</w:t>
            </w:r>
          </w:p>
        </w:tc>
        <w:tc>
          <w:tcPr>
            <w:tcW w:w="826" w:type="dxa"/>
            <w:tcBorders>
              <w:top w:val="nil"/>
              <w:left w:val="nil"/>
              <w:bottom w:val="nil"/>
              <w:right w:val="nil"/>
            </w:tcBorders>
            <w:shd w:val="clear" w:color="auto" w:fill="auto"/>
            <w:noWrap/>
            <w:vAlign w:val="center"/>
            <w:hideMark/>
          </w:tcPr>
          <w:p w14:paraId="710CB217" w14:textId="12C6615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-6,5</w:t>
            </w:r>
          </w:p>
        </w:tc>
        <w:tc>
          <w:tcPr>
            <w:tcW w:w="742" w:type="dxa"/>
            <w:tcBorders>
              <w:top w:val="nil"/>
              <w:left w:val="nil"/>
              <w:bottom w:val="nil"/>
              <w:right w:val="nil"/>
            </w:tcBorders>
            <w:shd w:val="clear" w:color="auto" w:fill="auto"/>
            <w:noWrap/>
            <w:vAlign w:val="center"/>
            <w:hideMark/>
          </w:tcPr>
          <w:p w14:paraId="0F192314" w14:textId="5478701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-4,8</w:t>
            </w:r>
          </w:p>
        </w:tc>
        <w:tc>
          <w:tcPr>
            <w:tcW w:w="728" w:type="dxa"/>
            <w:tcBorders>
              <w:top w:val="nil"/>
              <w:left w:val="nil"/>
              <w:bottom w:val="nil"/>
              <w:right w:val="nil"/>
            </w:tcBorders>
            <w:shd w:val="clear" w:color="auto" w:fill="auto"/>
            <w:noWrap/>
            <w:vAlign w:val="center"/>
            <w:hideMark/>
          </w:tcPr>
          <w:p w14:paraId="52638085" w14:textId="3543892E"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1,7</w:t>
            </w:r>
          </w:p>
        </w:tc>
        <w:tc>
          <w:tcPr>
            <w:tcW w:w="1453" w:type="dxa"/>
            <w:tcBorders>
              <w:top w:val="nil"/>
              <w:left w:val="single" w:sz="4" w:space="0" w:color="auto"/>
              <w:bottom w:val="nil"/>
              <w:right w:val="nil"/>
            </w:tcBorders>
            <w:shd w:val="clear" w:color="auto" w:fill="auto"/>
            <w:noWrap/>
            <w:vAlign w:val="center"/>
            <w:hideMark/>
          </w:tcPr>
          <w:p w14:paraId="4E464861" w14:textId="4CB05987" w:rsidR="00C061D1" w:rsidRPr="00E03AC1" w:rsidRDefault="00C061D1" w:rsidP="00C061D1">
            <w:pPr>
              <w:spacing w:after="0" w:line="240" w:lineRule="auto"/>
              <w:rPr>
                <w:sz w:val="20"/>
                <w:szCs w:val="20"/>
                <w:lang w:eastAsia="sk-SK"/>
              </w:rPr>
            </w:pPr>
            <w:r>
              <w:rPr>
                <w:sz w:val="20"/>
                <w:szCs w:val="20"/>
              </w:rPr>
              <w:t>Španielsko</w:t>
            </w:r>
          </w:p>
        </w:tc>
        <w:tc>
          <w:tcPr>
            <w:tcW w:w="843" w:type="dxa"/>
            <w:tcBorders>
              <w:top w:val="nil"/>
              <w:left w:val="nil"/>
              <w:bottom w:val="nil"/>
              <w:right w:val="nil"/>
            </w:tcBorders>
            <w:shd w:val="clear" w:color="auto" w:fill="auto"/>
            <w:noWrap/>
            <w:vAlign w:val="center"/>
            <w:hideMark/>
          </w:tcPr>
          <w:p w14:paraId="795397D0" w14:textId="30F396A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120,3</w:t>
            </w:r>
          </w:p>
        </w:tc>
        <w:tc>
          <w:tcPr>
            <w:tcW w:w="843" w:type="dxa"/>
            <w:tcBorders>
              <w:top w:val="nil"/>
              <w:left w:val="nil"/>
              <w:bottom w:val="nil"/>
              <w:right w:val="nil"/>
            </w:tcBorders>
            <w:shd w:val="clear" w:color="auto" w:fill="auto"/>
            <w:noWrap/>
            <w:vAlign w:val="center"/>
            <w:hideMark/>
          </w:tcPr>
          <w:p w14:paraId="16F3F9F4" w14:textId="34A5DC4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116,8</w:t>
            </w:r>
          </w:p>
        </w:tc>
        <w:tc>
          <w:tcPr>
            <w:tcW w:w="864" w:type="dxa"/>
            <w:tcBorders>
              <w:top w:val="nil"/>
              <w:left w:val="nil"/>
              <w:bottom w:val="nil"/>
              <w:right w:val="nil"/>
            </w:tcBorders>
            <w:shd w:val="clear" w:color="auto" w:fill="auto"/>
            <w:noWrap/>
            <w:vAlign w:val="center"/>
            <w:hideMark/>
          </w:tcPr>
          <w:p w14:paraId="28C8D4FE" w14:textId="4189D86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111,6</w:t>
            </w:r>
          </w:p>
        </w:tc>
        <w:tc>
          <w:tcPr>
            <w:tcW w:w="799" w:type="dxa"/>
            <w:tcBorders>
              <w:top w:val="nil"/>
              <w:left w:val="nil"/>
              <w:bottom w:val="nil"/>
              <w:right w:val="single" w:sz="4" w:space="0" w:color="auto"/>
            </w:tcBorders>
            <w:shd w:val="clear" w:color="auto" w:fill="auto"/>
            <w:noWrap/>
            <w:vAlign w:val="center"/>
            <w:hideMark/>
          </w:tcPr>
          <w:p w14:paraId="3B9FD576" w14:textId="345CFE07"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-5,2</w:t>
            </w:r>
          </w:p>
        </w:tc>
      </w:tr>
      <w:tr w:rsidR="00C061D1" w:rsidRPr="00E03AC1" w14:paraId="46CDABF4"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3956D49E" w14:textId="45AA7E84" w:rsidR="00C061D1" w:rsidRPr="00E03AC1" w:rsidRDefault="00C061D1" w:rsidP="00C061D1">
            <w:pPr>
              <w:spacing w:after="0" w:line="240" w:lineRule="auto"/>
              <w:rPr>
                <w:sz w:val="20"/>
                <w:szCs w:val="20"/>
                <w:lang w:eastAsia="sk-SK"/>
              </w:rPr>
            </w:pPr>
            <w:r>
              <w:rPr>
                <w:sz w:val="20"/>
                <w:szCs w:val="20"/>
              </w:rPr>
              <w:t>Španielsko</w:t>
            </w:r>
          </w:p>
        </w:tc>
        <w:tc>
          <w:tcPr>
            <w:tcW w:w="764" w:type="dxa"/>
            <w:tcBorders>
              <w:top w:val="nil"/>
              <w:left w:val="nil"/>
              <w:bottom w:val="nil"/>
              <w:right w:val="nil"/>
            </w:tcBorders>
            <w:shd w:val="clear" w:color="auto" w:fill="auto"/>
            <w:noWrap/>
            <w:vAlign w:val="center"/>
            <w:hideMark/>
          </w:tcPr>
          <w:p w14:paraId="53277775" w14:textId="5F2846F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-10,1</w:t>
            </w:r>
          </w:p>
        </w:tc>
        <w:tc>
          <w:tcPr>
            <w:tcW w:w="826" w:type="dxa"/>
            <w:tcBorders>
              <w:top w:val="nil"/>
              <w:left w:val="nil"/>
              <w:bottom w:val="nil"/>
              <w:right w:val="nil"/>
            </w:tcBorders>
            <w:shd w:val="clear" w:color="auto" w:fill="auto"/>
            <w:noWrap/>
            <w:vAlign w:val="center"/>
            <w:hideMark/>
          </w:tcPr>
          <w:p w14:paraId="2C1E96FA" w14:textId="6910EAB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-6,7</w:t>
            </w:r>
          </w:p>
        </w:tc>
        <w:tc>
          <w:tcPr>
            <w:tcW w:w="742" w:type="dxa"/>
            <w:tcBorders>
              <w:top w:val="nil"/>
              <w:left w:val="nil"/>
              <w:bottom w:val="nil"/>
              <w:right w:val="nil"/>
            </w:tcBorders>
            <w:shd w:val="clear" w:color="auto" w:fill="auto"/>
            <w:noWrap/>
            <w:vAlign w:val="center"/>
            <w:hideMark/>
          </w:tcPr>
          <w:p w14:paraId="2C92B5A3" w14:textId="001D720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-4,7</w:t>
            </w:r>
          </w:p>
        </w:tc>
        <w:tc>
          <w:tcPr>
            <w:tcW w:w="728" w:type="dxa"/>
            <w:tcBorders>
              <w:top w:val="nil"/>
              <w:left w:val="nil"/>
              <w:bottom w:val="nil"/>
              <w:right w:val="nil"/>
            </w:tcBorders>
            <w:shd w:val="clear" w:color="auto" w:fill="auto"/>
            <w:noWrap/>
            <w:vAlign w:val="center"/>
            <w:hideMark/>
          </w:tcPr>
          <w:p w14:paraId="134EE644" w14:textId="5420EC35" w:rsidR="00C061D1" w:rsidRPr="00E03AC1" w:rsidRDefault="00C061D1" w:rsidP="00C061D1">
            <w:pPr>
              <w:spacing w:after="0" w:line="240" w:lineRule="auto"/>
              <w:ind w:firstLineChars="100" w:firstLine="200"/>
              <w:jc w:val="center"/>
              <w:rPr>
                <w:color w:val="FF0000"/>
                <w:sz w:val="20"/>
                <w:szCs w:val="20"/>
                <w:lang w:eastAsia="sk-SK"/>
              </w:rPr>
            </w:pPr>
            <w:r>
              <w:rPr>
                <w:color w:val="00B050"/>
                <w:sz w:val="20"/>
                <w:szCs w:val="20"/>
              </w:rPr>
              <w:t>2,0</w:t>
            </w:r>
          </w:p>
        </w:tc>
        <w:tc>
          <w:tcPr>
            <w:tcW w:w="1453" w:type="dxa"/>
            <w:tcBorders>
              <w:top w:val="nil"/>
              <w:left w:val="single" w:sz="4" w:space="0" w:color="auto"/>
              <w:bottom w:val="nil"/>
              <w:right w:val="nil"/>
            </w:tcBorders>
            <w:shd w:val="clear" w:color="auto" w:fill="auto"/>
            <w:noWrap/>
            <w:vAlign w:val="center"/>
            <w:hideMark/>
          </w:tcPr>
          <w:p w14:paraId="54E46D15" w14:textId="46BE52CC" w:rsidR="00C061D1" w:rsidRPr="00E03AC1" w:rsidRDefault="00C061D1" w:rsidP="00C061D1">
            <w:pPr>
              <w:spacing w:after="0" w:line="240" w:lineRule="auto"/>
              <w:rPr>
                <w:sz w:val="20"/>
                <w:szCs w:val="20"/>
                <w:lang w:eastAsia="sk-SK"/>
              </w:rPr>
            </w:pPr>
            <w:r>
              <w:rPr>
                <w:sz w:val="20"/>
                <w:szCs w:val="20"/>
              </w:rPr>
              <w:t>Belgicko</w:t>
            </w:r>
          </w:p>
        </w:tc>
        <w:tc>
          <w:tcPr>
            <w:tcW w:w="843" w:type="dxa"/>
            <w:tcBorders>
              <w:top w:val="nil"/>
              <w:left w:val="nil"/>
              <w:bottom w:val="nil"/>
              <w:right w:val="nil"/>
            </w:tcBorders>
            <w:shd w:val="clear" w:color="auto" w:fill="auto"/>
            <w:noWrap/>
            <w:vAlign w:val="center"/>
            <w:hideMark/>
          </w:tcPr>
          <w:p w14:paraId="5A39A92D" w14:textId="297AE9D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111,8</w:t>
            </w:r>
          </w:p>
        </w:tc>
        <w:tc>
          <w:tcPr>
            <w:tcW w:w="843" w:type="dxa"/>
            <w:tcBorders>
              <w:top w:val="nil"/>
              <w:left w:val="nil"/>
              <w:bottom w:val="nil"/>
              <w:right w:val="nil"/>
            </w:tcBorders>
            <w:shd w:val="clear" w:color="auto" w:fill="auto"/>
            <w:noWrap/>
            <w:vAlign w:val="center"/>
            <w:hideMark/>
          </w:tcPr>
          <w:p w14:paraId="711C086C" w14:textId="24227F5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108,0</w:t>
            </w:r>
          </w:p>
        </w:tc>
        <w:tc>
          <w:tcPr>
            <w:tcW w:w="864" w:type="dxa"/>
            <w:tcBorders>
              <w:top w:val="nil"/>
              <w:left w:val="nil"/>
              <w:bottom w:val="nil"/>
              <w:right w:val="nil"/>
            </w:tcBorders>
            <w:shd w:val="clear" w:color="auto" w:fill="auto"/>
            <w:noWrap/>
            <w:vAlign w:val="center"/>
            <w:hideMark/>
          </w:tcPr>
          <w:p w14:paraId="5B7C18B6" w14:textId="7A54091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104,3</w:t>
            </w:r>
          </w:p>
        </w:tc>
        <w:tc>
          <w:tcPr>
            <w:tcW w:w="799" w:type="dxa"/>
            <w:tcBorders>
              <w:top w:val="nil"/>
              <w:left w:val="nil"/>
              <w:bottom w:val="nil"/>
              <w:right w:val="single" w:sz="4" w:space="0" w:color="auto"/>
            </w:tcBorders>
            <w:shd w:val="clear" w:color="auto" w:fill="auto"/>
            <w:noWrap/>
            <w:vAlign w:val="center"/>
            <w:hideMark/>
          </w:tcPr>
          <w:p w14:paraId="42CCD329" w14:textId="59419008"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-3,7</w:t>
            </w:r>
          </w:p>
        </w:tc>
      </w:tr>
      <w:tr w:rsidR="00C061D1" w:rsidRPr="00E03AC1" w14:paraId="5645D2F3"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5B4A843C" w14:textId="782567D3" w:rsidR="00C061D1" w:rsidRPr="00E03AC1" w:rsidRDefault="00C061D1" w:rsidP="00C061D1">
            <w:pPr>
              <w:spacing w:after="0" w:line="240" w:lineRule="auto"/>
              <w:rPr>
                <w:sz w:val="20"/>
                <w:szCs w:val="20"/>
                <w:lang w:eastAsia="sk-SK"/>
              </w:rPr>
            </w:pPr>
            <w:r>
              <w:rPr>
                <w:sz w:val="20"/>
                <w:szCs w:val="20"/>
              </w:rPr>
              <w:t>Lotyšsko</w:t>
            </w:r>
          </w:p>
        </w:tc>
        <w:tc>
          <w:tcPr>
            <w:tcW w:w="764" w:type="dxa"/>
            <w:tcBorders>
              <w:top w:val="nil"/>
              <w:left w:val="nil"/>
              <w:bottom w:val="nil"/>
              <w:right w:val="nil"/>
            </w:tcBorders>
            <w:shd w:val="clear" w:color="auto" w:fill="auto"/>
            <w:noWrap/>
            <w:vAlign w:val="center"/>
            <w:hideMark/>
          </w:tcPr>
          <w:p w14:paraId="54BFCE68" w14:textId="62D5E40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-4,5</w:t>
            </w:r>
          </w:p>
        </w:tc>
        <w:tc>
          <w:tcPr>
            <w:tcW w:w="826" w:type="dxa"/>
            <w:tcBorders>
              <w:top w:val="nil"/>
              <w:left w:val="nil"/>
              <w:bottom w:val="nil"/>
              <w:right w:val="nil"/>
            </w:tcBorders>
            <w:shd w:val="clear" w:color="auto" w:fill="auto"/>
            <w:noWrap/>
            <w:vAlign w:val="center"/>
            <w:hideMark/>
          </w:tcPr>
          <w:p w14:paraId="5D5E591A" w14:textId="2A8B294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-7,2</w:t>
            </w:r>
          </w:p>
        </w:tc>
        <w:tc>
          <w:tcPr>
            <w:tcW w:w="742" w:type="dxa"/>
            <w:tcBorders>
              <w:top w:val="nil"/>
              <w:left w:val="nil"/>
              <w:bottom w:val="nil"/>
              <w:right w:val="nil"/>
            </w:tcBorders>
            <w:shd w:val="clear" w:color="auto" w:fill="auto"/>
            <w:noWrap/>
            <w:vAlign w:val="center"/>
            <w:hideMark/>
          </w:tcPr>
          <w:p w14:paraId="078D14D0" w14:textId="32A2B7D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-4,6</w:t>
            </w:r>
          </w:p>
        </w:tc>
        <w:tc>
          <w:tcPr>
            <w:tcW w:w="728" w:type="dxa"/>
            <w:tcBorders>
              <w:top w:val="nil"/>
              <w:left w:val="nil"/>
              <w:bottom w:val="nil"/>
              <w:right w:val="nil"/>
            </w:tcBorders>
            <w:shd w:val="clear" w:color="auto" w:fill="auto"/>
            <w:noWrap/>
            <w:vAlign w:val="center"/>
            <w:hideMark/>
          </w:tcPr>
          <w:p w14:paraId="4A642549" w14:textId="3D6256E7"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2,6</w:t>
            </w:r>
          </w:p>
        </w:tc>
        <w:tc>
          <w:tcPr>
            <w:tcW w:w="1453" w:type="dxa"/>
            <w:tcBorders>
              <w:top w:val="nil"/>
              <w:left w:val="single" w:sz="4" w:space="0" w:color="auto"/>
              <w:bottom w:val="nil"/>
              <w:right w:val="nil"/>
            </w:tcBorders>
            <w:shd w:val="clear" w:color="auto" w:fill="auto"/>
            <w:noWrap/>
            <w:vAlign w:val="center"/>
            <w:hideMark/>
          </w:tcPr>
          <w:p w14:paraId="7EF7446C" w14:textId="74599494" w:rsidR="00C061D1" w:rsidRPr="00E03AC1" w:rsidRDefault="00C061D1" w:rsidP="00C061D1">
            <w:pPr>
              <w:spacing w:after="0" w:line="240" w:lineRule="auto"/>
              <w:rPr>
                <w:sz w:val="20"/>
                <w:szCs w:val="20"/>
                <w:lang w:eastAsia="sk-SK"/>
              </w:rPr>
            </w:pPr>
            <w:r>
              <w:rPr>
                <w:sz w:val="20"/>
                <w:szCs w:val="20"/>
              </w:rPr>
              <w:t>Cyprus</w:t>
            </w:r>
          </w:p>
        </w:tc>
        <w:tc>
          <w:tcPr>
            <w:tcW w:w="843" w:type="dxa"/>
            <w:tcBorders>
              <w:top w:val="nil"/>
              <w:left w:val="nil"/>
              <w:bottom w:val="nil"/>
              <w:right w:val="nil"/>
            </w:tcBorders>
            <w:shd w:val="clear" w:color="auto" w:fill="auto"/>
            <w:noWrap/>
            <w:vAlign w:val="center"/>
            <w:hideMark/>
          </w:tcPr>
          <w:p w14:paraId="6F08DA71" w14:textId="149A52F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114,9</w:t>
            </w:r>
          </w:p>
        </w:tc>
        <w:tc>
          <w:tcPr>
            <w:tcW w:w="843" w:type="dxa"/>
            <w:tcBorders>
              <w:top w:val="nil"/>
              <w:left w:val="nil"/>
              <w:bottom w:val="nil"/>
              <w:right w:val="nil"/>
            </w:tcBorders>
            <w:shd w:val="clear" w:color="auto" w:fill="auto"/>
            <w:noWrap/>
            <w:vAlign w:val="center"/>
            <w:hideMark/>
          </w:tcPr>
          <w:p w14:paraId="41B120F4" w14:textId="1187B75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99,3</w:t>
            </w:r>
          </w:p>
        </w:tc>
        <w:tc>
          <w:tcPr>
            <w:tcW w:w="864" w:type="dxa"/>
            <w:tcBorders>
              <w:top w:val="nil"/>
              <w:left w:val="nil"/>
              <w:bottom w:val="nil"/>
              <w:right w:val="nil"/>
            </w:tcBorders>
            <w:shd w:val="clear" w:color="auto" w:fill="auto"/>
            <w:noWrap/>
            <w:vAlign w:val="center"/>
            <w:hideMark/>
          </w:tcPr>
          <w:p w14:paraId="434A0CE1" w14:textId="35B0B59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85,6</w:t>
            </w:r>
          </w:p>
        </w:tc>
        <w:tc>
          <w:tcPr>
            <w:tcW w:w="799" w:type="dxa"/>
            <w:tcBorders>
              <w:top w:val="nil"/>
              <w:left w:val="nil"/>
              <w:bottom w:val="nil"/>
              <w:right w:val="single" w:sz="4" w:space="0" w:color="auto"/>
            </w:tcBorders>
            <w:shd w:val="clear" w:color="auto" w:fill="auto"/>
            <w:noWrap/>
            <w:vAlign w:val="center"/>
            <w:hideMark/>
          </w:tcPr>
          <w:p w14:paraId="0ADCDE38" w14:textId="06C7D742"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-13,7</w:t>
            </w:r>
          </w:p>
        </w:tc>
      </w:tr>
      <w:tr w:rsidR="00C061D1" w:rsidRPr="00E03AC1" w14:paraId="37F38C54"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4FBA8E7E" w14:textId="7E667265" w:rsidR="00C061D1" w:rsidRPr="00E03AC1" w:rsidRDefault="00C061D1" w:rsidP="00C061D1">
            <w:pPr>
              <w:spacing w:after="0" w:line="240" w:lineRule="auto"/>
              <w:rPr>
                <w:sz w:val="20"/>
                <w:szCs w:val="20"/>
                <w:lang w:eastAsia="sk-SK"/>
              </w:rPr>
            </w:pPr>
            <w:r>
              <w:rPr>
                <w:sz w:val="20"/>
                <w:szCs w:val="20"/>
              </w:rPr>
              <w:t>Poľsko</w:t>
            </w:r>
          </w:p>
        </w:tc>
        <w:tc>
          <w:tcPr>
            <w:tcW w:w="764" w:type="dxa"/>
            <w:tcBorders>
              <w:top w:val="nil"/>
              <w:left w:val="nil"/>
              <w:bottom w:val="nil"/>
              <w:right w:val="nil"/>
            </w:tcBorders>
            <w:shd w:val="clear" w:color="auto" w:fill="auto"/>
            <w:noWrap/>
            <w:vAlign w:val="center"/>
            <w:hideMark/>
          </w:tcPr>
          <w:p w14:paraId="42F945EC" w14:textId="0CABD15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-6,9</w:t>
            </w:r>
          </w:p>
        </w:tc>
        <w:tc>
          <w:tcPr>
            <w:tcW w:w="826" w:type="dxa"/>
            <w:tcBorders>
              <w:top w:val="nil"/>
              <w:left w:val="nil"/>
              <w:bottom w:val="nil"/>
              <w:right w:val="nil"/>
            </w:tcBorders>
            <w:shd w:val="clear" w:color="auto" w:fill="auto"/>
            <w:noWrap/>
            <w:vAlign w:val="center"/>
            <w:hideMark/>
          </w:tcPr>
          <w:p w14:paraId="6FFC59E1" w14:textId="76DE4A3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-1,8</w:t>
            </w:r>
          </w:p>
        </w:tc>
        <w:tc>
          <w:tcPr>
            <w:tcW w:w="742" w:type="dxa"/>
            <w:tcBorders>
              <w:top w:val="nil"/>
              <w:left w:val="nil"/>
              <w:bottom w:val="nil"/>
              <w:right w:val="nil"/>
            </w:tcBorders>
            <w:shd w:val="clear" w:color="auto" w:fill="auto"/>
            <w:noWrap/>
            <w:vAlign w:val="center"/>
            <w:hideMark/>
          </w:tcPr>
          <w:p w14:paraId="3F110333" w14:textId="27D474F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-3,7</w:t>
            </w:r>
          </w:p>
        </w:tc>
        <w:tc>
          <w:tcPr>
            <w:tcW w:w="728" w:type="dxa"/>
            <w:tcBorders>
              <w:top w:val="nil"/>
              <w:left w:val="nil"/>
              <w:bottom w:val="nil"/>
              <w:right w:val="nil"/>
            </w:tcBorders>
            <w:shd w:val="clear" w:color="auto" w:fill="auto"/>
            <w:noWrap/>
            <w:vAlign w:val="center"/>
            <w:hideMark/>
          </w:tcPr>
          <w:p w14:paraId="0AB49C1D" w14:textId="3B2EAD20" w:rsidR="00C061D1" w:rsidRPr="00E03AC1" w:rsidRDefault="00C061D1" w:rsidP="00C061D1">
            <w:pPr>
              <w:spacing w:after="0" w:line="240" w:lineRule="auto"/>
              <w:ind w:firstLineChars="100" w:firstLine="200"/>
              <w:jc w:val="center"/>
              <w:rPr>
                <w:color w:val="00B050"/>
                <w:sz w:val="20"/>
                <w:szCs w:val="20"/>
                <w:lang w:eastAsia="sk-SK"/>
              </w:rPr>
            </w:pPr>
            <w:r>
              <w:rPr>
                <w:color w:val="FF0000"/>
                <w:sz w:val="20"/>
                <w:szCs w:val="20"/>
              </w:rPr>
              <w:t>-1,9</w:t>
            </w:r>
          </w:p>
        </w:tc>
        <w:tc>
          <w:tcPr>
            <w:tcW w:w="1453" w:type="dxa"/>
            <w:tcBorders>
              <w:top w:val="nil"/>
              <w:left w:val="single" w:sz="4" w:space="0" w:color="auto"/>
              <w:bottom w:val="nil"/>
              <w:right w:val="nil"/>
            </w:tcBorders>
            <w:shd w:val="clear" w:color="auto" w:fill="auto"/>
            <w:noWrap/>
            <w:vAlign w:val="center"/>
            <w:hideMark/>
          </w:tcPr>
          <w:p w14:paraId="4DD5BD2E" w14:textId="108E32C4" w:rsidR="00C061D1" w:rsidRPr="00E03AC1" w:rsidRDefault="00C061D1" w:rsidP="00C061D1">
            <w:pPr>
              <w:spacing w:after="0" w:line="240" w:lineRule="auto"/>
              <w:rPr>
                <w:sz w:val="20"/>
                <w:szCs w:val="20"/>
                <w:lang w:eastAsia="sk-SK"/>
              </w:rPr>
            </w:pPr>
            <w:r>
              <w:rPr>
                <w:sz w:val="20"/>
                <w:szCs w:val="20"/>
              </w:rPr>
              <w:t>Rakúsko</w:t>
            </w:r>
          </w:p>
        </w:tc>
        <w:tc>
          <w:tcPr>
            <w:tcW w:w="843" w:type="dxa"/>
            <w:tcBorders>
              <w:top w:val="nil"/>
              <w:left w:val="nil"/>
              <w:bottom w:val="nil"/>
              <w:right w:val="nil"/>
            </w:tcBorders>
            <w:shd w:val="clear" w:color="auto" w:fill="auto"/>
            <w:noWrap/>
            <w:vAlign w:val="center"/>
            <w:hideMark/>
          </w:tcPr>
          <w:p w14:paraId="1BC773D7" w14:textId="02E9970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83,0</w:t>
            </w:r>
          </w:p>
        </w:tc>
        <w:tc>
          <w:tcPr>
            <w:tcW w:w="843" w:type="dxa"/>
            <w:tcBorders>
              <w:top w:val="nil"/>
              <w:left w:val="nil"/>
              <w:bottom w:val="nil"/>
              <w:right w:val="nil"/>
            </w:tcBorders>
            <w:shd w:val="clear" w:color="auto" w:fill="auto"/>
            <w:noWrap/>
            <w:vAlign w:val="center"/>
            <w:hideMark/>
          </w:tcPr>
          <w:p w14:paraId="4DB3C8AF" w14:textId="57D5038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82,5</w:t>
            </w:r>
          </w:p>
        </w:tc>
        <w:tc>
          <w:tcPr>
            <w:tcW w:w="864" w:type="dxa"/>
            <w:tcBorders>
              <w:top w:val="nil"/>
              <w:left w:val="nil"/>
              <w:bottom w:val="nil"/>
              <w:right w:val="nil"/>
            </w:tcBorders>
            <w:shd w:val="clear" w:color="auto" w:fill="auto"/>
            <w:noWrap/>
            <w:vAlign w:val="center"/>
            <w:hideMark/>
          </w:tcPr>
          <w:p w14:paraId="0526C9A7" w14:textId="7D24A7A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78,4</w:t>
            </w:r>
          </w:p>
        </w:tc>
        <w:tc>
          <w:tcPr>
            <w:tcW w:w="799" w:type="dxa"/>
            <w:tcBorders>
              <w:top w:val="nil"/>
              <w:left w:val="nil"/>
              <w:bottom w:val="nil"/>
              <w:right w:val="single" w:sz="4" w:space="0" w:color="auto"/>
            </w:tcBorders>
            <w:shd w:val="clear" w:color="auto" w:fill="auto"/>
            <w:noWrap/>
            <w:vAlign w:val="center"/>
            <w:hideMark/>
          </w:tcPr>
          <w:p w14:paraId="3C12CA9C" w14:textId="2388208D"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-4,1</w:t>
            </w:r>
          </w:p>
        </w:tc>
      </w:tr>
      <w:tr w:rsidR="00C061D1" w:rsidRPr="00E03AC1" w14:paraId="1AA95EC2"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155B3B33" w14:textId="0CD7EA43" w:rsidR="00C061D1" w:rsidRPr="00E03AC1" w:rsidRDefault="00C061D1" w:rsidP="00C061D1">
            <w:pPr>
              <w:spacing w:after="0" w:line="240" w:lineRule="auto"/>
              <w:rPr>
                <w:sz w:val="20"/>
                <w:szCs w:val="20"/>
                <w:lang w:eastAsia="sk-SK"/>
              </w:rPr>
            </w:pPr>
            <w:r>
              <w:rPr>
                <w:sz w:val="20"/>
                <w:szCs w:val="20"/>
              </w:rPr>
              <w:t>Belgicko</w:t>
            </w:r>
          </w:p>
        </w:tc>
        <w:tc>
          <w:tcPr>
            <w:tcW w:w="764" w:type="dxa"/>
            <w:tcBorders>
              <w:top w:val="nil"/>
              <w:left w:val="nil"/>
              <w:bottom w:val="nil"/>
              <w:right w:val="nil"/>
            </w:tcBorders>
            <w:shd w:val="clear" w:color="auto" w:fill="auto"/>
            <w:noWrap/>
            <w:vAlign w:val="center"/>
            <w:hideMark/>
          </w:tcPr>
          <w:p w14:paraId="67FACE58" w14:textId="67EA8DE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-8,9</w:t>
            </w:r>
          </w:p>
        </w:tc>
        <w:tc>
          <w:tcPr>
            <w:tcW w:w="826" w:type="dxa"/>
            <w:tcBorders>
              <w:top w:val="nil"/>
              <w:left w:val="nil"/>
              <w:bottom w:val="nil"/>
              <w:right w:val="nil"/>
            </w:tcBorders>
            <w:shd w:val="clear" w:color="auto" w:fill="auto"/>
            <w:noWrap/>
            <w:vAlign w:val="center"/>
            <w:hideMark/>
          </w:tcPr>
          <w:p w14:paraId="1BCAF65D" w14:textId="7289196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-5,4</w:t>
            </w:r>
          </w:p>
        </w:tc>
        <w:tc>
          <w:tcPr>
            <w:tcW w:w="742" w:type="dxa"/>
            <w:tcBorders>
              <w:top w:val="nil"/>
              <w:left w:val="nil"/>
              <w:bottom w:val="nil"/>
              <w:right w:val="nil"/>
            </w:tcBorders>
            <w:shd w:val="clear" w:color="auto" w:fill="auto"/>
            <w:noWrap/>
            <w:vAlign w:val="center"/>
            <w:hideMark/>
          </w:tcPr>
          <w:p w14:paraId="545A12F1" w14:textId="7F5EF0C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-3,5</w:t>
            </w:r>
          </w:p>
        </w:tc>
        <w:tc>
          <w:tcPr>
            <w:tcW w:w="728" w:type="dxa"/>
            <w:tcBorders>
              <w:top w:val="nil"/>
              <w:left w:val="nil"/>
              <w:bottom w:val="nil"/>
              <w:right w:val="nil"/>
            </w:tcBorders>
            <w:shd w:val="clear" w:color="auto" w:fill="auto"/>
            <w:noWrap/>
            <w:vAlign w:val="center"/>
            <w:hideMark/>
          </w:tcPr>
          <w:p w14:paraId="1E959A7E" w14:textId="715A40CB"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1,9</w:t>
            </w:r>
          </w:p>
        </w:tc>
        <w:tc>
          <w:tcPr>
            <w:tcW w:w="1453" w:type="dxa"/>
            <w:tcBorders>
              <w:top w:val="nil"/>
              <w:left w:val="single" w:sz="4" w:space="0" w:color="auto"/>
              <w:bottom w:val="nil"/>
              <w:right w:val="nil"/>
            </w:tcBorders>
            <w:shd w:val="clear" w:color="auto" w:fill="auto"/>
            <w:noWrap/>
            <w:vAlign w:val="center"/>
            <w:hideMark/>
          </w:tcPr>
          <w:p w14:paraId="6C549FAC" w14:textId="44DD5800" w:rsidR="00C061D1" w:rsidRPr="00E03AC1" w:rsidRDefault="00C061D1" w:rsidP="00C061D1">
            <w:pPr>
              <w:spacing w:after="0" w:line="240" w:lineRule="auto"/>
              <w:rPr>
                <w:sz w:val="20"/>
                <w:szCs w:val="20"/>
                <w:lang w:eastAsia="sk-SK"/>
              </w:rPr>
            </w:pPr>
            <w:r>
              <w:rPr>
                <w:sz w:val="20"/>
                <w:szCs w:val="20"/>
              </w:rPr>
              <w:t>Maďarsko</w:t>
            </w:r>
          </w:p>
        </w:tc>
        <w:tc>
          <w:tcPr>
            <w:tcW w:w="843" w:type="dxa"/>
            <w:tcBorders>
              <w:top w:val="nil"/>
              <w:left w:val="nil"/>
              <w:bottom w:val="nil"/>
              <w:right w:val="nil"/>
            </w:tcBorders>
            <w:shd w:val="clear" w:color="auto" w:fill="auto"/>
            <w:noWrap/>
            <w:vAlign w:val="center"/>
            <w:hideMark/>
          </w:tcPr>
          <w:p w14:paraId="057E89C4" w14:textId="798285C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79,3</w:t>
            </w:r>
          </w:p>
        </w:tc>
        <w:tc>
          <w:tcPr>
            <w:tcW w:w="843" w:type="dxa"/>
            <w:tcBorders>
              <w:top w:val="nil"/>
              <w:left w:val="nil"/>
              <w:bottom w:val="nil"/>
              <w:right w:val="nil"/>
            </w:tcBorders>
            <w:shd w:val="clear" w:color="auto" w:fill="auto"/>
            <w:noWrap/>
            <w:vAlign w:val="center"/>
            <w:hideMark/>
          </w:tcPr>
          <w:p w14:paraId="6277D67A" w14:textId="5060B51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76,7</w:t>
            </w:r>
          </w:p>
        </w:tc>
        <w:tc>
          <w:tcPr>
            <w:tcW w:w="864" w:type="dxa"/>
            <w:tcBorders>
              <w:top w:val="nil"/>
              <w:left w:val="nil"/>
              <w:bottom w:val="nil"/>
              <w:right w:val="nil"/>
            </w:tcBorders>
            <w:shd w:val="clear" w:color="auto" w:fill="auto"/>
            <w:noWrap/>
            <w:vAlign w:val="center"/>
            <w:hideMark/>
          </w:tcPr>
          <w:p w14:paraId="2A6C01F4" w14:textId="6F03D63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73,9</w:t>
            </w:r>
          </w:p>
        </w:tc>
        <w:tc>
          <w:tcPr>
            <w:tcW w:w="799" w:type="dxa"/>
            <w:tcBorders>
              <w:top w:val="nil"/>
              <w:left w:val="nil"/>
              <w:bottom w:val="nil"/>
              <w:right w:val="single" w:sz="4" w:space="0" w:color="auto"/>
            </w:tcBorders>
            <w:shd w:val="clear" w:color="auto" w:fill="auto"/>
            <w:noWrap/>
            <w:vAlign w:val="center"/>
            <w:hideMark/>
          </w:tcPr>
          <w:p w14:paraId="0C93BC3E" w14:textId="217EBF26"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-2,8</w:t>
            </w:r>
          </w:p>
        </w:tc>
      </w:tr>
      <w:tr w:rsidR="00C061D1" w:rsidRPr="00E03AC1" w14:paraId="3EAED0BD"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6EA4EFD9" w14:textId="492406FF" w:rsidR="00C061D1" w:rsidRPr="00E03AC1" w:rsidRDefault="00C061D1" w:rsidP="00C061D1">
            <w:pPr>
              <w:spacing w:after="0" w:line="240" w:lineRule="auto"/>
              <w:rPr>
                <w:sz w:val="20"/>
                <w:szCs w:val="20"/>
                <w:lang w:eastAsia="sk-SK"/>
              </w:rPr>
            </w:pPr>
            <w:r>
              <w:rPr>
                <w:sz w:val="20"/>
                <w:szCs w:val="20"/>
              </w:rPr>
              <w:t>Rakúsko</w:t>
            </w:r>
          </w:p>
        </w:tc>
        <w:tc>
          <w:tcPr>
            <w:tcW w:w="764" w:type="dxa"/>
            <w:tcBorders>
              <w:top w:val="nil"/>
              <w:left w:val="nil"/>
              <w:bottom w:val="nil"/>
              <w:right w:val="nil"/>
            </w:tcBorders>
            <w:shd w:val="clear" w:color="auto" w:fill="auto"/>
            <w:noWrap/>
            <w:vAlign w:val="center"/>
            <w:hideMark/>
          </w:tcPr>
          <w:p w14:paraId="48923A96" w14:textId="0EFF544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-8,0</w:t>
            </w:r>
          </w:p>
        </w:tc>
        <w:tc>
          <w:tcPr>
            <w:tcW w:w="826" w:type="dxa"/>
            <w:tcBorders>
              <w:top w:val="nil"/>
              <w:left w:val="nil"/>
              <w:bottom w:val="nil"/>
              <w:right w:val="nil"/>
            </w:tcBorders>
            <w:shd w:val="clear" w:color="auto" w:fill="auto"/>
            <w:noWrap/>
            <w:vAlign w:val="center"/>
            <w:hideMark/>
          </w:tcPr>
          <w:p w14:paraId="2CDE75EB" w14:textId="7E9F942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-5,8</w:t>
            </w:r>
          </w:p>
        </w:tc>
        <w:tc>
          <w:tcPr>
            <w:tcW w:w="742" w:type="dxa"/>
            <w:tcBorders>
              <w:top w:val="nil"/>
              <w:left w:val="nil"/>
              <w:bottom w:val="nil"/>
              <w:right w:val="nil"/>
            </w:tcBorders>
            <w:shd w:val="clear" w:color="auto" w:fill="auto"/>
            <w:noWrap/>
            <w:vAlign w:val="center"/>
            <w:hideMark/>
          </w:tcPr>
          <w:p w14:paraId="6D5E81A6" w14:textId="59583B9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-3,5</w:t>
            </w:r>
          </w:p>
        </w:tc>
        <w:tc>
          <w:tcPr>
            <w:tcW w:w="728" w:type="dxa"/>
            <w:tcBorders>
              <w:top w:val="nil"/>
              <w:left w:val="nil"/>
              <w:bottom w:val="nil"/>
              <w:right w:val="nil"/>
            </w:tcBorders>
            <w:shd w:val="clear" w:color="auto" w:fill="auto"/>
            <w:noWrap/>
            <w:vAlign w:val="center"/>
            <w:hideMark/>
          </w:tcPr>
          <w:p w14:paraId="5DA0AFDE" w14:textId="01E3A095"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2,3</w:t>
            </w:r>
          </w:p>
        </w:tc>
        <w:tc>
          <w:tcPr>
            <w:tcW w:w="1453" w:type="dxa"/>
            <w:tcBorders>
              <w:top w:val="nil"/>
              <w:left w:val="single" w:sz="4" w:space="0" w:color="auto"/>
              <w:bottom w:val="nil"/>
              <w:right w:val="nil"/>
            </w:tcBorders>
            <w:shd w:val="clear" w:color="auto" w:fill="auto"/>
            <w:noWrap/>
            <w:vAlign w:val="center"/>
            <w:hideMark/>
          </w:tcPr>
          <w:p w14:paraId="7887CD82" w14:textId="0C25F104" w:rsidR="00C061D1" w:rsidRPr="00E03AC1" w:rsidRDefault="00C061D1" w:rsidP="00C061D1">
            <w:pPr>
              <w:spacing w:after="0" w:line="240" w:lineRule="auto"/>
              <w:rPr>
                <w:sz w:val="20"/>
                <w:szCs w:val="20"/>
                <w:lang w:eastAsia="sk-SK"/>
              </w:rPr>
            </w:pPr>
            <w:r>
              <w:rPr>
                <w:sz w:val="20"/>
                <w:szCs w:val="20"/>
              </w:rPr>
              <w:t>Fínsko</w:t>
            </w:r>
          </w:p>
        </w:tc>
        <w:tc>
          <w:tcPr>
            <w:tcW w:w="843" w:type="dxa"/>
            <w:tcBorders>
              <w:top w:val="nil"/>
              <w:left w:val="nil"/>
              <w:bottom w:val="nil"/>
              <w:right w:val="nil"/>
            </w:tcBorders>
            <w:shd w:val="clear" w:color="auto" w:fill="auto"/>
            <w:noWrap/>
            <w:vAlign w:val="center"/>
            <w:hideMark/>
          </w:tcPr>
          <w:p w14:paraId="0CE3E9B8" w14:textId="42ACD09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74,7</w:t>
            </w:r>
          </w:p>
        </w:tc>
        <w:tc>
          <w:tcPr>
            <w:tcW w:w="843" w:type="dxa"/>
            <w:tcBorders>
              <w:top w:val="nil"/>
              <w:left w:val="nil"/>
              <w:bottom w:val="nil"/>
              <w:right w:val="nil"/>
            </w:tcBorders>
            <w:shd w:val="clear" w:color="auto" w:fill="auto"/>
            <w:noWrap/>
            <w:vAlign w:val="center"/>
            <w:hideMark/>
          </w:tcPr>
          <w:p w14:paraId="1E89E421" w14:textId="5684FCF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72,5</w:t>
            </w:r>
          </w:p>
        </w:tc>
        <w:tc>
          <w:tcPr>
            <w:tcW w:w="864" w:type="dxa"/>
            <w:tcBorders>
              <w:top w:val="nil"/>
              <w:left w:val="nil"/>
              <w:bottom w:val="nil"/>
              <w:right w:val="nil"/>
            </w:tcBorders>
            <w:shd w:val="clear" w:color="auto" w:fill="auto"/>
            <w:noWrap/>
            <w:vAlign w:val="center"/>
            <w:hideMark/>
          </w:tcPr>
          <w:p w14:paraId="2B0186E1" w14:textId="1A99CDD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73,3</w:t>
            </w:r>
          </w:p>
        </w:tc>
        <w:tc>
          <w:tcPr>
            <w:tcW w:w="799" w:type="dxa"/>
            <w:tcBorders>
              <w:top w:val="nil"/>
              <w:left w:val="nil"/>
              <w:bottom w:val="nil"/>
              <w:right w:val="single" w:sz="4" w:space="0" w:color="auto"/>
            </w:tcBorders>
            <w:shd w:val="clear" w:color="auto" w:fill="auto"/>
            <w:noWrap/>
            <w:vAlign w:val="center"/>
            <w:hideMark/>
          </w:tcPr>
          <w:p w14:paraId="74A024C0" w14:textId="6B707C56"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FF0000"/>
                <w:sz w:val="20"/>
                <w:szCs w:val="20"/>
              </w:rPr>
              <w:t>0,8</w:t>
            </w:r>
          </w:p>
        </w:tc>
      </w:tr>
      <w:tr w:rsidR="00C061D1" w:rsidRPr="00E03AC1" w14:paraId="40843D77"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538AA738" w14:textId="1546F9E3" w:rsidR="00C061D1" w:rsidRPr="00E03AC1" w:rsidRDefault="00C061D1" w:rsidP="00C061D1">
            <w:pPr>
              <w:spacing w:after="0" w:line="240" w:lineRule="auto"/>
              <w:rPr>
                <w:b/>
                <w:bCs/>
                <w:sz w:val="20"/>
                <w:szCs w:val="20"/>
                <w:lang w:eastAsia="sk-SK"/>
              </w:rPr>
            </w:pPr>
            <w:r>
              <w:rPr>
                <w:sz w:val="20"/>
                <w:szCs w:val="20"/>
              </w:rPr>
              <w:t>Česká republika</w:t>
            </w:r>
          </w:p>
        </w:tc>
        <w:tc>
          <w:tcPr>
            <w:tcW w:w="764" w:type="dxa"/>
            <w:tcBorders>
              <w:top w:val="nil"/>
              <w:left w:val="nil"/>
              <w:bottom w:val="nil"/>
              <w:right w:val="nil"/>
            </w:tcBorders>
            <w:shd w:val="clear" w:color="auto" w:fill="auto"/>
            <w:noWrap/>
            <w:vAlign w:val="center"/>
            <w:hideMark/>
          </w:tcPr>
          <w:p w14:paraId="093DF0E7" w14:textId="4E490F8C" w:rsidR="00C061D1" w:rsidRPr="00E03AC1" w:rsidRDefault="00C061D1" w:rsidP="00C061D1">
            <w:pPr>
              <w:spacing w:after="0" w:line="240" w:lineRule="auto"/>
              <w:ind w:firstLineChars="100" w:firstLine="200"/>
              <w:jc w:val="right"/>
              <w:rPr>
                <w:b/>
                <w:bCs/>
                <w:color w:val="000000"/>
                <w:sz w:val="20"/>
                <w:szCs w:val="20"/>
                <w:lang w:eastAsia="sk-SK"/>
              </w:rPr>
            </w:pPr>
            <w:r>
              <w:rPr>
                <w:color w:val="000000"/>
                <w:sz w:val="20"/>
                <w:szCs w:val="20"/>
              </w:rPr>
              <w:t>-5,8</w:t>
            </w:r>
          </w:p>
        </w:tc>
        <w:tc>
          <w:tcPr>
            <w:tcW w:w="826" w:type="dxa"/>
            <w:tcBorders>
              <w:top w:val="nil"/>
              <w:left w:val="nil"/>
              <w:bottom w:val="nil"/>
              <w:right w:val="nil"/>
            </w:tcBorders>
            <w:shd w:val="clear" w:color="auto" w:fill="auto"/>
            <w:noWrap/>
            <w:vAlign w:val="center"/>
            <w:hideMark/>
          </w:tcPr>
          <w:p w14:paraId="284F946D" w14:textId="14596FB4" w:rsidR="00C061D1" w:rsidRPr="00E03AC1" w:rsidRDefault="00C061D1" w:rsidP="00C061D1">
            <w:pPr>
              <w:spacing w:after="0" w:line="240" w:lineRule="auto"/>
              <w:ind w:firstLineChars="100" w:firstLine="200"/>
              <w:jc w:val="right"/>
              <w:rPr>
                <w:b/>
                <w:bCs/>
                <w:color w:val="000000"/>
                <w:sz w:val="20"/>
                <w:szCs w:val="20"/>
                <w:lang w:eastAsia="sk-SK"/>
              </w:rPr>
            </w:pPr>
            <w:r>
              <w:rPr>
                <w:color w:val="000000"/>
                <w:sz w:val="20"/>
                <w:szCs w:val="20"/>
              </w:rPr>
              <w:t>-5,1</w:t>
            </w:r>
          </w:p>
        </w:tc>
        <w:tc>
          <w:tcPr>
            <w:tcW w:w="742" w:type="dxa"/>
            <w:tcBorders>
              <w:top w:val="nil"/>
              <w:left w:val="nil"/>
              <w:bottom w:val="nil"/>
              <w:right w:val="nil"/>
            </w:tcBorders>
            <w:shd w:val="clear" w:color="auto" w:fill="auto"/>
            <w:noWrap/>
            <w:vAlign w:val="center"/>
            <w:hideMark/>
          </w:tcPr>
          <w:p w14:paraId="0FFDF085" w14:textId="2E397A19" w:rsidR="00C061D1" w:rsidRPr="00E03AC1" w:rsidRDefault="00C061D1" w:rsidP="00C061D1">
            <w:pPr>
              <w:spacing w:after="0" w:line="240" w:lineRule="auto"/>
              <w:ind w:firstLineChars="100" w:firstLine="200"/>
              <w:jc w:val="right"/>
              <w:rPr>
                <w:b/>
                <w:bCs/>
                <w:color w:val="000000"/>
                <w:sz w:val="20"/>
                <w:szCs w:val="20"/>
                <w:lang w:eastAsia="sk-SK"/>
              </w:rPr>
            </w:pPr>
            <w:r>
              <w:rPr>
                <w:color w:val="000000"/>
                <w:sz w:val="20"/>
                <w:szCs w:val="20"/>
              </w:rPr>
              <w:t>-3,2</w:t>
            </w:r>
          </w:p>
        </w:tc>
        <w:tc>
          <w:tcPr>
            <w:tcW w:w="728" w:type="dxa"/>
            <w:tcBorders>
              <w:top w:val="nil"/>
              <w:left w:val="nil"/>
              <w:bottom w:val="nil"/>
              <w:right w:val="nil"/>
            </w:tcBorders>
            <w:shd w:val="clear" w:color="auto" w:fill="auto"/>
            <w:noWrap/>
            <w:vAlign w:val="center"/>
            <w:hideMark/>
          </w:tcPr>
          <w:p w14:paraId="1C00C668" w14:textId="24DDC9B9" w:rsidR="00C061D1" w:rsidRPr="000A5316" w:rsidRDefault="00C061D1" w:rsidP="00C061D1">
            <w:pPr>
              <w:spacing w:after="0" w:line="240" w:lineRule="auto"/>
              <w:ind w:firstLineChars="100" w:firstLine="200"/>
              <w:jc w:val="center"/>
              <w:rPr>
                <w:b/>
                <w:color w:val="FF0000"/>
                <w:sz w:val="20"/>
                <w:szCs w:val="20"/>
                <w:lang w:eastAsia="sk-SK"/>
              </w:rPr>
            </w:pPr>
            <w:r>
              <w:rPr>
                <w:color w:val="00B050"/>
                <w:sz w:val="20"/>
                <w:szCs w:val="20"/>
              </w:rPr>
              <w:t>1,9</w:t>
            </w:r>
          </w:p>
        </w:tc>
        <w:tc>
          <w:tcPr>
            <w:tcW w:w="1453" w:type="dxa"/>
            <w:tcBorders>
              <w:top w:val="nil"/>
              <w:left w:val="single" w:sz="4" w:space="0" w:color="auto"/>
              <w:bottom w:val="nil"/>
              <w:right w:val="nil"/>
            </w:tcBorders>
            <w:shd w:val="clear" w:color="auto" w:fill="auto"/>
            <w:noWrap/>
            <w:vAlign w:val="center"/>
            <w:hideMark/>
          </w:tcPr>
          <w:p w14:paraId="64C83E13" w14:textId="357F40E3" w:rsidR="00C061D1" w:rsidRPr="00E03AC1" w:rsidRDefault="00C061D1" w:rsidP="00C061D1">
            <w:pPr>
              <w:spacing w:after="0" w:line="240" w:lineRule="auto"/>
              <w:rPr>
                <w:sz w:val="20"/>
                <w:szCs w:val="20"/>
                <w:lang w:eastAsia="sk-SK"/>
              </w:rPr>
            </w:pPr>
            <w:r>
              <w:rPr>
                <w:sz w:val="20"/>
                <w:szCs w:val="20"/>
              </w:rPr>
              <w:t>Slovinsko</w:t>
            </w:r>
          </w:p>
        </w:tc>
        <w:tc>
          <w:tcPr>
            <w:tcW w:w="843" w:type="dxa"/>
            <w:tcBorders>
              <w:top w:val="nil"/>
              <w:left w:val="nil"/>
              <w:bottom w:val="nil"/>
              <w:right w:val="nil"/>
            </w:tcBorders>
            <w:shd w:val="clear" w:color="auto" w:fill="auto"/>
            <w:noWrap/>
            <w:vAlign w:val="center"/>
            <w:hideMark/>
          </w:tcPr>
          <w:p w14:paraId="710244E1" w14:textId="21D5182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79,6</w:t>
            </w:r>
          </w:p>
        </w:tc>
        <w:tc>
          <w:tcPr>
            <w:tcW w:w="843" w:type="dxa"/>
            <w:tcBorders>
              <w:top w:val="nil"/>
              <w:left w:val="nil"/>
              <w:bottom w:val="nil"/>
              <w:right w:val="nil"/>
            </w:tcBorders>
            <w:shd w:val="clear" w:color="auto" w:fill="auto"/>
            <w:noWrap/>
            <w:vAlign w:val="center"/>
            <w:hideMark/>
          </w:tcPr>
          <w:p w14:paraId="7F194DBE" w14:textId="217179A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74,4</w:t>
            </w:r>
          </w:p>
        </w:tc>
        <w:tc>
          <w:tcPr>
            <w:tcW w:w="864" w:type="dxa"/>
            <w:tcBorders>
              <w:top w:val="nil"/>
              <w:left w:val="nil"/>
              <w:bottom w:val="nil"/>
              <w:right w:val="nil"/>
            </w:tcBorders>
            <w:shd w:val="clear" w:color="auto" w:fill="auto"/>
            <w:noWrap/>
            <w:vAlign w:val="center"/>
            <w:hideMark/>
          </w:tcPr>
          <w:p w14:paraId="08C86258" w14:textId="60CFF01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72,3</w:t>
            </w:r>
          </w:p>
        </w:tc>
        <w:tc>
          <w:tcPr>
            <w:tcW w:w="799" w:type="dxa"/>
            <w:tcBorders>
              <w:top w:val="nil"/>
              <w:left w:val="nil"/>
              <w:bottom w:val="nil"/>
              <w:right w:val="single" w:sz="4" w:space="0" w:color="auto"/>
            </w:tcBorders>
            <w:shd w:val="clear" w:color="auto" w:fill="auto"/>
            <w:noWrap/>
            <w:vAlign w:val="center"/>
            <w:hideMark/>
          </w:tcPr>
          <w:p w14:paraId="0A71883D" w14:textId="15288F53"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-2,1</w:t>
            </w:r>
          </w:p>
        </w:tc>
      </w:tr>
      <w:tr w:rsidR="00C061D1" w:rsidRPr="00E03AC1" w14:paraId="0EDFC8EA"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2C36C5A3" w14:textId="207A0BD5" w:rsidR="00C061D1" w:rsidRPr="00E03AC1" w:rsidRDefault="00C061D1" w:rsidP="00C061D1">
            <w:pPr>
              <w:spacing w:after="0" w:line="240" w:lineRule="auto"/>
              <w:ind w:right="-81"/>
              <w:rPr>
                <w:sz w:val="20"/>
                <w:szCs w:val="20"/>
                <w:lang w:eastAsia="sk-SK"/>
              </w:rPr>
            </w:pPr>
            <w:r>
              <w:rPr>
                <w:sz w:val="20"/>
                <w:szCs w:val="20"/>
              </w:rPr>
              <w:t>Slovinsko</w:t>
            </w:r>
          </w:p>
        </w:tc>
        <w:tc>
          <w:tcPr>
            <w:tcW w:w="764" w:type="dxa"/>
            <w:tcBorders>
              <w:top w:val="nil"/>
              <w:left w:val="nil"/>
              <w:bottom w:val="nil"/>
              <w:right w:val="nil"/>
            </w:tcBorders>
            <w:shd w:val="clear" w:color="auto" w:fill="auto"/>
            <w:noWrap/>
            <w:vAlign w:val="center"/>
            <w:hideMark/>
          </w:tcPr>
          <w:p w14:paraId="4C48DC06" w14:textId="6CB0FF3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-7,6</w:t>
            </w:r>
          </w:p>
        </w:tc>
        <w:tc>
          <w:tcPr>
            <w:tcW w:w="826" w:type="dxa"/>
            <w:tcBorders>
              <w:top w:val="nil"/>
              <w:left w:val="nil"/>
              <w:bottom w:val="nil"/>
              <w:right w:val="nil"/>
            </w:tcBorders>
            <w:shd w:val="clear" w:color="auto" w:fill="auto"/>
            <w:noWrap/>
            <w:vAlign w:val="center"/>
            <w:hideMark/>
          </w:tcPr>
          <w:p w14:paraId="222DBBE8" w14:textId="66756F8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-4,6</w:t>
            </w:r>
          </w:p>
        </w:tc>
        <w:tc>
          <w:tcPr>
            <w:tcW w:w="742" w:type="dxa"/>
            <w:tcBorders>
              <w:top w:val="nil"/>
              <w:left w:val="nil"/>
              <w:bottom w:val="nil"/>
              <w:right w:val="nil"/>
            </w:tcBorders>
            <w:shd w:val="clear" w:color="auto" w:fill="auto"/>
            <w:noWrap/>
            <w:vAlign w:val="center"/>
            <w:hideMark/>
          </w:tcPr>
          <w:p w14:paraId="4F8E7212" w14:textId="43524A1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-3,0</w:t>
            </w:r>
          </w:p>
        </w:tc>
        <w:tc>
          <w:tcPr>
            <w:tcW w:w="728" w:type="dxa"/>
            <w:tcBorders>
              <w:top w:val="nil"/>
              <w:left w:val="nil"/>
              <w:bottom w:val="nil"/>
              <w:right w:val="nil"/>
            </w:tcBorders>
            <w:shd w:val="clear" w:color="auto" w:fill="auto"/>
            <w:noWrap/>
            <w:vAlign w:val="center"/>
            <w:hideMark/>
          </w:tcPr>
          <w:p w14:paraId="26BAFE9F" w14:textId="23179DFB"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1,6</w:t>
            </w:r>
          </w:p>
        </w:tc>
        <w:tc>
          <w:tcPr>
            <w:tcW w:w="1453" w:type="dxa"/>
            <w:tcBorders>
              <w:top w:val="nil"/>
              <w:left w:val="single" w:sz="4" w:space="0" w:color="auto"/>
              <w:bottom w:val="nil"/>
              <w:right w:val="nil"/>
            </w:tcBorders>
            <w:shd w:val="clear" w:color="auto" w:fill="auto"/>
            <w:noWrap/>
            <w:vAlign w:val="center"/>
            <w:hideMark/>
          </w:tcPr>
          <w:p w14:paraId="6EC6EAAF" w14:textId="71874641" w:rsidR="00C061D1" w:rsidRPr="00E03AC1" w:rsidRDefault="00C061D1" w:rsidP="00C061D1">
            <w:pPr>
              <w:spacing w:after="0" w:line="240" w:lineRule="auto"/>
              <w:rPr>
                <w:sz w:val="20"/>
                <w:szCs w:val="20"/>
                <w:lang w:eastAsia="sk-SK"/>
              </w:rPr>
            </w:pPr>
            <w:r>
              <w:rPr>
                <w:sz w:val="20"/>
                <w:szCs w:val="20"/>
              </w:rPr>
              <w:t>Chorvátsko</w:t>
            </w:r>
          </w:p>
        </w:tc>
        <w:tc>
          <w:tcPr>
            <w:tcW w:w="843" w:type="dxa"/>
            <w:tcBorders>
              <w:top w:val="nil"/>
              <w:left w:val="nil"/>
              <w:bottom w:val="nil"/>
              <w:right w:val="nil"/>
            </w:tcBorders>
            <w:shd w:val="clear" w:color="auto" w:fill="auto"/>
            <w:noWrap/>
            <w:vAlign w:val="center"/>
            <w:hideMark/>
          </w:tcPr>
          <w:p w14:paraId="60261C01" w14:textId="0F6EF68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86,8</w:t>
            </w:r>
          </w:p>
        </w:tc>
        <w:tc>
          <w:tcPr>
            <w:tcW w:w="843" w:type="dxa"/>
            <w:tcBorders>
              <w:top w:val="nil"/>
              <w:left w:val="nil"/>
              <w:bottom w:val="nil"/>
              <w:right w:val="nil"/>
            </w:tcBorders>
            <w:shd w:val="clear" w:color="auto" w:fill="auto"/>
            <w:noWrap/>
            <w:vAlign w:val="center"/>
            <w:hideMark/>
          </w:tcPr>
          <w:p w14:paraId="310D49E0" w14:textId="62161B8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78,1</w:t>
            </w:r>
          </w:p>
        </w:tc>
        <w:tc>
          <w:tcPr>
            <w:tcW w:w="864" w:type="dxa"/>
            <w:tcBorders>
              <w:top w:val="nil"/>
              <w:left w:val="nil"/>
              <w:bottom w:val="nil"/>
              <w:right w:val="nil"/>
            </w:tcBorders>
            <w:shd w:val="clear" w:color="auto" w:fill="auto"/>
            <w:noWrap/>
            <w:vAlign w:val="center"/>
            <w:hideMark/>
          </w:tcPr>
          <w:p w14:paraId="65D7E559" w14:textId="366CBA4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68,2</w:t>
            </w:r>
          </w:p>
        </w:tc>
        <w:tc>
          <w:tcPr>
            <w:tcW w:w="799" w:type="dxa"/>
            <w:tcBorders>
              <w:top w:val="nil"/>
              <w:left w:val="nil"/>
              <w:bottom w:val="nil"/>
              <w:right w:val="single" w:sz="4" w:space="0" w:color="auto"/>
            </w:tcBorders>
            <w:shd w:val="clear" w:color="auto" w:fill="auto"/>
            <w:noWrap/>
            <w:vAlign w:val="center"/>
            <w:hideMark/>
          </w:tcPr>
          <w:p w14:paraId="26867268" w14:textId="2B40C662"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-9,9</w:t>
            </w:r>
          </w:p>
        </w:tc>
      </w:tr>
      <w:tr w:rsidR="00C061D1" w:rsidRPr="00E03AC1" w14:paraId="5354D17C"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3A2B7746" w14:textId="18412636" w:rsidR="00C061D1" w:rsidRPr="00E03AC1" w:rsidRDefault="00C061D1" w:rsidP="00C061D1">
            <w:pPr>
              <w:spacing w:after="0" w:line="240" w:lineRule="auto"/>
              <w:rPr>
                <w:sz w:val="20"/>
                <w:szCs w:val="20"/>
                <w:lang w:eastAsia="sk-SK"/>
              </w:rPr>
            </w:pPr>
            <w:r>
              <w:rPr>
                <w:sz w:val="20"/>
                <w:szCs w:val="20"/>
              </w:rPr>
              <w:t>Bulharsko</w:t>
            </w:r>
          </w:p>
        </w:tc>
        <w:tc>
          <w:tcPr>
            <w:tcW w:w="764" w:type="dxa"/>
            <w:tcBorders>
              <w:top w:val="nil"/>
              <w:left w:val="nil"/>
              <w:bottom w:val="nil"/>
              <w:right w:val="nil"/>
            </w:tcBorders>
            <w:shd w:val="clear" w:color="auto" w:fill="auto"/>
            <w:noWrap/>
            <w:vAlign w:val="center"/>
            <w:hideMark/>
          </w:tcPr>
          <w:p w14:paraId="308B9019" w14:textId="0573A53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-3,8</w:t>
            </w:r>
          </w:p>
        </w:tc>
        <w:tc>
          <w:tcPr>
            <w:tcW w:w="826" w:type="dxa"/>
            <w:tcBorders>
              <w:top w:val="nil"/>
              <w:left w:val="nil"/>
              <w:bottom w:val="nil"/>
              <w:right w:val="nil"/>
            </w:tcBorders>
            <w:shd w:val="clear" w:color="auto" w:fill="auto"/>
            <w:noWrap/>
            <w:vAlign w:val="center"/>
            <w:hideMark/>
          </w:tcPr>
          <w:p w14:paraId="7523D67C" w14:textId="5017DFF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-4,0</w:t>
            </w:r>
          </w:p>
        </w:tc>
        <w:tc>
          <w:tcPr>
            <w:tcW w:w="742" w:type="dxa"/>
            <w:tcBorders>
              <w:top w:val="nil"/>
              <w:left w:val="nil"/>
              <w:bottom w:val="nil"/>
              <w:right w:val="nil"/>
            </w:tcBorders>
            <w:shd w:val="clear" w:color="auto" w:fill="auto"/>
            <w:noWrap/>
            <w:vAlign w:val="center"/>
            <w:hideMark/>
          </w:tcPr>
          <w:p w14:paraId="7AE85738" w14:textId="28548D6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-2,9</w:t>
            </w:r>
          </w:p>
        </w:tc>
        <w:tc>
          <w:tcPr>
            <w:tcW w:w="728" w:type="dxa"/>
            <w:tcBorders>
              <w:top w:val="nil"/>
              <w:left w:val="nil"/>
              <w:bottom w:val="nil"/>
              <w:right w:val="nil"/>
            </w:tcBorders>
            <w:shd w:val="clear" w:color="auto" w:fill="auto"/>
            <w:noWrap/>
            <w:vAlign w:val="center"/>
            <w:hideMark/>
          </w:tcPr>
          <w:p w14:paraId="3E66E911" w14:textId="1E98BED6"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1,1</w:t>
            </w:r>
          </w:p>
        </w:tc>
        <w:tc>
          <w:tcPr>
            <w:tcW w:w="1453" w:type="dxa"/>
            <w:tcBorders>
              <w:top w:val="nil"/>
              <w:left w:val="single" w:sz="4" w:space="0" w:color="auto"/>
              <w:bottom w:val="nil"/>
              <w:right w:val="nil"/>
            </w:tcBorders>
            <w:shd w:val="clear" w:color="auto" w:fill="auto"/>
            <w:noWrap/>
            <w:vAlign w:val="center"/>
            <w:hideMark/>
          </w:tcPr>
          <w:p w14:paraId="0D081668" w14:textId="0CB77924" w:rsidR="00C061D1" w:rsidRPr="00E03AC1" w:rsidRDefault="00C061D1" w:rsidP="00C061D1">
            <w:pPr>
              <w:spacing w:after="0" w:line="240" w:lineRule="auto"/>
              <w:rPr>
                <w:sz w:val="20"/>
                <w:szCs w:val="20"/>
                <w:lang w:eastAsia="sk-SK"/>
              </w:rPr>
            </w:pPr>
            <w:r>
              <w:rPr>
                <w:sz w:val="20"/>
                <w:szCs w:val="20"/>
              </w:rPr>
              <w:t>Nemecko</w:t>
            </w:r>
          </w:p>
        </w:tc>
        <w:tc>
          <w:tcPr>
            <w:tcW w:w="843" w:type="dxa"/>
            <w:tcBorders>
              <w:top w:val="nil"/>
              <w:left w:val="nil"/>
              <w:bottom w:val="nil"/>
              <w:right w:val="nil"/>
            </w:tcBorders>
            <w:shd w:val="clear" w:color="auto" w:fill="auto"/>
            <w:noWrap/>
            <w:vAlign w:val="center"/>
            <w:hideMark/>
          </w:tcPr>
          <w:p w14:paraId="0A505679" w14:textId="56C1DC9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68,8</w:t>
            </w:r>
          </w:p>
        </w:tc>
        <w:tc>
          <w:tcPr>
            <w:tcW w:w="843" w:type="dxa"/>
            <w:tcBorders>
              <w:top w:val="nil"/>
              <w:left w:val="nil"/>
              <w:bottom w:val="nil"/>
              <w:right w:val="nil"/>
            </w:tcBorders>
            <w:shd w:val="clear" w:color="auto" w:fill="auto"/>
            <w:noWrap/>
            <w:vAlign w:val="center"/>
            <w:hideMark/>
          </w:tcPr>
          <w:p w14:paraId="47120665" w14:textId="31661EE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69,0</w:t>
            </w:r>
          </w:p>
        </w:tc>
        <w:tc>
          <w:tcPr>
            <w:tcW w:w="864" w:type="dxa"/>
            <w:tcBorders>
              <w:top w:val="nil"/>
              <w:left w:val="nil"/>
              <w:bottom w:val="nil"/>
              <w:right w:val="nil"/>
            </w:tcBorders>
            <w:shd w:val="clear" w:color="auto" w:fill="auto"/>
            <w:noWrap/>
            <w:vAlign w:val="center"/>
            <w:hideMark/>
          </w:tcPr>
          <w:p w14:paraId="198C3180" w14:textId="0987815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66,1</w:t>
            </w:r>
          </w:p>
        </w:tc>
        <w:tc>
          <w:tcPr>
            <w:tcW w:w="799" w:type="dxa"/>
            <w:tcBorders>
              <w:top w:val="nil"/>
              <w:left w:val="nil"/>
              <w:bottom w:val="nil"/>
              <w:right w:val="single" w:sz="4" w:space="0" w:color="auto"/>
            </w:tcBorders>
            <w:shd w:val="clear" w:color="auto" w:fill="auto"/>
            <w:noWrap/>
            <w:vAlign w:val="center"/>
            <w:hideMark/>
          </w:tcPr>
          <w:p w14:paraId="3253C90D" w14:textId="27619805" w:rsidR="00C061D1" w:rsidRPr="00E03AC1" w:rsidRDefault="00C061D1" w:rsidP="00C061D1">
            <w:pPr>
              <w:tabs>
                <w:tab w:val="decimal" w:pos="230"/>
              </w:tabs>
              <w:spacing w:after="0" w:line="240" w:lineRule="auto"/>
              <w:ind w:right="32" w:firstLineChars="100" w:firstLine="200"/>
              <w:jc w:val="right"/>
              <w:rPr>
                <w:color w:val="FF0000"/>
                <w:sz w:val="20"/>
                <w:szCs w:val="20"/>
                <w:lang w:eastAsia="sk-SK"/>
              </w:rPr>
            </w:pPr>
            <w:r>
              <w:rPr>
                <w:color w:val="00B050"/>
                <w:sz w:val="20"/>
                <w:szCs w:val="20"/>
              </w:rPr>
              <w:t>-2,9</w:t>
            </w:r>
          </w:p>
        </w:tc>
      </w:tr>
      <w:tr w:rsidR="00C061D1" w:rsidRPr="00E03AC1" w14:paraId="42743BD9"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77F5731C" w14:textId="300B6401" w:rsidR="00C061D1" w:rsidRPr="00E03AC1" w:rsidRDefault="00C061D1" w:rsidP="00C061D1">
            <w:pPr>
              <w:spacing w:after="0" w:line="240" w:lineRule="auto"/>
              <w:rPr>
                <w:sz w:val="20"/>
                <w:szCs w:val="20"/>
                <w:lang w:eastAsia="sk-SK"/>
              </w:rPr>
            </w:pPr>
            <w:r>
              <w:rPr>
                <w:sz w:val="20"/>
                <w:szCs w:val="20"/>
              </w:rPr>
              <w:t>Nemecko</w:t>
            </w:r>
          </w:p>
        </w:tc>
        <w:tc>
          <w:tcPr>
            <w:tcW w:w="764" w:type="dxa"/>
            <w:tcBorders>
              <w:top w:val="nil"/>
              <w:left w:val="nil"/>
              <w:bottom w:val="nil"/>
              <w:right w:val="nil"/>
            </w:tcBorders>
            <w:shd w:val="clear" w:color="auto" w:fill="auto"/>
            <w:noWrap/>
            <w:vAlign w:val="center"/>
            <w:hideMark/>
          </w:tcPr>
          <w:p w14:paraId="1E4DFD0C" w14:textId="1668B08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-4,3</w:t>
            </w:r>
          </w:p>
        </w:tc>
        <w:tc>
          <w:tcPr>
            <w:tcW w:w="826" w:type="dxa"/>
            <w:tcBorders>
              <w:top w:val="nil"/>
              <w:left w:val="nil"/>
              <w:bottom w:val="nil"/>
              <w:right w:val="nil"/>
            </w:tcBorders>
            <w:shd w:val="clear" w:color="auto" w:fill="auto"/>
            <w:noWrap/>
            <w:vAlign w:val="center"/>
            <w:hideMark/>
          </w:tcPr>
          <w:p w14:paraId="30F18336" w14:textId="2763456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-3,6</w:t>
            </w:r>
          </w:p>
        </w:tc>
        <w:tc>
          <w:tcPr>
            <w:tcW w:w="742" w:type="dxa"/>
            <w:tcBorders>
              <w:top w:val="nil"/>
              <w:left w:val="nil"/>
              <w:bottom w:val="nil"/>
              <w:right w:val="nil"/>
            </w:tcBorders>
            <w:shd w:val="clear" w:color="auto" w:fill="auto"/>
            <w:noWrap/>
            <w:vAlign w:val="center"/>
            <w:hideMark/>
          </w:tcPr>
          <w:p w14:paraId="3C437DE4" w14:textId="460D22D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-2,5</w:t>
            </w:r>
          </w:p>
        </w:tc>
        <w:tc>
          <w:tcPr>
            <w:tcW w:w="728" w:type="dxa"/>
            <w:tcBorders>
              <w:top w:val="nil"/>
              <w:left w:val="nil"/>
              <w:bottom w:val="nil"/>
              <w:right w:val="nil"/>
            </w:tcBorders>
            <w:shd w:val="clear" w:color="auto" w:fill="auto"/>
            <w:noWrap/>
            <w:vAlign w:val="center"/>
            <w:hideMark/>
          </w:tcPr>
          <w:p w14:paraId="0441746A" w14:textId="52E38733" w:rsidR="00C061D1" w:rsidRPr="00E03AC1" w:rsidRDefault="00C061D1" w:rsidP="00C061D1">
            <w:pPr>
              <w:spacing w:after="0" w:line="240" w:lineRule="auto"/>
              <w:ind w:firstLineChars="100" w:firstLine="200"/>
              <w:jc w:val="center"/>
              <w:rPr>
                <w:color w:val="FF0000"/>
                <w:sz w:val="20"/>
                <w:szCs w:val="20"/>
                <w:lang w:eastAsia="sk-SK"/>
              </w:rPr>
            </w:pPr>
            <w:r>
              <w:rPr>
                <w:color w:val="00B050"/>
                <w:sz w:val="20"/>
                <w:szCs w:val="20"/>
              </w:rPr>
              <w:t>1,1</w:t>
            </w:r>
          </w:p>
        </w:tc>
        <w:tc>
          <w:tcPr>
            <w:tcW w:w="1453" w:type="dxa"/>
            <w:tcBorders>
              <w:top w:val="nil"/>
              <w:left w:val="single" w:sz="4" w:space="0" w:color="auto"/>
              <w:bottom w:val="nil"/>
              <w:right w:val="nil"/>
            </w:tcBorders>
            <w:shd w:val="clear" w:color="auto" w:fill="auto"/>
            <w:noWrap/>
            <w:vAlign w:val="center"/>
            <w:hideMark/>
          </w:tcPr>
          <w:p w14:paraId="5E1BBF27" w14:textId="53ADB6D3" w:rsidR="00C061D1" w:rsidRPr="00E03AC1" w:rsidRDefault="00C061D1" w:rsidP="00C061D1">
            <w:pPr>
              <w:spacing w:after="0" w:line="240" w:lineRule="auto"/>
              <w:rPr>
                <w:b/>
                <w:bCs/>
                <w:sz w:val="20"/>
                <w:szCs w:val="20"/>
                <w:lang w:eastAsia="sk-SK"/>
              </w:rPr>
            </w:pPr>
            <w:r>
              <w:rPr>
                <w:b/>
                <w:bCs/>
                <w:sz w:val="20"/>
                <w:szCs w:val="20"/>
              </w:rPr>
              <w:t>Slovensko</w:t>
            </w:r>
          </w:p>
        </w:tc>
        <w:tc>
          <w:tcPr>
            <w:tcW w:w="843" w:type="dxa"/>
            <w:tcBorders>
              <w:top w:val="nil"/>
              <w:left w:val="nil"/>
              <w:bottom w:val="nil"/>
              <w:right w:val="nil"/>
            </w:tcBorders>
            <w:shd w:val="clear" w:color="auto" w:fill="auto"/>
            <w:noWrap/>
            <w:vAlign w:val="center"/>
            <w:hideMark/>
          </w:tcPr>
          <w:p w14:paraId="6981214B" w14:textId="5226A271"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58,9</w:t>
            </w:r>
          </w:p>
        </w:tc>
        <w:tc>
          <w:tcPr>
            <w:tcW w:w="843" w:type="dxa"/>
            <w:tcBorders>
              <w:top w:val="nil"/>
              <w:left w:val="nil"/>
              <w:bottom w:val="nil"/>
              <w:right w:val="nil"/>
            </w:tcBorders>
            <w:shd w:val="clear" w:color="auto" w:fill="auto"/>
            <w:noWrap/>
            <w:vAlign w:val="center"/>
            <w:hideMark/>
          </w:tcPr>
          <w:p w14:paraId="19E72A31" w14:textId="47A7F395"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61,1</w:t>
            </w:r>
          </w:p>
        </w:tc>
        <w:tc>
          <w:tcPr>
            <w:tcW w:w="864" w:type="dxa"/>
            <w:tcBorders>
              <w:top w:val="nil"/>
              <w:left w:val="nil"/>
              <w:bottom w:val="nil"/>
              <w:right w:val="nil"/>
            </w:tcBorders>
            <w:shd w:val="clear" w:color="auto" w:fill="auto"/>
            <w:noWrap/>
            <w:vAlign w:val="center"/>
            <w:hideMark/>
          </w:tcPr>
          <w:p w14:paraId="544A5B83" w14:textId="3DD520CD" w:rsidR="00C061D1" w:rsidRPr="00E03AC1" w:rsidRDefault="00C061D1" w:rsidP="00C061D1">
            <w:pPr>
              <w:spacing w:after="0" w:line="240" w:lineRule="auto"/>
              <w:ind w:firstLineChars="100" w:firstLine="200"/>
              <w:jc w:val="right"/>
              <w:rPr>
                <w:b/>
                <w:bCs/>
                <w:color w:val="000000"/>
                <w:sz w:val="20"/>
                <w:szCs w:val="20"/>
                <w:lang w:eastAsia="sk-SK"/>
              </w:rPr>
            </w:pPr>
            <w:r>
              <w:rPr>
                <w:b/>
                <w:bCs/>
                <w:color w:val="000000"/>
                <w:sz w:val="20"/>
                <w:szCs w:val="20"/>
              </w:rPr>
              <w:t>57,8</w:t>
            </w:r>
          </w:p>
        </w:tc>
        <w:tc>
          <w:tcPr>
            <w:tcW w:w="799" w:type="dxa"/>
            <w:tcBorders>
              <w:top w:val="nil"/>
              <w:left w:val="nil"/>
              <w:bottom w:val="nil"/>
              <w:right w:val="single" w:sz="4" w:space="0" w:color="auto"/>
            </w:tcBorders>
            <w:shd w:val="clear" w:color="auto" w:fill="auto"/>
            <w:noWrap/>
            <w:vAlign w:val="center"/>
            <w:hideMark/>
          </w:tcPr>
          <w:p w14:paraId="43A595E5" w14:textId="35AEC2D3" w:rsidR="00C061D1" w:rsidRPr="00731BC5" w:rsidRDefault="00C061D1" w:rsidP="00C061D1">
            <w:pPr>
              <w:tabs>
                <w:tab w:val="decimal" w:pos="230"/>
              </w:tabs>
              <w:spacing w:after="0" w:line="240" w:lineRule="auto"/>
              <w:ind w:right="32" w:firstLineChars="100" w:firstLine="200"/>
              <w:jc w:val="right"/>
              <w:rPr>
                <w:b/>
                <w:color w:val="FF0000"/>
                <w:sz w:val="20"/>
                <w:szCs w:val="20"/>
                <w:lang w:eastAsia="sk-SK"/>
              </w:rPr>
            </w:pPr>
            <w:r>
              <w:rPr>
                <w:color w:val="00B050"/>
                <w:sz w:val="20"/>
                <w:szCs w:val="20"/>
              </w:rPr>
              <w:t>-3,3</w:t>
            </w:r>
          </w:p>
        </w:tc>
      </w:tr>
      <w:tr w:rsidR="00C061D1" w:rsidRPr="00E03AC1" w14:paraId="7C2DD494"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0028BC84" w14:textId="45E10927" w:rsidR="00C061D1" w:rsidRPr="00E03AC1" w:rsidRDefault="00C061D1" w:rsidP="00C061D1">
            <w:pPr>
              <w:spacing w:after="0" w:line="240" w:lineRule="auto"/>
              <w:rPr>
                <w:sz w:val="20"/>
                <w:szCs w:val="20"/>
                <w:lang w:eastAsia="sk-SK"/>
              </w:rPr>
            </w:pPr>
            <w:r>
              <w:rPr>
                <w:sz w:val="20"/>
                <w:szCs w:val="20"/>
              </w:rPr>
              <w:t>Grécko</w:t>
            </w:r>
          </w:p>
        </w:tc>
        <w:tc>
          <w:tcPr>
            <w:tcW w:w="764" w:type="dxa"/>
            <w:tcBorders>
              <w:top w:val="nil"/>
              <w:left w:val="nil"/>
              <w:bottom w:val="nil"/>
              <w:right w:val="nil"/>
            </w:tcBorders>
            <w:shd w:val="clear" w:color="auto" w:fill="auto"/>
            <w:noWrap/>
            <w:vAlign w:val="center"/>
            <w:hideMark/>
          </w:tcPr>
          <w:p w14:paraId="35D4CEC6" w14:textId="70CF4B6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-9,7</w:t>
            </w:r>
          </w:p>
        </w:tc>
        <w:tc>
          <w:tcPr>
            <w:tcW w:w="826" w:type="dxa"/>
            <w:tcBorders>
              <w:top w:val="nil"/>
              <w:left w:val="nil"/>
              <w:bottom w:val="nil"/>
              <w:right w:val="nil"/>
            </w:tcBorders>
            <w:shd w:val="clear" w:color="auto" w:fill="auto"/>
            <w:noWrap/>
            <w:vAlign w:val="center"/>
            <w:hideMark/>
          </w:tcPr>
          <w:p w14:paraId="400D4BF6" w14:textId="63CB749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-7,0</w:t>
            </w:r>
          </w:p>
        </w:tc>
        <w:tc>
          <w:tcPr>
            <w:tcW w:w="742" w:type="dxa"/>
            <w:tcBorders>
              <w:top w:val="nil"/>
              <w:left w:val="nil"/>
              <w:bottom w:val="nil"/>
              <w:right w:val="nil"/>
            </w:tcBorders>
            <w:shd w:val="clear" w:color="auto" w:fill="auto"/>
            <w:noWrap/>
            <w:vAlign w:val="center"/>
            <w:hideMark/>
          </w:tcPr>
          <w:p w14:paraId="5927EFE9" w14:textId="7874BDA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w:t>
            </w:r>
          </w:p>
        </w:tc>
        <w:tc>
          <w:tcPr>
            <w:tcW w:w="728" w:type="dxa"/>
            <w:tcBorders>
              <w:top w:val="nil"/>
              <w:left w:val="nil"/>
              <w:bottom w:val="nil"/>
              <w:right w:val="nil"/>
            </w:tcBorders>
            <w:shd w:val="clear" w:color="auto" w:fill="auto"/>
            <w:noWrap/>
            <w:vAlign w:val="center"/>
            <w:hideMark/>
          </w:tcPr>
          <w:p w14:paraId="6C2BABC9" w14:textId="4EC3D9C9"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4,6</w:t>
            </w:r>
          </w:p>
        </w:tc>
        <w:tc>
          <w:tcPr>
            <w:tcW w:w="1453" w:type="dxa"/>
            <w:tcBorders>
              <w:top w:val="nil"/>
              <w:left w:val="single" w:sz="4" w:space="0" w:color="auto"/>
              <w:bottom w:val="nil"/>
              <w:right w:val="nil"/>
            </w:tcBorders>
            <w:shd w:val="clear" w:color="auto" w:fill="auto"/>
            <w:noWrap/>
            <w:vAlign w:val="center"/>
            <w:hideMark/>
          </w:tcPr>
          <w:p w14:paraId="626A3EAB" w14:textId="79E44758" w:rsidR="00C061D1" w:rsidRPr="00E03AC1" w:rsidRDefault="00C061D1" w:rsidP="00C061D1">
            <w:pPr>
              <w:spacing w:after="0" w:line="240" w:lineRule="auto"/>
              <w:rPr>
                <w:sz w:val="20"/>
                <w:szCs w:val="20"/>
                <w:lang w:eastAsia="sk-SK"/>
              </w:rPr>
            </w:pPr>
            <w:r>
              <w:rPr>
                <w:sz w:val="20"/>
                <w:szCs w:val="20"/>
              </w:rPr>
              <w:t>Malta</w:t>
            </w:r>
          </w:p>
        </w:tc>
        <w:tc>
          <w:tcPr>
            <w:tcW w:w="843" w:type="dxa"/>
            <w:tcBorders>
              <w:top w:val="nil"/>
              <w:left w:val="nil"/>
              <w:bottom w:val="nil"/>
              <w:right w:val="nil"/>
            </w:tcBorders>
            <w:shd w:val="clear" w:color="auto" w:fill="auto"/>
            <w:noWrap/>
            <w:vAlign w:val="center"/>
            <w:hideMark/>
          </w:tcPr>
          <w:p w14:paraId="20F321AE" w14:textId="0B2CE67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52,2</w:t>
            </w:r>
          </w:p>
        </w:tc>
        <w:tc>
          <w:tcPr>
            <w:tcW w:w="843" w:type="dxa"/>
            <w:tcBorders>
              <w:top w:val="nil"/>
              <w:left w:val="nil"/>
              <w:bottom w:val="nil"/>
              <w:right w:val="nil"/>
            </w:tcBorders>
            <w:shd w:val="clear" w:color="auto" w:fill="auto"/>
            <w:noWrap/>
            <w:vAlign w:val="center"/>
            <w:hideMark/>
          </w:tcPr>
          <w:p w14:paraId="2A5FD7D8" w14:textId="6432B7D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54,0</w:t>
            </w:r>
          </w:p>
        </w:tc>
        <w:tc>
          <w:tcPr>
            <w:tcW w:w="864" w:type="dxa"/>
            <w:tcBorders>
              <w:top w:val="nil"/>
              <w:left w:val="nil"/>
              <w:bottom w:val="nil"/>
              <w:right w:val="nil"/>
            </w:tcBorders>
            <w:shd w:val="clear" w:color="auto" w:fill="auto"/>
            <w:noWrap/>
            <w:vAlign w:val="center"/>
            <w:hideMark/>
          </w:tcPr>
          <w:p w14:paraId="39E845D2" w14:textId="6A26F00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52,3</w:t>
            </w:r>
          </w:p>
        </w:tc>
        <w:tc>
          <w:tcPr>
            <w:tcW w:w="799" w:type="dxa"/>
            <w:tcBorders>
              <w:top w:val="nil"/>
              <w:left w:val="nil"/>
              <w:bottom w:val="nil"/>
              <w:right w:val="single" w:sz="4" w:space="0" w:color="auto"/>
            </w:tcBorders>
            <w:shd w:val="clear" w:color="auto" w:fill="auto"/>
            <w:noWrap/>
            <w:vAlign w:val="center"/>
            <w:hideMark/>
          </w:tcPr>
          <w:p w14:paraId="1ECB66A7" w14:textId="24038253" w:rsidR="00C061D1" w:rsidRPr="00E03AC1" w:rsidRDefault="00C061D1" w:rsidP="00C061D1">
            <w:pPr>
              <w:tabs>
                <w:tab w:val="decimal" w:pos="230"/>
              </w:tabs>
              <w:spacing w:after="0" w:line="240" w:lineRule="auto"/>
              <w:ind w:right="32" w:firstLineChars="100" w:firstLine="200"/>
              <w:jc w:val="right"/>
              <w:rPr>
                <w:color w:val="FF0000"/>
                <w:sz w:val="20"/>
                <w:szCs w:val="20"/>
                <w:lang w:eastAsia="sk-SK"/>
              </w:rPr>
            </w:pPr>
            <w:r>
              <w:rPr>
                <w:color w:val="00B050"/>
                <w:sz w:val="20"/>
                <w:szCs w:val="20"/>
              </w:rPr>
              <w:t>-1,7</w:t>
            </w:r>
          </w:p>
        </w:tc>
      </w:tr>
      <w:tr w:rsidR="00C061D1" w:rsidRPr="00E03AC1" w14:paraId="1AD76A5E"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05412FA6" w14:textId="2EB9F7EF" w:rsidR="00C061D1" w:rsidRPr="00E03AC1" w:rsidRDefault="00C061D1" w:rsidP="00C061D1">
            <w:pPr>
              <w:spacing w:after="0" w:line="240" w:lineRule="auto"/>
              <w:rPr>
                <w:sz w:val="20"/>
                <w:szCs w:val="20"/>
                <w:lang w:eastAsia="sk-SK"/>
              </w:rPr>
            </w:pPr>
            <w:r>
              <w:rPr>
                <w:b/>
                <w:bCs/>
                <w:sz w:val="20"/>
                <w:szCs w:val="20"/>
              </w:rPr>
              <w:t>Slovensko</w:t>
            </w:r>
          </w:p>
        </w:tc>
        <w:tc>
          <w:tcPr>
            <w:tcW w:w="764" w:type="dxa"/>
            <w:tcBorders>
              <w:top w:val="nil"/>
              <w:left w:val="nil"/>
              <w:bottom w:val="nil"/>
              <w:right w:val="nil"/>
            </w:tcBorders>
            <w:shd w:val="clear" w:color="auto" w:fill="auto"/>
            <w:noWrap/>
            <w:vAlign w:val="center"/>
            <w:hideMark/>
          </w:tcPr>
          <w:p w14:paraId="30CDACC7" w14:textId="77C76F70" w:rsidR="00C061D1" w:rsidRPr="00E03AC1" w:rsidRDefault="00C061D1" w:rsidP="00C061D1">
            <w:pPr>
              <w:spacing w:after="0" w:line="240" w:lineRule="auto"/>
              <w:ind w:firstLineChars="100" w:firstLine="200"/>
              <w:jc w:val="right"/>
              <w:rPr>
                <w:color w:val="000000"/>
                <w:sz w:val="20"/>
                <w:szCs w:val="20"/>
                <w:lang w:eastAsia="sk-SK"/>
              </w:rPr>
            </w:pPr>
            <w:r>
              <w:rPr>
                <w:b/>
                <w:bCs/>
                <w:color w:val="000000"/>
                <w:sz w:val="20"/>
                <w:szCs w:val="20"/>
              </w:rPr>
              <w:t>-5,4</w:t>
            </w:r>
          </w:p>
        </w:tc>
        <w:tc>
          <w:tcPr>
            <w:tcW w:w="826" w:type="dxa"/>
            <w:tcBorders>
              <w:top w:val="nil"/>
              <w:left w:val="nil"/>
              <w:bottom w:val="nil"/>
              <w:right w:val="nil"/>
            </w:tcBorders>
            <w:shd w:val="clear" w:color="auto" w:fill="auto"/>
            <w:noWrap/>
            <w:vAlign w:val="center"/>
            <w:hideMark/>
          </w:tcPr>
          <w:p w14:paraId="5D6A0DFB" w14:textId="78F4FA43" w:rsidR="00C061D1" w:rsidRPr="00E03AC1" w:rsidRDefault="00C061D1" w:rsidP="00C061D1">
            <w:pPr>
              <w:spacing w:after="0" w:line="240" w:lineRule="auto"/>
              <w:ind w:firstLineChars="100" w:firstLine="200"/>
              <w:jc w:val="right"/>
              <w:rPr>
                <w:color w:val="000000"/>
                <w:sz w:val="20"/>
                <w:szCs w:val="20"/>
                <w:lang w:eastAsia="sk-SK"/>
              </w:rPr>
            </w:pPr>
            <w:r>
              <w:rPr>
                <w:b/>
                <w:bCs/>
                <w:color w:val="000000"/>
                <w:sz w:val="20"/>
                <w:szCs w:val="20"/>
              </w:rPr>
              <w:t>-5,2</w:t>
            </w:r>
          </w:p>
        </w:tc>
        <w:tc>
          <w:tcPr>
            <w:tcW w:w="742" w:type="dxa"/>
            <w:tcBorders>
              <w:top w:val="nil"/>
              <w:left w:val="nil"/>
              <w:bottom w:val="nil"/>
              <w:right w:val="nil"/>
            </w:tcBorders>
            <w:shd w:val="clear" w:color="auto" w:fill="auto"/>
            <w:noWrap/>
            <w:vAlign w:val="center"/>
            <w:hideMark/>
          </w:tcPr>
          <w:p w14:paraId="48A73F28" w14:textId="35F85413" w:rsidR="00C061D1" w:rsidRPr="00E03AC1" w:rsidRDefault="00C061D1" w:rsidP="00C061D1">
            <w:pPr>
              <w:spacing w:after="0" w:line="240" w:lineRule="auto"/>
              <w:ind w:firstLineChars="100" w:firstLine="200"/>
              <w:jc w:val="right"/>
              <w:rPr>
                <w:color w:val="000000"/>
                <w:sz w:val="20"/>
                <w:szCs w:val="20"/>
                <w:lang w:eastAsia="sk-SK"/>
              </w:rPr>
            </w:pPr>
            <w:r>
              <w:rPr>
                <w:b/>
                <w:bCs/>
                <w:color w:val="000000"/>
                <w:sz w:val="20"/>
                <w:szCs w:val="20"/>
              </w:rPr>
              <w:t>-2,0</w:t>
            </w:r>
          </w:p>
        </w:tc>
        <w:tc>
          <w:tcPr>
            <w:tcW w:w="728" w:type="dxa"/>
            <w:tcBorders>
              <w:top w:val="nil"/>
              <w:left w:val="nil"/>
              <w:bottom w:val="nil"/>
              <w:right w:val="nil"/>
            </w:tcBorders>
            <w:shd w:val="clear" w:color="auto" w:fill="auto"/>
            <w:noWrap/>
            <w:vAlign w:val="center"/>
            <w:hideMark/>
          </w:tcPr>
          <w:p w14:paraId="532ECDBA" w14:textId="22C3312D" w:rsidR="00C061D1" w:rsidRPr="00731BC5" w:rsidRDefault="00C061D1" w:rsidP="00C061D1">
            <w:pPr>
              <w:spacing w:after="0" w:line="240" w:lineRule="auto"/>
              <w:ind w:firstLineChars="100" w:firstLine="200"/>
              <w:jc w:val="center"/>
              <w:rPr>
                <w:b/>
                <w:color w:val="00B050"/>
                <w:sz w:val="20"/>
                <w:szCs w:val="20"/>
                <w:lang w:eastAsia="sk-SK"/>
              </w:rPr>
            </w:pPr>
            <w:r>
              <w:rPr>
                <w:color w:val="00B050"/>
                <w:sz w:val="20"/>
                <w:szCs w:val="20"/>
              </w:rPr>
              <w:t>3,2</w:t>
            </w:r>
          </w:p>
        </w:tc>
        <w:tc>
          <w:tcPr>
            <w:tcW w:w="1453" w:type="dxa"/>
            <w:tcBorders>
              <w:top w:val="nil"/>
              <w:left w:val="single" w:sz="4" w:space="0" w:color="auto"/>
              <w:bottom w:val="nil"/>
              <w:right w:val="nil"/>
            </w:tcBorders>
            <w:shd w:val="clear" w:color="auto" w:fill="auto"/>
            <w:noWrap/>
            <w:vAlign w:val="center"/>
            <w:hideMark/>
          </w:tcPr>
          <w:p w14:paraId="45973D80" w14:textId="0AC93470" w:rsidR="00C061D1" w:rsidRPr="00E03AC1" w:rsidRDefault="00C061D1" w:rsidP="00C061D1">
            <w:pPr>
              <w:spacing w:after="0" w:line="240" w:lineRule="auto"/>
              <w:rPr>
                <w:sz w:val="20"/>
                <w:szCs w:val="20"/>
                <w:lang w:eastAsia="sk-SK"/>
              </w:rPr>
            </w:pPr>
            <w:r>
              <w:rPr>
                <w:sz w:val="20"/>
                <w:szCs w:val="20"/>
              </w:rPr>
              <w:t>Holandsko</w:t>
            </w:r>
          </w:p>
        </w:tc>
        <w:tc>
          <w:tcPr>
            <w:tcW w:w="843" w:type="dxa"/>
            <w:tcBorders>
              <w:top w:val="nil"/>
              <w:left w:val="nil"/>
              <w:bottom w:val="nil"/>
              <w:right w:val="nil"/>
            </w:tcBorders>
            <w:shd w:val="clear" w:color="auto" w:fill="auto"/>
            <w:noWrap/>
            <w:vAlign w:val="center"/>
            <w:hideMark/>
          </w:tcPr>
          <w:p w14:paraId="561F24AD" w14:textId="26DF224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54,7</w:t>
            </w:r>
          </w:p>
        </w:tc>
        <w:tc>
          <w:tcPr>
            <w:tcW w:w="843" w:type="dxa"/>
            <w:tcBorders>
              <w:top w:val="nil"/>
              <w:left w:val="nil"/>
              <w:bottom w:val="nil"/>
              <w:right w:val="nil"/>
            </w:tcBorders>
            <w:shd w:val="clear" w:color="auto" w:fill="auto"/>
            <w:noWrap/>
            <w:vAlign w:val="center"/>
            <w:hideMark/>
          </w:tcPr>
          <w:p w14:paraId="03CEDE23" w14:textId="1EF7763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51,7</w:t>
            </w:r>
          </w:p>
        </w:tc>
        <w:tc>
          <w:tcPr>
            <w:tcW w:w="864" w:type="dxa"/>
            <w:tcBorders>
              <w:top w:val="nil"/>
              <w:left w:val="nil"/>
              <w:bottom w:val="nil"/>
              <w:right w:val="nil"/>
            </w:tcBorders>
            <w:shd w:val="clear" w:color="auto" w:fill="auto"/>
            <w:noWrap/>
            <w:vAlign w:val="center"/>
            <w:hideMark/>
          </w:tcPr>
          <w:p w14:paraId="322C9DA9" w14:textId="7B92AA9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50,1</w:t>
            </w:r>
          </w:p>
        </w:tc>
        <w:tc>
          <w:tcPr>
            <w:tcW w:w="799" w:type="dxa"/>
            <w:tcBorders>
              <w:top w:val="nil"/>
              <w:left w:val="nil"/>
              <w:bottom w:val="nil"/>
              <w:right w:val="single" w:sz="4" w:space="0" w:color="auto"/>
            </w:tcBorders>
            <w:shd w:val="clear" w:color="auto" w:fill="auto"/>
            <w:noWrap/>
            <w:vAlign w:val="center"/>
            <w:hideMark/>
          </w:tcPr>
          <w:p w14:paraId="74A93807" w14:textId="02B32D17"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-1,6</w:t>
            </w:r>
          </w:p>
        </w:tc>
      </w:tr>
      <w:tr w:rsidR="00C061D1" w:rsidRPr="00E03AC1" w14:paraId="027E7EBB"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55185B82" w14:textId="4CF4ADD8" w:rsidR="00C061D1" w:rsidRPr="00E03AC1" w:rsidRDefault="00C061D1" w:rsidP="00C061D1">
            <w:pPr>
              <w:spacing w:after="0" w:line="240" w:lineRule="auto"/>
              <w:rPr>
                <w:sz w:val="20"/>
                <w:szCs w:val="20"/>
                <w:lang w:eastAsia="sk-SK"/>
              </w:rPr>
            </w:pPr>
            <w:r>
              <w:rPr>
                <w:sz w:val="20"/>
                <w:szCs w:val="20"/>
              </w:rPr>
              <w:t>Estónsko</w:t>
            </w:r>
          </w:p>
        </w:tc>
        <w:tc>
          <w:tcPr>
            <w:tcW w:w="764" w:type="dxa"/>
            <w:tcBorders>
              <w:top w:val="nil"/>
              <w:left w:val="nil"/>
              <w:bottom w:val="nil"/>
              <w:right w:val="nil"/>
            </w:tcBorders>
            <w:shd w:val="clear" w:color="auto" w:fill="auto"/>
            <w:noWrap/>
            <w:vAlign w:val="center"/>
            <w:hideMark/>
          </w:tcPr>
          <w:p w14:paraId="227B6F62" w14:textId="55C45D3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-5,4</w:t>
            </w:r>
          </w:p>
        </w:tc>
        <w:tc>
          <w:tcPr>
            <w:tcW w:w="826" w:type="dxa"/>
            <w:tcBorders>
              <w:top w:val="nil"/>
              <w:left w:val="nil"/>
              <w:bottom w:val="nil"/>
              <w:right w:val="nil"/>
            </w:tcBorders>
            <w:shd w:val="clear" w:color="auto" w:fill="auto"/>
            <w:noWrap/>
            <w:vAlign w:val="center"/>
            <w:hideMark/>
          </w:tcPr>
          <w:p w14:paraId="746CBE51" w14:textId="1D44E01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-2,5</w:t>
            </w:r>
          </w:p>
        </w:tc>
        <w:tc>
          <w:tcPr>
            <w:tcW w:w="742" w:type="dxa"/>
            <w:tcBorders>
              <w:top w:val="nil"/>
              <w:left w:val="nil"/>
              <w:bottom w:val="nil"/>
              <w:right w:val="nil"/>
            </w:tcBorders>
            <w:shd w:val="clear" w:color="auto" w:fill="auto"/>
            <w:noWrap/>
            <w:vAlign w:val="center"/>
            <w:hideMark/>
          </w:tcPr>
          <w:p w14:paraId="0ACE20B7" w14:textId="246CDEA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-1,0</w:t>
            </w:r>
          </w:p>
        </w:tc>
        <w:tc>
          <w:tcPr>
            <w:tcW w:w="728" w:type="dxa"/>
            <w:tcBorders>
              <w:top w:val="nil"/>
              <w:left w:val="nil"/>
              <w:bottom w:val="nil"/>
              <w:right w:val="nil"/>
            </w:tcBorders>
            <w:shd w:val="clear" w:color="auto" w:fill="auto"/>
            <w:noWrap/>
            <w:vAlign w:val="center"/>
            <w:hideMark/>
          </w:tcPr>
          <w:p w14:paraId="20C9C68D" w14:textId="28D52A61"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1,5</w:t>
            </w:r>
          </w:p>
        </w:tc>
        <w:tc>
          <w:tcPr>
            <w:tcW w:w="1453" w:type="dxa"/>
            <w:tcBorders>
              <w:top w:val="nil"/>
              <w:left w:val="single" w:sz="4" w:space="0" w:color="auto"/>
              <w:bottom w:val="nil"/>
              <w:right w:val="nil"/>
            </w:tcBorders>
            <w:shd w:val="clear" w:color="auto" w:fill="auto"/>
            <w:noWrap/>
            <w:vAlign w:val="center"/>
            <w:hideMark/>
          </w:tcPr>
          <w:p w14:paraId="77D2E04B" w14:textId="4E922D03" w:rsidR="00C061D1" w:rsidRPr="00E03AC1" w:rsidRDefault="00C061D1" w:rsidP="00C061D1">
            <w:pPr>
              <w:spacing w:after="0" w:line="240" w:lineRule="auto"/>
              <w:rPr>
                <w:sz w:val="20"/>
                <w:szCs w:val="20"/>
                <w:lang w:eastAsia="sk-SK"/>
              </w:rPr>
            </w:pPr>
            <w:r>
              <w:rPr>
                <w:sz w:val="20"/>
                <w:szCs w:val="20"/>
              </w:rPr>
              <w:t>Poľsko</w:t>
            </w:r>
          </w:p>
        </w:tc>
        <w:tc>
          <w:tcPr>
            <w:tcW w:w="843" w:type="dxa"/>
            <w:tcBorders>
              <w:top w:val="nil"/>
              <w:left w:val="nil"/>
              <w:bottom w:val="nil"/>
              <w:right w:val="nil"/>
            </w:tcBorders>
            <w:shd w:val="clear" w:color="auto" w:fill="auto"/>
            <w:noWrap/>
            <w:vAlign w:val="center"/>
            <w:hideMark/>
          </w:tcPr>
          <w:p w14:paraId="6FF38B9D" w14:textId="167C767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57,2</w:t>
            </w:r>
          </w:p>
        </w:tc>
        <w:tc>
          <w:tcPr>
            <w:tcW w:w="843" w:type="dxa"/>
            <w:tcBorders>
              <w:top w:val="nil"/>
              <w:left w:val="nil"/>
              <w:bottom w:val="nil"/>
              <w:right w:val="nil"/>
            </w:tcBorders>
            <w:shd w:val="clear" w:color="auto" w:fill="auto"/>
            <w:noWrap/>
            <w:vAlign w:val="center"/>
            <w:hideMark/>
          </w:tcPr>
          <w:p w14:paraId="6D3FF54D" w14:textId="79AEDAA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53,6</w:t>
            </w:r>
          </w:p>
        </w:tc>
        <w:tc>
          <w:tcPr>
            <w:tcW w:w="864" w:type="dxa"/>
            <w:tcBorders>
              <w:top w:val="nil"/>
              <w:left w:val="nil"/>
              <w:bottom w:val="nil"/>
              <w:right w:val="nil"/>
            </w:tcBorders>
            <w:shd w:val="clear" w:color="auto" w:fill="auto"/>
            <w:noWrap/>
            <w:vAlign w:val="center"/>
            <w:hideMark/>
          </w:tcPr>
          <w:p w14:paraId="49B28122" w14:textId="5A02892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49,3</w:t>
            </w:r>
          </w:p>
        </w:tc>
        <w:tc>
          <w:tcPr>
            <w:tcW w:w="799" w:type="dxa"/>
            <w:tcBorders>
              <w:top w:val="nil"/>
              <w:left w:val="nil"/>
              <w:bottom w:val="nil"/>
              <w:right w:val="single" w:sz="4" w:space="0" w:color="auto"/>
            </w:tcBorders>
            <w:shd w:val="clear" w:color="auto" w:fill="auto"/>
            <w:noWrap/>
            <w:vAlign w:val="center"/>
            <w:hideMark/>
          </w:tcPr>
          <w:p w14:paraId="6010E06C" w14:textId="7889035A"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-4,3</w:t>
            </w:r>
          </w:p>
        </w:tc>
      </w:tr>
      <w:tr w:rsidR="00C061D1" w:rsidRPr="00E03AC1" w14:paraId="16866289"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49D08A33" w14:textId="47B35D5B" w:rsidR="00C061D1" w:rsidRPr="00E03AC1" w:rsidRDefault="00C061D1" w:rsidP="00C061D1">
            <w:pPr>
              <w:spacing w:after="0" w:line="240" w:lineRule="auto"/>
              <w:rPr>
                <w:sz w:val="20"/>
                <w:szCs w:val="20"/>
                <w:lang w:eastAsia="sk-SK"/>
              </w:rPr>
            </w:pPr>
            <w:r>
              <w:rPr>
                <w:sz w:val="20"/>
                <w:szCs w:val="20"/>
              </w:rPr>
              <w:t>Fínsko</w:t>
            </w:r>
          </w:p>
        </w:tc>
        <w:tc>
          <w:tcPr>
            <w:tcW w:w="764" w:type="dxa"/>
            <w:tcBorders>
              <w:top w:val="nil"/>
              <w:left w:val="nil"/>
              <w:bottom w:val="nil"/>
              <w:right w:val="nil"/>
            </w:tcBorders>
            <w:shd w:val="clear" w:color="auto" w:fill="auto"/>
            <w:noWrap/>
            <w:vAlign w:val="center"/>
            <w:hideMark/>
          </w:tcPr>
          <w:p w14:paraId="60529E32" w14:textId="7B54AA0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-5,6</w:t>
            </w:r>
          </w:p>
        </w:tc>
        <w:tc>
          <w:tcPr>
            <w:tcW w:w="826" w:type="dxa"/>
            <w:tcBorders>
              <w:top w:val="nil"/>
              <w:left w:val="nil"/>
              <w:bottom w:val="nil"/>
              <w:right w:val="nil"/>
            </w:tcBorders>
            <w:shd w:val="clear" w:color="auto" w:fill="auto"/>
            <w:noWrap/>
            <w:vAlign w:val="center"/>
            <w:hideMark/>
          </w:tcPr>
          <w:p w14:paraId="5C8BC293" w14:textId="0A53106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-2,8</w:t>
            </w:r>
          </w:p>
        </w:tc>
        <w:tc>
          <w:tcPr>
            <w:tcW w:w="742" w:type="dxa"/>
            <w:tcBorders>
              <w:top w:val="nil"/>
              <w:left w:val="nil"/>
              <w:bottom w:val="nil"/>
              <w:right w:val="nil"/>
            </w:tcBorders>
            <w:shd w:val="clear" w:color="auto" w:fill="auto"/>
            <w:noWrap/>
            <w:vAlign w:val="center"/>
            <w:hideMark/>
          </w:tcPr>
          <w:p w14:paraId="78B45625" w14:textId="2D8FFA1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-0,8</w:t>
            </w:r>
          </w:p>
        </w:tc>
        <w:tc>
          <w:tcPr>
            <w:tcW w:w="728" w:type="dxa"/>
            <w:tcBorders>
              <w:top w:val="nil"/>
              <w:left w:val="nil"/>
              <w:bottom w:val="nil"/>
              <w:right w:val="nil"/>
            </w:tcBorders>
            <w:shd w:val="clear" w:color="auto" w:fill="auto"/>
            <w:noWrap/>
            <w:vAlign w:val="center"/>
            <w:hideMark/>
          </w:tcPr>
          <w:p w14:paraId="3959B3FD" w14:textId="1061A23B"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2,0</w:t>
            </w:r>
          </w:p>
        </w:tc>
        <w:tc>
          <w:tcPr>
            <w:tcW w:w="1453" w:type="dxa"/>
            <w:tcBorders>
              <w:top w:val="nil"/>
              <w:left w:val="single" w:sz="4" w:space="0" w:color="auto"/>
              <w:bottom w:val="nil"/>
              <w:right w:val="nil"/>
            </w:tcBorders>
            <w:shd w:val="clear" w:color="auto" w:fill="auto"/>
            <w:noWrap/>
            <w:vAlign w:val="center"/>
            <w:hideMark/>
          </w:tcPr>
          <w:p w14:paraId="415AD623" w14:textId="6B7EFF06" w:rsidR="00C061D1" w:rsidRPr="00E03AC1" w:rsidRDefault="00C061D1" w:rsidP="00C061D1">
            <w:pPr>
              <w:spacing w:after="0" w:line="240" w:lineRule="auto"/>
              <w:rPr>
                <w:sz w:val="20"/>
                <w:szCs w:val="20"/>
                <w:lang w:eastAsia="sk-SK"/>
              </w:rPr>
            </w:pPr>
            <w:r>
              <w:rPr>
                <w:sz w:val="20"/>
                <w:szCs w:val="20"/>
              </w:rPr>
              <w:t>Rumunsko</w:t>
            </w:r>
          </w:p>
        </w:tc>
        <w:tc>
          <w:tcPr>
            <w:tcW w:w="843" w:type="dxa"/>
            <w:tcBorders>
              <w:top w:val="nil"/>
              <w:left w:val="nil"/>
              <w:bottom w:val="nil"/>
              <w:right w:val="nil"/>
            </w:tcBorders>
            <w:shd w:val="clear" w:color="auto" w:fill="auto"/>
            <w:noWrap/>
            <w:vAlign w:val="center"/>
            <w:hideMark/>
          </w:tcPr>
          <w:p w14:paraId="54D5E5C3" w14:textId="678D7A3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46,8</w:t>
            </w:r>
          </w:p>
        </w:tc>
        <w:tc>
          <w:tcPr>
            <w:tcW w:w="843" w:type="dxa"/>
            <w:tcBorders>
              <w:top w:val="nil"/>
              <w:left w:val="nil"/>
              <w:bottom w:val="nil"/>
              <w:right w:val="nil"/>
            </w:tcBorders>
            <w:shd w:val="clear" w:color="auto" w:fill="auto"/>
            <w:noWrap/>
            <w:vAlign w:val="center"/>
            <w:hideMark/>
          </w:tcPr>
          <w:p w14:paraId="2CDC5D02" w14:textId="536D764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48,5</w:t>
            </w:r>
          </w:p>
        </w:tc>
        <w:tc>
          <w:tcPr>
            <w:tcW w:w="864" w:type="dxa"/>
            <w:tcBorders>
              <w:top w:val="nil"/>
              <w:left w:val="nil"/>
              <w:bottom w:val="nil"/>
              <w:right w:val="nil"/>
            </w:tcBorders>
            <w:shd w:val="clear" w:color="auto" w:fill="auto"/>
            <w:noWrap/>
            <w:vAlign w:val="center"/>
            <w:hideMark/>
          </w:tcPr>
          <w:p w14:paraId="1CE8D02C" w14:textId="4731CB3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47,2</w:t>
            </w:r>
          </w:p>
        </w:tc>
        <w:tc>
          <w:tcPr>
            <w:tcW w:w="799" w:type="dxa"/>
            <w:tcBorders>
              <w:top w:val="nil"/>
              <w:left w:val="nil"/>
              <w:bottom w:val="nil"/>
              <w:right w:val="single" w:sz="4" w:space="0" w:color="auto"/>
            </w:tcBorders>
            <w:shd w:val="clear" w:color="auto" w:fill="auto"/>
            <w:noWrap/>
            <w:vAlign w:val="center"/>
            <w:hideMark/>
          </w:tcPr>
          <w:p w14:paraId="2A86F589" w14:textId="34E01DCD"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-1,3</w:t>
            </w:r>
          </w:p>
        </w:tc>
      </w:tr>
      <w:tr w:rsidR="00C061D1" w:rsidRPr="00E03AC1" w14:paraId="7AB90380"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3C7EEC79" w14:textId="732B970A" w:rsidR="00C061D1" w:rsidRPr="00E03AC1" w:rsidRDefault="00C061D1" w:rsidP="00C061D1">
            <w:pPr>
              <w:spacing w:after="0" w:line="240" w:lineRule="auto"/>
              <w:rPr>
                <w:sz w:val="20"/>
                <w:szCs w:val="20"/>
                <w:lang w:eastAsia="sk-SK"/>
              </w:rPr>
            </w:pPr>
            <w:r>
              <w:rPr>
                <w:sz w:val="20"/>
                <w:szCs w:val="20"/>
              </w:rPr>
              <w:t>Litva</w:t>
            </w:r>
          </w:p>
        </w:tc>
        <w:tc>
          <w:tcPr>
            <w:tcW w:w="764" w:type="dxa"/>
            <w:tcBorders>
              <w:top w:val="nil"/>
              <w:left w:val="nil"/>
              <w:bottom w:val="nil"/>
              <w:right w:val="nil"/>
            </w:tcBorders>
            <w:shd w:val="clear" w:color="auto" w:fill="auto"/>
            <w:noWrap/>
            <w:vAlign w:val="center"/>
            <w:hideMark/>
          </w:tcPr>
          <w:p w14:paraId="6C42BB77" w14:textId="588CF1A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-6,5</w:t>
            </w:r>
          </w:p>
        </w:tc>
        <w:tc>
          <w:tcPr>
            <w:tcW w:w="826" w:type="dxa"/>
            <w:tcBorders>
              <w:top w:val="nil"/>
              <w:left w:val="nil"/>
              <w:bottom w:val="nil"/>
              <w:right w:val="nil"/>
            </w:tcBorders>
            <w:shd w:val="clear" w:color="auto" w:fill="auto"/>
            <w:noWrap/>
            <w:vAlign w:val="center"/>
            <w:hideMark/>
          </w:tcPr>
          <w:p w14:paraId="571EB871" w14:textId="26584F7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w:t>
            </w:r>
          </w:p>
        </w:tc>
        <w:tc>
          <w:tcPr>
            <w:tcW w:w="742" w:type="dxa"/>
            <w:tcBorders>
              <w:top w:val="nil"/>
              <w:left w:val="nil"/>
              <w:bottom w:val="nil"/>
              <w:right w:val="nil"/>
            </w:tcBorders>
            <w:shd w:val="clear" w:color="auto" w:fill="auto"/>
            <w:noWrap/>
            <w:vAlign w:val="center"/>
            <w:hideMark/>
          </w:tcPr>
          <w:p w14:paraId="5096BCC3" w14:textId="459B12E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-0,7</w:t>
            </w:r>
          </w:p>
        </w:tc>
        <w:tc>
          <w:tcPr>
            <w:tcW w:w="728" w:type="dxa"/>
            <w:tcBorders>
              <w:top w:val="nil"/>
              <w:left w:val="nil"/>
              <w:bottom w:val="nil"/>
              <w:right w:val="nil"/>
            </w:tcBorders>
            <w:shd w:val="clear" w:color="auto" w:fill="auto"/>
            <w:noWrap/>
            <w:vAlign w:val="center"/>
            <w:hideMark/>
          </w:tcPr>
          <w:p w14:paraId="41D46C64" w14:textId="012129E2"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0,4</w:t>
            </w:r>
          </w:p>
        </w:tc>
        <w:tc>
          <w:tcPr>
            <w:tcW w:w="1453" w:type="dxa"/>
            <w:tcBorders>
              <w:top w:val="nil"/>
              <w:left w:val="single" w:sz="4" w:space="0" w:color="auto"/>
              <w:bottom w:val="nil"/>
              <w:right w:val="nil"/>
            </w:tcBorders>
            <w:shd w:val="clear" w:color="auto" w:fill="auto"/>
            <w:noWrap/>
            <w:vAlign w:val="center"/>
            <w:hideMark/>
          </w:tcPr>
          <w:p w14:paraId="0D4F1338" w14:textId="0DCA9FCF" w:rsidR="00C061D1" w:rsidRPr="00E03AC1" w:rsidRDefault="00C061D1" w:rsidP="00C061D1">
            <w:pPr>
              <w:spacing w:after="0" w:line="240" w:lineRule="auto"/>
              <w:rPr>
                <w:sz w:val="20"/>
                <w:szCs w:val="20"/>
                <w:lang w:eastAsia="sk-SK"/>
              </w:rPr>
            </w:pPr>
            <w:r>
              <w:rPr>
                <w:sz w:val="20"/>
                <w:szCs w:val="20"/>
              </w:rPr>
              <w:t>Írsko</w:t>
            </w:r>
          </w:p>
        </w:tc>
        <w:tc>
          <w:tcPr>
            <w:tcW w:w="843" w:type="dxa"/>
            <w:tcBorders>
              <w:top w:val="nil"/>
              <w:left w:val="nil"/>
              <w:bottom w:val="nil"/>
              <w:right w:val="nil"/>
            </w:tcBorders>
            <w:shd w:val="clear" w:color="auto" w:fill="auto"/>
            <w:noWrap/>
            <w:vAlign w:val="center"/>
            <w:hideMark/>
          </w:tcPr>
          <w:p w14:paraId="2DA10B7C" w14:textId="022340E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58,1</w:t>
            </w:r>
          </w:p>
        </w:tc>
        <w:tc>
          <w:tcPr>
            <w:tcW w:w="843" w:type="dxa"/>
            <w:tcBorders>
              <w:top w:val="nil"/>
              <w:left w:val="nil"/>
              <w:bottom w:val="nil"/>
              <w:right w:val="nil"/>
            </w:tcBorders>
            <w:shd w:val="clear" w:color="auto" w:fill="auto"/>
            <w:noWrap/>
            <w:vAlign w:val="center"/>
            <w:hideMark/>
          </w:tcPr>
          <w:p w14:paraId="16425A1C" w14:textId="1293CF9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54,4</w:t>
            </w:r>
          </w:p>
        </w:tc>
        <w:tc>
          <w:tcPr>
            <w:tcW w:w="864" w:type="dxa"/>
            <w:tcBorders>
              <w:top w:val="nil"/>
              <w:left w:val="nil"/>
              <w:bottom w:val="nil"/>
              <w:right w:val="nil"/>
            </w:tcBorders>
            <w:shd w:val="clear" w:color="auto" w:fill="auto"/>
            <w:noWrap/>
            <w:vAlign w:val="center"/>
            <w:hideMark/>
          </w:tcPr>
          <w:p w14:paraId="0A879148" w14:textId="3F8BC47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44,4</w:t>
            </w:r>
          </w:p>
        </w:tc>
        <w:tc>
          <w:tcPr>
            <w:tcW w:w="799" w:type="dxa"/>
            <w:tcBorders>
              <w:top w:val="nil"/>
              <w:left w:val="nil"/>
              <w:bottom w:val="nil"/>
              <w:right w:val="single" w:sz="4" w:space="0" w:color="auto"/>
            </w:tcBorders>
            <w:shd w:val="clear" w:color="auto" w:fill="auto"/>
            <w:noWrap/>
            <w:vAlign w:val="center"/>
            <w:hideMark/>
          </w:tcPr>
          <w:p w14:paraId="0DDD37F9" w14:textId="00EE9163" w:rsidR="00C061D1" w:rsidRPr="00E03AC1" w:rsidRDefault="00C061D1" w:rsidP="00C061D1">
            <w:pPr>
              <w:tabs>
                <w:tab w:val="decimal" w:pos="230"/>
              </w:tabs>
              <w:spacing w:after="0" w:line="240" w:lineRule="auto"/>
              <w:ind w:right="32" w:firstLineChars="100" w:firstLine="200"/>
              <w:jc w:val="right"/>
              <w:rPr>
                <w:color w:val="FF0000"/>
                <w:sz w:val="20"/>
                <w:szCs w:val="20"/>
                <w:lang w:eastAsia="sk-SK"/>
              </w:rPr>
            </w:pPr>
            <w:r>
              <w:rPr>
                <w:color w:val="00B050"/>
                <w:sz w:val="20"/>
                <w:szCs w:val="20"/>
              </w:rPr>
              <w:t>-10,0</w:t>
            </w:r>
          </w:p>
        </w:tc>
      </w:tr>
      <w:tr w:rsidR="00C061D1" w:rsidRPr="00E03AC1" w14:paraId="3D3F0F25"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26C8409C" w14:textId="59328554" w:rsidR="00C061D1" w:rsidRPr="00E03AC1" w:rsidRDefault="00C061D1" w:rsidP="00C061D1">
            <w:pPr>
              <w:spacing w:after="0" w:line="240" w:lineRule="auto"/>
              <w:rPr>
                <w:sz w:val="20"/>
                <w:szCs w:val="20"/>
                <w:lang w:eastAsia="sk-SK"/>
              </w:rPr>
            </w:pPr>
            <w:r>
              <w:rPr>
                <w:sz w:val="20"/>
                <w:szCs w:val="20"/>
              </w:rPr>
              <w:t>Luxembursko</w:t>
            </w:r>
          </w:p>
        </w:tc>
        <w:tc>
          <w:tcPr>
            <w:tcW w:w="764" w:type="dxa"/>
            <w:tcBorders>
              <w:top w:val="nil"/>
              <w:left w:val="nil"/>
              <w:bottom w:val="nil"/>
              <w:right w:val="nil"/>
            </w:tcBorders>
            <w:shd w:val="clear" w:color="auto" w:fill="auto"/>
            <w:noWrap/>
            <w:vAlign w:val="center"/>
            <w:hideMark/>
          </w:tcPr>
          <w:p w14:paraId="6B6364EE" w14:textId="48ED9C1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-3,4</w:t>
            </w:r>
          </w:p>
        </w:tc>
        <w:tc>
          <w:tcPr>
            <w:tcW w:w="826" w:type="dxa"/>
            <w:tcBorders>
              <w:top w:val="nil"/>
              <w:left w:val="nil"/>
              <w:bottom w:val="nil"/>
              <w:right w:val="nil"/>
            </w:tcBorders>
            <w:shd w:val="clear" w:color="auto" w:fill="auto"/>
            <w:noWrap/>
            <w:vAlign w:val="center"/>
            <w:hideMark/>
          </w:tcPr>
          <w:p w14:paraId="5F23EA82" w14:textId="5A5D212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0,6</w:t>
            </w:r>
          </w:p>
        </w:tc>
        <w:tc>
          <w:tcPr>
            <w:tcW w:w="742" w:type="dxa"/>
            <w:tcBorders>
              <w:top w:val="nil"/>
              <w:left w:val="nil"/>
              <w:bottom w:val="nil"/>
              <w:right w:val="nil"/>
            </w:tcBorders>
            <w:shd w:val="clear" w:color="auto" w:fill="auto"/>
            <w:noWrap/>
            <w:vAlign w:val="center"/>
            <w:hideMark/>
          </w:tcPr>
          <w:p w14:paraId="7FE8545D" w14:textId="14C0DE2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-0,3</w:t>
            </w:r>
          </w:p>
        </w:tc>
        <w:tc>
          <w:tcPr>
            <w:tcW w:w="728" w:type="dxa"/>
            <w:tcBorders>
              <w:top w:val="nil"/>
              <w:left w:val="nil"/>
              <w:bottom w:val="nil"/>
              <w:right w:val="nil"/>
            </w:tcBorders>
            <w:shd w:val="clear" w:color="auto" w:fill="auto"/>
            <w:noWrap/>
            <w:vAlign w:val="center"/>
            <w:hideMark/>
          </w:tcPr>
          <w:p w14:paraId="0EF97D82" w14:textId="212C5B4E" w:rsidR="00C061D1" w:rsidRPr="00E03AC1" w:rsidRDefault="00C061D1" w:rsidP="00C061D1">
            <w:pPr>
              <w:spacing w:after="0" w:line="240" w:lineRule="auto"/>
              <w:ind w:firstLineChars="100" w:firstLine="200"/>
              <w:jc w:val="center"/>
              <w:rPr>
                <w:color w:val="00B050"/>
                <w:sz w:val="20"/>
                <w:szCs w:val="20"/>
                <w:lang w:eastAsia="sk-SK"/>
              </w:rPr>
            </w:pPr>
            <w:r>
              <w:rPr>
                <w:color w:val="FF0000"/>
                <w:sz w:val="20"/>
                <w:szCs w:val="20"/>
              </w:rPr>
              <w:t>-0,9</w:t>
            </w:r>
          </w:p>
        </w:tc>
        <w:tc>
          <w:tcPr>
            <w:tcW w:w="1453" w:type="dxa"/>
            <w:tcBorders>
              <w:top w:val="nil"/>
              <w:left w:val="single" w:sz="4" w:space="0" w:color="auto"/>
              <w:bottom w:val="nil"/>
              <w:right w:val="nil"/>
            </w:tcBorders>
            <w:shd w:val="clear" w:color="auto" w:fill="auto"/>
            <w:noWrap/>
            <w:vAlign w:val="center"/>
            <w:hideMark/>
          </w:tcPr>
          <w:p w14:paraId="1450924F" w14:textId="1330BCFD" w:rsidR="00C061D1" w:rsidRPr="00E03AC1" w:rsidRDefault="00C061D1" w:rsidP="00C061D1">
            <w:pPr>
              <w:spacing w:after="0" w:line="240" w:lineRule="auto"/>
              <w:rPr>
                <w:sz w:val="20"/>
                <w:szCs w:val="20"/>
                <w:lang w:eastAsia="sk-SK"/>
              </w:rPr>
            </w:pPr>
            <w:r>
              <w:rPr>
                <w:sz w:val="20"/>
                <w:szCs w:val="20"/>
              </w:rPr>
              <w:t>Česká republika</w:t>
            </w:r>
          </w:p>
        </w:tc>
        <w:tc>
          <w:tcPr>
            <w:tcW w:w="843" w:type="dxa"/>
            <w:tcBorders>
              <w:top w:val="nil"/>
              <w:left w:val="nil"/>
              <w:bottom w:val="nil"/>
              <w:right w:val="nil"/>
            </w:tcBorders>
            <w:shd w:val="clear" w:color="auto" w:fill="auto"/>
            <w:noWrap/>
            <w:vAlign w:val="center"/>
            <w:hideMark/>
          </w:tcPr>
          <w:p w14:paraId="7209AF5F" w14:textId="524C109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37,7</w:t>
            </w:r>
          </w:p>
        </w:tc>
        <w:tc>
          <w:tcPr>
            <w:tcW w:w="843" w:type="dxa"/>
            <w:tcBorders>
              <w:top w:val="nil"/>
              <w:left w:val="nil"/>
              <w:bottom w:val="nil"/>
              <w:right w:val="nil"/>
            </w:tcBorders>
            <w:shd w:val="clear" w:color="auto" w:fill="auto"/>
            <w:noWrap/>
            <w:vAlign w:val="center"/>
            <w:hideMark/>
          </w:tcPr>
          <w:p w14:paraId="7899C512" w14:textId="57D61E8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42,0</w:t>
            </w:r>
          </w:p>
        </w:tc>
        <w:tc>
          <w:tcPr>
            <w:tcW w:w="864" w:type="dxa"/>
            <w:tcBorders>
              <w:top w:val="nil"/>
              <w:left w:val="nil"/>
              <w:bottom w:val="nil"/>
              <w:right w:val="nil"/>
            </w:tcBorders>
            <w:shd w:val="clear" w:color="auto" w:fill="auto"/>
            <w:noWrap/>
            <w:vAlign w:val="center"/>
            <w:hideMark/>
          </w:tcPr>
          <w:p w14:paraId="3E2A4398" w14:textId="5647705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44,2</w:t>
            </w:r>
          </w:p>
        </w:tc>
        <w:tc>
          <w:tcPr>
            <w:tcW w:w="799" w:type="dxa"/>
            <w:tcBorders>
              <w:top w:val="nil"/>
              <w:left w:val="nil"/>
              <w:bottom w:val="nil"/>
              <w:right w:val="single" w:sz="4" w:space="0" w:color="auto"/>
            </w:tcBorders>
            <w:shd w:val="clear" w:color="auto" w:fill="auto"/>
            <w:noWrap/>
            <w:vAlign w:val="center"/>
            <w:hideMark/>
          </w:tcPr>
          <w:p w14:paraId="766FE207" w14:textId="6CB873D7"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FF0000"/>
                <w:sz w:val="20"/>
                <w:szCs w:val="20"/>
              </w:rPr>
              <w:t>2,2</w:t>
            </w:r>
          </w:p>
        </w:tc>
      </w:tr>
      <w:tr w:rsidR="00C061D1" w:rsidRPr="00E03AC1" w14:paraId="601682FA"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3734C7CC" w14:textId="46934F7F" w:rsidR="00C061D1" w:rsidRPr="00E03AC1" w:rsidRDefault="00C061D1" w:rsidP="00C061D1">
            <w:pPr>
              <w:spacing w:after="0" w:line="240" w:lineRule="auto"/>
              <w:rPr>
                <w:sz w:val="20"/>
                <w:szCs w:val="20"/>
                <w:lang w:eastAsia="sk-SK"/>
              </w:rPr>
            </w:pPr>
            <w:r>
              <w:rPr>
                <w:sz w:val="20"/>
                <w:szCs w:val="20"/>
              </w:rPr>
              <w:t>Portugalsko</w:t>
            </w:r>
          </w:p>
        </w:tc>
        <w:tc>
          <w:tcPr>
            <w:tcW w:w="764" w:type="dxa"/>
            <w:tcBorders>
              <w:top w:val="nil"/>
              <w:left w:val="nil"/>
              <w:bottom w:val="nil"/>
              <w:right w:val="nil"/>
            </w:tcBorders>
            <w:shd w:val="clear" w:color="auto" w:fill="auto"/>
            <w:noWrap/>
            <w:vAlign w:val="center"/>
            <w:hideMark/>
          </w:tcPr>
          <w:p w14:paraId="7EE1B047" w14:textId="4B60010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-5,8</w:t>
            </w:r>
          </w:p>
        </w:tc>
        <w:tc>
          <w:tcPr>
            <w:tcW w:w="826" w:type="dxa"/>
            <w:tcBorders>
              <w:top w:val="nil"/>
              <w:left w:val="nil"/>
              <w:bottom w:val="nil"/>
              <w:right w:val="nil"/>
            </w:tcBorders>
            <w:shd w:val="clear" w:color="auto" w:fill="auto"/>
            <w:noWrap/>
            <w:vAlign w:val="center"/>
            <w:hideMark/>
          </w:tcPr>
          <w:p w14:paraId="33348576" w14:textId="760CA43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-2,9</w:t>
            </w:r>
          </w:p>
        </w:tc>
        <w:tc>
          <w:tcPr>
            <w:tcW w:w="742" w:type="dxa"/>
            <w:tcBorders>
              <w:top w:val="nil"/>
              <w:left w:val="nil"/>
              <w:bottom w:val="nil"/>
              <w:right w:val="nil"/>
            </w:tcBorders>
            <w:shd w:val="clear" w:color="auto" w:fill="auto"/>
            <w:noWrap/>
            <w:vAlign w:val="center"/>
            <w:hideMark/>
          </w:tcPr>
          <w:p w14:paraId="00F0C87A" w14:textId="1DCEEA5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-0,3</w:t>
            </w:r>
          </w:p>
        </w:tc>
        <w:tc>
          <w:tcPr>
            <w:tcW w:w="728" w:type="dxa"/>
            <w:tcBorders>
              <w:top w:val="nil"/>
              <w:left w:val="nil"/>
              <w:bottom w:val="nil"/>
              <w:right w:val="nil"/>
            </w:tcBorders>
            <w:shd w:val="clear" w:color="auto" w:fill="auto"/>
            <w:noWrap/>
            <w:vAlign w:val="center"/>
            <w:hideMark/>
          </w:tcPr>
          <w:p w14:paraId="3047A42C" w14:textId="76DA2523"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2,6</w:t>
            </w:r>
          </w:p>
        </w:tc>
        <w:tc>
          <w:tcPr>
            <w:tcW w:w="1453" w:type="dxa"/>
            <w:tcBorders>
              <w:top w:val="nil"/>
              <w:left w:val="single" w:sz="4" w:space="0" w:color="auto"/>
              <w:bottom w:val="nil"/>
              <w:right w:val="nil"/>
            </w:tcBorders>
            <w:shd w:val="clear" w:color="auto" w:fill="auto"/>
            <w:noWrap/>
            <w:vAlign w:val="center"/>
            <w:hideMark/>
          </w:tcPr>
          <w:p w14:paraId="4771FA23" w14:textId="028A652F" w:rsidR="00C061D1" w:rsidRPr="00E03AC1" w:rsidRDefault="00C061D1" w:rsidP="00C061D1">
            <w:pPr>
              <w:spacing w:after="0" w:line="240" w:lineRule="auto"/>
              <w:rPr>
                <w:sz w:val="20"/>
                <w:szCs w:val="20"/>
                <w:lang w:eastAsia="sk-SK"/>
              </w:rPr>
            </w:pPr>
            <w:r>
              <w:rPr>
                <w:sz w:val="20"/>
                <w:szCs w:val="20"/>
              </w:rPr>
              <w:t>Lotyšsko</w:t>
            </w:r>
          </w:p>
        </w:tc>
        <w:tc>
          <w:tcPr>
            <w:tcW w:w="843" w:type="dxa"/>
            <w:tcBorders>
              <w:top w:val="nil"/>
              <w:left w:val="nil"/>
              <w:bottom w:val="nil"/>
              <w:right w:val="nil"/>
            </w:tcBorders>
            <w:shd w:val="clear" w:color="auto" w:fill="auto"/>
            <w:noWrap/>
            <w:vAlign w:val="center"/>
            <w:hideMark/>
          </w:tcPr>
          <w:p w14:paraId="7A95E0FF" w14:textId="65C7C56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42,2</w:t>
            </w:r>
          </w:p>
        </w:tc>
        <w:tc>
          <w:tcPr>
            <w:tcW w:w="843" w:type="dxa"/>
            <w:tcBorders>
              <w:top w:val="nil"/>
              <w:left w:val="nil"/>
              <w:bottom w:val="nil"/>
              <w:right w:val="nil"/>
            </w:tcBorders>
            <w:shd w:val="clear" w:color="auto" w:fill="auto"/>
            <w:noWrap/>
            <w:vAlign w:val="center"/>
            <w:hideMark/>
          </w:tcPr>
          <w:p w14:paraId="62E59BB5" w14:textId="66E84A7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44,0</w:t>
            </w:r>
          </w:p>
        </w:tc>
        <w:tc>
          <w:tcPr>
            <w:tcW w:w="864" w:type="dxa"/>
            <w:tcBorders>
              <w:top w:val="nil"/>
              <w:left w:val="nil"/>
              <w:bottom w:val="nil"/>
              <w:right w:val="nil"/>
            </w:tcBorders>
            <w:shd w:val="clear" w:color="auto" w:fill="auto"/>
            <w:noWrap/>
            <w:vAlign w:val="center"/>
            <w:hideMark/>
          </w:tcPr>
          <w:p w14:paraId="1D935F60" w14:textId="001A006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41,0</w:t>
            </w:r>
          </w:p>
        </w:tc>
        <w:tc>
          <w:tcPr>
            <w:tcW w:w="799" w:type="dxa"/>
            <w:tcBorders>
              <w:top w:val="nil"/>
              <w:left w:val="nil"/>
              <w:bottom w:val="nil"/>
              <w:right w:val="single" w:sz="4" w:space="0" w:color="auto"/>
            </w:tcBorders>
            <w:shd w:val="clear" w:color="auto" w:fill="auto"/>
            <w:noWrap/>
            <w:vAlign w:val="center"/>
            <w:hideMark/>
          </w:tcPr>
          <w:p w14:paraId="39BE9994" w14:textId="0001A6D1" w:rsidR="00C061D1" w:rsidRPr="00E03AC1" w:rsidRDefault="00C061D1" w:rsidP="00C061D1">
            <w:pPr>
              <w:tabs>
                <w:tab w:val="decimal" w:pos="230"/>
              </w:tabs>
              <w:spacing w:after="0" w:line="240" w:lineRule="auto"/>
              <w:ind w:right="32" w:firstLineChars="100" w:firstLine="200"/>
              <w:jc w:val="right"/>
              <w:rPr>
                <w:color w:val="FF0000"/>
                <w:sz w:val="20"/>
                <w:szCs w:val="20"/>
                <w:lang w:eastAsia="sk-SK"/>
              </w:rPr>
            </w:pPr>
            <w:r>
              <w:rPr>
                <w:color w:val="00B050"/>
                <w:sz w:val="20"/>
                <w:szCs w:val="20"/>
              </w:rPr>
              <w:t>-3,0</w:t>
            </w:r>
          </w:p>
        </w:tc>
      </w:tr>
      <w:tr w:rsidR="00C061D1" w:rsidRPr="00E03AC1" w14:paraId="34F71346"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5AABA435" w14:textId="1EFE8328" w:rsidR="00C061D1" w:rsidRPr="00E03AC1" w:rsidRDefault="00C061D1" w:rsidP="00C061D1">
            <w:pPr>
              <w:spacing w:after="0" w:line="240" w:lineRule="auto"/>
              <w:rPr>
                <w:sz w:val="20"/>
                <w:szCs w:val="20"/>
                <w:lang w:eastAsia="sk-SK"/>
              </w:rPr>
            </w:pPr>
            <w:r>
              <w:rPr>
                <w:sz w:val="20"/>
                <w:szCs w:val="20"/>
              </w:rPr>
              <w:t>Holandsko</w:t>
            </w:r>
          </w:p>
        </w:tc>
        <w:tc>
          <w:tcPr>
            <w:tcW w:w="764" w:type="dxa"/>
            <w:tcBorders>
              <w:top w:val="nil"/>
              <w:left w:val="nil"/>
              <w:bottom w:val="nil"/>
              <w:right w:val="nil"/>
            </w:tcBorders>
            <w:shd w:val="clear" w:color="auto" w:fill="auto"/>
            <w:noWrap/>
            <w:vAlign w:val="center"/>
            <w:hideMark/>
          </w:tcPr>
          <w:p w14:paraId="05C77AF8" w14:textId="35F7080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-3,7</w:t>
            </w:r>
          </w:p>
        </w:tc>
        <w:tc>
          <w:tcPr>
            <w:tcW w:w="826" w:type="dxa"/>
            <w:tcBorders>
              <w:top w:val="nil"/>
              <w:left w:val="nil"/>
              <w:bottom w:val="nil"/>
              <w:right w:val="nil"/>
            </w:tcBorders>
            <w:shd w:val="clear" w:color="auto" w:fill="auto"/>
            <w:noWrap/>
            <w:vAlign w:val="center"/>
            <w:hideMark/>
          </w:tcPr>
          <w:p w14:paraId="50C53D48" w14:textId="469405B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-2,2</w:t>
            </w:r>
          </w:p>
        </w:tc>
        <w:tc>
          <w:tcPr>
            <w:tcW w:w="742" w:type="dxa"/>
            <w:tcBorders>
              <w:top w:val="nil"/>
              <w:left w:val="nil"/>
              <w:bottom w:val="nil"/>
              <w:right w:val="nil"/>
            </w:tcBorders>
            <w:shd w:val="clear" w:color="auto" w:fill="auto"/>
            <w:noWrap/>
            <w:vAlign w:val="center"/>
            <w:hideMark/>
          </w:tcPr>
          <w:p w14:paraId="39CCCE0C" w14:textId="5764F9E9"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-0,1</w:t>
            </w:r>
          </w:p>
        </w:tc>
        <w:tc>
          <w:tcPr>
            <w:tcW w:w="728" w:type="dxa"/>
            <w:tcBorders>
              <w:top w:val="nil"/>
              <w:left w:val="nil"/>
              <w:bottom w:val="nil"/>
              <w:right w:val="nil"/>
            </w:tcBorders>
            <w:shd w:val="clear" w:color="auto" w:fill="auto"/>
            <w:noWrap/>
            <w:vAlign w:val="center"/>
            <w:hideMark/>
          </w:tcPr>
          <w:p w14:paraId="01096281" w14:textId="071AD447"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2,1</w:t>
            </w:r>
          </w:p>
        </w:tc>
        <w:tc>
          <w:tcPr>
            <w:tcW w:w="1453" w:type="dxa"/>
            <w:tcBorders>
              <w:top w:val="nil"/>
              <w:left w:val="single" w:sz="4" w:space="0" w:color="auto"/>
              <w:bottom w:val="nil"/>
              <w:right w:val="nil"/>
            </w:tcBorders>
            <w:shd w:val="clear" w:color="auto" w:fill="auto"/>
            <w:noWrap/>
            <w:vAlign w:val="center"/>
            <w:hideMark/>
          </w:tcPr>
          <w:p w14:paraId="60148E8E" w14:textId="1806CEB7" w:rsidR="00C061D1" w:rsidRPr="00E03AC1" w:rsidRDefault="00C061D1" w:rsidP="00C061D1">
            <w:pPr>
              <w:spacing w:after="0" w:line="240" w:lineRule="auto"/>
              <w:ind w:right="-209"/>
              <w:rPr>
                <w:sz w:val="20"/>
                <w:szCs w:val="20"/>
                <w:lang w:eastAsia="sk-SK"/>
              </w:rPr>
            </w:pPr>
            <w:r>
              <w:rPr>
                <w:sz w:val="20"/>
                <w:szCs w:val="20"/>
              </w:rPr>
              <w:t>Litva</w:t>
            </w:r>
          </w:p>
        </w:tc>
        <w:tc>
          <w:tcPr>
            <w:tcW w:w="843" w:type="dxa"/>
            <w:tcBorders>
              <w:top w:val="nil"/>
              <w:left w:val="nil"/>
              <w:bottom w:val="nil"/>
              <w:right w:val="nil"/>
            </w:tcBorders>
            <w:shd w:val="clear" w:color="auto" w:fill="auto"/>
            <w:noWrap/>
            <w:vAlign w:val="center"/>
            <w:hideMark/>
          </w:tcPr>
          <w:p w14:paraId="0FADD76C" w14:textId="06CBDBA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46,2</w:t>
            </w:r>
          </w:p>
        </w:tc>
        <w:tc>
          <w:tcPr>
            <w:tcW w:w="843" w:type="dxa"/>
            <w:tcBorders>
              <w:top w:val="nil"/>
              <w:left w:val="nil"/>
              <w:bottom w:val="nil"/>
              <w:right w:val="nil"/>
            </w:tcBorders>
            <w:shd w:val="clear" w:color="auto" w:fill="auto"/>
            <w:noWrap/>
            <w:vAlign w:val="center"/>
            <w:hideMark/>
          </w:tcPr>
          <w:p w14:paraId="1B2E1684" w14:textId="3A6BF99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43,4</w:t>
            </w:r>
          </w:p>
        </w:tc>
        <w:tc>
          <w:tcPr>
            <w:tcW w:w="864" w:type="dxa"/>
            <w:tcBorders>
              <w:top w:val="nil"/>
              <w:left w:val="nil"/>
              <w:bottom w:val="nil"/>
              <w:right w:val="nil"/>
            </w:tcBorders>
            <w:shd w:val="clear" w:color="auto" w:fill="auto"/>
            <w:noWrap/>
            <w:vAlign w:val="center"/>
            <w:hideMark/>
          </w:tcPr>
          <w:p w14:paraId="522275FB" w14:textId="7ABE9F8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38,1</w:t>
            </w:r>
          </w:p>
        </w:tc>
        <w:tc>
          <w:tcPr>
            <w:tcW w:w="799" w:type="dxa"/>
            <w:tcBorders>
              <w:top w:val="nil"/>
              <w:left w:val="nil"/>
              <w:bottom w:val="nil"/>
              <w:right w:val="single" w:sz="4" w:space="0" w:color="auto"/>
            </w:tcBorders>
            <w:shd w:val="clear" w:color="auto" w:fill="auto"/>
            <w:noWrap/>
            <w:vAlign w:val="center"/>
            <w:hideMark/>
          </w:tcPr>
          <w:p w14:paraId="0F150896" w14:textId="077B6E35" w:rsidR="00C061D1" w:rsidRPr="00E03AC1" w:rsidRDefault="00C061D1" w:rsidP="00C061D1">
            <w:pPr>
              <w:tabs>
                <w:tab w:val="decimal" w:pos="230"/>
              </w:tabs>
              <w:spacing w:after="0" w:line="240" w:lineRule="auto"/>
              <w:ind w:right="32" w:firstLineChars="100" w:firstLine="200"/>
              <w:jc w:val="right"/>
              <w:rPr>
                <w:color w:val="FF0000"/>
                <w:sz w:val="20"/>
                <w:szCs w:val="20"/>
                <w:lang w:eastAsia="sk-SK"/>
              </w:rPr>
            </w:pPr>
            <w:r>
              <w:rPr>
                <w:color w:val="00B050"/>
                <w:sz w:val="20"/>
                <w:szCs w:val="20"/>
              </w:rPr>
              <w:t>-5,3</w:t>
            </w:r>
          </w:p>
        </w:tc>
      </w:tr>
      <w:tr w:rsidR="00C061D1" w:rsidRPr="00E03AC1" w14:paraId="13C03884"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05AB216D" w14:textId="795AC8DD" w:rsidR="00C061D1" w:rsidRPr="00E03AC1" w:rsidRDefault="00C061D1" w:rsidP="00C061D1">
            <w:pPr>
              <w:spacing w:after="0" w:line="240" w:lineRule="auto"/>
              <w:rPr>
                <w:sz w:val="20"/>
                <w:szCs w:val="20"/>
                <w:lang w:eastAsia="sk-SK"/>
              </w:rPr>
            </w:pPr>
            <w:r>
              <w:rPr>
                <w:sz w:val="20"/>
                <w:szCs w:val="20"/>
              </w:rPr>
              <w:t>Chorvátsko</w:t>
            </w:r>
          </w:p>
        </w:tc>
        <w:tc>
          <w:tcPr>
            <w:tcW w:w="764" w:type="dxa"/>
            <w:tcBorders>
              <w:top w:val="nil"/>
              <w:left w:val="nil"/>
              <w:bottom w:val="nil"/>
              <w:right w:val="nil"/>
            </w:tcBorders>
            <w:shd w:val="clear" w:color="auto" w:fill="auto"/>
            <w:noWrap/>
            <w:vAlign w:val="center"/>
            <w:hideMark/>
          </w:tcPr>
          <w:p w14:paraId="112E0088" w14:textId="5729F34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-7,3</w:t>
            </w:r>
          </w:p>
        </w:tc>
        <w:tc>
          <w:tcPr>
            <w:tcW w:w="826" w:type="dxa"/>
            <w:tcBorders>
              <w:top w:val="nil"/>
              <w:left w:val="nil"/>
              <w:bottom w:val="nil"/>
              <w:right w:val="nil"/>
            </w:tcBorders>
            <w:shd w:val="clear" w:color="auto" w:fill="auto"/>
            <w:noWrap/>
            <w:vAlign w:val="center"/>
            <w:hideMark/>
          </w:tcPr>
          <w:p w14:paraId="2CD72225" w14:textId="13C32E2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-2,5</w:t>
            </w:r>
          </w:p>
        </w:tc>
        <w:tc>
          <w:tcPr>
            <w:tcW w:w="742" w:type="dxa"/>
            <w:tcBorders>
              <w:top w:val="nil"/>
              <w:left w:val="nil"/>
              <w:bottom w:val="nil"/>
              <w:right w:val="nil"/>
            </w:tcBorders>
            <w:shd w:val="clear" w:color="auto" w:fill="auto"/>
            <w:noWrap/>
            <w:vAlign w:val="center"/>
            <w:hideMark/>
          </w:tcPr>
          <w:p w14:paraId="5445BCE2" w14:textId="7D15831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0,1</w:t>
            </w:r>
          </w:p>
        </w:tc>
        <w:tc>
          <w:tcPr>
            <w:tcW w:w="728" w:type="dxa"/>
            <w:tcBorders>
              <w:top w:val="nil"/>
              <w:left w:val="nil"/>
              <w:bottom w:val="nil"/>
              <w:right w:val="nil"/>
            </w:tcBorders>
            <w:shd w:val="clear" w:color="auto" w:fill="auto"/>
            <w:noWrap/>
            <w:vAlign w:val="center"/>
            <w:hideMark/>
          </w:tcPr>
          <w:p w14:paraId="126C02F8" w14:textId="35520851"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2,6</w:t>
            </w:r>
          </w:p>
        </w:tc>
        <w:tc>
          <w:tcPr>
            <w:tcW w:w="1453" w:type="dxa"/>
            <w:tcBorders>
              <w:top w:val="nil"/>
              <w:left w:val="single" w:sz="4" w:space="0" w:color="auto"/>
              <w:bottom w:val="nil"/>
              <w:right w:val="nil"/>
            </w:tcBorders>
            <w:shd w:val="clear" w:color="auto" w:fill="auto"/>
            <w:noWrap/>
            <w:vAlign w:val="center"/>
            <w:hideMark/>
          </w:tcPr>
          <w:p w14:paraId="54BAA7E7" w14:textId="143C8851" w:rsidR="00C061D1" w:rsidRPr="00E03AC1" w:rsidRDefault="00C061D1" w:rsidP="00C061D1">
            <w:pPr>
              <w:spacing w:after="0" w:line="240" w:lineRule="auto"/>
              <w:rPr>
                <w:sz w:val="20"/>
                <w:szCs w:val="20"/>
                <w:lang w:eastAsia="sk-SK"/>
              </w:rPr>
            </w:pPr>
            <w:r>
              <w:rPr>
                <w:sz w:val="20"/>
                <w:szCs w:val="20"/>
              </w:rPr>
              <w:t>Švédsko</w:t>
            </w:r>
          </w:p>
        </w:tc>
        <w:tc>
          <w:tcPr>
            <w:tcW w:w="843" w:type="dxa"/>
            <w:tcBorders>
              <w:top w:val="nil"/>
              <w:left w:val="nil"/>
              <w:bottom w:val="nil"/>
              <w:right w:val="nil"/>
            </w:tcBorders>
            <w:shd w:val="clear" w:color="auto" w:fill="auto"/>
            <w:noWrap/>
            <w:vAlign w:val="center"/>
            <w:hideMark/>
          </w:tcPr>
          <w:p w14:paraId="17C83185" w14:textId="2E697B48"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39,9</w:t>
            </w:r>
          </w:p>
        </w:tc>
        <w:tc>
          <w:tcPr>
            <w:tcW w:w="843" w:type="dxa"/>
            <w:tcBorders>
              <w:top w:val="nil"/>
              <w:left w:val="nil"/>
              <w:bottom w:val="nil"/>
              <w:right w:val="nil"/>
            </w:tcBorders>
            <w:shd w:val="clear" w:color="auto" w:fill="auto"/>
            <w:noWrap/>
            <w:vAlign w:val="center"/>
            <w:hideMark/>
          </w:tcPr>
          <w:p w14:paraId="762084AB" w14:textId="08FDE4E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36,5</w:t>
            </w:r>
          </w:p>
        </w:tc>
        <w:tc>
          <w:tcPr>
            <w:tcW w:w="864" w:type="dxa"/>
            <w:tcBorders>
              <w:top w:val="nil"/>
              <w:left w:val="nil"/>
              <w:bottom w:val="nil"/>
              <w:right w:val="nil"/>
            </w:tcBorders>
            <w:shd w:val="clear" w:color="auto" w:fill="auto"/>
            <w:noWrap/>
            <w:vAlign w:val="center"/>
            <w:hideMark/>
          </w:tcPr>
          <w:p w14:paraId="588E8DA7" w14:textId="4E9CF56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32,9</w:t>
            </w:r>
          </w:p>
        </w:tc>
        <w:tc>
          <w:tcPr>
            <w:tcW w:w="799" w:type="dxa"/>
            <w:tcBorders>
              <w:top w:val="nil"/>
              <w:left w:val="nil"/>
              <w:bottom w:val="nil"/>
              <w:right w:val="single" w:sz="4" w:space="0" w:color="auto"/>
            </w:tcBorders>
            <w:shd w:val="clear" w:color="auto" w:fill="auto"/>
            <w:noWrap/>
            <w:vAlign w:val="center"/>
            <w:hideMark/>
          </w:tcPr>
          <w:p w14:paraId="6FDD317B" w14:textId="6EB76C8D"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-3,6</w:t>
            </w:r>
          </w:p>
        </w:tc>
      </w:tr>
      <w:tr w:rsidR="00C061D1" w:rsidRPr="00E03AC1" w14:paraId="7DF1CF2F"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5044EB1B" w14:textId="0F0EC79C" w:rsidR="00C061D1" w:rsidRPr="00E03AC1" w:rsidRDefault="00C061D1" w:rsidP="00C061D1">
            <w:pPr>
              <w:spacing w:after="0" w:line="240" w:lineRule="auto"/>
              <w:rPr>
                <w:sz w:val="20"/>
                <w:szCs w:val="20"/>
                <w:lang w:eastAsia="sk-SK"/>
              </w:rPr>
            </w:pPr>
            <w:r>
              <w:rPr>
                <w:sz w:val="20"/>
                <w:szCs w:val="20"/>
              </w:rPr>
              <w:t>Švédsko</w:t>
            </w:r>
          </w:p>
        </w:tc>
        <w:tc>
          <w:tcPr>
            <w:tcW w:w="764" w:type="dxa"/>
            <w:tcBorders>
              <w:top w:val="nil"/>
              <w:left w:val="nil"/>
              <w:bottom w:val="nil"/>
              <w:right w:val="nil"/>
            </w:tcBorders>
            <w:shd w:val="clear" w:color="auto" w:fill="auto"/>
            <w:noWrap/>
            <w:vAlign w:val="center"/>
            <w:hideMark/>
          </w:tcPr>
          <w:p w14:paraId="7EFC4BC3" w14:textId="07E4586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-2,8</w:t>
            </w:r>
          </w:p>
        </w:tc>
        <w:tc>
          <w:tcPr>
            <w:tcW w:w="826" w:type="dxa"/>
            <w:tcBorders>
              <w:top w:val="nil"/>
              <w:left w:val="nil"/>
              <w:bottom w:val="nil"/>
              <w:right w:val="nil"/>
            </w:tcBorders>
            <w:shd w:val="clear" w:color="auto" w:fill="auto"/>
            <w:noWrap/>
            <w:vAlign w:val="center"/>
            <w:hideMark/>
          </w:tcPr>
          <w:p w14:paraId="2FF379B1" w14:textId="7590ED71"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0,0</w:t>
            </w:r>
          </w:p>
        </w:tc>
        <w:tc>
          <w:tcPr>
            <w:tcW w:w="742" w:type="dxa"/>
            <w:tcBorders>
              <w:top w:val="nil"/>
              <w:left w:val="nil"/>
              <w:bottom w:val="nil"/>
              <w:right w:val="nil"/>
            </w:tcBorders>
            <w:shd w:val="clear" w:color="auto" w:fill="auto"/>
            <w:noWrap/>
            <w:vAlign w:val="center"/>
            <w:hideMark/>
          </w:tcPr>
          <w:p w14:paraId="2A904CE6" w14:textId="050E6FF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1,1</w:t>
            </w:r>
          </w:p>
        </w:tc>
        <w:tc>
          <w:tcPr>
            <w:tcW w:w="728" w:type="dxa"/>
            <w:tcBorders>
              <w:top w:val="nil"/>
              <w:left w:val="nil"/>
              <w:bottom w:val="nil"/>
              <w:right w:val="nil"/>
            </w:tcBorders>
            <w:shd w:val="clear" w:color="auto" w:fill="auto"/>
            <w:noWrap/>
            <w:vAlign w:val="center"/>
            <w:hideMark/>
          </w:tcPr>
          <w:p w14:paraId="7CE2E5F9" w14:textId="73FD5623"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1,1</w:t>
            </w:r>
          </w:p>
        </w:tc>
        <w:tc>
          <w:tcPr>
            <w:tcW w:w="1453" w:type="dxa"/>
            <w:tcBorders>
              <w:top w:val="nil"/>
              <w:left w:val="single" w:sz="4" w:space="0" w:color="auto"/>
              <w:bottom w:val="nil"/>
              <w:right w:val="nil"/>
            </w:tcBorders>
            <w:shd w:val="clear" w:color="auto" w:fill="auto"/>
            <w:noWrap/>
            <w:vAlign w:val="center"/>
            <w:hideMark/>
          </w:tcPr>
          <w:p w14:paraId="279D7A2B" w14:textId="6F4F2836" w:rsidR="00C061D1" w:rsidRPr="00E03AC1" w:rsidRDefault="00C061D1" w:rsidP="00C061D1">
            <w:pPr>
              <w:spacing w:after="0" w:line="240" w:lineRule="auto"/>
              <w:rPr>
                <w:sz w:val="20"/>
                <w:szCs w:val="20"/>
                <w:lang w:eastAsia="sk-SK"/>
              </w:rPr>
            </w:pPr>
            <w:r>
              <w:rPr>
                <w:sz w:val="20"/>
                <w:szCs w:val="20"/>
              </w:rPr>
              <w:t>Dánsko</w:t>
            </w:r>
          </w:p>
        </w:tc>
        <w:tc>
          <w:tcPr>
            <w:tcW w:w="843" w:type="dxa"/>
            <w:tcBorders>
              <w:top w:val="nil"/>
              <w:left w:val="nil"/>
              <w:bottom w:val="nil"/>
              <w:right w:val="nil"/>
            </w:tcBorders>
            <w:shd w:val="clear" w:color="auto" w:fill="auto"/>
            <w:noWrap/>
            <w:vAlign w:val="center"/>
            <w:hideMark/>
          </w:tcPr>
          <w:p w14:paraId="5F648F13" w14:textId="3E7E492D"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42,3</w:t>
            </w:r>
          </w:p>
        </w:tc>
        <w:tc>
          <w:tcPr>
            <w:tcW w:w="843" w:type="dxa"/>
            <w:tcBorders>
              <w:top w:val="nil"/>
              <w:left w:val="nil"/>
              <w:bottom w:val="nil"/>
              <w:right w:val="nil"/>
            </w:tcBorders>
            <w:shd w:val="clear" w:color="auto" w:fill="auto"/>
            <w:noWrap/>
            <w:vAlign w:val="center"/>
            <w:hideMark/>
          </w:tcPr>
          <w:p w14:paraId="2FD1A25F" w14:textId="1BDD427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36,0</w:t>
            </w:r>
          </w:p>
        </w:tc>
        <w:tc>
          <w:tcPr>
            <w:tcW w:w="864" w:type="dxa"/>
            <w:tcBorders>
              <w:top w:val="nil"/>
              <w:left w:val="nil"/>
              <w:bottom w:val="nil"/>
              <w:right w:val="nil"/>
            </w:tcBorders>
            <w:shd w:val="clear" w:color="auto" w:fill="auto"/>
            <w:noWrap/>
            <w:vAlign w:val="center"/>
            <w:hideMark/>
          </w:tcPr>
          <w:p w14:paraId="184EE185" w14:textId="15EB1A76"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29,8</w:t>
            </w:r>
          </w:p>
        </w:tc>
        <w:tc>
          <w:tcPr>
            <w:tcW w:w="799" w:type="dxa"/>
            <w:tcBorders>
              <w:top w:val="nil"/>
              <w:left w:val="nil"/>
              <w:bottom w:val="nil"/>
              <w:right w:val="single" w:sz="4" w:space="0" w:color="auto"/>
            </w:tcBorders>
            <w:shd w:val="clear" w:color="auto" w:fill="auto"/>
            <w:noWrap/>
            <w:vAlign w:val="center"/>
            <w:hideMark/>
          </w:tcPr>
          <w:p w14:paraId="252E57FA" w14:textId="286D03A1"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-6,2</w:t>
            </w:r>
          </w:p>
        </w:tc>
      </w:tr>
      <w:tr w:rsidR="00C061D1" w:rsidRPr="00E03AC1" w14:paraId="30292250"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40A63536" w14:textId="6B5F6A0C" w:rsidR="00C061D1" w:rsidRPr="00E03AC1" w:rsidRDefault="00C061D1" w:rsidP="00C061D1">
            <w:pPr>
              <w:spacing w:after="0" w:line="240" w:lineRule="auto"/>
              <w:rPr>
                <w:sz w:val="20"/>
                <w:szCs w:val="20"/>
                <w:lang w:eastAsia="sk-SK"/>
              </w:rPr>
            </w:pPr>
            <w:r>
              <w:rPr>
                <w:sz w:val="20"/>
                <w:szCs w:val="20"/>
              </w:rPr>
              <w:t>Írsko</w:t>
            </w:r>
          </w:p>
        </w:tc>
        <w:tc>
          <w:tcPr>
            <w:tcW w:w="764" w:type="dxa"/>
            <w:tcBorders>
              <w:top w:val="nil"/>
              <w:left w:val="nil"/>
              <w:bottom w:val="nil"/>
              <w:right w:val="nil"/>
            </w:tcBorders>
            <w:shd w:val="clear" w:color="auto" w:fill="auto"/>
            <w:noWrap/>
            <w:vAlign w:val="center"/>
            <w:hideMark/>
          </w:tcPr>
          <w:p w14:paraId="43542B43" w14:textId="7624E59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-5,0</w:t>
            </w:r>
          </w:p>
        </w:tc>
        <w:tc>
          <w:tcPr>
            <w:tcW w:w="826" w:type="dxa"/>
            <w:tcBorders>
              <w:top w:val="nil"/>
              <w:left w:val="nil"/>
              <w:bottom w:val="nil"/>
              <w:right w:val="nil"/>
            </w:tcBorders>
            <w:shd w:val="clear" w:color="auto" w:fill="auto"/>
            <w:noWrap/>
            <w:vAlign w:val="center"/>
            <w:hideMark/>
          </w:tcPr>
          <w:p w14:paraId="0F0C9098" w14:textId="004D398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-1,5</w:t>
            </w:r>
          </w:p>
        </w:tc>
        <w:tc>
          <w:tcPr>
            <w:tcW w:w="742" w:type="dxa"/>
            <w:tcBorders>
              <w:top w:val="nil"/>
              <w:left w:val="nil"/>
              <w:bottom w:val="nil"/>
              <w:right w:val="nil"/>
            </w:tcBorders>
            <w:shd w:val="clear" w:color="auto" w:fill="auto"/>
            <w:noWrap/>
            <w:vAlign w:val="center"/>
            <w:hideMark/>
          </w:tcPr>
          <w:p w14:paraId="7013D63B" w14:textId="3B3FEA2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1,7</w:t>
            </w:r>
          </w:p>
        </w:tc>
        <w:tc>
          <w:tcPr>
            <w:tcW w:w="728" w:type="dxa"/>
            <w:tcBorders>
              <w:top w:val="nil"/>
              <w:left w:val="nil"/>
              <w:bottom w:val="nil"/>
              <w:right w:val="nil"/>
            </w:tcBorders>
            <w:shd w:val="clear" w:color="auto" w:fill="auto"/>
            <w:noWrap/>
            <w:vAlign w:val="center"/>
            <w:hideMark/>
          </w:tcPr>
          <w:p w14:paraId="440E8C6B" w14:textId="15E09FD3"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3,2</w:t>
            </w:r>
          </w:p>
        </w:tc>
        <w:tc>
          <w:tcPr>
            <w:tcW w:w="1453" w:type="dxa"/>
            <w:tcBorders>
              <w:top w:val="nil"/>
              <w:left w:val="single" w:sz="4" w:space="0" w:color="auto"/>
              <w:bottom w:val="nil"/>
              <w:right w:val="nil"/>
            </w:tcBorders>
            <w:shd w:val="clear" w:color="auto" w:fill="auto"/>
            <w:noWrap/>
            <w:vAlign w:val="center"/>
            <w:hideMark/>
          </w:tcPr>
          <w:p w14:paraId="7D2DCFCA" w14:textId="68F16684" w:rsidR="00C061D1" w:rsidRPr="00E03AC1" w:rsidRDefault="00C061D1" w:rsidP="00C061D1">
            <w:pPr>
              <w:spacing w:after="0" w:line="240" w:lineRule="auto"/>
              <w:rPr>
                <w:sz w:val="20"/>
                <w:szCs w:val="20"/>
                <w:lang w:eastAsia="sk-SK"/>
              </w:rPr>
            </w:pPr>
            <w:r>
              <w:rPr>
                <w:sz w:val="20"/>
                <w:szCs w:val="20"/>
              </w:rPr>
              <w:t>Luxembursko</w:t>
            </w:r>
          </w:p>
        </w:tc>
        <w:tc>
          <w:tcPr>
            <w:tcW w:w="843" w:type="dxa"/>
            <w:tcBorders>
              <w:top w:val="nil"/>
              <w:left w:val="nil"/>
              <w:bottom w:val="nil"/>
              <w:right w:val="nil"/>
            </w:tcBorders>
            <w:shd w:val="clear" w:color="auto" w:fill="auto"/>
            <w:noWrap/>
            <w:vAlign w:val="center"/>
            <w:hideMark/>
          </w:tcPr>
          <w:p w14:paraId="6189804D" w14:textId="07F6371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24,6</w:t>
            </w:r>
          </w:p>
        </w:tc>
        <w:tc>
          <w:tcPr>
            <w:tcW w:w="843" w:type="dxa"/>
            <w:tcBorders>
              <w:top w:val="nil"/>
              <w:left w:val="nil"/>
              <w:bottom w:val="nil"/>
              <w:right w:val="nil"/>
            </w:tcBorders>
            <w:shd w:val="clear" w:color="auto" w:fill="auto"/>
            <w:noWrap/>
            <w:vAlign w:val="center"/>
            <w:hideMark/>
          </w:tcPr>
          <w:p w14:paraId="730BF6FE" w14:textId="4E13AA4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24,5</w:t>
            </w:r>
          </w:p>
        </w:tc>
        <w:tc>
          <w:tcPr>
            <w:tcW w:w="864" w:type="dxa"/>
            <w:tcBorders>
              <w:top w:val="nil"/>
              <w:left w:val="nil"/>
              <w:bottom w:val="nil"/>
              <w:right w:val="nil"/>
            </w:tcBorders>
            <w:shd w:val="clear" w:color="auto" w:fill="auto"/>
            <w:noWrap/>
            <w:vAlign w:val="center"/>
            <w:hideMark/>
          </w:tcPr>
          <w:p w14:paraId="2D0F5321" w14:textId="431B019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24,7</w:t>
            </w:r>
          </w:p>
        </w:tc>
        <w:tc>
          <w:tcPr>
            <w:tcW w:w="799" w:type="dxa"/>
            <w:tcBorders>
              <w:top w:val="nil"/>
              <w:left w:val="nil"/>
              <w:bottom w:val="nil"/>
              <w:right w:val="single" w:sz="4" w:space="0" w:color="auto"/>
            </w:tcBorders>
            <w:shd w:val="clear" w:color="auto" w:fill="auto"/>
            <w:noWrap/>
            <w:vAlign w:val="center"/>
            <w:hideMark/>
          </w:tcPr>
          <w:p w14:paraId="3FF4DF59" w14:textId="29ECA2FD" w:rsidR="00C061D1" w:rsidRPr="00E03AC1" w:rsidRDefault="00C061D1" w:rsidP="00C061D1">
            <w:pPr>
              <w:tabs>
                <w:tab w:val="decimal" w:pos="230"/>
              </w:tabs>
              <w:spacing w:after="0" w:line="240" w:lineRule="auto"/>
              <w:ind w:right="32" w:firstLineChars="100" w:firstLine="200"/>
              <w:jc w:val="right"/>
              <w:rPr>
                <w:color w:val="000000"/>
                <w:sz w:val="20"/>
                <w:szCs w:val="20"/>
                <w:lang w:eastAsia="sk-SK"/>
              </w:rPr>
            </w:pPr>
            <w:r>
              <w:rPr>
                <w:color w:val="FF0000"/>
                <w:sz w:val="20"/>
                <w:szCs w:val="20"/>
              </w:rPr>
              <w:t>0,2</w:t>
            </w:r>
          </w:p>
        </w:tc>
      </w:tr>
      <w:tr w:rsidR="00C061D1" w:rsidRPr="00E03AC1" w14:paraId="6EE40452" w14:textId="77777777" w:rsidTr="002847E9">
        <w:trPr>
          <w:trHeight w:val="307"/>
        </w:trPr>
        <w:tc>
          <w:tcPr>
            <w:tcW w:w="1542" w:type="dxa"/>
            <w:tcBorders>
              <w:top w:val="nil"/>
              <w:left w:val="single" w:sz="4" w:space="0" w:color="auto"/>
              <w:bottom w:val="nil"/>
              <w:right w:val="nil"/>
            </w:tcBorders>
            <w:shd w:val="clear" w:color="auto" w:fill="auto"/>
            <w:noWrap/>
            <w:vAlign w:val="center"/>
            <w:hideMark/>
          </w:tcPr>
          <w:p w14:paraId="35162DC1" w14:textId="30DB32E3" w:rsidR="00C061D1" w:rsidRPr="00E03AC1" w:rsidRDefault="00C061D1" w:rsidP="00C061D1">
            <w:pPr>
              <w:spacing w:after="0" w:line="240" w:lineRule="auto"/>
              <w:rPr>
                <w:sz w:val="20"/>
                <w:szCs w:val="20"/>
                <w:lang w:eastAsia="sk-SK"/>
              </w:rPr>
            </w:pPr>
            <w:r>
              <w:rPr>
                <w:sz w:val="20"/>
                <w:szCs w:val="20"/>
              </w:rPr>
              <w:t>Cyprus</w:t>
            </w:r>
          </w:p>
        </w:tc>
        <w:tc>
          <w:tcPr>
            <w:tcW w:w="764" w:type="dxa"/>
            <w:tcBorders>
              <w:top w:val="nil"/>
              <w:left w:val="nil"/>
              <w:bottom w:val="nil"/>
              <w:right w:val="nil"/>
            </w:tcBorders>
            <w:shd w:val="clear" w:color="auto" w:fill="auto"/>
            <w:noWrap/>
            <w:vAlign w:val="center"/>
            <w:hideMark/>
          </w:tcPr>
          <w:p w14:paraId="2EE62506" w14:textId="6CF7F6F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-5,7</w:t>
            </w:r>
          </w:p>
        </w:tc>
        <w:tc>
          <w:tcPr>
            <w:tcW w:w="826" w:type="dxa"/>
            <w:tcBorders>
              <w:top w:val="nil"/>
              <w:left w:val="nil"/>
              <w:bottom w:val="nil"/>
              <w:right w:val="nil"/>
            </w:tcBorders>
            <w:shd w:val="clear" w:color="auto" w:fill="auto"/>
            <w:noWrap/>
            <w:vAlign w:val="center"/>
            <w:hideMark/>
          </w:tcPr>
          <w:p w14:paraId="4E271DD6" w14:textId="685100EB"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-1,9</w:t>
            </w:r>
          </w:p>
        </w:tc>
        <w:tc>
          <w:tcPr>
            <w:tcW w:w="742" w:type="dxa"/>
            <w:tcBorders>
              <w:top w:val="nil"/>
              <w:left w:val="nil"/>
              <w:bottom w:val="nil"/>
              <w:right w:val="nil"/>
            </w:tcBorders>
            <w:shd w:val="clear" w:color="auto" w:fill="auto"/>
            <w:noWrap/>
            <w:vAlign w:val="center"/>
            <w:hideMark/>
          </w:tcPr>
          <w:p w14:paraId="4DB07F98" w14:textId="58641455"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w:t>
            </w:r>
          </w:p>
        </w:tc>
        <w:tc>
          <w:tcPr>
            <w:tcW w:w="728" w:type="dxa"/>
            <w:tcBorders>
              <w:top w:val="nil"/>
              <w:left w:val="nil"/>
              <w:bottom w:val="nil"/>
              <w:right w:val="nil"/>
            </w:tcBorders>
            <w:shd w:val="clear" w:color="auto" w:fill="auto"/>
            <w:noWrap/>
            <w:vAlign w:val="center"/>
            <w:hideMark/>
          </w:tcPr>
          <w:p w14:paraId="071BD6CB" w14:textId="763A8910" w:rsidR="00C061D1" w:rsidRPr="00E03AC1" w:rsidRDefault="00C061D1" w:rsidP="00C061D1">
            <w:pPr>
              <w:spacing w:after="0" w:line="240" w:lineRule="auto"/>
              <w:ind w:firstLineChars="100" w:firstLine="200"/>
              <w:jc w:val="center"/>
              <w:rPr>
                <w:color w:val="00B050"/>
                <w:sz w:val="20"/>
                <w:szCs w:val="20"/>
                <w:lang w:eastAsia="sk-SK"/>
              </w:rPr>
            </w:pPr>
            <w:r>
              <w:rPr>
                <w:color w:val="00B050"/>
                <w:sz w:val="20"/>
                <w:szCs w:val="20"/>
              </w:rPr>
              <w:t>4,3</w:t>
            </w:r>
          </w:p>
        </w:tc>
        <w:tc>
          <w:tcPr>
            <w:tcW w:w="1453" w:type="dxa"/>
            <w:tcBorders>
              <w:top w:val="nil"/>
              <w:left w:val="single" w:sz="4" w:space="0" w:color="auto"/>
              <w:bottom w:val="nil"/>
              <w:right w:val="nil"/>
            </w:tcBorders>
            <w:shd w:val="clear" w:color="auto" w:fill="auto"/>
            <w:noWrap/>
            <w:vAlign w:val="center"/>
            <w:hideMark/>
          </w:tcPr>
          <w:p w14:paraId="520BE4CA" w14:textId="7F343FF9" w:rsidR="00C061D1" w:rsidRPr="00E03AC1" w:rsidRDefault="00C061D1" w:rsidP="00C061D1">
            <w:pPr>
              <w:spacing w:after="0" w:line="240" w:lineRule="auto"/>
              <w:rPr>
                <w:sz w:val="20"/>
                <w:szCs w:val="20"/>
                <w:lang w:eastAsia="sk-SK"/>
              </w:rPr>
            </w:pPr>
            <w:r>
              <w:rPr>
                <w:sz w:val="20"/>
                <w:szCs w:val="20"/>
              </w:rPr>
              <w:t>Bulharsko</w:t>
            </w:r>
          </w:p>
        </w:tc>
        <w:tc>
          <w:tcPr>
            <w:tcW w:w="843" w:type="dxa"/>
            <w:tcBorders>
              <w:top w:val="nil"/>
              <w:left w:val="nil"/>
              <w:bottom w:val="nil"/>
              <w:right w:val="nil"/>
            </w:tcBorders>
            <w:shd w:val="clear" w:color="auto" w:fill="auto"/>
            <w:noWrap/>
            <w:vAlign w:val="center"/>
            <w:hideMark/>
          </w:tcPr>
          <w:p w14:paraId="2D54F852" w14:textId="69009EB0"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24,6</w:t>
            </w:r>
          </w:p>
        </w:tc>
        <w:tc>
          <w:tcPr>
            <w:tcW w:w="843" w:type="dxa"/>
            <w:tcBorders>
              <w:top w:val="nil"/>
              <w:left w:val="nil"/>
              <w:bottom w:val="nil"/>
              <w:right w:val="nil"/>
            </w:tcBorders>
            <w:shd w:val="clear" w:color="auto" w:fill="auto"/>
            <w:noWrap/>
            <w:vAlign w:val="center"/>
            <w:hideMark/>
          </w:tcPr>
          <w:p w14:paraId="2FC71A96" w14:textId="18BF44E2"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23,9</w:t>
            </w:r>
          </w:p>
        </w:tc>
        <w:tc>
          <w:tcPr>
            <w:tcW w:w="864" w:type="dxa"/>
            <w:tcBorders>
              <w:top w:val="nil"/>
              <w:left w:val="nil"/>
              <w:bottom w:val="nil"/>
              <w:right w:val="nil"/>
            </w:tcBorders>
            <w:shd w:val="clear" w:color="auto" w:fill="auto"/>
            <w:noWrap/>
            <w:vAlign w:val="center"/>
            <w:hideMark/>
          </w:tcPr>
          <w:p w14:paraId="0453BA32" w14:textId="4480EA1A"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22,6</w:t>
            </w:r>
          </w:p>
        </w:tc>
        <w:tc>
          <w:tcPr>
            <w:tcW w:w="799" w:type="dxa"/>
            <w:tcBorders>
              <w:top w:val="nil"/>
              <w:left w:val="nil"/>
              <w:bottom w:val="nil"/>
              <w:right w:val="single" w:sz="4" w:space="0" w:color="auto"/>
            </w:tcBorders>
            <w:shd w:val="clear" w:color="auto" w:fill="auto"/>
            <w:noWrap/>
            <w:vAlign w:val="center"/>
            <w:hideMark/>
          </w:tcPr>
          <w:p w14:paraId="1B1AD181" w14:textId="76EE714B"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00B050"/>
                <w:sz w:val="20"/>
                <w:szCs w:val="20"/>
              </w:rPr>
              <w:t>-1,3</w:t>
            </w:r>
          </w:p>
        </w:tc>
      </w:tr>
      <w:tr w:rsidR="00C061D1" w:rsidRPr="00E03AC1" w14:paraId="42B12E7C" w14:textId="77777777" w:rsidTr="002847E9">
        <w:trPr>
          <w:trHeight w:val="307"/>
        </w:trPr>
        <w:tc>
          <w:tcPr>
            <w:tcW w:w="1542" w:type="dxa"/>
            <w:tcBorders>
              <w:top w:val="nil"/>
              <w:left w:val="single" w:sz="4" w:space="0" w:color="auto"/>
              <w:bottom w:val="single" w:sz="4" w:space="0" w:color="auto"/>
              <w:right w:val="nil"/>
            </w:tcBorders>
            <w:shd w:val="clear" w:color="auto" w:fill="auto"/>
            <w:noWrap/>
            <w:vAlign w:val="center"/>
            <w:hideMark/>
          </w:tcPr>
          <w:p w14:paraId="3C86C26A" w14:textId="79D5D65A" w:rsidR="00C061D1" w:rsidRPr="00E03AC1" w:rsidRDefault="00C061D1" w:rsidP="00C061D1">
            <w:pPr>
              <w:spacing w:after="0" w:line="240" w:lineRule="auto"/>
              <w:rPr>
                <w:sz w:val="20"/>
                <w:szCs w:val="20"/>
                <w:lang w:eastAsia="sk-SK"/>
              </w:rPr>
            </w:pPr>
            <w:r>
              <w:rPr>
                <w:sz w:val="20"/>
                <w:szCs w:val="20"/>
              </w:rPr>
              <w:t>Dánsko</w:t>
            </w:r>
          </w:p>
        </w:tc>
        <w:tc>
          <w:tcPr>
            <w:tcW w:w="764" w:type="dxa"/>
            <w:tcBorders>
              <w:top w:val="nil"/>
              <w:left w:val="nil"/>
              <w:bottom w:val="single" w:sz="4" w:space="0" w:color="auto"/>
              <w:right w:val="nil"/>
            </w:tcBorders>
            <w:shd w:val="clear" w:color="auto" w:fill="auto"/>
            <w:noWrap/>
            <w:vAlign w:val="center"/>
            <w:hideMark/>
          </w:tcPr>
          <w:p w14:paraId="18DD2378" w14:textId="15A32983"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0,4</w:t>
            </w:r>
          </w:p>
        </w:tc>
        <w:tc>
          <w:tcPr>
            <w:tcW w:w="826" w:type="dxa"/>
            <w:tcBorders>
              <w:top w:val="nil"/>
              <w:left w:val="nil"/>
              <w:bottom w:val="single" w:sz="4" w:space="0" w:color="auto"/>
              <w:right w:val="nil"/>
            </w:tcBorders>
            <w:shd w:val="clear" w:color="auto" w:fill="auto"/>
            <w:noWrap/>
            <w:vAlign w:val="center"/>
            <w:hideMark/>
          </w:tcPr>
          <w:p w14:paraId="76A66697" w14:textId="4D5BFDDF"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4,1</w:t>
            </w:r>
          </w:p>
        </w:tc>
        <w:tc>
          <w:tcPr>
            <w:tcW w:w="742" w:type="dxa"/>
            <w:tcBorders>
              <w:top w:val="nil"/>
              <w:left w:val="nil"/>
              <w:bottom w:val="single" w:sz="4" w:space="0" w:color="auto"/>
              <w:right w:val="nil"/>
            </w:tcBorders>
            <w:shd w:val="clear" w:color="auto" w:fill="auto"/>
            <w:noWrap/>
            <w:vAlign w:val="center"/>
            <w:hideMark/>
          </w:tcPr>
          <w:p w14:paraId="68BAB14E" w14:textId="436A321E"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3,3</w:t>
            </w:r>
          </w:p>
        </w:tc>
        <w:tc>
          <w:tcPr>
            <w:tcW w:w="728" w:type="dxa"/>
            <w:tcBorders>
              <w:top w:val="nil"/>
              <w:left w:val="nil"/>
              <w:bottom w:val="single" w:sz="4" w:space="0" w:color="auto"/>
              <w:right w:val="single" w:sz="4" w:space="0" w:color="auto"/>
            </w:tcBorders>
            <w:shd w:val="clear" w:color="auto" w:fill="auto"/>
            <w:noWrap/>
            <w:vAlign w:val="center"/>
            <w:hideMark/>
          </w:tcPr>
          <w:p w14:paraId="5D30E051" w14:textId="261686BD" w:rsidR="00C061D1" w:rsidRPr="00E03AC1" w:rsidRDefault="00C061D1" w:rsidP="00C061D1">
            <w:pPr>
              <w:spacing w:after="0" w:line="240" w:lineRule="auto"/>
              <w:ind w:firstLineChars="100" w:firstLine="200"/>
              <w:jc w:val="center"/>
              <w:rPr>
                <w:color w:val="00B050"/>
                <w:sz w:val="20"/>
                <w:szCs w:val="20"/>
                <w:lang w:eastAsia="sk-SK"/>
              </w:rPr>
            </w:pPr>
            <w:r>
              <w:rPr>
                <w:color w:val="FF0000"/>
                <w:sz w:val="20"/>
                <w:szCs w:val="20"/>
              </w:rPr>
              <w:t>-0,8</w:t>
            </w:r>
          </w:p>
        </w:tc>
        <w:tc>
          <w:tcPr>
            <w:tcW w:w="1453" w:type="dxa"/>
            <w:tcBorders>
              <w:top w:val="nil"/>
              <w:left w:val="nil"/>
              <w:bottom w:val="single" w:sz="4" w:space="0" w:color="auto"/>
              <w:right w:val="nil"/>
            </w:tcBorders>
            <w:shd w:val="clear" w:color="auto" w:fill="auto"/>
            <w:noWrap/>
            <w:vAlign w:val="center"/>
            <w:hideMark/>
          </w:tcPr>
          <w:p w14:paraId="371A5B3E" w14:textId="45C62DB7" w:rsidR="00C061D1" w:rsidRPr="00E03AC1" w:rsidRDefault="00C061D1" w:rsidP="00C061D1">
            <w:pPr>
              <w:spacing w:after="0" w:line="240" w:lineRule="auto"/>
              <w:rPr>
                <w:sz w:val="20"/>
                <w:szCs w:val="20"/>
                <w:lang w:eastAsia="sk-SK"/>
              </w:rPr>
            </w:pPr>
            <w:r>
              <w:rPr>
                <w:sz w:val="20"/>
                <w:szCs w:val="20"/>
              </w:rPr>
              <w:t>Estónsko</w:t>
            </w:r>
          </w:p>
        </w:tc>
        <w:tc>
          <w:tcPr>
            <w:tcW w:w="843" w:type="dxa"/>
            <w:tcBorders>
              <w:top w:val="nil"/>
              <w:left w:val="nil"/>
              <w:bottom w:val="single" w:sz="4" w:space="0" w:color="auto"/>
              <w:right w:val="nil"/>
            </w:tcBorders>
            <w:shd w:val="clear" w:color="auto" w:fill="auto"/>
            <w:noWrap/>
            <w:vAlign w:val="center"/>
            <w:hideMark/>
          </w:tcPr>
          <w:p w14:paraId="092B2EDF" w14:textId="1C055494"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18,6</w:t>
            </w:r>
          </w:p>
        </w:tc>
        <w:tc>
          <w:tcPr>
            <w:tcW w:w="843" w:type="dxa"/>
            <w:tcBorders>
              <w:top w:val="nil"/>
              <w:left w:val="nil"/>
              <w:bottom w:val="single" w:sz="4" w:space="0" w:color="auto"/>
              <w:right w:val="nil"/>
            </w:tcBorders>
            <w:shd w:val="clear" w:color="auto" w:fill="auto"/>
            <w:noWrap/>
            <w:vAlign w:val="center"/>
            <w:hideMark/>
          </w:tcPr>
          <w:p w14:paraId="58B1D037" w14:textId="4168D587"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17,8</w:t>
            </w:r>
          </w:p>
        </w:tc>
        <w:tc>
          <w:tcPr>
            <w:tcW w:w="864" w:type="dxa"/>
            <w:tcBorders>
              <w:top w:val="nil"/>
              <w:left w:val="nil"/>
              <w:bottom w:val="single" w:sz="4" w:space="0" w:color="auto"/>
              <w:right w:val="nil"/>
            </w:tcBorders>
            <w:shd w:val="clear" w:color="auto" w:fill="auto"/>
            <w:noWrap/>
            <w:vAlign w:val="center"/>
            <w:hideMark/>
          </w:tcPr>
          <w:p w14:paraId="388DB874" w14:textId="0CA0FAEC" w:rsidR="00C061D1" w:rsidRPr="00E03AC1" w:rsidRDefault="00C061D1" w:rsidP="00C061D1">
            <w:pPr>
              <w:spacing w:after="0" w:line="240" w:lineRule="auto"/>
              <w:ind w:firstLineChars="100" w:firstLine="200"/>
              <w:jc w:val="right"/>
              <w:rPr>
                <w:color w:val="000000"/>
                <w:sz w:val="20"/>
                <w:szCs w:val="20"/>
                <w:lang w:eastAsia="sk-SK"/>
              </w:rPr>
            </w:pPr>
            <w:r>
              <w:rPr>
                <w:color w:val="000000"/>
                <w:sz w:val="20"/>
                <w:szCs w:val="20"/>
              </w:rPr>
              <w:t>18,5</w:t>
            </w:r>
          </w:p>
        </w:tc>
        <w:tc>
          <w:tcPr>
            <w:tcW w:w="799" w:type="dxa"/>
            <w:tcBorders>
              <w:top w:val="nil"/>
              <w:left w:val="nil"/>
              <w:bottom w:val="single" w:sz="4" w:space="0" w:color="auto"/>
              <w:right w:val="single" w:sz="4" w:space="0" w:color="auto"/>
            </w:tcBorders>
            <w:shd w:val="clear" w:color="auto" w:fill="auto"/>
            <w:noWrap/>
            <w:vAlign w:val="center"/>
            <w:hideMark/>
          </w:tcPr>
          <w:p w14:paraId="2FEA1840" w14:textId="6615EB27" w:rsidR="00C061D1" w:rsidRPr="00E03AC1" w:rsidRDefault="00C061D1" w:rsidP="00C061D1">
            <w:pPr>
              <w:tabs>
                <w:tab w:val="decimal" w:pos="230"/>
              </w:tabs>
              <w:spacing w:after="0" w:line="240" w:lineRule="auto"/>
              <w:ind w:right="32" w:firstLineChars="100" w:firstLine="200"/>
              <w:jc w:val="right"/>
              <w:rPr>
                <w:color w:val="00B050"/>
                <w:sz w:val="20"/>
                <w:szCs w:val="20"/>
                <w:lang w:eastAsia="sk-SK"/>
              </w:rPr>
            </w:pPr>
            <w:r>
              <w:rPr>
                <w:color w:val="FF0000"/>
                <w:sz w:val="20"/>
                <w:szCs w:val="20"/>
              </w:rPr>
              <w:t>0,7</w:t>
            </w:r>
          </w:p>
        </w:tc>
      </w:tr>
    </w:tbl>
    <w:p w14:paraId="5F884205" w14:textId="24312CE4" w:rsidR="00B07378" w:rsidRPr="00CB64EF" w:rsidRDefault="00B07378" w:rsidP="00B07378">
      <w:pPr>
        <w:spacing w:after="0" w:line="240" w:lineRule="auto"/>
        <w:jc w:val="right"/>
        <w:rPr>
          <w:sz w:val="18"/>
          <w:szCs w:val="18"/>
        </w:rPr>
      </w:pPr>
      <w:r w:rsidRPr="00CB64EF">
        <w:rPr>
          <w:i/>
          <w:sz w:val="16"/>
          <w:szCs w:val="16"/>
        </w:rPr>
        <w:t xml:space="preserve">Zdroj: </w:t>
      </w:r>
      <w:proofErr w:type="spellStart"/>
      <w:r w:rsidRPr="00CB64EF">
        <w:rPr>
          <w:i/>
          <w:sz w:val="16"/>
          <w:szCs w:val="16"/>
        </w:rPr>
        <w:t>Eurostat</w:t>
      </w:r>
      <w:proofErr w:type="spellEnd"/>
    </w:p>
    <w:p w14:paraId="202E8CB0" w14:textId="0D137088" w:rsidR="00E03AC1" w:rsidRPr="0078191C" w:rsidRDefault="00B07378" w:rsidP="00896E4F">
      <w:pPr>
        <w:pStyle w:val="Odsekzoznamu"/>
        <w:numPr>
          <w:ilvl w:val="0"/>
          <w:numId w:val="27"/>
        </w:numPr>
        <w:rPr>
          <w:sz w:val="16"/>
          <w:szCs w:val="16"/>
        </w:rPr>
      </w:pPr>
      <w:r w:rsidRPr="0078191C">
        <w:rPr>
          <w:sz w:val="16"/>
          <w:szCs w:val="16"/>
        </w:rPr>
        <w:t>Predchádzajúce obdobia sú zrevidované podľa ak</w:t>
      </w:r>
      <w:r w:rsidR="00896E4F" w:rsidRPr="0078191C">
        <w:rPr>
          <w:sz w:val="16"/>
          <w:szCs w:val="16"/>
        </w:rPr>
        <w:t xml:space="preserve">tuálneho press </w:t>
      </w:r>
      <w:proofErr w:type="spellStart"/>
      <w:r w:rsidR="00896E4F" w:rsidRPr="0078191C">
        <w:rPr>
          <w:sz w:val="16"/>
          <w:szCs w:val="16"/>
        </w:rPr>
        <w:t>release</w:t>
      </w:r>
      <w:proofErr w:type="spellEnd"/>
      <w:r w:rsidR="00896E4F" w:rsidRPr="0078191C">
        <w:rPr>
          <w:sz w:val="16"/>
          <w:szCs w:val="16"/>
        </w:rPr>
        <w:t xml:space="preserve"> zo dňa 23</w:t>
      </w:r>
      <w:r w:rsidRPr="0078191C">
        <w:rPr>
          <w:sz w:val="16"/>
          <w:szCs w:val="16"/>
        </w:rPr>
        <w:t>.10.202</w:t>
      </w:r>
      <w:r w:rsidR="00896E4F" w:rsidRPr="0078191C">
        <w:rPr>
          <w:sz w:val="16"/>
          <w:szCs w:val="16"/>
        </w:rPr>
        <w:t>3</w:t>
      </w:r>
      <w:r w:rsidRPr="0078191C">
        <w:rPr>
          <w:sz w:val="16"/>
          <w:szCs w:val="16"/>
        </w:rPr>
        <w:t xml:space="preserve">. Usporiadanie </w:t>
      </w:r>
      <w:r w:rsidR="00E03AC1" w:rsidRPr="0078191C">
        <w:rPr>
          <w:sz w:val="16"/>
          <w:szCs w:val="16"/>
        </w:rPr>
        <w:t>krajín je podľa poradia salda</w:t>
      </w:r>
      <w:r w:rsidRPr="0078191C">
        <w:rPr>
          <w:sz w:val="16"/>
          <w:szCs w:val="16"/>
        </w:rPr>
        <w:t>/dlhu v poslednom sledovanom období.</w:t>
      </w:r>
      <w:r w:rsidR="00896E4F" w:rsidRPr="0078191C">
        <w:rPr>
          <w:sz w:val="16"/>
          <w:szCs w:val="16"/>
        </w:rPr>
        <w:t xml:space="preserve"> </w:t>
      </w:r>
      <w:r w:rsidR="00E03AC1" w:rsidRPr="0078191C">
        <w:rPr>
          <w:sz w:val="16"/>
          <w:szCs w:val="16"/>
        </w:rPr>
        <w:t>Zelenou farbou je označené medziročné zlepšenie, červenou farbou medziročné zhoršenie salda/dlhu.</w:t>
      </w:r>
    </w:p>
    <w:p w14:paraId="27280D9C" w14:textId="7682241E" w:rsidR="00170393" w:rsidRPr="0078191C" w:rsidRDefault="00896E4F" w:rsidP="002847E9">
      <w:pPr>
        <w:pStyle w:val="Odsekzoznamu"/>
        <w:numPr>
          <w:ilvl w:val="0"/>
          <w:numId w:val="27"/>
        </w:numPr>
        <w:spacing w:after="120"/>
        <w:jc w:val="both"/>
      </w:pPr>
      <w:r w:rsidRPr="0078191C">
        <w:rPr>
          <w:iCs/>
          <w:color w:val="000000"/>
          <w:sz w:val="16"/>
          <w:szCs w:val="16"/>
        </w:rPr>
        <w:t xml:space="preserve">Eurozóna (20) zahŕňa aj krajinu Chorvátsko, ktorá je súčasťou Eurozóny od 1.1.2023. V tabuľke sú hodnoty uvedené prvýkrát pre porovnanie.       </w:t>
      </w:r>
    </w:p>
    <w:p w14:paraId="72417853" w14:textId="77777777" w:rsidR="00154B2E" w:rsidRDefault="00154B2E">
      <w:pPr>
        <w:rPr>
          <w:szCs w:val="22"/>
          <w:highlight w:val="yellow"/>
        </w:rPr>
      </w:pPr>
      <w:r>
        <w:rPr>
          <w:szCs w:val="22"/>
          <w:highlight w:val="yellow"/>
        </w:rPr>
        <w:br w:type="page"/>
      </w:r>
    </w:p>
    <w:p w14:paraId="6631792E" w14:textId="317141F9" w:rsidR="003D050C" w:rsidRPr="00730EED" w:rsidRDefault="003D050C" w:rsidP="00AC2602">
      <w:pPr>
        <w:pStyle w:val="Nadpis1"/>
        <w:numPr>
          <w:ilvl w:val="0"/>
          <w:numId w:val="3"/>
        </w:numPr>
        <w:spacing w:before="120" w:line="240" w:lineRule="auto"/>
        <w:ind w:left="425" w:hanging="425"/>
      </w:pPr>
      <w:bookmarkStart w:id="25" w:name="_Toc148704468"/>
      <w:r w:rsidRPr="00730EED">
        <w:lastRenderedPageBreak/>
        <w:t>Hospodárenie verejnej správy – požiadavky ústavného zákona o rozpočtovej zodpovednosti</w:t>
      </w:r>
      <w:bookmarkEnd w:id="25"/>
    </w:p>
    <w:p w14:paraId="1B5C48BC" w14:textId="4BD0689D" w:rsidR="00C56B37" w:rsidRPr="00730EED" w:rsidRDefault="00C56B37" w:rsidP="00C56B37">
      <w:pPr>
        <w:spacing w:after="0" w:line="240" w:lineRule="auto"/>
        <w:jc w:val="both"/>
      </w:pPr>
      <w:r w:rsidRPr="00730EED">
        <w:t>Táto kapitola hodnotí vývoj hospodárenia verejnej správy najmä z pohľadu informácií, ktoré má obsahovať súhrnná výročná správa na základe ústavného zákona o rozpočtovej zodpovednosti (bilancia rozpočtu verejnej správy, jednorazové vplyvy a vyhodnotenie stratégie riadenia štátneho dlhu). Špecifikom týchto údajov a informácií je fakt, že z väčšej časti  nie sú založené na š</w:t>
      </w:r>
      <w:r w:rsidR="00C24FE0" w:rsidRPr="00730EED">
        <w:t xml:space="preserve">tandardnej metodike </w:t>
      </w:r>
      <w:r w:rsidR="00F40ABA" w:rsidRPr="00730EED">
        <w:t>ESA 2010</w:t>
      </w:r>
      <w:r w:rsidR="00C24FE0" w:rsidRPr="00730EED">
        <w:t xml:space="preserve"> a v </w:t>
      </w:r>
      <w:r w:rsidRPr="00730EED">
        <w:t>niektorých prípadoch sú postavené na odhadoch a metodike Ministerstva financií SR (jednorazové vplyvy, cyklická zložka, štrukturálne saldo), rozširujú však analytický pohľad na hospodárenie verejnej správy nad rámec salda a dlhu podľa maastrichtských kritérií.</w:t>
      </w:r>
    </w:p>
    <w:p w14:paraId="6AB48E20" w14:textId="7D6507C2" w:rsidR="00A65E40" w:rsidRPr="00730EED" w:rsidRDefault="003F3407" w:rsidP="00C34D8B">
      <w:pPr>
        <w:pStyle w:val="Nadpis2"/>
        <w:numPr>
          <w:ilvl w:val="1"/>
          <w:numId w:val="3"/>
        </w:numPr>
        <w:spacing w:after="120"/>
      </w:pPr>
      <w:r w:rsidRPr="00730EED">
        <w:t xml:space="preserve">   </w:t>
      </w:r>
      <w:bookmarkStart w:id="26" w:name="_Toc148704469"/>
      <w:r w:rsidR="00A65E40" w:rsidRPr="00730EED">
        <w:t>Bilancia rozpočtu verejnej správy</w:t>
      </w:r>
      <w:bookmarkEnd w:id="26"/>
    </w:p>
    <w:p w14:paraId="27E786E7" w14:textId="57BF169C" w:rsidR="00B07378" w:rsidRPr="00730EED" w:rsidRDefault="00C56B37" w:rsidP="00C56B37">
      <w:pPr>
        <w:spacing w:after="120" w:line="240" w:lineRule="auto"/>
        <w:jc w:val="both"/>
      </w:pPr>
      <w:r w:rsidRPr="00730EED">
        <w:t xml:space="preserve">Bilancia rozpočtu verejnej správy poskytuje analytický pohľad na vývoj hlavných príjmových a výdavkových položiek verejnej správy ako celku za daný rok. Bilancia je konsolidovaná, teda sú vylúčené transakcie medzi jednotlivými subjektmi verejnej správy. Štruktúra prezentovanej bilancie pozostáva z kombinácie kódov </w:t>
      </w:r>
      <w:r w:rsidR="00F40ABA" w:rsidRPr="00730EED">
        <w:t>ESA 2010</w:t>
      </w:r>
      <w:r w:rsidRPr="00730EED">
        <w:t xml:space="preserve"> a ekonomickej klasifikácie rozpočtovej klasifikácie. Kombinácia metodík má za cieľ umožniť prezentáciu analytických a zároveň medzinárodne porovnateľných údajov. Ekonomická klasifikácia poskytuje vecný pohľad na jednotlivé kategórie príjmov a výdavkov a metodika </w:t>
      </w:r>
      <w:r w:rsidR="00F40ABA" w:rsidRPr="00730EED">
        <w:t>ESA 2010</w:t>
      </w:r>
      <w:r w:rsidRPr="00730EED">
        <w:t xml:space="preserve"> umožňuje medzinárodné porovnania a je konzistentná s makroekonomickými kategóriami národných účtov (ako napr. HDP, spotreba verejnej správy).</w:t>
      </w:r>
    </w:p>
    <w:p w14:paraId="16D867CF" w14:textId="49EA6718" w:rsidR="003D050C" w:rsidRPr="00BA526A" w:rsidRDefault="003D050C" w:rsidP="00B051D3">
      <w:pPr>
        <w:pStyle w:val="Nadpis3"/>
        <w:numPr>
          <w:ilvl w:val="0"/>
          <w:numId w:val="0"/>
        </w:numPr>
        <w:spacing w:before="120" w:after="0"/>
        <w:ind w:left="1800" w:hanging="720"/>
        <w:rPr>
          <w:sz w:val="24"/>
          <w:szCs w:val="24"/>
        </w:rPr>
      </w:pPr>
      <w:bookmarkStart w:id="27" w:name="_Toc148704470"/>
      <w:r w:rsidRPr="00BA526A">
        <w:t>2.1.1.</w:t>
      </w:r>
      <w:r w:rsidR="003F00CD" w:rsidRPr="00BA526A">
        <w:tab/>
      </w:r>
      <w:r w:rsidRPr="00BA526A">
        <w:t>Príjmy verejnej správy</w:t>
      </w:r>
      <w:bookmarkEnd w:id="27"/>
    </w:p>
    <w:p w14:paraId="04337104" w14:textId="2DF76F2D" w:rsidR="000A0D79" w:rsidRDefault="00151939" w:rsidP="000A0D79">
      <w:pPr>
        <w:spacing w:after="120" w:line="240" w:lineRule="auto"/>
        <w:jc w:val="both"/>
        <w:rPr>
          <w:szCs w:val="22"/>
        </w:rPr>
      </w:pPr>
      <w:r w:rsidRPr="00BA526A">
        <w:rPr>
          <w:b/>
          <w:color w:val="4F81BD" w:themeColor="accent1"/>
          <w:szCs w:val="22"/>
        </w:rPr>
        <w:t>Celkové príjmy rozpočtu verejnej správy v metod</w:t>
      </w:r>
      <w:r w:rsidR="006D03F1" w:rsidRPr="00BA526A">
        <w:rPr>
          <w:b/>
          <w:color w:val="4F81BD" w:themeColor="accent1"/>
          <w:szCs w:val="22"/>
        </w:rPr>
        <w:t xml:space="preserve">ike </w:t>
      </w:r>
      <w:r w:rsidR="00F40ABA" w:rsidRPr="00BA526A">
        <w:rPr>
          <w:b/>
          <w:color w:val="4F81BD" w:themeColor="accent1"/>
          <w:szCs w:val="22"/>
        </w:rPr>
        <w:t>ESA 2010</w:t>
      </w:r>
      <w:r w:rsidR="00BA526A" w:rsidRPr="00BA526A">
        <w:rPr>
          <w:b/>
          <w:color w:val="4F81BD" w:themeColor="accent1"/>
          <w:szCs w:val="22"/>
        </w:rPr>
        <w:t xml:space="preserve"> dosiahli v roku 2022</w:t>
      </w:r>
      <w:r w:rsidR="006D03F1" w:rsidRPr="00BA526A">
        <w:rPr>
          <w:b/>
          <w:color w:val="4F81BD" w:themeColor="accent1"/>
          <w:szCs w:val="22"/>
        </w:rPr>
        <w:t xml:space="preserve"> výšku 4</w:t>
      </w:r>
      <w:r w:rsidR="00BA526A" w:rsidRPr="00BA526A">
        <w:rPr>
          <w:b/>
          <w:color w:val="4F81BD" w:themeColor="accent1"/>
          <w:szCs w:val="22"/>
        </w:rPr>
        <w:t>4</w:t>
      </w:r>
      <w:r w:rsidRPr="00BA526A">
        <w:rPr>
          <w:b/>
          <w:color w:val="4F81BD" w:themeColor="accent1"/>
          <w:szCs w:val="22"/>
        </w:rPr>
        <w:t> </w:t>
      </w:r>
      <w:r w:rsidR="00BA526A" w:rsidRPr="00BA526A">
        <w:rPr>
          <w:b/>
          <w:color w:val="4F81BD" w:themeColor="accent1"/>
          <w:szCs w:val="22"/>
        </w:rPr>
        <w:t>119</w:t>
      </w:r>
      <w:r w:rsidRPr="00BA526A">
        <w:rPr>
          <w:b/>
          <w:color w:val="4F81BD" w:themeColor="accent1"/>
          <w:szCs w:val="22"/>
        </w:rPr>
        <w:t> </w:t>
      </w:r>
      <w:r w:rsidR="00BA526A" w:rsidRPr="00BA526A">
        <w:rPr>
          <w:b/>
          <w:color w:val="4F81BD" w:themeColor="accent1"/>
          <w:szCs w:val="22"/>
        </w:rPr>
        <w:t>088</w:t>
      </w:r>
      <w:r w:rsidR="006D03F1" w:rsidRPr="00BA526A">
        <w:rPr>
          <w:b/>
          <w:color w:val="4F81BD" w:themeColor="accent1"/>
          <w:szCs w:val="22"/>
        </w:rPr>
        <w:t> tis. eur (40,</w:t>
      </w:r>
      <w:r w:rsidR="00BA526A" w:rsidRPr="00BA526A">
        <w:rPr>
          <w:b/>
          <w:color w:val="4F81BD" w:themeColor="accent1"/>
          <w:szCs w:val="22"/>
        </w:rPr>
        <w:t>2</w:t>
      </w:r>
      <w:r w:rsidRPr="00BA526A">
        <w:rPr>
          <w:b/>
          <w:color w:val="4F81BD" w:themeColor="accent1"/>
          <w:szCs w:val="22"/>
        </w:rPr>
        <w:t> % HDP)</w:t>
      </w:r>
      <w:r w:rsidRPr="00BA526A">
        <w:rPr>
          <w:color w:val="4F81BD" w:themeColor="accent1"/>
          <w:szCs w:val="22"/>
        </w:rPr>
        <w:t xml:space="preserve"> </w:t>
      </w:r>
      <w:r w:rsidRPr="00BA526A">
        <w:rPr>
          <w:szCs w:val="22"/>
        </w:rPr>
        <w:t xml:space="preserve">a </w:t>
      </w:r>
      <w:r w:rsidR="006D03F1" w:rsidRPr="00BA526A">
        <w:rPr>
          <w:szCs w:val="22"/>
        </w:rPr>
        <w:t xml:space="preserve">medziročne </w:t>
      </w:r>
      <w:r w:rsidR="00BA526A" w:rsidRPr="00BA526A">
        <w:rPr>
          <w:szCs w:val="22"/>
        </w:rPr>
        <w:t>vzrástli o</w:t>
      </w:r>
      <w:r w:rsidR="007E6A36">
        <w:rPr>
          <w:szCs w:val="22"/>
        </w:rPr>
        <w:t xml:space="preserve"> menej ako </w:t>
      </w:r>
      <w:r w:rsidR="00BA526A" w:rsidRPr="00BA526A">
        <w:rPr>
          <w:szCs w:val="22"/>
        </w:rPr>
        <w:t>0,1</w:t>
      </w:r>
      <w:r w:rsidRPr="00BA526A">
        <w:rPr>
          <w:szCs w:val="22"/>
        </w:rPr>
        <w:t> </w:t>
      </w:r>
      <w:r w:rsidR="00663EC0" w:rsidRPr="00BA526A">
        <w:rPr>
          <w:szCs w:val="22"/>
        </w:rPr>
        <w:t>p.</w:t>
      </w:r>
      <w:r w:rsidR="00184A1B" w:rsidRPr="00BA526A">
        <w:rPr>
          <w:szCs w:val="22"/>
        </w:rPr>
        <w:t> </w:t>
      </w:r>
      <w:r w:rsidR="00663EC0" w:rsidRPr="00BA526A">
        <w:rPr>
          <w:szCs w:val="22"/>
        </w:rPr>
        <w:t>b.</w:t>
      </w:r>
      <w:r w:rsidRPr="00BA526A">
        <w:rPr>
          <w:szCs w:val="22"/>
        </w:rPr>
        <w:t xml:space="preserve"> resp. o</w:t>
      </w:r>
      <w:r w:rsidR="00BA526A" w:rsidRPr="00BA526A">
        <w:rPr>
          <w:szCs w:val="22"/>
        </w:rPr>
        <w:t> 3 853</w:t>
      </w:r>
      <w:r w:rsidRPr="00BA526A">
        <w:rPr>
          <w:szCs w:val="22"/>
        </w:rPr>
        <w:t> </w:t>
      </w:r>
      <w:r w:rsidR="00BA526A" w:rsidRPr="00BA526A">
        <w:rPr>
          <w:szCs w:val="22"/>
        </w:rPr>
        <w:t>796</w:t>
      </w:r>
      <w:r w:rsidRPr="00BA526A">
        <w:rPr>
          <w:szCs w:val="22"/>
        </w:rPr>
        <w:t> tis. eur.</w:t>
      </w:r>
    </w:p>
    <w:p w14:paraId="579B1B09" w14:textId="00ECA236" w:rsidR="001768B9" w:rsidRDefault="006D03F1" w:rsidP="000A0D79">
      <w:pPr>
        <w:spacing w:after="120" w:line="240" w:lineRule="auto"/>
        <w:jc w:val="both"/>
        <w:rPr>
          <w:szCs w:val="22"/>
        </w:rPr>
      </w:pPr>
      <w:r w:rsidRPr="001359D0">
        <w:rPr>
          <w:szCs w:val="22"/>
        </w:rPr>
        <w:t>Nárast</w:t>
      </w:r>
      <w:r w:rsidR="00151939" w:rsidRPr="001359D0">
        <w:rPr>
          <w:szCs w:val="22"/>
        </w:rPr>
        <w:t xml:space="preserve"> dosiahli takmer všetky druhy príjmov, najvýraznejší </w:t>
      </w:r>
      <w:r w:rsidRPr="001359D0">
        <w:rPr>
          <w:szCs w:val="22"/>
        </w:rPr>
        <w:t>nárast</w:t>
      </w:r>
      <w:r w:rsidR="00FB0DCE" w:rsidRPr="001359D0">
        <w:rPr>
          <w:szCs w:val="22"/>
        </w:rPr>
        <w:t xml:space="preserve"> zaznamenali </w:t>
      </w:r>
      <w:r w:rsidR="00F42C4B">
        <w:rPr>
          <w:szCs w:val="22"/>
        </w:rPr>
        <w:t>ostatné dane z produkcie a dovozu o 98,9</w:t>
      </w:r>
      <w:r w:rsidR="006F37AC">
        <w:rPr>
          <w:szCs w:val="22"/>
        </w:rPr>
        <w:t xml:space="preserve"> </w:t>
      </w:r>
      <w:r w:rsidR="00F42C4B">
        <w:rPr>
          <w:szCs w:val="22"/>
        </w:rPr>
        <w:t xml:space="preserve">% (išlo predovšetkým o solidárny príspevok), </w:t>
      </w:r>
      <w:r w:rsidR="001359D0" w:rsidRPr="001359D0">
        <w:rPr>
          <w:szCs w:val="22"/>
        </w:rPr>
        <w:t>ostatné bežné transfery</w:t>
      </w:r>
      <w:r w:rsidR="00FB0DCE" w:rsidRPr="001359D0">
        <w:rPr>
          <w:szCs w:val="22"/>
        </w:rPr>
        <w:t xml:space="preserve"> o 6</w:t>
      </w:r>
      <w:r w:rsidR="001359D0" w:rsidRPr="001359D0">
        <w:rPr>
          <w:szCs w:val="22"/>
        </w:rPr>
        <w:t>8,2</w:t>
      </w:r>
      <w:r w:rsidR="00FB0DCE" w:rsidRPr="001359D0">
        <w:rPr>
          <w:szCs w:val="22"/>
        </w:rPr>
        <w:t> %,</w:t>
      </w:r>
      <w:r w:rsidR="001359D0">
        <w:rPr>
          <w:szCs w:val="22"/>
        </w:rPr>
        <w:t xml:space="preserve"> </w:t>
      </w:r>
      <w:r w:rsidR="00A5560B">
        <w:rPr>
          <w:szCs w:val="22"/>
        </w:rPr>
        <w:t>p</w:t>
      </w:r>
      <w:r w:rsidR="00A5560B" w:rsidRPr="001359D0">
        <w:rPr>
          <w:szCs w:val="22"/>
        </w:rPr>
        <w:t>latby za ostatnú netrhovú produkciu o 35,7 %,</w:t>
      </w:r>
      <w:r w:rsidR="00A5560B">
        <w:rPr>
          <w:szCs w:val="22"/>
        </w:rPr>
        <w:t xml:space="preserve"> </w:t>
      </w:r>
      <w:r w:rsidR="001359D0">
        <w:rPr>
          <w:szCs w:val="22"/>
        </w:rPr>
        <w:t>úroky o 32,2 %,</w:t>
      </w:r>
      <w:r w:rsidR="00FB0DCE" w:rsidRPr="001359D0">
        <w:rPr>
          <w:szCs w:val="22"/>
        </w:rPr>
        <w:t xml:space="preserve"> </w:t>
      </w:r>
      <w:r w:rsidR="001359D0">
        <w:rPr>
          <w:szCs w:val="22"/>
        </w:rPr>
        <w:t xml:space="preserve">kapitálové transfery o 24,1 %. </w:t>
      </w:r>
      <w:r w:rsidR="00151939" w:rsidRPr="00A30079">
        <w:rPr>
          <w:szCs w:val="22"/>
        </w:rPr>
        <w:t>Na druhej strane v roku 202</w:t>
      </w:r>
      <w:r w:rsidR="00A30079" w:rsidRPr="00A30079">
        <w:rPr>
          <w:szCs w:val="22"/>
        </w:rPr>
        <w:t>2</w:t>
      </w:r>
      <w:r w:rsidRPr="00A30079">
        <w:rPr>
          <w:szCs w:val="22"/>
        </w:rPr>
        <w:t xml:space="preserve"> došlo k poklesu</w:t>
      </w:r>
      <w:r w:rsidR="00151939" w:rsidRPr="00A30079">
        <w:rPr>
          <w:szCs w:val="22"/>
        </w:rPr>
        <w:t xml:space="preserve"> </w:t>
      </w:r>
      <w:r w:rsidR="00A30079">
        <w:rPr>
          <w:szCs w:val="22"/>
        </w:rPr>
        <w:t xml:space="preserve">príjmov </w:t>
      </w:r>
      <w:r w:rsidR="00A5560B">
        <w:rPr>
          <w:szCs w:val="22"/>
        </w:rPr>
        <w:t xml:space="preserve">z </w:t>
      </w:r>
      <w:r w:rsidR="00A5560B" w:rsidRPr="00A30079">
        <w:rPr>
          <w:szCs w:val="22"/>
        </w:rPr>
        <w:t>dividend o 21,3 %</w:t>
      </w:r>
      <w:r w:rsidR="00A5560B">
        <w:rPr>
          <w:szCs w:val="22"/>
        </w:rPr>
        <w:t xml:space="preserve">, </w:t>
      </w:r>
      <w:r w:rsidRPr="00A30079">
        <w:rPr>
          <w:szCs w:val="22"/>
        </w:rPr>
        <w:t>z osobitného odvodu z podnikan</w:t>
      </w:r>
      <w:r w:rsidR="00A30079" w:rsidRPr="00A30079">
        <w:rPr>
          <w:szCs w:val="22"/>
        </w:rPr>
        <w:t>ia v regulovaných odvetviach o 16</w:t>
      </w:r>
      <w:r w:rsidRPr="00A30079">
        <w:rPr>
          <w:szCs w:val="22"/>
        </w:rPr>
        <w:t>,</w:t>
      </w:r>
      <w:r w:rsidR="00AC16B0">
        <w:rPr>
          <w:szCs w:val="22"/>
        </w:rPr>
        <w:t>0</w:t>
      </w:r>
      <w:r w:rsidRPr="00A30079">
        <w:rPr>
          <w:szCs w:val="22"/>
        </w:rPr>
        <w:t xml:space="preserve"> % a </w:t>
      </w:r>
      <w:r w:rsidR="00A5560B">
        <w:rPr>
          <w:szCs w:val="22"/>
        </w:rPr>
        <w:t xml:space="preserve">zo </w:t>
      </w:r>
      <w:r w:rsidR="00A5560B" w:rsidRPr="00A30079">
        <w:rPr>
          <w:szCs w:val="22"/>
        </w:rPr>
        <w:t>spotrebných daní o 5,4</w:t>
      </w:r>
      <w:r w:rsidR="00A5560B">
        <w:rPr>
          <w:szCs w:val="22"/>
        </w:rPr>
        <w:t> %.</w:t>
      </w:r>
    </w:p>
    <w:tbl>
      <w:tblPr>
        <w:tblW w:w="9513" w:type="dxa"/>
        <w:tblCellMar>
          <w:left w:w="70" w:type="dxa"/>
          <w:right w:w="70" w:type="dxa"/>
        </w:tblCellMar>
        <w:tblLook w:val="04A0" w:firstRow="1" w:lastRow="0" w:firstColumn="1" w:lastColumn="0" w:noHBand="0" w:noVBand="1"/>
      </w:tblPr>
      <w:tblGrid>
        <w:gridCol w:w="4253"/>
        <w:gridCol w:w="1180"/>
        <w:gridCol w:w="1025"/>
        <w:gridCol w:w="1042"/>
        <w:gridCol w:w="996"/>
        <w:gridCol w:w="1017"/>
      </w:tblGrid>
      <w:tr w:rsidR="00EB7F7E" w:rsidRPr="00BA526A" w14:paraId="37440AB7" w14:textId="77777777" w:rsidTr="001768B9">
        <w:trPr>
          <w:trHeight w:val="255"/>
          <w:tblHeader/>
        </w:trPr>
        <w:tc>
          <w:tcPr>
            <w:tcW w:w="4253" w:type="dxa"/>
            <w:tcBorders>
              <w:top w:val="nil"/>
              <w:left w:val="nil"/>
              <w:bottom w:val="single" w:sz="4" w:space="0" w:color="auto"/>
              <w:right w:val="nil"/>
            </w:tcBorders>
            <w:shd w:val="clear" w:color="auto" w:fill="auto"/>
            <w:noWrap/>
            <w:vAlign w:val="center"/>
            <w:hideMark/>
          </w:tcPr>
          <w:p w14:paraId="5F50EE8F" w14:textId="10FB8041" w:rsidR="00EB7F7E" w:rsidRPr="00BA526A" w:rsidRDefault="00CB776D" w:rsidP="00282986">
            <w:pPr>
              <w:spacing w:before="120" w:after="0" w:line="240" w:lineRule="auto"/>
              <w:rPr>
                <w:b/>
                <w:bCs/>
                <w:color w:val="4F81BD" w:themeColor="accent1"/>
                <w:sz w:val="20"/>
                <w:szCs w:val="20"/>
                <w:lang w:eastAsia="sk-SK"/>
              </w:rPr>
            </w:pPr>
            <w:r w:rsidRPr="00BA526A">
              <w:rPr>
                <w:b/>
                <w:bCs/>
                <w:color w:val="4F81BD"/>
                <w:sz w:val="20"/>
                <w:szCs w:val="20"/>
                <w:lang w:eastAsia="sk-SK"/>
              </w:rPr>
              <w:t>Tabuľka 9</w:t>
            </w:r>
            <w:r w:rsidR="00A4725F" w:rsidRPr="00BA526A">
              <w:rPr>
                <w:b/>
                <w:bCs/>
                <w:color w:val="4F81BD"/>
                <w:sz w:val="20"/>
                <w:szCs w:val="20"/>
                <w:lang w:eastAsia="sk-SK"/>
              </w:rPr>
              <w:t xml:space="preserve"> </w:t>
            </w:r>
            <w:r w:rsidR="00A4725F" w:rsidRPr="00BA526A">
              <w:rPr>
                <w:bCs/>
                <w:color w:val="4F81BD"/>
                <w:sz w:val="20"/>
                <w:szCs w:val="20"/>
                <w:lang w:eastAsia="sk-SK"/>
              </w:rPr>
              <w:t>-</w:t>
            </w:r>
            <w:r w:rsidR="00A4725F" w:rsidRPr="00BA526A">
              <w:rPr>
                <w:b/>
                <w:bCs/>
                <w:color w:val="4F81BD"/>
                <w:sz w:val="20"/>
                <w:szCs w:val="20"/>
                <w:lang w:eastAsia="sk-SK"/>
              </w:rPr>
              <w:t xml:space="preserve"> </w:t>
            </w:r>
            <w:r w:rsidR="00EB7F7E" w:rsidRPr="00BA526A">
              <w:rPr>
                <w:b/>
                <w:bCs/>
                <w:color w:val="4F81BD" w:themeColor="accent1"/>
                <w:sz w:val="20"/>
                <w:szCs w:val="20"/>
                <w:lang w:eastAsia="sk-SK"/>
              </w:rPr>
              <w:t>Príjmy verejnej správy (ESA 2010)</w:t>
            </w:r>
          </w:p>
        </w:tc>
        <w:tc>
          <w:tcPr>
            <w:tcW w:w="5260" w:type="dxa"/>
            <w:gridSpan w:val="5"/>
            <w:tcBorders>
              <w:top w:val="nil"/>
              <w:left w:val="nil"/>
              <w:bottom w:val="single" w:sz="4" w:space="0" w:color="auto"/>
              <w:right w:val="nil"/>
            </w:tcBorders>
            <w:shd w:val="clear" w:color="auto" w:fill="auto"/>
            <w:noWrap/>
            <w:vAlign w:val="center"/>
            <w:hideMark/>
          </w:tcPr>
          <w:p w14:paraId="3EDCCA27" w14:textId="77777777" w:rsidR="00EB7F7E" w:rsidRPr="00BA526A" w:rsidRDefault="00EB7F7E" w:rsidP="00282986">
            <w:pPr>
              <w:spacing w:before="120" w:after="0" w:line="240" w:lineRule="auto"/>
              <w:jc w:val="right"/>
              <w:rPr>
                <w:b/>
                <w:bCs/>
                <w:color w:val="4F81BD"/>
                <w:sz w:val="20"/>
                <w:szCs w:val="20"/>
                <w:lang w:eastAsia="sk-SK"/>
              </w:rPr>
            </w:pPr>
            <w:r w:rsidRPr="00BA526A">
              <w:rPr>
                <w:b/>
                <w:bCs/>
                <w:color w:val="4F81BD" w:themeColor="accent1"/>
                <w:sz w:val="20"/>
                <w:szCs w:val="20"/>
                <w:lang w:eastAsia="sk-SK"/>
              </w:rPr>
              <w:t>v tis. eur</w:t>
            </w:r>
          </w:p>
        </w:tc>
      </w:tr>
      <w:tr w:rsidR="00BA526A" w:rsidRPr="00BB4B6F" w14:paraId="5C1AAD1B" w14:textId="77777777" w:rsidTr="001768B9">
        <w:trPr>
          <w:trHeight w:val="480"/>
          <w:tblHeader/>
        </w:trPr>
        <w:tc>
          <w:tcPr>
            <w:tcW w:w="4253" w:type="dxa"/>
            <w:tcBorders>
              <w:top w:val="single" w:sz="4" w:space="0" w:color="auto"/>
              <w:left w:val="nil"/>
              <w:bottom w:val="single" w:sz="4" w:space="0" w:color="auto"/>
              <w:right w:val="nil"/>
            </w:tcBorders>
            <w:shd w:val="clear" w:color="auto" w:fill="auto"/>
            <w:noWrap/>
            <w:vAlign w:val="center"/>
            <w:hideMark/>
          </w:tcPr>
          <w:p w14:paraId="485BF26F" w14:textId="77777777" w:rsidR="00BA526A" w:rsidRPr="00BA526A" w:rsidRDefault="00BA526A" w:rsidP="00BA526A">
            <w:pPr>
              <w:spacing w:after="0" w:line="240" w:lineRule="auto"/>
              <w:rPr>
                <w:b/>
                <w:bCs/>
                <w:sz w:val="18"/>
                <w:szCs w:val="18"/>
                <w:lang w:eastAsia="sk-SK"/>
              </w:rPr>
            </w:pPr>
            <w:r w:rsidRPr="00BA526A">
              <w:rPr>
                <w:b/>
                <w:bCs/>
                <w:sz w:val="18"/>
                <w:szCs w:val="18"/>
                <w:lang w:eastAsia="sk-SK"/>
              </w:rPr>
              <w:t> </w:t>
            </w:r>
          </w:p>
        </w:tc>
        <w:tc>
          <w:tcPr>
            <w:tcW w:w="1180" w:type="dxa"/>
            <w:tcBorders>
              <w:top w:val="single" w:sz="4" w:space="0" w:color="auto"/>
              <w:left w:val="nil"/>
              <w:bottom w:val="single" w:sz="4" w:space="0" w:color="auto"/>
              <w:right w:val="nil"/>
            </w:tcBorders>
            <w:shd w:val="clear" w:color="auto" w:fill="auto"/>
            <w:vAlign w:val="center"/>
            <w:hideMark/>
          </w:tcPr>
          <w:p w14:paraId="0A707201" w14:textId="35436275" w:rsidR="00BA526A" w:rsidRPr="00BA526A" w:rsidRDefault="00BA526A" w:rsidP="00BA526A">
            <w:pPr>
              <w:spacing w:after="0" w:line="240" w:lineRule="auto"/>
              <w:jc w:val="center"/>
              <w:rPr>
                <w:b/>
                <w:bCs/>
                <w:sz w:val="18"/>
                <w:szCs w:val="18"/>
                <w:lang w:eastAsia="sk-SK"/>
              </w:rPr>
            </w:pPr>
            <w:r w:rsidRPr="00BA526A">
              <w:rPr>
                <w:b/>
                <w:bCs/>
                <w:sz w:val="18"/>
                <w:szCs w:val="18"/>
                <w:lang w:eastAsia="sk-SK"/>
              </w:rPr>
              <w:br/>
              <w:t>2020 S</w:t>
            </w:r>
          </w:p>
        </w:tc>
        <w:tc>
          <w:tcPr>
            <w:tcW w:w="1025" w:type="dxa"/>
            <w:tcBorders>
              <w:top w:val="single" w:sz="4" w:space="0" w:color="auto"/>
              <w:left w:val="nil"/>
              <w:bottom w:val="single" w:sz="4" w:space="0" w:color="auto"/>
              <w:right w:val="nil"/>
            </w:tcBorders>
            <w:shd w:val="clear" w:color="auto" w:fill="auto"/>
            <w:vAlign w:val="center"/>
            <w:hideMark/>
          </w:tcPr>
          <w:p w14:paraId="16D25680" w14:textId="22B2FE87" w:rsidR="00BA526A" w:rsidRPr="00BA526A" w:rsidRDefault="00BA526A" w:rsidP="00BA526A">
            <w:pPr>
              <w:spacing w:after="0" w:line="240" w:lineRule="auto"/>
              <w:jc w:val="center"/>
              <w:rPr>
                <w:b/>
                <w:bCs/>
                <w:sz w:val="18"/>
                <w:szCs w:val="18"/>
                <w:lang w:eastAsia="sk-SK"/>
              </w:rPr>
            </w:pPr>
            <w:r w:rsidRPr="00BA526A">
              <w:rPr>
                <w:b/>
                <w:bCs/>
                <w:sz w:val="18"/>
                <w:szCs w:val="18"/>
                <w:lang w:eastAsia="sk-SK"/>
              </w:rPr>
              <w:br/>
              <w:t>2021 S</w:t>
            </w:r>
          </w:p>
        </w:tc>
        <w:tc>
          <w:tcPr>
            <w:tcW w:w="1042" w:type="dxa"/>
            <w:tcBorders>
              <w:top w:val="single" w:sz="4" w:space="0" w:color="auto"/>
              <w:left w:val="nil"/>
              <w:bottom w:val="single" w:sz="4" w:space="0" w:color="auto"/>
              <w:right w:val="nil"/>
            </w:tcBorders>
            <w:shd w:val="clear" w:color="auto" w:fill="auto"/>
            <w:vAlign w:val="center"/>
            <w:hideMark/>
          </w:tcPr>
          <w:p w14:paraId="1E4D2094" w14:textId="42E47CAC" w:rsidR="00BA526A" w:rsidRPr="00BA526A" w:rsidRDefault="00BA526A" w:rsidP="00BA526A">
            <w:pPr>
              <w:spacing w:after="0" w:line="240" w:lineRule="auto"/>
              <w:jc w:val="center"/>
              <w:rPr>
                <w:b/>
                <w:bCs/>
                <w:sz w:val="18"/>
                <w:szCs w:val="18"/>
                <w:lang w:eastAsia="sk-SK"/>
              </w:rPr>
            </w:pPr>
            <w:r w:rsidRPr="00BA526A">
              <w:rPr>
                <w:b/>
                <w:bCs/>
                <w:sz w:val="18"/>
                <w:szCs w:val="18"/>
                <w:lang w:eastAsia="sk-SK"/>
              </w:rPr>
              <w:br/>
              <w:t>2022 S</w:t>
            </w:r>
          </w:p>
        </w:tc>
        <w:tc>
          <w:tcPr>
            <w:tcW w:w="996" w:type="dxa"/>
            <w:tcBorders>
              <w:top w:val="single" w:sz="4" w:space="0" w:color="auto"/>
              <w:left w:val="nil"/>
              <w:bottom w:val="single" w:sz="4" w:space="0" w:color="auto"/>
              <w:right w:val="nil"/>
            </w:tcBorders>
            <w:shd w:val="clear" w:color="auto" w:fill="auto"/>
            <w:vAlign w:val="center"/>
            <w:hideMark/>
          </w:tcPr>
          <w:p w14:paraId="0FE78A76" w14:textId="6EBB67D6" w:rsidR="00BA526A" w:rsidRPr="00BA526A" w:rsidRDefault="00BA526A" w:rsidP="00BA526A">
            <w:pPr>
              <w:spacing w:after="0" w:line="240" w:lineRule="auto"/>
              <w:jc w:val="center"/>
              <w:rPr>
                <w:b/>
                <w:bCs/>
                <w:sz w:val="18"/>
                <w:szCs w:val="18"/>
                <w:lang w:eastAsia="sk-SK"/>
              </w:rPr>
            </w:pPr>
            <w:r w:rsidRPr="00BA526A">
              <w:rPr>
                <w:b/>
                <w:bCs/>
                <w:sz w:val="18"/>
                <w:szCs w:val="18"/>
                <w:lang w:eastAsia="sk-SK"/>
              </w:rPr>
              <w:br/>
              <w:t>2022 R</w:t>
            </w:r>
          </w:p>
        </w:tc>
        <w:tc>
          <w:tcPr>
            <w:tcW w:w="1017" w:type="dxa"/>
            <w:tcBorders>
              <w:top w:val="single" w:sz="4" w:space="0" w:color="auto"/>
              <w:left w:val="nil"/>
              <w:bottom w:val="single" w:sz="4" w:space="0" w:color="auto"/>
              <w:right w:val="nil"/>
            </w:tcBorders>
            <w:shd w:val="clear" w:color="auto" w:fill="auto"/>
            <w:vAlign w:val="center"/>
            <w:hideMark/>
          </w:tcPr>
          <w:p w14:paraId="40B7894A" w14:textId="4EB2B3C4" w:rsidR="00BA526A" w:rsidRPr="00BA526A" w:rsidRDefault="00BA526A" w:rsidP="00BA526A">
            <w:pPr>
              <w:spacing w:after="0" w:line="240" w:lineRule="auto"/>
              <w:jc w:val="center"/>
              <w:rPr>
                <w:b/>
                <w:bCs/>
                <w:sz w:val="18"/>
                <w:szCs w:val="18"/>
                <w:lang w:eastAsia="sk-SK"/>
              </w:rPr>
            </w:pPr>
            <w:r w:rsidRPr="00BA526A">
              <w:rPr>
                <w:b/>
                <w:bCs/>
                <w:sz w:val="18"/>
                <w:szCs w:val="18"/>
                <w:lang w:eastAsia="sk-SK"/>
              </w:rPr>
              <w:t>2022/2021</w:t>
            </w:r>
            <w:r w:rsidRPr="00BA526A">
              <w:rPr>
                <w:b/>
                <w:bCs/>
                <w:sz w:val="18"/>
                <w:szCs w:val="18"/>
                <w:lang w:eastAsia="sk-SK"/>
              </w:rPr>
              <w:br/>
              <w:t>v %</w:t>
            </w:r>
          </w:p>
        </w:tc>
      </w:tr>
      <w:tr w:rsidR="00BA526A" w:rsidRPr="00BB4B6F" w14:paraId="6BAA956D" w14:textId="77777777" w:rsidTr="001768B9">
        <w:trPr>
          <w:trHeight w:val="255"/>
        </w:trPr>
        <w:tc>
          <w:tcPr>
            <w:tcW w:w="4253" w:type="dxa"/>
            <w:tcBorders>
              <w:top w:val="nil"/>
              <w:left w:val="nil"/>
              <w:bottom w:val="nil"/>
              <w:right w:val="nil"/>
            </w:tcBorders>
            <w:shd w:val="clear" w:color="auto" w:fill="auto"/>
            <w:noWrap/>
            <w:vAlign w:val="center"/>
            <w:hideMark/>
          </w:tcPr>
          <w:p w14:paraId="066FBAC1" w14:textId="77777777" w:rsidR="00BA526A" w:rsidRPr="00BA526A" w:rsidRDefault="00BA526A" w:rsidP="00BA526A">
            <w:pPr>
              <w:spacing w:after="0" w:line="240" w:lineRule="auto"/>
              <w:rPr>
                <w:b/>
                <w:bCs/>
                <w:color w:val="000000"/>
                <w:sz w:val="18"/>
                <w:szCs w:val="18"/>
                <w:lang w:eastAsia="sk-SK"/>
              </w:rPr>
            </w:pPr>
            <w:r w:rsidRPr="00BA526A">
              <w:rPr>
                <w:b/>
                <w:bCs/>
                <w:color w:val="000000"/>
                <w:sz w:val="18"/>
                <w:szCs w:val="18"/>
                <w:lang w:eastAsia="sk-SK"/>
              </w:rPr>
              <w:t>Daňové príjmy</w:t>
            </w:r>
          </w:p>
        </w:tc>
        <w:tc>
          <w:tcPr>
            <w:tcW w:w="1180" w:type="dxa"/>
            <w:tcBorders>
              <w:top w:val="nil"/>
              <w:left w:val="nil"/>
              <w:bottom w:val="nil"/>
              <w:right w:val="nil"/>
            </w:tcBorders>
            <w:shd w:val="clear" w:color="auto" w:fill="auto"/>
            <w:noWrap/>
            <w:vAlign w:val="bottom"/>
            <w:hideMark/>
          </w:tcPr>
          <w:p w14:paraId="075C3EB5" w14:textId="170BEC16" w:rsidR="00BA526A" w:rsidRPr="00BB4B6F" w:rsidRDefault="00BA526A" w:rsidP="00BA526A">
            <w:pPr>
              <w:spacing w:after="0" w:line="240" w:lineRule="auto"/>
              <w:jc w:val="right"/>
              <w:rPr>
                <w:b/>
                <w:bCs/>
                <w:sz w:val="18"/>
                <w:szCs w:val="18"/>
                <w:highlight w:val="yellow"/>
                <w:lang w:eastAsia="sk-SK"/>
              </w:rPr>
            </w:pPr>
            <w:r>
              <w:rPr>
                <w:b/>
                <w:bCs/>
                <w:sz w:val="18"/>
                <w:szCs w:val="18"/>
              </w:rPr>
              <w:t>17 935 110</w:t>
            </w:r>
          </w:p>
        </w:tc>
        <w:tc>
          <w:tcPr>
            <w:tcW w:w="1025" w:type="dxa"/>
            <w:tcBorders>
              <w:top w:val="nil"/>
              <w:left w:val="nil"/>
              <w:bottom w:val="nil"/>
              <w:right w:val="nil"/>
            </w:tcBorders>
            <w:shd w:val="clear" w:color="auto" w:fill="auto"/>
            <w:noWrap/>
            <w:vAlign w:val="bottom"/>
            <w:hideMark/>
          </w:tcPr>
          <w:p w14:paraId="78DE48E4" w14:textId="4CB395FC" w:rsidR="00BA526A" w:rsidRPr="00BB4B6F" w:rsidRDefault="00BA526A" w:rsidP="00BA526A">
            <w:pPr>
              <w:spacing w:after="0" w:line="240" w:lineRule="auto"/>
              <w:jc w:val="right"/>
              <w:rPr>
                <w:b/>
                <w:bCs/>
                <w:sz w:val="18"/>
                <w:szCs w:val="18"/>
                <w:highlight w:val="yellow"/>
                <w:lang w:eastAsia="sk-SK"/>
              </w:rPr>
            </w:pPr>
            <w:r>
              <w:rPr>
                <w:b/>
                <w:bCs/>
                <w:sz w:val="18"/>
                <w:szCs w:val="18"/>
              </w:rPr>
              <w:t>19 884 148</w:t>
            </w:r>
          </w:p>
        </w:tc>
        <w:tc>
          <w:tcPr>
            <w:tcW w:w="1042" w:type="dxa"/>
            <w:tcBorders>
              <w:top w:val="single" w:sz="4" w:space="0" w:color="auto"/>
              <w:left w:val="nil"/>
              <w:bottom w:val="nil"/>
              <w:right w:val="nil"/>
            </w:tcBorders>
            <w:shd w:val="clear" w:color="000000" w:fill="auto"/>
            <w:noWrap/>
            <w:vAlign w:val="bottom"/>
            <w:hideMark/>
          </w:tcPr>
          <w:p w14:paraId="029F5A4D" w14:textId="79E760F6" w:rsidR="00BA526A" w:rsidRPr="00BB4B6F" w:rsidRDefault="00BA526A" w:rsidP="00BA526A">
            <w:pPr>
              <w:spacing w:after="0" w:line="240" w:lineRule="auto"/>
              <w:jc w:val="right"/>
              <w:rPr>
                <w:b/>
                <w:bCs/>
                <w:sz w:val="18"/>
                <w:szCs w:val="18"/>
                <w:highlight w:val="yellow"/>
                <w:lang w:eastAsia="sk-SK"/>
              </w:rPr>
            </w:pPr>
            <w:r>
              <w:rPr>
                <w:b/>
                <w:bCs/>
                <w:sz w:val="18"/>
                <w:szCs w:val="18"/>
              </w:rPr>
              <w:t>21 961 208</w:t>
            </w:r>
          </w:p>
        </w:tc>
        <w:tc>
          <w:tcPr>
            <w:tcW w:w="996" w:type="dxa"/>
            <w:tcBorders>
              <w:top w:val="nil"/>
              <w:left w:val="nil"/>
              <w:bottom w:val="nil"/>
              <w:right w:val="nil"/>
            </w:tcBorders>
            <w:shd w:val="clear" w:color="auto" w:fill="auto"/>
            <w:noWrap/>
            <w:vAlign w:val="bottom"/>
            <w:hideMark/>
          </w:tcPr>
          <w:p w14:paraId="3657FF09" w14:textId="087EFF7C" w:rsidR="00BA526A" w:rsidRPr="00BB4B6F" w:rsidRDefault="00BA526A" w:rsidP="00BA526A">
            <w:pPr>
              <w:spacing w:after="0" w:line="240" w:lineRule="auto"/>
              <w:jc w:val="right"/>
              <w:rPr>
                <w:b/>
                <w:bCs/>
                <w:sz w:val="18"/>
                <w:szCs w:val="18"/>
                <w:highlight w:val="yellow"/>
                <w:lang w:eastAsia="sk-SK"/>
              </w:rPr>
            </w:pPr>
            <w:r>
              <w:rPr>
                <w:b/>
                <w:bCs/>
                <w:sz w:val="18"/>
                <w:szCs w:val="18"/>
              </w:rPr>
              <w:t>21 473 142</w:t>
            </w:r>
          </w:p>
        </w:tc>
        <w:tc>
          <w:tcPr>
            <w:tcW w:w="1017" w:type="dxa"/>
            <w:tcBorders>
              <w:top w:val="nil"/>
              <w:left w:val="nil"/>
              <w:bottom w:val="nil"/>
              <w:right w:val="nil"/>
            </w:tcBorders>
            <w:shd w:val="clear" w:color="auto" w:fill="auto"/>
            <w:noWrap/>
            <w:vAlign w:val="bottom"/>
            <w:hideMark/>
          </w:tcPr>
          <w:p w14:paraId="68DFC58D" w14:textId="481BF161" w:rsidR="00BA526A" w:rsidRPr="00BB4B6F" w:rsidRDefault="00BA526A" w:rsidP="00BA526A">
            <w:pPr>
              <w:spacing w:after="0" w:line="240" w:lineRule="auto"/>
              <w:ind w:right="188"/>
              <w:jc w:val="right"/>
              <w:rPr>
                <w:b/>
                <w:bCs/>
                <w:sz w:val="18"/>
                <w:szCs w:val="18"/>
                <w:highlight w:val="yellow"/>
                <w:lang w:eastAsia="sk-SK"/>
              </w:rPr>
            </w:pPr>
            <w:r>
              <w:rPr>
                <w:b/>
                <w:bCs/>
                <w:sz w:val="18"/>
                <w:szCs w:val="18"/>
              </w:rPr>
              <w:t>10,4</w:t>
            </w:r>
          </w:p>
        </w:tc>
      </w:tr>
      <w:tr w:rsidR="00BA526A" w:rsidRPr="00BB4B6F" w14:paraId="4C13574F" w14:textId="77777777" w:rsidTr="001768B9">
        <w:trPr>
          <w:trHeight w:val="255"/>
        </w:trPr>
        <w:tc>
          <w:tcPr>
            <w:tcW w:w="4253" w:type="dxa"/>
            <w:tcBorders>
              <w:top w:val="nil"/>
              <w:left w:val="nil"/>
              <w:bottom w:val="nil"/>
              <w:right w:val="nil"/>
            </w:tcBorders>
            <w:shd w:val="clear" w:color="auto" w:fill="auto"/>
            <w:noWrap/>
            <w:vAlign w:val="center"/>
            <w:hideMark/>
          </w:tcPr>
          <w:p w14:paraId="0A336352"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Dane z produkcie a dovozu</w:t>
            </w:r>
          </w:p>
        </w:tc>
        <w:tc>
          <w:tcPr>
            <w:tcW w:w="1180" w:type="dxa"/>
            <w:tcBorders>
              <w:top w:val="nil"/>
              <w:left w:val="nil"/>
              <w:bottom w:val="nil"/>
              <w:right w:val="nil"/>
            </w:tcBorders>
            <w:shd w:val="clear" w:color="auto" w:fill="auto"/>
            <w:noWrap/>
            <w:vAlign w:val="bottom"/>
            <w:hideMark/>
          </w:tcPr>
          <w:p w14:paraId="707609D7" w14:textId="1272625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11 252 812</w:t>
            </w:r>
          </w:p>
        </w:tc>
        <w:tc>
          <w:tcPr>
            <w:tcW w:w="1025" w:type="dxa"/>
            <w:tcBorders>
              <w:top w:val="nil"/>
              <w:left w:val="nil"/>
              <w:bottom w:val="nil"/>
              <w:right w:val="nil"/>
            </w:tcBorders>
            <w:shd w:val="clear" w:color="auto" w:fill="auto"/>
            <w:noWrap/>
            <w:vAlign w:val="bottom"/>
            <w:hideMark/>
          </w:tcPr>
          <w:p w14:paraId="7B648120" w14:textId="751BF9A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12 056 538</w:t>
            </w:r>
          </w:p>
        </w:tc>
        <w:tc>
          <w:tcPr>
            <w:tcW w:w="1042" w:type="dxa"/>
            <w:tcBorders>
              <w:top w:val="nil"/>
              <w:left w:val="nil"/>
              <w:bottom w:val="nil"/>
              <w:right w:val="nil"/>
            </w:tcBorders>
            <w:shd w:val="clear" w:color="000000" w:fill="auto"/>
            <w:noWrap/>
            <w:vAlign w:val="bottom"/>
            <w:hideMark/>
          </w:tcPr>
          <w:p w14:paraId="59BAAAED" w14:textId="588357D3" w:rsidR="00BA526A" w:rsidRPr="00BB4B6F" w:rsidRDefault="00BA526A" w:rsidP="00BA526A">
            <w:pPr>
              <w:spacing w:after="0" w:line="240" w:lineRule="auto"/>
              <w:jc w:val="right"/>
              <w:rPr>
                <w:sz w:val="18"/>
                <w:szCs w:val="18"/>
                <w:highlight w:val="yellow"/>
                <w:lang w:eastAsia="sk-SK"/>
              </w:rPr>
            </w:pPr>
            <w:r>
              <w:rPr>
                <w:sz w:val="18"/>
                <w:szCs w:val="18"/>
              </w:rPr>
              <w:t>13 479 888</w:t>
            </w:r>
          </w:p>
        </w:tc>
        <w:tc>
          <w:tcPr>
            <w:tcW w:w="996" w:type="dxa"/>
            <w:tcBorders>
              <w:top w:val="nil"/>
              <w:left w:val="nil"/>
              <w:bottom w:val="nil"/>
              <w:right w:val="nil"/>
            </w:tcBorders>
            <w:shd w:val="clear" w:color="auto" w:fill="auto"/>
            <w:noWrap/>
            <w:vAlign w:val="bottom"/>
            <w:hideMark/>
          </w:tcPr>
          <w:p w14:paraId="693C1B24" w14:textId="77AD49B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13 304 463</w:t>
            </w:r>
          </w:p>
        </w:tc>
        <w:tc>
          <w:tcPr>
            <w:tcW w:w="1017" w:type="dxa"/>
            <w:tcBorders>
              <w:top w:val="nil"/>
              <w:left w:val="nil"/>
              <w:bottom w:val="nil"/>
              <w:right w:val="nil"/>
            </w:tcBorders>
            <w:shd w:val="clear" w:color="auto" w:fill="auto"/>
            <w:noWrap/>
            <w:vAlign w:val="bottom"/>
            <w:hideMark/>
          </w:tcPr>
          <w:p w14:paraId="41EA1423" w14:textId="2AA529A8"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11,8</w:t>
            </w:r>
          </w:p>
        </w:tc>
      </w:tr>
      <w:tr w:rsidR="00BA526A" w:rsidRPr="00BB4B6F" w14:paraId="7E13B853" w14:textId="77777777" w:rsidTr="001768B9">
        <w:trPr>
          <w:trHeight w:val="255"/>
        </w:trPr>
        <w:tc>
          <w:tcPr>
            <w:tcW w:w="4253" w:type="dxa"/>
            <w:tcBorders>
              <w:top w:val="nil"/>
              <w:left w:val="nil"/>
              <w:bottom w:val="nil"/>
              <w:right w:val="nil"/>
            </w:tcBorders>
            <w:shd w:val="clear" w:color="auto" w:fill="auto"/>
            <w:vAlign w:val="center"/>
            <w:hideMark/>
          </w:tcPr>
          <w:p w14:paraId="1D094E50"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Daň z pridanej hodnoty</w:t>
            </w:r>
          </w:p>
        </w:tc>
        <w:tc>
          <w:tcPr>
            <w:tcW w:w="1180" w:type="dxa"/>
            <w:tcBorders>
              <w:top w:val="nil"/>
              <w:left w:val="nil"/>
              <w:bottom w:val="nil"/>
              <w:right w:val="nil"/>
            </w:tcBorders>
            <w:shd w:val="clear" w:color="auto" w:fill="auto"/>
            <w:noWrap/>
            <w:vAlign w:val="bottom"/>
            <w:hideMark/>
          </w:tcPr>
          <w:p w14:paraId="090E1A06" w14:textId="1B50E42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6 820 217</w:t>
            </w:r>
          </w:p>
        </w:tc>
        <w:tc>
          <w:tcPr>
            <w:tcW w:w="1025" w:type="dxa"/>
            <w:tcBorders>
              <w:top w:val="nil"/>
              <w:left w:val="nil"/>
              <w:bottom w:val="nil"/>
              <w:right w:val="nil"/>
            </w:tcBorders>
            <w:shd w:val="clear" w:color="auto" w:fill="auto"/>
            <w:noWrap/>
            <w:vAlign w:val="bottom"/>
            <w:hideMark/>
          </w:tcPr>
          <w:p w14:paraId="7D090C2D" w14:textId="0D1DFF7E"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7 494 069</w:t>
            </w:r>
          </w:p>
        </w:tc>
        <w:tc>
          <w:tcPr>
            <w:tcW w:w="1042" w:type="dxa"/>
            <w:tcBorders>
              <w:top w:val="nil"/>
              <w:left w:val="nil"/>
              <w:bottom w:val="nil"/>
              <w:right w:val="nil"/>
            </w:tcBorders>
            <w:shd w:val="clear" w:color="000000" w:fill="auto"/>
            <w:noWrap/>
            <w:vAlign w:val="bottom"/>
            <w:hideMark/>
          </w:tcPr>
          <w:p w14:paraId="5F251CCC" w14:textId="5A9748B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8 440 844</w:t>
            </w:r>
          </w:p>
        </w:tc>
        <w:tc>
          <w:tcPr>
            <w:tcW w:w="996" w:type="dxa"/>
            <w:tcBorders>
              <w:top w:val="nil"/>
              <w:left w:val="nil"/>
              <w:bottom w:val="nil"/>
              <w:right w:val="nil"/>
            </w:tcBorders>
            <w:shd w:val="clear" w:color="auto" w:fill="auto"/>
            <w:noWrap/>
            <w:vAlign w:val="bottom"/>
            <w:hideMark/>
          </w:tcPr>
          <w:p w14:paraId="2DCEA117" w14:textId="1DF9EAC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8 796 163</w:t>
            </w:r>
          </w:p>
        </w:tc>
        <w:tc>
          <w:tcPr>
            <w:tcW w:w="1017" w:type="dxa"/>
            <w:tcBorders>
              <w:top w:val="nil"/>
              <w:left w:val="nil"/>
              <w:bottom w:val="nil"/>
              <w:right w:val="nil"/>
            </w:tcBorders>
            <w:shd w:val="clear" w:color="auto" w:fill="auto"/>
            <w:noWrap/>
            <w:vAlign w:val="bottom"/>
            <w:hideMark/>
          </w:tcPr>
          <w:p w14:paraId="6B06C72B" w14:textId="6187C7A1"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12,6</w:t>
            </w:r>
          </w:p>
        </w:tc>
      </w:tr>
      <w:tr w:rsidR="00BA526A" w:rsidRPr="00BB4B6F" w14:paraId="29224364" w14:textId="77777777" w:rsidTr="001768B9">
        <w:trPr>
          <w:trHeight w:val="255"/>
        </w:trPr>
        <w:tc>
          <w:tcPr>
            <w:tcW w:w="4253" w:type="dxa"/>
            <w:tcBorders>
              <w:top w:val="nil"/>
              <w:left w:val="nil"/>
              <w:bottom w:val="nil"/>
              <w:right w:val="nil"/>
            </w:tcBorders>
            <w:shd w:val="clear" w:color="auto" w:fill="auto"/>
            <w:vAlign w:val="center"/>
            <w:hideMark/>
          </w:tcPr>
          <w:p w14:paraId="55934428"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Spotrebné dane</w:t>
            </w:r>
          </w:p>
        </w:tc>
        <w:tc>
          <w:tcPr>
            <w:tcW w:w="1180" w:type="dxa"/>
            <w:tcBorders>
              <w:top w:val="nil"/>
              <w:left w:val="nil"/>
              <w:bottom w:val="nil"/>
              <w:right w:val="nil"/>
            </w:tcBorders>
            <w:shd w:val="clear" w:color="auto" w:fill="auto"/>
            <w:noWrap/>
            <w:vAlign w:val="bottom"/>
            <w:hideMark/>
          </w:tcPr>
          <w:p w14:paraId="0DAAA40D" w14:textId="405B2B7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2 752 268</w:t>
            </w:r>
          </w:p>
        </w:tc>
        <w:tc>
          <w:tcPr>
            <w:tcW w:w="1025" w:type="dxa"/>
            <w:tcBorders>
              <w:top w:val="nil"/>
              <w:left w:val="nil"/>
              <w:bottom w:val="nil"/>
              <w:right w:val="nil"/>
            </w:tcBorders>
            <w:shd w:val="clear" w:color="auto" w:fill="auto"/>
            <w:noWrap/>
            <w:vAlign w:val="bottom"/>
            <w:hideMark/>
          </w:tcPr>
          <w:p w14:paraId="66644151" w14:textId="03376BB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2 958 344</w:t>
            </w:r>
          </w:p>
        </w:tc>
        <w:tc>
          <w:tcPr>
            <w:tcW w:w="1042" w:type="dxa"/>
            <w:tcBorders>
              <w:top w:val="nil"/>
              <w:left w:val="nil"/>
              <w:bottom w:val="nil"/>
              <w:right w:val="nil"/>
            </w:tcBorders>
            <w:shd w:val="clear" w:color="000000" w:fill="auto"/>
            <w:noWrap/>
            <w:vAlign w:val="bottom"/>
            <w:hideMark/>
          </w:tcPr>
          <w:p w14:paraId="2F2A9BEA" w14:textId="54CF87D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2 797 344</w:t>
            </w:r>
          </w:p>
        </w:tc>
        <w:tc>
          <w:tcPr>
            <w:tcW w:w="996" w:type="dxa"/>
            <w:tcBorders>
              <w:top w:val="nil"/>
              <w:left w:val="nil"/>
              <w:bottom w:val="nil"/>
              <w:right w:val="nil"/>
            </w:tcBorders>
            <w:shd w:val="clear" w:color="auto" w:fill="auto"/>
            <w:noWrap/>
            <w:vAlign w:val="bottom"/>
            <w:hideMark/>
          </w:tcPr>
          <w:p w14:paraId="10AC3188" w14:textId="4874A4D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2 906 744</w:t>
            </w:r>
          </w:p>
        </w:tc>
        <w:tc>
          <w:tcPr>
            <w:tcW w:w="1017" w:type="dxa"/>
            <w:tcBorders>
              <w:top w:val="nil"/>
              <w:left w:val="nil"/>
              <w:bottom w:val="nil"/>
              <w:right w:val="nil"/>
            </w:tcBorders>
            <w:shd w:val="clear" w:color="auto" w:fill="auto"/>
            <w:noWrap/>
            <w:vAlign w:val="bottom"/>
            <w:hideMark/>
          </w:tcPr>
          <w:p w14:paraId="38F4F9DC" w14:textId="6A035D0A"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-5,4</w:t>
            </w:r>
          </w:p>
        </w:tc>
      </w:tr>
      <w:tr w:rsidR="00BA526A" w:rsidRPr="00BB4B6F" w14:paraId="3854C2DD" w14:textId="77777777" w:rsidTr="001768B9">
        <w:trPr>
          <w:trHeight w:val="255"/>
        </w:trPr>
        <w:tc>
          <w:tcPr>
            <w:tcW w:w="4253" w:type="dxa"/>
            <w:tcBorders>
              <w:top w:val="nil"/>
              <w:left w:val="nil"/>
              <w:bottom w:val="nil"/>
              <w:right w:val="nil"/>
            </w:tcBorders>
            <w:shd w:val="clear" w:color="auto" w:fill="auto"/>
            <w:vAlign w:val="center"/>
            <w:hideMark/>
          </w:tcPr>
          <w:p w14:paraId="22801E55"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Daň z nehnuteľnosti a iné</w:t>
            </w:r>
          </w:p>
        </w:tc>
        <w:tc>
          <w:tcPr>
            <w:tcW w:w="1180" w:type="dxa"/>
            <w:tcBorders>
              <w:top w:val="nil"/>
              <w:left w:val="nil"/>
              <w:bottom w:val="nil"/>
              <w:right w:val="nil"/>
            </w:tcBorders>
            <w:shd w:val="clear" w:color="auto" w:fill="auto"/>
            <w:noWrap/>
            <w:vAlign w:val="bottom"/>
            <w:hideMark/>
          </w:tcPr>
          <w:p w14:paraId="281875E7" w14:textId="2E61F06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402 211</w:t>
            </w:r>
          </w:p>
        </w:tc>
        <w:tc>
          <w:tcPr>
            <w:tcW w:w="1025" w:type="dxa"/>
            <w:tcBorders>
              <w:top w:val="nil"/>
              <w:left w:val="nil"/>
              <w:bottom w:val="nil"/>
              <w:right w:val="nil"/>
            </w:tcBorders>
            <w:shd w:val="clear" w:color="auto" w:fill="auto"/>
            <w:noWrap/>
            <w:vAlign w:val="bottom"/>
            <w:hideMark/>
          </w:tcPr>
          <w:p w14:paraId="4D6FDC49" w14:textId="6E9F3DC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428 351</w:t>
            </w:r>
          </w:p>
        </w:tc>
        <w:tc>
          <w:tcPr>
            <w:tcW w:w="1042" w:type="dxa"/>
            <w:tcBorders>
              <w:top w:val="nil"/>
              <w:left w:val="nil"/>
              <w:bottom w:val="nil"/>
              <w:right w:val="nil"/>
            </w:tcBorders>
            <w:shd w:val="clear" w:color="000000" w:fill="auto"/>
            <w:noWrap/>
            <w:vAlign w:val="bottom"/>
            <w:hideMark/>
          </w:tcPr>
          <w:p w14:paraId="5762AD4B" w14:textId="4DC88BB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431 799</w:t>
            </w:r>
          </w:p>
        </w:tc>
        <w:tc>
          <w:tcPr>
            <w:tcW w:w="996" w:type="dxa"/>
            <w:tcBorders>
              <w:top w:val="nil"/>
              <w:left w:val="nil"/>
              <w:bottom w:val="nil"/>
              <w:right w:val="nil"/>
            </w:tcBorders>
            <w:shd w:val="clear" w:color="auto" w:fill="auto"/>
            <w:noWrap/>
            <w:vAlign w:val="bottom"/>
            <w:hideMark/>
          </w:tcPr>
          <w:p w14:paraId="7F9EE8BD" w14:textId="2D87EB1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429 044</w:t>
            </w:r>
          </w:p>
        </w:tc>
        <w:tc>
          <w:tcPr>
            <w:tcW w:w="1017" w:type="dxa"/>
            <w:tcBorders>
              <w:top w:val="nil"/>
              <w:left w:val="nil"/>
              <w:bottom w:val="nil"/>
              <w:right w:val="nil"/>
            </w:tcBorders>
            <w:shd w:val="clear" w:color="auto" w:fill="auto"/>
            <w:noWrap/>
            <w:vAlign w:val="bottom"/>
            <w:hideMark/>
          </w:tcPr>
          <w:p w14:paraId="0E539A57" w14:textId="749F3295"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0,8</w:t>
            </w:r>
          </w:p>
        </w:tc>
      </w:tr>
      <w:tr w:rsidR="00BA526A" w:rsidRPr="00BB4B6F" w14:paraId="6A9A1891" w14:textId="77777777" w:rsidTr="001768B9">
        <w:trPr>
          <w:trHeight w:val="255"/>
        </w:trPr>
        <w:tc>
          <w:tcPr>
            <w:tcW w:w="4253" w:type="dxa"/>
            <w:tcBorders>
              <w:top w:val="nil"/>
              <w:left w:val="nil"/>
              <w:bottom w:val="nil"/>
              <w:right w:val="nil"/>
            </w:tcBorders>
            <w:shd w:val="clear" w:color="auto" w:fill="auto"/>
            <w:vAlign w:val="center"/>
            <w:hideMark/>
          </w:tcPr>
          <w:p w14:paraId="26C46829"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Osobitný odvod vybraných fin. inštitúcii</w:t>
            </w:r>
          </w:p>
        </w:tc>
        <w:tc>
          <w:tcPr>
            <w:tcW w:w="1180" w:type="dxa"/>
            <w:tcBorders>
              <w:top w:val="nil"/>
              <w:left w:val="nil"/>
              <w:bottom w:val="nil"/>
              <w:right w:val="nil"/>
            </w:tcBorders>
            <w:shd w:val="clear" w:color="auto" w:fill="auto"/>
            <w:noWrap/>
            <w:vAlign w:val="bottom"/>
            <w:hideMark/>
          </w:tcPr>
          <w:p w14:paraId="57DCB87F" w14:textId="1B46E08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148 950</w:t>
            </w:r>
          </w:p>
        </w:tc>
        <w:tc>
          <w:tcPr>
            <w:tcW w:w="1025" w:type="dxa"/>
            <w:tcBorders>
              <w:top w:val="nil"/>
              <w:left w:val="nil"/>
              <w:bottom w:val="nil"/>
              <w:right w:val="nil"/>
            </w:tcBorders>
            <w:shd w:val="clear" w:color="auto" w:fill="auto"/>
            <w:noWrap/>
            <w:vAlign w:val="bottom"/>
            <w:hideMark/>
          </w:tcPr>
          <w:p w14:paraId="499EC48A" w14:textId="37BEB27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0</w:t>
            </w:r>
          </w:p>
        </w:tc>
        <w:tc>
          <w:tcPr>
            <w:tcW w:w="1042" w:type="dxa"/>
            <w:tcBorders>
              <w:top w:val="nil"/>
              <w:left w:val="nil"/>
              <w:bottom w:val="nil"/>
              <w:right w:val="nil"/>
            </w:tcBorders>
            <w:shd w:val="clear" w:color="000000" w:fill="auto"/>
            <w:noWrap/>
            <w:vAlign w:val="bottom"/>
            <w:hideMark/>
          </w:tcPr>
          <w:p w14:paraId="6AE6CB41" w14:textId="0DD221A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0</w:t>
            </w:r>
          </w:p>
        </w:tc>
        <w:tc>
          <w:tcPr>
            <w:tcW w:w="996" w:type="dxa"/>
            <w:tcBorders>
              <w:top w:val="nil"/>
              <w:left w:val="nil"/>
              <w:bottom w:val="nil"/>
              <w:right w:val="nil"/>
            </w:tcBorders>
            <w:shd w:val="clear" w:color="auto" w:fill="auto"/>
            <w:noWrap/>
            <w:vAlign w:val="bottom"/>
            <w:hideMark/>
          </w:tcPr>
          <w:p w14:paraId="331076BF" w14:textId="501D609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0</w:t>
            </w:r>
          </w:p>
        </w:tc>
        <w:tc>
          <w:tcPr>
            <w:tcW w:w="1017" w:type="dxa"/>
            <w:tcBorders>
              <w:top w:val="nil"/>
              <w:left w:val="nil"/>
              <w:bottom w:val="nil"/>
              <w:right w:val="nil"/>
            </w:tcBorders>
            <w:shd w:val="clear" w:color="auto" w:fill="auto"/>
            <w:noWrap/>
            <w:vAlign w:val="bottom"/>
            <w:hideMark/>
          </w:tcPr>
          <w:p w14:paraId="19A85A3A" w14:textId="0980A23F"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0,0</w:t>
            </w:r>
          </w:p>
        </w:tc>
      </w:tr>
      <w:tr w:rsidR="00BA526A" w:rsidRPr="00BB4B6F" w14:paraId="457CC804" w14:textId="77777777" w:rsidTr="001768B9">
        <w:trPr>
          <w:trHeight w:val="255"/>
        </w:trPr>
        <w:tc>
          <w:tcPr>
            <w:tcW w:w="4253" w:type="dxa"/>
            <w:tcBorders>
              <w:top w:val="nil"/>
              <w:left w:val="nil"/>
              <w:bottom w:val="nil"/>
              <w:right w:val="nil"/>
            </w:tcBorders>
            <w:shd w:val="clear" w:color="auto" w:fill="auto"/>
            <w:vAlign w:val="center"/>
            <w:hideMark/>
          </w:tcPr>
          <w:p w14:paraId="34AD670A"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Odvod z hazardných hier</w:t>
            </w:r>
          </w:p>
        </w:tc>
        <w:tc>
          <w:tcPr>
            <w:tcW w:w="1180" w:type="dxa"/>
            <w:tcBorders>
              <w:top w:val="nil"/>
              <w:left w:val="nil"/>
              <w:bottom w:val="nil"/>
              <w:right w:val="nil"/>
            </w:tcBorders>
            <w:shd w:val="clear" w:color="auto" w:fill="auto"/>
            <w:noWrap/>
            <w:vAlign w:val="bottom"/>
            <w:hideMark/>
          </w:tcPr>
          <w:p w14:paraId="7B56C7D7" w14:textId="7A29347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231 196</w:t>
            </w:r>
          </w:p>
        </w:tc>
        <w:tc>
          <w:tcPr>
            <w:tcW w:w="1025" w:type="dxa"/>
            <w:tcBorders>
              <w:top w:val="nil"/>
              <w:left w:val="nil"/>
              <w:bottom w:val="nil"/>
              <w:right w:val="nil"/>
            </w:tcBorders>
            <w:shd w:val="clear" w:color="auto" w:fill="auto"/>
            <w:noWrap/>
            <w:vAlign w:val="bottom"/>
            <w:hideMark/>
          </w:tcPr>
          <w:p w14:paraId="4B3D81CF" w14:textId="13EA0F2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233 004</w:t>
            </w:r>
          </w:p>
        </w:tc>
        <w:tc>
          <w:tcPr>
            <w:tcW w:w="1042" w:type="dxa"/>
            <w:tcBorders>
              <w:top w:val="nil"/>
              <w:left w:val="nil"/>
              <w:bottom w:val="nil"/>
              <w:right w:val="nil"/>
            </w:tcBorders>
            <w:shd w:val="clear" w:color="000000" w:fill="auto"/>
            <w:noWrap/>
            <w:vAlign w:val="bottom"/>
            <w:hideMark/>
          </w:tcPr>
          <w:p w14:paraId="11A9C209" w14:textId="455387C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263 974</w:t>
            </w:r>
          </w:p>
        </w:tc>
        <w:tc>
          <w:tcPr>
            <w:tcW w:w="996" w:type="dxa"/>
            <w:tcBorders>
              <w:top w:val="nil"/>
              <w:left w:val="nil"/>
              <w:bottom w:val="nil"/>
              <w:right w:val="nil"/>
            </w:tcBorders>
            <w:shd w:val="clear" w:color="auto" w:fill="auto"/>
            <w:noWrap/>
            <w:vAlign w:val="bottom"/>
            <w:hideMark/>
          </w:tcPr>
          <w:p w14:paraId="388592F6" w14:textId="08A9616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252 690</w:t>
            </w:r>
          </w:p>
        </w:tc>
        <w:tc>
          <w:tcPr>
            <w:tcW w:w="1017" w:type="dxa"/>
            <w:tcBorders>
              <w:top w:val="nil"/>
              <w:left w:val="nil"/>
              <w:bottom w:val="nil"/>
              <w:right w:val="nil"/>
            </w:tcBorders>
            <w:shd w:val="clear" w:color="auto" w:fill="auto"/>
            <w:noWrap/>
            <w:vAlign w:val="bottom"/>
            <w:hideMark/>
          </w:tcPr>
          <w:p w14:paraId="7763A9FA" w14:textId="6C807161"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13,3</w:t>
            </w:r>
          </w:p>
        </w:tc>
      </w:tr>
      <w:tr w:rsidR="00BA526A" w:rsidRPr="00BB4B6F" w14:paraId="44BAB994" w14:textId="77777777" w:rsidTr="001768B9">
        <w:trPr>
          <w:trHeight w:val="255"/>
        </w:trPr>
        <w:tc>
          <w:tcPr>
            <w:tcW w:w="4253" w:type="dxa"/>
            <w:tcBorders>
              <w:top w:val="nil"/>
              <w:left w:val="nil"/>
              <w:bottom w:val="nil"/>
              <w:right w:val="nil"/>
            </w:tcBorders>
            <w:shd w:val="clear" w:color="auto" w:fill="auto"/>
            <w:vAlign w:val="center"/>
            <w:hideMark/>
          </w:tcPr>
          <w:p w14:paraId="5F122661"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Daň z motorových vozidiel</w:t>
            </w:r>
          </w:p>
        </w:tc>
        <w:tc>
          <w:tcPr>
            <w:tcW w:w="1180" w:type="dxa"/>
            <w:tcBorders>
              <w:top w:val="nil"/>
              <w:left w:val="nil"/>
              <w:bottom w:val="nil"/>
              <w:right w:val="nil"/>
            </w:tcBorders>
            <w:shd w:val="clear" w:color="auto" w:fill="auto"/>
            <w:noWrap/>
            <w:vAlign w:val="bottom"/>
            <w:hideMark/>
          </w:tcPr>
          <w:p w14:paraId="56574AC7" w14:textId="5AD1C03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130 159</w:t>
            </w:r>
          </w:p>
        </w:tc>
        <w:tc>
          <w:tcPr>
            <w:tcW w:w="1025" w:type="dxa"/>
            <w:tcBorders>
              <w:top w:val="nil"/>
              <w:left w:val="nil"/>
              <w:bottom w:val="nil"/>
              <w:right w:val="nil"/>
            </w:tcBorders>
            <w:shd w:val="clear" w:color="auto" w:fill="auto"/>
            <w:noWrap/>
            <w:vAlign w:val="bottom"/>
            <w:hideMark/>
          </w:tcPr>
          <w:p w14:paraId="6DDC9194" w14:textId="01584F4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129 534</w:t>
            </w:r>
          </w:p>
        </w:tc>
        <w:tc>
          <w:tcPr>
            <w:tcW w:w="1042" w:type="dxa"/>
            <w:tcBorders>
              <w:top w:val="nil"/>
              <w:left w:val="nil"/>
              <w:bottom w:val="nil"/>
              <w:right w:val="nil"/>
            </w:tcBorders>
            <w:shd w:val="clear" w:color="000000" w:fill="auto"/>
            <w:noWrap/>
            <w:vAlign w:val="bottom"/>
            <w:hideMark/>
          </w:tcPr>
          <w:p w14:paraId="41C9BA13" w14:textId="347C86D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133 684</w:t>
            </w:r>
          </w:p>
        </w:tc>
        <w:tc>
          <w:tcPr>
            <w:tcW w:w="996" w:type="dxa"/>
            <w:tcBorders>
              <w:top w:val="nil"/>
              <w:left w:val="nil"/>
              <w:bottom w:val="nil"/>
              <w:right w:val="nil"/>
            </w:tcBorders>
            <w:shd w:val="clear" w:color="auto" w:fill="auto"/>
            <w:noWrap/>
            <w:vAlign w:val="bottom"/>
            <w:hideMark/>
          </w:tcPr>
          <w:p w14:paraId="72F44689" w14:textId="5A18ACB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132 250</w:t>
            </w:r>
          </w:p>
        </w:tc>
        <w:tc>
          <w:tcPr>
            <w:tcW w:w="1017" w:type="dxa"/>
            <w:tcBorders>
              <w:top w:val="nil"/>
              <w:left w:val="nil"/>
              <w:bottom w:val="nil"/>
              <w:right w:val="nil"/>
            </w:tcBorders>
            <w:shd w:val="clear" w:color="auto" w:fill="auto"/>
            <w:noWrap/>
            <w:vAlign w:val="bottom"/>
            <w:hideMark/>
          </w:tcPr>
          <w:p w14:paraId="2042FB98" w14:textId="609A19CE"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3,2</w:t>
            </w:r>
          </w:p>
        </w:tc>
      </w:tr>
      <w:tr w:rsidR="00BA526A" w:rsidRPr="00BB4B6F" w14:paraId="09DFA499" w14:textId="77777777" w:rsidTr="001768B9">
        <w:trPr>
          <w:trHeight w:val="255"/>
        </w:trPr>
        <w:tc>
          <w:tcPr>
            <w:tcW w:w="4253" w:type="dxa"/>
            <w:tcBorders>
              <w:top w:val="nil"/>
              <w:left w:val="nil"/>
              <w:bottom w:val="nil"/>
              <w:right w:val="nil"/>
            </w:tcBorders>
            <w:shd w:val="clear" w:color="auto" w:fill="auto"/>
            <w:vAlign w:val="center"/>
            <w:hideMark/>
          </w:tcPr>
          <w:p w14:paraId="4A6E47EB"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Emisné kvóty – príjem z predaja </w:t>
            </w:r>
          </w:p>
        </w:tc>
        <w:tc>
          <w:tcPr>
            <w:tcW w:w="1180" w:type="dxa"/>
            <w:tcBorders>
              <w:top w:val="nil"/>
              <w:left w:val="nil"/>
              <w:bottom w:val="nil"/>
              <w:right w:val="nil"/>
            </w:tcBorders>
            <w:shd w:val="clear" w:color="auto" w:fill="auto"/>
            <w:noWrap/>
            <w:vAlign w:val="bottom"/>
            <w:hideMark/>
          </w:tcPr>
          <w:p w14:paraId="03C9E475" w14:textId="3FE1887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244 184</w:t>
            </w:r>
          </w:p>
        </w:tc>
        <w:tc>
          <w:tcPr>
            <w:tcW w:w="1025" w:type="dxa"/>
            <w:tcBorders>
              <w:top w:val="nil"/>
              <w:left w:val="nil"/>
              <w:bottom w:val="nil"/>
              <w:right w:val="nil"/>
            </w:tcBorders>
            <w:shd w:val="clear" w:color="auto" w:fill="auto"/>
            <w:noWrap/>
            <w:vAlign w:val="bottom"/>
            <w:hideMark/>
          </w:tcPr>
          <w:p w14:paraId="734E070F" w14:textId="074571C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241 826</w:t>
            </w:r>
          </w:p>
        </w:tc>
        <w:tc>
          <w:tcPr>
            <w:tcW w:w="1042" w:type="dxa"/>
            <w:tcBorders>
              <w:top w:val="nil"/>
              <w:left w:val="nil"/>
              <w:bottom w:val="nil"/>
              <w:right w:val="nil"/>
            </w:tcBorders>
            <w:shd w:val="clear" w:color="000000" w:fill="auto"/>
            <w:noWrap/>
            <w:vAlign w:val="bottom"/>
            <w:hideMark/>
          </w:tcPr>
          <w:p w14:paraId="1371D140" w14:textId="24CE8C1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275 889</w:t>
            </w:r>
          </w:p>
        </w:tc>
        <w:tc>
          <w:tcPr>
            <w:tcW w:w="996" w:type="dxa"/>
            <w:tcBorders>
              <w:top w:val="nil"/>
              <w:left w:val="nil"/>
              <w:bottom w:val="nil"/>
              <w:right w:val="nil"/>
            </w:tcBorders>
            <w:shd w:val="clear" w:color="auto" w:fill="auto"/>
            <w:noWrap/>
            <w:vAlign w:val="bottom"/>
            <w:hideMark/>
          </w:tcPr>
          <w:p w14:paraId="10752F0A" w14:textId="4F4F4F9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212 253</w:t>
            </w:r>
          </w:p>
        </w:tc>
        <w:tc>
          <w:tcPr>
            <w:tcW w:w="1017" w:type="dxa"/>
            <w:tcBorders>
              <w:top w:val="nil"/>
              <w:left w:val="nil"/>
              <w:bottom w:val="nil"/>
              <w:right w:val="nil"/>
            </w:tcBorders>
            <w:shd w:val="clear" w:color="auto" w:fill="auto"/>
            <w:noWrap/>
            <w:vAlign w:val="bottom"/>
            <w:hideMark/>
          </w:tcPr>
          <w:p w14:paraId="7A9A3B3E" w14:textId="17C33733"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14,1</w:t>
            </w:r>
          </w:p>
        </w:tc>
      </w:tr>
      <w:tr w:rsidR="00BA526A" w:rsidRPr="00BB4B6F" w14:paraId="29BD2373" w14:textId="77777777" w:rsidTr="001768B9">
        <w:trPr>
          <w:trHeight w:val="255"/>
        </w:trPr>
        <w:tc>
          <w:tcPr>
            <w:tcW w:w="4253" w:type="dxa"/>
            <w:tcBorders>
              <w:top w:val="nil"/>
              <w:left w:val="nil"/>
              <w:bottom w:val="nil"/>
              <w:right w:val="nil"/>
            </w:tcBorders>
            <w:shd w:val="clear" w:color="auto" w:fill="auto"/>
            <w:vAlign w:val="center"/>
            <w:hideMark/>
          </w:tcPr>
          <w:p w14:paraId="63BA4AC9"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Ostatné</w:t>
            </w:r>
          </w:p>
        </w:tc>
        <w:tc>
          <w:tcPr>
            <w:tcW w:w="1180" w:type="dxa"/>
            <w:tcBorders>
              <w:top w:val="nil"/>
              <w:left w:val="nil"/>
              <w:bottom w:val="nil"/>
              <w:right w:val="nil"/>
            </w:tcBorders>
            <w:shd w:val="clear" w:color="auto" w:fill="auto"/>
            <w:noWrap/>
            <w:vAlign w:val="bottom"/>
            <w:hideMark/>
          </w:tcPr>
          <w:p w14:paraId="7CD3EC9D" w14:textId="4B2233D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523 627</w:t>
            </w:r>
          </w:p>
        </w:tc>
        <w:tc>
          <w:tcPr>
            <w:tcW w:w="1025" w:type="dxa"/>
            <w:tcBorders>
              <w:top w:val="nil"/>
              <w:left w:val="nil"/>
              <w:bottom w:val="nil"/>
              <w:right w:val="nil"/>
            </w:tcBorders>
            <w:shd w:val="clear" w:color="auto" w:fill="auto"/>
            <w:noWrap/>
            <w:vAlign w:val="bottom"/>
            <w:hideMark/>
          </w:tcPr>
          <w:p w14:paraId="69293CF1" w14:textId="7638465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571 410</w:t>
            </w:r>
          </w:p>
        </w:tc>
        <w:tc>
          <w:tcPr>
            <w:tcW w:w="1042" w:type="dxa"/>
            <w:tcBorders>
              <w:top w:val="nil"/>
              <w:left w:val="nil"/>
              <w:bottom w:val="nil"/>
              <w:right w:val="nil"/>
            </w:tcBorders>
            <w:shd w:val="clear" w:color="000000" w:fill="auto"/>
            <w:noWrap/>
            <w:vAlign w:val="bottom"/>
            <w:hideMark/>
          </w:tcPr>
          <w:p w14:paraId="6E13D7C5" w14:textId="68B1937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1 136 354</w:t>
            </w:r>
          </w:p>
        </w:tc>
        <w:tc>
          <w:tcPr>
            <w:tcW w:w="996" w:type="dxa"/>
            <w:tcBorders>
              <w:top w:val="nil"/>
              <w:left w:val="nil"/>
              <w:bottom w:val="nil"/>
              <w:right w:val="nil"/>
            </w:tcBorders>
            <w:shd w:val="clear" w:color="auto" w:fill="auto"/>
            <w:noWrap/>
            <w:vAlign w:val="bottom"/>
            <w:hideMark/>
          </w:tcPr>
          <w:p w14:paraId="0A4981D4" w14:textId="2DC3F21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575 319</w:t>
            </w:r>
          </w:p>
        </w:tc>
        <w:tc>
          <w:tcPr>
            <w:tcW w:w="1017" w:type="dxa"/>
            <w:tcBorders>
              <w:top w:val="nil"/>
              <w:left w:val="nil"/>
              <w:bottom w:val="nil"/>
              <w:right w:val="nil"/>
            </w:tcBorders>
            <w:shd w:val="clear" w:color="auto" w:fill="auto"/>
            <w:noWrap/>
            <w:vAlign w:val="bottom"/>
            <w:hideMark/>
          </w:tcPr>
          <w:p w14:paraId="41064CCD" w14:textId="11947802" w:rsidR="00BA526A" w:rsidRPr="00BB4B6F" w:rsidRDefault="00BA526A" w:rsidP="00BA526A">
            <w:pPr>
              <w:spacing w:after="0" w:line="240" w:lineRule="auto"/>
              <w:ind w:right="188"/>
              <w:jc w:val="right"/>
              <w:rPr>
                <w:color w:val="000000"/>
                <w:sz w:val="18"/>
                <w:szCs w:val="18"/>
                <w:highlight w:val="yellow"/>
                <w:lang w:eastAsia="sk-SK"/>
              </w:rPr>
            </w:pPr>
            <w:r w:rsidRPr="00F42C4B">
              <w:rPr>
                <w:color w:val="000000"/>
                <w:sz w:val="18"/>
                <w:szCs w:val="18"/>
              </w:rPr>
              <w:t>98,9</w:t>
            </w:r>
          </w:p>
        </w:tc>
      </w:tr>
      <w:tr w:rsidR="00BA526A" w:rsidRPr="00BB4B6F" w14:paraId="20E42D82" w14:textId="77777777" w:rsidTr="001768B9">
        <w:trPr>
          <w:trHeight w:val="255"/>
        </w:trPr>
        <w:tc>
          <w:tcPr>
            <w:tcW w:w="4253" w:type="dxa"/>
            <w:tcBorders>
              <w:top w:val="nil"/>
              <w:left w:val="nil"/>
              <w:bottom w:val="nil"/>
              <w:right w:val="nil"/>
            </w:tcBorders>
            <w:shd w:val="clear" w:color="auto" w:fill="auto"/>
            <w:vAlign w:val="center"/>
            <w:hideMark/>
          </w:tcPr>
          <w:p w14:paraId="5805B77C"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Bežné dane z dôchodkov, majetku</w:t>
            </w:r>
          </w:p>
        </w:tc>
        <w:tc>
          <w:tcPr>
            <w:tcW w:w="1180" w:type="dxa"/>
            <w:tcBorders>
              <w:top w:val="nil"/>
              <w:left w:val="nil"/>
              <w:bottom w:val="nil"/>
              <w:right w:val="nil"/>
            </w:tcBorders>
            <w:shd w:val="clear" w:color="auto" w:fill="auto"/>
            <w:noWrap/>
            <w:vAlign w:val="bottom"/>
            <w:hideMark/>
          </w:tcPr>
          <w:p w14:paraId="6E5CFF8A" w14:textId="4EB2D7A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6 682 298</w:t>
            </w:r>
          </w:p>
        </w:tc>
        <w:tc>
          <w:tcPr>
            <w:tcW w:w="1025" w:type="dxa"/>
            <w:tcBorders>
              <w:top w:val="nil"/>
              <w:left w:val="nil"/>
              <w:bottom w:val="nil"/>
              <w:right w:val="nil"/>
            </w:tcBorders>
            <w:shd w:val="clear" w:color="auto" w:fill="auto"/>
            <w:noWrap/>
            <w:vAlign w:val="bottom"/>
            <w:hideMark/>
          </w:tcPr>
          <w:p w14:paraId="00C435C4" w14:textId="67C94FB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7 827 610</w:t>
            </w:r>
          </w:p>
        </w:tc>
        <w:tc>
          <w:tcPr>
            <w:tcW w:w="1042" w:type="dxa"/>
            <w:tcBorders>
              <w:top w:val="nil"/>
              <w:left w:val="nil"/>
              <w:bottom w:val="nil"/>
              <w:right w:val="nil"/>
            </w:tcBorders>
            <w:shd w:val="clear" w:color="000000" w:fill="auto"/>
            <w:noWrap/>
            <w:vAlign w:val="bottom"/>
            <w:hideMark/>
          </w:tcPr>
          <w:p w14:paraId="024F5196" w14:textId="334CC76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8 481 320</w:t>
            </w:r>
          </w:p>
        </w:tc>
        <w:tc>
          <w:tcPr>
            <w:tcW w:w="996" w:type="dxa"/>
            <w:tcBorders>
              <w:top w:val="nil"/>
              <w:left w:val="nil"/>
              <w:bottom w:val="nil"/>
              <w:right w:val="nil"/>
            </w:tcBorders>
            <w:shd w:val="clear" w:color="auto" w:fill="auto"/>
            <w:noWrap/>
            <w:vAlign w:val="bottom"/>
            <w:hideMark/>
          </w:tcPr>
          <w:p w14:paraId="37F98F82" w14:textId="05387F8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8 168 679</w:t>
            </w:r>
          </w:p>
        </w:tc>
        <w:tc>
          <w:tcPr>
            <w:tcW w:w="1017" w:type="dxa"/>
            <w:tcBorders>
              <w:top w:val="nil"/>
              <w:left w:val="nil"/>
              <w:bottom w:val="nil"/>
              <w:right w:val="nil"/>
            </w:tcBorders>
            <w:shd w:val="clear" w:color="auto" w:fill="auto"/>
            <w:noWrap/>
            <w:vAlign w:val="bottom"/>
            <w:hideMark/>
          </w:tcPr>
          <w:p w14:paraId="7C032D0C" w14:textId="60045AA8"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8,4</w:t>
            </w:r>
          </w:p>
        </w:tc>
      </w:tr>
      <w:tr w:rsidR="00BA526A" w:rsidRPr="00BB4B6F" w14:paraId="5BD117C2" w14:textId="77777777" w:rsidTr="001768B9">
        <w:trPr>
          <w:trHeight w:val="255"/>
        </w:trPr>
        <w:tc>
          <w:tcPr>
            <w:tcW w:w="4253" w:type="dxa"/>
            <w:tcBorders>
              <w:top w:val="nil"/>
              <w:left w:val="nil"/>
              <w:bottom w:val="nil"/>
              <w:right w:val="nil"/>
            </w:tcBorders>
            <w:shd w:val="clear" w:color="auto" w:fill="auto"/>
            <w:vAlign w:val="center"/>
            <w:hideMark/>
          </w:tcPr>
          <w:p w14:paraId="6CB28959"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Daň z príjmov fyzických osôb</w:t>
            </w:r>
          </w:p>
        </w:tc>
        <w:tc>
          <w:tcPr>
            <w:tcW w:w="1180" w:type="dxa"/>
            <w:tcBorders>
              <w:top w:val="nil"/>
              <w:left w:val="nil"/>
              <w:bottom w:val="nil"/>
              <w:right w:val="nil"/>
            </w:tcBorders>
            <w:shd w:val="clear" w:color="auto" w:fill="auto"/>
            <w:noWrap/>
            <w:vAlign w:val="bottom"/>
            <w:hideMark/>
          </w:tcPr>
          <w:p w14:paraId="184C1338" w14:textId="5D37CF4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3 499 962</w:t>
            </w:r>
          </w:p>
        </w:tc>
        <w:tc>
          <w:tcPr>
            <w:tcW w:w="1025" w:type="dxa"/>
            <w:tcBorders>
              <w:top w:val="nil"/>
              <w:left w:val="nil"/>
              <w:bottom w:val="nil"/>
              <w:right w:val="nil"/>
            </w:tcBorders>
            <w:shd w:val="clear" w:color="auto" w:fill="auto"/>
            <w:noWrap/>
            <w:vAlign w:val="bottom"/>
            <w:hideMark/>
          </w:tcPr>
          <w:p w14:paraId="398A16CC" w14:textId="1F5F387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3 759 707</w:t>
            </w:r>
          </w:p>
        </w:tc>
        <w:tc>
          <w:tcPr>
            <w:tcW w:w="1042" w:type="dxa"/>
            <w:tcBorders>
              <w:top w:val="nil"/>
              <w:left w:val="nil"/>
              <w:bottom w:val="nil"/>
              <w:right w:val="nil"/>
            </w:tcBorders>
            <w:shd w:val="clear" w:color="000000" w:fill="auto"/>
            <w:noWrap/>
            <w:vAlign w:val="bottom"/>
            <w:hideMark/>
          </w:tcPr>
          <w:p w14:paraId="01996695" w14:textId="4381D986"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4 105 563</w:t>
            </w:r>
          </w:p>
        </w:tc>
        <w:tc>
          <w:tcPr>
            <w:tcW w:w="996" w:type="dxa"/>
            <w:tcBorders>
              <w:top w:val="nil"/>
              <w:left w:val="nil"/>
              <w:bottom w:val="nil"/>
              <w:right w:val="nil"/>
            </w:tcBorders>
            <w:shd w:val="clear" w:color="auto" w:fill="auto"/>
            <w:noWrap/>
            <w:vAlign w:val="bottom"/>
            <w:hideMark/>
          </w:tcPr>
          <w:p w14:paraId="750106C4" w14:textId="1FEC877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4 126 284</w:t>
            </w:r>
          </w:p>
        </w:tc>
        <w:tc>
          <w:tcPr>
            <w:tcW w:w="1017" w:type="dxa"/>
            <w:tcBorders>
              <w:top w:val="nil"/>
              <w:left w:val="nil"/>
              <w:bottom w:val="nil"/>
              <w:right w:val="nil"/>
            </w:tcBorders>
            <w:shd w:val="clear" w:color="auto" w:fill="auto"/>
            <w:noWrap/>
            <w:vAlign w:val="bottom"/>
            <w:hideMark/>
          </w:tcPr>
          <w:p w14:paraId="436D8697" w14:textId="72DF8D87"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9,2</w:t>
            </w:r>
          </w:p>
        </w:tc>
      </w:tr>
      <w:tr w:rsidR="00BA526A" w:rsidRPr="00BB4B6F" w14:paraId="0EE3EB0D" w14:textId="77777777" w:rsidTr="001768B9">
        <w:trPr>
          <w:trHeight w:val="255"/>
        </w:trPr>
        <w:tc>
          <w:tcPr>
            <w:tcW w:w="4253" w:type="dxa"/>
            <w:tcBorders>
              <w:top w:val="nil"/>
              <w:left w:val="nil"/>
              <w:bottom w:val="nil"/>
              <w:right w:val="nil"/>
            </w:tcBorders>
            <w:shd w:val="clear" w:color="auto" w:fill="auto"/>
            <w:noWrap/>
            <w:vAlign w:val="bottom"/>
            <w:hideMark/>
          </w:tcPr>
          <w:p w14:paraId="7F89638F" w14:textId="77777777" w:rsidR="00BA526A" w:rsidRPr="00BA526A" w:rsidRDefault="00BA526A" w:rsidP="00BA526A">
            <w:pPr>
              <w:spacing w:after="0" w:line="240" w:lineRule="auto"/>
              <w:ind w:firstLineChars="200" w:firstLine="360"/>
              <w:rPr>
                <w:sz w:val="18"/>
                <w:szCs w:val="18"/>
                <w:lang w:eastAsia="sk-SK"/>
              </w:rPr>
            </w:pPr>
            <w:r w:rsidRPr="00BA526A">
              <w:rPr>
                <w:sz w:val="18"/>
                <w:szCs w:val="18"/>
                <w:lang w:eastAsia="sk-SK"/>
              </w:rPr>
              <w:t xml:space="preserve"> - zo závislej činnosti (</w:t>
            </w:r>
            <w:proofErr w:type="spellStart"/>
            <w:r w:rsidRPr="00BA526A">
              <w:rPr>
                <w:sz w:val="18"/>
                <w:szCs w:val="18"/>
                <w:lang w:eastAsia="sk-SK"/>
              </w:rPr>
              <w:t>akruál</w:t>
            </w:r>
            <w:proofErr w:type="spellEnd"/>
            <w:r w:rsidRPr="00BA526A">
              <w:rPr>
                <w:sz w:val="18"/>
                <w:szCs w:val="18"/>
                <w:lang w:eastAsia="sk-SK"/>
              </w:rPr>
              <w:t>)</w:t>
            </w:r>
          </w:p>
        </w:tc>
        <w:tc>
          <w:tcPr>
            <w:tcW w:w="1180" w:type="dxa"/>
            <w:tcBorders>
              <w:top w:val="nil"/>
              <w:left w:val="nil"/>
              <w:bottom w:val="nil"/>
              <w:right w:val="nil"/>
            </w:tcBorders>
            <w:shd w:val="clear" w:color="auto" w:fill="auto"/>
            <w:noWrap/>
            <w:vAlign w:val="bottom"/>
            <w:hideMark/>
          </w:tcPr>
          <w:p w14:paraId="54BD6F57" w14:textId="5255FFF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3 400 083</w:t>
            </w:r>
          </w:p>
        </w:tc>
        <w:tc>
          <w:tcPr>
            <w:tcW w:w="1025" w:type="dxa"/>
            <w:tcBorders>
              <w:top w:val="nil"/>
              <w:left w:val="nil"/>
              <w:bottom w:val="nil"/>
              <w:right w:val="nil"/>
            </w:tcBorders>
            <w:shd w:val="clear" w:color="auto" w:fill="auto"/>
            <w:noWrap/>
            <w:vAlign w:val="bottom"/>
            <w:hideMark/>
          </w:tcPr>
          <w:p w14:paraId="02654955" w14:textId="5F1FBAF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3 630 348</w:t>
            </w:r>
          </w:p>
        </w:tc>
        <w:tc>
          <w:tcPr>
            <w:tcW w:w="1042" w:type="dxa"/>
            <w:tcBorders>
              <w:top w:val="nil"/>
              <w:left w:val="nil"/>
              <w:bottom w:val="nil"/>
              <w:right w:val="nil"/>
            </w:tcBorders>
            <w:shd w:val="clear" w:color="000000" w:fill="auto"/>
            <w:noWrap/>
            <w:vAlign w:val="bottom"/>
            <w:hideMark/>
          </w:tcPr>
          <w:p w14:paraId="02BAE480" w14:textId="5A2E750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3 967 712</w:t>
            </w:r>
          </w:p>
        </w:tc>
        <w:tc>
          <w:tcPr>
            <w:tcW w:w="996" w:type="dxa"/>
            <w:tcBorders>
              <w:top w:val="nil"/>
              <w:left w:val="nil"/>
              <w:bottom w:val="nil"/>
              <w:right w:val="nil"/>
            </w:tcBorders>
            <w:shd w:val="clear" w:color="auto" w:fill="auto"/>
            <w:noWrap/>
            <w:vAlign w:val="bottom"/>
            <w:hideMark/>
          </w:tcPr>
          <w:p w14:paraId="56DCB2D4" w14:textId="711682C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4 017 767</w:t>
            </w:r>
          </w:p>
        </w:tc>
        <w:tc>
          <w:tcPr>
            <w:tcW w:w="1017" w:type="dxa"/>
            <w:tcBorders>
              <w:top w:val="nil"/>
              <w:left w:val="nil"/>
              <w:bottom w:val="nil"/>
              <w:right w:val="nil"/>
            </w:tcBorders>
            <w:shd w:val="clear" w:color="auto" w:fill="auto"/>
            <w:noWrap/>
            <w:vAlign w:val="bottom"/>
            <w:hideMark/>
          </w:tcPr>
          <w:p w14:paraId="6BC565EB" w14:textId="5716D80E"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9,3</w:t>
            </w:r>
          </w:p>
        </w:tc>
      </w:tr>
      <w:tr w:rsidR="00BA526A" w:rsidRPr="00BB4B6F" w14:paraId="68EFC8CC" w14:textId="77777777" w:rsidTr="001768B9">
        <w:trPr>
          <w:trHeight w:val="255"/>
        </w:trPr>
        <w:tc>
          <w:tcPr>
            <w:tcW w:w="4253" w:type="dxa"/>
            <w:tcBorders>
              <w:top w:val="nil"/>
              <w:left w:val="nil"/>
              <w:bottom w:val="nil"/>
              <w:right w:val="nil"/>
            </w:tcBorders>
            <w:shd w:val="clear" w:color="auto" w:fill="auto"/>
            <w:noWrap/>
            <w:vAlign w:val="bottom"/>
            <w:hideMark/>
          </w:tcPr>
          <w:p w14:paraId="58BCFCCE" w14:textId="62989276" w:rsidR="00BA526A" w:rsidRPr="00BA526A" w:rsidRDefault="00BA526A" w:rsidP="00BA526A">
            <w:pPr>
              <w:spacing w:after="0" w:line="240" w:lineRule="auto"/>
              <w:ind w:firstLineChars="200" w:firstLine="360"/>
              <w:rPr>
                <w:sz w:val="18"/>
                <w:szCs w:val="18"/>
                <w:lang w:eastAsia="sk-SK"/>
              </w:rPr>
            </w:pPr>
            <w:r w:rsidRPr="00BA526A">
              <w:rPr>
                <w:sz w:val="18"/>
                <w:szCs w:val="18"/>
                <w:lang w:eastAsia="sk-SK"/>
              </w:rPr>
              <w:t xml:space="preserve"> - z podnikania a inej samostatnej činnosti (</w:t>
            </w:r>
            <w:proofErr w:type="spellStart"/>
            <w:r w:rsidRPr="00BA526A">
              <w:rPr>
                <w:sz w:val="18"/>
                <w:szCs w:val="18"/>
                <w:lang w:eastAsia="sk-SK"/>
              </w:rPr>
              <w:t>akruál</w:t>
            </w:r>
            <w:proofErr w:type="spellEnd"/>
            <w:r w:rsidRPr="00BA526A">
              <w:rPr>
                <w:sz w:val="18"/>
                <w:szCs w:val="18"/>
                <w:lang w:eastAsia="sk-SK"/>
              </w:rPr>
              <w:t>)</w:t>
            </w:r>
          </w:p>
        </w:tc>
        <w:tc>
          <w:tcPr>
            <w:tcW w:w="1180" w:type="dxa"/>
            <w:tcBorders>
              <w:top w:val="nil"/>
              <w:left w:val="nil"/>
              <w:bottom w:val="nil"/>
              <w:right w:val="nil"/>
            </w:tcBorders>
            <w:shd w:val="clear" w:color="auto" w:fill="auto"/>
            <w:noWrap/>
            <w:vAlign w:val="bottom"/>
            <w:hideMark/>
          </w:tcPr>
          <w:p w14:paraId="653B55AF" w14:textId="0E3F744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99 878</w:t>
            </w:r>
          </w:p>
        </w:tc>
        <w:tc>
          <w:tcPr>
            <w:tcW w:w="1025" w:type="dxa"/>
            <w:tcBorders>
              <w:top w:val="nil"/>
              <w:left w:val="nil"/>
              <w:bottom w:val="nil"/>
              <w:right w:val="nil"/>
            </w:tcBorders>
            <w:shd w:val="clear" w:color="auto" w:fill="auto"/>
            <w:noWrap/>
            <w:vAlign w:val="bottom"/>
            <w:hideMark/>
          </w:tcPr>
          <w:p w14:paraId="3052F52A" w14:textId="0432EFB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129 358</w:t>
            </w:r>
          </w:p>
        </w:tc>
        <w:tc>
          <w:tcPr>
            <w:tcW w:w="1042" w:type="dxa"/>
            <w:tcBorders>
              <w:top w:val="nil"/>
              <w:left w:val="nil"/>
              <w:bottom w:val="nil"/>
              <w:right w:val="nil"/>
            </w:tcBorders>
            <w:shd w:val="clear" w:color="000000" w:fill="auto"/>
            <w:noWrap/>
            <w:vAlign w:val="bottom"/>
            <w:hideMark/>
          </w:tcPr>
          <w:p w14:paraId="799416E2" w14:textId="1A330CE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137 853</w:t>
            </w:r>
          </w:p>
        </w:tc>
        <w:tc>
          <w:tcPr>
            <w:tcW w:w="996" w:type="dxa"/>
            <w:tcBorders>
              <w:top w:val="nil"/>
              <w:left w:val="nil"/>
              <w:bottom w:val="nil"/>
              <w:right w:val="nil"/>
            </w:tcBorders>
            <w:shd w:val="clear" w:color="auto" w:fill="auto"/>
            <w:noWrap/>
            <w:vAlign w:val="bottom"/>
            <w:hideMark/>
          </w:tcPr>
          <w:p w14:paraId="413ED902" w14:textId="28E652C6" w:rsidR="00BA526A" w:rsidRPr="00BB4B6F" w:rsidRDefault="00BA526A" w:rsidP="00BA526A">
            <w:pPr>
              <w:spacing w:after="0" w:line="240" w:lineRule="auto"/>
              <w:jc w:val="right"/>
              <w:rPr>
                <w:sz w:val="18"/>
                <w:szCs w:val="18"/>
                <w:highlight w:val="yellow"/>
                <w:lang w:eastAsia="sk-SK"/>
              </w:rPr>
            </w:pPr>
            <w:r>
              <w:rPr>
                <w:sz w:val="18"/>
                <w:szCs w:val="18"/>
              </w:rPr>
              <w:t>108 517</w:t>
            </w:r>
          </w:p>
        </w:tc>
        <w:tc>
          <w:tcPr>
            <w:tcW w:w="1017" w:type="dxa"/>
            <w:tcBorders>
              <w:top w:val="nil"/>
              <w:left w:val="nil"/>
              <w:bottom w:val="nil"/>
              <w:right w:val="nil"/>
            </w:tcBorders>
            <w:shd w:val="clear" w:color="auto" w:fill="auto"/>
            <w:noWrap/>
            <w:vAlign w:val="bottom"/>
            <w:hideMark/>
          </w:tcPr>
          <w:p w14:paraId="2317F3C6" w14:textId="1B2BD33D"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6,6</w:t>
            </w:r>
          </w:p>
        </w:tc>
      </w:tr>
      <w:tr w:rsidR="00BA526A" w:rsidRPr="00BB4B6F" w14:paraId="5B0DF7A4" w14:textId="77777777" w:rsidTr="001768B9">
        <w:trPr>
          <w:trHeight w:val="255"/>
        </w:trPr>
        <w:tc>
          <w:tcPr>
            <w:tcW w:w="4253" w:type="dxa"/>
            <w:tcBorders>
              <w:top w:val="nil"/>
              <w:left w:val="nil"/>
              <w:bottom w:val="nil"/>
              <w:right w:val="nil"/>
            </w:tcBorders>
            <w:shd w:val="clear" w:color="auto" w:fill="auto"/>
            <w:noWrap/>
            <w:vAlign w:val="center"/>
            <w:hideMark/>
          </w:tcPr>
          <w:p w14:paraId="51F71A17"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Daň z príjmov právnických osôb</w:t>
            </w:r>
          </w:p>
        </w:tc>
        <w:tc>
          <w:tcPr>
            <w:tcW w:w="1180" w:type="dxa"/>
            <w:tcBorders>
              <w:top w:val="nil"/>
              <w:left w:val="nil"/>
              <w:bottom w:val="nil"/>
              <w:right w:val="nil"/>
            </w:tcBorders>
            <w:shd w:val="clear" w:color="auto" w:fill="auto"/>
            <w:noWrap/>
            <w:vAlign w:val="bottom"/>
            <w:hideMark/>
          </w:tcPr>
          <w:p w14:paraId="0FB0D859" w14:textId="4D6A622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2 799 748</w:t>
            </w:r>
          </w:p>
        </w:tc>
        <w:tc>
          <w:tcPr>
            <w:tcW w:w="1025" w:type="dxa"/>
            <w:tcBorders>
              <w:top w:val="nil"/>
              <w:left w:val="nil"/>
              <w:bottom w:val="nil"/>
              <w:right w:val="nil"/>
            </w:tcBorders>
            <w:shd w:val="clear" w:color="auto" w:fill="auto"/>
            <w:noWrap/>
            <w:vAlign w:val="bottom"/>
            <w:hideMark/>
          </w:tcPr>
          <w:p w14:paraId="0E6888B4" w14:textId="435C80E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3 632 636</w:t>
            </w:r>
          </w:p>
        </w:tc>
        <w:tc>
          <w:tcPr>
            <w:tcW w:w="1042" w:type="dxa"/>
            <w:tcBorders>
              <w:top w:val="nil"/>
              <w:left w:val="nil"/>
              <w:bottom w:val="nil"/>
              <w:right w:val="nil"/>
            </w:tcBorders>
            <w:shd w:val="clear" w:color="000000" w:fill="auto"/>
            <w:noWrap/>
            <w:vAlign w:val="bottom"/>
            <w:hideMark/>
          </w:tcPr>
          <w:p w14:paraId="5B5127F9" w14:textId="4421B32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3 909 222</w:t>
            </w:r>
          </w:p>
        </w:tc>
        <w:tc>
          <w:tcPr>
            <w:tcW w:w="996" w:type="dxa"/>
            <w:tcBorders>
              <w:top w:val="nil"/>
              <w:left w:val="nil"/>
              <w:bottom w:val="nil"/>
              <w:right w:val="nil"/>
            </w:tcBorders>
            <w:shd w:val="clear" w:color="auto" w:fill="auto"/>
            <w:noWrap/>
            <w:vAlign w:val="bottom"/>
            <w:hideMark/>
          </w:tcPr>
          <w:p w14:paraId="53775957" w14:textId="190D501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3 519 211</w:t>
            </w:r>
          </w:p>
        </w:tc>
        <w:tc>
          <w:tcPr>
            <w:tcW w:w="1017" w:type="dxa"/>
            <w:tcBorders>
              <w:top w:val="nil"/>
              <w:left w:val="nil"/>
              <w:bottom w:val="nil"/>
              <w:right w:val="nil"/>
            </w:tcBorders>
            <w:shd w:val="clear" w:color="auto" w:fill="auto"/>
            <w:noWrap/>
            <w:vAlign w:val="bottom"/>
            <w:hideMark/>
          </w:tcPr>
          <w:p w14:paraId="24AB4F4D" w14:textId="6B6C652C"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7,6</w:t>
            </w:r>
          </w:p>
        </w:tc>
      </w:tr>
      <w:tr w:rsidR="00BA526A" w:rsidRPr="00BB4B6F" w14:paraId="69A93C75" w14:textId="77777777" w:rsidTr="001768B9">
        <w:trPr>
          <w:trHeight w:val="351"/>
        </w:trPr>
        <w:tc>
          <w:tcPr>
            <w:tcW w:w="4253" w:type="dxa"/>
            <w:tcBorders>
              <w:top w:val="nil"/>
              <w:left w:val="nil"/>
              <w:bottom w:val="nil"/>
              <w:right w:val="nil"/>
            </w:tcBorders>
            <w:shd w:val="clear" w:color="auto" w:fill="auto"/>
            <w:vAlign w:val="bottom"/>
            <w:hideMark/>
          </w:tcPr>
          <w:p w14:paraId="0F79BEFD" w14:textId="2AC68E3B" w:rsidR="00BA526A" w:rsidRPr="00BA526A" w:rsidRDefault="00BA526A" w:rsidP="00BA526A">
            <w:pPr>
              <w:spacing w:after="0" w:line="240" w:lineRule="auto"/>
              <w:ind w:right="-348" w:firstLineChars="300" w:firstLine="540"/>
              <w:rPr>
                <w:sz w:val="18"/>
                <w:szCs w:val="18"/>
                <w:lang w:eastAsia="sk-SK"/>
              </w:rPr>
            </w:pPr>
            <w:r w:rsidRPr="00BA526A">
              <w:rPr>
                <w:sz w:val="18"/>
                <w:szCs w:val="18"/>
                <w:lang w:eastAsia="sk-SK"/>
              </w:rPr>
              <w:t xml:space="preserve">       z toho:  Osobitný odvod z podnikania</w:t>
            </w:r>
          </w:p>
          <w:p w14:paraId="41E23109" w14:textId="3B95E00A" w:rsidR="00BA526A" w:rsidRPr="00BA526A" w:rsidRDefault="00BA526A" w:rsidP="00BA526A">
            <w:pPr>
              <w:spacing w:after="0" w:line="240" w:lineRule="auto"/>
              <w:ind w:right="-348" w:firstLineChars="300" w:firstLine="540"/>
              <w:rPr>
                <w:sz w:val="18"/>
                <w:szCs w:val="18"/>
                <w:lang w:eastAsia="sk-SK"/>
              </w:rPr>
            </w:pPr>
            <w:r w:rsidRPr="00BA526A">
              <w:rPr>
                <w:sz w:val="18"/>
                <w:szCs w:val="18"/>
                <w:lang w:eastAsia="sk-SK"/>
              </w:rPr>
              <w:t xml:space="preserve">                    v </w:t>
            </w:r>
            <w:proofErr w:type="spellStart"/>
            <w:r w:rsidRPr="00BA526A">
              <w:rPr>
                <w:sz w:val="18"/>
                <w:szCs w:val="18"/>
                <w:lang w:eastAsia="sk-SK"/>
              </w:rPr>
              <w:t>regul</w:t>
            </w:r>
            <w:proofErr w:type="spellEnd"/>
            <w:r w:rsidRPr="00BA526A">
              <w:rPr>
                <w:sz w:val="18"/>
                <w:szCs w:val="18"/>
                <w:lang w:eastAsia="sk-SK"/>
              </w:rPr>
              <w:t>. odvetviach</w:t>
            </w:r>
          </w:p>
        </w:tc>
        <w:tc>
          <w:tcPr>
            <w:tcW w:w="1180" w:type="dxa"/>
            <w:tcBorders>
              <w:top w:val="nil"/>
              <w:left w:val="nil"/>
              <w:bottom w:val="nil"/>
              <w:right w:val="nil"/>
            </w:tcBorders>
            <w:shd w:val="clear" w:color="auto" w:fill="auto"/>
            <w:noWrap/>
            <w:vAlign w:val="bottom"/>
            <w:hideMark/>
          </w:tcPr>
          <w:p w14:paraId="1D7FF3AC" w14:textId="0E66C22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126 189</w:t>
            </w:r>
          </w:p>
        </w:tc>
        <w:tc>
          <w:tcPr>
            <w:tcW w:w="1025" w:type="dxa"/>
            <w:tcBorders>
              <w:top w:val="nil"/>
              <w:left w:val="nil"/>
              <w:bottom w:val="nil"/>
              <w:right w:val="nil"/>
            </w:tcBorders>
            <w:shd w:val="clear" w:color="auto" w:fill="auto"/>
            <w:noWrap/>
            <w:vAlign w:val="bottom"/>
            <w:hideMark/>
          </w:tcPr>
          <w:p w14:paraId="50B3D950" w14:textId="74E03896"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101 683</w:t>
            </w:r>
          </w:p>
        </w:tc>
        <w:tc>
          <w:tcPr>
            <w:tcW w:w="1042" w:type="dxa"/>
            <w:tcBorders>
              <w:top w:val="nil"/>
              <w:left w:val="nil"/>
              <w:bottom w:val="nil"/>
              <w:right w:val="nil"/>
            </w:tcBorders>
            <w:shd w:val="clear" w:color="000000" w:fill="auto"/>
            <w:noWrap/>
            <w:vAlign w:val="bottom"/>
            <w:hideMark/>
          </w:tcPr>
          <w:p w14:paraId="1EA4A503" w14:textId="4F34B7B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85 416</w:t>
            </w:r>
          </w:p>
        </w:tc>
        <w:tc>
          <w:tcPr>
            <w:tcW w:w="996" w:type="dxa"/>
            <w:tcBorders>
              <w:top w:val="nil"/>
              <w:left w:val="nil"/>
              <w:bottom w:val="nil"/>
              <w:right w:val="nil"/>
            </w:tcBorders>
            <w:shd w:val="clear" w:color="auto" w:fill="auto"/>
            <w:noWrap/>
            <w:vAlign w:val="bottom"/>
            <w:hideMark/>
          </w:tcPr>
          <w:p w14:paraId="2D5B1A7D" w14:textId="278C20F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96 005</w:t>
            </w:r>
          </w:p>
        </w:tc>
        <w:tc>
          <w:tcPr>
            <w:tcW w:w="1017" w:type="dxa"/>
            <w:tcBorders>
              <w:top w:val="nil"/>
              <w:left w:val="nil"/>
              <w:bottom w:val="nil"/>
              <w:right w:val="nil"/>
            </w:tcBorders>
            <w:shd w:val="clear" w:color="auto" w:fill="auto"/>
            <w:noWrap/>
            <w:vAlign w:val="bottom"/>
            <w:hideMark/>
          </w:tcPr>
          <w:p w14:paraId="1B14024E" w14:textId="2A27A1EE"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-16,0</w:t>
            </w:r>
          </w:p>
        </w:tc>
      </w:tr>
      <w:tr w:rsidR="00BA526A" w:rsidRPr="00BB4B6F" w14:paraId="590E1504" w14:textId="77777777" w:rsidTr="001768B9">
        <w:trPr>
          <w:trHeight w:val="255"/>
        </w:trPr>
        <w:tc>
          <w:tcPr>
            <w:tcW w:w="4253" w:type="dxa"/>
            <w:tcBorders>
              <w:top w:val="nil"/>
              <w:left w:val="nil"/>
              <w:bottom w:val="nil"/>
              <w:right w:val="nil"/>
            </w:tcBorders>
            <w:shd w:val="clear" w:color="auto" w:fill="auto"/>
            <w:noWrap/>
            <w:vAlign w:val="bottom"/>
            <w:hideMark/>
          </w:tcPr>
          <w:p w14:paraId="1C813158"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Daň z príjmov vyberaná zrážkou </w:t>
            </w:r>
          </w:p>
        </w:tc>
        <w:tc>
          <w:tcPr>
            <w:tcW w:w="1180" w:type="dxa"/>
            <w:tcBorders>
              <w:top w:val="nil"/>
              <w:left w:val="nil"/>
              <w:bottom w:val="nil"/>
              <w:right w:val="nil"/>
            </w:tcBorders>
            <w:shd w:val="clear" w:color="auto" w:fill="auto"/>
            <w:noWrap/>
            <w:vAlign w:val="bottom"/>
            <w:hideMark/>
          </w:tcPr>
          <w:p w14:paraId="234EB278" w14:textId="25B0022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235 080</w:t>
            </w:r>
          </w:p>
        </w:tc>
        <w:tc>
          <w:tcPr>
            <w:tcW w:w="1025" w:type="dxa"/>
            <w:tcBorders>
              <w:top w:val="nil"/>
              <w:left w:val="nil"/>
              <w:bottom w:val="nil"/>
              <w:right w:val="nil"/>
            </w:tcBorders>
            <w:shd w:val="clear" w:color="auto" w:fill="auto"/>
            <w:noWrap/>
            <w:vAlign w:val="bottom"/>
            <w:hideMark/>
          </w:tcPr>
          <w:p w14:paraId="1D217399" w14:textId="4663D90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289 754</w:t>
            </w:r>
          </w:p>
        </w:tc>
        <w:tc>
          <w:tcPr>
            <w:tcW w:w="1042" w:type="dxa"/>
            <w:tcBorders>
              <w:top w:val="nil"/>
              <w:left w:val="nil"/>
              <w:bottom w:val="nil"/>
              <w:right w:val="nil"/>
            </w:tcBorders>
            <w:shd w:val="clear" w:color="000000" w:fill="auto"/>
            <w:noWrap/>
            <w:vAlign w:val="bottom"/>
            <w:hideMark/>
          </w:tcPr>
          <w:p w14:paraId="275C6B6E" w14:textId="513CB03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314 764</w:t>
            </w:r>
          </w:p>
        </w:tc>
        <w:tc>
          <w:tcPr>
            <w:tcW w:w="996" w:type="dxa"/>
            <w:tcBorders>
              <w:top w:val="nil"/>
              <w:left w:val="nil"/>
              <w:bottom w:val="nil"/>
              <w:right w:val="nil"/>
            </w:tcBorders>
            <w:shd w:val="clear" w:color="auto" w:fill="auto"/>
            <w:noWrap/>
            <w:vAlign w:val="bottom"/>
            <w:hideMark/>
          </w:tcPr>
          <w:p w14:paraId="1F92334E" w14:textId="59AD475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320 338</w:t>
            </w:r>
          </w:p>
        </w:tc>
        <w:tc>
          <w:tcPr>
            <w:tcW w:w="1017" w:type="dxa"/>
            <w:tcBorders>
              <w:top w:val="nil"/>
              <w:left w:val="nil"/>
              <w:bottom w:val="nil"/>
              <w:right w:val="nil"/>
            </w:tcBorders>
            <w:shd w:val="clear" w:color="auto" w:fill="auto"/>
            <w:noWrap/>
            <w:vAlign w:val="bottom"/>
            <w:hideMark/>
          </w:tcPr>
          <w:p w14:paraId="46C6F0BB" w14:textId="29E32DFB"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8,6</w:t>
            </w:r>
          </w:p>
        </w:tc>
      </w:tr>
      <w:tr w:rsidR="00BA526A" w:rsidRPr="00BB4B6F" w14:paraId="24D77BBF" w14:textId="77777777" w:rsidTr="001768B9">
        <w:trPr>
          <w:trHeight w:val="255"/>
        </w:trPr>
        <w:tc>
          <w:tcPr>
            <w:tcW w:w="4253" w:type="dxa"/>
            <w:tcBorders>
              <w:top w:val="nil"/>
              <w:left w:val="nil"/>
              <w:bottom w:val="nil"/>
              <w:right w:val="nil"/>
            </w:tcBorders>
            <w:shd w:val="clear" w:color="auto" w:fill="auto"/>
            <w:noWrap/>
            <w:vAlign w:val="center"/>
            <w:hideMark/>
          </w:tcPr>
          <w:p w14:paraId="0C49278D"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Dane z majetku a iné</w:t>
            </w:r>
          </w:p>
        </w:tc>
        <w:tc>
          <w:tcPr>
            <w:tcW w:w="1180" w:type="dxa"/>
            <w:tcBorders>
              <w:top w:val="nil"/>
              <w:left w:val="nil"/>
              <w:bottom w:val="nil"/>
              <w:right w:val="nil"/>
            </w:tcBorders>
            <w:shd w:val="clear" w:color="auto" w:fill="auto"/>
            <w:noWrap/>
            <w:vAlign w:val="bottom"/>
            <w:hideMark/>
          </w:tcPr>
          <w:p w14:paraId="6D7F11AE" w14:textId="25FDE66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35 596</w:t>
            </w:r>
          </w:p>
        </w:tc>
        <w:tc>
          <w:tcPr>
            <w:tcW w:w="1025" w:type="dxa"/>
            <w:tcBorders>
              <w:top w:val="nil"/>
              <w:left w:val="nil"/>
              <w:bottom w:val="nil"/>
              <w:right w:val="nil"/>
            </w:tcBorders>
            <w:shd w:val="clear" w:color="auto" w:fill="auto"/>
            <w:noWrap/>
            <w:vAlign w:val="bottom"/>
            <w:hideMark/>
          </w:tcPr>
          <w:p w14:paraId="3ED628A9" w14:textId="5C510BD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37 390</w:t>
            </w:r>
          </w:p>
        </w:tc>
        <w:tc>
          <w:tcPr>
            <w:tcW w:w="1042" w:type="dxa"/>
            <w:tcBorders>
              <w:top w:val="nil"/>
              <w:left w:val="nil"/>
              <w:bottom w:val="nil"/>
              <w:right w:val="nil"/>
            </w:tcBorders>
            <w:shd w:val="clear" w:color="000000" w:fill="auto"/>
            <w:noWrap/>
            <w:vAlign w:val="bottom"/>
            <w:hideMark/>
          </w:tcPr>
          <w:p w14:paraId="38E2BD54" w14:textId="550A44A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36 978</w:t>
            </w:r>
          </w:p>
        </w:tc>
        <w:tc>
          <w:tcPr>
            <w:tcW w:w="996" w:type="dxa"/>
            <w:tcBorders>
              <w:top w:val="nil"/>
              <w:left w:val="nil"/>
              <w:bottom w:val="nil"/>
              <w:right w:val="nil"/>
            </w:tcBorders>
            <w:shd w:val="clear" w:color="auto" w:fill="auto"/>
            <w:noWrap/>
            <w:vAlign w:val="bottom"/>
            <w:hideMark/>
          </w:tcPr>
          <w:p w14:paraId="6D860280" w14:textId="1932AE0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45 465</w:t>
            </w:r>
          </w:p>
        </w:tc>
        <w:tc>
          <w:tcPr>
            <w:tcW w:w="1017" w:type="dxa"/>
            <w:tcBorders>
              <w:top w:val="nil"/>
              <w:left w:val="nil"/>
              <w:bottom w:val="nil"/>
              <w:right w:val="nil"/>
            </w:tcBorders>
            <w:shd w:val="clear" w:color="auto" w:fill="auto"/>
            <w:noWrap/>
            <w:vAlign w:val="bottom"/>
            <w:hideMark/>
          </w:tcPr>
          <w:p w14:paraId="491AD12D" w14:textId="1F73F769"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-1,1</w:t>
            </w:r>
          </w:p>
        </w:tc>
      </w:tr>
      <w:tr w:rsidR="00BA526A" w:rsidRPr="00BB4B6F" w14:paraId="3EA1A567" w14:textId="77777777" w:rsidTr="001768B9">
        <w:trPr>
          <w:trHeight w:val="255"/>
        </w:trPr>
        <w:tc>
          <w:tcPr>
            <w:tcW w:w="4253" w:type="dxa"/>
            <w:tcBorders>
              <w:top w:val="nil"/>
              <w:left w:val="nil"/>
              <w:bottom w:val="nil"/>
              <w:right w:val="nil"/>
            </w:tcBorders>
            <w:shd w:val="clear" w:color="auto" w:fill="auto"/>
            <w:vAlign w:val="center"/>
            <w:hideMark/>
          </w:tcPr>
          <w:p w14:paraId="79B32467"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Ostatné</w:t>
            </w:r>
          </w:p>
        </w:tc>
        <w:tc>
          <w:tcPr>
            <w:tcW w:w="1180" w:type="dxa"/>
            <w:tcBorders>
              <w:top w:val="nil"/>
              <w:left w:val="nil"/>
              <w:bottom w:val="nil"/>
              <w:right w:val="nil"/>
            </w:tcBorders>
            <w:shd w:val="clear" w:color="auto" w:fill="auto"/>
            <w:noWrap/>
            <w:vAlign w:val="bottom"/>
            <w:hideMark/>
          </w:tcPr>
          <w:p w14:paraId="68887156" w14:textId="48D5FF5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111 912</w:t>
            </w:r>
          </w:p>
        </w:tc>
        <w:tc>
          <w:tcPr>
            <w:tcW w:w="1025" w:type="dxa"/>
            <w:tcBorders>
              <w:top w:val="nil"/>
              <w:left w:val="nil"/>
              <w:bottom w:val="nil"/>
              <w:right w:val="nil"/>
            </w:tcBorders>
            <w:shd w:val="clear" w:color="auto" w:fill="auto"/>
            <w:noWrap/>
            <w:vAlign w:val="bottom"/>
            <w:hideMark/>
          </w:tcPr>
          <w:p w14:paraId="5570DC10" w14:textId="3D73679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108 123</w:t>
            </w:r>
          </w:p>
        </w:tc>
        <w:tc>
          <w:tcPr>
            <w:tcW w:w="1042" w:type="dxa"/>
            <w:tcBorders>
              <w:top w:val="nil"/>
              <w:left w:val="nil"/>
              <w:bottom w:val="nil"/>
              <w:right w:val="nil"/>
            </w:tcBorders>
            <w:shd w:val="clear" w:color="000000" w:fill="auto"/>
            <w:noWrap/>
            <w:vAlign w:val="bottom"/>
            <w:hideMark/>
          </w:tcPr>
          <w:p w14:paraId="65B73A43" w14:textId="5F92333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114 793</w:t>
            </w:r>
          </w:p>
        </w:tc>
        <w:tc>
          <w:tcPr>
            <w:tcW w:w="996" w:type="dxa"/>
            <w:tcBorders>
              <w:top w:val="nil"/>
              <w:left w:val="nil"/>
              <w:bottom w:val="nil"/>
              <w:right w:val="nil"/>
            </w:tcBorders>
            <w:shd w:val="clear" w:color="auto" w:fill="auto"/>
            <w:noWrap/>
            <w:vAlign w:val="bottom"/>
            <w:hideMark/>
          </w:tcPr>
          <w:p w14:paraId="4142FE1F" w14:textId="0489239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157 381</w:t>
            </w:r>
          </w:p>
        </w:tc>
        <w:tc>
          <w:tcPr>
            <w:tcW w:w="1017" w:type="dxa"/>
            <w:tcBorders>
              <w:top w:val="nil"/>
              <w:left w:val="nil"/>
              <w:bottom w:val="nil"/>
              <w:right w:val="nil"/>
            </w:tcBorders>
            <w:shd w:val="clear" w:color="auto" w:fill="auto"/>
            <w:noWrap/>
            <w:vAlign w:val="bottom"/>
            <w:hideMark/>
          </w:tcPr>
          <w:p w14:paraId="421BC6AD" w14:textId="458B27B1"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6,2</w:t>
            </w:r>
          </w:p>
        </w:tc>
      </w:tr>
    </w:tbl>
    <w:p w14:paraId="626DD4A7" w14:textId="77777777" w:rsidR="000A0D79" w:rsidRDefault="000A0D79">
      <w:r>
        <w:br w:type="page"/>
      </w:r>
    </w:p>
    <w:tbl>
      <w:tblPr>
        <w:tblW w:w="9513" w:type="dxa"/>
        <w:tblCellMar>
          <w:left w:w="70" w:type="dxa"/>
          <w:right w:w="70" w:type="dxa"/>
        </w:tblCellMar>
        <w:tblLook w:val="04A0" w:firstRow="1" w:lastRow="0" w:firstColumn="1" w:lastColumn="0" w:noHBand="0" w:noVBand="1"/>
      </w:tblPr>
      <w:tblGrid>
        <w:gridCol w:w="4253"/>
        <w:gridCol w:w="1180"/>
        <w:gridCol w:w="1025"/>
        <w:gridCol w:w="1042"/>
        <w:gridCol w:w="996"/>
        <w:gridCol w:w="1017"/>
      </w:tblGrid>
      <w:tr w:rsidR="00BA526A" w:rsidRPr="00BB4B6F" w14:paraId="09C1CD4C" w14:textId="77777777" w:rsidTr="001768B9">
        <w:trPr>
          <w:trHeight w:val="255"/>
        </w:trPr>
        <w:tc>
          <w:tcPr>
            <w:tcW w:w="4253" w:type="dxa"/>
            <w:tcBorders>
              <w:top w:val="nil"/>
              <w:left w:val="nil"/>
              <w:bottom w:val="nil"/>
              <w:right w:val="nil"/>
            </w:tcBorders>
            <w:shd w:val="clear" w:color="auto" w:fill="auto"/>
            <w:noWrap/>
            <w:vAlign w:val="center"/>
            <w:hideMark/>
          </w:tcPr>
          <w:p w14:paraId="5A532FFE" w14:textId="30A5C470" w:rsidR="00BA526A" w:rsidRPr="00BA526A" w:rsidRDefault="00BA526A" w:rsidP="00BA526A">
            <w:pPr>
              <w:spacing w:after="0" w:line="240" w:lineRule="auto"/>
              <w:rPr>
                <w:b/>
                <w:bCs/>
                <w:color w:val="000000"/>
                <w:sz w:val="18"/>
                <w:szCs w:val="18"/>
                <w:lang w:eastAsia="sk-SK"/>
              </w:rPr>
            </w:pPr>
            <w:r w:rsidRPr="00BA526A">
              <w:rPr>
                <w:b/>
                <w:bCs/>
                <w:color w:val="000000"/>
                <w:sz w:val="18"/>
                <w:szCs w:val="18"/>
                <w:lang w:eastAsia="sk-SK"/>
              </w:rPr>
              <w:lastRenderedPageBreak/>
              <w:t>Príspevky na sociálne zabezpečenie</w:t>
            </w:r>
          </w:p>
        </w:tc>
        <w:tc>
          <w:tcPr>
            <w:tcW w:w="1180" w:type="dxa"/>
            <w:tcBorders>
              <w:top w:val="nil"/>
              <w:left w:val="nil"/>
              <w:bottom w:val="nil"/>
              <w:right w:val="nil"/>
            </w:tcBorders>
            <w:shd w:val="clear" w:color="auto" w:fill="auto"/>
            <w:noWrap/>
            <w:vAlign w:val="bottom"/>
            <w:hideMark/>
          </w:tcPr>
          <w:p w14:paraId="4464F95E" w14:textId="3D3FD1AF" w:rsidR="00BA526A" w:rsidRPr="00BB4B6F" w:rsidRDefault="00BA526A" w:rsidP="00BA526A">
            <w:pPr>
              <w:spacing w:after="0" w:line="240" w:lineRule="auto"/>
              <w:jc w:val="right"/>
              <w:rPr>
                <w:b/>
                <w:bCs/>
                <w:sz w:val="18"/>
                <w:szCs w:val="18"/>
                <w:highlight w:val="yellow"/>
                <w:lang w:eastAsia="sk-SK"/>
              </w:rPr>
            </w:pPr>
            <w:r>
              <w:rPr>
                <w:b/>
                <w:bCs/>
                <w:sz w:val="18"/>
                <w:szCs w:val="18"/>
              </w:rPr>
              <w:t>14 499 186</w:t>
            </w:r>
          </w:p>
        </w:tc>
        <w:tc>
          <w:tcPr>
            <w:tcW w:w="1025" w:type="dxa"/>
            <w:tcBorders>
              <w:top w:val="nil"/>
              <w:left w:val="nil"/>
              <w:bottom w:val="nil"/>
              <w:right w:val="nil"/>
            </w:tcBorders>
            <w:shd w:val="clear" w:color="auto" w:fill="auto"/>
            <w:noWrap/>
            <w:vAlign w:val="bottom"/>
            <w:hideMark/>
          </w:tcPr>
          <w:p w14:paraId="70BF59AC" w14:textId="69A26781" w:rsidR="00BA526A" w:rsidRPr="00BB4B6F" w:rsidRDefault="00BA526A" w:rsidP="00BA526A">
            <w:pPr>
              <w:spacing w:after="0" w:line="240" w:lineRule="auto"/>
              <w:jc w:val="right"/>
              <w:rPr>
                <w:b/>
                <w:bCs/>
                <w:sz w:val="18"/>
                <w:szCs w:val="18"/>
                <w:highlight w:val="yellow"/>
                <w:lang w:eastAsia="sk-SK"/>
              </w:rPr>
            </w:pPr>
            <w:r>
              <w:rPr>
                <w:b/>
                <w:bCs/>
                <w:sz w:val="18"/>
                <w:szCs w:val="18"/>
              </w:rPr>
              <w:t>15 635 062</w:t>
            </w:r>
          </w:p>
        </w:tc>
        <w:tc>
          <w:tcPr>
            <w:tcW w:w="1042" w:type="dxa"/>
            <w:tcBorders>
              <w:top w:val="nil"/>
              <w:left w:val="nil"/>
              <w:bottom w:val="nil"/>
              <w:right w:val="nil"/>
            </w:tcBorders>
            <w:shd w:val="clear" w:color="000000" w:fill="auto"/>
            <w:noWrap/>
            <w:vAlign w:val="bottom"/>
            <w:hideMark/>
          </w:tcPr>
          <w:p w14:paraId="77E0031B" w14:textId="6EE0C18A" w:rsidR="00BA526A" w:rsidRPr="00BB4B6F" w:rsidRDefault="00BA526A" w:rsidP="00BA526A">
            <w:pPr>
              <w:spacing w:after="0" w:line="240" w:lineRule="auto"/>
              <w:jc w:val="right"/>
              <w:rPr>
                <w:b/>
                <w:bCs/>
                <w:sz w:val="18"/>
                <w:szCs w:val="18"/>
                <w:highlight w:val="yellow"/>
                <w:lang w:eastAsia="sk-SK"/>
              </w:rPr>
            </w:pPr>
            <w:r>
              <w:rPr>
                <w:b/>
                <w:bCs/>
                <w:sz w:val="18"/>
                <w:szCs w:val="18"/>
              </w:rPr>
              <w:t>16 338 545</w:t>
            </w:r>
          </w:p>
        </w:tc>
        <w:tc>
          <w:tcPr>
            <w:tcW w:w="996" w:type="dxa"/>
            <w:tcBorders>
              <w:top w:val="nil"/>
              <w:left w:val="nil"/>
              <w:bottom w:val="nil"/>
              <w:right w:val="nil"/>
            </w:tcBorders>
            <w:shd w:val="clear" w:color="auto" w:fill="auto"/>
            <w:noWrap/>
            <w:vAlign w:val="bottom"/>
            <w:hideMark/>
          </w:tcPr>
          <w:p w14:paraId="67E42B1A" w14:textId="7007CC0A"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15 845 756</w:t>
            </w:r>
          </w:p>
        </w:tc>
        <w:tc>
          <w:tcPr>
            <w:tcW w:w="1017" w:type="dxa"/>
            <w:tcBorders>
              <w:top w:val="nil"/>
              <w:left w:val="nil"/>
              <w:bottom w:val="nil"/>
              <w:right w:val="nil"/>
            </w:tcBorders>
            <w:shd w:val="clear" w:color="auto" w:fill="auto"/>
            <w:noWrap/>
            <w:vAlign w:val="bottom"/>
            <w:hideMark/>
          </w:tcPr>
          <w:p w14:paraId="37566DDF" w14:textId="02E38876" w:rsidR="00BA526A" w:rsidRPr="00BB4B6F" w:rsidRDefault="00BA526A" w:rsidP="00BA526A">
            <w:pPr>
              <w:spacing w:after="0" w:line="240" w:lineRule="auto"/>
              <w:ind w:right="188"/>
              <w:jc w:val="right"/>
              <w:rPr>
                <w:b/>
                <w:bCs/>
                <w:sz w:val="18"/>
                <w:szCs w:val="18"/>
                <w:highlight w:val="yellow"/>
                <w:lang w:eastAsia="sk-SK"/>
              </w:rPr>
            </w:pPr>
            <w:r>
              <w:rPr>
                <w:b/>
                <w:bCs/>
                <w:sz w:val="18"/>
                <w:szCs w:val="18"/>
              </w:rPr>
              <w:t>4,5</w:t>
            </w:r>
          </w:p>
        </w:tc>
      </w:tr>
      <w:tr w:rsidR="00BA526A" w:rsidRPr="00BB4B6F" w14:paraId="04C83E28" w14:textId="77777777" w:rsidTr="001768B9">
        <w:trPr>
          <w:trHeight w:val="255"/>
        </w:trPr>
        <w:tc>
          <w:tcPr>
            <w:tcW w:w="4253" w:type="dxa"/>
            <w:tcBorders>
              <w:top w:val="nil"/>
              <w:left w:val="nil"/>
              <w:bottom w:val="nil"/>
              <w:right w:val="nil"/>
            </w:tcBorders>
            <w:shd w:val="clear" w:color="auto" w:fill="auto"/>
            <w:noWrap/>
            <w:vAlign w:val="center"/>
            <w:hideMark/>
          </w:tcPr>
          <w:p w14:paraId="6AED8272"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Skutočné príspevky na sociálne zabezpečenie</w:t>
            </w:r>
          </w:p>
        </w:tc>
        <w:tc>
          <w:tcPr>
            <w:tcW w:w="1180" w:type="dxa"/>
            <w:tcBorders>
              <w:top w:val="nil"/>
              <w:left w:val="nil"/>
              <w:bottom w:val="nil"/>
              <w:right w:val="nil"/>
            </w:tcBorders>
            <w:shd w:val="clear" w:color="auto" w:fill="auto"/>
            <w:noWrap/>
            <w:vAlign w:val="bottom"/>
            <w:hideMark/>
          </w:tcPr>
          <w:p w14:paraId="34B24534" w14:textId="2E1F764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14 241 438</w:t>
            </w:r>
          </w:p>
        </w:tc>
        <w:tc>
          <w:tcPr>
            <w:tcW w:w="1025" w:type="dxa"/>
            <w:tcBorders>
              <w:top w:val="nil"/>
              <w:left w:val="nil"/>
              <w:bottom w:val="nil"/>
              <w:right w:val="nil"/>
            </w:tcBorders>
            <w:shd w:val="clear" w:color="auto" w:fill="auto"/>
            <w:noWrap/>
            <w:vAlign w:val="bottom"/>
            <w:hideMark/>
          </w:tcPr>
          <w:p w14:paraId="3615A40C" w14:textId="59242A4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15 290 792</w:t>
            </w:r>
          </w:p>
        </w:tc>
        <w:tc>
          <w:tcPr>
            <w:tcW w:w="1042" w:type="dxa"/>
            <w:tcBorders>
              <w:top w:val="nil"/>
              <w:left w:val="nil"/>
              <w:bottom w:val="nil"/>
              <w:right w:val="nil"/>
            </w:tcBorders>
            <w:shd w:val="clear" w:color="000000" w:fill="auto"/>
            <w:noWrap/>
            <w:vAlign w:val="bottom"/>
            <w:hideMark/>
          </w:tcPr>
          <w:p w14:paraId="77433720" w14:textId="0588C467" w:rsidR="00BA526A" w:rsidRPr="00BB4B6F" w:rsidRDefault="00BA526A" w:rsidP="00BA526A">
            <w:pPr>
              <w:spacing w:after="0" w:line="240" w:lineRule="auto"/>
              <w:jc w:val="right"/>
              <w:rPr>
                <w:sz w:val="18"/>
                <w:szCs w:val="18"/>
                <w:highlight w:val="yellow"/>
                <w:lang w:eastAsia="sk-SK"/>
              </w:rPr>
            </w:pPr>
            <w:r>
              <w:rPr>
                <w:sz w:val="18"/>
                <w:szCs w:val="18"/>
              </w:rPr>
              <w:t>15 995 159</w:t>
            </w:r>
          </w:p>
        </w:tc>
        <w:tc>
          <w:tcPr>
            <w:tcW w:w="996" w:type="dxa"/>
            <w:tcBorders>
              <w:top w:val="nil"/>
              <w:left w:val="nil"/>
              <w:bottom w:val="nil"/>
              <w:right w:val="nil"/>
            </w:tcBorders>
            <w:shd w:val="clear" w:color="auto" w:fill="auto"/>
            <w:noWrap/>
            <w:vAlign w:val="bottom"/>
            <w:hideMark/>
          </w:tcPr>
          <w:p w14:paraId="68A6AD80" w14:textId="2DD728E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15 594 571</w:t>
            </w:r>
          </w:p>
        </w:tc>
        <w:tc>
          <w:tcPr>
            <w:tcW w:w="1017" w:type="dxa"/>
            <w:tcBorders>
              <w:top w:val="nil"/>
              <w:left w:val="nil"/>
              <w:bottom w:val="nil"/>
              <w:right w:val="nil"/>
            </w:tcBorders>
            <w:shd w:val="clear" w:color="auto" w:fill="auto"/>
            <w:noWrap/>
            <w:vAlign w:val="bottom"/>
            <w:hideMark/>
          </w:tcPr>
          <w:p w14:paraId="5D5AF079" w14:textId="16C46981"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4,6</w:t>
            </w:r>
          </w:p>
        </w:tc>
      </w:tr>
      <w:tr w:rsidR="00BA526A" w:rsidRPr="00BB4B6F" w14:paraId="6BE0374C" w14:textId="77777777" w:rsidTr="001768B9">
        <w:trPr>
          <w:trHeight w:val="255"/>
        </w:trPr>
        <w:tc>
          <w:tcPr>
            <w:tcW w:w="4253" w:type="dxa"/>
            <w:tcBorders>
              <w:top w:val="nil"/>
              <w:left w:val="nil"/>
              <w:bottom w:val="nil"/>
              <w:right w:val="nil"/>
            </w:tcBorders>
            <w:shd w:val="clear" w:color="auto" w:fill="auto"/>
            <w:noWrap/>
            <w:vAlign w:val="center"/>
            <w:hideMark/>
          </w:tcPr>
          <w:p w14:paraId="11054319"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Príspevky zamestnávateľov</w:t>
            </w:r>
          </w:p>
        </w:tc>
        <w:tc>
          <w:tcPr>
            <w:tcW w:w="1180" w:type="dxa"/>
            <w:tcBorders>
              <w:top w:val="nil"/>
              <w:left w:val="nil"/>
              <w:bottom w:val="nil"/>
              <w:right w:val="nil"/>
            </w:tcBorders>
            <w:shd w:val="clear" w:color="auto" w:fill="auto"/>
            <w:noWrap/>
            <w:vAlign w:val="bottom"/>
            <w:hideMark/>
          </w:tcPr>
          <w:p w14:paraId="11EBE343" w14:textId="71855ECE"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8 649 555</w:t>
            </w:r>
          </w:p>
        </w:tc>
        <w:tc>
          <w:tcPr>
            <w:tcW w:w="1025" w:type="dxa"/>
            <w:tcBorders>
              <w:top w:val="nil"/>
              <w:left w:val="nil"/>
              <w:bottom w:val="nil"/>
              <w:right w:val="nil"/>
            </w:tcBorders>
            <w:shd w:val="clear" w:color="auto" w:fill="auto"/>
            <w:noWrap/>
            <w:vAlign w:val="bottom"/>
            <w:hideMark/>
          </w:tcPr>
          <w:p w14:paraId="217A3844" w14:textId="381B180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9 142 603</w:t>
            </w:r>
          </w:p>
        </w:tc>
        <w:tc>
          <w:tcPr>
            <w:tcW w:w="1042" w:type="dxa"/>
            <w:tcBorders>
              <w:top w:val="nil"/>
              <w:left w:val="nil"/>
              <w:bottom w:val="nil"/>
              <w:right w:val="nil"/>
            </w:tcBorders>
            <w:shd w:val="clear" w:color="000000" w:fill="auto"/>
            <w:noWrap/>
            <w:vAlign w:val="bottom"/>
            <w:hideMark/>
          </w:tcPr>
          <w:p w14:paraId="68CD41A5" w14:textId="7E599EE7" w:rsidR="00BA526A" w:rsidRPr="00BB4B6F" w:rsidRDefault="00BA526A" w:rsidP="00BA526A">
            <w:pPr>
              <w:spacing w:after="0" w:line="240" w:lineRule="auto"/>
              <w:jc w:val="right"/>
              <w:rPr>
                <w:sz w:val="18"/>
                <w:szCs w:val="18"/>
                <w:highlight w:val="yellow"/>
                <w:lang w:eastAsia="sk-SK"/>
              </w:rPr>
            </w:pPr>
            <w:r>
              <w:rPr>
                <w:sz w:val="18"/>
                <w:szCs w:val="18"/>
              </w:rPr>
              <w:t>9 464 990</w:t>
            </w:r>
          </w:p>
        </w:tc>
        <w:tc>
          <w:tcPr>
            <w:tcW w:w="996" w:type="dxa"/>
            <w:tcBorders>
              <w:top w:val="nil"/>
              <w:left w:val="nil"/>
              <w:bottom w:val="nil"/>
              <w:right w:val="nil"/>
            </w:tcBorders>
            <w:shd w:val="clear" w:color="auto" w:fill="auto"/>
            <w:noWrap/>
            <w:vAlign w:val="bottom"/>
            <w:hideMark/>
          </w:tcPr>
          <w:p w14:paraId="255C58F2" w14:textId="4E8CCE39"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9 044 518</w:t>
            </w:r>
          </w:p>
        </w:tc>
        <w:tc>
          <w:tcPr>
            <w:tcW w:w="1017" w:type="dxa"/>
            <w:tcBorders>
              <w:top w:val="nil"/>
              <w:left w:val="nil"/>
              <w:bottom w:val="nil"/>
              <w:right w:val="nil"/>
            </w:tcBorders>
            <w:shd w:val="clear" w:color="auto" w:fill="auto"/>
            <w:noWrap/>
            <w:vAlign w:val="bottom"/>
            <w:hideMark/>
          </w:tcPr>
          <w:p w14:paraId="62CCF502" w14:textId="743FDD8D"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3,5</w:t>
            </w:r>
          </w:p>
        </w:tc>
      </w:tr>
      <w:tr w:rsidR="00BA526A" w:rsidRPr="00BB4B6F" w14:paraId="73E50539" w14:textId="77777777" w:rsidTr="001768B9">
        <w:trPr>
          <w:trHeight w:val="255"/>
        </w:trPr>
        <w:tc>
          <w:tcPr>
            <w:tcW w:w="4253" w:type="dxa"/>
            <w:tcBorders>
              <w:top w:val="nil"/>
              <w:left w:val="nil"/>
              <w:bottom w:val="nil"/>
              <w:right w:val="nil"/>
            </w:tcBorders>
            <w:shd w:val="clear" w:color="auto" w:fill="auto"/>
            <w:noWrap/>
            <w:vAlign w:val="center"/>
            <w:hideMark/>
          </w:tcPr>
          <w:p w14:paraId="13B65C31" w14:textId="77777777" w:rsidR="00BA526A" w:rsidRPr="00BA526A" w:rsidRDefault="00BA526A" w:rsidP="00BA526A">
            <w:pPr>
              <w:spacing w:after="0" w:line="240" w:lineRule="auto"/>
              <w:ind w:firstLineChars="100" w:firstLine="180"/>
              <w:rPr>
                <w:sz w:val="18"/>
                <w:szCs w:val="18"/>
                <w:lang w:eastAsia="sk-SK"/>
              </w:rPr>
            </w:pPr>
            <w:r w:rsidRPr="00BA526A">
              <w:rPr>
                <w:sz w:val="18"/>
                <w:szCs w:val="18"/>
                <w:lang w:eastAsia="sk-SK"/>
              </w:rPr>
              <w:t xml:space="preserve"> - Príspevky od domácnosti</w:t>
            </w:r>
          </w:p>
        </w:tc>
        <w:tc>
          <w:tcPr>
            <w:tcW w:w="1180" w:type="dxa"/>
            <w:tcBorders>
              <w:top w:val="nil"/>
              <w:left w:val="nil"/>
              <w:bottom w:val="nil"/>
              <w:right w:val="nil"/>
            </w:tcBorders>
            <w:shd w:val="clear" w:color="auto" w:fill="auto"/>
            <w:noWrap/>
            <w:vAlign w:val="bottom"/>
            <w:hideMark/>
          </w:tcPr>
          <w:p w14:paraId="55FB87C2" w14:textId="5463A40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5 591 883</w:t>
            </w:r>
          </w:p>
        </w:tc>
        <w:tc>
          <w:tcPr>
            <w:tcW w:w="1025" w:type="dxa"/>
            <w:tcBorders>
              <w:top w:val="nil"/>
              <w:left w:val="nil"/>
              <w:bottom w:val="nil"/>
              <w:right w:val="nil"/>
            </w:tcBorders>
            <w:shd w:val="clear" w:color="auto" w:fill="auto"/>
            <w:noWrap/>
            <w:vAlign w:val="bottom"/>
            <w:hideMark/>
          </w:tcPr>
          <w:p w14:paraId="2D941404" w14:textId="40259DC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6 148 189</w:t>
            </w:r>
          </w:p>
        </w:tc>
        <w:tc>
          <w:tcPr>
            <w:tcW w:w="1042" w:type="dxa"/>
            <w:tcBorders>
              <w:top w:val="nil"/>
              <w:left w:val="nil"/>
              <w:bottom w:val="nil"/>
              <w:right w:val="nil"/>
            </w:tcBorders>
            <w:shd w:val="clear" w:color="000000" w:fill="auto"/>
            <w:noWrap/>
            <w:vAlign w:val="bottom"/>
            <w:hideMark/>
          </w:tcPr>
          <w:p w14:paraId="24D09E91" w14:textId="75B36E47" w:rsidR="00BA526A" w:rsidRPr="00BB4B6F" w:rsidRDefault="00BA526A" w:rsidP="00BA526A">
            <w:pPr>
              <w:spacing w:after="0" w:line="240" w:lineRule="auto"/>
              <w:jc w:val="right"/>
              <w:rPr>
                <w:sz w:val="18"/>
                <w:szCs w:val="18"/>
                <w:highlight w:val="yellow"/>
                <w:lang w:eastAsia="sk-SK"/>
              </w:rPr>
            </w:pPr>
            <w:r>
              <w:rPr>
                <w:sz w:val="18"/>
                <w:szCs w:val="18"/>
              </w:rPr>
              <w:t>6 530 169</w:t>
            </w:r>
          </w:p>
        </w:tc>
        <w:tc>
          <w:tcPr>
            <w:tcW w:w="996" w:type="dxa"/>
            <w:tcBorders>
              <w:top w:val="nil"/>
              <w:left w:val="nil"/>
              <w:bottom w:val="nil"/>
              <w:right w:val="nil"/>
            </w:tcBorders>
            <w:shd w:val="clear" w:color="auto" w:fill="auto"/>
            <w:noWrap/>
            <w:vAlign w:val="bottom"/>
            <w:hideMark/>
          </w:tcPr>
          <w:p w14:paraId="725FF498" w14:textId="6985983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6 550 053</w:t>
            </w:r>
          </w:p>
        </w:tc>
        <w:tc>
          <w:tcPr>
            <w:tcW w:w="1017" w:type="dxa"/>
            <w:tcBorders>
              <w:top w:val="nil"/>
              <w:left w:val="nil"/>
              <w:bottom w:val="nil"/>
              <w:right w:val="nil"/>
            </w:tcBorders>
            <w:shd w:val="clear" w:color="auto" w:fill="auto"/>
            <w:noWrap/>
            <w:vAlign w:val="bottom"/>
            <w:hideMark/>
          </w:tcPr>
          <w:p w14:paraId="663755D7" w14:textId="6FE44773"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6,2</w:t>
            </w:r>
          </w:p>
        </w:tc>
      </w:tr>
      <w:tr w:rsidR="00BA526A" w:rsidRPr="00BB4B6F" w14:paraId="6006C0B6" w14:textId="77777777" w:rsidTr="001768B9">
        <w:trPr>
          <w:trHeight w:val="255"/>
        </w:trPr>
        <w:tc>
          <w:tcPr>
            <w:tcW w:w="4253" w:type="dxa"/>
            <w:tcBorders>
              <w:top w:val="nil"/>
              <w:left w:val="nil"/>
              <w:bottom w:val="nil"/>
              <w:right w:val="nil"/>
            </w:tcBorders>
            <w:shd w:val="clear" w:color="auto" w:fill="auto"/>
            <w:noWrap/>
            <w:vAlign w:val="center"/>
            <w:hideMark/>
          </w:tcPr>
          <w:p w14:paraId="34066008"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Imputované príspevky na sociálne zabezpečenie</w:t>
            </w:r>
          </w:p>
        </w:tc>
        <w:tc>
          <w:tcPr>
            <w:tcW w:w="1180" w:type="dxa"/>
            <w:tcBorders>
              <w:top w:val="nil"/>
              <w:left w:val="nil"/>
              <w:bottom w:val="nil"/>
              <w:right w:val="nil"/>
            </w:tcBorders>
            <w:shd w:val="clear" w:color="auto" w:fill="auto"/>
            <w:noWrap/>
            <w:vAlign w:val="bottom"/>
            <w:hideMark/>
          </w:tcPr>
          <w:p w14:paraId="739EE45A" w14:textId="4CCD65F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257 748</w:t>
            </w:r>
          </w:p>
        </w:tc>
        <w:tc>
          <w:tcPr>
            <w:tcW w:w="1025" w:type="dxa"/>
            <w:tcBorders>
              <w:top w:val="nil"/>
              <w:left w:val="nil"/>
              <w:bottom w:val="nil"/>
              <w:right w:val="nil"/>
            </w:tcBorders>
            <w:shd w:val="clear" w:color="auto" w:fill="auto"/>
            <w:noWrap/>
            <w:vAlign w:val="bottom"/>
            <w:hideMark/>
          </w:tcPr>
          <w:p w14:paraId="31AB3B8B" w14:textId="49D8F233" w:rsidR="00BA526A" w:rsidRPr="00BB4B6F" w:rsidRDefault="00BA526A" w:rsidP="00BA526A">
            <w:pPr>
              <w:spacing w:after="0" w:line="240" w:lineRule="auto"/>
              <w:jc w:val="right"/>
              <w:rPr>
                <w:color w:val="000000"/>
                <w:sz w:val="18"/>
                <w:szCs w:val="18"/>
                <w:highlight w:val="yellow"/>
                <w:lang w:eastAsia="sk-SK"/>
              </w:rPr>
            </w:pPr>
            <w:r>
              <w:rPr>
                <w:sz w:val="18"/>
                <w:szCs w:val="18"/>
              </w:rPr>
              <w:t>344 270</w:t>
            </w:r>
          </w:p>
        </w:tc>
        <w:tc>
          <w:tcPr>
            <w:tcW w:w="1042" w:type="dxa"/>
            <w:tcBorders>
              <w:top w:val="nil"/>
              <w:left w:val="nil"/>
              <w:bottom w:val="nil"/>
              <w:right w:val="nil"/>
            </w:tcBorders>
            <w:shd w:val="clear" w:color="000000" w:fill="auto"/>
            <w:noWrap/>
            <w:vAlign w:val="bottom"/>
            <w:hideMark/>
          </w:tcPr>
          <w:p w14:paraId="11181E3D" w14:textId="30A82B2A" w:rsidR="00BA526A" w:rsidRPr="00BB4B6F" w:rsidRDefault="00BA526A" w:rsidP="00BA526A">
            <w:pPr>
              <w:spacing w:after="0" w:line="240" w:lineRule="auto"/>
              <w:jc w:val="right"/>
              <w:rPr>
                <w:sz w:val="18"/>
                <w:szCs w:val="18"/>
                <w:highlight w:val="yellow"/>
                <w:lang w:eastAsia="sk-SK"/>
              </w:rPr>
            </w:pPr>
            <w:r>
              <w:rPr>
                <w:sz w:val="18"/>
                <w:szCs w:val="18"/>
              </w:rPr>
              <w:t>343 386</w:t>
            </w:r>
          </w:p>
        </w:tc>
        <w:tc>
          <w:tcPr>
            <w:tcW w:w="996" w:type="dxa"/>
            <w:tcBorders>
              <w:top w:val="nil"/>
              <w:left w:val="nil"/>
              <w:bottom w:val="nil"/>
              <w:right w:val="nil"/>
            </w:tcBorders>
            <w:shd w:val="clear" w:color="auto" w:fill="auto"/>
            <w:noWrap/>
            <w:vAlign w:val="bottom"/>
            <w:hideMark/>
          </w:tcPr>
          <w:p w14:paraId="654CBC5C" w14:textId="39FDFCB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251 185</w:t>
            </w:r>
          </w:p>
        </w:tc>
        <w:tc>
          <w:tcPr>
            <w:tcW w:w="1017" w:type="dxa"/>
            <w:tcBorders>
              <w:top w:val="nil"/>
              <w:left w:val="nil"/>
              <w:bottom w:val="nil"/>
              <w:right w:val="nil"/>
            </w:tcBorders>
            <w:shd w:val="clear" w:color="auto" w:fill="auto"/>
            <w:noWrap/>
            <w:vAlign w:val="bottom"/>
            <w:hideMark/>
          </w:tcPr>
          <w:p w14:paraId="4BE30A16" w14:textId="213704AA"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-0,3</w:t>
            </w:r>
          </w:p>
        </w:tc>
      </w:tr>
      <w:tr w:rsidR="00BA526A" w:rsidRPr="00BB4B6F" w14:paraId="68A6A3B3" w14:textId="77777777" w:rsidTr="001768B9">
        <w:trPr>
          <w:trHeight w:val="255"/>
        </w:trPr>
        <w:tc>
          <w:tcPr>
            <w:tcW w:w="4253" w:type="dxa"/>
            <w:tcBorders>
              <w:top w:val="nil"/>
              <w:left w:val="nil"/>
              <w:bottom w:val="nil"/>
              <w:right w:val="nil"/>
            </w:tcBorders>
            <w:shd w:val="clear" w:color="auto" w:fill="auto"/>
            <w:noWrap/>
            <w:vAlign w:val="center"/>
            <w:hideMark/>
          </w:tcPr>
          <w:p w14:paraId="7E1BF455" w14:textId="77777777" w:rsidR="00BA526A" w:rsidRPr="00BA526A" w:rsidRDefault="00BA526A" w:rsidP="00BA526A">
            <w:pPr>
              <w:spacing w:after="0" w:line="240" w:lineRule="auto"/>
              <w:rPr>
                <w:b/>
                <w:bCs/>
                <w:color w:val="000000"/>
                <w:sz w:val="18"/>
                <w:szCs w:val="18"/>
                <w:lang w:eastAsia="sk-SK"/>
              </w:rPr>
            </w:pPr>
            <w:r w:rsidRPr="00BA526A">
              <w:rPr>
                <w:b/>
                <w:bCs/>
                <w:color w:val="000000"/>
                <w:sz w:val="18"/>
                <w:szCs w:val="18"/>
                <w:lang w:eastAsia="sk-SK"/>
              </w:rPr>
              <w:t>Nedaňové príjmy</w:t>
            </w:r>
          </w:p>
        </w:tc>
        <w:tc>
          <w:tcPr>
            <w:tcW w:w="1180" w:type="dxa"/>
            <w:tcBorders>
              <w:top w:val="nil"/>
              <w:left w:val="nil"/>
              <w:bottom w:val="nil"/>
              <w:right w:val="nil"/>
            </w:tcBorders>
            <w:shd w:val="clear" w:color="auto" w:fill="auto"/>
            <w:noWrap/>
            <w:vAlign w:val="bottom"/>
            <w:hideMark/>
          </w:tcPr>
          <w:p w14:paraId="11796881" w14:textId="50721059" w:rsidR="00BA526A" w:rsidRPr="00BB4B6F" w:rsidRDefault="00BA526A" w:rsidP="00BA526A">
            <w:pPr>
              <w:spacing w:after="0" w:line="240" w:lineRule="auto"/>
              <w:jc w:val="right"/>
              <w:rPr>
                <w:b/>
                <w:bCs/>
                <w:sz w:val="18"/>
                <w:szCs w:val="18"/>
                <w:highlight w:val="yellow"/>
                <w:lang w:eastAsia="sk-SK"/>
              </w:rPr>
            </w:pPr>
            <w:r>
              <w:rPr>
                <w:b/>
                <w:bCs/>
                <w:sz w:val="18"/>
                <w:szCs w:val="18"/>
              </w:rPr>
              <w:t>2 832 661</w:t>
            </w:r>
          </w:p>
        </w:tc>
        <w:tc>
          <w:tcPr>
            <w:tcW w:w="1025" w:type="dxa"/>
            <w:tcBorders>
              <w:top w:val="nil"/>
              <w:left w:val="nil"/>
              <w:bottom w:val="nil"/>
              <w:right w:val="nil"/>
            </w:tcBorders>
            <w:shd w:val="clear" w:color="auto" w:fill="auto"/>
            <w:noWrap/>
            <w:vAlign w:val="bottom"/>
            <w:hideMark/>
          </w:tcPr>
          <w:p w14:paraId="79AAC7A5" w14:textId="274BDBB1" w:rsidR="00BA526A" w:rsidRPr="00BB4B6F" w:rsidRDefault="00BA526A" w:rsidP="00BA526A">
            <w:pPr>
              <w:spacing w:after="0" w:line="240" w:lineRule="auto"/>
              <w:jc w:val="right"/>
              <w:rPr>
                <w:b/>
                <w:bCs/>
                <w:sz w:val="18"/>
                <w:szCs w:val="18"/>
                <w:highlight w:val="yellow"/>
                <w:lang w:eastAsia="sk-SK"/>
              </w:rPr>
            </w:pPr>
            <w:r>
              <w:rPr>
                <w:b/>
                <w:bCs/>
                <w:sz w:val="18"/>
                <w:szCs w:val="18"/>
              </w:rPr>
              <w:t>3 209 921</w:t>
            </w:r>
          </w:p>
        </w:tc>
        <w:tc>
          <w:tcPr>
            <w:tcW w:w="1042" w:type="dxa"/>
            <w:tcBorders>
              <w:top w:val="nil"/>
              <w:left w:val="nil"/>
              <w:bottom w:val="nil"/>
              <w:right w:val="nil"/>
            </w:tcBorders>
            <w:shd w:val="clear" w:color="000000" w:fill="auto"/>
            <w:noWrap/>
            <w:vAlign w:val="bottom"/>
            <w:hideMark/>
          </w:tcPr>
          <w:p w14:paraId="27B9FA48" w14:textId="0D57725D" w:rsidR="00BA526A" w:rsidRPr="00BB4B6F" w:rsidRDefault="00BA526A" w:rsidP="00BA526A">
            <w:pPr>
              <w:spacing w:after="0" w:line="240" w:lineRule="auto"/>
              <w:jc w:val="right"/>
              <w:rPr>
                <w:b/>
                <w:bCs/>
                <w:sz w:val="18"/>
                <w:szCs w:val="18"/>
                <w:highlight w:val="yellow"/>
                <w:lang w:eastAsia="sk-SK"/>
              </w:rPr>
            </w:pPr>
            <w:r>
              <w:rPr>
                <w:b/>
                <w:bCs/>
                <w:sz w:val="18"/>
                <w:szCs w:val="18"/>
              </w:rPr>
              <w:t>3 521 982</w:t>
            </w:r>
          </w:p>
        </w:tc>
        <w:tc>
          <w:tcPr>
            <w:tcW w:w="996" w:type="dxa"/>
            <w:tcBorders>
              <w:top w:val="nil"/>
              <w:left w:val="nil"/>
              <w:bottom w:val="nil"/>
              <w:right w:val="nil"/>
            </w:tcBorders>
            <w:shd w:val="clear" w:color="auto" w:fill="auto"/>
            <w:noWrap/>
            <w:vAlign w:val="bottom"/>
            <w:hideMark/>
          </w:tcPr>
          <w:p w14:paraId="24C36104" w14:textId="7D2AA7A2" w:rsidR="00BA526A" w:rsidRPr="00BB4B6F" w:rsidRDefault="00BA526A" w:rsidP="00BA526A">
            <w:pPr>
              <w:spacing w:after="0" w:line="240" w:lineRule="auto"/>
              <w:jc w:val="right"/>
              <w:rPr>
                <w:b/>
                <w:bCs/>
                <w:sz w:val="18"/>
                <w:szCs w:val="18"/>
                <w:highlight w:val="yellow"/>
                <w:lang w:eastAsia="sk-SK"/>
              </w:rPr>
            </w:pPr>
            <w:r>
              <w:rPr>
                <w:b/>
                <w:bCs/>
                <w:sz w:val="18"/>
                <w:szCs w:val="18"/>
              </w:rPr>
              <w:t>5 071 015</w:t>
            </w:r>
          </w:p>
        </w:tc>
        <w:tc>
          <w:tcPr>
            <w:tcW w:w="1017" w:type="dxa"/>
            <w:tcBorders>
              <w:top w:val="nil"/>
              <w:left w:val="nil"/>
              <w:bottom w:val="nil"/>
              <w:right w:val="nil"/>
            </w:tcBorders>
            <w:shd w:val="clear" w:color="auto" w:fill="auto"/>
            <w:noWrap/>
            <w:vAlign w:val="bottom"/>
            <w:hideMark/>
          </w:tcPr>
          <w:p w14:paraId="766DAD84" w14:textId="59D27887" w:rsidR="00BA526A" w:rsidRPr="00BB4B6F" w:rsidRDefault="00BA526A" w:rsidP="00BA526A">
            <w:pPr>
              <w:spacing w:after="0" w:line="240" w:lineRule="auto"/>
              <w:ind w:right="188"/>
              <w:jc w:val="right"/>
              <w:rPr>
                <w:b/>
                <w:bCs/>
                <w:sz w:val="18"/>
                <w:szCs w:val="18"/>
                <w:highlight w:val="yellow"/>
                <w:lang w:eastAsia="sk-SK"/>
              </w:rPr>
            </w:pPr>
            <w:r>
              <w:rPr>
                <w:b/>
                <w:bCs/>
                <w:sz w:val="18"/>
                <w:szCs w:val="18"/>
              </w:rPr>
              <w:t>9,7</w:t>
            </w:r>
          </w:p>
        </w:tc>
      </w:tr>
      <w:tr w:rsidR="00BA526A" w:rsidRPr="00BB4B6F" w14:paraId="4A83552C" w14:textId="77777777" w:rsidTr="001768B9">
        <w:trPr>
          <w:trHeight w:val="255"/>
        </w:trPr>
        <w:tc>
          <w:tcPr>
            <w:tcW w:w="4253" w:type="dxa"/>
            <w:tcBorders>
              <w:top w:val="nil"/>
              <w:left w:val="nil"/>
              <w:bottom w:val="nil"/>
              <w:right w:val="nil"/>
            </w:tcBorders>
            <w:shd w:val="clear" w:color="auto" w:fill="auto"/>
            <w:noWrap/>
            <w:vAlign w:val="center"/>
            <w:hideMark/>
          </w:tcPr>
          <w:p w14:paraId="5BE308E1"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Tržby</w:t>
            </w:r>
          </w:p>
        </w:tc>
        <w:tc>
          <w:tcPr>
            <w:tcW w:w="1180" w:type="dxa"/>
            <w:tcBorders>
              <w:top w:val="nil"/>
              <w:left w:val="nil"/>
              <w:bottom w:val="nil"/>
              <w:right w:val="nil"/>
            </w:tcBorders>
            <w:shd w:val="clear" w:color="auto" w:fill="auto"/>
            <w:noWrap/>
            <w:vAlign w:val="bottom"/>
            <w:hideMark/>
          </w:tcPr>
          <w:p w14:paraId="2FD88D6F" w14:textId="4EF7D7C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2 292 902</w:t>
            </w:r>
          </w:p>
        </w:tc>
        <w:tc>
          <w:tcPr>
            <w:tcW w:w="1025" w:type="dxa"/>
            <w:tcBorders>
              <w:top w:val="nil"/>
              <w:left w:val="nil"/>
              <w:bottom w:val="nil"/>
              <w:right w:val="nil"/>
            </w:tcBorders>
            <w:shd w:val="clear" w:color="auto" w:fill="auto"/>
            <w:noWrap/>
            <w:vAlign w:val="bottom"/>
            <w:hideMark/>
          </w:tcPr>
          <w:p w14:paraId="21B6B22B" w14:textId="54CEE90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2 453 084</w:t>
            </w:r>
          </w:p>
        </w:tc>
        <w:tc>
          <w:tcPr>
            <w:tcW w:w="1042" w:type="dxa"/>
            <w:tcBorders>
              <w:top w:val="nil"/>
              <w:left w:val="nil"/>
              <w:bottom w:val="nil"/>
              <w:right w:val="nil"/>
            </w:tcBorders>
            <w:shd w:val="clear" w:color="000000" w:fill="auto"/>
            <w:noWrap/>
            <w:vAlign w:val="bottom"/>
            <w:hideMark/>
          </w:tcPr>
          <w:p w14:paraId="78DDE319" w14:textId="2F21FC2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2 790 444</w:t>
            </w:r>
          </w:p>
        </w:tc>
        <w:tc>
          <w:tcPr>
            <w:tcW w:w="996" w:type="dxa"/>
            <w:tcBorders>
              <w:top w:val="nil"/>
              <w:left w:val="nil"/>
              <w:bottom w:val="nil"/>
              <w:right w:val="nil"/>
            </w:tcBorders>
            <w:shd w:val="clear" w:color="auto" w:fill="auto"/>
            <w:noWrap/>
            <w:vAlign w:val="bottom"/>
            <w:hideMark/>
          </w:tcPr>
          <w:p w14:paraId="735E4139" w14:textId="3A6A8B0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4 580 892</w:t>
            </w:r>
          </w:p>
        </w:tc>
        <w:tc>
          <w:tcPr>
            <w:tcW w:w="1017" w:type="dxa"/>
            <w:tcBorders>
              <w:top w:val="nil"/>
              <w:left w:val="nil"/>
              <w:bottom w:val="nil"/>
              <w:right w:val="nil"/>
            </w:tcBorders>
            <w:shd w:val="clear" w:color="auto" w:fill="auto"/>
            <w:noWrap/>
            <w:vAlign w:val="bottom"/>
            <w:hideMark/>
          </w:tcPr>
          <w:p w14:paraId="01F90D64" w14:textId="165353BD"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13,8</w:t>
            </w:r>
          </w:p>
        </w:tc>
      </w:tr>
      <w:tr w:rsidR="00BA526A" w:rsidRPr="00BB4B6F" w14:paraId="69A69ABA" w14:textId="77777777" w:rsidTr="001768B9">
        <w:trPr>
          <w:trHeight w:val="243"/>
        </w:trPr>
        <w:tc>
          <w:tcPr>
            <w:tcW w:w="4253" w:type="dxa"/>
            <w:tcBorders>
              <w:top w:val="nil"/>
              <w:left w:val="nil"/>
              <w:bottom w:val="nil"/>
              <w:right w:val="nil"/>
            </w:tcBorders>
            <w:shd w:val="clear" w:color="auto" w:fill="auto"/>
            <w:vAlign w:val="center"/>
            <w:hideMark/>
          </w:tcPr>
          <w:p w14:paraId="2B675A65" w14:textId="0596E5FA"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Produkcia trhová + pre vlastné konečné použitie</w:t>
            </w:r>
          </w:p>
        </w:tc>
        <w:tc>
          <w:tcPr>
            <w:tcW w:w="1180" w:type="dxa"/>
            <w:tcBorders>
              <w:top w:val="nil"/>
              <w:left w:val="nil"/>
              <w:bottom w:val="nil"/>
              <w:right w:val="nil"/>
            </w:tcBorders>
            <w:shd w:val="clear" w:color="auto" w:fill="auto"/>
            <w:noWrap/>
            <w:vAlign w:val="bottom"/>
            <w:hideMark/>
          </w:tcPr>
          <w:p w14:paraId="3703A444" w14:textId="0CDA77F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2 034 035</w:t>
            </w:r>
          </w:p>
        </w:tc>
        <w:tc>
          <w:tcPr>
            <w:tcW w:w="1025" w:type="dxa"/>
            <w:tcBorders>
              <w:top w:val="nil"/>
              <w:left w:val="nil"/>
              <w:bottom w:val="nil"/>
              <w:right w:val="nil"/>
            </w:tcBorders>
            <w:shd w:val="clear" w:color="auto" w:fill="auto"/>
            <w:noWrap/>
            <w:vAlign w:val="bottom"/>
            <w:hideMark/>
          </w:tcPr>
          <w:p w14:paraId="21C19ACC" w14:textId="29EA22BE"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2 183 995</w:t>
            </w:r>
          </w:p>
        </w:tc>
        <w:tc>
          <w:tcPr>
            <w:tcW w:w="1042" w:type="dxa"/>
            <w:tcBorders>
              <w:top w:val="nil"/>
              <w:left w:val="nil"/>
              <w:bottom w:val="nil"/>
              <w:right w:val="nil"/>
            </w:tcBorders>
            <w:shd w:val="clear" w:color="000000" w:fill="auto"/>
            <w:noWrap/>
            <w:vAlign w:val="bottom"/>
            <w:hideMark/>
          </w:tcPr>
          <w:p w14:paraId="1B5C52A3" w14:textId="3ACD48A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2 425 391</w:t>
            </w:r>
          </w:p>
        </w:tc>
        <w:tc>
          <w:tcPr>
            <w:tcW w:w="996" w:type="dxa"/>
            <w:tcBorders>
              <w:top w:val="nil"/>
              <w:left w:val="nil"/>
              <w:bottom w:val="nil"/>
              <w:right w:val="nil"/>
            </w:tcBorders>
            <w:shd w:val="clear" w:color="auto" w:fill="auto"/>
            <w:noWrap/>
            <w:vAlign w:val="bottom"/>
            <w:hideMark/>
          </w:tcPr>
          <w:p w14:paraId="3FDAF87A" w14:textId="1E85B6E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4 334 873</w:t>
            </w:r>
          </w:p>
        </w:tc>
        <w:tc>
          <w:tcPr>
            <w:tcW w:w="1017" w:type="dxa"/>
            <w:tcBorders>
              <w:top w:val="nil"/>
              <w:left w:val="nil"/>
              <w:bottom w:val="nil"/>
              <w:right w:val="nil"/>
            </w:tcBorders>
            <w:shd w:val="clear" w:color="auto" w:fill="auto"/>
            <w:noWrap/>
            <w:vAlign w:val="bottom"/>
            <w:hideMark/>
          </w:tcPr>
          <w:p w14:paraId="4E7B422D" w14:textId="7F83041C"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11,1</w:t>
            </w:r>
          </w:p>
        </w:tc>
      </w:tr>
      <w:tr w:rsidR="00BA526A" w:rsidRPr="00BB4B6F" w14:paraId="20B1FC94" w14:textId="77777777" w:rsidTr="001768B9">
        <w:trPr>
          <w:trHeight w:val="315"/>
        </w:trPr>
        <w:tc>
          <w:tcPr>
            <w:tcW w:w="4253" w:type="dxa"/>
            <w:tcBorders>
              <w:top w:val="nil"/>
              <w:left w:val="nil"/>
              <w:bottom w:val="nil"/>
              <w:right w:val="nil"/>
            </w:tcBorders>
            <w:shd w:val="clear" w:color="auto" w:fill="auto"/>
            <w:noWrap/>
            <w:vAlign w:val="center"/>
            <w:hideMark/>
          </w:tcPr>
          <w:p w14:paraId="378ABE5E"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Platby za ostatnú netrhovú produkciu</w:t>
            </w:r>
          </w:p>
        </w:tc>
        <w:tc>
          <w:tcPr>
            <w:tcW w:w="1180" w:type="dxa"/>
            <w:tcBorders>
              <w:top w:val="nil"/>
              <w:left w:val="nil"/>
              <w:bottom w:val="nil"/>
              <w:right w:val="nil"/>
            </w:tcBorders>
            <w:shd w:val="clear" w:color="auto" w:fill="auto"/>
            <w:noWrap/>
            <w:vAlign w:val="bottom"/>
            <w:hideMark/>
          </w:tcPr>
          <w:p w14:paraId="60B5EC18" w14:textId="52563A16"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258 867</w:t>
            </w:r>
          </w:p>
        </w:tc>
        <w:tc>
          <w:tcPr>
            <w:tcW w:w="1025" w:type="dxa"/>
            <w:tcBorders>
              <w:top w:val="nil"/>
              <w:left w:val="nil"/>
              <w:bottom w:val="nil"/>
              <w:right w:val="nil"/>
            </w:tcBorders>
            <w:shd w:val="clear" w:color="auto" w:fill="auto"/>
            <w:noWrap/>
            <w:vAlign w:val="bottom"/>
            <w:hideMark/>
          </w:tcPr>
          <w:p w14:paraId="3E2F4DA7" w14:textId="6A8392B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269 089</w:t>
            </w:r>
          </w:p>
        </w:tc>
        <w:tc>
          <w:tcPr>
            <w:tcW w:w="1042" w:type="dxa"/>
            <w:tcBorders>
              <w:top w:val="nil"/>
              <w:left w:val="nil"/>
              <w:bottom w:val="nil"/>
              <w:right w:val="nil"/>
            </w:tcBorders>
            <w:shd w:val="clear" w:color="000000" w:fill="auto"/>
            <w:noWrap/>
            <w:vAlign w:val="bottom"/>
            <w:hideMark/>
          </w:tcPr>
          <w:p w14:paraId="37C2DFF4" w14:textId="568F931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365 053</w:t>
            </w:r>
          </w:p>
        </w:tc>
        <w:tc>
          <w:tcPr>
            <w:tcW w:w="996" w:type="dxa"/>
            <w:tcBorders>
              <w:top w:val="nil"/>
              <w:left w:val="nil"/>
              <w:bottom w:val="nil"/>
              <w:right w:val="nil"/>
            </w:tcBorders>
            <w:shd w:val="clear" w:color="auto" w:fill="auto"/>
            <w:noWrap/>
            <w:vAlign w:val="bottom"/>
            <w:hideMark/>
          </w:tcPr>
          <w:p w14:paraId="4A1656C7" w14:textId="66C9C85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246 019</w:t>
            </w:r>
          </w:p>
        </w:tc>
        <w:tc>
          <w:tcPr>
            <w:tcW w:w="1017" w:type="dxa"/>
            <w:tcBorders>
              <w:top w:val="nil"/>
              <w:left w:val="nil"/>
              <w:bottom w:val="nil"/>
              <w:right w:val="nil"/>
            </w:tcBorders>
            <w:shd w:val="clear" w:color="auto" w:fill="auto"/>
            <w:noWrap/>
            <w:vAlign w:val="bottom"/>
            <w:hideMark/>
          </w:tcPr>
          <w:p w14:paraId="560BE08A" w14:textId="4E1D2EBA"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35,7</w:t>
            </w:r>
          </w:p>
        </w:tc>
      </w:tr>
      <w:tr w:rsidR="00BA526A" w:rsidRPr="00BB4B6F" w14:paraId="6E74CDAF" w14:textId="77777777" w:rsidTr="001768B9">
        <w:trPr>
          <w:trHeight w:val="285"/>
        </w:trPr>
        <w:tc>
          <w:tcPr>
            <w:tcW w:w="4253" w:type="dxa"/>
            <w:tcBorders>
              <w:top w:val="nil"/>
              <w:left w:val="nil"/>
              <w:bottom w:val="nil"/>
              <w:right w:val="nil"/>
            </w:tcBorders>
            <w:shd w:val="clear" w:color="auto" w:fill="auto"/>
            <w:noWrap/>
            <w:vAlign w:val="center"/>
            <w:hideMark/>
          </w:tcPr>
          <w:p w14:paraId="67338990"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Dôchodky z majetku, z toho</w:t>
            </w:r>
          </w:p>
        </w:tc>
        <w:tc>
          <w:tcPr>
            <w:tcW w:w="1180" w:type="dxa"/>
            <w:tcBorders>
              <w:top w:val="nil"/>
              <w:left w:val="nil"/>
              <w:bottom w:val="nil"/>
              <w:right w:val="nil"/>
            </w:tcBorders>
            <w:shd w:val="clear" w:color="auto" w:fill="auto"/>
            <w:noWrap/>
            <w:vAlign w:val="bottom"/>
            <w:hideMark/>
          </w:tcPr>
          <w:p w14:paraId="3F31444F" w14:textId="34FDCF2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539 759</w:t>
            </w:r>
          </w:p>
        </w:tc>
        <w:tc>
          <w:tcPr>
            <w:tcW w:w="1025" w:type="dxa"/>
            <w:tcBorders>
              <w:top w:val="nil"/>
              <w:left w:val="nil"/>
              <w:bottom w:val="nil"/>
              <w:right w:val="nil"/>
            </w:tcBorders>
            <w:shd w:val="clear" w:color="auto" w:fill="auto"/>
            <w:noWrap/>
            <w:vAlign w:val="bottom"/>
            <w:hideMark/>
          </w:tcPr>
          <w:p w14:paraId="60167339" w14:textId="419BAA25"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756 837</w:t>
            </w:r>
          </w:p>
        </w:tc>
        <w:tc>
          <w:tcPr>
            <w:tcW w:w="1042" w:type="dxa"/>
            <w:tcBorders>
              <w:top w:val="nil"/>
              <w:left w:val="nil"/>
              <w:bottom w:val="nil"/>
              <w:right w:val="nil"/>
            </w:tcBorders>
            <w:shd w:val="clear" w:color="000000" w:fill="auto"/>
            <w:noWrap/>
            <w:vAlign w:val="bottom"/>
            <w:hideMark/>
          </w:tcPr>
          <w:p w14:paraId="584F3A75" w14:textId="7079329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731 538</w:t>
            </w:r>
          </w:p>
        </w:tc>
        <w:tc>
          <w:tcPr>
            <w:tcW w:w="996" w:type="dxa"/>
            <w:tcBorders>
              <w:top w:val="nil"/>
              <w:left w:val="nil"/>
              <w:bottom w:val="nil"/>
              <w:right w:val="nil"/>
            </w:tcBorders>
            <w:shd w:val="clear" w:color="auto" w:fill="auto"/>
            <w:noWrap/>
            <w:vAlign w:val="bottom"/>
            <w:hideMark/>
          </w:tcPr>
          <w:p w14:paraId="728271CB" w14:textId="5C5CBDB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490 123</w:t>
            </w:r>
          </w:p>
        </w:tc>
        <w:tc>
          <w:tcPr>
            <w:tcW w:w="1017" w:type="dxa"/>
            <w:tcBorders>
              <w:top w:val="nil"/>
              <w:left w:val="nil"/>
              <w:bottom w:val="nil"/>
              <w:right w:val="nil"/>
            </w:tcBorders>
            <w:shd w:val="clear" w:color="auto" w:fill="auto"/>
            <w:noWrap/>
            <w:vAlign w:val="bottom"/>
            <w:hideMark/>
          </w:tcPr>
          <w:p w14:paraId="11546A0A" w14:textId="633E1DD3"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-3,3</w:t>
            </w:r>
          </w:p>
        </w:tc>
      </w:tr>
      <w:tr w:rsidR="00BA526A" w:rsidRPr="00BB4B6F" w14:paraId="22920B0F" w14:textId="77777777" w:rsidTr="001768B9">
        <w:trPr>
          <w:trHeight w:val="255"/>
        </w:trPr>
        <w:tc>
          <w:tcPr>
            <w:tcW w:w="4253" w:type="dxa"/>
            <w:tcBorders>
              <w:top w:val="nil"/>
              <w:left w:val="nil"/>
              <w:bottom w:val="nil"/>
              <w:right w:val="nil"/>
            </w:tcBorders>
            <w:shd w:val="clear" w:color="auto" w:fill="auto"/>
            <w:noWrap/>
            <w:vAlign w:val="center"/>
            <w:hideMark/>
          </w:tcPr>
          <w:p w14:paraId="12039A6E" w14:textId="100058CE"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Dividendy</w:t>
            </w:r>
            <w:r w:rsidR="00820D03">
              <w:rPr>
                <w:color w:val="000000"/>
                <w:sz w:val="18"/>
                <w:szCs w:val="18"/>
                <w:lang w:eastAsia="sk-SK"/>
              </w:rPr>
              <w:t>**</w:t>
            </w:r>
          </w:p>
        </w:tc>
        <w:tc>
          <w:tcPr>
            <w:tcW w:w="1180" w:type="dxa"/>
            <w:tcBorders>
              <w:top w:val="nil"/>
              <w:left w:val="nil"/>
              <w:bottom w:val="nil"/>
              <w:right w:val="nil"/>
            </w:tcBorders>
            <w:shd w:val="clear" w:color="auto" w:fill="auto"/>
            <w:noWrap/>
            <w:vAlign w:val="bottom"/>
            <w:hideMark/>
          </w:tcPr>
          <w:p w14:paraId="2F481826" w14:textId="020AE4FF"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268 855</w:t>
            </w:r>
          </w:p>
        </w:tc>
        <w:tc>
          <w:tcPr>
            <w:tcW w:w="1025" w:type="dxa"/>
            <w:tcBorders>
              <w:top w:val="nil"/>
              <w:left w:val="nil"/>
              <w:bottom w:val="nil"/>
              <w:right w:val="nil"/>
            </w:tcBorders>
            <w:shd w:val="clear" w:color="auto" w:fill="auto"/>
            <w:noWrap/>
            <w:vAlign w:val="bottom"/>
            <w:hideMark/>
          </w:tcPr>
          <w:p w14:paraId="7BD32764" w14:textId="4B91F73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435 075</w:t>
            </w:r>
          </w:p>
        </w:tc>
        <w:tc>
          <w:tcPr>
            <w:tcW w:w="1042" w:type="dxa"/>
            <w:tcBorders>
              <w:top w:val="nil"/>
              <w:left w:val="nil"/>
              <w:bottom w:val="nil"/>
              <w:right w:val="nil"/>
            </w:tcBorders>
            <w:shd w:val="clear" w:color="000000" w:fill="auto"/>
            <w:noWrap/>
            <w:vAlign w:val="bottom"/>
            <w:hideMark/>
          </w:tcPr>
          <w:p w14:paraId="6E9B335E" w14:textId="54F60762"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342 436</w:t>
            </w:r>
          </w:p>
        </w:tc>
        <w:tc>
          <w:tcPr>
            <w:tcW w:w="996" w:type="dxa"/>
            <w:tcBorders>
              <w:top w:val="nil"/>
              <w:left w:val="nil"/>
              <w:bottom w:val="nil"/>
              <w:right w:val="nil"/>
            </w:tcBorders>
            <w:shd w:val="clear" w:color="auto" w:fill="auto"/>
            <w:noWrap/>
            <w:vAlign w:val="bottom"/>
            <w:hideMark/>
          </w:tcPr>
          <w:p w14:paraId="530E89B8" w14:textId="1EB0A35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352 123</w:t>
            </w:r>
          </w:p>
        </w:tc>
        <w:tc>
          <w:tcPr>
            <w:tcW w:w="1017" w:type="dxa"/>
            <w:tcBorders>
              <w:top w:val="nil"/>
              <w:left w:val="nil"/>
              <w:bottom w:val="nil"/>
              <w:right w:val="nil"/>
            </w:tcBorders>
            <w:shd w:val="clear" w:color="auto" w:fill="auto"/>
            <w:noWrap/>
            <w:vAlign w:val="bottom"/>
            <w:hideMark/>
          </w:tcPr>
          <w:p w14:paraId="6FC63953" w14:textId="01CFBE20"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-21,3</w:t>
            </w:r>
          </w:p>
        </w:tc>
      </w:tr>
      <w:tr w:rsidR="00BA526A" w:rsidRPr="00BB4B6F" w14:paraId="1F791ACF" w14:textId="77777777" w:rsidTr="001768B9">
        <w:trPr>
          <w:trHeight w:val="255"/>
        </w:trPr>
        <w:tc>
          <w:tcPr>
            <w:tcW w:w="4253" w:type="dxa"/>
            <w:tcBorders>
              <w:top w:val="nil"/>
              <w:left w:val="nil"/>
              <w:bottom w:val="nil"/>
              <w:right w:val="nil"/>
            </w:tcBorders>
            <w:shd w:val="clear" w:color="auto" w:fill="auto"/>
            <w:noWrap/>
            <w:vAlign w:val="center"/>
            <w:hideMark/>
          </w:tcPr>
          <w:p w14:paraId="57BEF31F"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 xml:space="preserve"> - Úroky</w:t>
            </w:r>
          </w:p>
        </w:tc>
        <w:tc>
          <w:tcPr>
            <w:tcW w:w="1180" w:type="dxa"/>
            <w:tcBorders>
              <w:top w:val="nil"/>
              <w:left w:val="nil"/>
              <w:bottom w:val="nil"/>
              <w:right w:val="nil"/>
            </w:tcBorders>
            <w:shd w:val="clear" w:color="auto" w:fill="auto"/>
            <w:noWrap/>
            <w:vAlign w:val="bottom"/>
            <w:hideMark/>
          </w:tcPr>
          <w:p w14:paraId="5381E0B3" w14:textId="16630B3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162 536</w:t>
            </w:r>
          </w:p>
        </w:tc>
        <w:tc>
          <w:tcPr>
            <w:tcW w:w="1025" w:type="dxa"/>
            <w:tcBorders>
              <w:top w:val="nil"/>
              <w:left w:val="nil"/>
              <w:bottom w:val="nil"/>
              <w:right w:val="nil"/>
            </w:tcBorders>
            <w:shd w:val="clear" w:color="auto" w:fill="auto"/>
            <w:noWrap/>
            <w:vAlign w:val="bottom"/>
            <w:hideMark/>
          </w:tcPr>
          <w:p w14:paraId="38961735" w14:textId="0796188B"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202 195</w:t>
            </w:r>
          </w:p>
        </w:tc>
        <w:tc>
          <w:tcPr>
            <w:tcW w:w="1042" w:type="dxa"/>
            <w:tcBorders>
              <w:top w:val="nil"/>
              <w:left w:val="nil"/>
              <w:bottom w:val="nil"/>
              <w:right w:val="nil"/>
            </w:tcBorders>
            <w:shd w:val="clear" w:color="000000" w:fill="auto"/>
            <w:noWrap/>
            <w:vAlign w:val="bottom"/>
            <w:hideMark/>
          </w:tcPr>
          <w:p w14:paraId="71052078" w14:textId="1C2C0E7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267 335</w:t>
            </w:r>
          </w:p>
        </w:tc>
        <w:tc>
          <w:tcPr>
            <w:tcW w:w="996" w:type="dxa"/>
            <w:tcBorders>
              <w:top w:val="nil"/>
              <w:left w:val="nil"/>
              <w:bottom w:val="nil"/>
              <w:right w:val="nil"/>
            </w:tcBorders>
            <w:shd w:val="clear" w:color="auto" w:fill="auto"/>
            <w:noWrap/>
            <w:vAlign w:val="bottom"/>
            <w:hideMark/>
          </w:tcPr>
          <w:p w14:paraId="6CBBA216" w14:textId="760574DC"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63 104</w:t>
            </w:r>
          </w:p>
        </w:tc>
        <w:tc>
          <w:tcPr>
            <w:tcW w:w="1017" w:type="dxa"/>
            <w:tcBorders>
              <w:top w:val="nil"/>
              <w:left w:val="nil"/>
              <w:bottom w:val="nil"/>
              <w:right w:val="nil"/>
            </w:tcBorders>
            <w:shd w:val="clear" w:color="auto" w:fill="auto"/>
            <w:noWrap/>
            <w:vAlign w:val="bottom"/>
            <w:hideMark/>
          </w:tcPr>
          <w:p w14:paraId="754627FD" w14:textId="0BE53957"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32,2</w:t>
            </w:r>
          </w:p>
        </w:tc>
      </w:tr>
      <w:tr w:rsidR="00BA526A" w:rsidRPr="00BB4B6F" w14:paraId="46EB424C" w14:textId="77777777" w:rsidTr="001768B9">
        <w:trPr>
          <w:trHeight w:val="255"/>
        </w:trPr>
        <w:tc>
          <w:tcPr>
            <w:tcW w:w="4253" w:type="dxa"/>
            <w:tcBorders>
              <w:top w:val="nil"/>
              <w:left w:val="nil"/>
              <w:bottom w:val="nil"/>
              <w:right w:val="nil"/>
            </w:tcBorders>
            <w:shd w:val="clear" w:color="auto" w:fill="auto"/>
            <w:noWrap/>
            <w:vAlign w:val="center"/>
            <w:hideMark/>
          </w:tcPr>
          <w:p w14:paraId="04064175" w14:textId="77777777" w:rsidR="00BA526A" w:rsidRPr="00BA526A" w:rsidRDefault="00BA526A" w:rsidP="00BA526A">
            <w:pPr>
              <w:spacing w:after="0" w:line="240" w:lineRule="auto"/>
              <w:rPr>
                <w:b/>
                <w:bCs/>
                <w:color w:val="000000"/>
                <w:sz w:val="18"/>
                <w:szCs w:val="18"/>
                <w:lang w:eastAsia="sk-SK"/>
              </w:rPr>
            </w:pPr>
            <w:r w:rsidRPr="00BA526A">
              <w:rPr>
                <w:b/>
                <w:bCs/>
                <w:color w:val="000000"/>
                <w:sz w:val="18"/>
                <w:szCs w:val="18"/>
                <w:lang w:eastAsia="sk-SK"/>
              </w:rPr>
              <w:t>Granty a transfery</w:t>
            </w:r>
          </w:p>
        </w:tc>
        <w:tc>
          <w:tcPr>
            <w:tcW w:w="1180" w:type="dxa"/>
            <w:tcBorders>
              <w:top w:val="nil"/>
              <w:left w:val="nil"/>
              <w:bottom w:val="nil"/>
              <w:right w:val="nil"/>
            </w:tcBorders>
            <w:shd w:val="clear" w:color="auto" w:fill="auto"/>
            <w:noWrap/>
            <w:vAlign w:val="bottom"/>
            <w:hideMark/>
          </w:tcPr>
          <w:p w14:paraId="7F09D933" w14:textId="5DA90B42" w:rsidR="00BA526A" w:rsidRPr="00BB4B6F" w:rsidRDefault="00BA526A" w:rsidP="00BA526A">
            <w:pPr>
              <w:spacing w:after="0" w:line="240" w:lineRule="auto"/>
              <w:jc w:val="right"/>
              <w:rPr>
                <w:b/>
                <w:bCs/>
                <w:sz w:val="18"/>
                <w:szCs w:val="18"/>
                <w:highlight w:val="yellow"/>
                <w:lang w:eastAsia="sk-SK"/>
              </w:rPr>
            </w:pPr>
            <w:r>
              <w:rPr>
                <w:b/>
                <w:bCs/>
                <w:sz w:val="18"/>
                <w:szCs w:val="18"/>
              </w:rPr>
              <w:t>1 537 703</w:t>
            </w:r>
          </w:p>
        </w:tc>
        <w:tc>
          <w:tcPr>
            <w:tcW w:w="1025" w:type="dxa"/>
            <w:tcBorders>
              <w:top w:val="nil"/>
              <w:left w:val="nil"/>
              <w:bottom w:val="nil"/>
              <w:right w:val="nil"/>
            </w:tcBorders>
            <w:shd w:val="clear" w:color="auto" w:fill="auto"/>
            <w:noWrap/>
            <w:vAlign w:val="bottom"/>
            <w:hideMark/>
          </w:tcPr>
          <w:p w14:paraId="37DE8678" w14:textId="5FD69E44" w:rsidR="00BA526A" w:rsidRPr="00BB4B6F" w:rsidRDefault="00BA526A" w:rsidP="00BA526A">
            <w:pPr>
              <w:spacing w:after="0" w:line="240" w:lineRule="auto"/>
              <w:jc w:val="right"/>
              <w:rPr>
                <w:b/>
                <w:bCs/>
                <w:sz w:val="18"/>
                <w:szCs w:val="18"/>
                <w:highlight w:val="yellow"/>
                <w:lang w:eastAsia="sk-SK"/>
              </w:rPr>
            </w:pPr>
            <w:r>
              <w:rPr>
                <w:b/>
                <w:bCs/>
                <w:sz w:val="18"/>
                <w:szCs w:val="18"/>
              </w:rPr>
              <w:t>1 536 161</w:t>
            </w:r>
          </w:p>
        </w:tc>
        <w:tc>
          <w:tcPr>
            <w:tcW w:w="1042" w:type="dxa"/>
            <w:tcBorders>
              <w:top w:val="nil"/>
              <w:left w:val="nil"/>
              <w:bottom w:val="nil"/>
              <w:right w:val="nil"/>
            </w:tcBorders>
            <w:shd w:val="clear" w:color="000000" w:fill="auto"/>
            <w:noWrap/>
            <w:vAlign w:val="bottom"/>
            <w:hideMark/>
          </w:tcPr>
          <w:p w14:paraId="6ED976B1" w14:textId="758E2EDA" w:rsidR="00BA526A" w:rsidRPr="00BB4B6F" w:rsidRDefault="00BA526A" w:rsidP="00BA526A">
            <w:pPr>
              <w:spacing w:after="0" w:line="240" w:lineRule="auto"/>
              <w:jc w:val="right"/>
              <w:rPr>
                <w:b/>
                <w:bCs/>
                <w:sz w:val="18"/>
                <w:szCs w:val="18"/>
                <w:highlight w:val="yellow"/>
                <w:lang w:eastAsia="sk-SK"/>
              </w:rPr>
            </w:pPr>
            <w:r>
              <w:rPr>
                <w:b/>
                <w:bCs/>
                <w:sz w:val="18"/>
                <w:szCs w:val="18"/>
              </w:rPr>
              <w:t>2 297 353</w:t>
            </w:r>
          </w:p>
        </w:tc>
        <w:tc>
          <w:tcPr>
            <w:tcW w:w="996" w:type="dxa"/>
            <w:tcBorders>
              <w:top w:val="nil"/>
              <w:left w:val="nil"/>
              <w:bottom w:val="nil"/>
              <w:right w:val="nil"/>
            </w:tcBorders>
            <w:shd w:val="clear" w:color="auto" w:fill="auto"/>
            <w:noWrap/>
            <w:vAlign w:val="bottom"/>
            <w:hideMark/>
          </w:tcPr>
          <w:p w14:paraId="27AB60FC" w14:textId="54D64408" w:rsidR="00BA526A" w:rsidRPr="00BB4B6F" w:rsidRDefault="00BA526A" w:rsidP="00BA526A">
            <w:pPr>
              <w:spacing w:after="0" w:line="240" w:lineRule="auto"/>
              <w:jc w:val="right"/>
              <w:rPr>
                <w:b/>
                <w:bCs/>
                <w:sz w:val="18"/>
                <w:szCs w:val="18"/>
                <w:highlight w:val="yellow"/>
                <w:lang w:eastAsia="sk-SK"/>
              </w:rPr>
            </w:pPr>
            <w:r>
              <w:rPr>
                <w:b/>
                <w:bCs/>
                <w:sz w:val="18"/>
                <w:szCs w:val="18"/>
              </w:rPr>
              <w:t>2 985 886</w:t>
            </w:r>
          </w:p>
        </w:tc>
        <w:tc>
          <w:tcPr>
            <w:tcW w:w="1017" w:type="dxa"/>
            <w:tcBorders>
              <w:top w:val="nil"/>
              <w:left w:val="nil"/>
              <w:bottom w:val="nil"/>
              <w:right w:val="nil"/>
            </w:tcBorders>
            <w:shd w:val="clear" w:color="auto" w:fill="auto"/>
            <w:noWrap/>
            <w:vAlign w:val="bottom"/>
            <w:hideMark/>
          </w:tcPr>
          <w:p w14:paraId="74B4609C" w14:textId="0CF41724" w:rsidR="00BA526A" w:rsidRPr="00BB4B6F" w:rsidRDefault="00BA526A" w:rsidP="00BA526A">
            <w:pPr>
              <w:spacing w:after="0" w:line="240" w:lineRule="auto"/>
              <w:ind w:right="188"/>
              <w:jc w:val="right"/>
              <w:rPr>
                <w:b/>
                <w:bCs/>
                <w:sz w:val="18"/>
                <w:szCs w:val="18"/>
                <w:highlight w:val="yellow"/>
                <w:lang w:eastAsia="sk-SK"/>
              </w:rPr>
            </w:pPr>
            <w:r>
              <w:rPr>
                <w:b/>
                <w:bCs/>
                <w:sz w:val="18"/>
                <w:szCs w:val="18"/>
              </w:rPr>
              <w:t>49,6</w:t>
            </w:r>
          </w:p>
        </w:tc>
      </w:tr>
      <w:tr w:rsidR="00BA526A" w:rsidRPr="00BB4B6F" w14:paraId="1C94F5A2" w14:textId="77777777" w:rsidTr="001768B9">
        <w:trPr>
          <w:trHeight w:val="255"/>
        </w:trPr>
        <w:tc>
          <w:tcPr>
            <w:tcW w:w="4253" w:type="dxa"/>
            <w:tcBorders>
              <w:top w:val="nil"/>
              <w:left w:val="nil"/>
              <w:bottom w:val="nil"/>
              <w:right w:val="nil"/>
            </w:tcBorders>
            <w:shd w:val="clear" w:color="auto" w:fill="auto"/>
            <w:noWrap/>
            <w:vAlign w:val="center"/>
            <w:hideMark/>
          </w:tcPr>
          <w:p w14:paraId="4A5B40BD" w14:textId="77777777" w:rsidR="00BA526A" w:rsidRPr="00BA526A" w:rsidRDefault="00BA526A" w:rsidP="00BA526A">
            <w:pPr>
              <w:spacing w:after="0" w:line="240" w:lineRule="auto"/>
              <w:ind w:firstLineChars="100" w:firstLine="180"/>
              <w:rPr>
                <w:i/>
                <w:iCs/>
                <w:color w:val="000000"/>
                <w:sz w:val="18"/>
                <w:szCs w:val="18"/>
                <w:lang w:eastAsia="sk-SK"/>
              </w:rPr>
            </w:pPr>
            <w:r w:rsidRPr="00BA526A">
              <w:rPr>
                <w:i/>
                <w:iCs/>
                <w:color w:val="000000"/>
                <w:sz w:val="18"/>
                <w:szCs w:val="18"/>
                <w:lang w:eastAsia="sk-SK"/>
              </w:rPr>
              <w:t>z toho: z EÚ*</w:t>
            </w:r>
          </w:p>
        </w:tc>
        <w:tc>
          <w:tcPr>
            <w:tcW w:w="1180" w:type="dxa"/>
            <w:tcBorders>
              <w:top w:val="nil"/>
              <w:left w:val="nil"/>
              <w:bottom w:val="nil"/>
              <w:right w:val="nil"/>
            </w:tcBorders>
            <w:shd w:val="clear" w:color="auto" w:fill="auto"/>
            <w:noWrap/>
            <w:vAlign w:val="bottom"/>
            <w:hideMark/>
          </w:tcPr>
          <w:p w14:paraId="29CF786A" w14:textId="2A1C7DC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1 098 120</w:t>
            </w:r>
          </w:p>
        </w:tc>
        <w:tc>
          <w:tcPr>
            <w:tcW w:w="1025" w:type="dxa"/>
            <w:tcBorders>
              <w:top w:val="nil"/>
              <w:left w:val="nil"/>
              <w:bottom w:val="nil"/>
              <w:right w:val="nil"/>
            </w:tcBorders>
            <w:shd w:val="clear" w:color="auto" w:fill="auto"/>
            <w:noWrap/>
            <w:vAlign w:val="bottom"/>
            <w:hideMark/>
          </w:tcPr>
          <w:p w14:paraId="174B479D" w14:textId="4CF2613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1 196 147</w:t>
            </w:r>
          </w:p>
        </w:tc>
        <w:tc>
          <w:tcPr>
            <w:tcW w:w="1042" w:type="dxa"/>
            <w:tcBorders>
              <w:top w:val="nil"/>
              <w:left w:val="nil"/>
              <w:bottom w:val="nil"/>
              <w:right w:val="nil"/>
            </w:tcBorders>
            <w:shd w:val="clear" w:color="000000" w:fill="auto"/>
            <w:noWrap/>
            <w:vAlign w:val="bottom"/>
            <w:hideMark/>
          </w:tcPr>
          <w:p w14:paraId="3E0701FD" w14:textId="07C20BF5" w:rsidR="00BA526A" w:rsidRPr="00BB4B6F" w:rsidRDefault="00BA526A" w:rsidP="00522B9F">
            <w:pPr>
              <w:spacing w:after="0" w:line="240" w:lineRule="auto"/>
              <w:jc w:val="right"/>
              <w:rPr>
                <w:color w:val="000000"/>
                <w:sz w:val="18"/>
                <w:szCs w:val="18"/>
                <w:highlight w:val="yellow"/>
                <w:lang w:eastAsia="sk-SK"/>
              </w:rPr>
            </w:pPr>
            <w:r>
              <w:rPr>
                <w:color w:val="000000"/>
                <w:sz w:val="18"/>
                <w:szCs w:val="18"/>
              </w:rPr>
              <w:t>1 47</w:t>
            </w:r>
            <w:r w:rsidR="00522B9F">
              <w:rPr>
                <w:color w:val="000000"/>
                <w:sz w:val="18"/>
                <w:szCs w:val="18"/>
              </w:rPr>
              <w:t>1</w:t>
            </w:r>
            <w:r>
              <w:rPr>
                <w:color w:val="000000"/>
                <w:sz w:val="18"/>
                <w:szCs w:val="18"/>
              </w:rPr>
              <w:t xml:space="preserve"> </w:t>
            </w:r>
            <w:r w:rsidR="00522B9F">
              <w:rPr>
                <w:color w:val="000000"/>
                <w:sz w:val="18"/>
                <w:szCs w:val="18"/>
              </w:rPr>
              <w:t>380</w:t>
            </w:r>
          </w:p>
        </w:tc>
        <w:tc>
          <w:tcPr>
            <w:tcW w:w="996" w:type="dxa"/>
            <w:tcBorders>
              <w:top w:val="nil"/>
              <w:left w:val="nil"/>
              <w:bottom w:val="nil"/>
              <w:right w:val="nil"/>
            </w:tcBorders>
            <w:shd w:val="clear" w:color="auto" w:fill="auto"/>
            <w:noWrap/>
            <w:vAlign w:val="bottom"/>
            <w:hideMark/>
          </w:tcPr>
          <w:p w14:paraId="2DE42A57" w14:textId="57144F9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2 336 770</w:t>
            </w:r>
          </w:p>
        </w:tc>
        <w:tc>
          <w:tcPr>
            <w:tcW w:w="1017" w:type="dxa"/>
            <w:tcBorders>
              <w:top w:val="nil"/>
              <w:left w:val="nil"/>
              <w:bottom w:val="nil"/>
              <w:right w:val="nil"/>
            </w:tcBorders>
            <w:shd w:val="clear" w:color="auto" w:fill="auto"/>
            <w:noWrap/>
            <w:vAlign w:val="bottom"/>
            <w:hideMark/>
          </w:tcPr>
          <w:p w14:paraId="253926DF" w14:textId="3C5E25D6" w:rsidR="00BA526A" w:rsidRPr="00BB4B6F" w:rsidRDefault="00BA526A" w:rsidP="00522B9F">
            <w:pPr>
              <w:spacing w:after="0" w:line="240" w:lineRule="auto"/>
              <w:ind w:right="188"/>
              <w:jc w:val="right"/>
              <w:rPr>
                <w:color w:val="000000"/>
                <w:sz w:val="18"/>
                <w:szCs w:val="18"/>
                <w:highlight w:val="yellow"/>
                <w:lang w:eastAsia="sk-SK"/>
              </w:rPr>
            </w:pPr>
            <w:r>
              <w:rPr>
                <w:color w:val="000000"/>
                <w:sz w:val="18"/>
                <w:szCs w:val="18"/>
              </w:rPr>
              <w:t>23,</w:t>
            </w:r>
            <w:r w:rsidR="00522B9F">
              <w:rPr>
                <w:color w:val="000000"/>
                <w:sz w:val="18"/>
                <w:szCs w:val="18"/>
              </w:rPr>
              <w:t>0</w:t>
            </w:r>
          </w:p>
        </w:tc>
      </w:tr>
      <w:tr w:rsidR="00BA526A" w:rsidRPr="00BB4B6F" w14:paraId="301A8F48" w14:textId="77777777" w:rsidTr="001768B9">
        <w:trPr>
          <w:trHeight w:val="255"/>
        </w:trPr>
        <w:tc>
          <w:tcPr>
            <w:tcW w:w="4253" w:type="dxa"/>
            <w:tcBorders>
              <w:top w:val="nil"/>
              <w:left w:val="nil"/>
              <w:bottom w:val="nil"/>
              <w:right w:val="nil"/>
            </w:tcBorders>
            <w:shd w:val="clear" w:color="auto" w:fill="auto"/>
            <w:noWrap/>
            <w:vAlign w:val="center"/>
            <w:hideMark/>
          </w:tcPr>
          <w:p w14:paraId="199FF94F"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Ostatné bežné transfery</w:t>
            </w:r>
          </w:p>
        </w:tc>
        <w:tc>
          <w:tcPr>
            <w:tcW w:w="1180" w:type="dxa"/>
            <w:tcBorders>
              <w:top w:val="nil"/>
              <w:left w:val="nil"/>
              <w:bottom w:val="nil"/>
              <w:right w:val="nil"/>
            </w:tcBorders>
            <w:shd w:val="clear" w:color="auto" w:fill="auto"/>
            <w:noWrap/>
            <w:vAlign w:val="bottom"/>
            <w:hideMark/>
          </w:tcPr>
          <w:p w14:paraId="292BFAAE" w14:textId="6A284A1A"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929 226</w:t>
            </w:r>
          </w:p>
        </w:tc>
        <w:tc>
          <w:tcPr>
            <w:tcW w:w="1025" w:type="dxa"/>
            <w:tcBorders>
              <w:top w:val="nil"/>
              <w:left w:val="nil"/>
              <w:bottom w:val="nil"/>
              <w:right w:val="nil"/>
            </w:tcBorders>
            <w:shd w:val="clear" w:color="auto" w:fill="auto"/>
            <w:noWrap/>
            <w:vAlign w:val="bottom"/>
            <w:hideMark/>
          </w:tcPr>
          <w:p w14:paraId="173CBAC8" w14:textId="3FD30541"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885 909</w:t>
            </w:r>
          </w:p>
        </w:tc>
        <w:tc>
          <w:tcPr>
            <w:tcW w:w="1042" w:type="dxa"/>
            <w:tcBorders>
              <w:top w:val="nil"/>
              <w:left w:val="nil"/>
              <w:bottom w:val="nil"/>
              <w:right w:val="nil"/>
            </w:tcBorders>
            <w:shd w:val="clear" w:color="000000" w:fill="auto"/>
            <w:noWrap/>
            <w:vAlign w:val="bottom"/>
            <w:hideMark/>
          </w:tcPr>
          <w:p w14:paraId="0FD64EC5" w14:textId="6E53C4DD"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1 490 232</w:t>
            </w:r>
          </w:p>
        </w:tc>
        <w:tc>
          <w:tcPr>
            <w:tcW w:w="996" w:type="dxa"/>
            <w:tcBorders>
              <w:top w:val="nil"/>
              <w:left w:val="nil"/>
              <w:bottom w:val="nil"/>
              <w:right w:val="nil"/>
            </w:tcBorders>
            <w:shd w:val="clear" w:color="auto" w:fill="auto"/>
            <w:noWrap/>
            <w:vAlign w:val="bottom"/>
            <w:hideMark/>
          </w:tcPr>
          <w:p w14:paraId="2B989351" w14:textId="03F8F7C0"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2 778 264</w:t>
            </w:r>
          </w:p>
        </w:tc>
        <w:tc>
          <w:tcPr>
            <w:tcW w:w="1017" w:type="dxa"/>
            <w:tcBorders>
              <w:top w:val="nil"/>
              <w:left w:val="nil"/>
              <w:bottom w:val="nil"/>
              <w:right w:val="nil"/>
            </w:tcBorders>
            <w:shd w:val="clear" w:color="auto" w:fill="auto"/>
            <w:noWrap/>
            <w:vAlign w:val="bottom"/>
            <w:hideMark/>
          </w:tcPr>
          <w:p w14:paraId="1758434D" w14:textId="5852F6D5"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68,2</w:t>
            </w:r>
          </w:p>
        </w:tc>
      </w:tr>
      <w:tr w:rsidR="00BA526A" w:rsidRPr="00BB4B6F" w14:paraId="27A53895" w14:textId="77777777" w:rsidTr="001768B9">
        <w:trPr>
          <w:trHeight w:val="255"/>
        </w:trPr>
        <w:tc>
          <w:tcPr>
            <w:tcW w:w="4253" w:type="dxa"/>
            <w:tcBorders>
              <w:top w:val="nil"/>
              <w:left w:val="nil"/>
              <w:bottom w:val="single" w:sz="4" w:space="0" w:color="auto"/>
              <w:right w:val="nil"/>
            </w:tcBorders>
            <w:shd w:val="clear" w:color="auto" w:fill="auto"/>
            <w:noWrap/>
            <w:vAlign w:val="center"/>
            <w:hideMark/>
          </w:tcPr>
          <w:p w14:paraId="05F77A60" w14:textId="77777777" w:rsidR="00BA526A" w:rsidRPr="00BA526A" w:rsidRDefault="00BA526A" w:rsidP="00BA526A">
            <w:pPr>
              <w:spacing w:after="0" w:line="240" w:lineRule="auto"/>
              <w:ind w:firstLineChars="100" w:firstLine="180"/>
              <w:rPr>
                <w:color w:val="000000"/>
                <w:sz w:val="18"/>
                <w:szCs w:val="18"/>
                <w:lang w:eastAsia="sk-SK"/>
              </w:rPr>
            </w:pPr>
            <w:r w:rsidRPr="00BA526A">
              <w:rPr>
                <w:color w:val="000000"/>
                <w:sz w:val="18"/>
                <w:szCs w:val="18"/>
                <w:lang w:eastAsia="sk-SK"/>
              </w:rPr>
              <w:t>Kapitálové transfery</w:t>
            </w:r>
          </w:p>
        </w:tc>
        <w:tc>
          <w:tcPr>
            <w:tcW w:w="1180" w:type="dxa"/>
            <w:tcBorders>
              <w:top w:val="nil"/>
              <w:left w:val="nil"/>
              <w:bottom w:val="single" w:sz="4" w:space="0" w:color="auto"/>
              <w:right w:val="nil"/>
            </w:tcBorders>
            <w:shd w:val="clear" w:color="auto" w:fill="auto"/>
            <w:noWrap/>
            <w:vAlign w:val="bottom"/>
            <w:hideMark/>
          </w:tcPr>
          <w:p w14:paraId="021E77B7" w14:textId="46CD2523"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608 477</w:t>
            </w:r>
          </w:p>
        </w:tc>
        <w:tc>
          <w:tcPr>
            <w:tcW w:w="1025" w:type="dxa"/>
            <w:tcBorders>
              <w:top w:val="nil"/>
              <w:left w:val="nil"/>
              <w:bottom w:val="single" w:sz="4" w:space="0" w:color="auto"/>
              <w:right w:val="nil"/>
            </w:tcBorders>
            <w:shd w:val="clear" w:color="auto" w:fill="auto"/>
            <w:noWrap/>
            <w:vAlign w:val="bottom"/>
            <w:hideMark/>
          </w:tcPr>
          <w:p w14:paraId="65E35BDA" w14:textId="476B6C77"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650 252</w:t>
            </w:r>
          </w:p>
        </w:tc>
        <w:tc>
          <w:tcPr>
            <w:tcW w:w="1042" w:type="dxa"/>
            <w:tcBorders>
              <w:top w:val="nil"/>
              <w:left w:val="nil"/>
              <w:bottom w:val="single" w:sz="4" w:space="0" w:color="auto"/>
              <w:right w:val="nil"/>
            </w:tcBorders>
            <w:shd w:val="clear" w:color="000000" w:fill="auto"/>
            <w:noWrap/>
            <w:vAlign w:val="bottom"/>
            <w:hideMark/>
          </w:tcPr>
          <w:p w14:paraId="5E47B920" w14:textId="7BD52598"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807 121</w:t>
            </w:r>
          </w:p>
        </w:tc>
        <w:tc>
          <w:tcPr>
            <w:tcW w:w="996" w:type="dxa"/>
            <w:tcBorders>
              <w:top w:val="nil"/>
              <w:left w:val="nil"/>
              <w:bottom w:val="single" w:sz="4" w:space="0" w:color="auto"/>
              <w:right w:val="nil"/>
            </w:tcBorders>
            <w:shd w:val="clear" w:color="auto" w:fill="auto"/>
            <w:noWrap/>
            <w:vAlign w:val="bottom"/>
            <w:hideMark/>
          </w:tcPr>
          <w:p w14:paraId="0095E5EF" w14:textId="74D08154" w:rsidR="00BA526A" w:rsidRPr="00BB4B6F" w:rsidRDefault="00BA526A" w:rsidP="00BA526A">
            <w:pPr>
              <w:spacing w:after="0" w:line="240" w:lineRule="auto"/>
              <w:jc w:val="right"/>
              <w:rPr>
                <w:color w:val="000000"/>
                <w:sz w:val="18"/>
                <w:szCs w:val="18"/>
                <w:highlight w:val="yellow"/>
                <w:lang w:eastAsia="sk-SK"/>
              </w:rPr>
            </w:pPr>
            <w:r>
              <w:rPr>
                <w:color w:val="000000"/>
                <w:sz w:val="18"/>
                <w:szCs w:val="18"/>
              </w:rPr>
              <w:t>207 622</w:t>
            </w:r>
          </w:p>
        </w:tc>
        <w:tc>
          <w:tcPr>
            <w:tcW w:w="1017" w:type="dxa"/>
            <w:tcBorders>
              <w:top w:val="nil"/>
              <w:left w:val="nil"/>
              <w:bottom w:val="single" w:sz="4" w:space="0" w:color="auto"/>
              <w:right w:val="nil"/>
            </w:tcBorders>
            <w:shd w:val="clear" w:color="auto" w:fill="auto"/>
            <w:noWrap/>
            <w:vAlign w:val="bottom"/>
            <w:hideMark/>
          </w:tcPr>
          <w:p w14:paraId="11A2A51E" w14:textId="23DB607D" w:rsidR="00BA526A" w:rsidRPr="00BB4B6F" w:rsidRDefault="00BA526A" w:rsidP="00BA526A">
            <w:pPr>
              <w:spacing w:after="0" w:line="240" w:lineRule="auto"/>
              <w:ind w:right="188"/>
              <w:jc w:val="right"/>
              <w:rPr>
                <w:color w:val="000000"/>
                <w:sz w:val="18"/>
                <w:szCs w:val="18"/>
                <w:highlight w:val="yellow"/>
                <w:lang w:eastAsia="sk-SK"/>
              </w:rPr>
            </w:pPr>
            <w:r>
              <w:rPr>
                <w:color w:val="000000"/>
                <w:sz w:val="18"/>
                <w:szCs w:val="18"/>
              </w:rPr>
              <w:t>24,1</w:t>
            </w:r>
          </w:p>
        </w:tc>
      </w:tr>
      <w:tr w:rsidR="00BA526A" w:rsidRPr="00BB4B6F" w14:paraId="67AC1530" w14:textId="77777777" w:rsidTr="001768B9">
        <w:trPr>
          <w:trHeight w:val="255"/>
        </w:trPr>
        <w:tc>
          <w:tcPr>
            <w:tcW w:w="4253" w:type="dxa"/>
            <w:tcBorders>
              <w:top w:val="single" w:sz="4" w:space="0" w:color="auto"/>
              <w:left w:val="nil"/>
              <w:bottom w:val="nil"/>
              <w:right w:val="nil"/>
            </w:tcBorders>
            <w:shd w:val="clear" w:color="auto" w:fill="auto"/>
            <w:vAlign w:val="center"/>
            <w:hideMark/>
          </w:tcPr>
          <w:p w14:paraId="08787274" w14:textId="77777777" w:rsidR="00BA526A" w:rsidRPr="00BA526A" w:rsidRDefault="00BA526A" w:rsidP="00BA526A">
            <w:pPr>
              <w:spacing w:after="0" w:line="240" w:lineRule="auto"/>
              <w:jc w:val="both"/>
              <w:rPr>
                <w:b/>
                <w:bCs/>
                <w:sz w:val="18"/>
                <w:szCs w:val="18"/>
                <w:lang w:eastAsia="sk-SK"/>
              </w:rPr>
            </w:pPr>
            <w:r w:rsidRPr="00BA526A">
              <w:rPr>
                <w:b/>
                <w:bCs/>
                <w:sz w:val="18"/>
                <w:szCs w:val="18"/>
                <w:lang w:eastAsia="sk-SK"/>
              </w:rPr>
              <w:t>Príjmy spolu</w:t>
            </w:r>
          </w:p>
        </w:tc>
        <w:tc>
          <w:tcPr>
            <w:tcW w:w="1180" w:type="dxa"/>
            <w:tcBorders>
              <w:top w:val="single" w:sz="4" w:space="0" w:color="auto"/>
              <w:left w:val="nil"/>
              <w:bottom w:val="nil"/>
              <w:right w:val="nil"/>
            </w:tcBorders>
            <w:shd w:val="clear" w:color="auto" w:fill="auto"/>
            <w:noWrap/>
            <w:vAlign w:val="bottom"/>
            <w:hideMark/>
          </w:tcPr>
          <w:p w14:paraId="0FCB7E75" w14:textId="60C68133"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36 804 660</w:t>
            </w:r>
          </w:p>
        </w:tc>
        <w:tc>
          <w:tcPr>
            <w:tcW w:w="1025" w:type="dxa"/>
            <w:tcBorders>
              <w:top w:val="single" w:sz="4" w:space="0" w:color="auto"/>
              <w:left w:val="nil"/>
              <w:bottom w:val="nil"/>
              <w:right w:val="nil"/>
            </w:tcBorders>
            <w:shd w:val="clear" w:color="auto" w:fill="auto"/>
            <w:noWrap/>
            <w:vAlign w:val="bottom"/>
            <w:hideMark/>
          </w:tcPr>
          <w:p w14:paraId="0CBF1414" w14:textId="4636215A"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40 265 292</w:t>
            </w:r>
          </w:p>
        </w:tc>
        <w:tc>
          <w:tcPr>
            <w:tcW w:w="1042" w:type="dxa"/>
            <w:tcBorders>
              <w:top w:val="single" w:sz="4" w:space="0" w:color="auto"/>
              <w:left w:val="nil"/>
              <w:bottom w:val="nil"/>
              <w:right w:val="nil"/>
            </w:tcBorders>
            <w:shd w:val="clear" w:color="auto" w:fill="auto"/>
            <w:noWrap/>
            <w:vAlign w:val="bottom"/>
            <w:hideMark/>
          </w:tcPr>
          <w:p w14:paraId="1971FCA0" w14:textId="13397619"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44 119 088</w:t>
            </w:r>
          </w:p>
        </w:tc>
        <w:tc>
          <w:tcPr>
            <w:tcW w:w="996" w:type="dxa"/>
            <w:tcBorders>
              <w:top w:val="single" w:sz="4" w:space="0" w:color="auto"/>
              <w:left w:val="nil"/>
              <w:bottom w:val="nil"/>
              <w:right w:val="nil"/>
            </w:tcBorders>
            <w:shd w:val="clear" w:color="auto" w:fill="auto"/>
            <w:noWrap/>
            <w:vAlign w:val="bottom"/>
            <w:hideMark/>
          </w:tcPr>
          <w:p w14:paraId="44F54E8B" w14:textId="7187F57F"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45 375 799</w:t>
            </w:r>
          </w:p>
        </w:tc>
        <w:tc>
          <w:tcPr>
            <w:tcW w:w="1017" w:type="dxa"/>
            <w:tcBorders>
              <w:top w:val="single" w:sz="4" w:space="0" w:color="auto"/>
              <w:left w:val="nil"/>
              <w:bottom w:val="nil"/>
              <w:right w:val="nil"/>
            </w:tcBorders>
            <w:shd w:val="clear" w:color="auto" w:fill="auto"/>
            <w:noWrap/>
            <w:vAlign w:val="bottom"/>
            <w:hideMark/>
          </w:tcPr>
          <w:p w14:paraId="11D30679" w14:textId="0176CF6E" w:rsidR="00BA526A" w:rsidRPr="00BB4B6F" w:rsidRDefault="00BA526A" w:rsidP="00BA526A">
            <w:pPr>
              <w:spacing w:after="0" w:line="240" w:lineRule="auto"/>
              <w:ind w:right="188"/>
              <w:jc w:val="right"/>
              <w:rPr>
                <w:b/>
                <w:bCs/>
                <w:color w:val="000000"/>
                <w:sz w:val="18"/>
                <w:szCs w:val="18"/>
                <w:highlight w:val="yellow"/>
                <w:lang w:eastAsia="sk-SK"/>
              </w:rPr>
            </w:pPr>
            <w:r>
              <w:rPr>
                <w:b/>
                <w:bCs/>
                <w:color w:val="000000"/>
                <w:sz w:val="18"/>
                <w:szCs w:val="18"/>
              </w:rPr>
              <w:t>9,6</w:t>
            </w:r>
          </w:p>
        </w:tc>
      </w:tr>
      <w:tr w:rsidR="00BA526A" w:rsidRPr="00BB4B6F" w14:paraId="6C1ECD49" w14:textId="77777777" w:rsidTr="001768B9">
        <w:trPr>
          <w:trHeight w:val="255"/>
        </w:trPr>
        <w:tc>
          <w:tcPr>
            <w:tcW w:w="4253" w:type="dxa"/>
            <w:tcBorders>
              <w:top w:val="nil"/>
              <w:left w:val="nil"/>
              <w:bottom w:val="single" w:sz="4" w:space="0" w:color="auto"/>
              <w:right w:val="nil"/>
            </w:tcBorders>
            <w:shd w:val="clear" w:color="auto" w:fill="auto"/>
            <w:noWrap/>
            <w:vAlign w:val="center"/>
            <w:hideMark/>
          </w:tcPr>
          <w:p w14:paraId="4FB5CC58" w14:textId="77777777" w:rsidR="00BA526A" w:rsidRPr="00BA526A" w:rsidRDefault="00BA526A" w:rsidP="00BA526A">
            <w:pPr>
              <w:spacing w:after="0" w:line="240" w:lineRule="auto"/>
              <w:rPr>
                <w:b/>
                <w:bCs/>
                <w:sz w:val="18"/>
                <w:szCs w:val="18"/>
                <w:lang w:eastAsia="sk-SK"/>
              </w:rPr>
            </w:pPr>
            <w:r w:rsidRPr="00BA526A">
              <w:rPr>
                <w:b/>
                <w:bCs/>
                <w:sz w:val="18"/>
                <w:szCs w:val="18"/>
                <w:lang w:eastAsia="sk-SK"/>
              </w:rPr>
              <w:t xml:space="preserve">     % z HDP</w:t>
            </w:r>
          </w:p>
        </w:tc>
        <w:tc>
          <w:tcPr>
            <w:tcW w:w="1180" w:type="dxa"/>
            <w:tcBorders>
              <w:top w:val="nil"/>
              <w:left w:val="nil"/>
              <w:bottom w:val="single" w:sz="4" w:space="0" w:color="auto"/>
              <w:right w:val="nil"/>
            </w:tcBorders>
            <w:shd w:val="clear" w:color="auto" w:fill="auto"/>
            <w:noWrap/>
            <w:vAlign w:val="bottom"/>
            <w:hideMark/>
          </w:tcPr>
          <w:p w14:paraId="0C6D3A1E" w14:textId="195CC263"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39,4</w:t>
            </w:r>
          </w:p>
        </w:tc>
        <w:tc>
          <w:tcPr>
            <w:tcW w:w="1025" w:type="dxa"/>
            <w:tcBorders>
              <w:top w:val="nil"/>
              <w:left w:val="nil"/>
              <w:bottom w:val="single" w:sz="4" w:space="0" w:color="auto"/>
              <w:right w:val="nil"/>
            </w:tcBorders>
            <w:shd w:val="clear" w:color="auto" w:fill="auto"/>
            <w:noWrap/>
            <w:vAlign w:val="bottom"/>
            <w:hideMark/>
          </w:tcPr>
          <w:p w14:paraId="555B44D3" w14:textId="2F8E0030"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40,2</w:t>
            </w:r>
          </w:p>
        </w:tc>
        <w:tc>
          <w:tcPr>
            <w:tcW w:w="1042" w:type="dxa"/>
            <w:tcBorders>
              <w:top w:val="nil"/>
              <w:left w:val="nil"/>
              <w:bottom w:val="single" w:sz="4" w:space="0" w:color="auto"/>
              <w:right w:val="nil"/>
            </w:tcBorders>
            <w:shd w:val="clear" w:color="auto" w:fill="auto"/>
            <w:noWrap/>
            <w:vAlign w:val="bottom"/>
            <w:hideMark/>
          </w:tcPr>
          <w:p w14:paraId="296C27C6" w14:textId="144399B7"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40,2</w:t>
            </w:r>
          </w:p>
        </w:tc>
        <w:tc>
          <w:tcPr>
            <w:tcW w:w="996" w:type="dxa"/>
            <w:tcBorders>
              <w:top w:val="nil"/>
              <w:left w:val="nil"/>
              <w:bottom w:val="single" w:sz="4" w:space="0" w:color="auto"/>
              <w:right w:val="nil"/>
            </w:tcBorders>
            <w:shd w:val="clear" w:color="auto" w:fill="auto"/>
            <w:noWrap/>
            <w:vAlign w:val="bottom"/>
            <w:hideMark/>
          </w:tcPr>
          <w:p w14:paraId="353E9798" w14:textId="64FF7154" w:rsidR="00BA526A" w:rsidRPr="00BB4B6F" w:rsidRDefault="00BA526A" w:rsidP="00BA526A">
            <w:pPr>
              <w:spacing w:after="0" w:line="240" w:lineRule="auto"/>
              <w:jc w:val="right"/>
              <w:rPr>
                <w:b/>
                <w:bCs/>
                <w:color w:val="000000"/>
                <w:sz w:val="18"/>
                <w:szCs w:val="18"/>
                <w:highlight w:val="yellow"/>
                <w:lang w:eastAsia="sk-SK"/>
              </w:rPr>
            </w:pPr>
            <w:r>
              <w:rPr>
                <w:b/>
                <w:bCs/>
                <w:color w:val="000000"/>
                <w:sz w:val="18"/>
                <w:szCs w:val="18"/>
              </w:rPr>
              <w:t>41,8</w:t>
            </w:r>
          </w:p>
        </w:tc>
        <w:tc>
          <w:tcPr>
            <w:tcW w:w="1017" w:type="dxa"/>
            <w:tcBorders>
              <w:top w:val="nil"/>
              <w:left w:val="nil"/>
              <w:bottom w:val="single" w:sz="4" w:space="0" w:color="auto"/>
              <w:right w:val="nil"/>
            </w:tcBorders>
            <w:shd w:val="clear" w:color="auto" w:fill="auto"/>
            <w:noWrap/>
            <w:vAlign w:val="bottom"/>
            <w:hideMark/>
          </w:tcPr>
          <w:p w14:paraId="3D4A72B1" w14:textId="6568F6A9" w:rsidR="00BA526A" w:rsidRPr="00BB4B6F" w:rsidRDefault="00BA526A" w:rsidP="00BA526A">
            <w:pPr>
              <w:tabs>
                <w:tab w:val="left" w:pos="645"/>
              </w:tabs>
              <w:spacing w:after="0" w:line="240" w:lineRule="auto"/>
              <w:ind w:right="38"/>
              <w:jc w:val="center"/>
              <w:rPr>
                <w:b/>
                <w:bCs/>
                <w:color w:val="000000"/>
                <w:sz w:val="18"/>
                <w:szCs w:val="18"/>
                <w:highlight w:val="yellow"/>
                <w:lang w:eastAsia="sk-SK"/>
              </w:rPr>
            </w:pPr>
            <w:r>
              <w:rPr>
                <w:b/>
                <w:bCs/>
                <w:color w:val="000000"/>
                <w:sz w:val="18"/>
                <w:szCs w:val="18"/>
              </w:rPr>
              <w:t xml:space="preserve">      0,1</w:t>
            </w:r>
          </w:p>
        </w:tc>
      </w:tr>
    </w:tbl>
    <w:p w14:paraId="104621F4" w14:textId="77777777" w:rsidR="00820D03" w:rsidRDefault="00151939" w:rsidP="00151939">
      <w:pPr>
        <w:spacing w:after="0" w:line="240" w:lineRule="auto"/>
        <w:jc w:val="both"/>
        <w:rPr>
          <w:bCs/>
          <w:color w:val="000000"/>
          <w:sz w:val="16"/>
          <w:szCs w:val="16"/>
          <w:lang w:eastAsia="sk-SK"/>
        </w:rPr>
      </w:pPr>
      <w:r w:rsidRPr="00BA526A">
        <w:rPr>
          <w:bCs/>
          <w:color w:val="000000"/>
          <w:sz w:val="16"/>
          <w:szCs w:val="16"/>
          <w:lang w:eastAsia="sk-SK"/>
        </w:rPr>
        <w:t>* Položky vyznačené kurzívou sú vykázané na hotovostnej báze z analytických dôvodov.</w:t>
      </w:r>
    </w:p>
    <w:p w14:paraId="6B34AFAA" w14:textId="23A48E7D" w:rsidR="00151939" w:rsidRPr="00BA526A" w:rsidRDefault="00820D03" w:rsidP="00151939">
      <w:pPr>
        <w:spacing w:after="0" w:line="240" w:lineRule="auto"/>
        <w:jc w:val="both"/>
        <w:rPr>
          <w:sz w:val="16"/>
          <w:szCs w:val="16"/>
        </w:rPr>
      </w:pPr>
      <w:r>
        <w:rPr>
          <w:bCs/>
          <w:color w:val="000000"/>
          <w:sz w:val="16"/>
          <w:szCs w:val="16"/>
          <w:lang w:eastAsia="sk-SK"/>
        </w:rPr>
        <w:t xml:space="preserve">** V metodike ESA sa uvádzajú iba riadne dividendy </w:t>
      </w:r>
      <w:r>
        <w:rPr>
          <w:bCs/>
          <w:color w:val="000000"/>
          <w:sz w:val="16"/>
          <w:szCs w:val="16"/>
          <w:lang w:eastAsia="sk-SK"/>
        </w:rPr>
        <w:tab/>
      </w:r>
      <w:r>
        <w:rPr>
          <w:bCs/>
          <w:color w:val="000000"/>
          <w:sz w:val="16"/>
          <w:szCs w:val="16"/>
          <w:lang w:eastAsia="sk-SK"/>
        </w:rPr>
        <w:tab/>
      </w:r>
      <w:r>
        <w:rPr>
          <w:bCs/>
          <w:color w:val="000000"/>
          <w:sz w:val="16"/>
          <w:szCs w:val="16"/>
          <w:lang w:eastAsia="sk-SK"/>
        </w:rPr>
        <w:tab/>
      </w:r>
      <w:r>
        <w:rPr>
          <w:bCs/>
          <w:color w:val="000000"/>
          <w:sz w:val="16"/>
          <w:szCs w:val="16"/>
          <w:lang w:eastAsia="sk-SK"/>
        </w:rPr>
        <w:tab/>
      </w:r>
      <w:r>
        <w:rPr>
          <w:bCs/>
          <w:color w:val="000000"/>
          <w:sz w:val="16"/>
          <w:szCs w:val="16"/>
          <w:lang w:eastAsia="sk-SK"/>
        </w:rPr>
        <w:tab/>
      </w:r>
      <w:r w:rsidR="00151939" w:rsidRPr="00BA526A">
        <w:rPr>
          <w:bCs/>
          <w:color w:val="000000"/>
          <w:sz w:val="16"/>
          <w:szCs w:val="16"/>
          <w:lang w:eastAsia="sk-SK"/>
        </w:rPr>
        <w:tab/>
        <w:t xml:space="preserve">       </w:t>
      </w:r>
      <w:r w:rsidR="00EB7F7E" w:rsidRPr="00BA526A">
        <w:rPr>
          <w:bCs/>
          <w:color w:val="000000"/>
          <w:sz w:val="16"/>
          <w:szCs w:val="16"/>
          <w:lang w:eastAsia="sk-SK"/>
        </w:rPr>
        <w:t xml:space="preserve">               </w:t>
      </w:r>
      <w:r w:rsidR="00151939" w:rsidRPr="00BA526A">
        <w:rPr>
          <w:sz w:val="16"/>
          <w:szCs w:val="16"/>
          <w:lang w:eastAsia="sk-SK"/>
        </w:rPr>
        <w:t>Zdroj: ŠÚSR, MF SR</w:t>
      </w:r>
    </w:p>
    <w:p w14:paraId="632EFF9E" w14:textId="77777777" w:rsidR="000A0D79" w:rsidRDefault="000A0D79" w:rsidP="000A0D79">
      <w:pPr>
        <w:rPr>
          <w:b/>
          <w:color w:val="0070C0"/>
          <w:sz w:val="24"/>
          <w:szCs w:val="24"/>
          <w:highlight w:val="yellow"/>
        </w:rPr>
      </w:pPr>
    </w:p>
    <w:p w14:paraId="5F43ECF7" w14:textId="3AD10965" w:rsidR="00151939" w:rsidRPr="00846C46" w:rsidRDefault="00151939" w:rsidP="000A0D79">
      <w:pPr>
        <w:rPr>
          <w:b/>
          <w:color w:val="4F81BD" w:themeColor="accent1"/>
          <w:sz w:val="24"/>
          <w:szCs w:val="24"/>
        </w:rPr>
      </w:pPr>
      <w:r w:rsidRPr="00846C46">
        <w:rPr>
          <w:b/>
          <w:color w:val="4F81BD" w:themeColor="accent1"/>
          <w:sz w:val="24"/>
          <w:szCs w:val="24"/>
        </w:rPr>
        <w:t>Daňové a odvodové príjmy</w:t>
      </w:r>
    </w:p>
    <w:p w14:paraId="63FEF031" w14:textId="5973525C" w:rsidR="00C331DD" w:rsidRPr="00BB4B6F" w:rsidRDefault="00846C46" w:rsidP="00C331DD">
      <w:pPr>
        <w:spacing w:after="120" w:line="240" w:lineRule="auto"/>
        <w:jc w:val="both"/>
        <w:rPr>
          <w:highlight w:val="yellow"/>
        </w:rPr>
      </w:pPr>
      <w:r w:rsidRPr="00846C46">
        <w:t>Daňové a odvodové príjmy v roku 2022 tvorili 87 % vš</w:t>
      </w:r>
      <w:r>
        <w:t xml:space="preserve">etkých príjmov verejnej správy </w:t>
      </w:r>
      <w:r w:rsidRPr="00846C46">
        <w:t xml:space="preserve">a oproti roku 2021 vzrástli o 7,8 %. Väčšina daňových príjmov zaznamenala medziročný nárast. Rast daní je výsledkom vysokých medziročných rastov nominálnych makroekonomických ukazovateľov. V roku 2022 narástol nominálny hrubý domáci produkt o 9,3 %, reálny o 1,7 %. Rast miezd na úrovni takmer 8 % zvýšil príjmy DPFO zo závislej činnosti, sociálnych a zdravotných odvodov. Nárast spotreby domácností o 18,6 % sa pretavil do výrazne vyššieho výberu dani z pridanej hodnoty. Silný rast ekonomiky sa neprejavil v plnej miere do rastu daňových príjmov, čo spôsobilo pokles efektívnych sadzieb. Najvýraznejšie sa to prejavilo u firemnej dane, DPH, ale aj pri nižšom výnose sociálnych a zdravotných odvodov.  </w:t>
      </w:r>
    </w:p>
    <w:tbl>
      <w:tblPr>
        <w:tblW w:w="9347" w:type="dxa"/>
        <w:tblLayout w:type="fixed"/>
        <w:tblCellMar>
          <w:left w:w="70" w:type="dxa"/>
          <w:right w:w="70" w:type="dxa"/>
        </w:tblCellMar>
        <w:tblLook w:val="04A0" w:firstRow="1" w:lastRow="0" w:firstColumn="1" w:lastColumn="0" w:noHBand="0" w:noVBand="1"/>
      </w:tblPr>
      <w:tblGrid>
        <w:gridCol w:w="3994"/>
        <w:gridCol w:w="84"/>
        <w:gridCol w:w="163"/>
        <w:gridCol w:w="1560"/>
        <w:gridCol w:w="1160"/>
        <w:gridCol w:w="1162"/>
        <w:gridCol w:w="1224"/>
      </w:tblGrid>
      <w:tr w:rsidR="003C23FA" w:rsidRPr="00846C46" w14:paraId="224AB337" w14:textId="77777777" w:rsidTr="00136DED">
        <w:trPr>
          <w:trHeight w:val="267"/>
          <w:tblHeader/>
        </w:trPr>
        <w:tc>
          <w:tcPr>
            <w:tcW w:w="9347" w:type="dxa"/>
            <w:gridSpan w:val="7"/>
            <w:tcBorders>
              <w:top w:val="nil"/>
              <w:left w:val="nil"/>
              <w:bottom w:val="single" w:sz="4" w:space="0" w:color="auto"/>
              <w:right w:val="nil"/>
            </w:tcBorders>
            <w:shd w:val="clear" w:color="auto" w:fill="auto"/>
            <w:noWrap/>
            <w:vAlign w:val="center"/>
            <w:hideMark/>
          </w:tcPr>
          <w:p w14:paraId="4C6D906E" w14:textId="5C036585" w:rsidR="003C23FA" w:rsidRPr="00846C46" w:rsidRDefault="00CB776D" w:rsidP="00F150E0">
            <w:pPr>
              <w:pStyle w:val="popistabuliek"/>
              <w:spacing w:before="120"/>
              <w:rPr>
                <w:color w:val="4F81BD" w:themeColor="accent1"/>
                <w:sz w:val="20"/>
                <w:szCs w:val="20"/>
              </w:rPr>
            </w:pPr>
            <w:r w:rsidRPr="00846C46">
              <w:rPr>
                <w:bCs w:val="0"/>
                <w:color w:val="4F81BD"/>
                <w:sz w:val="20"/>
                <w:szCs w:val="20"/>
              </w:rPr>
              <w:t>Tabuľka 10</w:t>
            </w:r>
            <w:r w:rsidR="00A4725F" w:rsidRPr="00846C46">
              <w:rPr>
                <w:bCs w:val="0"/>
                <w:color w:val="4F81BD"/>
                <w:sz w:val="20"/>
                <w:szCs w:val="20"/>
              </w:rPr>
              <w:t xml:space="preserve"> </w:t>
            </w:r>
            <w:r w:rsidR="00A4725F" w:rsidRPr="00846C46">
              <w:rPr>
                <w:b w:val="0"/>
                <w:bCs w:val="0"/>
                <w:color w:val="4F81BD"/>
                <w:sz w:val="20"/>
                <w:szCs w:val="20"/>
              </w:rPr>
              <w:t>-</w:t>
            </w:r>
            <w:r w:rsidR="00A4725F" w:rsidRPr="00846C46">
              <w:rPr>
                <w:color w:val="4F81BD" w:themeColor="accent1"/>
                <w:sz w:val="20"/>
                <w:szCs w:val="20"/>
              </w:rPr>
              <w:t xml:space="preserve"> </w:t>
            </w:r>
            <w:r w:rsidR="003C23FA" w:rsidRPr="00846C46">
              <w:rPr>
                <w:color w:val="4F81BD" w:themeColor="accent1"/>
                <w:sz w:val="20"/>
                <w:szCs w:val="20"/>
              </w:rPr>
              <w:t>Daňové a odvodové príjmy (ESA</w:t>
            </w:r>
            <w:r w:rsidR="00A4725F" w:rsidRPr="00846C46">
              <w:rPr>
                <w:color w:val="4F81BD" w:themeColor="accent1"/>
                <w:sz w:val="20"/>
                <w:szCs w:val="20"/>
              </w:rPr>
              <w:t xml:space="preserve"> </w:t>
            </w:r>
            <w:r w:rsidR="00211725" w:rsidRPr="00846C46">
              <w:rPr>
                <w:color w:val="4F81BD" w:themeColor="accent1"/>
                <w:sz w:val="20"/>
                <w:szCs w:val="20"/>
              </w:rPr>
              <w:t>2010)                                                                              v tis. eur</w:t>
            </w:r>
          </w:p>
        </w:tc>
      </w:tr>
      <w:tr w:rsidR="003C23FA" w:rsidRPr="00846C46" w14:paraId="2291BD1D" w14:textId="77777777" w:rsidTr="00136DED">
        <w:trPr>
          <w:trHeight w:val="267"/>
          <w:tblHeader/>
        </w:trPr>
        <w:tc>
          <w:tcPr>
            <w:tcW w:w="3994" w:type="dxa"/>
            <w:vMerge w:val="restart"/>
            <w:tcBorders>
              <w:top w:val="nil"/>
              <w:left w:val="nil"/>
              <w:bottom w:val="single" w:sz="4" w:space="0" w:color="000000"/>
              <w:right w:val="nil"/>
            </w:tcBorders>
            <w:shd w:val="clear" w:color="auto" w:fill="auto"/>
            <w:noWrap/>
            <w:vAlign w:val="center"/>
            <w:hideMark/>
          </w:tcPr>
          <w:p w14:paraId="26CA03FF" w14:textId="77777777" w:rsidR="003C23FA" w:rsidRPr="00846C46" w:rsidRDefault="003C23FA" w:rsidP="005828F0">
            <w:pPr>
              <w:spacing w:after="0" w:line="240" w:lineRule="auto"/>
              <w:rPr>
                <w:color w:val="000000"/>
                <w:sz w:val="18"/>
                <w:szCs w:val="18"/>
                <w:lang w:eastAsia="sk-SK"/>
              </w:rPr>
            </w:pPr>
            <w:r w:rsidRPr="00846C46">
              <w:rPr>
                <w:color w:val="000000"/>
                <w:sz w:val="18"/>
                <w:szCs w:val="18"/>
                <w:lang w:eastAsia="sk-SK"/>
              </w:rPr>
              <w:t> </w:t>
            </w:r>
          </w:p>
        </w:tc>
        <w:tc>
          <w:tcPr>
            <w:tcW w:w="4129" w:type="dxa"/>
            <w:gridSpan w:val="5"/>
            <w:tcBorders>
              <w:top w:val="single" w:sz="4" w:space="0" w:color="auto"/>
              <w:left w:val="nil"/>
              <w:bottom w:val="nil"/>
              <w:right w:val="nil"/>
            </w:tcBorders>
            <w:shd w:val="clear" w:color="auto" w:fill="auto"/>
            <w:noWrap/>
            <w:vAlign w:val="center"/>
            <w:hideMark/>
          </w:tcPr>
          <w:p w14:paraId="2F081E43" w14:textId="40B338DF" w:rsidR="003C23FA" w:rsidRPr="00846C46" w:rsidRDefault="003C23FA" w:rsidP="005828F0">
            <w:pPr>
              <w:spacing w:after="0" w:line="240" w:lineRule="auto"/>
              <w:jc w:val="center"/>
              <w:rPr>
                <w:b/>
                <w:bCs/>
                <w:color w:val="000000"/>
                <w:sz w:val="18"/>
                <w:szCs w:val="18"/>
                <w:lang w:eastAsia="sk-SK"/>
              </w:rPr>
            </w:pPr>
          </w:p>
        </w:tc>
        <w:tc>
          <w:tcPr>
            <w:tcW w:w="1224" w:type="dxa"/>
            <w:tcBorders>
              <w:top w:val="nil"/>
              <w:left w:val="nil"/>
              <w:bottom w:val="nil"/>
              <w:right w:val="nil"/>
            </w:tcBorders>
            <w:shd w:val="clear" w:color="auto" w:fill="auto"/>
            <w:noWrap/>
            <w:vAlign w:val="center"/>
            <w:hideMark/>
          </w:tcPr>
          <w:p w14:paraId="657DB4E6" w14:textId="5B737756" w:rsidR="003C23FA" w:rsidRPr="00846C46" w:rsidRDefault="003C23FA" w:rsidP="00846C46">
            <w:pPr>
              <w:spacing w:after="0" w:line="240" w:lineRule="auto"/>
              <w:jc w:val="center"/>
              <w:rPr>
                <w:b/>
                <w:bCs/>
                <w:color w:val="000000"/>
                <w:sz w:val="18"/>
                <w:szCs w:val="18"/>
                <w:lang w:eastAsia="sk-SK"/>
              </w:rPr>
            </w:pPr>
            <w:r w:rsidRPr="00846C46">
              <w:rPr>
                <w:b/>
                <w:bCs/>
                <w:color w:val="000000"/>
                <w:sz w:val="18"/>
                <w:szCs w:val="18"/>
                <w:lang w:eastAsia="sk-SK"/>
              </w:rPr>
              <w:t>202</w:t>
            </w:r>
            <w:r w:rsidR="00846C46" w:rsidRPr="00846C46">
              <w:rPr>
                <w:b/>
                <w:bCs/>
                <w:color w:val="000000"/>
                <w:sz w:val="18"/>
                <w:szCs w:val="18"/>
                <w:lang w:eastAsia="sk-SK"/>
              </w:rPr>
              <w:t>2/2021</w:t>
            </w:r>
          </w:p>
        </w:tc>
      </w:tr>
      <w:tr w:rsidR="003C23FA" w:rsidRPr="00BB4B6F" w14:paraId="2E421F18" w14:textId="77777777" w:rsidTr="00312C55">
        <w:trPr>
          <w:trHeight w:val="195"/>
        </w:trPr>
        <w:tc>
          <w:tcPr>
            <w:tcW w:w="3994" w:type="dxa"/>
            <w:vMerge/>
            <w:tcBorders>
              <w:top w:val="nil"/>
              <w:left w:val="nil"/>
              <w:bottom w:val="single" w:sz="4" w:space="0" w:color="000000"/>
              <w:right w:val="nil"/>
            </w:tcBorders>
            <w:shd w:val="clear" w:color="auto" w:fill="auto"/>
            <w:vAlign w:val="center"/>
            <w:hideMark/>
          </w:tcPr>
          <w:p w14:paraId="4C10C80B" w14:textId="77777777" w:rsidR="003C23FA" w:rsidRPr="00846C46" w:rsidRDefault="003C23FA" w:rsidP="003C23FA">
            <w:pPr>
              <w:spacing w:after="0" w:line="240" w:lineRule="auto"/>
              <w:rPr>
                <w:color w:val="000000"/>
                <w:sz w:val="18"/>
                <w:szCs w:val="18"/>
                <w:lang w:eastAsia="sk-SK"/>
              </w:rPr>
            </w:pPr>
          </w:p>
        </w:tc>
        <w:tc>
          <w:tcPr>
            <w:tcW w:w="1807" w:type="dxa"/>
            <w:gridSpan w:val="3"/>
            <w:tcBorders>
              <w:top w:val="nil"/>
              <w:left w:val="nil"/>
              <w:bottom w:val="single" w:sz="4" w:space="0" w:color="auto"/>
              <w:right w:val="nil"/>
            </w:tcBorders>
            <w:shd w:val="clear" w:color="auto" w:fill="auto"/>
            <w:noWrap/>
            <w:vAlign w:val="center"/>
            <w:hideMark/>
          </w:tcPr>
          <w:p w14:paraId="3AD724EA" w14:textId="36517373" w:rsidR="003C23FA" w:rsidRPr="00846C46" w:rsidRDefault="00846C46" w:rsidP="00846C46">
            <w:pPr>
              <w:spacing w:after="0" w:line="240" w:lineRule="auto"/>
              <w:jc w:val="center"/>
              <w:rPr>
                <w:b/>
                <w:bCs/>
                <w:color w:val="000000"/>
                <w:sz w:val="18"/>
                <w:szCs w:val="18"/>
                <w:lang w:eastAsia="sk-SK"/>
              </w:rPr>
            </w:pPr>
            <w:r w:rsidRPr="00846C46">
              <w:rPr>
                <w:b/>
                <w:bCs/>
                <w:color w:val="000000"/>
                <w:sz w:val="18"/>
                <w:szCs w:val="18"/>
                <w:lang w:eastAsia="sk-SK"/>
              </w:rPr>
              <w:t xml:space="preserve">                    2020</w:t>
            </w:r>
            <w:r w:rsidR="009C4F57" w:rsidRPr="00846C46">
              <w:rPr>
                <w:b/>
                <w:bCs/>
                <w:color w:val="000000"/>
                <w:sz w:val="18"/>
                <w:szCs w:val="18"/>
                <w:lang w:eastAsia="sk-SK"/>
              </w:rPr>
              <w:t xml:space="preserve"> S</w:t>
            </w:r>
          </w:p>
        </w:tc>
        <w:tc>
          <w:tcPr>
            <w:tcW w:w="1160" w:type="dxa"/>
            <w:tcBorders>
              <w:top w:val="nil"/>
              <w:left w:val="nil"/>
              <w:bottom w:val="single" w:sz="4" w:space="0" w:color="auto"/>
              <w:right w:val="nil"/>
            </w:tcBorders>
            <w:shd w:val="clear" w:color="auto" w:fill="auto"/>
            <w:noWrap/>
            <w:vAlign w:val="center"/>
            <w:hideMark/>
          </w:tcPr>
          <w:p w14:paraId="6AAFF375" w14:textId="5A0F3765" w:rsidR="003C23FA" w:rsidRPr="00846C46" w:rsidRDefault="003F52C4" w:rsidP="005E5B45">
            <w:pPr>
              <w:spacing w:after="0" w:line="240" w:lineRule="auto"/>
              <w:jc w:val="center"/>
              <w:rPr>
                <w:b/>
                <w:bCs/>
                <w:color w:val="000000"/>
                <w:sz w:val="18"/>
                <w:szCs w:val="18"/>
                <w:lang w:eastAsia="sk-SK"/>
              </w:rPr>
            </w:pPr>
            <w:r>
              <w:rPr>
                <w:b/>
                <w:bCs/>
                <w:color w:val="000000"/>
                <w:sz w:val="18"/>
                <w:szCs w:val="18"/>
                <w:lang w:eastAsia="sk-SK"/>
              </w:rPr>
              <w:t xml:space="preserve">     </w:t>
            </w:r>
            <w:r w:rsidR="003C23FA" w:rsidRPr="00846C46">
              <w:rPr>
                <w:b/>
                <w:bCs/>
                <w:color w:val="000000"/>
                <w:sz w:val="18"/>
                <w:szCs w:val="18"/>
                <w:lang w:eastAsia="sk-SK"/>
              </w:rPr>
              <w:t>2</w:t>
            </w:r>
            <w:r w:rsidR="00846C46" w:rsidRPr="00846C46">
              <w:rPr>
                <w:b/>
                <w:bCs/>
                <w:color w:val="000000"/>
                <w:sz w:val="18"/>
                <w:szCs w:val="18"/>
                <w:lang w:eastAsia="sk-SK"/>
              </w:rPr>
              <w:t>021</w:t>
            </w:r>
            <w:r w:rsidR="009C4F57" w:rsidRPr="00846C46">
              <w:rPr>
                <w:b/>
                <w:bCs/>
                <w:color w:val="000000"/>
                <w:sz w:val="18"/>
                <w:szCs w:val="18"/>
                <w:lang w:eastAsia="sk-SK"/>
              </w:rPr>
              <w:t xml:space="preserve"> S</w:t>
            </w:r>
          </w:p>
        </w:tc>
        <w:tc>
          <w:tcPr>
            <w:tcW w:w="1162" w:type="dxa"/>
            <w:tcBorders>
              <w:top w:val="nil"/>
              <w:left w:val="nil"/>
              <w:bottom w:val="single" w:sz="4" w:space="0" w:color="auto"/>
              <w:right w:val="nil"/>
            </w:tcBorders>
            <w:shd w:val="clear" w:color="auto" w:fill="auto"/>
            <w:noWrap/>
            <w:vAlign w:val="center"/>
            <w:hideMark/>
          </w:tcPr>
          <w:p w14:paraId="7B1BB028" w14:textId="3E703072" w:rsidR="003C23FA" w:rsidRPr="00846C46" w:rsidRDefault="003F52C4" w:rsidP="005E5B45">
            <w:pPr>
              <w:spacing w:after="0" w:line="240" w:lineRule="auto"/>
              <w:jc w:val="center"/>
              <w:rPr>
                <w:b/>
                <w:bCs/>
                <w:color w:val="000000"/>
                <w:sz w:val="18"/>
                <w:szCs w:val="18"/>
                <w:lang w:eastAsia="sk-SK"/>
              </w:rPr>
            </w:pPr>
            <w:r>
              <w:rPr>
                <w:b/>
                <w:bCs/>
                <w:color w:val="000000"/>
                <w:sz w:val="18"/>
                <w:szCs w:val="18"/>
                <w:lang w:eastAsia="sk-SK"/>
              </w:rPr>
              <w:t xml:space="preserve">     </w:t>
            </w:r>
            <w:r w:rsidR="00846C46" w:rsidRPr="00846C46">
              <w:rPr>
                <w:b/>
                <w:bCs/>
                <w:color w:val="000000"/>
                <w:sz w:val="18"/>
                <w:szCs w:val="18"/>
                <w:lang w:eastAsia="sk-SK"/>
              </w:rPr>
              <w:t>2022</w:t>
            </w:r>
            <w:r w:rsidR="009C4F57" w:rsidRPr="00846C46">
              <w:rPr>
                <w:b/>
                <w:bCs/>
                <w:color w:val="000000"/>
                <w:sz w:val="18"/>
                <w:szCs w:val="18"/>
                <w:lang w:eastAsia="sk-SK"/>
              </w:rPr>
              <w:t xml:space="preserve"> S</w:t>
            </w:r>
          </w:p>
        </w:tc>
        <w:tc>
          <w:tcPr>
            <w:tcW w:w="1224" w:type="dxa"/>
            <w:tcBorders>
              <w:top w:val="nil"/>
              <w:left w:val="nil"/>
              <w:bottom w:val="single" w:sz="4" w:space="0" w:color="auto"/>
              <w:right w:val="nil"/>
            </w:tcBorders>
            <w:shd w:val="clear" w:color="auto" w:fill="auto"/>
            <w:noWrap/>
            <w:vAlign w:val="center"/>
            <w:hideMark/>
          </w:tcPr>
          <w:p w14:paraId="7041FADF" w14:textId="77777777" w:rsidR="003C23FA" w:rsidRPr="00846C46" w:rsidRDefault="003C23FA" w:rsidP="003C23FA">
            <w:pPr>
              <w:spacing w:after="0" w:line="240" w:lineRule="auto"/>
              <w:jc w:val="center"/>
              <w:rPr>
                <w:b/>
                <w:bCs/>
                <w:color w:val="000000"/>
                <w:sz w:val="18"/>
                <w:szCs w:val="18"/>
                <w:lang w:eastAsia="sk-SK"/>
              </w:rPr>
            </w:pPr>
            <w:r w:rsidRPr="00846C46">
              <w:rPr>
                <w:b/>
                <w:bCs/>
                <w:color w:val="000000"/>
                <w:sz w:val="18"/>
                <w:szCs w:val="18"/>
                <w:lang w:eastAsia="sk-SK"/>
              </w:rPr>
              <w:t>(v %)</w:t>
            </w:r>
          </w:p>
        </w:tc>
      </w:tr>
      <w:tr w:rsidR="00846C46" w:rsidRPr="00846C46" w14:paraId="256B376F" w14:textId="77777777" w:rsidTr="00136DED">
        <w:trPr>
          <w:trHeight w:val="267"/>
        </w:trPr>
        <w:tc>
          <w:tcPr>
            <w:tcW w:w="3994" w:type="dxa"/>
            <w:tcBorders>
              <w:top w:val="nil"/>
              <w:left w:val="nil"/>
              <w:bottom w:val="nil"/>
              <w:right w:val="nil"/>
            </w:tcBorders>
            <w:shd w:val="clear" w:color="auto" w:fill="auto"/>
            <w:noWrap/>
            <w:vAlign w:val="center"/>
            <w:hideMark/>
          </w:tcPr>
          <w:p w14:paraId="39AFACB8" w14:textId="77777777" w:rsidR="00846C46" w:rsidRPr="00846C46" w:rsidRDefault="00846C46" w:rsidP="00846C46">
            <w:pPr>
              <w:spacing w:after="0" w:line="240" w:lineRule="auto"/>
              <w:rPr>
                <w:b/>
                <w:bCs/>
                <w:color w:val="000000"/>
                <w:sz w:val="18"/>
                <w:szCs w:val="18"/>
                <w:lang w:eastAsia="sk-SK"/>
              </w:rPr>
            </w:pPr>
            <w:r w:rsidRPr="00846C46">
              <w:rPr>
                <w:b/>
                <w:bCs/>
                <w:color w:val="000000"/>
                <w:sz w:val="18"/>
                <w:szCs w:val="18"/>
                <w:lang w:eastAsia="sk-SK"/>
              </w:rPr>
              <w:t>Daňové a odvodové príjmy VS</w:t>
            </w:r>
          </w:p>
        </w:tc>
        <w:tc>
          <w:tcPr>
            <w:tcW w:w="1807" w:type="dxa"/>
            <w:gridSpan w:val="3"/>
            <w:tcBorders>
              <w:top w:val="nil"/>
              <w:left w:val="nil"/>
              <w:bottom w:val="nil"/>
              <w:right w:val="nil"/>
            </w:tcBorders>
            <w:shd w:val="clear" w:color="auto" w:fill="auto"/>
            <w:noWrap/>
            <w:vAlign w:val="center"/>
            <w:hideMark/>
          </w:tcPr>
          <w:p w14:paraId="2381CFE2" w14:textId="79AA1833" w:rsidR="00846C46" w:rsidRPr="00846C46" w:rsidRDefault="00846C46" w:rsidP="00846C46">
            <w:pPr>
              <w:spacing w:after="0" w:line="240" w:lineRule="auto"/>
              <w:jc w:val="right"/>
              <w:rPr>
                <w:b/>
                <w:bCs/>
                <w:color w:val="000000"/>
                <w:sz w:val="18"/>
                <w:szCs w:val="18"/>
                <w:lang w:eastAsia="sk-SK"/>
              </w:rPr>
            </w:pPr>
            <w:r w:rsidRPr="00846C46">
              <w:rPr>
                <w:b/>
                <w:bCs/>
                <w:color w:val="000000"/>
                <w:sz w:val="18"/>
                <w:szCs w:val="18"/>
              </w:rPr>
              <w:t>32 434 296</w:t>
            </w:r>
          </w:p>
        </w:tc>
        <w:tc>
          <w:tcPr>
            <w:tcW w:w="1160" w:type="dxa"/>
            <w:tcBorders>
              <w:top w:val="nil"/>
              <w:left w:val="nil"/>
              <w:bottom w:val="nil"/>
              <w:right w:val="nil"/>
            </w:tcBorders>
            <w:shd w:val="clear" w:color="auto" w:fill="auto"/>
            <w:noWrap/>
            <w:vAlign w:val="center"/>
            <w:hideMark/>
          </w:tcPr>
          <w:p w14:paraId="4610DE0E" w14:textId="01E3DF1A" w:rsidR="00846C46" w:rsidRPr="00846C46" w:rsidRDefault="00846C46" w:rsidP="00846C46">
            <w:pPr>
              <w:spacing w:after="0" w:line="240" w:lineRule="auto"/>
              <w:jc w:val="right"/>
              <w:rPr>
                <w:b/>
                <w:bCs/>
                <w:color w:val="000000"/>
                <w:sz w:val="18"/>
                <w:szCs w:val="18"/>
                <w:lang w:eastAsia="sk-SK"/>
              </w:rPr>
            </w:pPr>
            <w:r w:rsidRPr="00846C46">
              <w:rPr>
                <w:b/>
                <w:bCs/>
                <w:color w:val="000000"/>
                <w:sz w:val="18"/>
                <w:szCs w:val="18"/>
              </w:rPr>
              <w:t>35 519 210</w:t>
            </w:r>
          </w:p>
        </w:tc>
        <w:tc>
          <w:tcPr>
            <w:tcW w:w="1162" w:type="dxa"/>
            <w:tcBorders>
              <w:top w:val="nil"/>
              <w:left w:val="nil"/>
              <w:bottom w:val="nil"/>
              <w:right w:val="nil"/>
            </w:tcBorders>
            <w:shd w:val="clear" w:color="auto" w:fill="auto"/>
            <w:noWrap/>
            <w:vAlign w:val="center"/>
            <w:hideMark/>
          </w:tcPr>
          <w:p w14:paraId="10238778" w14:textId="7F012228" w:rsidR="00846C46" w:rsidRPr="00846C46" w:rsidRDefault="00846C46" w:rsidP="00846C46">
            <w:pPr>
              <w:spacing w:after="0" w:line="240" w:lineRule="auto"/>
              <w:jc w:val="right"/>
              <w:rPr>
                <w:b/>
                <w:bCs/>
                <w:color w:val="000000"/>
                <w:sz w:val="18"/>
                <w:szCs w:val="18"/>
                <w:lang w:eastAsia="sk-SK"/>
              </w:rPr>
            </w:pPr>
            <w:r w:rsidRPr="00846C46">
              <w:rPr>
                <w:b/>
                <w:bCs/>
                <w:color w:val="000000"/>
                <w:sz w:val="18"/>
                <w:szCs w:val="18"/>
              </w:rPr>
              <w:t>38 299 753</w:t>
            </w:r>
          </w:p>
        </w:tc>
        <w:tc>
          <w:tcPr>
            <w:tcW w:w="1224" w:type="dxa"/>
            <w:tcBorders>
              <w:top w:val="nil"/>
              <w:left w:val="nil"/>
              <w:bottom w:val="nil"/>
              <w:right w:val="nil"/>
            </w:tcBorders>
            <w:shd w:val="clear" w:color="auto" w:fill="auto"/>
            <w:noWrap/>
            <w:vAlign w:val="center"/>
            <w:hideMark/>
          </w:tcPr>
          <w:p w14:paraId="3E10CBE7" w14:textId="2D0C09B4" w:rsidR="00846C46" w:rsidRPr="00846C46" w:rsidRDefault="00846C46" w:rsidP="00846C46">
            <w:pPr>
              <w:spacing w:after="0" w:line="240" w:lineRule="auto"/>
              <w:ind w:right="-71"/>
              <w:jc w:val="center"/>
              <w:rPr>
                <w:b/>
                <w:bCs/>
                <w:color w:val="000000"/>
                <w:sz w:val="18"/>
                <w:szCs w:val="18"/>
                <w:lang w:eastAsia="sk-SK"/>
              </w:rPr>
            </w:pPr>
            <w:r w:rsidRPr="00846C46">
              <w:rPr>
                <w:b/>
                <w:bCs/>
                <w:color w:val="000000"/>
                <w:sz w:val="18"/>
                <w:szCs w:val="18"/>
              </w:rPr>
              <w:t>7,8</w:t>
            </w:r>
          </w:p>
        </w:tc>
      </w:tr>
      <w:tr w:rsidR="00846C46" w:rsidRPr="00BB4B6F" w14:paraId="4E4DC2A8" w14:textId="77777777" w:rsidTr="00136DED">
        <w:trPr>
          <w:trHeight w:val="267"/>
        </w:trPr>
        <w:tc>
          <w:tcPr>
            <w:tcW w:w="3994" w:type="dxa"/>
            <w:tcBorders>
              <w:top w:val="nil"/>
              <w:left w:val="nil"/>
              <w:bottom w:val="single" w:sz="4" w:space="0" w:color="auto"/>
              <w:right w:val="nil"/>
            </w:tcBorders>
            <w:shd w:val="clear" w:color="auto" w:fill="auto"/>
            <w:noWrap/>
            <w:vAlign w:val="center"/>
            <w:hideMark/>
          </w:tcPr>
          <w:p w14:paraId="1D3A60FD" w14:textId="17E383ED"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v % HDP (daňová kvóta 2)</w:t>
            </w:r>
          </w:p>
        </w:tc>
        <w:tc>
          <w:tcPr>
            <w:tcW w:w="1807" w:type="dxa"/>
            <w:gridSpan w:val="3"/>
            <w:tcBorders>
              <w:top w:val="nil"/>
              <w:left w:val="nil"/>
              <w:bottom w:val="single" w:sz="4" w:space="0" w:color="auto"/>
              <w:right w:val="nil"/>
            </w:tcBorders>
            <w:shd w:val="clear" w:color="auto" w:fill="auto"/>
            <w:noWrap/>
            <w:vAlign w:val="center"/>
            <w:hideMark/>
          </w:tcPr>
          <w:p w14:paraId="63A77E35" w14:textId="5714A257" w:rsidR="00846C46" w:rsidRPr="00846C46" w:rsidRDefault="00846C46" w:rsidP="00846C46">
            <w:pPr>
              <w:spacing w:after="0" w:line="240" w:lineRule="auto"/>
              <w:jc w:val="right"/>
              <w:rPr>
                <w:color w:val="000000"/>
                <w:sz w:val="18"/>
                <w:szCs w:val="18"/>
                <w:lang w:eastAsia="sk-SK"/>
              </w:rPr>
            </w:pPr>
            <w:r w:rsidRPr="00846C46">
              <w:rPr>
                <w:color w:val="000000"/>
                <w:sz w:val="18"/>
                <w:szCs w:val="18"/>
              </w:rPr>
              <w:t>34,71</w:t>
            </w:r>
          </w:p>
        </w:tc>
        <w:tc>
          <w:tcPr>
            <w:tcW w:w="1160" w:type="dxa"/>
            <w:tcBorders>
              <w:top w:val="nil"/>
              <w:left w:val="nil"/>
              <w:bottom w:val="single" w:sz="4" w:space="0" w:color="auto"/>
              <w:right w:val="nil"/>
            </w:tcBorders>
            <w:shd w:val="clear" w:color="auto" w:fill="auto"/>
            <w:noWrap/>
            <w:vAlign w:val="center"/>
            <w:hideMark/>
          </w:tcPr>
          <w:p w14:paraId="2BA1AF37" w14:textId="477148A4" w:rsidR="00846C46" w:rsidRPr="00846C46" w:rsidRDefault="00846C46" w:rsidP="00846C46">
            <w:pPr>
              <w:spacing w:after="0" w:line="240" w:lineRule="auto"/>
              <w:jc w:val="right"/>
              <w:rPr>
                <w:color w:val="000000"/>
                <w:sz w:val="18"/>
                <w:szCs w:val="18"/>
                <w:lang w:eastAsia="sk-SK"/>
              </w:rPr>
            </w:pPr>
            <w:r w:rsidRPr="00846C46">
              <w:rPr>
                <w:color w:val="000000"/>
                <w:sz w:val="18"/>
                <w:szCs w:val="18"/>
              </w:rPr>
              <w:t>35,40</w:t>
            </w:r>
          </w:p>
        </w:tc>
        <w:tc>
          <w:tcPr>
            <w:tcW w:w="1162" w:type="dxa"/>
            <w:tcBorders>
              <w:top w:val="nil"/>
              <w:left w:val="nil"/>
              <w:bottom w:val="single" w:sz="4" w:space="0" w:color="auto"/>
              <w:right w:val="nil"/>
            </w:tcBorders>
            <w:shd w:val="clear" w:color="auto" w:fill="auto"/>
            <w:noWrap/>
            <w:vAlign w:val="center"/>
            <w:hideMark/>
          </w:tcPr>
          <w:p w14:paraId="74CBA366" w14:textId="79478CAB" w:rsidR="00846C46" w:rsidRPr="00846C46" w:rsidRDefault="00846C46" w:rsidP="00846C46">
            <w:pPr>
              <w:spacing w:after="0" w:line="240" w:lineRule="auto"/>
              <w:jc w:val="right"/>
              <w:rPr>
                <w:color w:val="000000"/>
                <w:sz w:val="18"/>
                <w:szCs w:val="18"/>
                <w:lang w:eastAsia="sk-SK"/>
              </w:rPr>
            </w:pPr>
            <w:r w:rsidRPr="00846C46">
              <w:rPr>
                <w:color w:val="000000"/>
                <w:sz w:val="18"/>
                <w:szCs w:val="18"/>
              </w:rPr>
              <w:t>34,93</w:t>
            </w:r>
          </w:p>
        </w:tc>
        <w:tc>
          <w:tcPr>
            <w:tcW w:w="1224" w:type="dxa"/>
            <w:tcBorders>
              <w:top w:val="nil"/>
              <w:left w:val="nil"/>
              <w:bottom w:val="single" w:sz="4" w:space="0" w:color="auto"/>
              <w:right w:val="nil"/>
            </w:tcBorders>
            <w:shd w:val="clear" w:color="auto" w:fill="auto"/>
            <w:noWrap/>
            <w:vAlign w:val="center"/>
            <w:hideMark/>
          </w:tcPr>
          <w:p w14:paraId="434878C4" w14:textId="723FE2BE" w:rsidR="00846C46" w:rsidRPr="00846C46" w:rsidRDefault="00846C46" w:rsidP="00846C46">
            <w:pPr>
              <w:spacing w:after="0" w:line="240" w:lineRule="auto"/>
              <w:ind w:right="-71"/>
              <w:jc w:val="center"/>
              <w:rPr>
                <w:color w:val="000000"/>
                <w:sz w:val="18"/>
                <w:szCs w:val="18"/>
                <w:lang w:eastAsia="sk-SK"/>
              </w:rPr>
            </w:pPr>
          </w:p>
        </w:tc>
      </w:tr>
      <w:tr w:rsidR="00846C46" w:rsidRPr="00BB4B6F" w14:paraId="1A6F248A" w14:textId="77777777" w:rsidTr="00136DED">
        <w:trPr>
          <w:trHeight w:val="267"/>
        </w:trPr>
        <w:tc>
          <w:tcPr>
            <w:tcW w:w="3994" w:type="dxa"/>
            <w:tcBorders>
              <w:top w:val="nil"/>
              <w:left w:val="nil"/>
              <w:bottom w:val="nil"/>
              <w:right w:val="nil"/>
            </w:tcBorders>
            <w:shd w:val="clear" w:color="auto" w:fill="auto"/>
            <w:noWrap/>
            <w:vAlign w:val="center"/>
            <w:hideMark/>
          </w:tcPr>
          <w:p w14:paraId="18317D80" w14:textId="77777777" w:rsidR="00846C46" w:rsidRPr="00846C46" w:rsidRDefault="00846C46" w:rsidP="00846C46">
            <w:pPr>
              <w:spacing w:after="0" w:line="240" w:lineRule="auto"/>
              <w:rPr>
                <w:b/>
                <w:bCs/>
                <w:color w:val="000000"/>
                <w:sz w:val="18"/>
                <w:szCs w:val="18"/>
                <w:lang w:eastAsia="sk-SK"/>
              </w:rPr>
            </w:pPr>
            <w:r w:rsidRPr="00846C46">
              <w:rPr>
                <w:b/>
                <w:bCs/>
                <w:color w:val="000000"/>
                <w:sz w:val="18"/>
                <w:szCs w:val="18"/>
                <w:lang w:eastAsia="sk-SK"/>
              </w:rPr>
              <w:t>Dane z produkcie a dovozu</w:t>
            </w:r>
          </w:p>
        </w:tc>
        <w:tc>
          <w:tcPr>
            <w:tcW w:w="1807" w:type="dxa"/>
            <w:gridSpan w:val="3"/>
            <w:tcBorders>
              <w:top w:val="nil"/>
              <w:left w:val="nil"/>
              <w:bottom w:val="nil"/>
              <w:right w:val="nil"/>
            </w:tcBorders>
            <w:shd w:val="clear" w:color="auto" w:fill="auto"/>
            <w:noWrap/>
            <w:vAlign w:val="center"/>
            <w:hideMark/>
          </w:tcPr>
          <w:p w14:paraId="3DA86281" w14:textId="74F20D45"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11 252 812</w:t>
            </w:r>
          </w:p>
        </w:tc>
        <w:tc>
          <w:tcPr>
            <w:tcW w:w="1160" w:type="dxa"/>
            <w:tcBorders>
              <w:top w:val="nil"/>
              <w:left w:val="nil"/>
              <w:bottom w:val="nil"/>
              <w:right w:val="nil"/>
            </w:tcBorders>
            <w:shd w:val="clear" w:color="auto" w:fill="auto"/>
            <w:noWrap/>
            <w:vAlign w:val="center"/>
            <w:hideMark/>
          </w:tcPr>
          <w:p w14:paraId="7FD7C1E1" w14:textId="1DF688B8"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12 056 538</w:t>
            </w:r>
          </w:p>
        </w:tc>
        <w:tc>
          <w:tcPr>
            <w:tcW w:w="1162" w:type="dxa"/>
            <w:tcBorders>
              <w:top w:val="nil"/>
              <w:left w:val="nil"/>
              <w:bottom w:val="nil"/>
              <w:right w:val="nil"/>
            </w:tcBorders>
            <w:shd w:val="clear" w:color="auto" w:fill="auto"/>
            <w:noWrap/>
            <w:vAlign w:val="center"/>
            <w:hideMark/>
          </w:tcPr>
          <w:p w14:paraId="1335DED6" w14:textId="78EE39B8"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13 479 888</w:t>
            </w:r>
          </w:p>
        </w:tc>
        <w:tc>
          <w:tcPr>
            <w:tcW w:w="1224" w:type="dxa"/>
            <w:tcBorders>
              <w:top w:val="nil"/>
              <w:left w:val="nil"/>
              <w:bottom w:val="nil"/>
              <w:right w:val="nil"/>
            </w:tcBorders>
            <w:shd w:val="clear" w:color="auto" w:fill="auto"/>
            <w:noWrap/>
            <w:vAlign w:val="center"/>
            <w:hideMark/>
          </w:tcPr>
          <w:p w14:paraId="14B2623B" w14:textId="56F4BA98" w:rsidR="00846C46" w:rsidRPr="00BB4B6F" w:rsidRDefault="00846C46" w:rsidP="0029657A">
            <w:pPr>
              <w:tabs>
                <w:tab w:val="decimal" w:pos="174"/>
              </w:tabs>
              <w:spacing w:after="0" w:line="240" w:lineRule="auto"/>
              <w:ind w:right="-71"/>
              <w:jc w:val="center"/>
              <w:rPr>
                <w:b/>
                <w:bCs/>
                <w:color w:val="000000"/>
                <w:sz w:val="18"/>
                <w:szCs w:val="18"/>
                <w:highlight w:val="yellow"/>
                <w:lang w:eastAsia="sk-SK"/>
              </w:rPr>
            </w:pPr>
            <w:r>
              <w:rPr>
                <w:b/>
                <w:bCs/>
                <w:color w:val="000000"/>
                <w:sz w:val="18"/>
                <w:szCs w:val="18"/>
              </w:rPr>
              <w:t>11,8</w:t>
            </w:r>
          </w:p>
        </w:tc>
      </w:tr>
      <w:tr w:rsidR="00846C46" w:rsidRPr="00BB4B6F" w14:paraId="0055F1F9" w14:textId="77777777" w:rsidTr="00136DED">
        <w:trPr>
          <w:trHeight w:val="267"/>
        </w:trPr>
        <w:tc>
          <w:tcPr>
            <w:tcW w:w="3994" w:type="dxa"/>
            <w:tcBorders>
              <w:top w:val="nil"/>
              <w:left w:val="nil"/>
              <w:bottom w:val="nil"/>
              <w:right w:val="nil"/>
            </w:tcBorders>
            <w:shd w:val="clear" w:color="auto" w:fill="auto"/>
            <w:vAlign w:val="center"/>
            <w:hideMark/>
          </w:tcPr>
          <w:p w14:paraId="34D970F7" w14:textId="77777777"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 xml:space="preserve"> - Daň z pridanej hodnoty</w:t>
            </w:r>
          </w:p>
        </w:tc>
        <w:tc>
          <w:tcPr>
            <w:tcW w:w="1807" w:type="dxa"/>
            <w:gridSpan w:val="3"/>
            <w:tcBorders>
              <w:top w:val="nil"/>
              <w:left w:val="nil"/>
              <w:bottom w:val="nil"/>
              <w:right w:val="nil"/>
            </w:tcBorders>
            <w:shd w:val="clear" w:color="auto" w:fill="auto"/>
            <w:noWrap/>
            <w:vAlign w:val="center"/>
            <w:hideMark/>
          </w:tcPr>
          <w:p w14:paraId="14CF7B5D" w14:textId="7AC33397"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6 820 217</w:t>
            </w:r>
          </w:p>
        </w:tc>
        <w:tc>
          <w:tcPr>
            <w:tcW w:w="1160" w:type="dxa"/>
            <w:tcBorders>
              <w:top w:val="nil"/>
              <w:left w:val="nil"/>
              <w:bottom w:val="nil"/>
              <w:right w:val="nil"/>
            </w:tcBorders>
            <w:shd w:val="clear" w:color="auto" w:fill="auto"/>
            <w:noWrap/>
            <w:vAlign w:val="center"/>
            <w:hideMark/>
          </w:tcPr>
          <w:p w14:paraId="76BC6B22" w14:textId="4F20E9FD"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7 494 069</w:t>
            </w:r>
          </w:p>
        </w:tc>
        <w:tc>
          <w:tcPr>
            <w:tcW w:w="1162" w:type="dxa"/>
            <w:tcBorders>
              <w:top w:val="nil"/>
              <w:left w:val="nil"/>
              <w:bottom w:val="nil"/>
              <w:right w:val="nil"/>
            </w:tcBorders>
            <w:shd w:val="clear" w:color="auto" w:fill="auto"/>
            <w:noWrap/>
            <w:vAlign w:val="center"/>
            <w:hideMark/>
          </w:tcPr>
          <w:p w14:paraId="3566FB14" w14:textId="4BD2639E"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8 440 844</w:t>
            </w:r>
          </w:p>
        </w:tc>
        <w:tc>
          <w:tcPr>
            <w:tcW w:w="1224" w:type="dxa"/>
            <w:tcBorders>
              <w:top w:val="nil"/>
              <w:left w:val="nil"/>
              <w:bottom w:val="nil"/>
              <w:right w:val="nil"/>
            </w:tcBorders>
            <w:shd w:val="clear" w:color="auto" w:fill="auto"/>
            <w:noWrap/>
            <w:vAlign w:val="center"/>
            <w:hideMark/>
          </w:tcPr>
          <w:p w14:paraId="4ABAEE54" w14:textId="1B0DA2F3" w:rsidR="00846C46" w:rsidRPr="00BB4B6F" w:rsidRDefault="00846C46" w:rsidP="0029657A">
            <w:pPr>
              <w:tabs>
                <w:tab w:val="decimal" w:pos="174"/>
              </w:tabs>
              <w:spacing w:after="0" w:line="240" w:lineRule="auto"/>
              <w:ind w:right="-71"/>
              <w:jc w:val="center"/>
              <w:rPr>
                <w:color w:val="000000"/>
                <w:sz w:val="18"/>
                <w:szCs w:val="18"/>
                <w:highlight w:val="yellow"/>
                <w:lang w:eastAsia="sk-SK"/>
              </w:rPr>
            </w:pPr>
            <w:r>
              <w:rPr>
                <w:color w:val="000000"/>
                <w:sz w:val="18"/>
                <w:szCs w:val="18"/>
              </w:rPr>
              <w:t>12,6</w:t>
            </w:r>
          </w:p>
        </w:tc>
      </w:tr>
      <w:tr w:rsidR="00846C46" w:rsidRPr="00BB4B6F" w14:paraId="1DBA600C" w14:textId="77777777" w:rsidTr="00136DED">
        <w:trPr>
          <w:trHeight w:val="267"/>
        </w:trPr>
        <w:tc>
          <w:tcPr>
            <w:tcW w:w="3994" w:type="dxa"/>
            <w:tcBorders>
              <w:top w:val="nil"/>
              <w:left w:val="nil"/>
              <w:bottom w:val="nil"/>
              <w:right w:val="nil"/>
            </w:tcBorders>
            <w:shd w:val="clear" w:color="auto" w:fill="auto"/>
            <w:vAlign w:val="center"/>
            <w:hideMark/>
          </w:tcPr>
          <w:p w14:paraId="7C308EAE" w14:textId="77777777"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 xml:space="preserve"> - Spotrebné dane</w:t>
            </w:r>
          </w:p>
        </w:tc>
        <w:tc>
          <w:tcPr>
            <w:tcW w:w="1807" w:type="dxa"/>
            <w:gridSpan w:val="3"/>
            <w:tcBorders>
              <w:top w:val="nil"/>
              <w:left w:val="nil"/>
              <w:bottom w:val="nil"/>
              <w:right w:val="nil"/>
            </w:tcBorders>
            <w:shd w:val="clear" w:color="auto" w:fill="auto"/>
            <w:noWrap/>
            <w:vAlign w:val="center"/>
            <w:hideMark/>
          </w:tcPr>
          <w:p w14:paraId="6DDEB660" w14:textId="72051FA3"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2 752 268</w:t>
            </w:r>
          </w:p>
        </w:tc>
        <w:tc>
          <w:tcPr>
            <w:tcW w:w="1160" w:type="dxa"/>
            <w:tcBorders>
              <w:top w:val="nil"/>
              <w:left w:val="nil"/>
              <w:bottom w:val="nil"/>
              <w:right w:val="nil"/>
            </w:tcBorders>
            <w:shd w:val="clear" w:color="auto" w:fill="auto"/>
            <w:noWrap/>
            <w:vAlign w:val="center"/>
            <w:hideMark/>
          </w:tcPr>
          <w:p w14:paraId="14077132" w14:textId="72FA1F91"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2 958 344</w:t>
            </w:r>
          </w:p>
        </w:tc>
        <w:tc>
          <w:tcPr>
            <w:tcW w:w="1162" w:type="dxa"/>
            <w:tcBorders>
              <w:top w:val="nil"/>
              <w:left w:val="nil"/>
              <w:bottom w:val="nil"/>
              <w:right w:val="nil"/>
            </w:tcBorders>
            <w:shd w:val="clear" w:color="auto" w:fill="auto"/>
            <w:noWrap/>
            <w:vAlign w:val="center"/>
            <w:hideMark/>
          </w:tcPr>
          <w:p w14:paraId="7C8E496D" w14:textId="2C37EEBC"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2 797 344</w:t>
            </w:r>
          </w:p>
        </w:tc>
        <w:tc>
          <w:tcPr>
            <w:tcW w:w="1224" w:type="dxa"/>
            <w:tcBorders>
              <w:top w:val="nil"/>
              <w:left w:val="nil"/>
              <w:bottom w:val="nil"/>
              <w:right w:val="nil"/>
            </w:tcBorders>
            <w:shd w:val="clear" w:color="auto" w:fill="auto"/>
            <w:noWrap/>
            <w:vAlign w:val="center"/>
            <w:hideMark/>
          </w:tcPr>
          <w:p w14:paraId="79A3D8A0" w14:textId="21B16818" w:rsidR="00846C46" w:rsidRPr="00BB4B6F" w:rsidRDefault="00846C46" w:rsidP="0029657A">
            <w:pPr>
              <w:tabs>
                <w:tab w:val="decimal" w:pos="174"/>
              </w:tabs>
              <w:spacing w:after="0" w:line="240" w:lineRule="auto"/>
              <w:ind w:right="-71"/>
              <w:jc w:val="center"/>
              <w:rPr>
                <w:color w:val="000000"/>
                <w:sz w:val="18"/>
                <w:szCs w:val="18"/>
                <w:highlight w:val="yellow"/>
                <w:lang w:eastAsia="sk-SK"/>
              </w:rPr>
            </w:pPr>
            <w:r>
              <w:rPr>
                <w:color w:val="000000"/>
                <w:sz w:val="18"/>
                <w:szCs w:val="18"/>
              </w:rPr>
              <w:t>-5,4</w:t>
            </w:r>
          </w:p>
        </w:tc>
      </w:tr>
      <w:tr w:rsidR="00846C46" w:rsidRPr="00BB4B6F" w14:paraId="5E2F8FBE" w14:textId="77777777" w:rsidTr="00136DED">
        <w:trPr>
          <w:trHeight w:val="267"/>
        </w:trPr>
        <w:tc>
          <w:tcPr>
            <w:tcW w:w="3994" w:type="dxa"/>
            <w:tcBorders>
              <w:top w:val="nil"/>
              <w:left w:val="nil"/>
              <w:bottom w:val="nil"/>
              <w:right w:val="nil"/>
            </w:tcBorders>
            <w:shd w:val="clear" w:color="auto" w:fill="auto"/>
            <w:vAlign w:val="center"/>
            <w:hideMark/>
          </w:tcPr>
          <w:p w14:paraId="120371D2" w14:textId="77777777"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 xml:space="preserve"> - Daň z nehnuteľnosti a iné</w:t>
            </w:r>
          </w:p>
        </w:tc>
        <w:tc>
          <w:tcPr>
            <w:tcW w:w="1807" w:type="dxa"/>
            <w:gridSpan w:val="3"/>
            <w:tcBorders>
              <w:top w:val="nil"/>
              <w:left w:val="nil"/>
              <w:bottom w:val="nil"/>
              <w:right w:val="nil"/>
            </w:tcBorders>
            <w:shd w:val="clear" w:color="auto" w:fill="auto"/>
            <w:noWrap/>
            <w:vAlign w:val="center"/>
            <w:hideMark/>
          </w:tcPr>
          <w:p w14:paraId="29324761" w14:textId="620CCBD1"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402 211</w:t>
            </w:r>
          </w:p>
        </w:tc>
        <w:tc>
          <w:tcPr>
            <w:tcW w:w="1160" w:type="dxa"/>
            <w:tcBorders>
              <w:top w:val="nil"/>
              <w:left w:val="nil"/>
              <w:bottom w:val="nil"/>
              <w:right w:val="nil"/>
            </w:tcBorders>
            <w:shd w:val="clear" w:color="auto" w:fill="auto"/>
            <w:noWrap/>
            <w:vAlign w:val="center"/>
            <w:hideMark/>
          </w:tcPr>
          <w:p w14:paraId="08E90FA9" w14:textId="6D651D25"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428 351</w:t>
            </w:r>
          </w:p>
        </w:tc>
        <w:tc>
          <w:tcPr>
            <w:tcW w:w="1162" w:type="dxa"/>
            <w:tcBorders>
              <w:top w:val="nil"/>
              <w:left w:val="nil"/>
              <w:bottom w:val="nil"/>
              <w:right w:val="nil"/>
            </w:tcBorders>
            <w:shd w:val="clear" w:color="auto" w:fill="auto"/>
            <w:noWrap/>
            <w:vAlign w:val="center"/>
            <w:hideMark/>
          </w:tcPr>
          <w:p w14:paraId="700A7B71" w14:textId="5EFA9391"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431 799</w:t>
            </w:r>
          </w:p>
        </w:tc>
        <w:tc>
          <w:tcPr>
            <w:tcW w:w="1224" w:type="dxa"/>
            <w:tcBorders>
              <w:top w:val="nil"/>
              <w:left w:val="nil"/>
              <w:bottom w:val="nil"/>
              <w:right w:val="nil"/>
            </w:tcBorders>
            <w:shd w:val="clear" w:color="auto" w:fill="auto"/>
            <w:noWrap/>
            <w:vAlign w:val="center"/>
            <w:hideMark/>
          </w:tcPr>
          <w:p w14:paraId="5D2E8EF7" w14:textId="21BC599A" w:rsidR="00846C46" w:rsidRPr="00BB4B6F" w:rsidRDefault="00846C46" w:rsidP="0029657A">
            <w:pPr>
              <w:tabs>
                <w:tab w:val="decimal" w:pos="174"/>
              </w:tabs>
              <w:spacing w:after="0" w:line="240" w:lineRule="auto"/>
              <w:ind w:right="-71"/>
              <w:jc w:val="center"/>
              <w:rPr>
                <w:color w:val="000000"/>
                <w:sz w:val="18"/>
                <w:szCs w:val="18"/>
                <w:highlight w:val="yellow"/>
                <w:lang w:eastAsia="sk-SK"/>
              </w:rPr>
            </w:pPr>
            <w:r>
              <w:rPr>
                <w:color w:val="000000"/>
                <w:sz w:val="18"/>
                <w:szCs w:val="18"/>
              </w:rPr>
              <w:t>0,8</w:t>
            </w:r>
          </w:p>
        </w:tc>
      </w:tr>
      <w:tr w:rsidR="00846C46" w:rsidRPr="00BB4B6F" w14:paraId="15B02B95" w14:textId="77777777" w:rsidTr="00136DED">
        <w:trPr>
          <w:trHeight w:val="267"/>
        </w:trPr>
        <w:tc>
          <w:tcPr>
            <w:tcW w:w="3994" w:type="dxa"/>
            <w:tcBorders>
              <w:top w:val="nil"/>
              <w:left w:val="nil"/>
              <w:bottom w:val="nil"/>
              <w:right w:val="nil"/>
            </w:tcBorders>
            <w:shd w:val="clear" w:color="auto" w:fill="auto"/>
            <w:vAlign w:val="center"/>
            <w:hideMark/>
          </w:tcPr>
          <w:p w14:paraId="61AA4915" w14:textId="77777777" w:rsidR="00846C46" w:rsidRPr="00846C46" w:rsidRDefault="00846C46" w:rsidP="00846C46">
            <w:pPr>
              <w:spacing w:after="0" w:line="240" w:lineRule="auto"/>
              <w:rPr>
                <w:b/>
                <w:bCs/>
                <w:color w:val="000000"/>
                <w:sz w:val="18"/>
                <w:szCs w:val="18"/>
                <w:lang w:eastAsia="sk-SK"/>
              </w:rPr>
            </w:pPr>
            <w:r w:rsidRPr="00846C46">
              <w:rPr>
                <w:b/>
                <w:bCs/>
                <w:color w:val="000000"/>
                <w:sz w:val="18"/>
                <w:szCs w:val="18"/>
                <w:lang w:eastAsia="sk-SK"/>
              </w:rPr>
              <w:t>Bežné dane z dôchodkov, majetku</w:t>
            </w:r>
          </w:p>
        </w:tc>
        <w:tc>
          <w:tcPr>
            <w:tcW w:w="1807" w:type="dxa"/>
            <w:gridSpan w:val="3"/>
            <w:tcBorders>
              <w:top w:val="nil"/>
              <w:left w:val="nil"/>
              <w:bottom w:val="nil"/>
              <w:right w:val="nil"/>
            </w:tcBorders>
            <w:shd w:val="clear" w:color="auto" w:fill="auto"/>
            <w:noWrap/>
            <w:vAlign w:val="center"/>
            <w:hideMark/>
          </w:tcPr>
          <w:p w14:paraId="5CC29B65" w14:textId="345BD4D3"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6 682 298</w:t>
            </w:r>
          </w:p>
        </w:tc>
        <w:tc>
          <w:tcPr>
            <w:tcW w:w="1160" w:type="dxa"/>
            <w:tcBorders>
              <w:top w:val="nil"/>
              <w:left w:val="nil"/>
              <w:bottom w:val="nil"/>
              <w:right w:val="nil"/>
            </w:tcBorders>
            <w:shd w:val="clear" w:color="auto" w:fill="auto"/>
            <w:noWrap/>
            <w:vAlign w:val="center"/>
            <w:hideMark/>
          </w:tcPr>
          <w:p w14:paraId="30D059B1" w14:textId="2616D212"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7 827 610</w:t>
            </w:r>
          </w:p>
        </w:tc>
        <w:tc>
          <w:tcPr>
            <w:tcW w:w="1162" w:type="dxa"/>
            <w:tcBorders>
              <w:top w:val="nil"/>
              <w:left w:val="nil"/>
              <w:bottom w:val="nil"/>
              <w:right w:val="nil"/>
            </w:tcBorders>
            <w:shd w:val="clear" w:color="auto" w:fill="auto"/>
            <w:noWrap/>
            <w:vAlign w:val="center"/>
            <w:hideMark/>
          </w:tcPr>
          <w:p w14:paraId="440DB9A3" w14:textId="2A5EFCDD"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8 481 320</w:t>
            </w:r>
          </w:p>
        </w:tc>
        <w:tc>
          <w:tcPr>
            <w:tcW w:w="1224" w:type="dxa"/>
            <w:tcBorders>
              <w:top w:val="nil"/>
              <w:left w:val="nil"/>
              <w:bottom w:val="nil"/>
              <w:right w:val="nil"/>
            </w:tcBorders>
            <w:shd w:val="clear" w:color="auto" w:fill="auto"/>
            <w:noWrap/>
            <w:vAlign w:val="center"/>
            <w:hideMark/>
          </w:tcPr>
          <w:p w14:paraId="5D976FFD" w14:textId="006B77A9" w:rsidR="00846C46" w:rsidRPr="00BB4B6F" w:rsidRDefault="00846C46" w:rsidP="0029657A">
            <w:pPr>
              <w:tabs>
                <w:tab w:val="decimal" w:pos="174"/>
              </w:tabs>
              <w:spacing w:after="0" w:line="240" w:lineRule="auto"/>
              <w:ind w:left="-175" w:right="-71"/>
              <w:jc w:val="center"/>
              <w:rPr>
                <w:b/>
                <w:bCs/>
                <w:color w:val="000000"/>
                <w:sz w:val="18"/>
                <w:szCs w:val="18"/>
                <w:highlight w:val="yellow"/>
                <w:lang w:eastAsia="sk-SK"/>
              </w:rPr>
            </w:pPr>
            <w:r>
              <w:rPr>
                <w:b/>
                <w:bCs/>
                <w:color w:val="000000"/>
                <w:sz w:val="18"/>
                <w:szCs w:val="18"/>
              </w:rPr>
              <w:t>8,4</w:t>
            </w:r>
          </w:p>
        </w:tc>
      </w:tr>
      <w:tr w:rsidR="00846C46" w:rsidRPr="00BB4B6F" w14:paraId="56C9EBEF" w14:textId="77777777" w:rsidTr="00136DED">
        <w:trPr>
          <w:trHeight w:val="267"/>
        </w:trPr>
        <w:tc>
          <w:tcPr>
            <w:tcW w:w="3994" w:type="dxa"/>
            <w:tcBorders>
              <w:top w:val="nil"/>
              <w:left w:val="nil"/>
              <w:bottom w:val="nil"/>
              <w:right w:val="nil"/>
            </w:tcBorders>
            <w:shd w:val="clear" w:color="auto" w:fill="auto"/>
            <w:vAlign w:val="center"/>
            <w:hideMark/>
          </w:tcPr>
          <w:p w14:paraId="2284B179" w14:textId="77777777" w:rsidR="00846C46" w:rsidRPr="00846C46" w:rsidRDefault="00846C46" w:rsidP="00846C46">
            <w:pPr>
              <w:spacing w:after="0" w:line="240" w:lineRule="auto"/>
              <w:ind w:right="-921" w:firstLineChars="100" w:firstLine="180"/>
              <w:rPr>
                <w:color w:val="000000"/>
                <w:sz w:val="18"/>
                <w:szCs w:val="18"/>
                <w:lang w:eastAsia="sk-SK"/>
              </w:rPr>
            </w:pPr>
            <w:r w:rsidRPr="00846C46">
              <w:rPr>
                <w:color w:val="000000"/>
                <w:sz w:val="18"/>
                <w:szCs w:val="18"/>
                <w:lang w:eastAsia="sk-SK"/>
              </w:rPr>
              <w:t xml:space="preserve"> - Daň z príjmov fyzických osôb</w:t>
            </w:r>
          </w:p>
        </w:tc>
        <w:tc>
          <w:tcPr>
            <w:tcW w:w="1807" w:type="dxa"/>
            <w:gridSpan w:val="3"/>
            <w:tcBorders>
              <w:top w:val="nil"/>
              <w:left w:val="nil"/>
              <w:bottom w:val="nil"/>
              <w:right w:val="nil"/>
            </w:tcBorders>
            <w:shd w:val="clear" w:color="auto" w:fill="auto"/>
            <w:noWrap/>
            <w:vAlign w:val="center"/>
            <w:hideMark/>
          </w:tcPr>
          <w:p w14:paraId="5799273A" w14:textId="1E9400D1"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3 499 962</w:t>
            </w:r>
          </w:p>
        </w:tc>
        <w:tc>
          <w:tcPr>
            <w:tcW w:w="1160" w:type="dxa"/>
            <w:tcBorders>
              <w:top w:val="nil"/>
              <w:left w:val="nil"/>
              <w:bottom w:val="nil"/>
              <w:right w:val="nil"/>
            </w:tcBorders>
            <w:shd w:val="clear" w:color="auto" w:fill="auto"/>
            <w:noWrap/>
            <w:vAlign w:val="center"/>
            <w:hideMark/>
          </w:tcPr>
          <w:p w14:paraId="2982C5B9" w14:textId="4C8CE9BD" w:rsidR="00846C46" w:rsidRPr="00BB4B6F" w:rsidRDefault="00846C46" w:rsidP="00846C46">
            <w:pPr>
              <w:spacing w:after="0" w:line="240" w:lineRule="auto"/>
              <w:ind w:left="-183"/>
              <w:jc w:val="right"/>
              <w:rPr>
                <w:color w:val="000000"/>
                <w:sz w:val="18"/>
                <w:szCs w:val="18"/>
                <w:highlight w:val="yellow"/>
                <w:lang w:eastAsia="sk-SK"/>
              </w:rPr>
            </w:pPr>
            <w:r>
              <w:rPr>
                <w:color w:val="000000"/>
                <w:sz w:val="18"/>
                <w:szCs w:val="18"/>
              </w:rPr>
              <w:t>3 759 707</w:t>
            </w:r>
          </w:p>
        </w:tc>
        <w:tc>
          <w:tcPr>
            <w:tcW w:w="1162" w:type="dxa"/>
            <w:tcBorders>
              <w:top w:val="nil"/>
              <w:left w:val="nil"/>
              <w:bottom w:val="nil"/>
              <w:right w:val="nil"/>
            </w:tcBorders>
            <w:shd w:val="clear" w:color="auto" w:fill="auto"/>
            <w:noWrap/>
            <w:vAlign w:val="center"/>
            <w:hideMark/>
          </w:tcPr>
          <w:p w14:paraId="18E80208" w14:textId="11FC8DE1"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4 105 563</w:t>
            </w:r>
          </w:p>
        </w:tc>
        <w:tc>
          <w:tcPr>
            <w:tcW w:w="1224" w:type="dxa"/>
            <w:tcBorders>
              <w:top w:val="nil"/>
              <w:left w:val="nil"/>
              <w:bottom w:val="nil"/>
              <w:right w:val="nil"/>
            </w:tcBorders>
            <w:shd w:val="clear" w:color="auto" w:fill="auto"/>
            <w:noWrap/>
            <w:vAlign w:val="center"/>
            <w:hideMark/>
          </w:tcPr>
          <w:p w14:paraId="17A2ACBF" w14:textId="252C242C" w:rsidR="00846C46" w:rsidRPr="00846C46" w:rsidRDefault="00846C46" w:rsidP="0029657A">
            <w:pPr>
              <w:tabs>
                <w:tab w:val="decimal" w:pos="174"/>
              </w:tabs>
              <w:spacing w:after="0" w:line="240" w:lineRule="auto"/>
              <w:ind w:right="-71"/>
              <w:jc w:val="center"/>
              <w:rPr>
                <w:color w:val="000000"/>
                <w:sz w:val="18"/>
                <w:szCs w:val="18"/>
              </w:rPr>
            </w:pPr>
            <w:r>
              <w:rPr>
                <w:color w:val="000000"/>
                <w:sz w:val="18"/>
                <w:szCs w:val="18"/>
              </w:rPr>
              <w:t>9,2</w:t>
            </w:r>
          </w:p>
        </w:tc>
      </w:tr>
      <w:tr w:rsidR="00846C46" w:rsidRPr="00BB4B6F" w14:paraId="3DE007C2" w14:textId="77777777" w:rsidTr="00136DED">
        <w:trPr>
          <w:trHeight w:val="267"/>
        </w:trPr>
        <w:tc>
          <w:tcPr>
            <w:tcW w:w="3994" w:type="dxa"/>
            <w:tcBorders>
              <w:top w:val="nil"/>
              <w:left w:val="nil"/>
              <w:bottom w:val="nil"/>
              <w:right w:val="nil"/>
            </w:tcBorders>
            <w:shd w:val="clear" w:color="auto" w:fill="auto"/>
            <w:noWrap/>
            <w:vAlign w:val="center"/>
            <w:hideMark/>
          </w:tcPr>
          <w:p w14:paraId="1B6D13C8" w14:textId="77777777" w:rsidR="00846C46" w:rsidRPr="00846C46" w:rsidRDefault="00846C46" w:rsidP="00846C46">
            <w:pPr>
              <w:spacing w:after="0" w:line="240" w:lineRule="auto"/>
              <w:rPr>
                <w:color w:val="000000"/>
                <w:sz w:val="18"/>
                <w:szCs w:val="18"/>
                <w:lang w:eastAsia="sk-SK"/>
              </w:rPr>
            </w:pPr>
            <w:r w:rsidRPr="00846C46">
              <w:rPr>
                <w:color w:val="000000"/>
                <w:sz w:val="18"/>
                <w:szCs w:val="18"/>
                <w:lang w:eastAsia="sk-SK"/>
              </w:rPr>
              <w:t xml:space="preserve">         - zo závislej činnosti</w:t>
            </w:r>
          </w:p>
        </w:tc>
        <w:tc>
          <w:tcPr>
            <w:tcW w:w="1807" w:type="dxa"/>
            <w:gridSpan w:val="3"/>
            <w:tcBorders>
              <w:top w:val="nil"/>
              <w:left w:val="nil"/>
              <w:bottom w:val="nil"/>
              <w:right w:val="nil"/>
            </w:tcBorders>
            <w:shd w:val="clear" w:color="auto" w:fill="auto"/>
            <w:noWrap/>
            <w:vAlign w:val="center"/>
            <w:hideMark/>
          </w:tcPr>
          <w:p w14:paraId="429C9EF9" w14:textId="72E627DC"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3 400 083</w:t>
            </w:r>
          </w:p>
        </w:tc>
        <w:tc>
          <w:tcPr>
            <w:tcW w:w="1160" w:type="dxa"/>
            <w:tcBorders>
              <w:top w:val="nil"/>
              <w:left w:val="nil"/>
              <w:bottom w:val="nil"/>
              <w:right w:val="nil"/>
            </w:tcBorders>
            <w:shd w:val="clear" w:color="auto" w:fill="auto"/>
            <w:noWrap/>
            <w:vAlign w:val="center"/>
            <w:hideMark/>
          </w:tcPr>
          <w:p w14:paraId="0D8B7C98" w14:textId="08145460"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3 630 348</w:t>
            </w:r>
          </w:p>
        </w:tc>
        <w:tc>
          <w:tcPr>
            <w:tcW w:w="1162" w:type="dxa"/>
            <w:tcBorders>
              <w:top w:val="nil"/>
              <w:left w:val="nil"/>
              <w:bottom w:val="nil"/>
              <w:right w:val="nil"/>
            </w:tcBorders>
            <w:shd w:val="clear" w:color="auto" w:fill="auto"/>
            <w:noWrap/>
            <w:vAlign w:val="center"/>
            <w:hideMark/>
          </w:tcPr>
          <w:p w14:paraId="3B37874B" w14:textId="00296C1D"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3 967 712</w:t>
            </w:r>
          </w:p>
        </w:tc>
        <w:tc>
          <w:tcPr>
            <w:tcW w:w="1224" w:type="dxa"/>
            <w:tcBorders>
              <w:top w:val="nil"/>
              <w:left w:val="nil"/>
              <w:bottom w:val="nil"/>
              <w:right w:val="nil"/>
            </w:tcBorders>
            <w:shd w:val="clear" w:color="auto" w:fill="auto"/>
            <w:noWrap/>
            <w:vAlign w:val="center"/>
            <w:hideMark/>
          </w:tcPr>
          <w:p w14:paraId="5C4E2B4D" w14:textId="41555C2E" w:rsidR="00846C46" w:rsidRPr="00846C46" w:rsidRDefault="00846C46" w:rsidP="0029657A">
            <w:pPr>
              <w:tabs>
                <w:tab w:val="decimal" w:pos="174"/>
              </w:tabs>
              <w:spacing w:after="0" w:line="240" w:lineRule="auto"/>
              <w:ind w:right="-71"/>
              <w:jc w:val="center"/>
              <w:rPr>
                <w:color w:val="000000"/>
                <w:sz w:val="18"/>
                <w:szCs w:val="18"/>
              </w:rPr>
            </w:pPr>
            <w:r>
              <w:rPr>
                <w:color w:val="000000"/>
                <w:sz w:val="18"/>
                <w:szCs w:val="18"/>
              </w:rPr>
              <w:t>9,3</w:t>
            </w:r>
          </w:p>
        </w:tc>
      </w:tr>
      <w:tr w:rsidR="00846C46" w:rsidRPr="00BB4B6F" w14:paraId="0E7F974A" w14:textId="77777777" w:rsidTr="00136DED">
        <w:trPr>
          <w:trHeight w:val="267"/>
        </w:trPr>
        <w:tc>
          <w:tcPr>
            <w:tcW w:w="4078" w:type="dxa"/>
            <w:gridSpan w:val="2"/>
            <w:tcBorders>
              <w:top w:val="nil"/>
              <w:left w:val="nil"/>
              <w:bottom w:val="nil"/>
              <w:right w:val="nil"/>
            </w:tcBorders>
            <w:shd w:val="clear" w:color="auto" w:fill="auto"/>
            <w:noWrap/>
            <w:vAlign w:val="center"/>
            <w:hideMark/>
          </w:tcPr>
          <w:p w14:paraId="56966EB3" w14:textId="77777777" w:rsidR="00846C46" w:rsidRPr="00846C46" w:rsidRDefault="00846C46" w:rsidP="00846C46">
            <w:pPr>
              <w:spacing w:after="0" w:line="240" w:lineRule="auto"/>
              <w:ind w:left="639" w:hanging="639"/>
              <w:rPr>
                <w:color w:val="000000"/>
                <w:sz w:val="18"/>
                <w:szCs w:val="18"/>
              </w:rPr>
            </w:pPr>
            <w:r w:rsidRPr="00846C46">
              <w:rPr>
                <w:color w:val="000000"/>
                <w:sz w:val="18"/>
                <w:szCs w:val="18"/>
                <w:lang w:eastAsia="sk-SK"/>
              </w:rPr>
              <w:t xml:space="preserve">         - z podnikania a inej samostatnej                                    zárobkovej činnosti</w:t>
            </w:r>
          </w:p>
        </w:tc>
        <w:tc>
          <w:tcPr>
            <w:tcW w:w="163" w:type="dxa"/>
            <w:tcBorders>
              <w:top w:val="nil"/>
              <w:left w:val="nil"/>
              <w:bottom w:val="nil"/>
              <w:right w:val="nil"/>
            </w:tcBorders>
            <w:shd w:val="clear" w:color="auto" w:fill="auto"/>
            <w:vAlign w:val="center"/>
          </w:tcPr>
          <w:p w14:paraId="64219EF8" w14:textId="77777777" w:rsidR="00846C46" w:rsidRPr="00BB4B6F" w:rsidRDefault="00846C46" w:rsidP="00846C46">
            <w:pPr>
              <w:ind w:right="-498"/>
              <w:rPr>
                <w:color w:val="000000"/>
                <w:sz w:val="18"/>
                <w:szCs w:val="18"/>
                <w:highlight w:val="yellow"/>
              </w:rPr>
            </w:pPr>
          </w:p>
        </w:tc>
        <w:tc>
          <w:tcPr>
            <w:tcW w:w="1560" w:type="dxa"/>
            <w:tcBorders>
              <w:top w:val="nil"/>
              <w:left w:val="nil"/>
              <w:bottom w:val="nil"/>
              <w:right w:val="nil"/>
            </w:tcBorders>
            <w:shd w:val="clear" w:color="auto" w:fill="auto"/>
            <w:noWrap/>
            <w:vAlign w:val="center"/>
            <w:hideMark/>
          </w:tcPr>
          <w:p w14:paraId="78DC770B" w14:textId="1C3A9356" w:rsidR="00846C46" w:rsidRPr="00BB4B6F" w:rsidRDefault="00846C46" w:rsidP="00846C46">
            <w:pPr>
              <w:spacing w:after="0" w:line="240" w:lineRule="auto"/>
              <w:ind w:left="783" w:hanging="783"/>
              <w:jc w:val="right"/>
              <w:rPr>
                <w:color w:val="000000"/>
                <w:sz w:val="18"/>
                <w:szCs w:val="18"/>
                <w:highlight w:val="yellow"/>
                <w:lang w:eastAsia="sk-SK"/>
              </w:rPr>
            </w:pPr>
            <w:r>
              <w:rPr>
                <w:color w:val="000000"/>
                <w:sz w:val="18"/>
                <w:szCs w:val="18"/>
              </w:rPr>
              <w:t>99 878</w:t>
            </w:r>
          </w:p>
        </w:tc>
        <w:tc>
          <w:tcPr>
            <w:tcW w:w="1160" w:type="dxa"/>
            <w:tcBorders>
              <w:top w:val="nil"/>
              <w:left w:val="nil"/>
              <w:bottom w:val="nil"/>
              <w:right w:val="nil"/>
            </w:tcBorders>
            <w:shd w:val="clear" w:color="auto" w:fill="auto"/>
            <w:noWrap/>
            <w:vAlign w:val="center"/>
            <w:hideMark/>
          </w:tcPr>
          <w:p w14:paraId="3CCFD0DD" w14:textId="55254E8D"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129 358</w:t>
            </w:r>
          </w:p>
        </w:tc>
        <w:tc>
          <w:tcPr>
            <w:tcW w:w="1162" w:type="dxa"/>
            <w:tcBorders>
              <w:top w:val="nil"/>
              <w:left w:val="nil"/>
              <w:bottom w:val="nil"/>
              <w:right w:val="nil"/>
            </w:tcBorders>
            <w:shd w:val="clear" w:color="auto" w:fill="auto"/>
            <w:noWrap/>
            <w:vAlign w:val="center"/>
            <w:hideMark/>
          </w:tcPr>
          <w:p w14:paraId="0B8C8F78" w14:textId="17B3365C"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137 853</w:t>
            </w:r>
          </w:p>
        </w:tc>
        <w:tc>
          <w:tcPr>
            <w:tcW w:w="1224" w:type="dxa"/>
            <w:tcBorders>
              <w:top w:val="nil"/>
              <w:left w:val="nil"/>
              <w:bottom w:val="nil"/>
              <w:right w:val="nil"/>
            </w:tcBorders>
            <w:shd w:val="clear" w:color="auto" w:fill="auto"/>
            <w:noWrap/>
            <w:vAlign w:val="center"/>
            <w:hideMark/>
          </w:tcPr>
          <w:p w14:paraId="2A68B8A0" w14:textId="55B00C10" w:rsidR="00846C46" w:rsidRPr="00846C46" w:rsidRDefault="00846C46" w:rsidP="0029657A">
            <w:pPr>
              <w:tabs>
                <w:tab w:val="decimal" w:pos="174"/>
              </w:tabs>
              <w:spacing w:after="0" w:line="240" w:lineRule="auto"/>
              <w:ind w:right="-71"/>
              <w:jc w:val="center"/>
              <w:rPr>
                <w:color w:val="000000"/>
                <w:sz w:val="18"/>
                <w:szCs w:val="18"/>
              </w:rPr>
            </w:pPr>
            <w:r>
              <w:rPr>
                <w:color w:val="000000"/>
                <w:sz w:val="18"/>
                <w:szCs w:val="18"/>
              </w:rPr>
              <w:t>6,6</w:t>
            </w:r>
          </w:p>
        </w:tc>
      </w:tr>
      <w:tr w:rsidR="00846C46" w:rsidRPr="00BB4B6F" w14:paraId="0E1412E5" w14:textId="77777777" w:rsidTr="007D1EDC">
        <w:trPr>
          <w:trHeight w:val="267"/>
        </w:trPr>
        <w:tc>
          <w:tcPr>
            <w:tcW w:w="3994" w:type="dxa"/>
            <w:tcBorders>
              <w:top w:val="nil"/>
              <w:left w:val="nil"/>
              <w:bottom w:val="nil"/>
              <w:right w:val="nil"/>
            </w:tcBorders>
            <w:shd w:val="clear" w:color="auto" w:fill="auto"/>
            <w:noWrap/>
            <w:vAlign w:val="center"/>
            <w:hideMark/>
          </w:tcPr>
          <w:p w14:paraId="4FDB9818" w14:textId="77777777" w:rsidR="00846C46" w:rsidRPr="00846C46" w:rsidRDefault="00846C46" w:rsidP="00846C46">
            <w:pPr>
              <w:spacing w:after="0" w:line="240" w:lineRule="auto"/>
              <w:ind w:right="-1631" w:firstLineChars="100" w:firstLine="180"/>
              <w:rPr>
                <w:color w:val="000000"/>
                <w:sz w:val="18"/>
                <w:szCs w:val="18"/>
                <w:lang w:eastAsia="sk-SK"/>
              </w:rPr>
            </w:pPr>
            <w:r w:rsidRPr="00846C46">
              <w:rPr>
                <w:color w:val="000000"/>
                <w:sz w:val="18"/>
                <w:szCs w:val="18"/>
                <w:lang w:eastAsia="sk-SK"/>
              </w:rPr>
              <w:t xml:space="preserve"> - Daň z príjmov právnických osôb (vrátane </w:t>
            </w:r>
          </w:p>
          <w:p w14:paraId="3666C2FC" w14:textId="77777777" w:rsidR="00846C46" w:rsidRPr="00846C46" w:rsidRDefault="00846C46" w:rsidP="00846C46">
            <w:pPr>
              <w:spacing w:after="0" w:line="240" w:lineRule="auto"/>
              <w:ind w:right="-1631" w:firstLineChars="100" w:firstLine="180"/>
              <w:rPr>
                <w:color w:val="000000"/>
                <w:sz w:val="18"/>
                <w:szCs w:val="18"/>
                <w:lang w:eastAsia="sk-SK"/>
              </w:rPr>
            </w:pPr>
            <w:r w:rsidRPr="00846C46">
              <w:rPr>
                <w:color w:val="000000"/>
                <w:sz w:val="18"/>
                <w:szCs w:val="18"/>
                <w:lang w:eastAsia="sk-SK"/>
              </w:rPr>
              <w:t xml:space="preserve">    odvodu z regulovaných odvetví</w:t>
            </w:r>
          </w:p>
        </w:tc>
        <w:tc>
          <w:tcPr>
            <w:tcW w:w="1807" w:type="dxa"/>
            <w:gridSpan w:val="3"/>
            <w:tcBorders>
              <w:top w:val="nil"/>
              <w:left w:val="nil"/>
              <w:bottom w:val="nil"/>
              <w:right w:val="nil"/>
            </w:tcBorders>
            <w:shd w:val="clear" w:color="auto" w:fill="auto"/>
            <w:noWrap/>
            <w:hideMark/>
          </w:tcPr>
          <w:p w14:paraId="1F531777" w14:textId="4591A6FD"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2 799 748</w:t>
            </w:r>
          </w:p>
        </w:tc>
        <w:tc>
          <w:tcPr>
            <w:tcW w:w="1160" w:type="dxa"/>
            <w:tcBorders>
              <w:top w:val="nil"/>
              <w:left w:val="nil"/>
              <w:bottom w:val="nil"/>
              <w:right w:val="nil"/>
            </w:tcBorders>
            <w:shd w:val="clear" w:color="auto" w:fill="auto"/>
            <w:noWrap/>
            <w:hideMark/>
          </w:tcPr>
          <w:p w14:paraId="51B7E282" w14:textId="05FFE9BA"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3 632 636</w:t>
            </w:r>
          </w:p>
        </w:tc>
        <w:tc>
          <w:tcPr>
            <w:tcW w:w="1162" w:type="dxa"/>
            <w:tcBorders>
              <w:top w:val="nil"/>
              <w:left w:val="nil"/>
              <w:bottom w:val="nil"/>
              <w:right w:val="nil"/>
            </w:tcBorders>
            <w:shd w:val="clear" w:color="auto" w:fill="auto"/>
            <w:noWrap/>
            <w:hideMark/>
          </w:tcPr>
          <w:p w14:paraId="16796A7F" w14:textId="7CD59BE7"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3 909 222</w:t>
            </w:r>
          </w:p>
        </w:tc>
        <w:tc>
          <w:tcPr>
            <w:tcW w:w="1224" w:type="dxa"/>
            <w:tcBorders>
              <w:top w:val="nil"/>
              <w:left w:val="nil"/>
              <w:bottom w:val="nil"/>
              <w:right w:val="nil"/>
            </w:tcBorders>
            <w:shd w:val="clear" w:color="auto" w:fill="auto"/>
            <w:noWrap/>
            <w:hideMark/>
          </w:tcPr>
          <w:p w14:paraId="4AF758BC" w14:textId="6AA0FCDE" w:rsidR="00846C46" w:rsidRPr="00846C46" w:rsidRDefault="00846C46" w:rsidP="0029657A">
            <w:pPr>
              <w:tabs>
                <w:tab w:val="decimal" w:pos="174"/>
              </w:tabs>
              <w:spacing w:after="0" w:line="240" w:lineRule="auto"/>
              <w:ind w:right="-71"/>
              <w:jc w:val="center"/>
              <w:rPr>
                <w:color w:val="000000"/>
                <w:sz w:val="18"/>
                <w:szCs w:val="18"/>
              </w:rPr>
            </w:pPr>
            <w:r w:rsidRPr="00846C46">
              <w:rPr>
                <w:color w:val="000000"/>
                <w:sz w:val="18"/>
                <w:szCs w:val="18"/>
              </w:rPr>
              <w:t>7,6</w:t>
            </w:r>
          </w:p>
        </w:tc>
      </w:tr>
      <w:tr w:rsidR="00846C46" w:rsidRPr="00BB4B6F" w14:paraId="63E63485" w14:textId="77777777" w:rsidTr="007D1EDC">
        <w:trPr>
          <w:trHeight w:val="252"/>
        </w:trPr>
        <w:tc>
          <w:tcPr>
            <w:tcW w:w="3994" w:type="dxa"/>
            <w:tcBorders>
              <w:top w:val="nil"/>
              <w:left w:val="nil"/>
              <w:bottom w:val="nil"/>
              <w:right w:val="nil"/>
            </w:tcBorders>
            <w:shd w:val="clear" w:color="auto" w:fill="auto"/>
            <w:noWrap/>
            <w:vAlign w:val="center"/>
            <w:hideMark/>
          </w:tcPr>
          <w:p w14:paraId="33259291" w14:textId="77777777" w:rsidR="00846C46" w:rsidRPr="00846C46" w:rsidRDefault="00846C46" w:rsidP="00846C46">
            <w:pPr>
              <w:spacing w:after="0" w:line="240" w:lineRule="auto"/>
              <w:ind w:right="-355" w:firstLineChars="100" w:firstLine="180"/>
              <w:rPr>
                <w:color w:val="000000"/>
                <w:sz w:val="18"/>
                <w:szCs w:val="18"/>
                <w:lang w:eastAsia="sk-SK"/>
              </w:rPr>
            </w:pPr>
            <w:r w:rsidRPr="00846C46">
              <w:rPr>
                <w:color w:val="000000"/>
                <w:sz w:val="18"/>
                <w:szCs w:val="18"/>
                <w:lang w:eastAsia="sk-SK"/>
              </w:rPr>
              <w:t xml:space="preserve"> - Daň z príjmov vyberaná zrážkou</w:t>
            </w:r>
          </w:p>
        </w:tc>
        <w:tc>
          <w:tcPr>
            <w:tcW w:w="1807" w:type="dxa"/>
            <w:gridSpan w:val="3"/>
            <w:tcBorders>
              <w:top w:val="nil"/>
              <w:left w:val="nil"/>
              <w:bottom w:val="nil"/>
              <w:right w:val="nil"/>
            </w:tcBorders>
            <w:shd w:val="clear" w:color="auto" w:fill="auto"/>
            <w:noWrap/>
            <w:hideMark/>
          </w:tcPr>
          <w:p w14:paraId="43748111" w14:textId="6B55DD1A"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235 080</w:t>
            </w:r>
          </w:p>
        </w:tc>
        <w:tc>
          <w:tcPr>
            <w:tcW w:w="1160" w:type="dxa"/>
            <w:tcBorders>
              <w:top w:val="nil"/>
              <w:left w:val="nil"/>
              <w:bottom w:val="nil"/>
              <w:right w:val="nil"/>
            </w:tcBorders>
            <w:shd w:val="clear" w:color="auto" w:fill="auto"/>
            <w:noWrap/>
            <w:hideMark/>
          </w:tcPr>
          <w:p w14:paraId="67885273" w14:textId="002DC43B"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289 754</w:t>
            </w:r>
          </w:p>
        </w:tc>
        <w:tc>
          <w:tcPr>
            <w:tcW w:w="1162" w:type="dxa"/>
            <w:tcBorders>
              <w:top w:val="nil"/>
              <w:left w:val="nil"/>
              <w:bottom w:val="nil"/>
              <w:right w:val="nil"/>
            </w:tcBorders>
            <w:shd w:val="clear" w:color="auto" w:fill="auto"/>
            <w:noWrap/>
            <w:hideMark/>
          </w:tcPr>
          <w:p w14:paraId="73CFE77B" w14:textId="4D66EAB9"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314 764</w:t>
            </w:r>
          </w:p>
        </w:tc>
        <w:tc>
          <w:tcPr>
            <w:tcW w:w="1224" w:type="dxa"/>
            <w:tcBorders>
              <w:top w:val="nil"/>
              <w:left w:val="nil"/>
              <w:bottom w:val="nil"/>
              <w:right w:val="nil"/>
            </w:tcBorders>
            <w:shd w:val="clear" w:color="auto" w:fill="auto"/>
            <w:noWrap/>
            <w:hideMark/>
          </w:tcPr>
          <w:p w14:paraId="09F0547F" w14:textId="572D6803" w:rsidR="00846C46" w:rsidRPr="00846C46" w:rsidRDefault="00846C46" w:rsidP="0029657A">
            <w:pPr>
              <w:tabs>
                <w:tab w:val="decimal" w:pos="174"/>
              </w:tabs>
              <w:spacing w:after="0" w:line="240" w:lineRule="auto"/>
              <w:ind w:right="-71"/>
              <w:jc w:val="center"/>
              <w:rPr>
                <w:color w:val="000000"/>
                <w:sz w:val="18"/>
                <w:szCs w:val="18"/>
              </w:rPr>
            </w:pPr>
            <w:r w:rsidRPr="00846C46">
              <w:rPr>
                <w:color w:val="000000"/>
                <w:sz w:val="18"/>
                <w:szCs w:val="18"/>
              </w:rPr>
              <w:t>8,6</w:t>
            </w:r>
          </w:p>
        </w:tc>
      </w:tr>
      <w:tr w:rsidR="00846C46" w:rsidRPr="00BB4B6F" w14:paraId="0190B7DF" w14:textId="77777777" w:rsidTr="007D1EDC">
        <w:trPr>
          <w:trHeight w:val="267"/>
        </w:trPr>
        <w:tc>
          <w:tcPr>
            <w:tcW w:w="3994" w:type="dxa"/>
            <w:tcBorders>
              <w:top w:val="nil"/>
              <w:left w:val="nil"/>
              <w:bottom w:val="nil"/>
              <w:right w:val="nil"/>
            </w:tcBorders>
            <w:shd w:val="clear" w:color="auto" w:fill="auto"/>
            <w:noWrap/>
            <w:vAlign w:val="center"/>
            <w:hideMark/>
          </w:tcPr>
          <w:p w14:paraId="1179CEDA" w14:textId="77777777"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 xml:space="preserve"> - Dane z majetku a iné</w:t>
            </w:r>
          </w:p>
        </w:tc>
        <w:tc>
          <w:tcPr>
            <w:tcW w:w="1807" w:type="dxa"/>
            <w:gridSpan w:val="3"/>
            <w:tcBorders>
              <w:top w:val="nil"/>
              <w:left w:val="nil"/>
              <w:bottom w:val="nil"/>
              <w:right w:val="nil"/>
            </w:tcBorders>
            <w:shd w:val="clear" w:color="auto" w:fill="auto"/>
            <w:noWrap/>
            <w:hideMark/>
          </w:tcPr>
          <w:p w14:paraId="09013054" w14:textId="77F8574F"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35 596</w:t>
            </w:r>
          </w:p>
        </w:tc>
        <w:tc>
          <w:tcPr>
            <w:tcW w:w="1160" w:type="dxa"/>
            <w:tcBorders>
              <w:top w:val="nil"/>
              <w:left w:val="nil"/>
              <w:bottom w:val="nil"/>
              <w:right w:val="nil"/>
            </w:tcBorders>
            <w:shd w:val="clear" w:color="auto" w:fill="auto"/>
            <w:noWrap/>
            <w:hideMark/>
          </w:tcPr>
          <w:p w14:paraId="0DA7C3A9" w14:textId="1727B18C"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37 390</w:t>
            </w:r>
          </w:p>
        </w:tc>
        <w:tc>
          <w:tcPr>
            <w:tcW w:w="1162" w:type="dxa"/>
            <w:tcBorders>
              <w:top w:val="nil"/>
              <w:left w:val="nil"/>
              <w:bottom w:val="nil"/>
              <w:right w:val="nil"/>
            </w:tcBorders>
            <w:shd w:val="clear" w:color="auto" w:fill="auto"/>
            <w:noWrap/>
            <w:hideMark/>
          </w:tcPr>
          <w:p w14:paraId="7809E642" w14:textId="009C4872" w:rsidR="00846C46" w:rsidRPr="00846C46" w:rsidRDefault="00846C46" w:rsidP="00846C46">
            <w:pPr>
              <w:spacing w:after="0" w:line="240" w:lineRule="auto"/>
              <w:jc w:val="right"/>
              <w:rPr>
                <w:color w:val="000000"/>
                <w:sz w:val="18"/>
                <w:szCs w:val="18"/>
                <w:highlight w:val="yellow"/>
                <w:lang w:eastAsia="sk-SK"/>
              </w:rPr>
            </w:pPr>
            <w:r w:rsidRPr="00846C46">
              <w:rPr>
                <w:sz w:val="18"/>
                <w:szCs w:val="18"/>
              </w:rPr>
              <w:t>36 978</w:t>
            </w:r>
          </w:p>
        </w:tc>
        <w:tc>
          <w:tcPr>
            <w:tcW w:w="1224" w:type="dxa"/>
            <w:tcBorders>
              <w:top w:val="nil"/>
              <w:left w:val="nil"/>
              <w:bottom w:val="nil"/>
              <w:right w:val="nil"/>
            </w:tcBorders>
            <w:shd w:val="clear" w:color="auto" w:fill="auto"/>
            <w:noWrap/>
            <w:hideMark/>
          </w:tcPr>
          <w:p w14:paraId="2ED37733" w14:textId="731A5D2E" w:rsidR="00846C46" w:rsidRPr="00846C46" w:rsidRDefault="00846C46" w:rsidP="0029657A">
            <w:pPr>
              <w:tabs>
                <w:tab w:val="decimal" w:pos="174"/>
              </w:tabs>
              <w:spacing w:after="0" w:line="240" w:lineRule="auto"/>
              <w:ind w:right="-71"/>
              <w:jc w:val="center"/>
              <w:rPr>
                <w:color w:val="000000"/>
                <w:sz w:val="18"/>
                <w:szCs w:val="18"/>
              </w:rPr>
            </w:pPr>
            <w:r w:rsidRPr="00846C46">
              <w:rPr>
                <w:color w:val="000000"/>
                <w:sz w:val="18"/>
                <w:szCs w:val="18"/>
              </w:rPr>
              <w:t>-1,1</w:t>
            </w:r>
          </w:p>
        </w:tc>
      </w:tr>
      <w:tr w:rsidR="003C23FA" w:rsidRPr="00BB4B6F" w14:paraId="732DCB67" w14:textId="77777777" w:rsidTr="00136DED">
        <w:trPr>
          <w:trHeight w:val="267"/>
        </w:trPr>
        <w:tc>
          <w:tcPr>
            <w:tcW w:w="3994" w:type="dxa"/>
            <w:tcBorders>
              <w:top w:val="nil"/>
              <w:left w:val="nil"/>
              <w:bottom w:val="nil"/>
              <w:right w:val="nil"/>
            </w:tcBorders>
            <w:shd w:val="clear" w:color="auto" w:fill="auto"/>
            <w:noWrap/>
            <w:vAlign w:val="center"/>
            <w:hideMark/>
          </w:tcPr>
          <w:p w14:paraId="27EA9F69" w14:textId="77777777" w:rsidR="003C23FA" w:rsidRPr="00846C46" w:rsidRDefault="003C23FA" w:rsidP="003C23FA">
            <w:pPr>
              <w:spacing w:after="0" w:line="240" w:lineRule="auto"/>
              <w:rPr>
                <w:b/>
                <w:bCs/>
                <w:color w:val="000000"/>
                <w:sz w:val="18"/>
                <w:szCs w:val="18"/>
                <w:lang w:eastAsia="sk-SK"/>
              </w:rPr>
            </w:pPr>
            <w:r w:rsidRPr="00846C46">
              <w:rPr>
                <w:b/>
                <w:bCs/>
                <w:color w:val="000000"/>
                <w:sz w:val="18"/>
                <w:szCs w:val="18"/>
                <w:lang w:eastAsia="sk-SK"/>
              </w:rPr>
              <w:t>Dane z kapitálu</w:t>
            </w:r>
          </w:p>
        </w:tc>
        <w:tc>
          <w:tcPr>
            <w:tcW w:w="1807" w:type="dxa"/>
            <w:gridSpan w:val="3"/>
            <w:tcBorders>
              <w:top w:val="nil"/>
              <w:left w:val="nil"/>
              <w:bottom w:val="nil"/>
              <w:right w:val="nil"/>
            </w:tcBorders>
            <w:shd w:val="clear" w:color="auto" w:fill="auto"/>
            <w:noWrap/>
            <w:vAlign w:val="center"/>
            <w:hideMark/>
          </w:tcPr>
          <w:p w14:paraId="6EF237DD" w14:textId="77777777" w:rsidR="003C23FA" w:rsidRPr="00846C46" w:rsidRDefault="003C23FA" w:rsidP="003C23FA">
            <w:pPr>
              <w:spacing w:after="0" w:line="240" w:lineRule="auto"/>
              <w:jc w:val="right"/>
              <w:rPr>
                <w:b/>
                <w:bCs/>
                <w:color w:val="000000"/>
                <w:sz w:val="18"/>
                <w:szCs w:val="18"/>
                <w:lang w:eastAsia="sk-SK"/>
              </w:rPr>
            </w:pPr>
            <w:r w:rsidRPr="00846C46">
              <w:rPr>
                <w:b/>
                <w:bCs/>
                <w:color w:val="000000"/>
                <w:sz w:val="18"/>
                <w:szCs w:val="18"/>
                <w:lang w:eastAsia="sk-SK"/>
              </w:rPr>
              <w:t>0</w:t>
            </w:r>
          </w:p>
        </w:tc>
        <w:tc>
          <w:tcPr>
            <w:tcW w:w="1160" w:type="dxa"/>
            <w:tcBorders>
              <w:top w:val="nil"/>
              <w:left w:val="nil"/>
              <w:bottom w:val="nil"/>
              <w:right w:val="nil"/>
            </w:tcBorders>
            <w:shd w:val="clear" w:color="auto" w:fill="auto"/>
            <w:noWrap/>
            <w:vAlign w:val="center"/>
            <w:hideMark/>
          </w:tcPr>
          <w:p w14:paraId="5D5611E1" w14:textId="77777777" w:rsidR="003C23FA" w:rsidRPr="00846C46" w:rsidRDefault="003C23FA" w:rsidP="003C23FA">
            <w:pPr>
              <w:spacing w:after="0" w:line="240" w:lineRule="auto"/>
              <w:jc w:val="right"/>
              <w:rPr>
                <w:b/>
                <w:bCs/>
                <w:color w:val="000000"/>
                <w:sz w:val="18"/>
                <w:szCs w:val="18"/>
                <w:lang w:eastAsia="sk-SK"/>
              </w:rPr>
            </w:pPr>
            <w:r w:rsidRPr="00846C46">
              <w:rPr>
                <w:b/>
                <w:bCs/>
                <w:color w:val="000000"/>
                <w:sz w:val="18"/>
                <w:szCs w:val="18"/>
                <w:lang w:eastAsia="sk-SK"/>
              </w:rPr>
              <w:t>0</w:t>
            </w:r>
          </w:p>
        </w:tc>
        <w:tc>
          <w:tcPr>
            <w:tcW w:w="1162" w:type="dxa"/>
            <w:tcBorders>
              <w:top w:val="nil"/>
              <w:left w:val="nil"/>
              <w:bottom w:val="nil"/>
              <w:right w:val="nil"/>
            </w:tcBorders>
            <w:shd w:val="clear" w:color="auto" w:fill="auto"/>
            <w:noWrap/>
            <w:vAlign w:val="center"/>
            <w:hideMark/>
          </w:tcPr>
          <w:p w14:paraId="49F8DF3F" w14:textId="77777777" w:rsidR="003C23FA" w:rsidRPr="00846C46" w:rsidRDefault="003C23FA" w:rsidP="003C23FA">
            <w:pPr>
              <w:spacing w:after="0" w:line="240" w:lineRule="auto"/>
              <w:jc w:val="right"/>
              <w:rPr>
                <w:b/>
                <w:bCs/>
                <w:color w:val="000000"/>
                <w:sz w:val="18"/>
                <w:szCs w:val="18"/>
                <w:lang w:eastAsia="sk-SK"/>
              </w:rPr>
            </w:pPr>
            <w:r w:rsidRPr="00846C46">
              <w:rPr>
                <w:b/>
                <w:bCs/>
                <w:color w:val="000000"/>
                <w:sz w:val="18"/>
                <w:szCs w:val="18"/>
                <w:lang w:eastAsia="sk-SK"/>
              </w:rPr>
              <w:t>0</w:t>
            </w:r>
          </w:p>
        </w:tc>
        <w:tc>
          <w:tcPr>
            <w:tcW w:w="1224" w:type="dxa"/>
            <w:tcBorders>
              <w:top w:val="nil"/>
              <w:left w:val="nil"/>
              <w:bottom w:val="nil"/>
              <w:right w:val="nil"/>
            </w:tcBorders>
            <w:shd w:val="clear" w:color="auto" w:fill="auto"/>
            <w:noWrap/>
            <w:vAlign w:val="center"/>
            <w:hideMark/>
          </w:tcPr>
          <w:p w14:paraId="6B994D0D" w14:textId="77777777" w:rsidR="003C23FA" w:rsidRPr="00846C46" w:rsidRDefault="003C23FA" w:rsidP="00846C46">
            <w:pPr>
              <w:tabs>
                <w:tab w:val="left" w:pos="227"/>
                <w:tab w:val="left" w:pos="488"/>
              </w:tabs>
              <w:spacing w:after="0" w:line="240" w:lineRule="auto"/>
              <w:ind w:right="-71"/>
              <w:jc w:val="center"/>
              <w:rPr>
                <w:b/>
                <w:bCs/>
                <w:color w:val="000000"/>
                <w:sz w:val="18"/>
                <w:szCs w:val="18"/>
                <w:lang w:eastAsia="sk-SK"/>
              </w:rPr>
            </w:pPr>
          </w:p>
        </w:tc>
      </w:tr>
      <w:tr w:rsidR="00846C46" w:rsidRPr="00BB4B6F" w14:paraId="4EF9F9A1" w14:textId="77777777" w:rsidTr="00136DED">
        <w:trPr>
          <w:trHeight w:val="267"/>
        </w:trPr>
        <w:tc>
          <w:tcPr>
            <w:tcW w:w="3994" w:type="dxa"/>
            <w:tcBorders>
              <w:top w:val="nil"/>
              <w:left w:val="nil"/>
              <w:bottom w:val="nil"/>
              <w:right w:val="nil"/>
            </w:tcBorders>
            <w:shd w:val="clear" w:color="auto" w:fill="auto"/>
            <w:noWrap/>
            <w:vAlign w:val="center"/>
            <w:hideMark/>
          </w:tcPr>
          <w:p w14:paraId="3EE12CF9" w14:textId="77777777" w:rsidR="00846C46" w:rsidRPr="00846C46" w:rsidRDefault="00846C46" w:rsidP="00846C46">
            <w:pPr>
              <w:spacing w:after="0" w:line="240" w:lineRule="auto"/>
              <w:rPr>
                <w:b/>
                <w:bCs/>
                <w:color w:val="000000"/>
                <w:sz w:val="18"/>
                <w:szCs w:val="18"/>
                <w:lang w:eastAsia="sk-SK"/>
              </w:rPr>
            </w:pPr>
            <w:r w:rsidRPr="00846C46">
              <w:rPr>
                <w:b/>
                <w:bCs/>
                <w:color w:val="000000"/>
                <w:sz w:val="18"/>
                <w:szCs w:val="18"/>
                <w:lang w:eastAsia="sk-SK"/>
              </w:rPr>
              <w:t>Príspevky na sociálne zabezpečenie</w:t>
            </w:r>
          </w:p>
        </w:tc>
        <w:tc>
          <w:tcPr>
            <w:tcW w:w="1807" w:type="dxa"/>
            <w:gridSpan w:val="3"/>
            <w:tcBorders>
              <w:top w:val="nil"/>
              <w:left w:val="nil"/>
              <w:bottom w:val="nil"/>
              <w:right w:val="nil"/>
            </w:tcBorders>
            <w:shd w:val="clear" w:color="auto" w:fill="auto"/>
            <w:noWrap/>
            <w:vAlign w:val="center"/>
            <w:hideMark/>
          </w:tcPr>
          <w:p w14:paraId="5F871E5A" w14:textId="755C7574"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14 499 186</w:t>
            </w:r>
          </w:p>
        </w:tc>
        <w:tc>
          <w:tcPr>
            <w:tcW w:w="1160" w:type="dxa"/>
            <w:tcBorders>
              <w:top w:val="nil"/>
              <w:left w:val="nil"/>
              <w:bottom w:val="nil"/>
              <w:right w:val="nil"/>
            </w:tcBorders>
            <w:shd w:val="clear" w:color="auto" w:fill="auto"/>
            <w:noWrap/>
            <w:vAlign w:val="center"/>
            <w:hideMark/>
          </w:tcPr>
          <w:p w14:paraId="5DA450FD" w14:textId="271C2196"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15 635 062</w:t>
            </w:r>
          </w:p>
        </w:tc>
        <w:tc>
          <w:tcPr>
            <w:tcW w:w="1162" w:type="dxa"/>
            <w:tcBorders>
              <w:top w:val="nil"/>
              <w:left w:val="nil"/>
              <w:bottom w:val="nil"/>
              <w:right w:val="nil"/>
            </w:tcBorders>
            <w:shd w:val="clear" w:color="auto" w:fill="auto"/>
            <w:noWrap/>
            <w:vAlign w:val="center"/>
            <w:hideMark/>
          </w:tcPr>
          <w:p w14:paraId="03C3E224" w14:textId="48C6B601" w:rsidR="00846C46" w:rsidRPr="00BB4B6F" w:rsidRDefault="00846C46" w:rsidP="00846C46">
            <w:pPr>
              <w:spacing w:after="0" w:line="240" w:lineRule="auto"/>
              <w:jc w:val="right"/>
              <w:rPr>
                <w:b/>
                <w:bCs/>
                <w:color w:val="000000"/>
                <w:sz w:val="18"/>
                <w:szCs w:val="18"/>
                <w:highlight w:val="yellow"/>
                <w:lang w:eastAsia="sk-SK"/>
              </w:rPr>
            </w:pPr>
            <w:r>
              <w:rPr>
                <w:b/>
                <w:bCs/>
                <w:color w:val="000000"/>
                <w:sz w:val="18"/>
                <w:szCs w:val="18"/>
              </w:rPr>
              <w:t>16 338 545</w:t>
            </w:r>
          </w:p>
        </w:tc>
        <w:tc>
          <w:tcPr>
            <w:tcW w:w="1224" w:type="dxa"/>
            <w:tcBorders>
              <w:top w:val="nil"/>
              <w:left w:val="nil"/>
              <w:bottom w:val="nil"/>
              <w:right w:val="nil"/>
            </w:tcBorders>
            <w:shd w:val="clear" w:color="auto" w:fill="auto"/>
            <w:noWrap/>
            <w:vAlign w:val="center"/>
            <w:hideMark/>
          </w:tcPr>
          <w:p w14:paraId="0CC72598" w14:textId="02555E5B" w:rsidR="00846C46" w:rsidRPr="00BB4B6F" w:rsidRDefault="00846C46" w:rsidP="0029657A">
            <w:pPr>
              <w:tabs>
                <w:tab w:val="decimal" w:pos="174"/>
              </w:tabs>
              <w:spacing w:after="0" w:line="240" w:lineRule="auto"/>
              <w:ind w:right="-71"/>
              <w:jc w:val="center"/>
              <w:rPr>
                <w:b/>
                <w:bCs/>
                <w:color w:val="000000"/>
                <w:sz w:val="18"/>
                <w:szCs w:val="18"/>
                <w:highlight w:val="yellow"/>
                <w:lang w:eastAsia="sk-SK"/>
              </w:rPr>
            </w:pPr>
            <w:r>
              <w:rPr>
                <w:b/>
                <w:bCs/>
                <w:color w:val="000000"/>
                <w:sz w:val="18"/>
                <w:szCs w:val="18"/>
              </w:rPr>
              <w:t>4,5</w:t>
            </w:r>
          </w:p>
        </w:tc>
      </w:tr>
      <w:tr w:rsidR="00846C46" w:rsidRPr="00BB4B6F" w14:paraId="2A49495C" w14:textId="77777777" w:rsidTr="00136DED">
        <w:trPr>
          <w:trHeight w:val="267"/>
        </w:trPr>
        <w:tc>
          <w:tcPr>
            <w:tcW w:w="3994" w:type="dxa"/>
            <w:tcBorders>
              <w:top w:val="nil"/>
              <w:left w:val="nil"/>
              <w:bottom w:val="nil"/>
              <w:right w:val="nil"/>
            </w:tcBorders>
            <w:shd w:val="clear" w:color="auto" w:fill="auto"/>
            <w:noWrap/>
            <w:vAlign w:val="center"/>
            <w:hideMark/>
          </w:tcPr>
          <w:p w14:paraId="66EA8547" w14:textId="77777777" w:rsidR="00846C46" w:rsidRPr="00846C46" w:rsidRDefault="00846C46" w:rsidP="00846C46">
            <w:pPr>
              <w:spacing w:after="0" w:line="240" w:lineRule="auto"/>
              <w:ind w:firstLineChars="100" w:firstLine="180"/>
              <w:rPr>
                <w:color w:val="000000"/>
                <w:sz w:val="18"/>
                <w:szCs w:val="18"/>
                <w:lang w:eastAsia="sk-SK"/>
              </w:rPr>
            </w:pPr>
            <w:r w:rsidRPr="00846C46">
              <w:rPr>
                <w:color w:val="000000"/>
                <w:sz w:val="18"/>
                <w:szCs w:val="18"/>
                <w:lang w:eastAsia="sk-SK"/>
              </w:rPr>
              <w:t xml:space="preserve"> - Skutočné príspevky na sociálne zabezpečenie</w:t>
            </w:r>
          </w:p>
        </w:tc>
        <w:tc>
          <w:tcPr>
            <w:tcW w:w="1807" w:type="dxa"/>
            <w:gridSpan w:val="3"/>
            <w:tcBorders>
              <w:top w:val="nil"/>
              <w:left w:val="nil"/>
              <w:bottom w:val="nil"/>
              <w:right w:val="nil"/>
            </w:tcBorders>
            <w:shd w:val="clear" w:color="auto" w:fill="auto"/>
            <w:noWrap/>
            <w:vAlign w:val="center"/>
            <w:hideMark/>
          </w:tcPr>
          <w:p w14:paraId="4E07F54B" w14:textId="595F2B64"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14 241 438</w:t>
            </w:r>
          </w:p>
        </w:tc>
        <w:tc>
          <w:tcPr>
            <w:tcW w:w="1160" w:type="dxa"/>
            <w:tcBorders>
              <w:top w:val="nil"/>
              <w:left w:val="nil"/>
              <w:bottom w:val="nil"/>
              <w:right w:val="nil"/>
            </w:tcBorders>
            <w:shd w:val="clear" w:color="auto" w:fill="auto"/>
            <w:noWrap/>
            <w:vAlign w:val="center"/>
            <w:hideMark/>
          </w:tcPr>
          <w:p w14:paraId="225A2BCB" w14:textId="1C76C140"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15 290 792</w:t>
            </w:r>
          </w:p>
        </w:tc>
        <w:tc>
          <w:tcPr>
            <w:tcW w:w="1162" w:type="dxa"/>
            <w:tcBorders>
              <w:top w:val="nil"/>
              <w:left w:val="nil"/>
              <w:bottom w:val="nil"/>
              <w:right w:val="nil"/>
            </w:tcBorders>
            <w:shd w:val="clear" w:color="auto" w:fill="auto"/>
            <w:noWrap/>
            <w:vAlign w:val="center"/>
            <w:hideMark/>
          </w:tcPr>
          <w:p w14:paraId="784ED3A6" w14:textId="45430464"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15 995 159</w:t>
            </w:r>
          </w:p>
        </w:tc>
        <w:tc>
          <w:tcPr>
            <w:tcW w:w="1224" w:type="dxa"/>
            <w:tcBorders>
              <w:top w:val="nil"/>
              <w:left w:val="nil"/>
              <w:bottom w:val="nil"/>
              <w:right w:val="nil"/>
            </w:tcBorders>
            <w:shd w:val="clear" w:color="auto" w:fill="auto"/>
            <w:noWrap/>
            <w:vAlign w:val="center"/>
            <w:hideMark/>
          </w:tcPr>
          <w:p w14:paraId="031A7D65" w14:textId="6C1ED575" w:rsidR="00846C46" w:rsidRPr="00BB4B6F" w:rsidRDefault="00846C46" w:rsidP="0029657A">
            <w:pPr>
              <w:tabs>
                <w:tab w:val="decimal" w:pos="176"/>
              </w:tabs>
              <w:spacing w:after="0" w:line="240" w:lineRule="auto"/>
              <w:ind w:right="-71"/>
              <w:jc w:val="center"/>
              <w:rPr>
                <w:color w:val="000000"/>
                <w:sz w:val="18"/>
                <w:szCs w:val="18"/>
                <w:highlight w:val="yellow"/>
                <w:lang w:eastAsia="sk-SK"/>
              </w:rPr>
            </w:pPr>
            <w:r>
              <w:rPr>
                <w:color w:val="000000"/>
                <w:sz w:val="18"/>
                <w:szCs w:val="18"/>
              </w:rPr>
              <w:t>4,6</w:t>
            </w:r>
          </w:p>
        </w:tc>
      </w:tr>
      <w:tr w:rsidR="00846C46" w:rsidRPr="00BB4B6F" w14:paraId="3B8C7EBC" w14:textId="77777777" w:rsidTr="00136DED">
        <w:trPr>
          <w:trHeight w:val="267"/>
        </w:trPr>
        <w:tc>
          <w:tcPr>
            <w:tcW w:w="3994" w:type="dxa"/>
            <w:tcBorders>
              <w:top w:val="nil"/>
              <w:left w:val="nil"/>
              <w:bottom w:val="nil"/>
              <w:right w:val="nil"/>
            </w:tcBorders>
            <w:shd w:val="clear" w:color="auto" w:fill="auto"/>
            <w:noWrap/>
            <w:vAlign w:val="center"/>
            <w:hideMark/>
          </w:tcPr>
          <w:p w14:paraId="589014B5" w14:textId="77777777" w:rsidR="00846C46" w:rsidRPr="00846C46" w:rsidRDefault="00846C46" w:rsidP="00846C46">
            <w:pPr>
              <w:spacing w:after="0" w:line="240" w:lineRule="auto"/>
              <w:ind w:firstLineChars="200" w:firstLine="360"/>
              <w:rPr>
                <w:color w:val="000000"/>
                <w:sz w:val="18"/>
                <w:szCs w:val="18"/>
                <w:lang w:eastAsia="sk-SK"/>
              </w:rPr>
            </w:pPr>
            <w:r w:rsidRPr="00846C46">
              <w:rPr>
                <w:color w:val="000000"/>
                <w:sz w:val="18"/>
                <w:szCs w:val="18"/>
                <w:lang w:eastAsia="sk-SK"/>
              </w:rPr>
              <w:t xml:space="preserve"> - z toho EAO + dlžné</w:t>
            </w:r>
          </w:p>
        </w:tc>
        <w:tc>
          <w:tcPr>
            <w:tcW w:w="1807" w:type="dxa"/>
            <w:gridSpan w:val="3"/>
            <w:tcBorders>
              <w:top w:val="nil"/>
              <w:left w:val="nil"/>
              <w:bottom w:val="nil"/>
              <w:right w:val="nil"/>
            </w:tcBorders>
            <w:shd w:val="clear" w:color="auto" w:fill="auto"/>
            <w:noWrap/>
            <w:vAlign w:val="center"/>
            <w:hideMark/>
          </w:tcPr>
          <w:p w14:paraId="2A773CC5" w14:textId="0C8A1D19" w:rsidR="00846C46" w:rsidRPr="00BB4B6F" w:rsidRDefault="00846C46" w:rsidP="00846C46">
            <w:pPr>
              <w:spacing w:after="0" w:line="240" w:lineRule="auto"/>
              <w:jc w:val="right"/>
              <w:rPr>
                <w:sz w:val="18"/>
                <w:szCs w:val="18"/>
                <w:highlight w:val="yellow"/>
                <w:lang w:eastAsia="sk-SK"/>
              </w:rPr>
            </w:pPr>
            <w:r>
              <w:rPr>
                <w:color w:val="000000"/>
                <w:sz w:val="18"/>
                <w:szCs w:val="18"/>
              </w:rPr>
              <w:t>12 351 654</w:t>
            </w:r>
          </w:p>
        </w:tc>
        <w:tc>
          <w:tcPr>
            <w:tcW w:w="1160" w:type="dxa"/>
            <w:tcBorders>
              <w:top w:val="nil"/>
              <w:left w:val="nil"/>
              <w:bottom w:val="nil"/>
              <w:right w:val="nil"/>
            </w:tcBorders>
            <w:shd w:val="clear" w:color="auto" w:fill="auto"/>
            <w:noWrap/>
            <w:vAlign w:val="center"/>
            <w:hideMark/>
          </w:tcPr>
          <w:p w14:paraId="3B632350" w14:textId="54826761" w:rsidR="00846C46" w:rsidRPr="00BB4B6F" w:rsidRDefault="00846C46" w:rsidP="00846C46">
            <w:pPr>
              <w:spacing w:after="0" w:line="240" w:lineRule="auto"/>
              <w:jc w:val="right"/>
              <w:rPr>
                <w:sz w:val="18"/>
                <w:szCs w:val="18"/>
                <w:highlight w:val="yellow"/>
                <w:lang w:eastAsia="sk-SK"/>
              </w:rPr>
            </w:pPr>
            <w:r>
              <w:rPr>
                <w:color w:val="000000"/>
                <w:sz w:val="18"/>
                <w:szCs w:val="18"/>
              </w:rPr>
              <w:t>13 079 645</w:t>
            </w:r>
          </w:p>
        </w:tc>
        <w:tc>
          <w:tcPr>
            <w:tcW w:w="1162" w:type="dxa"/>
            <w:tcBorders>
              <w:top w:val="nil"/>
              <w:left w:val="nil"/>
              <w:bottom w:val="nil"/>
              <w:right w:val="nil"/>
            </w:tcBorders>
            <w:shd w:val="clear" w:color="auto" w:fill="auto"/>
            <w:noWrap/>
            <w:vAlign w:val="center"/>
            <w:hideMark/>
          </w:tcPr>
          <w:p w14:paraId="654E946B" w14:textId="7DFA68BF" w:rsidR="00846C46" w:rsidRPr="00BB4B6F" w:rsidRDefault="00846C46" w:rsidP="00846C46">
            <w:pPr>
              <w:spacing w:after="0" w:line="240" w:lineRule="auto"/>
              <w:jc w:val="right"/>
              <w:rPr>
                <w:sz w:val="18"/>
                <w:szCs w:val="18"/>
                <w:highlight w:val="yellow"/>
                <w:lang w:eastAsia="sk-SK"/>
              </w:rPr>
            </w:pPr>
            <w:r>
              <w:rPr>
                <w:color w:val="000000"/>
                <w:sz w:val="18"/>
                <w:szCs w:val="18"/>
              </w:rPr>
              <w:t>14 174 040</w:t>
            </w:r>
          </w:p>
        </w:tc>
        <w:tc>
          <w:tcPr>
            <w:tcW w:w="1224" w:type="dxa"/>
            <w:tcBorders>
              <w:top w:val="nil"/>
              <w:left w:val="nil"/>
              <w:bottom w:val="nil"/>
              <w:right w:val="nil"/>
            </w:tcBorders>
            <w:shd w:val="clear" w:color="auto" w:fill="auto"/>
            <w:noWrap/>
            <w:vAlign w:val="center"/>
            <w:hideMark/>
          </w:tcPr>
          <w:p w14:paraId="12A0BD57" w14:textId="04547F3B" w:rsidR="00846C46" w:rsidRPr="00BB4B6F" w:rsidRDefault="00846C46" w:rsidP="0029657A">
            <w:pPr>
              <w:tabs>
                <w:tab w:val="decimal" w:pos="176"/>
              </w:tabs>
              <w:spacing w:after="0" w:line="240" w:lineRule="auto"/>
              <w:ind w:right="-71"/>
              <w:jc w:val="center"/>
              <w:rPr>
                <w:sz w:val="18"/>
                <w:szCs w:val="18"/>
                <w:highlight w:val="yellow"/>
                <w:lang w:eastAsia="sk-SK"/>
              </w:rPr>
            </w:pPr>
            <w:r>
              <w:rPr>
                <w:color w:val="000000"/>
                <w:sz w:val="18"/>
                <w:szCs w:val="18"/>
              </w:rPr>
              <w:t>8,4</w:t>
            </w:r>
          </w:p>
        </w:tc>
      </w:tr>
      <w:tr w:rsidR="00846C46" w:rsidRPr="00BB4B6F" w14:paraId="020E031E" w14:textId="77777777" w:rsidTr="00136DED">
        <w:trPr>
          <w:trHeight w:val="267"/>
        </w:trPr>
        <w:tc>
          <w:tcPr>
            <w:tcW w:w="3994" w:type="dxa"/>
            <w:tcBorders>
              <w:top w:val="nil"/>
              <w:left w:val="nil"/>
              <w:bottom w:val="nil"/>
              <w:right w:val="nil"/>
            </w:tcBorders>
            <w:shd w:val="clear" w:color="auto" w:fill="auto"/>
            <w:noWrap/>
            <w:vAlign w:val="center"/>
            <w:hideMark/>
          </w:tcPr>
          <w:p w14:paraId="17E6BAC1" w14:textId="77777777" w:rsidR="00846C46" w:rsidRPr="00846C46" w:rsidRDefault="00846C46" w:rsidP="00846C46">
            <w:pPr>
              <w:spacing w:after="0" w:line="240" w:lineRule="auto"/>
              <w:ind w:firstLineChars="200" w:firstLine="360"/>
              <w:rPr>
                <w:color w:val="000000"/>
                <w:sz w:val="18"/>
                <w:szCs w:val="18"/>
                <w:lang w:eastAsia="sk-SK"/>
              </w:rPr>
            </w:pPr>
            <w:r w:rsidRPr="00846C46">
              <w:rPr>
                <w:color w:val="000000"/>
                <w:sz w:val="18"/>
                <w:szCs w:val="18"/>
                <w:lang w:eastAsia="sk-SK"/>
              </w:rPr>
              <w:lastRenderedPageBreak/>
              <w:t xml:space="preserve"> - z toho ostatné*</w:t>
            </w:r>
          </w:p>
        </w:tc>
        <w:tc>
          <w:tcPr>
            <w:tcW w:w="1807" w:type="dxa"/>
            <w:gridSpan w:val="3"/>
            <w:tcBorders>
              <w:top w:val="nil"/>
              <w:left w:val="nil"/>
              <w:bottom w:val="nil"/>
              <w:right w:val="nil"/>
            </w:tcBorders>
            <w:shd w:val="clear" w:color="auto" w:fill="auto"/>
            <w:noWrap/>
            <w:vAlign w:val="center"/>
            <w:hideMark/>
          </w:tcPr>
          <w:p w14:paraId="09974A65" w14:textId="2E2C2EB9" w:rsidR="00846C46" w:rsidRPr="00BB4B6F" w:rsidRDefault="00846C46" w:rsidP="00846C46">
            <w:pPr>
              <w:spacing w:after="0" w:line="240" w:lineRule="auto"/>
              <w:jc w:val="right"/>
              <w:rPr>
                <w:sz w:val="18"/>
                <w:szCs w:val="18"/>
                <w:highlight w:val="yellow"/>
                <w:lang w:eastAsia="sk-SK"/>
              </w:rPr>
            </w:pPr>
            <w:r>
              <w:rPr>
                <w:color w:val="000000"/>
                <w:sz w:val="18"/>
                <w:szCs w:val="18"/>
              </w:rPr>
              <w:t>1 889 784</w:t>
            </w:r>
          </w:p>
        </w:tc>
        <w:tc>
          <w:tcPr>
            <w:tcW w:w="1160" w:type="dxa"/>
            <w:tcBorders>
              <w:top w:val="nil"/>
              <w:left w:val="nil"/>
              <w:bottom w:val="nil"/>
              <w:right w:val="nil"/>
            </w:tcBorders>
            <w:shd w:val="clear" w:color="auto" w:fill="auto"/>
            <w:noWrap/>
            <w:vAlign w:val="center"/>
            <w:hideMark/>
          </w:tcPr>
          <w:p w14:paraId="0C0DB4B9" w14:textId="2C72A37E" w:rsidR="00846C46" w:rsidRPr="00BB4B6F" w:rsidRDefault="00846C46" w:rsidP="00846C46">
            <w:pPr>
              <w:spacing w:after="0" w:line="240" w:lineRule="auto"/>
              <w:jc w:val="right"/>
              <w:rPr>
                <w:sz w:val="18"/>
                <w:szCs w:val="18"/>
                <w:highlight w:val="yellow"/>
                <w:lang w:eastAsia="sk-SK"/>
              </w:rPr>
            </w:pPr>
            <w:r>
              <w:rPr>
                <w:color w:val="000000"/>
                <w:sz w:val="18"/>
                <w:szCs w:val="18"/>
              </w:rPr>
              <w:t>2 211 147</w:t>
            </w:r>
          </w:p>
        </w:tc>
        <w:tc>
          <w:tcPr>
            <w:tcW w:w="1162" w:type="dxa"/>
            <w:tcBorders>
              <w:top w:val="nil"/>
              <w:left w:val="nil"/>
              <w:bottom w:val="nil"/>
              <w:right w:val="nil"/>
            </w:tcBorders>
            <w:shd w:val="clear" w:color="auto" w:fill="auto"/>
            <w:noWrap/>
            <w:vAlign w:val="center"/>
            <w:hideMark/>
          </w:tcPr>
          <w:p w14:paraId="04DAE13F" w14:textId="508145CF" w:rsidR="00846C46" w:rsidRPr="00BB4B6F" w:rsidRDefault="00846C46" w:rsidP="00846C46">
            <w:pPr>
              <w:spacing w:after="0" w:line="240" w:lineRule="auto"/>
              <w:jc w:val="right"/>
              <w:rPr>
                <w:sz w:val="18"/>
                <w:szCs w:val="18"/>
                <w:highlight w:val="yellow"/>
                <w:lang w:eastAsia="sk-SK"/>
              </w:rPr>
            </w:pPr>
            <w:r>
              <w:rPr>
                <w:color w:val="000000"/>
                <w:sz w:val="18"/>
                <w:szCs w:val="18"/>
              </w:rPr>
              <w:t>1 821 119</w:t>
            </w:r>
          </w:p>
        </w:tc>
        <w:tc>
          <w:tcPr>
            <w:tcW w:w="1224" w:type="dxa"/>
            <w:tcBorders>
              <w:top w:val="nil"/>
              <w:left w:val="nil"/>
              <w:bottom w:val="nil"/>
              <w:right w:val="nil"/>
            </w:tcBorders>
            <w:shd w:val="clear" w:color="auto" w:fill="auto"/>
            <w:noWrap/>
            <w:vAlign w:val="center"/>
            <w:hideMark/>
          </w:tcPr>
          <w:p w14:paraId="5BFFDEAA" w14:textId="20CA1BCD" w:rsidR="00846C46" w:rsidRPr="00846C46" w:rsidRDefault="00846C46" w:rsidP="0029657A">
            <w:pPr>
              <w:tabs>
                <w:tab w:val="decimal" w:pos="174"/>
              </w:tabs>
              <w:spacing w:after="0" w:line="240" w:lineRule="auto"/>
              <w:ind w:left="-110" w:right="-71"/>
              <w:jc w:val="center"/>
              <w:rPr>
                <w:sz w:val="18"/>
                <w:szCs w:val="18"/>
              </w:rPr>
            </w:pPr>
            <w:r w:rsidRPr="00846C46">
              <w:rPr>
                <w:sz w:val="18"/>
                <w:szCs w:val="18"/>
              </w:rPr>
              <w:t>-17,6</w:t>
            </w:r>
          </w:p>
        </w:tc>
      </w:tr>
      <w:tr w:rsidR="00846C46" w:rsidRPr="00BB4B6F" w14:paraId="59958A41" w14:textId="77777777" w:rsidTr="00136DED">
        <w:trPr>
          <w:trHeight w:val="267"/>
        </w:trPr>
        <w:tc>
          <w:tcPr>
            <w:tcW w:w="3994" w:type="dxa"/>
            <w:tcBorders>
              <w:top w:val="nil"/>
              <w:left w:val="nil"/>
              <w:bottom w:val="single" w:sz="4" w:space="0" w:color="auto"/>
              <w:right w:val="nil"/>
            </w:tcBorders>
            <w:shd w:val="clear" w:color="auto" w:fill="auto"/>
            <w:noWrap/>
            <w:vAlign w:val="center"/>
            <w:hideMark/>
          </w:tcPr>
          <w:p w14:paraId="6E9A43D4" w14:textId="77777777" w:rsidR="00846C46" w:rsidRPr="00846C46" w:rsidRDefault="00846C46" w:rsidP="00846C46">
            <w:pPr>
              <w:spacing w:after="0" w:line="240" w:lineRule="auto"/>
              <w:rPr>
                <w:color w:val="000000"/>
                <w:sz w:val="18"/>
                <w:szCs w:val="18"/>
                <w:lang w:eastAsia="sk-SK"/>
              </w:rPr>
            </w:pPr>
            <w:r w:rsidRPr="00846C46">
              <w:rPr>
                <w:color w:val="000000"/>
                <w:sz w:val="18"/>
                <w:szCs w:val="18"/>
                <w:lang w:eastAsia="sk-SK"/>
              </w:rPr>
              <w:t xml:space="preserve">     - Imputované príspevky na sociálne zabezpečenie</w:t>
            </w:r>
          </w:p>
        </w:tc>
        <w:tc>
          <w:tcPr>
            <w:tcW w:w="1807" w:type="dxa"/>
            <w:gridSpan w:val="3"/>
            <w:tcBorders>
              <w:top w:val="nil"/>
              <w:left w:val="nil"/>
              <w:bottom w:val="single" w:sz="4" w:space="0" w:color="auto"/>
              <w:right w:val="nil"/>
            </w:tcBorders>
            <w:shd w:val="clear" w:color="auto" w:fill="auto"/>
            <w:noWrap/>
            <w:vAlign w:val="center"/>
            <w:hideMark/>
          </w:tcPr>
          <w:p w14:paraId="2F29031F" w14:textId="0A45969A"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257 748</w:t>
            </w:r>
          </w:p>
        </w:tc>
        <w:tc>
          <w:tcPr>
            <w:tcW w:w="1160" w:type="dxa"/>
            <w:tcBorders>
              <w:top w:val="nil"/>
              <w:left w:val="nil"/>
              <w:bottom w:val="single" w:sz="4" w:space="0" w:color="auto"/>
              <w:right w:val="nil"/>
            </w:tcBorders>
            <w:shd w:val="clear" w:color="auto" w:fill="auto"/>
            <w:noWrap/>
            <w:vAlign w:val="center"/>
            <w:hideMark/>
          </w:tcPr>
          <w:p w14:paraId="5369846B" w14:textId="21185122"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344 270</w:t>
            </w:r>
          </w:p>
        </w:tc>
        <w:tc>
          <w:tcPr>
            <w:tcW w:w="1162" w:type="dxa"/>
            <w:tcBorders>
              <w:top w:val="nil"/>
              <w:left w:val="nil"/>
              <w:bottom w:val="single" w:sz="4" w:space="0" w:color="auto"/>
              <w:right w:val="nil"/>
            </w:tcBorders>
            <w:shd w:val="clear" w:color="auto" w:fill="auto"/>
            <w:noWrap/>
            <w:vAlign w:val="center"/>
            <w:hideMark/>
          </w:tcPr>
          <w:p w14:paraId="1209D3A4" w14:textId="75A3D7EC" w:rsidR="00846C46" w:rsidRPr="00BB4B6F" w:rsidRDefault="00846C46" w:rsidP="00846C46">
            <w:pPr>
              <w:spacing w:after="0" w:line="240" w:lineRule="auto"/>
              <w:jc w:val="right"/>
              <w:rPr>
                <w:color w:val="000000"/>
                <w:sz w:val="18"/>
                <w:szCs w:val="18"/>
                <w:highlight w:val="yellow"/>
                <w:lang w:eastAsia="sk-SK"/>
              </w:rPr>
            </w:pPr>
            <w:r>
              <w:rPr>
                <w:color w:val="000000"/>
                <w:sz w:val="18"/>
                <w:szCs w:val="18"/>
              </w:rPr>
              <w:t>343 386</w:t>
            </w:r>
          </w:p>
        </w:tc>
        <w:tc>
          <w:tcPr>
            <w:tcW w:w="1224" w:type="dxa"/>
            <w:tcBorders>
              <w:top w:val="nil"/>
              <w:left w:val="nil"/>
              <w:bottom w:val="single" w:sz="4" w:space="0" w:color="auto"/>
              <w:right w:val="nil"/>
            </w:tcBorders>
            <w:shd w:val="clear" w:color="auto" w:fill="auto"/>
            <w:noWrap/>
            <w:vAlign w:val="center"/>
            <w:hideMark/>
          </w:tcPr>
          <w:p w14:paraId="1E08FB18" w14:textId="66681B80" w:rsidR="00846C46" w:rsidRPr="00BB4B6F" w:rsidRDefault="00846C46" w:rsidP="0029657A">
            <w:pPr>
              <w:tabs>
                <w:tab w:val="decimal" w:pos="174"/>
              </w:tabs>
              <w:spacing w:after="0" w:line="240" w:lineRule="auto"/>
              <w:ind w:right="-71"/>
              <w:jc w:val="center"/>
              <w:rPr>
                <w:color w:val="000000"/>
                <w:sz w:val="18"/>
                <w:szCs w:val="18"/>
                <w:highlight w:val="yellow"/>
                <w:lang w:eastAsia="sk-SK"/>
              </w:rPr>
            </w:pPr>
            <w:r>
              <w:rPr>
                <w:color w:val="000000"/>
                <w:sz w:val="18"/>
                <w:szCs w:val="18"/>
              </w:rPr>
              <w:t>-0,3</w:t>
            </w:r>
          </w:p>
        </w:tc>
      </w:tr>
      <w:tr w:rsidR="00846C46" w:rsidRPr="00BB4B6F" w14:paraId="5F3C0778" w14:textId="77777777" w:rsidTr="00136DED">
        <w:trPr>
          <w:trHeight w:val="560"/>
        </w:trPr>
        <w:tc>
          <w:tcPr>
            <w:tcW w:w="3994" w:type="dxa"/>
            <w:tcBorders>
              <w:top w:val="nil"/>
              <w:left w:val="nil"/>
              <w:bottom w:val="single" w:sz="4" w:space="0" w:color="auto"/>
              <w:right w:val="nil"/>
            </w:tcBorders>
            <w:shd w:val="clear" w:color="auto" w:fill="auto"/>
            <w:noWrap/>
            <w:vAlign w:val="center"/>
            <w:hideMark/>
          </w:tcPr>
          <w:p w14:paraId="58E5C4D7" w14:textId="77777777" w:rsidR="00846C46" w:rsidRPr="00846C46" w:rsidRDefault="00846C46" w:rsidP="00846C46">
            <w:pPr>
              <w:spacing w:after="0" w:line="240" w:lineRule="auto"/>
              <w:jc w:val="both"/>
              <w:rPr>
                <w:b/>
                <w:bCs/>
                <w:i/>
                <w:iCs/>
                <w:color w:val="000000"/>
                <w:sz w:val="18"/>
                <w:szCs w:val="18"/>
                <w:lang w:eastAsia="sk-SK"/>
              </w:rPr>
            </w:pPr>
            <w:r w:rsidRPr="00846C46">
              <w:rPr>
                <w:b/>
                <w:bCs/>
                <w:i/>
                <w:iCs/>
                <w:color w:val="000000"/>
                <w:sz w:val="18"/>
                <w:szCs w:val="18"/>
                <w:lang w:eastAsia="sk-SK"/>
              </w:rPr>
              <w:t>Daňové a odvodové príjmy VS prognózované IFP podľa EKRK</w:t>
            </w:r>
          </w:p>
        </w:tc>
        <w:tc>
          <w:tcPr>
            <w:tcW w:w="1807" w:type="dxa"/>
            <w:gridSpan w:val="3"/>
            <w:tcBorders>
              <w:top w:val="nil"/>
              <w:left w:val="nil"/>
              <w:bottom w:val="single" w:sz="4" w:space="0" w:color="auto"/>
              <w:right w:val="nil"/>
            </w:tcBorders>
            <w:shd w:val="clear" w:color="auto" w:fill="auto"/>
            <w:noWrap/>
            <w:vAlign w:val="center"/>
            <w:hideMark/>
          </w:tcPr>
          <w:p w14:paraId="01BD5529" w14:textId="2361AAB2" w:rsidR="00846C46" w:rsidRPr="00BB4B6F" w:rsidRDefault="00846C46" w:rsidP="00846C46">
            <w:pPr>
              <w:spacing w:after="0" w:line="240" w:lineRule="auto"/>
              <w:jc w:val="right"/>
              <w:rPr>
                <w:b/>
                <w:bCs/>
                <w:i/>
                <w:iCs/>
                <w:color w:val="000000"/>
                <w:sz w:val="18"/>
                <w:szCs w:val="18"/>
                <w:highlight w:val="yellow"/>
                <w:lang w:eastAsia="sk-SK"/>
              </w:rPr>
            </w:pPr>
            <w:r>
              <w:rPr>
                <w:color w:val="000000"/>
                <w:sz w:val="18"/>
                <w:szCs w:val="18"/>
              </w:rPr>
              <w:t>29 102 333</w:t>
            </w:r>
          </w:p>
        </w:tc>
        <w:tc>
          <w:tcPr>
            <w:tcW w:w="1160" w:type="dxa"/>
            <w:tcBorders>
              <w:top w:val="nil"/>
              <w:left w:val="nil"/>
              <w:bottom w:val="single" w:sz="4" w:space="0" w:color="auto"/>
              <w:right w:val="nil"/>
            </w:tcBorders>
            <w:shd w:val="clear" w:color="auto" w:fill="auto"/>
            <w:noWrap/>
            <w:vAlign w:val="center"/>
            <w:hideMark/>
          </w:tcPr>
          <w:p w14:paraId="5778AC55" w14:textId="0D56FCA3" w:rsidR="00846C46" w:rsidRPr="00BB4B6F" w:rsidRDefault="00846C46" w:rsidP="00846C46">
            <w:pPr>
              <w:spacing w:after="0" w:line="240" w:lineRule="auto"/>
              <w:jc w:val="right"/>
              <w:rPr>
                <w:b/>
                <w:bCs/>
                <w:i/>
                <w:iCs/>
                <w:color w:val="000000"/>
                <w:sz w:val="18"/>
                <w:szCs w:val="18"/>
                <w:highlight w:val="yellow"/>
                <w:lang w:eastAsia="sk-SK"/>
              </w:rPr>
            </w:pPr>
            <w:r>
              <w:rPr>
                <w:color w:val="000000"/>
                <w:sz w:val="18"/>
                <w:szCs w:val="18"/>
              </w:rPr>
              <w:t>31 736 509</w:t>
            </w:r>
          </w:p>
        </w:tc>
        <w:tc>
          <w:tcPr>
            <w:tcW w:w="1162" w:type="dxa"/>
            <w:tcBorders>
              <w:top w:val="nil"/>
              <w:left w:val="nil"/>
              <w:bottom w:val="single" w:sz="4" w:space="0" w:color="auto"/>
              <w:right w:val="nil"/>
            </w:tcBorders>
            <w:shd w:val="clear" w:color="auto" w:fill="auto"/>
            <w:noWrap/>
            <w:vAlign w:val="center"/>
            <w:hideMark/>
          </w:tcPr>
          <w:p w14:paraId="4B7819B0" w14:textId="2E0127E4" w:rsidR="00846C46" w:rsidRPr="00BB4B6F" w:rsidRDefault="00846C46" w:rsidP="00846C46">
            <w:pPr>
              <w:spacing w:after="0" w:line="240" w:lineRule="auto"/>
              <w:jc w:val="right"/>
              <w:rPr>
                <w:b/>
                <w:bCs/>
                <w:i/>
                <w:iCs/>
                <w:color w:val="000000"/>
                <w:sz w:val="18"/>
                <w:szCs w:val="18"/>
                <w:highlight w:val="yellow"/>
                <w:lang w:eastAsia="sk-SK"/>
              </w:rPr>
            </w:pPr>
            <w:r>
              <w:rPr>
                <w:color w:val="000000"/>
                <w:sz w:val="18"/>
                <w:szCs w:val="18"/>
              </w:rPr>
              <w:t>35 115 719</w:t>
            </w:r>
          </w:p>
        </w:tc>
        <w:tc>
          <w:tcPr>
            <w:tcW w:w="1224" w:type="dxa"/>
            <w:tcBorders>
              <w:top w:val="nil"/>
              <w:left w:val="nil"/>
              <w:bottom w:val="single" w:sz="4" w:space="0" w:color="auto"/>
              <w:right w:val="nil"/>
            </w:tcBorders>
            <w:shd w:val="clear" w:color="auto" w:fill="auto"/>
            <w:noWrap/>
            <w:vAlign w:val="center"/>
            <w:hideMark/>
          </w:tcPr>
          <w:p w14:paraId="597E597D" w14:textId="04D3A3D6" w:rsidR="00846C46" w:rsidRPr="00BB4B6F" w:rsidRDefault="00846C46" w:rsidP="0029657A">
            <w:pPr>
              <w:tabs>
                <w:tab w:val="left" w:pos="315"/>
              </w:tabs>
              <w:spacing w:after="0" w:line="240" w:lineRule="auto"/>
              <w:ind w:right="-71"/>
              <w:jc w:val="center"/>
              <w:rPr>
                <w:b/>
                <w:bCs/>
                <w:i/>
                <w:iCs/>
                <w:color w:val="000000"/>
                <w:sz w:val="18"/>
                <w:szCs w:val="18"/>
                <w:highlight w:val="yellow"/>
                <w:lang w:eastAsia="sk-SK"/>
              </w:rPr>
            </w:pPr>
            <w:r>
              <w:rPr>
                <w:color w:val="000000"/>
                <w:sz w:val="18"/>
                <w:szCs w:val="18"/>
              </w:rPr>
              <w:t>10,6</w:t>
            </w:r>
          </w:p>
        </w:tc>
      </w:tr>
    </w:tbl>
    <w:p w14:paraId="4B7E26A7" w14:textId="372DA5E5" w:rsidR="00352007" w:rsidRPr="00846C46" w:rsidRDefault="00352007" w:rsidP="00352007">
      <w:pPr>
        <w:spacing w:after="0" w:line="240" w:lineRule="auto"/>
        <w:jc w:val="both"/>
        <w:rPr>
          <w:sz w:val="16"/>
          <w:szCs w:val="16"/>
        </w:rPr>
      </w:pPr>
      <w:r w:rsidRPr="00846C46">
        <w:rPr>
          <w:i/>
          <w:color w:val="000000"/>
          <w:sz w:val="16"/>
          <w:szCs w:val="16"/>
          <w:lang w:eastAsia="sk-SK"/>
        </w:rPr>
        <w:t>*ostatné obsahuje štátom platené poistné a poistné za ozbrojené zložky</w:t>
      </w:r>
      <w:r w:rsidRPr="00846C46">
        <w:rPr>
          <w:i/>
          <w:color w:val="000000"/>
          <w:sz w:val="16"/>
          <w:szCs w:val="16"/>
          <w:lang w:eastAsia="sk-SK"/>
        </w:rPr>
        <w:tab/>
      </w:r>
      <w:r w:rsidRPr="00846C46">
        <w:rPr>
          <w:i/>
          <w:color w:val="000000"/>
          <w:sz w:val="16"/>
          <w:szCs w:val="16"/>
          <w:lang w:eastAsia="sk-SK"/>
        </w:rPr>
        <w:tab/>
      </w:r>
      <w:r w:rsidRPr="00846C46">
        <w:rPr>
          <w:i/>
          <w:color w:val="000000"/>
          <w:sz w:val="16"/>
          <w:szCs w:val="16"/>
          <w:lang w:eastAsia="sk-SK"/>
        </w:rPr>
        <w:tab/>
        <w:t xml:space="preserve">                                  </w:t>
      </w:r>
      <w:r w:rsidR="00136DED" w:rsidRPr="00846C46">
        <w:rPr>
          <w:i/>
          <w:color w:val="000000"/>
          <w:sz w:val="16"/>
          <w:szCs w:val="16"/>
          <w:lang w:eastAsia="sk-SK"/>
        </w:rPr>
        <w:t xml:space="preserve">       </w:t>
      </w:r>
      <w:r w:rsidRPr="00846C46">
        <w:rPr>
          <w:i/>
          <w:color w:val="000000"/>
          <w:sz w:val="16"/>
          <w:szCs w:val="16"/>
          <w:lang w:eastAsia="sk-SK"/>
        </w:rPr>
        <w:t xml:space="preserve">   </w:t>
      </w:r>
      <w:r w:rsidRPr="00846C46">
        <w:rPr>
          <w:i/>
          <w:iCs/>
          <w:color w:val="000000"/>
          <w:sz w:val="16"/>
          <w:szCs w:val="16"/>
          <w:lang w:eastAsia="sk-SK"/>
        </w:rPr>
        <w:t>Zdroj: ŠÚSR, IFP</w:t>
      </w:r>
    </w:p>
    <w:p w14:paraId="419DA451" w14:textId="79B57AEE" w:rsidR="00352007" w:rsidRPr="00846C46" w:rsidRDefault="00352007" w:rsidP="00352007">
      <w:pPr>
        <w:spacing w:line="240" w:lineRule="auto"/>
        <w:jc w:val="both"/>
        <w:rPr>
          <w:i/>
          <w:noProof/>
          <w:sz w:val="16"/>
          <w:szCs w:val="16"/>
        </w:rPr>
      </w:pPr>
      <w:r w:rsidRPr="00862C66">
        <w:rPr>
          <w:i/>
          <w:noProof/>
          <w:sz w:val="16"/>
          <w:szCs w:val="16"/>
        </w:rPr>
        <w:t>Pozn.: Daňové a odvodové príjmy VS prognózované IFP podľa EKRK tvoria cca. 90 % celkových vykazovaných daňovo-odvodových príjmov (posledný riadok v tabubuľke)</w:t>
      </w:r>
      <w:r w:rsidR="00945AB8" w:rsidRPr="00862C66">
        <w:rPr>
          <w:i/>
          <w:noProof/>
          <w:sz w:val="16"/>
          <w:szCs w:val="16"/>
        </w:rPr>
        <w:t>. Neprognózujú sa</w:t>
      </w:r>
    </w:p>
    <w:tbl>
      <w:tblPr>
        <w:tblStyle w:val="Mriekatabuky"/>
        <w:tblW w:w="9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274"/>
        <w:gridCol w:w="4574"/>
        <w:gridCol w:w="146"/>
      </w:tblGrid>
      <w:tr w:rsidR="00151939" w:rsidRPr="00BB4B6F" w14:paraId="045A1639" w14:textId="77777777" w:rsidTr="00F150E0">
        <w:trPr>
          <w:gridAfter w:val="1"/>
          <w:wAfter w:w="179" w:type="dxa"/>
          <w:trHeight w:val="592"/>
          <w:jc w:val="center"/>
        </w:trPr>
        <w:tc>
          <w:tcPr>
            <w:tcW w:w="4453" w:type="dxa"/>
            <w:tcBorders>
              <w:bottom w:val="single" w:sz="4" w:space="0" w:color="auto"/>
            </w:tcBorders>
            <w:shd w:val="clear" w:color="auto" w:fill="auto"/>
          </w:tcPr>
          <w:p w14:paraId="3BDFE809" w14:textId="74DE83B8" w:rsidR="00151939" w:rsidRPr="00681E34" w:rsidRDefault="00A4725F" w:rsidP="00DF0EC5">
            <w:pPr>
              <w:rPr>
                <w:rFonts w:ascii="Arial Narrow" w:hAnsi="Arial Narrow"/>
                <w:b/>
                <w:bCs/>
                <w:color w:val="4F81BD" w:themeColor="accent1"/>
                <w:szCs w:val="22"/>
              </w:rPr>
            </w:pPr>
            <w:r w:rsidRPr="00681E34">
              <w:rPr>
                <w:b/>
                <w:bCs/>
                <w:color w:val="4F81BD"/>
                <w:szCs w:val="20"/>
              </w:rPr>
              <w:t>Graf</w:t>
            </w:r>
            <w:r w:rsidR="00211725" w:rsidRPr="00681E34">
              <w:rPr>
                <w:b/>
                <w:bCs/>
                <w:color w:val="4F81BD"/>
                <w:szCs w:val="20"/>
              </w:rPr>
              <w:t xml:space="preserve"> </w:t>
            </w:r>
            <w:r w:rsidR="00DF0EC5">
              <w:rPr>
                <w:b/>
                <w:bCs/>
                <w:color w:val="4F81BD"/>
                <w:szCs w:val="20"/>
              </w:rPr>
              <w:t>4</w:t>
            </w:r>
            <w:r w:rsidRPr="00681E34">
              <w:rPr>
                <w:b/>
                <w:bCs/>
                <w:color w:val="4F81BD"/>
                <w:szCs w:val="20"/>
              </w:rPr>
              <w:t xml:space="preserve"> </w:t>
            </w:r>
            <w:r w:rsidRPr="00681E34">
              <w:rPr>
                <w:bCs/>
                <w:color w:val="4F81BD"/>
                <w:szCs w:val="20"/>
              </w:rPr>
              <w:t>-</w:t>
            </w:r>
            <w:r w:rsidRPr="00681E34">
              <w:rPr>
                <w:b/>
                <w:bCs/>
                <w:color w:val="4F81BD"/>
                <w:szCs w:val="20"/>
              </w:rPr>
              <w:t xml:space="preserve"> </w:t>
            </w:r>
            <w:r w:rsidR="00151939" w:rsidRPr="00681E34">
              <w:rPr>
                <w:b/>
                <w:bCs/>
                <w:color w:val="4F81BD"/>
                <w:szCs w:val="20"/>
              </w:rPr>
              <w:t xml:space="preserve">Medziročný vývoj daňových a odvodových príjmov VS podľa jednotlivých faktorov </w:t>
            </w:r>
            <w:r w:rsidR="00211725" w:rsidRPr="00681E34">
              <w:rPr>
                <w:b/>
                <w:bCs/>
                <w:color w:val="4F81BD"/>
                <w:szCs w:val="20"/>
              </w:rPr>
              <w:t xml:space="preserve">                       </w:t>
            </w:r>
            <w:r w:rsidR="00151939" w:rsidRPr="00681E34">
              <w:rPr>
                <w:b/>
                <w:bCs/>
                <w:color w:val="4F81BD"/>
                <w:szCs w:val="20"/>
              </w:rPr>
              <w:t>(ESA</w:t>
            </w:r>
            <w:r w:rsidR="00211725" w:rsidRPr="00681E34">
              <w:rPr>
                <w:b/>
                <w:bCs/>
                <w:color w:val="4F81BD"/>
                <w:szCs w:val="20"/>
              </w:rPr>
              <w:t xml:space="preserve"> </w:t>
            </w:r>
            <w:r w:rsidR="00151939" w:rsidRPr="00681E34">
              <w:rPr>
                <w:b/>
                <w:bCs/>
                <w:color w:val="4F81BD"/>
                <w:szCs w:val="20"/>
              </w:rPr>
              <w:t>2010, v mil. eur)</w:t>
            </w:r>
          </w:p>
        </w:tc>
        <w:tc>
          <w:tcPr>
            <w:tcW w:w="4722" w:type="dxa"/>
            <w:gridSpan w:val="2"/>
            <w:tcBorders>
              <w:bottom w:val="single" w:sz="4" w:space="0" w:color="auto"/>
            </w:tcBorders>
            <w:shd w:val="clear" w:color="auto" w:fill="auto"/>
          </w:tcPr>
          <w:p w14:paraId="5BCDCB6B" w14:textId="64ECFFDA" w:rsidR="00211725" w:rsidRPr="00681E34" w:rsidRDefault="00211725" w:rsidP="00136DED">
            <w:pPr>
              <w:rPr>
                <w:b/>
                <w:bCs/>
                <w:color w:val="4F81BD"/>
                <w:szCs w:val="20"/>
              </w:rPr>
            </w:pPr>
            <w:r w:rsidRPr="00681E34">
              <w:rPr>
                <w:b/>
                <w:bCs/>
                <w:color w:val="4F81BD"/>
                <w:szCs w:val="20"/>
              </w:rPr>
              <w:t xml:space="preserve">Graf </w:t>
            </w:r>
            <w:r w:rsidR="00DF0EC5">
              <w:rPr>
                <w:b/>
                <w:bCs/>
                <w:color w:val="4F81BD"/>
                <w:szCs w:val="20"/>
              </w:rPr>
              <w:t>5</w:t>
            </w:r>
            <w:r w:rsidRPr="00681E34">
              <w:rPr>
                <w:b/>
                <w:bCs/>
                <w:color w:val="4F81BD"/>
                <w:szCs w:val="20"/>
              </w:rPr>
              <w:t xml:space="preserve"> </w:t>
            </w:r>
            <w:r w:rsidRPr="00681E34">
              <w:rPr>
                <w:bCs/>
                <w:color w:val="4F81BD"/>
                <w:szCs w:val="20"/>
              </w:rPr>
              <w:t>-</w:t>
            </w:r>
            <w:r w:rsidRPr="00681E34">
              <w:rPr>
                <w:b/>
                <w:bCs/>
                <w:color w:val="4F81BD"/>
                <w:szCs w:val="20"/>
              </w:rPr>
              <w:t xml:space="preserve"> </w:t>
            </w:r>
            <w:r w:rsidR="00151939" w:rsidRPr="00681E34">
              <w:rPr>
                <w:b/>
                <w:bCs/>
                <w:color w:val="4F81BD"/>
                <w:szCs w:val="20"/>
              </w:rPr>
              <w:t>Medziročný vývoj daňových a odvodových príjmov VS podľa daní a</w:t>
            </w:r>
            <w:r w:rsidRPr="00681E34">
              <w:rPr>
                <w:b/>
                <w:bCs/>
                <w:color w:val="4F81BD"/>
                <w:szCs w:val="20"/>
              </w:rPr>
              <w:t> </w:t>
            </w:r>
            <w:r w:rsidR="00151939" w:rsidRPr="00681E34">
              <w:rPr>
                <w:b/>
                <w:bCs/>
                <w:color w:val="4F81BD"/>
                <w:szCs w:val="20"/>
              </w:rPr>
              <w:t>odvodov</w:t>
            </w:r>
          </w:p>
          <w:p w14:paraId="740BD0E7" w14:textId="34EC5D36" w:rsidR="007B08C1" w:rsidRPr="00681E34" w:rsidRDefault="00211725" w:rsidP="00136DED">
            <w:pPr>
              <w:rPr>
                <w:rFonts w:ascii="Arial Narrow" w:hAnsi="Arial Narrow"/>
                <w:b/>
                <w:bCs/>
                <w:color w:val="4F81BD" w:themeColor="accent1"/>
                <w:szCs w:val="20"/>
              </w:rPr>
            </w:pPr>
            <w:r w:rsidRPr="00681E34">
              <w:rPr>
                <w:b/>
                <w:bCs/>
                <w:color w:val="4F81BD"/>
                <w:szCs w:val="20"/>
              </w:rPr>
              <w:t xml:space="preserve">                                                   </w:t>
            </w:r>
            <w:r w:rsidR="00151939" w:rsidRPr="00681E34">
              <w:rPr>
                <w:b/>
                <w:bCs/>
                <w:color w:val="4F81BD"/>
                <w:szCs w:val="20"/>
              </w:rPr>
              <w:t>(ESA</w:t>
            </w:r>
            <w:r w:rsidRPr="00681E34">
              <w:rPr>
                <w:b/>
                <w:bCs/>
                <w:color w:val="4F81BD"/>
                <w:szCs w:val="20"/>
              </w:rPr>
              <w:t xml:space="preserve"> </w:t>
            </w:r>
            <w:r w:rsidR="00151939" w:rsidRPr="00681E34">
              <w:rPr>
                <w:b/>
                <w:bCs/>
                <w:color w:val="4F81BD"/>
                <w:szCs w:val="20"/>
              </w:rPr>
              <w:t>2010, v mil. eur)</w:t>
            </w:r>
          </w:p>
        </w:tc>
      </w:tr>
      <w:tr w:rsidR="007B08C1" w:rsidRPr="00BB4B6F" w14:paraId="735D312B" w14:textId="77777777" w:rsidTr="007B08C1">
        <w:tblPrEx>
          <w:tblCellMar>
            <w:left w:w="70" w:type="dxa"/>
            <w:right w:w="70" w:type="dxa"/>
          </w:tblCellMar>
        </w:tblPrEx>
        <w:trPr>
          <w:trHeight w:val="2829"/>
          <w:jc w:val="center"/>
        </w:trPr>
        <w:tc>
          <w:tcPr>
            <w:tcW w:w="4698" w:type="dxa"/>
            <w:gridSpan w:val="2"/>
            <w:tcBorders>
              <w:top w:val="single" w:sz="4" w:space="0" w:color="auto"/>
              <w:bottom w:val="single" w:sz="4" w:space="0" w:color="auto"/>
            </w:tcBorders>
          </w:tcPr>
          <w:p w14:paraId="0C98E67B" w14:textId="4ECBEE31" w:rsidR="007B08C1" w:rsidRPr="00BB4B6F" w:rsidRDefault="00681E34" w:rsidP="006C32C8">
            <w:pPr>
              <w:jc w:val="center"/>
              <w:rPr>
                <w:color w:val="FF0000"/>
                <w:highlight w:val="yellow"/>
              </w:rPr>
            </w:pPr>
            <w:r>
              <w:rPr>
                <w:noProof/>
                <w:color w:val="FF0000"/>
              </w:rPr>
              <w:drawing>
                <wp:inline distT="0" distB="0" distL="0" distR="0" wp14:anchorId="007DADF0" wp14:editId="70868562">
                  <wp:extent cx="2944832" cy="1577743"/>
                  <wp:effectExtent l="0" t="0" r="8255" b="381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7196" cy="1589725"/>
                          </a:xfrm>
                          <a:prstGeom prst="rect">
                            <a:avLst/>
                          </a:prstGeom>
                          <a:noFill/>
                        </pic:spPr>
                      </pic:pic>
                    </a:graphicData>
                  </a:graphic>
                </wp:inline>
              </w:drawing>
            </w:r>
          </w:p>
        </w:tc>
        <w:tc>
          <w:tcPr>
            <w:tcW w:w="4656" w:type="dxa"/>
            <w:gridSpan w:val="2"/>
            <w:tcBorders>
              <w:top w:val="single" w:sz="4" w:space="0" w:color="auto"/>
              <w:bottom w:val="single" w:sz="4" w:space="0" w:color="auto"/>
            </w:tcBorders>
          </w:tcPr>
          <w:p w14:paraId="60CEAA03" w14:textId="515A6468" w:rsidR="007B08C1" w:rsidRPr="00BB4B6F" w:rsidRDefault="00681E34" w:rsidP="006C32C8">
            <w:pPr>
              <w:jc w:val="center"/>
              <w:rPr>
                <w:color w:val="FF0000"/>
                <w:highlight w:val="yellow"/>
              </w:rPr>
            </w:pPr>
            <w:r>
              <w:rPr>
                <w:noProof/>
                <w:color w:val="FF0000"/>
              </w:rPr>
              <w:drawing>
                <wp:inline distT="0" distB="0" distL="0" distR="0" wp14:anchorId="13CACA24" wp14:editId="65B9912E">
                  <wp:extent cx="3015616" cy="1640199"/>
                  <wp:effectExtent l="0" t="0" r="0"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3255" cy="1649793"/>
                          </a:xfrm>
                          <a:prstGeom prst="rect">
                            <a:avLst/>
                          </a:prstGeom>
                          <a:noFill/>
                        </pic:spPr>
                      </pic:pic>
                    </a:graphicData>
                  </a:graphic>
                </wp:inline>
              </w:drawing>
            </w:r>
          </w:p>
        </w:tc>
      </w:tr>
    </w:tbl>
    <w:p w14:paraId="53D9EAD2" w14:textId="75075E16" w:rsidR="002A7CD8" w:rsidRPr="00BB4B6F" w:rsidRDefault="002A7CD8" w:rsidP="007B08C1">
      <w:pPr>
        <w:autoSpaceDE w:val="0"/>
        <w:autoSpaceDN w:val="0"/>
        <w:adjustRightInd w:val="0"/>
        <w:spacing w:before="120" w:after="120" w:line="240" w:lineRule="auto"/>
        <w:jc w:val="both"/>
        <w:rPr>
          <w:b/>
          <w:highlight w:val="yellow"/>
        </w:rPr>
      </w:pPr>
      <w:r w:rsidRPr="00887C6C">
        <w:rPr>
          <w:b/>
        </w:rPr>
        <w:t xml:space="preserve">Daň z pridanej hodnoty </w:t>
      </w:r>
      <w:r w:rsidR="00887C6C" w:rsidRPr="00887C6C">
        <w:t>m</w:t>
      </w:r>
      <w:r w:rsidR="006F3A1A">
        <w:t>edziročne stúpla o 946 775 tis.</w:t>
      </w:r>
      <w:r w:rsidR="00887C6C" w:rsidRPr="00887C6C">
        <w:t xml:space="preserve"> eur (12,6 %). Za relatívne vysokým výnosom dane možno hľadať zlepšený vývoj </w:t>
      </w:r>
      <w:proofErr w:type="spellStart"/>
      <w:r w:rsidR="00887C6C" w:rsidRPr="00887C6C">
        <w:t>makrozákladní</w:t>
      </w:r>
      <w:proofErr w:type="spellEnd"/>
      <w:r w:rsidR="00887C6C" w:rsidRPr="00887C6C">
        <w:t>, menovite medzispotreby vlády a investícií. Pod výrazné navýšenie výnosu DPH sa v roku 2022 výrazne podpísala aj nominálna spotreba domácností (najmä rast cien potravín, energií, či pohonných látok), ale aj stabilne vysoká efektívna daňová sadzba (EDS). Dodatočne prispela k vysokému rastu  aj vlastná daňová povinnosť za elektronické služby. Patrí sem DPH od zahraničných predajcov na diaľku a taktiež online obchod.</w:t>
      </w:r>
    </w:p>
    <w:p w14:paraId="6031999E" w14:textId="770863D3" w:rsidR="002A7CD8" w:rsidRPr="00BB4B6F" w:rsidRDefault="002A7CD8" w:rsidP="002A7CD8">
      <w:pPr>
        <w:spacing w:after="120" w:line="240" w:lineRule="auto"/>
        <w:jc w:val="both"/>
        <w:rPr>
          <w:highlight w:val="yellow"/>
        </w:rPr>
      </w:pPr>
      <w:r w:rsidRPr="00887C6C">
        <w:rPr>
          <w:b/>
        </w:rPr>
        <w:t>Spotrebné dane</w:t>
      </w:r>
      <w:r w:rsidRPr="00887C6C">
        <w:t xml:space="preserve"> </w:t>
      </w:r>
      <w:r w:rsidR="00887C6C" w:rsidRPr="00887C6C">
        <w:t>(SD) poklesli v roku 2022 o 5,4 % (-161 000 tis. eur) (bez vplyvu SD za zelenú energiu medziročne vzrástli o 5,5 %). Výnos spotrebných daní je tvorený najmä SD z minerálneho oleja a SD z tabakových výrobkov. Výnos spotrebnej dane z minerálneho oleja medzi</w:t>
      </w:r>
      <w:r w:rsidR="006F3A1A">
        <w:t>ročne vzrástol o 4,6 % (+57 099 </w:t>
      </w:r>
      <w:r w:rsidR="00887C6C" w:rsidRPr="00887C6C">
        <w:t>tis. eur), čo bolo spôsobené najmä vyššou efektivitou výberu dane a sčasti aj vyššou výkonnosťou ekonomiky. Medziročný nárast výnosu spotrebnej dane z tabakových výrobkov o 5,8 % (+49 643 tis. eur) tvorí predovšetkým vplyv zvýšenia sadzieb spotrebnej dane z jednotlivých tabakových výrobkov od 1.2.2022 (+63 mil. eur). Priemerná cena krabičky cigariet vzrástla v roku 2022 o 30 centov, pričom legislatívne zvýšenie predstavovalo 20 centov.</w:t>
      </w:r>
    </w:p>
    <w:p w14:paraId="67BF2D30" w14:textId="4148604F" w:rsidR="00887C6C" w:rsidRDefault="00A95CB6" w:rsidP="00887C6C">
      <w:pPr>
        <w:spacing w:after="120" w:line="240" w:lineRule="auto"/>
        <w:jc w:val="both"/>
      </w:pPr>
      <w:r w:rsidRPr="00887C6C">
        <w:t xml:space="preserve">Výnos </w:t>
      </w:r>
      <w:r w:rsidRPr="00887C6C">
        <w:rPr>
          <w:b/>
        </w:rPr>
        <w:t>dane z príjmu právnických osôb</w:t>
      </w:r>
      <w:r w:rsidRPr="00887C6C">
        <w:t xml:space="preserve"> </w:t>
      </w:r>
      <w:r w:rsidR="00887C6C" w:rsidRPr="00887C6C">
        <w:t>medziročne vzrástla o 7,6 % (276 586 tis. eur). V tomto výnose</w:t>
      </w:r>
      <w:r w:rsidR="00887C6C">
        <w:t xml:space="preserve"> podľa metodiky ESA 2010 je okrem dane z príjmu právnických osôb (DPPO) zahrnutý aj osobitný odvod  z podnikania v regulovaných odvetviach. Výnos DPPO vzrástol oproti roku 2</w:t>
      </w:r>
      <w:r w:rsidR="00A57035">
        <w:t>021 o 292 852 </w:t>
      </w:r>
      <w:r w:rsidR="00887C6C">
        <w:t xml:space="preserve">tis. eur, čo predstavuje medziročný rast 8,3 %. Napriek tomu, že výnos dane bol silný, spomalil za vývojom </w:t>
      </w:r>
      <w:proofErr w:type="spellStart"/>
      <w:r w:rsidR="00887C6C">
        <w:t>makrobázy</w:t>
      </w:r>
      <w:proofErr w:type="spellEnd"/>
      <w:r w:rsidR="00887C6C">
        <w:t>, ktorá v roku 2022 rástla 12,4 %, čo sa prejavilo na poklese efektívnej daňovej sadzby. Vývoj firemnej dane v roku 2022 ovplyvnila aj prijatá legislatív</w:t>
      </w:r>
      <w:r w:rsidR="0062519E">
        <w:t>a</w:t>
      </w:r>
      <w:r w:rsidR="00887C6C">
        <w:t xml:space="preserve">. Výnos DPPO ponížilo hlavne prijatie solidárneho príspevku, ktorý zdaňoval </w:t>
      </w:r>
      <w:proofErr w:type="spellStart"/>
      <w:r w:rsidR="00887C6C">
        <w:t>nadzisky</w:t>
      </w:r>
      <w:proofErr w:type="spellEnd"/>
      <w:r w:rsidR="00887C6C">
        <w:t xml:space="preserve"> v rafinérskom priemysle v súvislosti s vojnou na Ukrajine. </w:t>
      </w:r>
    </w:p>
    <w:p w14:paraId="09638780" w14:textId="08EDAFC1" w:rsidR="00A95CB6" w:rsidRPr="00BB4B6F" w:rsidRDefault="00887C6C" w:rsidP="00887C6C">
      <w:pPr>
        <w:spacing w:after="120" w:line="240" w:lineRule="auto"/>
        <w:jc w:val="both"/>
        <w:rPr>
          <w:b/>
          <w:highlight w:val="yellow"/>
        </w:rPr>
      </w:pPr>
      <w:r w:rsidRPr="00887C6C">
        <w:rPr>
          <w:b/>
        </w:rPr>
        <w:t>Solidárny príspevok z činností v odvetviach ropy, zemného plynu, uhlia a rafinérií</w:t>
      </w:r>
      <w:r>
        <w:rPr>
          <w:rStyle w:val="Odkaznapoznmkupodiarou"/>
          <w:b/>
        </w:rPr>
        <w:footnoteReference w:id="16"/>
      </w:r>
      <w:r>
        <w:t xml:space="preserve">  je nová položka v rámci daňovo odvodových príjmov VS. Solidárny príspevok vznikol implementáciou nariadenia Rady (EÚ) 2022/1854 zo 6. októbra 2022. Účinnosť je nastavená na rok 2023, ale ekonomicky sa príspevok týka obdobia za rok 2022. Výnos solidárneho príspevku tvorí </w:t>
      </w:r>
      <w:proofErr w:type="spellStart"/>
      <w:r>
        <w:t>nadzisk</w:t>
      </w:r>
      <w:proofErr w:type="spellEnd"/>
      <w:r>
        <w:t xml:space="preserve"> firiem z predaja vymedzených produktov. </w:t>
      </w:r>
      <w:r>
        <w:lastRenderedPageBreak/>
        <w:t>Na Slovensku pod solidárny príspevok spadá 13 subjektov, pričom aktuálny odhad zohľadňuje len najvýznamnejší subjekt.</w:t>
      </w:r>
    </w:p>
    <w:p w14:paraId="11D9425D" w14:textId="69C33455" w:rsidR="00887C6C" w:rsidRDefault="00A95CB6" w:rsidP="00151939">
      <w:pPr>
        <w:spacing w:after="120" w:line="240" w:lineRule="auto"/>
        <w:jc w:val="both"/>
      </w:pPr>
      <w:r w:rsidRPr="00887C6C">
        <w:rPr>
          <w:b/>
        </w:rPr>
        <w:t xml:space="preserve">Daň z príjmov fyzických osôb </w:t>
      </w:r>
      <w:r w:rsidR="00887C6C" w:rsidRPr="00887C6C">
        <w:t>zo závislej činnosti zaznamenala medzir</w:t>
      </w:r>
      <w:r w:rsidR="00A57035">
        <w:t>očné tempo rastu 9,3 % (337 364 </w:t>
      </w:r>
      <w:r w:rsidR="00887C6C" w:rsidRPr="00887C6C">
        <w:t xml:space="preserve">tis. eur). Hlavným faktorom rastu výnosu bol trh práce zotavujúci sa po </w:t>
      </w:r>
      <w:proofErr w:type="spellStart"/>
      <w:r w:rsidR="00887C6C" w:rsidRPr="00887C6C">
        <w:t>pandemickej</w:t>
      </w:r>
      <w:proofErr w:type="spellEnd"/>
      <w:r w:rsidR="00887C6C" w:rsidRPr="00887C6C">
        <w:t xml:space="preserve"> kríze napriek pomalšej dynamike oproti rastu mzdovej bázy. Zdanenie jednorazovej odmeny zdravotníkov vo forme stabilizačného príspevku v odhadovanej sume približne 32 700 tis. eur sa do akruálneho výnosu dane na základe metodiky ŠUSR za rok 2022 nezapočítava. Namiesto toho bude v rokoch 2023 až 2025 pripočítaný k výnosu dane (nakoľko príspevok pre zdravotníkov bol podmienený zotrvaním v zamestnanosti najbližšie tri roky). Medziročný rast DPFO z podnikania o 6,6</w:t>
      </w:r>
      <w:r w:rsidR="00D5275A">
        <w:t xml:space="preserve"> </w:t>
      </w:r>
      <w:r w:rsidR="00887C6C" w:rsidRPr="00887C6C">
        <w:t xml:space="preserve">% je spôsobený najmä vyššou infláciou, pri ktorej aj živnostníci reagujú vyššími výnosmi, ale rástli aj príjmy z predaja a prenájmu nehnuteľností.  </w:t>
      </w:r>
    </w:p>
    <w:p w14:paraId="5C1746CE" w14:textId="47882556" w:rsidR="00D74F08" w:rsidRPr="00BB4B6F" w:rsidRDefault="00D74F08" w:rsidP="00151939">
      <w:pPr>
        <w:spacing w:after="120" w:line="240" w:lineRule="auto"/>
        <w:jc w:val="both"/>
        <w:rPr>
          <w:highlight w:val="yellow"/>
        </w:rPr>
      </w:pPr>
      <w:r w:rsidRPr="00887C6C">
        <w:rPr>
          <w:b/>
        </w:rPr>
        <w:t>Príspevky na sociálne zabezpečenie (sociálne aj zdravotné odvody platené ekonomicky aktívnym obyvateľstvom (vrátane dlžného</w:t>
      </w:r>
      <w:r w:rsidR="00945AB8" w:rsidRPr="00887C6C">
        <w:rPr>
          <w:b/>
        </w:rPr>
        <w:t xml:space="preserve"> poistného</w:t>
      </w:r>
      <w:r w:rsidRPr="00887C6C">
        <w:rPr>
          <w:b/>
        </w:rPr>
        <w:t>)</w:t>
      </w:r>
      <w:r w:rsidR="00887C6C" w:rsidRPr="00887C6C">
        <w:rPr>
          <w:b/>
        </w:rPr>
        <w:t>)</w:t>
      </w:r>
      <w:r w:rsidRPr="00887C6C">
        <w:t xml:space="preserve"> </w:t>
      </w:r>
      <w:r w:rsidR="00887C6C" w:rsidRPr="00887C6C">
        <w:t xml:space="preserve">medziročne vzrástli o 8,4 %. K nárastu prispel najmä zotavujúci sa trh práce po </w:t>
      </w:r>
      <w:proofErr w:type="spellStart"/>
      <w:r w:rsidR="00887C6C" w:rsidRPr="00887C6C">
        <w:t>pandemickej</w:t>
      </w:r>
      <w:proofErr w:type="spellEnd"/>
      <w:r w:rsidR="00887C6C" w:rsidRPr="00887C6C">
        <w:t xml:space="preserve"> kríze. Dlžné na sociálnych odvodoch bolo do veľkej miery ovplyvnené jednorazovým príjmom v podobe oddlženia nemocníc na úrovni 199 mil. eur. Výber odvodov však zaostával za dynamikou mzdovej bázy, čo sa prejavilo na nižšej efektívnej odvodov</w:t>
      </w:r>
      <w:r w:rsidR="00A57035">
        <w:t>ej sadzba. V </w:t>
      </w:r>
      <w:r w:rsidR="00887C6C" w:rsidRPr="00887C6C">
        <w:t>prípade zdravotných odvodov dopomohlo k mierne lepšiemu výberu ročné zúčtovanie, ktorého hodnota bola o 15 mil. eur lepšia oproti prvým prognózam.</w:t>
      </w:r>
    </w:p>
    <w:p w14:paraId="054F69E5" w14:textId="78BF7AE9" w:rsidR="00D74F08" w:rsidRPr="00BB4B6F" w:rsidRDefault="00D74F08" w:rsidP="00151939">
      <w:pPr>
        <w:spacing w:after="120" w:line="240" w:lineRule="auto"/>
        <w:jc w:val="both"/>
        <w:rPr>
          <w:highlight w:val="yellow"/>
        </w:rPr>
      </w:pPr>
      <w:r w:rsidRPr="00887C6C">
        <w:rPr>
          <w:b/>
        </w:rPr>
        <w:t>Daň vyberaná zrážkou</w:t>
      </w:r>
      <w:r w:rsidRPr="00887C6C">
        <w:t xml:space="preserve"> </w:t>
      </w:r>
      <w:r w:rsidR="00887C6C" w:rsidRPr="00887C6C">
        <w:t>vzrástla medziročne o 25 010 tis. eur (8,6 %). Za nárastom je najmä rast príjmov z dividend, licenčných poplatkov a zo zdanenia cenných papierov podliehajúcich zdaneniu. Napriek rastu úrokových mier a objemu vkladov výnos zo zdanenia úrokov stagnoval.</w:t>
      </w:r>
    </w:p>
    <w:p w14:paraId="2D93739F" w14:textId="77777777" w:rsidR="00151939" w:rsidRPr="00AD39AC" w:rsidRDefault="00151939" w:rsidP="00151939">
      <w:pPr>
        <w:spacing w:after="120" w:line="240" w:lineRule="auto"/>
        <w:jc w:val="both"/>
        <w:rPr>
          <w:b/>
          <w:color w:val="4F81BD" w:themeColor="accent1"/>
          <w:sz w:val="24"/>
          <w:szCs w:val="24"/>
        </w:rPr>
      </w:pPr>
      <w:r w:rsidRPr="00AD39AC">
        <w:rPr>
          <w:b/>
          <w:color w:val="4F81BD" w:themeColor="accent1"/>
          <w:sz w:val="24"/>
          <w:szCs w:val="24"/>
        </w:rPr>
        <w:t>Nedaňové príjmy</w:t>
      </w:r>
    </w:p>
    <w:p w14:paraId="57CB3F97" w14:textId="5AC9A2A2" w:rsidR="00B15547" w:rsidRPr="00597EBB" w:rsidRDefault="00124052" w:rsidP="00B15547">
      <w:pPr>
        <w:spacing w:after="0" w:line="240" w:lineRule="auto"/>
        <w:jc w:val="both"/>
        <w:rPr>
          <w:szCs w:val="22"/>
        </w:rPr>
      </w:pPr>
      <w:r w:rsidRPr="00597EBB">
        <w:rPr>
          <w:szCs w:val="22"/>
        </w:rPr>
        <w:t>V rámc</w:t>
      </w:r>
      <w:r w:rsidR="00B15547" w:rsidRPr="00597EBB">
        <w:rPr>
          <w:szCs w:val="22"/>
        </w:rPr>
        <w:t>i nedaňových príjmov v roku 2022</w:t>
      </w:r>
      <w:r w:rsidRPr="00597EBB">
        <w:rPr>
          <w:szCs w:val="22"/>
        </w:rPr>
        <w:t xml:space="preserve"> vzrástli </w:t>
      </w:r>
      <w:r w:rsidRPr="00597EBB">
        <w:rPr>
          <w:b/>
          <w:szCs w:val="22"/>
        </w:rPr>
        <w:t>výnosy z tržieb</w:t>
      </w:r>
      <w:r w:rsidRPr="00597EBB">
        <w:rPr>
          <w:szCs w:val="22"/>
        </w:rPr>
        <w:t xml:space="preserve"> </w:t>
      </w:r>
      <w:r w:rsidR="00B15547" w:rsidRPr="00597EBB">
        <w:rPr>
          <w:szCs w:val="22"/>
        </w:rPr>
        <w:t>za produkciu verejnej správy o 13</w:t>
      </w:r>
      <w:r w:rsidRPr="00597EBB">
        <w:rPr>
          <w:szCs w:val="22"/>
        </w:rPr>
        <w:t>,</w:t>
      </w:r>
      <w:r w:rsidR="00B15547" w:rsidRPr="00597EBB">
        <w:rPr>
          <w:szCs w:val="22"/>
        </w:rPr>
        <w:t>8 % (nárast o 337</w:t>
      </w:r>
      <w:r w:rsidRPr="00597EBB">
        <w:rPr>
          <w:szCs w:val="22"/>
        </w:rPr>
        <w:t> </w:t>
      </w:r>
      <w:r w:rsidR="00B15547" w:rsidRPr="00597EBB">
        <w:rPr>
          <w:szCs w:val="22"/>
        </w:rPr>
        <w:t>360</w:t>
      </w:r>
      <w:r w:rsidRPr="00597EBB">
        <w:rPr>
          <w:szCs w:val="22"/>
        </w:rPr>
        <w:t xml:space="preserve"> tis. eur). </w:t>
      </w:r>
      <w:r w:rsidR="00B15547" w:rsidRPr="00597EBB">
        <w:rPr>
          <w:szCs w:val="22"/>
        </w:rPr>
        <w:t xml:space="preserve">Najvýraznejšie vzrástli platby za </w:t>
      </w:r>
      <w:r w:rsidR="00B15547" w:rsidRPr="00597EBB">
        <w:rPr>
          <w:szCs w:val="22"/>
          <w:u w:val="single"/>
        </w:rPr>
        <w:t>ostatnú netrhovú produkciu</w:t>
      </w:r>
      <w:r w:rsidR="00B15547" w:rsidRPr="00597EBB">
        <w:rPr>
          <w:szCs w:val="22"/>
        </w:rPr>
        <w:t xml:space="preserve"> o 35,7 % (nárast o 95 964 tis. eur). Išlo najmä o nárast príjmov z</w:t>
      </w:r>
      <w:r w:rsidR="005327F0" w:rsidRPr="00597EBB">
        <w:rPr>
          <w:szCs w:val="22"/>
        </w:rPr>
        <w:t xml:space="preserve"> tržieb z prepravy cestujúcich o 34 593 tis. eur v  Železničnej spoločnosti Slovensko, a. s.) z dôvodu </w:t>
      </w:r>
      <w:r w:rsidR="00D5275A">
        <w:rPr>
          <w:szCs w:val="22"/>
        </w:rPr>
        <w:t>zrušenia obmedzení pre pandémiu</w:t>
      </w:r>
      <w:r w:rsidR="009D1C0A" w:rsidRPr="00597EBB">
        <w:rPr>
          <w:szCs w:val="22"/>
        </w:rPr>
        <w:t xml:space="preserve">. Nárast príjmov z poplatkov o 10 766 tis. eur </w:t>
      </w:r>
      <w:r w:rsidR="00B15547" w:rsidRPr="00597EBB">
        <w:rPr>
          <w:szCs w:val="22"/>
        </w:rPr>
        <w:t>za školy, školské zariadenia a materské školy z dôvodu postupného uvoľňova</w:t>
      </w:r>
      <w:r w:rsidR="009D1C0A" w:rsidRPr="00597EBB">
        <w:rPr>
          <w:szCs w:val="22"/>
        </w:rPr>
        <w:t xml:space="preserve">nia </w:t>
      </w:r>
      <w:proofErr w:type="spellStart"/>
      <w:r w:rsidR="009D1C0A" w:rsidRPr="00597EBB">
        <w:rPr>
          <w:szCs w:val="22"/>
        </w:rPr>
        <w:t>protipandemických</w:t>
      </w:r>
      <w:proofErr w:type="spellEnd"/>
      <w:r w:rsidR="009D1C0A" w:rsidRPr="00597EBB">
        <w:rPr>
          <w:szCs w:val="22"/>
        </w:rPr>
        <w:t xml:space="preserve"> opatrení (</w:t>
      </w:r>
      <w:r w:rsidR="00B15547" w:rsidRPr="00597EBB">
        <w:rPr>
          <w:szCs w:val="22"/>
        </w:rPr>
        <w:t xml:space="preserve">začala </w:t>
      </w:r>
      <w:r w:rsidR="0058329C" w:rsidRPr="00597EBB">
        <w:rPr>
          <w:szCs w:val="22"/>
        </w:rPr>
        <w:t xml:space="preserve">sa </w:t>
      </w:r>
      <w:r w:rsidR="00B15547" w:rsidRPr="00597EBB">
        <w:rPr>
          <w:szCs w:val="22"/>
        </w:rPr>
        <w:t>postupne o</w:t>
      </w:r>
      <w:r w:rsidR="009D1C0A" w:rsidRPr="00597EBB">
        <w:rPr>
          <w:szCs w:val="22"/>
        </w:rPr>
        <w:t>bnovovať prezenčná forma štúdia).</w:t>
      </w:r>
    </w:p>
    <w:p w14:paraId="636946A4" w14:textId="79F57A0A" w:rsidR="00B96C71" w:rsidRPr="00597EBB" w:rsidRDefault="00B15547" w:rsidP="00B96C71">
      <w:pPr>
        <w:spacing w:before="120" w:after="120" w:line="240" w:lineRule="auto"/>
        <w:jc w:val="both"/>
        <w:rPr>
          <w:szCs w:val="22"/>
        </w:rPr>
      </w:pPr>
      <w:r w:rsidRPr="00597EBB">
        <w:rPr>
          <w:szCs w:val="22"/>
        </w:rPr>
        <w:t>P</w:t>
      </w:r>
      <w:r w:rsidR="00124052" w:rsidRPr="00597EBB">
        <w:rPr>
          <w:szCs w:val="22"/>
        </w:rPr>
        <w:t xml:space="preserve">latby </w:t>
      </w:r>
      <w:r w:rsidR="00124052" w:rsidRPr="00597EBB">
        <w:rPr>
          <w:szCs w:val="22"/>
          <w:u w:val="single"/>
        </w:rPr>
        <w:t>za trhovú produkciu</w:t>
      </w:r>
      <w:r w:rsidR="00124052" w:rsidRPr="00597EBB">
        <w:rPr>
          <w:szCs w:val="22"/>
        </w:rPr>
        <w:t xml:space="preserve"> </w:t>
      </w:r>
      <w:r w:rsidRPr="00597EBB">
        <w:rPr>
          <w:szCs w:val="22"/>
        </w:rPr>
        <w:t>zaznamenali len mierny nárast oproti roku 2021 o 11,1</w:t>
      </w:r>
      <w:r w:rsidR="00124052" w:rsidRPr="00597EBB">
        <w:rPr>
          <w:szCs w:val="22"/>
        </w:rPr>
        <w:t> %</w:t>
      </w:r>
      <w:r w:rsidRPr="00597EBB">
        <w:rPr>
          <w:szCs w:val="22"/>
        </w:rPr>
        <w:t xml:space="preserve"> (nárast o 241</w:t>
      </w:r>
      <w:r w:rsidR="00533EA0" w:rsidRPr="00597EBB">
        <w:rPr>
          <w:szCs w:val="22"/>
        </w:rPr>
        <w:t> </w:t>
      </w:r>
      <w:r w:rsidRPr="00597EBB">
        <w:rPr>
          <w:szCs w:val="22"/>
        </w:rPr>
        <w:t>396</w:t>
      </w:r>
      <w:r w:rsidR="00533EA0" w:rsidRPr="00597EBB">
        <w:rPr>
          <w:szCs w:val="22"/>
        </w:rPr>
        <w:t> </w:t>
      </w:r>
      <w:r w:rsidR="00124052" w:rsidRPr="00597EBB">
        <w:rPr>
          <w:szCs w:val="22"/>
        </w:rPr>
        <w:t>tis</w:t>
      </w:r>
      <w:r w:rsidR="00533EA0" w:rsidRPr="00597EBB">
        <w:rPr>
          <w:szCs w:val="22"/>
        </w:rPr>
        <w:t>. </w:t>
      </w:r>
      <w:r w:rsidR="00124052" w:rsidRPr="00597EBB">
        <w:rPr>
          <w:szCs w:val="22"/>
        </w:rPr>
        <w:t>eur), išlo najmä o zvýšené príjmy obcí za stravné v dôsledku postupného obnovenia prezenčnej formy výučby v školských zariadeniach (v roku 2020</w:t>
      </w:r>
      <w:r w:rsidR="00CA4C99" w:rsidRPr="00597EBB">
        <w:rPr>
          <w:szCs w:val="22"/>
        </w:rPr>
        <w:t xml:space="preserve"> a v</w:t>
      </w:r>
      <w:r w:rsidR="007E0562" w:rsidRPr="00597EBB">
        <w:rPr>
          <w:szCs w:val="22"/>
        </w:rPr>
        <w:t xml:space="preserve"> čiastočne aj v roku </w:t>
      </w:r>
      <w:r w:rsidR="00CA4C99" w:rsidRPr="00597EBB">
        <w:rPr>
          <w:szCs w:val="22"/>
        </w:rPr>
        <w:t>2021</w:t>
      </w:r>
      <w:r w:rsidR="006A28AA" w:rsidRPr="00597EBB">
        <w:rPr>
          <w:szCs w:val="22"/>
        </w:rPr>
        <w:t xml:space="preserve"> bola </w:t>
      </w:r>
      <w:r w:rsidR="00124052" w:rsidRPr="00597EBB">
        <w:rPr>
          <w:szCs w:val="22"/>
        </w:rPr>
        <w:t xml:space="preserve"> z </w:t>
      </w:r>
      <w:proofErr w:type="spellStart"/>
      <w:r w:rsidR="00124052" w:rsidRPr="00597EBB">
        <w:rPr>
          <w:szCs w:val="22"/>
        </w:rPr>
        <w:t>pandemických</w:t>
      </w:r>
      <w:proofErr w:type="spellEnd"/>
      <w:r w:rsidR="00124052" w:rsidRPr="00597EBB">
        <w:rPr>
          <w:szCs w:val="22"/>
        </w:rPr>
        <w:t xml:space="preserve"> dôvodov prerušená prevádzka a teda boli znížené</w:t>
      </w:r>
      <w:r w:rsidR="00CA4C99" w:rsidRPr="00597EBB">
        <w:rPr>
          <w:szCs w:val="22"/>
        </w:rPr>
        <w:t xml:space="preserve"> príjmy za stravovacie služby</w:t>
      </w:r>
      <w:r w:rsidR="00FC0115" w:rsidRPr="00597EBB">
        <w:rPr>
          <w:szCs w:val="22"/>
        </w:rPr>
        <w:t xml:space="preserve"> a taktiež došlo k zmene financovania stravovania, keď štát v roku 2022 (až na výnimky) už neposkytoval dotáciu na stravu predškolákom a žiakom základných škôl, ale stravné platili v plnej výške rodičia. Medziročne v</w:t>
      </w:r>
      <w:r w:rsidR="004E1927" w:rsidRPr="00597EBB">
        <w:rPr>
          <w:szCs w:val="22"/>
        </w:rPr>
        <w:t xml:space="preserve">zrástli </w:t>
      </w:r>
      <w:r w:rsidR="00FC0115" w:rsidRPr="00597EBB">
        <w:rPr>
          <w:szCs w:val="22"/>
        </w:rPr>
        <w:t xml:space="preserve">aj </w:t>
      </w:r>
      <w:r w:rsidR="004E1927" w:rsidRPr="00597EBB">
        <w:rPr>
          <w:szCs w:val="22"/>
        </w:rPr>
        <w:t>príjmy za vstupné z kultúrnych podujatí a športovísk</w:t>
      </w:r>
      <w:r w:rsidR="00CA4C99" w:rsidRPr="00597EBB">
        <w:rPr>
          <w:szCs w:val="22"/>
        </w:rPr>
        <w:t>.</w:t>
      </w:r>
      <w:r w:rsidR="00124052" w:rsidRPr="00597EBB">
        <w:rPr>
          <w:szCs w:val="22"/>
        </w:rPr>
        <w:t xml:space="preserve"> Rovnako vzrástli príjmy </w:t>
      </w:r>
      <w:r w:rsidR="00CA4C99" w:rsidRPr="00597EBB">
        <w:rPr>
          <w:szCs w:val="22"/>
        </w:rPr>
        <w:t>dopravným podnikom</w:t>
      </w:r>
      <w:r w:rsidR="00124052" w:rsidRPr="00597EBB">
        <w:rPr>
          <w:szCs w:val="22"/>
        </w:rPr>
        <w:t xml:space="preserve">, </w:t>
      </w:r>
      <w:r w:rsidR="00CA4C99" w:rsidRPr="00597EBB">
        <w:rPr>
          <w:szCs w:val="22"/>
        </w:rPr>
        <w:t>čo súviselo</w:t>
      </w:r>
      <w:r w:rsidR="00CE4E07" w:rsidRPr="00597EBB">
        <w:rPr>
          <w:szCs w:val="22"/>
        </w:rPr>
        <w:t xml:space="preserve"> so zvýšenými dopravnými</w:t>
      </w:r>
      <w:r w:rsidR="00CA4C99" w:rsidRPr="00597EBB">
        <w:rPr>
          <w:szCs w:val="22"/>
        </w:rPr>
        <w:t xml:space="preserve"> výkon</w:t>
      </w:r>
      <w:r w:rsidR="00CE4E07" w:rsidRPr="00597EBB">
        <w:rPr>
          <w:szCs w:val="22"/>
        </w:rPr>
        <w:t>mi</w:t>
      </w:r>
      <w:r w:rsidR="00CA4C99" w:rsidRPr="00597EBB">
        <w:rPr>
          <w:szCs w:val="22"/>
        </w:rPr>
        <w:t>,</w:t>
      </w:r>
      <w:r w:rsidR="00CE4E07" w:rsidRPr="00597EBB">
        <w:rPr>
          <w:szCs w:val="22"/>
        </w:rPr>
        <w:t xml:space="preserve"> t. j. zvýšil počet prepravovaných osôb a</w:t>
      </w:r>
      <w:r w:rsidR="00CA4C99" w:rsidRPr="00597EBB">
        <w:rPr>
          <w:szCs w:val="22"/>
        </w:rPr>
        <w:t xml:space="preserve"> narástli tr</w:t>
      </w:r>
      <w:r w:rsidR="00CE4E07" w:rsidRPr="00597EBB">
        <w:rPr>
          <w:szCs w:val="22"/>
        </w:rPr>
        <w:t>žby za predaj cestovných lístkov</w:t>
      </w:r>
      <w:r w:rsidR="00124052" w:rsidRPr="00597EBB">
        <w:rPr>
          <w:szCs w:val="22"/>
        </w:rPr>
        <w:t>. Nárast príjmov zaznamenala aj Národná diaľničná spoločnosť, a. s.,</w:t>
      </w:r>
      <w:r w:rsidR="00124052" w:rsidRPr="00597EBB">
        <w:t xml:space="preserve"> </w:t>
      </w:r>
      <w:r w:rsidR="00124052" w:rsidRPr="00597EBB">
        <w:rPr>
          <w:szCs w:val="22"/>
        </w:rPr>
        <w:t xml:space="preserve">čo </w:t>
      </w:r>
      <w:r w:rsidR="004B67B6" w:rsidRPr="00597EBB">
        <w:rPr>
          <w:szCs w:val="22"/>
        </w:rPr>
        <w:t>súviselo s</w:t>
      </w:r>
      <w:r w:rsidR="00B96C71" w:rsidRPr="00597EBB">
        <w:rPr>
          <w:szCs w:val="22"/>
        </w:rPr>
        <w:t> </w:t>
      </w:r>
      <w:r w:rsidR="004B67B6" w:rsidRPr="00597EBB">
        <w:rPr>
          <w:szCs w:val="22"/>
        </w:rPr>
        <w:t>pokračujúcim</w:t>
      </w:r>
      <w:r w:rsidR="00B96C71" w:rsidRPr="00597EBB">
        <w:rPr>
          <w:szCs w:val="22"/>
        </w:rPr>
        <w:t xml:space="preserve"> rastúcim trendom tržieb z predaja elektronických diaľničných známok a mýta v súvislosti s </w:t>
      </w:r>
      <w:r w:rsidR="00124052" w:rsidRPr="00597EBB">
        <w:rPr>
          <w:szCs w:val="22"/>
        </w:rPr>
        <w:t xml:space="preserve">nárastom mobility občanov a medzinárodného tranzitu </w:t>
      </w:r>
      <w:r w:rsidR="004B67B6" w:rsidRPr="00597EBB">
        <w:rPr>
          <w:szCs w:val="22"/>
        </w:rPr>
        <w:t xml:space="preserve">tovaru </w:t>
      </w:r>
      <w:r w:rsidR="00124052" w:rsidRPr="00597EBB">
        <w:rPr>
          <w:szCs w:val="22"/>
        </w:rPr>
        <w:t>cez naše územie</w:t>
      </w:r>
      <w:r w:rsidR="00B96C71" w:rsidRPr="00597EBB">
        <w:rPr>
          <w:rFonts w:cs="Book Antiqua"/>
          <w:szCs w:val="22"/>
          <w:lang w:eastAsia="sk-SK"/>
        </w:rPr>
        <w:t>. Tržby z predaja elektronických diaľničných známok vzrástli najmä na konci roka 2022, ako reakcia na zvyšovanie cien diaľničných známok od januára 2023.</w:t>
      </w:r>
      <w:r w:rsidR="00CE4E07" w:rsidRPr="00597EBB">
        <w:rPr>
          <w:rFonts w:cs="Book Antiqua"/>
          <w:szCs w:val="22"/>
          <w:lang w:eastAsia="sk-SK"/>
        </w:rPr>
        <w:t xml:space="preserve"> </w:t>
      </w:r>
    </w:p>
    <w:p w14:paraId="3EFE2A6A" w14:textId="179DF349" w:rsidR="0058646C" w:rsidRDefault="00945AB8" w:rsidP="0058646C">
      <w:pPr>
        <w:spacing w:after="120" w:line="240" w:lineRule="auto"/>
        <w:jc w:val="both"/>
        <w:rPr>
          <w:szCs w:val="22"/>
        </w:rPr>
      </w:pPr>
      <w:r w:rsidRPr="005723AB">
        <w:rPr>
          <w:bCs/>
          <w:u w:val="single"/>
        </w:rPr>
        <w:t>Príjem v</w:t>
      </w:r>
      <w:r w:rsidR="00151939" w:rsidRPr="005723AB">
        <w:rPr>
          <w:bCs/>
          <w:u w:val="single"/>
        </w:rPr>
        <w:t>erejnej správy z</w:t>
      </w:r>
      <w:r w:rsidRPr="005723AB">
        <w:rPr>
          <w:bCs/>
          <w:u w:val="single"/>
        </w:rPr>
        <w:t> </w:t>
      </w:r>
      <w:r w:rsidR="00151939" w:rsidRPr="005723AB">
        <w:rPr>
          <w:bCs/>
          <w:u w:val="single"/>
        </w:rPr>
        <w:t>dividend a odvodov zo zisku</w:t>
      </w:r>
      <w:r w:rsidR="00151939" w:rsidRPr="005723AB">
        <w:rPr>
          <w:b/>
          <w:bCs/>
        </w:rPr>
        <w:t xml:space="preserve"> </w:t>
      </w:r>
      <w:r w:rsidR="0058646C" w:rsidRPr="00C679A4">
        <w:rPr>
          <w:szCs w:val="22"/>
        </w:rPr>
        <w:t xml:space="preserve">ako hlavný zdroj nedaňových príjmov štátneho rozpočtu nezaznamenali za sledované obdobie stabilný vývoj (graf). Dôvodom tejto nestability bol hlavne vývojový trend v energetickom odvetví národného hospodárstva, v ktorom sa generuje majoritný podiel dividend (viac ako 90,0 %). Za nezanedbateľné pozitívum, ktoré možno sledovať na vývoji  príjmov z dividend je rast podielu </w:t>
      </w:r>
      <w:r w:rsidR="00411903">
        <w:rPr>
          <w:szCs w:val="22"/>
        </w:rPr>
        <w:t>ESA</w:t>
      </w:r>
      <w:r w:rsidR="0058646C" w:rsidRPr="00C679A4">
        <w:rPr>
          <w:szCs w:val="22"/>
        </w:rPr>
        <w:t xml:space="preserve"> dividend vo vzťahu k celkovým príjmom z dividend (zo 61,0 % v roku 2020 po 83,8 % v roku 2022), ktoré sú tiež výsledkom štruktúry vyplatených dividend energetickými podnikmi.</w:t>
      </w:r>
    </w:p>
    <w:p w14:paraId="5337DC2A" w14:textId="77777777" w:rsidR="00FD652C" w:rsidRDefault="00FD652C">
      <w:pPr>
        <w:rPr>
          <w:b/>
          <w:bCs/>
          <w:color w:val="4F81BD"/>
          <w:sz w:val="20"/>
          <w:szCs w:val="20"/>
          <w:lang w:eastAsia="sk-SK"/>
        </w:rPr>
      </w:pPr>
      <w:r>
        <w:rPr>
          <w:b/>
          <w:bCs/>
          <w:color w:val="4F81BD"/>
          <w:sz w:val="20"/>
          <w:szCs w:val="20"/>
          <w:lang w:eastAsia="sk-SK"/>
        </w:rPr>
        <w:br w:type="page"/>
      </w:r>
    </w:p>
    <w:p w14:paraId="37AE0863" w14:textId="47BDB0E3" w:rsidR="0058646C" w:rsidRPr="002104CA" w:rsidRDefault="0016158F" w:rsidP="0058646C">
      <w:pPr>
        <w:spacing w:after="120" w:line="240" w:lineRule="auto"/>
        <w:jc w:val="both"/>
        <w:rPr>
          <w:b/>
          <w:bCs/>
          <w:color w:val="4F81BD"/>
          <w:sz w:val="20"/>
          <w:szCs w:val="20"/>
          <w:lang w:eastAsia="sk-SK"/>
        </w:rPr>
      </w:pPr>
      <w:r>
        <w:rPr>
          <w:b/>
          <w:bCs/>
          <w:color w:val="4F81BD"/>
          <w:sz w:val="20"/>
          <w:szCs w:val="20"/>
          <w:lang w:eastAsia="sk-SK"/>
        </w:rPr>
        <w:lastRenderedPageBreak/>
        <w:t>Graf 6</w:t>
      </w:r>
      <w:r w:rsidR="0058646C" w:rsidRPr="002104CA">
        <w:rPr>
          <w:b/>
          <w:bCs/>
          <w:color w:val="4F81BD"/>
          <w:sz w:val="20"/>
          <w:szCs w:val="20"/>
          <w:lang w:eastAsia="sk-SK"/>
        </w:rPr>
        <w:t xml:space="preserve"> </w:t>
      </w:r>
      <w:r w:rsidR="0058646C" w:rsidRPr="002104CA">
        <w:rPr>
          <w:bCs/>
          <w:color w:val="4F81BD"/>
          <w:sz w:val="20"/>
          <w:szCs w:val="20"/>
          <w:lang w:eastAsia="sk-SK"/>
        </w:rPr>
        <w:t>–</w:t>
      </w:r>
      <w:r w:rsidR="0058646C" w:rsidRPr="002104CA">
        <w:rPr>
          <w:b/>
          <w:bCs/>
          <w:color w:val="4F81BD"/>
          <w:sz w:val="20"/>
          <w:szCs w:val="20"/>
          <w:lang w:eastAsia="sk-SK"/>
        </w:rPr>
        <w:t xml:space="preserve"> </w:t>
      </w:r>
      <w:r w:rsidR="0058646C">
        <w:rPr>
          <w:b/>
          <w:bCs/>
          <w:color w:val="4F81BD"/>
          <w:sz w:val="20"/>
          <w:szCs w:val="20"/>
          <w:lang w:eastAsia="sk-SK"/>
        </w:rPr>
        <w:t>Vývoj dividend v metodike ESA 2010</w:t>
      </w:r>
    </w:p>
    <w:p w14:paraId="2A849CAD" w14:textId="77777777" w:rsidR="0058646C" w:rsidRPr="00C679A4" w:rsidRDefault="0058646C" w:rsidP="0058646C">
      <w:pPr>
        <w:spacing w:line="360" w:lineRule="auto"/>
        <w:jc w:val="center"/>
        <w:rPr>
          <w:color w:val="FF0000"/>
          <w:szCs w:val="22"/>
        </w:rPr>
      </w:pPr>
      <w:r w:rsidRPr="00C679A4">
        <w:rPr>
          <w:noProof/>
          <w:color w:val="FF0000"/>
          <w:szCs w:val="22"/>
          <w:lang w:eastAsia="sk-SK"/>
        </w:rPr>
        <w:drawing>
          <wp:inline distT="0" distB="0" distL="0" distR="0" wp14:anchorId="5E877FCD" wp14:editId="0F3ECEDE">
            <wp:extent cx="3579505" cy="2235200"/>
            <wp:effectExtent l="0" t="0" r="190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5613" cy="2239014"/>
                    </a:xfrm>
                    <a:prstGeom prst="rect">
                      <a:avLst/>
                    </a:prstGeom>
                    <a:noFill/>
                  </pic:spPr>
                </pic:pic>
              </a:graphicData>
            </a:graphic>
          </wp:inline>
        </w:drawing>
      </w:r>
    </w:p>
    <w:p w14:paraId="3C7B631A" w14:textId="77777777" w:rsidR="0058646C" w:rsidRPr="00C679A4" w:rsidRDefault="0058646C" w:rsidP="0058646C">
      <w:pPr>
        <w:spacing w:after="120" w:line="240" w:lineRule="auto"/>
        <w:jc w:val="both"/>
        <w:rPr>
          <w:szCs w:val="22"/>
        </w:rPr>
      </w:pPr>
      <w:r w:rsidRPr="00C679A4">
        <w:rPr>
          <w:szCs w:val="22"/>
        </w:rPr>
        <w:t xml:space="preserve">Medziročná zmena objemu prijatých dividend štátom a MH Manažmentom, </w:t>
      </w:r>
      <w:proofErr w:type="spellStart"/>
      <w:r w:rsidRPr="00C679A4">
        <w:rPr>
          <w:szCs w:val="22"/>
        </w:rPr>
        <w:t>a.s</w:t>
      </w:r>
      <w:proofErr w:type="spellEnd"/>
      <w:r w:rsidRPr="00C679A4">
        <w:rPr>
          <w:szCs w:val="22"/>
        </w:rPr>
        <w:t xml:space="preserve">. (pokles o 94 673 tis. eur) pozostávala predovšetkým z poklesu ESA dividend o 21,3 % (92 639 tis. eur) a zároveň z poklesu hodnoty superdividend o 3,0 % (2 034 tis. eur).  Negatívna medziročná zmena v objeme ESA dividend v roku 2022 bola výsledkom spoločnosti Slovenský plynárenský priemysel, </w:t>
      </w:r>
      <w:proofErr w:type="spellStart"/>
      <w:r w:rsidRPr="00C679A4">
        <w:rPr>
          <w:szCs w:val="22"/>
        </w:rPr>
        <w:t>a.s</w:t>
      </w:r>
      <w:proofErr w:type="spellEnd"/>
      <w:r w:rsidRPr="00C679A4">
        <w:rPr>
          <w:szCs w:val="22"/>
        </w:rPr>
        <w:t xml:space="preserve">., ktorá v roku 2022 priznala nielen celkové dividendy nižšie o 34 400 tis. eur, ale súčasne sa zmenil aj podiel časti dividendy generovanej z prevádzkovej činnosti skupiny SPP (znížil sa o 25,0 %). Nižší objem ESA dividend (o 29 335 tis. eur) bol prijatý aj od spoločnosti Slovenská elektrizačná  prenosová sústava, </w:t>
      </w:r>
      <w:proofErr w:type="spellStart"/>
      <w:r w:rsidRPr="00C679A4">
        <w:rPr>
          <w:szCs w:val="22"/>
        </w:rPr>
        <w:t>a.s</w:t>
      </w:r>
      <w:proofErr w:type="spellEnd"/>
      <w:r w:rsidRPr="00C679A4">
        <w:rPr>
          <w:szCs w:val="22"/>
        </w:rPr>
        <w:t xml:space="preserve">. (z dôvodu ponechania zisku za rok 2021 v spoločnosti na základe rozhodnutia valného zhromaždenia). </w:t>
      </w:r>
    </w:p>
    <w:p w14:paraId="6495B682" w14:textId="16951033" w:rsidR="0058646C" w:rsidRDefault="0058646C" w:rsidP="0058646C">
      <w:pPr>
        <w:spacing w:after="120" w:line="240" w:lineRule="auto"/>
        <w:jc w:val="both"/>
        <w:rPr>
          <w:szCs w:val="22"/>
        </w:rPr>
      </w:pPr>
      <w:r w:rsidRPr="00C679A4">
        <w:rPr>
          <w:szCs w:val="22"/>
        </w:rPr>
        <w:t xml:space="preserve">Medziročný pokles zaznamenaný na položke superdividend bol vo výške 2 034 tis. eur, pričom podiel superdividend na celkovom objeme prijatých dividend sa zvýšil  (z 13,6 % na 16,2 %).  Medziročne nižší objem prijatých superdividend bol zaznamenaný pri SSEH (v roku 2022 SSEH </w:t>
      </w:r>
      <w:proofErr w:type="spellStart"/>
      <w:r w:rsidRPr="00C679A4">
        <w:rPr>
          <w:szCs w:val="22"/>
        </w:rPr>
        <w:t>superdividendu</w:t>
      </w:r>
      <w:proofErr w:type="spellEnd"/>
      <w:r w:rsidRPr="00C679A4">
        <w:rPr>
          <w:szCs w:val="22"/>
        </w:rPr>
        <w:t xml:space="preserve"> nevyplatila). Pokles superdividend bol zaznamenaný aj pri spoločnosti VSEH, ktorá znížila celkový objem dividend o 13,7 % , ktorého 56,8 % tvoril pokles superdividendy (vyplatenú dividendu viac kryli zdroje z bežnej činnosti). Celkový pokles superdividend čiastočne zmiernil rast superdividend priznaných SPP (rast z úrovne 4 890 tis. eur v roku 2021 na úroveň 59 183 tis. eur v roku 2022). Podiel superdividendy na priznanej dividende sa tak zvýšil z 1,9 % (2021) na 26,9 % (2022) z dôvodu priznanej dividendy aj z nerozdeleného zisku minulých období SPP </w:t>
      </w:r>
      <w:proofErr w:type="spellStart"/>
      <w:r w:rsidRPr="00C679A4">
        <w:rPr>
          <w:szCs w:val="22"/>
        </w:rPr>
        <w:t>Infrastructure</w:t>
      </w:r>
      <w:proofErr w:type="spellEnd"/>
      <w:r w:rsidRPr="00C679A4">
        <w:rPr>
          <w:szCs w:val="22"/>
        </w:rPr>
        <w:t xml:space="preserve">, </w:t>
      </w:r>
      <w:proofErr w:type="spellStart"/>
      <w:r w:rsidRPr="00C679A4">
        <w:rPr>
          <w:szCs w:val="22"/>
        </w:rPr>
        <w:t>a.s</w:t>
      </w:r>
      <w:proofErr w:type="spellEnd"/>
      <w:r w:rsidRPr="00C679A4">
        <w:rPr>
          <w:szCs w:val="22"/>
        </w:rPr>
        <w:t>. Špecifikom zaznamenaným pri SPP v roku 2022 bola skutočnosť, že na základe rozhodnutia jediného akcionára sa stanovila splatnosť dividend priznaných v roku 2022 až v priebehu roka 2023.</w:t>
      </w:r>
    </w:p>
    <w:tbl>
      <w:tblPr>
        <w:tblW w:w="9145" w:type="dxa"/>
        <w:tblInd w:w="10" w:type="dxa"/>
        <w:tblLayout w:type="fixed"/>
        <w:tblCellMar>
          <w:left w:w="70" w:type="dxa"/>
          <w:right w:w="70" w:type="dxa"/>
        </w:tblCellMar>
        <w:tblLook w:val="04A0" w:firstRow="1" w:lastRow="0" w:firstColumn="1" w:lastColumn="0" w:noHBand="0" w:noVBand="1"/>
      </w:tblPr>
      <w:tblGrid>
        <w:gridCol w:w="4208"/>
        <w:gridCol w:w="681"/>
        <w:gridCol w:w="1016"/>
        <w:gridCol w:w="1096"/>
        <w:gridCol w:w="976"/>
        <w:gridCol w:w="1168"/>
      </w:tblGrid>
      <w:tr w:rsidR="003511D3" w:rsidRPr="003511D3" w14:paraId="6F1102F3" w14:textId="77777777" w:rsidTr="003511D3">
        <w:trPr>
          <w:trHeight w:val="300"/>
        </w:trPr>
        <w:tc>
          <w:tcPr>
            <w:tcW w:w="9145" w:type="dxa"/>
            <w:gridSpan w:val="6"/>
            <w:tcBorders>
              <w:bottom w:val="single" w:sz="4" w:space="0" w:color="auto"/>
            </w:tcBorders>
            <w:shd w:val="clear" w:color="auto" w:fill="auto"/>
            <w:noWrap/>
            <w:vAlign w:val="center"/>
          </w:tcPr>
          <w:p w14:paraId="03730845" w14:textId="0D8829A2" w:rsidR="003511D3" w:rsidRPr="003511D3" w:rsidRDefault="003511D3" w:rsidP="003511D3">
            <w:pPr>
              <w:pStyle w:val="popistabuliek"/>
              <w:spacing w:before="120"/>
              <w:rPr>
                <w:bCs w:val="0"/>
                <w:color w:val="4F81BD"/>
                <w:sz w:val="20"/>
                <w:szCs w:val="20"/>
              </w:rPr>
            </w:pPr>
            <w:r>
              <w:rPr>
                <w:bCs w:val="0"/>
                <w:color w:val="4F81BD"/>
                <w:sz w:val="20"/>
                <w:szCs w:val="20"/>
              </w:rPr>
              <w:t xml:space="preserve">Tabuľka </w:t>
            </w:r>
            <w:r w:rsidRPr="003511D3">
              <w:rPr>
                <w:bCs w:val="0"/>
                <w:color w:val="4F81BD"/>
                <w:sz w:val="20"/>
                <w:szCs w:val="20"/>
              </w:rPr>
              <w:t>11 - Prehľad významných príjmov z dividend                                                                      v tis. eur</w:t>
            </w:r>
          </w:p>
        </w:tc>
      </w:tr>
      <w:tr w:rsidR="003511D3" w:rsidRPr="00505A09" w14:paraId="2A581259" w14:textId="77777777" w:rsidTr="003511D3">
        <w:trPr>
          <w:trHeight w:val="300"/>
        </w:trPr>
        <w:tc>
          <w:tcPr>
            <w:tcW w:w="4208" w:type="dxa"/>
            <w:tcBorders>
              <w:top w:val="single" w:sz="4" w:space="0" w:color="auto"/>
              <w:bottom w:val="single" w:sz="4" w:space="0" w:color="auto"/>
              <w:right w:val="nil"/>
            </w:tcBorders>
            <w:shd w:val="clear" w:color="auto" w:fill="auto"/>
            <w:noWrap/>
            <w:vAlign w:val="center"/>
          </w:tcPr>
          <w:p w14:paraId="1B58DAF3" w14:textId="77777777" w:rsidR="003511D3" w:rsidRPr="00BF5608" w:rsidRDefault="003511D3" w:rsidP="005019EB">
            <w:pPr>
              <w:spacing w:after="0" w:line="240" w:lineRule="auto"/>
              <w:rPr>
                <w:bCs/>
                <w:color w:val="000000"/>
                <w:sz w:val="18"/>
                <w:szCs w:val="18"/>
                <w:lang w:eastAsia="sk-SK"/>
              </w:rPr>
            </w:pPr>
            <w:r w:rsidRPr="00BF5608">
              <w:rPr>
                <w:bCs/>
                <w:sz w:val="18"/>
                <w:szCs w:val="18"/>
                <w:lang w:eastAsia="sk-SK"/>
              </w:rPr>
              <w:t>Kapitola štátneho rozpočtu / spoločnosť</w:t>
            </w:r>
          </w:p>
        </w:tc>
        <w:tc>
          <w:tcPr>
            <w:tcW w:w="681" w:type="dxa"/>
            <w:tcBorders>
              <w:top w:val="single" w:sz="4" w:space="0" w:color="auto"/>
              <w:left w:val="nil"/>
              <w:bottom w:val="single" w:sz="4" w:space="0" w:color="auto"/>
              <w:right w:val="nil"/>
            </w:tcBorders>
            <w:shd w:val="clear" w:color="auto" w:fill="auto"/>
            <w:noWrap/>
            <w:vAlign w:val="center"/>
          </w:tcPr>
          <w:p w14:paraId="3AD4682E" w14:textId="77777777" w:rsidR="003511D3" w:rsidRPr="00505A09" w:rsidRDefault="003511D3" w:rsidP="005019EB">
            <w:pPr>
              <w:spacing w:after="0" w:line="240" w:lineRule="auto"/>
              <w:jc w:val="center"/>
              <w:rPr>
                <w:b/>
                <w:bCs/>
                <w:color w:val="000000"/>
                <w:sz w:val="18"/>
                <w:szCs w:val="18"/>
                <w:lang w:eastAsia="sk-SK"/>
              </w:rPr>
            </w:pPr>
            <w:r w:rsidRPr="00505A09">
              <w:rPr>
                <w:b/>
                <w:bCs/>
                <w:color w:val="000000"/>
                <w:sz w:val="18"/>
                <w:szCs w:val="18"/>
                <w:lang w:eastAsia="sk-SK"/>
              </w:rPr>
              <w:t>Typ</w:t>
            </w:r>
          </w:p>
        </w:tc>
        <w:tc>
          <w:tcPr>
            <w:tcW w:w="1016" w:type="dxa"/>
            <w:tcBorders>
              <w:top w:val="single" w:sz="4" w:space="0" w:color="auto"/>
              <w:left w:val="nil"/>
              <w:bottom w:val="single" w:sz="4" w:space="0" w:color="auto"/>
              <w:right w:val="nil"/>
            </w:tcBorders>
            <w:shd w:val="clear" w:color="auto" w:fill="auto"/>
            <w:noWrap/>
            <w:vAlign w:val="center"/>
          </w:tcPr>
          <w:p w14:paraId="01AD86A1" w14:textId="77777777" w:rsidR="003511D3" w:rsidRPr="00505A09" w:rsidRDefault="003511D3" w:rsidP="005019EB">
            <w:pPr>
              <w:spacing w:after="0" w:line="240" w:lineRule="auto"/>
              <w:jc w:val="center"/>
              <w:rPr>
                <w:b/>
                <w:bCs/>
                <w:color w:val="000000"/>
                <w:sz w:val="18"/>
                <w:szCs w:val="18"/>
                <w:lang w:eastAsia="sk-SK"/>
              </w:rPr>
            </w:pPr>
            <w:r w:rsidRPr="00505A09">
              <w:rPr>
                <w:b/>
                <w:bCs/>
                <w:sz w:val="18"/>
                <w:szCs w:val="18"/>
                <w:lang w:eastAsia="sk-SK"/>
              </w:rPr>
              <w:t>2020 S</w:t>
            </w:r>
          </w:p>
        </w:tc>
        <w:tc>
          <w:tcPr>
            <w:tcW w:w="1096" w:type="dxa"/>
            <w:tcBorders>
              <w:top w:val="single" w:sz="4" w:space="0" w:color="auto"/>
              <w:left w:val="nil"/>
              <w:bottom w:val="single" w:sz="4" w:space="0" w:color="auto"/>
              <w:right w:val="nil"/>
            </w:tcBorders>
            <w:shd w:val="clear" w:color="auto" w:fill="auto"/>
            <w:noWrap/>
            <w:vAlign w:val="center"/>
          </w:tcPr>
          <w:p w14:paraId="791280C3" w14:textId="77777777" w:rsidR="003511D3" w:rsidRPr="00505A09" w:rsidRDefault="003511D3" w:rsidP="005019EB">
            <w:pPr>
              <w:spacing w:after="0" w:line="240" w:lineRule="auto"/>
              <w:jc w:val="center"/>
              <w:rPr>
                <w:b/>
                <w:bCs/>
                <w:color w:val="000000"/>
                <w:sz w:val="18"/>
                <w:szCs w:val="18"/>
                <w:lang w:eastAsia="sk-SK"/>
              </w:rPr>
            </w:pPr>
            <w:r w:rsidRPr="00505A09">
              <w:rPr>
                <w:b/>
                <w:bCs/>
                <w:sz w:val="18"/>
                <w:szCs w:val="18"/>
                <w:lang w:eastAsia="sk-SK"/>
              </w:rPr>
              <w:t>2021 S</w:t>
            </w:r>
          </w:p>
        </w:tc>
        <w:tc>
          <w:tcPr>
            <w:tcW w:w="976" w:type="dxa"/>
            <w:tcBorders>
              <w:top w:val="single" w:sz="4" w:space="0" w:color="auto"/>
              <w:left w:val="nil"/>
              <w:bottom w:val="single" w:sz="4" w:space="0" w:color="auto"/>
              <w:right w:val="nil"/>
            </w:tcBorders>
            <w:shd w:val="clear" w:color="auto" w:fill="auto"/>
            <w:noWrap/>
            <w:vAlign w:val="center"/>
          </w:tcPr>
          <w:p w14:paraId="55E2B479" w14:textId="77777777" w:rsidR="003511D3" w:rsidRPr="00505A09" w:rsidRDefault="003511D3" w:rsidP="005019EB">
            <w:pPr>
              <w:spacing w:after="0" w:line="240" w:lineRule="auto"/>
              <w:jc w:val="center"/>
              <w:rPr>
                <w:b/>
                <w:bCs/>
                <w:color w:val="000000"/>
                <w:sz w:val="18"/>
                <w:szCs w:val="18"/>
                <w:lang w:eastAsia="sk-SK"/>
              </w:rPr>
            </w:pPr>
            <w:r w:rsidRPr="00505A09">
              <w:rPr>
                <w:b/>
                <w:bCs/>
                <w:sz w:val="18"/>
                <w:szCs w:val="18"/>
                <w:lang w:eastAsia="sk-SK"/>
              </w:rPr>
              <w:t>2022 S</w:t>
            </w:r>
          </w:p>
        </w:tc>
        <w:tc>
          <w:tcPr>
            <w:tcW w:w="1168" w:type="dxa"/>
            <w:tcBorders>
              <w:top w:val="single" w:sz="4" w:space="0" w:color="auto"/>
              <w:left w:val="nil"/>
              <w:bottom w:val="single" w:sz="4" w:space="0" w:color="auto"/>
            </w:tcBorders>
            <w:shd w:val="clear" w:color="auto" w:fill="auto"/>
            <w:noWrap/>
            <w:vAlign w:val="center"/>
          </w:tcPr>
          <w:p w14:paraId="75326BA2" w14:textId="77777777" w:rsidR="003511D3" w:rsidRPr="00505A09" w:rsidRDefault="003511D3" w:rsidP="005019EB">
            <w:pPr>
              <w:spacing w:after="0" w:line="240" w:lineRule="auto"/>
              <w:jc w:val="center"/>
              <w:rPr>
                <w:b/>
                <w:bCs/>
                <w:color w:val="000000"/>
                <w:sz w:val="18"/>
                <w:szCs w:val="18"/>
                <w:lang w:eastAsia="sk-SK"/>
              </w:rPr>
            </w:pPr>
            <w:r w:rsidRPr="00505A09">
              <w:rPr>
                <w:b/>
                <w:bCs/>
                <w:sz w:val="18"/>
                <w:szCs w:val="18"/>
                <w:lang w:eastAsia="sk-SK"/>
              </w:rPr>
              <w:t>Δ(2022-2021)</w:t>
            </w:r>
          </w:p>
        </w:tc>
      </w:tr>
      <w:tr w:rsidR="00743ACA" w:rsidRPr="00505A09" w14:paraId="792B53EC" w14:textId="77777777" w:rsidTr="003511D3">
        <w:trPr>
          <w:trHeight w:val="300"/>
        </w:trPr>
        <w:tc>
          <w:tcPr>
            <w:tcW w:w="4208" w:type="dxa"/>
            <w:tcBorders>
              <w:top w:val="single" w:sz="4" w:space="0" w:color="auto"/>
              <w:bottom w:val="single" w:sz="4" w:space="0" w:color="auto"/>
              <w:right w:val="nil"/>
            </w:tcBorders>
            <w:shd w:val="clear" w:color="auto" w:fill="auto"/>
            <w:noWrap/>
            <w:vAlign w:val="center"/>
          </w:tcPr>
          <w:p w14:paraId="7CDC9F5C" w14:textId="6875821E" w:rsidR="00743ACA" w:rsidRPr="00505A09" w:rsidRDefault="00743ACA" w:rsidP="00743ACA">
            <w:pPr>
              <w:spacing w:after="0" w:line="240" w:lineRule="auto"/>
              <w:rPr>
                <w:b/>
                <w:bCs/>
                <w:color w:val="000000"/>
                <w:sz w:val="18"/>
                <w:szCs w:val="18"/>
                <w:lang w:eastAsia="sk-SK"/>
              </w:rPr>
            </w:pPr>
            <w:r w:rsidRPr="00505A09">
              <w:rPr>
                <w:b/>
                <w:bCs/>
                <w:color w:val="000000"/>
                <w:sz w:val="18"/>
                <w:szCs w:val="18"/>
                <w:lang w:eastAsia="sk-SK"/>
              </w:rPr>
              <w:t>Ministerstvo hospodárstva SR</w:t>
            </w:r>
          </w:p>
        </w:tc>
        <w:tc>
          <w:tcPr>
            <w:tcW w:w="681" w:type="dxa"/>
            <w:tcBorders>
              <w:top w:val="single" w:sz="4" w:space="0" w:color="auto"/>
              <w:left w:val="nil"/>
              <w:bottom w:val="single" w:sz="4" w:space="0" w:color="auto"/>
              <w:right w:val="nil"/>
            </w:tcBorders>
            <w:shd w:val="clear" w:color="auto" w:fill="auto"/>
            <w:noWrap/>
            <w:vAlign w:val="center"/>
          </w:tcPr>
          <w:p w14:paraId="36DA8847" w14:textId="77777777" w:rsidR="00743ACA" w:rsidRPr="00505A09" w:rsidRDefault="00743ACA" w:rsidP="00743ACA">
            <w:pPr>
              <w:spacing w:after="0" w:line="240" w:lineRule="auto"/>
              <w:jc w:val="center"/>
              <w:rPr>
                <w:b/>
                <w:bCs/>
                <w:color w:val="000000"/>
                <w:sz w:val="18"/>
                <w:szCs w:val="18"/>
                <w:lang w:eastAsia="sk-SK"/>
              </w:rPr>
            </w:pPr>
          </w:p>
        </w:tc>
        <w:tc>
          <w:tcPr>
            <w:tcW w:w="1016" w:type="dxa"/>
            <w:tcBorders>
              <w:top w:val="single" w:sz="4" w:space="0" w:color="auto"/>
              <w:left w:val="nil"/>
              <w:bottom w:val="single" w:sz="4" w:space="0" w:color="auto"/>
              <w:right w:val="nil"/>
            </w:tcBorders>
            <w:shd w:val="clear" w:color="auto" w:fill="auto"/>
            <w:noWrap/>
            <w:vAlign w:val="center"/>
          </w:tcPr>
          <w:p w14:paraId="78AAEF5F" w14:textId="77777777" w:rsidR="00743ACA" w:rsidRPr="00505A09" w:rsidRDefault="00743ACA" w:rsidP="00743ACA">
            <w:pPr>
              <w:spacing w:after="0" w:line="240" w:lineRule="auto"/>
              <w:jc w:val="center"/>
              <w:rPr>
                <w:b/>
                <w:bCs/>
                <w:color w:val="000000"/>
                <w:sz w:val="18"/>
                <w:szCs w:val="18"/>
                <w:lang w:eastAsia="sk-SK"/>
              </w:rPr>
            </w:pPr>
          </w:p>
        </w:tc>
        <w:tc>
          <w:tcPr>
            <w:tcW w:w="1096" w:type="dxa"/>
            <w:tcBorders>
              <w:top w:val="single" w:sz="4" w:space="0" w:color="auto"/>
              <w:left w:val="nil"/>
              <w:bottom w:val="single" w:sz="4" w:space="0" w:color="auto"/>
              <w:right w:val="nil"/>
            </w:tcBorders>
            <w:shd w:val="clear" w:color="auto" w:fill="auto"/>
            <w:noWrap/>
            <w:vAlign w:val="center"/>
          </w:tcPr>
          <w:p w14:paraId="50ADF8B6" w14:textId="77777777" w:rsidR="00743ACA" w:rsidRPr="00505A09" w:rsidRDefault="00743ACA" w:rsidP="00743ACA">
            <w:pPr>
              <w:spacing w:after="0" w:line="240" w:lineRule="auto"/>
              <w:jc w:val="center"/>
              <w:rPr>
                <w:b/>
                <w:bCs/>
                <w:color w:val="000000"/>
                <w:sz w:val="18"/>
                <w:szCs w:val="18"/>
                <w:lang w:eastAsia="sk-SK"/>
              </w:rPr>
            </w:pPr>
          </w:p>
        </w:tc>
        <w:tc>
          <w:tcPr>
            <w:tcW w:w="976" w:type="dxa"/>
            <w:tcBorders>
              <w:top w:val="single" w:sz="4" w:space="0" w:color="auto"/>
              <w:left w:val="nil"/>
              <w:bottom w:val="single" w:sz="4" w:space="0" w:color="auto"/>
              <w:right w:val="nil"/>
            </w:tcBorders>
            <w:shd w:val="clear" w:color="auto" w:fill="auto"/>
            <w:noWrap/>
            <w:vAlign w:val="center"/>
          </w:tcPr>
          <w:p w14:paraId="3D2B38DB" w14:textId="77777777" w:rsidR="00743ACA" w:rsidRPr="00505A09" w:rsidRDefault="00743ACA" w:rsidP="00743ACA">
            <w:pPr>
              <w:spacing w:after="0" w:line="240" w:lineRule="auto"/>
              <w:jc w:val="center"/>
              <w:rPr>
                <w:b/>
                <w:bCs/>
                <w:color w:val="000000"/>
                <w:sz w:val="18"/>
                <w:szCs w:val="18"/>
                <w:lang w:eastAsia="sk-SK"/>
              </w:rPr>
            </w:pPr>
          </w:p>
        </w:tc>
        <w:tc>
          <w:tcPr>
            <w:tcW w:w="1168" w:type="dxa"/>
            <w:tcBorders>
              <w:top w:val="single" w:sz="4" w:space="0" w:color="auto"/>
              <w:left w:val="nil"/>
              <w:bottom w:val="single" w:sz="4" w:space="0" w:color="auto"/>
            </w:tcBorders>
            <w:shd w:val="clear" w:color="auto" w:fill="auto"/>
            <w:noWrap/>
            <w:vAlign w:val="center"/>
          </w:tcPr>
          <w:p w14:paraId="3E310220" w14:textId="77777777" w:rsidR="00743ACA" w:rsidRPr="00505A09" w:rsidRDefault="00743ACA" w:rsidP="00743ACA">
            <w:pPr>
              <w:spacing w:after="0" w:line="240" w:lineRule="auto"/>
              <w:jc w:val="center"/>
              <w:rPr>
                <w:b/>
                <w:bCs/>
                <w:color w:val="000000"/>
                <w:sz w:val="18"/>
                <w:szCs w:val="18"/>
                <w:lang w:eastAsia="sk-SK"/>
              </w:rPr>
            </w:pPr>
          </w:p>
        </w:tc>
      </w:tr>
      <w:tr w:rsidR="00743ACA" w:rsidRPr="00505A09" w14:paraId="0196080C" w14:textId="77777777" w:rsidTr="003511D3">
        <w:trPr>
          <w:trHeight w:val="300"/>
        </w:trPr>
        <w:tc>
          <w:tcPr>
            <w:tcW w:w="4208" w:type="dxa"/>
            <w:vMerge w:val="restart"/>
            <w:tcBorders>
              <w:right w:val="nil"/>
            </w:tcBorders>
            <w:shd w:val="clear" w:color="auto" w:fill="auto"/>
            <w:vAlign w:val="center"/>
            <w:hideMark/>
          </w:tcPr>
          <w:p w14:paraId="3189DB09"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Slovenský plynárenský priemysel, </w:t>
            </w:r>
            <w:proofErr w:type="spellStart"/>
            <w:r w:rsidRPr="00505A09">
              <w:rPr>
                <w:sz w:val="18"/>
                <w:szCs w:val="18"/>
                <w:lang w:eastAsia="sk-SK"/>
              </w:rPr>
              <w:t>a.s</w:t>
            </w:r>
            <w:proofErr w:type="spellEnd"/>
            <w:r w:rsidRPr="00505A09">
              <w:rPr>
                <w:sz w:val="18"/>
                <w:szCs w:val="18"/>
                <w:lang w:eastAsia="sk-SK"/>
              </w:rPr>
              <w:t xml:space="preserve">.  </w:t>
            </w:r>
          </w:p>
        </w:tc>
        <w:tc>
          <w:tcPr>
            <w:tcW w:w="681" w:type="dxa"/>
            <w:tcBorders>
              <w:left w:val="nil"/>
              <w:right w:val="nil"/>
            </w:tcBorders>
            <w:shd w:val="clear" w:color="auto" w:fill="auto"/>
            <w:vAlign w:val="center"/>
            <w:hideMark/>
          </w:tcPr>
          <w:p w14:paraId="10A4B201"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left w:val="nil"/>
              <w:right w:val="nil"/>
            </w:tcBorders>
            <w:shd w:val="clear" w:color="auto" w:fill="auto"/>
            <w:noWrap/>
            <w:vAlign w:val="bottom"/>
            <w:hideMark/>
          </w:tcPr>
          <w:p w14:paraId="194D79A7"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250 000</w:t>
            </w:r>
          </w:p>
        </w:tc>
        <w:tc>
          <w:tcPr>
            <w:tcW w:w="1096" w:type="dxa"/>
            <w:tcBorders>
              <w:left w:val="nil"/>
              <w:right w:val="nil"/>
            </w:tcBorders>
            <w:shd w:val="clear" w:color="auto" w:fill="auto"/>
            <w:noWrap/>
            <w:vAlign w:val="bottom"/>
            <w:hideMark/>
          </w:tcPr>
          <w:p w14:paraId="4C40B25D"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254 400</w:t>
            </w:r>
          </w:p>
        </w:tc>
        <w:tc>
          <w:tcPr>
            <w:tcW w:w="976" w:type="dxa"/>
            <w:tcBorders>
              <w:left w:val="nil"/>
              <w:right w:val="nil"/>
            </w:tcBorders>
            <w:shd w:val="clear" w:color="auto" w:fill="auto"/>
            <w:noWrap/>
            <w:vAlign w:val="bottom"/>
            <w:hideMark/>
          </w:tcPr>
          <w:p w14:paraId="69078A8D"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220 000</w:t>
            </w:r>
          </w:p>
        </w:tc>
        <w:tc>
          <w:tcPr>
            <w:tcW w:w="1168" w:type="dxa"/>
            <w:tcBorders>
              <w:left w:val="nil"/>
            </w:tcBorders>
            <w:shd w:val="clear" w:color="auto" w:fill="auto"/>
            <w:noWrap/>
            <w:vAlign w:val="bottom"/>
            <w:hideMark/>
          </w:tcPr>
          <w:p w14:paraId="615B2B39"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-34 400</w:t>
            </w:r>
          </w:p>
        </w:tc>
      </w:tr>
      <w:tr w:rsidR="00743ACA" w:rsidRPr="00505A09" w14:paraId="13659979" w14:textId="77777777" w:rsidTr="003511D3">
        <w:trPr>
          <w:trHeight w:val="300"/>
        </w:trPr>
        <w:tc>
          <w:tcPr>
            <w:tcW w:w="4208" w:type="dxa"/>
            <w:vMerge/>
            <w:tcBorders>
              <w:right w:val="nil"/>
            </w:tcBorders>
            <w:vAlign w:val="center"/>
            <w:hideMark/>
          </w:tcPr>
          <w:p w14:paraId="73BF5BC5" w14:textId="77777777" w:rsidR="00743ACA" w:rsidRPr="00505A09" w:rsidRDefault="00743ACA" w:rsidP="00743ACA">
            <w:pPr>
              <w:spacing w:after="0" w:line="240" w:lineRule="auto"/>
              <w:rPr>
                <w:sz w:val="18"/>
                <w:szCs w:val="18"/>
                <w:lang w:eastAsia="sk-SK"/>
              </w:rPr>
            </w:pPr>
          </w:p>
        </w:tc>
        <w:tc>
          <w:tcPr>
            <w:tcW w:w="681" w:type="dxa"/>
            <w:tcBorders>
              <w:left w:val="nil"/>
              <w:right w:val="nil"/>
            </w:tcBorders>
            <w:shd w:val="clear" w:color="auto" w:fill="auto"/>
            <w:vAlign w:val="center"/>
            <w:hideMark/>
          </w:tcPr>
          <w:p w14:paraId="0F30833D"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left w:val="nil"/>
              <w:right w:val="nil"/>
            </w:tcBorders>
            <w:shd w:val="clear" w:color="auto" w:fill="auto"/>
            <w:noWrap/>
            <w:vAlign w:val="bottom"/>
            <w:hideMark/>
          </w:tcPr>
          <w:p w14:paraId="5327851D"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167 850</w:t>
            </w:r>
          </w:p>
        </w:tc>
        <w:tc>
          <w:tcPr>
            <w:tcW w:w="1096" w:type="dxa"/>
            <w:tcBorders>
              <w:left w:val="nil"/>
              <w:right w:val="nil"/>
            </w:tcBorders>
            <w:shd w:val="clear" w:color="auto" w:fill="auto"/>
            <w:noWrap/>
            <w:vAlign w:val="bottom"/>
            <w:hideMark/>
          </w:tcPr>
          <w:p w14:paraId="2E2A8E17"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249 510</w:t>
            </w:r>
          </w:p>
        </w:tc>
        <w:tc>
          <w:tcPr>
            <w:tcW w:w="976" w:type="dxa"/>
            <w:tcBorders>
              <w:left w:val="nil"/>
              <w:right w:val="nil"/>
            </w:tcBorders>
            <w:shd w:val="clear" w:color="auto" w:fill="auto"/>
            <w:noWrap/>
            <w:vAlign w:val="bottom"/>
            <w:hideMark/>
          </w:tcPr>
          <w:p w14:paraId="3199D90E"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160 817</w:t>
            </w:r>
          </w:p>
        </w:tc>
        <w:tc>
          <w:tcPr>
            <w:tcW w:w="1168" w:type="dxa"/>
            <w:tcBorders>
              <w:left w:val="nil"/>
            </w:tcBorders>
            <w:shd w:val="clear" w:color="auto" w:fill="auto"/>
            <w:noWrap/>
            <w:vAlign w:val="bottom"/>
            <w:hideMark/>
          </w:tcPr>
          <w:p w14:paraId="7628B99C"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-88 693</w:t>
            </w:r>
          </w:p>
        </w:tc>
      </w:tr>
      <w:tr w:rsidR="00743ACA" w:rsidRPr="00505A09" w14:paraId="2BD71573" w14:textId="77777777" w:rsidTr="003511D3">
        <w:trPr>
          <w:trHeight w:val="300"/>
        </w:trPr>
        <w:tc>
          <w:tcPr>
            <w:tcW w:w="4208" w:type="dxa"/>
            <w:vMerge/>
            <w:tcBorders>
              <w:right w:val="nil"/>
            </w:tcBorders>
            <w:vAlign w:val="center"/>
            <w:hideMark/>
          </w:tcPr>
          <w:p w14:paraId="3BBD7DEA" w14:textId="77777777" w:rsidR="00743ACA" w:rsidRPr="00505A09" w:rsidRDefault="00743ACA" w:rsidP="00743ACA">
            <w:pPr>
              <w:spacing w:after="0" w:line="240" w:lineRule="auto"/>
              <w:rPr>
                <w:sz w:val="18"/>
                <w:szCs w:val="18"/>
                <w:lang w:eastAsia="sk-SK"/>
              </w:rPr>
            </w:pPr>
          </w:p>
        </w:tc>
        <w:tc>
          <w:tcPr>
            <w:tcW w:w="681" w:type="dxa"/>
            <w:tcBorders>
              <w:left w:val="nil"/>
              <w:right w:val="nil"/>
            </w:tcBorders>
            <w:shd w:val="clear" w:color="auto" w:fill="auto"/>
            <w:vAlign w:val="center"/>
            <w:hideMark/>
          </w:tcPr>
          <w:p w14:paraId="6F94545E"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left w:val="nil"/>
              <w:right w:val="nil"/>
            </w:tcBorders>
            <w:shd w:val="clear" w:color="auto" w:fill="auto"/>
            <w:noWrap/>
            <w:vAlign w:val="bottom"/>
            <w:hideMark/>
          </w:tcPr>
          <w:p w14:paraId="28759C9A"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82 150</w:t>
            </w:r>
          </w:p>
        </w:tc>
        <w:tc>
          <w:tcPr>
            <w:tcW w:w="1096" w:type="dxa"/>
            <w:tcBorders>
              <w:left w:val="nil"/>
              <w:right w:val="nil"/>
            </w:tcBorders>
            <w:shd w:val="clear" w:color="auto" w:fill="auto"/>
            <w:noWrap/>
            <w:vAlign w:val="bottom"/>
            <w:hideMark/>
          </w:tcPr>
          <w:p w14:paraId="43057C90"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4 890</w:t>
            </w:r>
          </w:p>
        </w:tc>
        <w:tc>
          <w:tcPr>
            <w:tcW w:w="976" w:type="dxa"/>
            <w:tcBorders>
              <w:left w:val="nil"/>
              <w:right w:val="nil"/>
            </w:tcBorders>
            <w:shd w:val="clear" w:color="auto" w:fill="auto"/>
            <w:noWrap/>
            <w:vAlign w:val="bottom"/>
            <w:hideMark/>
          </w:tcPr>
          <w:p w14:paraId="44887821"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59 183</w:t>
            </w:r>
          </w:p>
        </w:tc>
        <w:tc>
          <w:tcPr>
            <w:tcW w:w="1168" w:type="dxa"/>
            <w:tcBorders>
              <w:left w:val="nil"/>
            </w:tcBorders>
            <w:shd w:val="clear" w:color="auto" w:fill="auto"/>
            <w:noWrap/>
            <w:vAlign w:val="bottom"/>
            <w:hideMark/>
          </w:tcPr>
          <w:p w14:paraId="42755F55"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54 293</w:t>
            </w:r>
          </w:p>
        </w:tc>
      </w:tr>
      <w:tr w:rsidR="00743ACA" w:rsidRPr="00505A09" w14:paraId="710790E1" w14:textId="77777777" w:rsidTr="003511D3">
        <w:trPr>
          <w:trHeight w:val="300"/>
        </w:trPr>
        <w:tc>
          <w:tcPr>
            <w:tcW w:w="4208" w:type="dxa"/>
            <w:vMerge w:val="restart"/>
            <w:tcBorders>
              <w:top w:val="nil"/>
              <w:right w:val="nil"/>
            </w:tcBorders>
            <w:shd w:val="clear" w:color="auto" w:fill="auto"/>
            <w:vAlign w:val="center"/>
            <w:hideMark/>
          </w:tcPr>
          <w:p w14:paraId="755EA0E2"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Západoslovenská energetika, </w:t>
            </w:r>
            <w:proofErr w:type="spellStart"/>
            <w:r w:rsidRPr="00505A09">
              <w:rPr>
                <w:sz w:val="18"/>
                <w:szCs w:val="18"/>
                <w:lang w:eastAsia="sk-SK"/>
              </w:rPr>
              <w:t>a.s</w:t>
            </w:r>
            <w:proofErr w:type="spellEnd"/>
            <w:r w:rsidRPr="00505A09">
              <w:rPr>
                <w:sz w:val="18"/>
                <w:szCs w:val="18"/>
                <w:lang w:eastAsia="sk-SK"/>
              </w:rPr>
              <w:t xml:space="preserve">. </w:t>
            </w:r>
          </w:p>
        </w:tc>
        <w:tc>
          <w:tcPr>
            <w:tcW w:w="681" w:type="dxa"/>
            <w:tcBorders>
              <w:top w:val="nil"/>
              <w:left w:val="nil"/>
              <w:right w:val="nil"/>
            </w:tcBorders>
            <w:shd w:val="clear" w:color="auto" w:fill="auto"/>
            <w:vAlign w:val="center"/>
            <w:hideMark/>
          </w:tcPr>
          <w:p w14:paraId="4A4F0293"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5422A0A3"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37 809</w:t>
            </w:r>
          </w:p>
        </w:tc>
        <w:tc>
          <w:tcPr>
            <w:tcW w:w="1096" w:type="dxa"/>
            <w:tcBorders>
              <w:top w:val="nil"/>
              <w:left w:val="nil"/>
              <w:right w:val="nil"/>
            </w:tcBorders>
            <w:shd w:val="clear" w:color="auto" w:fill="auto"/>
            <w:noWrap/>
            <w:vAlign w:val="bottom"/>
            <w:hideMark/>
          </w:tcPr>
          <w:p w14:paraId="4F7961E2"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45 697</w:t>
            </w:r>
          </w:p>
        </w:tc>
        <w:tc>
          <w:tcPr>
            <w:tcW w:w="976" w:type="dxa"/>
            <w:tcBorders>
              <w:top w:val="nil"/>
              <w:left w:val="nil"/>
              <w:right w:val="nil"/>
            </w:tcBorders>
            <w:shd w:val="clear" w:color="auto" w:fill="auto"/>
            <w:noWrap/>
            <w:vAlign w:val="bottom"/>
            <w:hideMark/>
          </w:tcPr>
          <w:p w14:paraId="7EACFEAE"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44 839</w:t>
            </w:r>
          </w:p>
        </w:tc>
        <w:tc>
          <w:tcPr>
            <w:tcW w:w="1168" w:type="dxa"/>
            <w:tcBorders>
              <w:top w:val="nil"/>
              <w:left w:val="nil"/>
            </w:tcBorders>
            <w:shd w:val="clear" w:color="auto" w:fill="auto"/>
            <w:noWrap/>
            <w:vAlign w:val="bottom"/>
            <w:hideMark/>
          </w:tcPr>
          <w:p w14:paraId="4DB34269"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-858</w:t>
            </w:r>
          </w:p>
        </w:tc>
      </w:tr>
      <w:tr w:rsidR="00743ACA" w:rsidRPr="00505A09" w14:paraId="648661F7" w14:textId="77777777" w:rsidTr="003511D3">
        <w:trPr>
          <w:trHeight w:val="300"/>
        </w:trPr>
        <w:tc>
          <w:tcPr>
            <w:tcW w:w="4208" w:type="dxa"/>
            <w:vMerge/>
            <w:tcBorders>
              <w:top w:val="nil"/>
              <w:right w:val="nil"/>
            </w:tcBorders>
            <w:vAlign w:val="center"/>
            <w:hideMark/>
          </w:tcPr>
          <w:p w14:paraId="4A4E06AB"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2E629C93"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181D6DB3"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37 483</w:t>
            </w:r>
          </w:p>
        </w:tc>
        <w:tc>
          <w:tcPr>
            <w:tcW w:w="1096" w:type="dxa"/>
            <w:tcBorders>
              <w:top w:val="nil"/>
              <w:left w:val="nil"/>
              <w:right w:val="nil"/>
            </w:tcBorders>
            <w:shd w:val="clear" w:color="auto" w:fill="auto"/>
            <w:noWrap/>
            <w:vAlign w:val="bottom"/>
            <w:hideMark/>
          </w:tcPr>
          <w:p w14:paraId="3C062BA4"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45 697</w:t>
            </w:r>
          </w:p>
        </w:tc>
        <w:tc>
          <w:tcPr>
            <w:tcW w:w="976" w:type="dxa"/>
            <w:tcBorders>
              <w:top w:val="nil"/>
              <w:left w:val="nil"/>
              <w:right w:val="nil"/>
            </w:tcBorders>
            <w:shd w:val="clear" w:color="auto" w:fill="auto"/>
            <w:noWrap/>
            <w:vAlign w:val="bottom"/>
            <w:hideMark/>
          </w:tcPr>
          <w:p w14:paraId="53C51495"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44 839</w:t>
            </w:r>
          </w:p>
        </w:tc>
        <w:tc>
          <w:tcPr>
            <w:tcW w:w="1168" w:type="dxa"/>
            <w:tcBorders>
              <w:top w:val="nil"/>
              <w:left w:val="nil"/>
            </w:tcBorders>
            <w:shd w:val="clear" w:color="auto" w:fill="auto"/>
            <w:noWrap/>
            <w:vAlign w:val="bottom"/>
            <w:hideMark/>
          </w:tcPr>
          <w:p w14:paraId="4AB38872"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-858</w:t>
            </w:r>
          </w:p>
        </w:tc>
      </w:tr>
      <w:tr w:rsidR="00743ACA" w:rsidRPr="00505A09" w14:paraId="0523FCBF" w14:textId="77777777" w:rsidTr="003511D3">
        <w:trPr>
          <w:trHeight w:val="300"/>
        </w:trPr>
        <w:tc>
          <w:tcPr>
            <w:tcW w:w="4208" w:type="dxa"/>
            <w:vMerge/>
            <w:tcBorders>
              <w:top w:val="nil"/>
              <w:right w:val="nil"/>
            </w:tcBorders>
            <w:vAlign w:val="center"/>
            <w:hideMark/>
          </w:tcPr>
          <w:p w14:paraId="126937CB"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698E3246"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bottom"/>
            <w:hideMark/>
          </w:tcPr>
          <w:p w14:paraId="0F2B84DE"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326</w:t>
            </w:r>
          </w:p>
        </w:tc>
        <w:tc>
          <w:tcPr>
            <w:tcW w:w="1096" w:type="dxa"/>
            <w:tcBorders>
              <w:top w:val="nil"/>
              <w:left w:val="nil"/>
              <w:right w:val="nil"/>
            </w:tcBorders>
            <w:shd w:val="clear" w:color="auto" w:fill="auto"/>
            <w:noWrap/>
            <w:vAlign w:val="bottom"/>
            <w:hideMark/>
          </w:tcPr>
          <w:p w14:paraId="1394FF89"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976" w:type="dxa"/>
            <w:tcBorders>
              <w:top w:val="nil"/>
              <w:left w:val="nil"/>
              <w:right w:val="nil"/>
            </w:tcBorders>
            <w:shd w:val="clear" w:color="auto" w:fill="auto"/>
            <w:noWrap/>
            <w:vAlign w:val="bottom"/>
            <w:hideMark/>
          </w:tcPr>
          <w:p w14:paraId="561BD7CD"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tcBorders>
            <w:shd w:val="clear" w:color="auto" w:fill="auto"/>
            <w:noWrap/>
            <w:vAlign w:val="bottom"/>
            <w:hideMark/>
          </w:tcPr>
          <w:p w14:paraId="0532B3AF"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r>
      <w:tr w:rsidR="00743ACA" w:rsidRPr="00505A09" w14:paraId="7CCD908D" w14:textId="77777777" w:rsidTr="003511D3">
        <w:trPr>
          <w:trHeight w:val="300"/>
        </w:trPr>
        <w:tc>
          <w:tcPr>
            <w:tcW w:w="4208" w:type="dxa"/>
            <w:vMerge w:val="restart"/>
            <w:tcBorders>
              <w:top w:val="nil"/>
              <w:right w:val="nil"/>
            </w:tcBorders>
            <w:shd w:val="clear" w:color="auto" w:fill="auto"/>
            <w:vAlign w:val="center"/>
            <w:hideMark/>
          </w:tcPr>
          <w:p w14:paraId="50A3D964"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Stredoslovenská energetika Holding,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right w:val="nil"/>
            </w:tcBorders>
            <w:shd w:val="clear" w:color="auto" w:fill="auto"/>
            <w:vAlign w:val="center"/>
            <w:hideMark/>
          </w:tcPr>
          <w:p w14:paraId="38D7BF66"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47D67F60"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96 204</w:t>
            </w:r>
          </w:p>
        </w:tc>
        <w:tc>
          <w:tcPr>
            <w:tcW w:w="1096" w:type="dxa"/>
            <w:tcBorders>
              <w:top w:val="nil"/>
              <w:left w:val="nil"/>
              <w:right w:val="nil"/>
            </w:tcBorders>
            <w:shd w:val="clear" w:color="auto" w:fill="auto"/>
            <w:noWrap/>
            <w:vAlign w:val="bottom"/>
            <w:hideMark/>
          </w:tcPr>
          <w:p w14:paraId="0AE15F1E"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113 071</w:t>
            </w:r>
          </w:p>
        </w:tc>
        <w:tc>
          <w:tcPr>
            <w:tcW w:w="976" w:type="dxa"/>
            <w:tcBorders>
              <w:top w:val="nil"/>
              <w:left w:val="nil"/>
              <w:right w:val="nil"/>
            </w:tcBorders>
            <w:shd w:val="clear" w:color="auto" w:fill="auto"/>
            <w:noWrap/>
            <w:vAlign w:val="bottom"/>
            <w:hideMark/>
          </w:tcPr>
          <w:p w14:paraId="030AC231"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74 777</w:t>
            </w:r>
          </w:p>
        </w:tc>
        <w:tc>
          <w:tcPr>
            <w:tcW w:w="1168" w:type="dxa"/>
            <w:tcBorders>
              <w:top w:val="nil"/>
              <w:left w:val="nil"/>
            </w:tcBorders>
            <w:shd w:val="clear" w:color="auto" w:fill="auto"/>
            <w:noWrap/>
            <w:vAlign w:val="bottom"/>
            <w:hideMark/>
          </w:tcPr>
          <w:p w14:paraId="4EC87F6E"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-38 294</w:t>
            </w:r>
          </w:p>
        </w:tc>
      </w:tr>
      <w:tr w:rsidR="00743ACA" w:rsidRPr="00505A09" w14:paraId="5E4E2651" w14:textId="77777777" w:rsidTr="003511D3">
        <w:trPr>
          <w:trHeight w:val="300"/>
        </w:trPr>
        <w:tc>
          <w:tcPr>
            <w:tcW w:w="4208" w:type="dxa"/>
            <w:vMerge/>
            <w:tcBorders>
              <w:top w:val="nil"/>
              <w:right w:val="nil"/>
            </w:tcBorders>
            <w:vAlign w:val="center"/>
            <w:hideMark/>
          </w:tcPr>
          <w:p w14:paraId="752F7026"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37EE569E"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4D7DCC21"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21 098</w:t>
            </w:r>
          </w:p>
        </w:tc>
        <w:tc>
          <w:tcPr>
            <w:tcW w:w="1096" w:type="dxa"/>
            <w:tcBorders>
              <w:top w:val="nil"/>
              <w:left w:val="nil"/>
              <w:right w:val="nil"/>
            </w:tcBorders>
            <w:shd w:val="clear" w:color="auto" w:fill="auto"/>
            <w:noWrap/>
            <w:vAlign w:val="bottom"/>
            <w:hideMark/>
          </w:tcPr>
          <w:p w14:paraId="6E0CFAEE"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62 037</w:t>
            </w:r>
          </w:p>
        </w:tc>
        <w:tc>
          <w:tcPr>
            <w:tcW w:w="976" w:type="dxa"/>
            <w:tcBorders>
              <w:top w:val="nil"/>
              <w:left w:val="nil"/>
              <w:right w:val="nil"/>
            </w:tcBorders>
            <w:shd w:val="clear" w:color="auto" w:fill="auto"/>
            <w:noWrap/>
            <w:vAlign w:val="bottom"/>
            <w:hideMark/>
          </w:tcPr>
          <w:p w14:paraId="030380B7"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74 777</w:t>
            </w:r>
          </w:p>
        </w:tc>
        <w:tc>
          <w:tcPr>
            <w:tcW w:w="1168" w:type="dxa"/>
            <w:tcBorders>
              <w:top w:val="nil"/>
              <w:left w:val="nil"/>
            </w:tcBorders>
            <w:shd w:val="clear" w:color="auto" w:fill="auto"/>
            <w:noWrap/>
            <w:vAlign w:val="bottom"/>
            <w:hideMark/>
          </w:tcPr>
          <w:p w14:paraId="386D9086"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12 740</w:t>
            </w:r>
          </w:p>
        </w:tc>
      </w:tr>
      <w:tr w:rsidR="00743ACA" w:rsidRPr="00505A09" w14:paraId="36E27217" w14:textId="77777777" w:rsidTr="003511D3">
        <w:trPr>
          <w:trHeight w:val="300"/>
        </w:trPr>
        <w:tc>
          <w:tcPr>
            <w:tcW w:w="4208" w:type="dxa"/>
            <w:vMerge/>
            <w:tcBorders>
              <w:top w:val="nil"/>
              <w:right w:val="nil"/>
            </w:tcBorders>
            <w:vAlign w:val="center"/>
            <w:hideMark/>
          </w:tcPr>
          <w:p w14:paraId="7720E6C3"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4441B1EA"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bottom"/>
            <w:hideMark/>
          </w:tcPr>
          <w:p w14:paraId="27532737"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75 106</w:t>
            </w:r>
          </w:p>
        </w:tc>
        <w:tc>
          <w:tcPr>
            <w:tcW w:w="1096" w:type="dxa"/>
            <w:tcBorders>
              <w:top w:val="nil"/>
              <w:left w:val="nil"/>
              <w:right w:val="nil"/>
            </w:tcBorders>
            <w:shd w:val="clear" w:color="auto" w:fill="auto"/>
            <w:noWrap/>
            <w:vAlign w:val="bottom"/>
            <w:hideMark/>
          </w:tcPr>
          <w:p w14:paraId="3C142E37"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51 034</w:t>
            </w:r>
          </w:p>
        </w:tc>
        <w:tc>
          <w:tcPr>
            <w:tcW w:w="976" w:type="dxa"/>
            <w:tcBorders>
              <w:top w:val="nil"/>
              <w:left w:val="nil"/>
              <w:right w:val="nil"/>
            </w:tcBorders>
            <w:shd w:val="clear" w:color="auto" w:fill="auto"/>
            <w:noWrap/>
            <w:vAlign w:val="bottom"/>
            <w:hideMark/>
          </w:tcPr>
          <w:p w14:paraId="6D3DC786"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tcBorders>
            <w:shd w:val="clear" w:color="auto" w:fill="auto"/>
            <w:noWrap/>
            <w:vAlign w:val="bottom"/>
            <w:hideMark/>
          </w:tcPr>
          <w:p w14:paraId="761C4DD2"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-51 034</w:t>
            </w:r>
          </w:p>
        </w:tc>
      </w:tr>
      <w:tr w:rsidR="00743ACA" w:rsidRPr="00505A09" w14:paraId="7C1B9D48" w14:textId="77777777" w:rsidTr="003511D3">
        <w:trPr>
          <w:trHeight w:val="300"/>
        </w:trPr>
        <w:tc>
          <w:tcPr>
            <w:tcW w:w="4208" w:type="dxa"/>
            <w:vMerge w:val="restart"/>
            <w:tcBorders>
              <w:top w:val="nil"/>
              <w:right w:val="nil"/>
            </w:tcBorders>
            <w:shd w:val="clear" w:color="auto" w:fill="auto"/>
            <w:vAlign w:val="center"/>
            <w:hideMark/>
          </w:tcPr>
          <w:p w14:paraId="283FBF7D"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Východoslovenská energetika Holding,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right w:val="nil"/>
            </w:tcBorders>
            <w:shd w:val="clear" w:color="auto" w:fill="auto"/>
            <w:vAlign w:val="center"/>
            <w:hideMark/>
          </w:tcPr>
          <w:p w14:paraId="30A1DDCD"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4CC6CE93"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34 022</w:t>
            </w:r>
          </w:p>
        </w:tc>
        <w:tc>
          <w:tcPr>
            <w:tcW w:w="1096" w:type="dxa"/>
            <w:tcBorders>
              <w:top w:val="nil"/>
              <w:left w:val="nil"/>
              <w:right w:val="nil"/>
            </w:tcBorders>
            <w:shd w:val="clear" w:color="auto" w:fill="auto"/>
            <w:noWrap/>
            <w:vAlign w:val="bottom"/>
            <w:hideMark/>
          </w:tcPr>
          <w:p w14:paraId="01EFB3B9"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33 677</w:t>
            </w:r>
          </w:p>
        </w:tc>
        <w:tc>
          <w:tcPr>
            <w:tcW w:w="976" w:type="dxa"/>
            <w:tcBorders>
              <w:top w:val="nil"/>
              <w:left w:val="nil"/>
              <w:right w:val="nil"/>
            </w:tcBorders>
            <w:shd w:val="clear" w:color="auto" w:fill="auto"/>
            <w:noWrap/>
            <w:vAlign w:val="bottom"/>
            <w:hideMark/>
          </w:tcPr>
          <w:p w14:paraId="63CE7D46"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29 070</w:t>
            </w:r>
          </w:p>
        </w:tc>
        <w:tc>
          <w:tcPr>
            <w:tcW w:w="1168" w:type="dxa"/>
            <w:tcBorders>
              <w:top w:val="nil"/>
              <w:left w:val="nil"/>
            </w:tcBorders>
            <w:shd w:val="clear" w:color="auto" w:fill="auto"/>
            <w:noWrap/>
            <w:vAlign w:val="bottom"/>
            <w:hideMark/>
          </w:tcPr>
          <w:p w14:paraId="03A8C1B3"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-4 607</w:t>
            </w:r>
          </w:p>
        </w:tc>
      </w:tr>
      <w:tr w:rsidR="00743ACA" w:rsidRPr="00505A09" w14:paraId="721338C1" w14:textId="77777777" w:rsidTr="003511D3">
        <w:trPr>
          <w:trHeight w:val="300"/>
        </w:trPr>
        <w:tc>
          <w:tcPr>
            <w:tcW w:w="4208" w:type="dxa"/>
            <w:vMerge/>
            <w:tcBorders>
              <w:top w:val="nil"/>
              <w:right w:val="nil"/>
            </w:tcBorders>
            <w:vAlign w:val="center"/>
            <w:hideMark/>
          </w:tcPr>
          <w:p w14:paraId="4A6DC845"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70A8D54E"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180C142A"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20 325</w:t>
            </w:r>
          </w:p>
        </w:tc>
        <w:tc>
          <w:tcPr>
            <w:tcW w:w="1096" w:type="dxa"/>
            <w:tcBorders>
              <w:top w:val="nil"/>
              <w:left w:val="nil"/>
              <w:right w:val="nil"/>
            </w:tcBorders>
            <w:shd w:val="clear" w:color="auto" w:fill="auto"/>
            <w:noWrap/>
            <w:vAlign w:val="bottom"/>
            <w:hideMark/>
          </w:tcPr>
          <w:p w14:paraId="226E486E"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25 220</w:t>
            </w:r>
          </w:p>
        </w:tc>
        <w:tc>
          <w:tcPr>
            <w:tcW w:w="976" w:type="dxa"/>
            <w:tcBorders>
              <w:top w:val="nil"/>
              <w:left w:val="nil"/>
              <w:right w:val="nil"/>
            </w:tcBorders>
            <w:shd w:val="clear" w:color="auto" w:fill="auto"/>
            <w:noWrap/>
            <w:vAlign w:val="bottom"/>
            <w:hideMark/>
          </w:tcPr>
          <w:p w14:paraId="7BDD6E23"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23 231</w:t>
            </w:r>
          </w:p>
        </w:tc>
        <w:tc>
          <w:tcPr>
            <w:tcW w:w="1168" w:type="dxa"/>
            <w:tcBorders>
              <w:top w:val="nil"/>
              <w:left w:val="nil"/>
            </w:tcBorders>
            <w:shd w:val="clear" w:color="auto" w:fill="auto"/>
            <w:noWrap/>
            <w:vAlign w:val="bottom"/>
            <w:hideMark/>
          </w:tcPr>
          <w:p w14:paraId="78D72E2C"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-1 989</w:t>
            </w:r>
          </w:p>
        </w:tc>
      </w:tr>
      <w:tr w:rsidR="00743ACA" w:rsidRPr="00505A09" w14:paraId="5AA3FA23" w14:textId="77777777" w:rsidTr="003511D3">
        <w:trPr>
          <w:trHeight w:val="300"/>
        </w:trPr>
        <w:tc>
          <w:tcPr>
            <w:tcW w:w="4208" w:type="dxa"/>
            <w:vMerge/>
            <w:tcBorders>
              <w:top w:val="nil"/>
              <w:right w:val="nil"/>
            </w:tcBorders>
            <w:vAlign w:val="center"/>
            <w:hideMark/>
          </w:tcPr>
          <w:p w14:paraId="66753E2B"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3ADEF3C7"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center"/>
            <w:hideMark/>
          </w:tcPr>
          <w:p w14:paraId="163AF250" w14:textId="77777777" w:rsidR="00743ACA" w:rsidRPr="00505A09" w:rsidRDefault="00743ACA" w:rsidP="00743ACA">
            <w:pPr>
              <w:spacing w:after="0" w:line="240" w:lineRule="auto"/>
              <w:jc w:val="right"/>
              <w:rPr>
                <w:b/>
                <w:bCs/>
                <w:color w:val="000000"/>
                <w:sz w:val="18"/>
                <w:szCs w:val="18"/>
                <w:lang w:eastAsia="sk-SK"/>
              </w:rPr>
            </w:pPr>
            <w:r w:rsidRPr="00505A09">
              <w:rPr>
                <w:b/>
                <w:bCs/>
                <w:color w:val="000000"/>
                <w:sz w:val="18"/>
                <w:szCs w:val="18"/>
                <w:lang w:eastAsia="sk-SK"/>
              </w:rPr>
              <w:t>13 697</w:t>
            </w:r>
          </w:p>
        </w:tc>
        <w:tc>
          <w:tcPr>
            <w:tcW w:w="1096" w:type="dxa"/>
            <w:tcBorders>
              <w:top w:val="nil"/>
              <w:left w:val="nil"/>
              <w:right w:val="nil"/>
            </w:tcBorders>
            <w:shd w:val="clear" w:color="auto" w:fill="auto"/>
            <w:noWrap/>
            <w:vAlign w:val="bottom"/>
            <w:hideMark/>
          </w:tcPr>
          <w:p w14:paraId="6E6E9272"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8 457</w:t>
            </w:r>
          </w:p>
        </w:tc>
        <w:tc>
          <w:tcPr>
            <w:tcW w:w="976" w:type="dxa"/>
            <w:tcBorders>
              <w:top w:val="nil"/>
              <w:left w:val="nil"/>
              <w:right w:val="nil"/>
            </w:tcBorders>
            <w:shd w:val="clear" w:color="auto" w:fill="auto"/>
            <w:noWrap/>
            <w:vAlign w:val="bottom"/>
            <w:hideMark/>
          </w:tcPr>
          <w:p w14:paraId="22F4FFC6"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5 839</w:t>
            </w:r>
          </w:p>
        </w:tc>
        <w:tc>
          <w:tcPr>
            <w:tcW w:w="1168" w:type="dxa"/>
            <w:tcBorders>
              <w:top w:val="nil"/>
              <w:left w:val="nil"/>
            </w:tcBorders>
            <w:shd w:val="clear" w:color="auto" w:fill="auto"/>
            <w:noWrap/>
            <w:vAlign w:val="bottom"/>
            <w:hideMark/>
          </w:tcPr>
          <w:p w14:paraId="2C05192F"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-2 618</w:t>
            </w:r>
          </w:p>
        </w:tc>
      </w:tr>
      <w:tr w:rsidR="00743ACA" w:rsidRPr="00505A09" w14:paraId="33B1EA5F" w14:textId="77777777" w:rsidTr="003511D3">
        <w:trPr>
          <w:trHeight w:val="300"/>
        </w:trPr>
        <w:tc>
          <w:tcPr>
            <w:tcW w:w="4208" w:type="dxa"/>
            <w:vMerge w:val="restart"/>
            <w:tcBorders>
              <w:top w:val="nil"/>
              <w:right w:val="nil"/>
            </w:tcBorders>
            <w:shd w:val="clear" w:color="auto" w:fill="auto"/>
            <w:vAlign w:val="center"/>
            <w:hideMark/>
          </w:tcPr>
          <w:p w14:paraId="5FBFF74A" w14:textId="77777777" w:rsidR="00743ACA" w:rsidRPr="00505A09" w:rsidRDefault="00743ACA" w:rsidP="00743ACA">
            <w:pPr>
              <w:spacing w:after="0" w:line="240" w:lineRule="auto"/>
              <w:rPr>
                <w:sz w:val="18"/>
                <w:szCs w:val="18"/>
                <w:lang w:eastAsia="sk-SK"/>
              </w:rPr>
            </w:pPr>
            <w:r w:rsidRPr="00505A09">
              <w:rPr>
                <w:sz w:val="18"/>
                <w:szCs w:val="18"/>
                <w:lang w:eastAsia="sk-SK"/>
              </w:rPr>
              <w:lastRenderedPageBreak/>
              <w:t xml:space="preserve">Transpetrol,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right w:val="nil"/>
            </w:tcBorders>
            <w:shd w:val="clear" w:color="auto" w:fill="auto"/>
            <w:vAlign w:val="center"/>
            <w:hideMark/>
          </w:tcPr>
          <w:p w14:paraId="627EC545"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3462DDC8"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0</w:t>
            </w:r>
          </w:p>
        </w:tc>
        <w:tc>
          <w:tcPr>
            <w:tcW w:w="1096" w:type="dxa"/>
            <w:tcBorders>
              <w:top w:val="nil"/>
              <w:left w:val="nil"/>
              <w:right w:val="nil"/>
            </w:tcBorders>
            <w:shd w:val="clear" w:color="auto" w:fill="auto"/>
            <w:noWrap/>
            <w:vAlign w:val="bottom"/>
            <w:hideMark/>
          </w:tcPr>
          <w:p w14:paraId="4FE302D8"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2 000</w:t>
            </w:r>
          </w:p>
        </w:tc>
        <w:tc>
          <w:tcPr>
            <w:tcW w:w="976" w:type="dxa"/>
            <w:tcBorders>
              <w:top w:val="nil"/>
              <w:left w:val="nil"/>
              <w:right w:val="nil"/>
            </w:tcBorders>
            <w:shd w:val="clear" w:color="auto" w:fill="auto"/>
            <w:noWrap/>
            <w:vAlign w:val="bottom"/>
            <w:hideMark/>
          </w:tcPr>
          <w:p w14:paraId="52F0F35B"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1 500</w:t>
            </w:r>
          </w:p>
        </w:tc>
        <w:tc>
          <w:tcPr>
            <w:tcW w:w="1168" w:type="dxa"/>
            <w:tcBorders>
              <w:top w:val="nil"/>
              <w:left w:val="nil"/>
            </w:tcBorders>
            <w:shd w:val="clear" w:color="auto" w:fill="auto"/>
            <w:noWrap/>
            <w:vAlign w:val="bottom"/>
            <w:hideMark/>
          </w:tcPr>
          <w:p w14:paraId="00B4D091"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-500</w:t>
            </w:r>
          </w:p>
        </w:tc>
      </w:tr>
      <w:tr w:rsidR="00743ACA" w:rsidRPr="00505A09" w14:paraId="5BEF45BA" w14:textId="77777777" w:rsidTr="003511D3">
        <w:trPr>
          <w:trHeight w:val="300"/>
        </w:trPr>
        <w:tc>
          <w:tcPr>
            <w:tcW w:w="4208" w:type="dxa"/>
            <w:vMerge/>
            <w:tcBorders>
              <w:top w:val="nil"/>
              <w:right w:val="nil"/>
            </w:tcBorders>
            <w:vAlign w:val="center"/>
            <w:hideMark/>
          </w:tcPr>
          <w:p w14:paraId="4B7911FC"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7EB3BCDC"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50613104"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3BA25247"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2 000</w:t>
            </w:r>
          </w:p>
        </w:tc>
        <w:tc>
          <w:tcPr>
            <w:tcW w:w="976" w:type="dxa"/>
            <w:tcBorders>
              <w:top w:val="nil"/>
              <w:left w:val="nil"/>
              <w:right w:val="nil"/>
            </w:tcBorders>
            <w:shd w:val="clear" w:color="auto" w:fill="auto"/>
            <w:noWrap/>
            <w:vAlign w:val="bottom"/>
            <w:hideMark/>
          </w:tcPr>
          <w:p w14:paraId="5D3B2FE1"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1 500</w:t>
            </w:r>
          </w:p>
        </w:tc>
        <w:tc>
          <w:tcPr>
            <w:tcW w:w="1168" w:type="dxa"/>
            <w:tcBorders>
              <w:top w:val="nil"/>
              <w:left w:val="nil"/>
            </w:tcBorders>
            <w:shd w:val="clear" w:color="auto" w:fill="auto"/>
            <w:noWrap/>
            <w:vAlign w:val="bottom"/>
            <w:hideMark/>
          </w:tcPr>
          <w:p w14:paraId="42A8AC85"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-500</w:t>
            </w:r>
          </w:p>
        </w:tc>
      </w:tr>
      <w:tr w:rsidR="00743ACA" w:rsidRPr="00505A09" w14:paraId="5EE24C12" w14:textId="77777777" w:rsidTr="003511D3">
        <w:trPr>
          <w:trHeight w:val="300"/>
        </w:trPr>
        <w:tc>
          <w:tcPr>
            <w:tcW w:w="4208" w:type="dxa"/>
            <w:vMerge/>
            <w:tcBorders>
              <w:top w:val="nil"/>
              <w:right w:val="nil"/>
            </w:tcBorders>
            <w:vAlign w:val="center"/>
            <w:hideMark/>
          </w:tcPr>
          <w:p w14:paraId="0552E17E"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57A147FC"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bottom"/>
            <w:hideMark/>
          </w:tcPr>
          <w:p w14:paraId="615364A3"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5748B61A"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976" w:type="dxa"/>
            <w:tcBorders>
              <w:top w:val="nil"/>
              <w:left w:val="nil"/>
              <w:right w:val="nil"/>
            </w:tcBorders>
            <w:shd w:val="clear" w:color="auto" w:fill="auto"/>
            <w:noWrap/>
            <w:vAlign w:val="bottom"/>
            <w:hideMark/>
          </w:tcPr>
          <w:p w14:paraId="1B7EEB13"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1168" w:type="dxa"/>
            <w:tcBorders>
              <w:top w:val="nil"/>
              <w:left w:val="nil"/>
            </w:tcBorders>
            <w:shd w:val="clear" w:color="auto" w:fill="auto"/>
            <w:noWrap/>
            <w:vAlign w:val="bottom"/>
            <w:hideMark/>
          </w:tcPr>
          <w:p w14:paraId="6F0CF365"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r>
      <w:tr w:rsidR="00743ACA" w:rsidRPr="00505A09" w14:paraId="696670F3" w14:textId="77777777" w:rsidTr="003511D3">
        <w:trPr>
          <w:trHeight w:val="300"/>
        </w:trPr>
        <w:tc>
          <w:tcPr>
            <w:tcW w:w="4208" w:type="dxa"/>
            <w:vMerge w:val="restart"/>
            <w:tcBorders>
              <w:top w:val="nil"/>
              <w:right w:val="nil"/>
            </w:tcBorders>
            <w:shd w:val="clear" w:color="auto" w:fill="auto"/>
            <w:vAlign w:val="center"/>
            <w:hideMark/>
          </w:tcPr>
          <w:p w14:paraId="2A8D3B69" w14:textId="77777777" w:rsidR="00743ACA" w:rsidRPr="00505A09" w:rsidRDefault="00743ACA" w:rsidP="00743ACA">
            <w:pPr>
              <w:spacing w:after="0" w:line="240" w:lineRule="auto"/>
              <w:rPr>
                <w:sz w:val="18"/>
                <w:szCs w:val="18"/>
                <w:lang w:eastAsia="sk-SK"/>
              </w:rPr>
            </w:pPr>
            <w:r w:rsidRPr="00505A09">
              <w:rPr>
                <w:sz w:val="18"/>
                <w:szCs w:val="18"/>
                <w:lang w:eastAsia="sk-SK"/>
              </w:rPr>
              <w:t>Jadrová a vyraďovacia spoločnosť, a. s.</w:t>
            </w:r>
          </w:p>
        </w:tc>
        <w:tc>
          <w:tcPr>
            <w:tcW w:w="681" w:type="dxa"/>
            <w:tcBorders>
              <w:top w:val="nil"/>
              <w:left w:val="nil"/>
              <w:right w:val="nil"/>
            </w:tcBorders>
            <w:shd w:val="clear" w:color="auto" w:fill="auto"/>
            <w:vAlign w:val="center"/>
            <w:hideMark/>
          </w:tcPr>
          <w:p w14:paraId="072D0211"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64B4EE43"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2 173</w:t>
            </w:r>
          </w:p>
        </w:tc>
        <w:tc>
          <w:tcPr>
            <w:tcW w:w="1096" w:type="dxa"/>
            <w:tcBorders>
              <w:top w:val="nil"/>
              <w:left w:val="nil"/>
              <w:right w:val="nil"/>
            </w:tcBorders>
            <w:shd w:val="clear" w:color="auto" w:fill="auto"/>
            <w:noWrap/>
            <w:vAlign w:val="bottom"/>
            <w:hideMark/>
          </w:tcPr>
          <w:p w14:paraId="0C256100"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3 000</w:t>
            </w:r>
          </w:p>
        </w:tc>
        <w:tc>
          <w:tcPr>
            <w:tcW w:w="976" w:type="dxa"/>
            <w:tcBorders>
              <w:top w:val="nil"/>
              <w:left w:val="nil"/>
              <w:right w:val="nil"/>
            </w:tcBorders>
            <w:shd w:val="clear" w:color="auto" w:fill="auto"/>
            <w:noWrap/>
            <w:vAlign w:val="bottom"/>
            <w:hideMark/>
          </w:tcPr>
          <w:p w14:paraId="1106FC9E"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3 000</w:t>
            </w:r>
          </w:p>
        </w:tc>
        <w:tc>
          <w:tcPr>
            <w:tcW w:w="1168" w:type="dxa"/>
            <w:tcBorders>
              <w:top w:val="nil"/>
              <w:left w:val="nil"/>
            </w:tcBorders>
            <w:shd w:val="clear" w:color="auto" w:fill="auto"/>
            <w:noWrap/>
            <w:vAlign w:val="bottom"/>
            <w:hideMark/>
          </w:tcPr>
          <w:p w14:paraId="5415F50A"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0</w:t>
            </w:r>
          </w:p>
        </w:tc>
      </w:tr>
      <w:tr w:rsidR="00743ACA" w:rsidRPr="00505A09" w14:paraId="1765FF28" w14:textId="77777777" w:rsidTr="003511D3">
        <w:trPr>
          <w:trHeight w:val="300"/>
        </w:trPr>
        <w:tc>
          <w:tcPr>
            <w:tcW w:w="4208" w:type="dxa"/>
            <w:vMerge/>
            <w:tcBorders>
              <w:top w:val="nil"/>
              <w:right w:val="nil"/>
            </w:tcBorders>
            <w:vAlign w:val="center"/>
            <w:hideMark/>
          </w:tcPr>
          <w:p w14:paraId="1A07FED5"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3FC80214"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770484CA"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03673D30"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976" w:type="dxa"/>
            <w:tcBorders>
              <w:top w:val="nil"/>
              <w:left w:val="nil"/>
              <w:right w:val="nil"/>
            </w:tcBorders>
            <w:shd w:val="clear" w:color="auto" w:fill="auto"/>
            <w:noWrap/>
            <w:vAlign w:val="bottom"/>
            <w:hideMark/>
          </w:tcPr>
          <w:p w14:paraId="2AA2FB08"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tcBorders>
            <w:shd w:val="clear" w:color="auto" w:fill="auto"/>
            <w:noWrap/>
            <w:vAlign w:val="bottom"/>
            <w:hideMark/>
          </w:tcPr>
          <w:p w14:paraId="49853C45"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r>
      <w:tr w:rsidR="00743ACA" w:rsidRPr="00505A09" w14:paraId="262FC822" w14:textId="77777777" w:rsidTr="003511D3">
        <w:trPr>
          <w:trHeight w:val="300"/>
        </w:trPr>
        <w:tc>
          <w:tcPr>
            <w:tcW w:w="4208" w:type="dxa"/>
            <w:vMerge/>
            <w:tcBorders>
              <w:top w:val="nil"/>
              <w:bottom w:val="single" w:sz="4" w:space="0" w:color="auto"/>
              <w:right w:val="nil"/>
            </w:tcBorders>
            <w:vAlign w:val="center"/>
            <w:hideMark/>
          </w:tcPr>
          <w:p w14:paraId="3EFA5E13" w14:textId="77777777" w:rsidR="00743ACA" w:rsidRPr="00505A09" w:rsidRDefault="00743ACA" w:rsidP="00743ACA">
            <w:pPr>
              <w:spacing w:after="0" w:line="240" w:lineRule="auto"/>
              <w:rPr>
                <w:sz w:val="18"/>
                <w:szCs w:val="18"/>
                <w:lang w:eastAsia="sk-SK"/>
              </w:rPr>
            </w:pPr>
          </w:p>
        </w:tc>
        <w:tc>
          <w:tcPr>
            <w:tcW w:w="681" w:type="dxa"/>
            <w:tcBorders>
              <w:top w:val="nil"/>
              <w:left w:val="nil"/>
              <w:bottom w:val="single" w:sz="4" w:space="0" w:color="auto"/>
              <w:right w:val="nil"/>
            </w:tcBorders>
            <w:shd w:val="clear" w:color="auto" w:fill="auto"/>
            <w:vAlign w:val="center"/>
            <w:hideMark/>
          </w:tcPr>
          <w:p w14:paraId="25F7CFC0"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bottom w:val="single" w:sz="4" w:space="0" w:color="auto"/>
              <w:right w:val="nil"/>
            </w:tcBorders>
            <w:shd w:val="clear" w:color="auto" w:fill="auto"/>
            <w:noWrap/>
            <w:vAlign w:val="bottom"/>
            <w:hideMark/>
          </w:tcPr>
          <w:p w14:paraId="2EE9D237"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2 173</w:t>
            </w:r>
          </w:p>
        </w:tc>
        <w:tc>
          <w:tcPr>
            <w:tcW w:w="1096" w:type="dxa"/>
            <w:tcBorders>
              <w:top w:val="nil"/>
              <w:left w:val="nil"/>
              <w:bottom w:val="single" w:sz="4" w:space="0" w:color="auto"/>
              <w:right w:val="nil"/>
            </w:tcBorders>
            <w:shd w:val="clear" w:color="auto" w:fill="auto"/>
            <w:noWrap/>
            <w:vAlign w:val="bottom"/>
            <w:hideMark/>
          </w:tcPr>
          <w:p w14:paraId="5B325D2C"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3 000</w:t>
            </w:r>
          </w:p>
        </w:tc>
        <w:tc>
          <w:tcPr>
            <w:tcW w:w="976" w:type="dxa"/>
            <w:tcBorders>
              <w:top w:val="nil"/>
              <w:left w:val="nil"/>
              <w:bottom w:val="single" w:sz="4" w:space="0" w:color="auto"/>
              <w:right w:val="nil"/>
            </w:tcBorders>
            <w:shd w:val="clear" w:color="auto" w:fill="auto"/>
            <w:noWrap/>
            <w:vAlign w:val="bottom"/>
            <w:hideMark/>
          </w:tcPr>
          <w:p w14:paraId="362D4EFB"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3 000</w:t>
            </w:r>
          </w:p>
        </w:tc>
        <w:tc>
          <w:tcPr>
            <w:tcW w:w="1168" w:type="dxa"/>
            <w:tcBorders>
              <w:top w:val="nil"/>
              <w:left w:val="nil"/>
              <w:bottom w:val="single" w:sz="4" w:space="0" w:color="auto"/>
            </w:tcBorders>
            <w:shd w:val="clear" w:color="auto" w:fill="auto"/>
            <w:noWrap/>
            <w:vAlign w:val="bottom"/>
            <w:hideMark/>
          </w:tcPr>
          <w:p w14:paraId="033BBF8A"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r>
      <w:tr w:rsidR="00BF5608" w:rsidRPr="00505A09" w14:paraId="177A4806" w14:textId="77777777" w:rsidTr="003511D3">
        <w:trPr>
          <w:trHeight w:val="300"/>
        </w:trPr>
        <w:tc>
          <w:tcPr>
            <w:tcW w:w="4208" w:type="dxa"/>
            <w:tcBorders>
              <w:top w:val="single" w:sz="4" w:space="0" w:color="auto"/>
              <w:bottom w:val="single" w:sz="4" w:space="0" w:color="auto"/>
              <w:right w:val="nil"/>
            </w:tcBorders>
            <w:shd w:val="clear" w:color="auto" w:fill="auto"/>
            <w:noWrap/>
            <w:vAlign w:val="center"/>
            <w:hideMark/>
          </w:tcPr>
          <w:p w14:paraId="7F70DFCC" w14:textId="77777777" w:rsidR="00BF5608" w:rsidRPr="00505A09" w:rsidRDefault="00BF5608" w:rsidP="005019EB">
            <w:pPr>
              <w:spacing w:after="0" w:line="240" w:lineRule="auto"/>
              <w:rPr>
                <w:b/>
                <w:bCs/>
                <w:color w:val="000000"/>
                <w:sz w:val="18"/>
                <w:szCs w:val="18"/>
                <w:lang w:eastAsia="sk-SK"/>
              </w:rPr>
            </w:pPr>
            <w:r w:rsidRPr="00505A09">
              <w:rPr>
                <w:b/>
                <w:bCs/>
                <w:color w:val="000000"/>
                <w:sz w:val="18"/>
                <w:szCs w:val="18"/>
                <w:lang w:eastAsia="sk-SK"/>
              </w:rPr>
              <w:t>Ministerstvo financií SR</w:t>
            </w:r>
          </w:p>
        </w:tc>
        <w:tc>
          <w:tcPr>
            <w:tcW w:w="681" w:type="dxa"/>
            <w:tcBorders>
              <w:top w:val="single" w:sz="4" w:space="0" w:color="auto"/>
              <w:left w:val="nil"/>
              <w:bottom w:val="single" w:sz="4" w:space="0" w:color="auto"/>
              <w:right w:val="nil"/>
            </w:tcBorders>
            <w:shd w:val="clear" w:color="auto" w:fill="auto"/>
            <w:noWrap/>
            <w:vAlign w:val="center"/>
            <w:hideMark/>
          </w:tcPr>
          <w:p w14:paraId="284684D4" w14:textId="77777777" w:rsidR="00BF5608" w:rsidRPr="00505A09" w:rsidRDefault="00BF5608" w:rsidP="005019EB">
            <w:pPr>
              <w:spacing w:after="0" w:line="240" w:lineRule="auto"/>
              <w:jc w:val="center"/>
              <w:rPr>
                <w:b/>
                <w:bCs/>
                <w:color w:val="000000"/>
                <w:sz w:val="18"/>
                <w:szCs w:val="18"/>
                <w:lang w:eastAsia="sk-SK"/>
              </w:rPr>
            </w:pPr>
            <w:r w:rsidRPr="00505A09">
              <w:rPr>
                <w:b/>
                <w:bCs/>
                <w:color w:val="000000"/>
                <w:sz w:val="18"/>
                <w:szCs w:val="18"/>
                <w:lang w:eastAsia="sk-SK"/>
              </w:rPr>
              <w:t> </w:t>
            </w:r>
          </w:p>
        </w:tc>
        <w:tc>
          <w:tcPr>
            <w:tcW w:w="1016" w:type="dxa"/>
            <w:tcBorders>
              <w:top w:val="single" w:sz="4" w:space="0" w:color="auto"/>
              <w:left w:val="nil"/>
              <w:bottom w:val="single" w:sz="4" w:space="0" w:color="auto"/>
              <w:right w:val="nil"/>
            </w:tcBorders>
            <w:shd w:val="clear" w:color="auto" w:fill="auto"/>
            <w:noWrap/>
            <w:vAlign w:val="center"/>
            <w:hideMark/>
          </w:tcPr>
          <w:p w14:paraId="34628C43" w14:textId="77777777" w:rsidR="00BF5608" w:rsidRPr="00505A09" w:rsidRDefault="00BF5608" w:rsidP="005019EB">
            <w:pPr>
              <w:spacing w:after="0" w:line="240" w:lineRule="auto"/>
              <w:jc w:val="center"/>
              <w:rPr>
                <w:b/>
                <w:bCs/>
                <w:color w:val="000000"/>
                <w:sz w:val="18"/>
                <w:szCs w:val="18"/>
                <w:lang w:eastAsia="sk-SK"/>
              </w:rPr>
            </w:pPr>
            <w:r w:rsidRPr="00505A09">
              <w:rPr>
                <w:b/>
                <w:bCs/>
                <w:color w:val="000000"/>
                <w:sz w:val="18"/>
                <w:szCs w:val="18"/>
                <w:lang w:eastAsia="sk-SK"/>
              </w:rPr>
              <w:t> </w:t>
            </w:r>
          </w:p>
        </w:tc>
        <w:tc>
          <w:tcPr>
            <w:tcW w:w="1096" w:type="dxa"/>
            <w:tcBorders>
              <w:top w:val="single" w:sz="4" w:space="0" w:color="auto"/>
              <w:left w:val="nil"/>
              <w:bottom w:val="single" w:sz="4" w:space="0" w:color="auto"/>
              <w:right w:val="nil"/>
            </w:tcBorders>
            <w:shd w:val="clear" w:color="auto" w:fill="auto"/>
            <w:noWrap/>
            <w:vAlign w:val="center"/>
            <w:hideMark/>
          </w:tcPr>
          <w:p w14:paraId="43ABB89C" w14:textId="77777777" w:rsidR="00BF5608" w:rsidRPr="00505A09" w:rsidRDefault="00BF5608" w:rsidP="005019EB">
            <w:pPr>
              <w:spacing w:after="0" w:line="240" w:lineRule="auto"/>
              <w:jc w:val="center"/>
              <w:rPr>
                <w:b/>
                <w:bCs/>
                <w:color w:val="000000"/>
                <w:sz w:val="18"/>
                <w:szCs w:val="18"/>
                <w:lang w:eastAsia="sk-SK"/>
              </w:rPr>
            </w:pPr>
            <w:r w:rsidRPr="00505A09">
              <w:rPr>
                <w:b/>
                <w:bCs/>
                <w:color w:val="000000"/>
                <w:sz w:val="18"/>
                <w:szCs w:val="18"/>
                <w:lang w:eastAsia="sk-SK"/>
              </w:rPr>
              <w:t> </w:t>
            </w:r>
          </w:p>
        </w:tc>
        <w:tc>
          <w:tcPr>
            <w:tcW w:w="976" w:type="dxa"/>
            <w:tcBorders>
              <w:top w:val="single" w:sz="4" w:space="0" w:color="auto"/>
              <w:left w:val="nil"/>
              <w:bottom w:val="single" w:sz="4" w:space="0" w:color="auto"/>
              <w:right w:val="nil"/>
            </w:tcBorders>
            <w:shd w:val="clear" w:color="auto" w:fill="auto"/>
            <w:noWrap/>
            <w:vAlign w:val="center"/>
            <w:hideMark/>
          </w:tcPr>
          <w:p w14:paraId="2DD62372" w14:textId="77777777" w:rsidR="00BF5608" w:rsidRPr="00505A09" w:rsidRDefault="00BF5608" w:rsidP="005019EB">
            <w:pPr>
              <w:spacing w:after="0" w:line="240" w:lineRule="auto"/>
              <w:jc w:val="center"/>
              <w:rPr>
                <w:b/>
                <w:bCs/>
                <w:color w:val="000000"/>
                <w:sz w:val="18"/>
                <w:szCs w:val="18"/>
                <w:lang w:eastAsia="sk-SK"/>
              </w:rPr>
            </w:pPr>
            <w:r w:rsidRPr="00505A09">
              <w:rPr>
                <w:b/>
                <w:bCs/>
                <w:color w:val="000000"/>
                <w:sz w:val="18"/>
                <w:szCs w:val="18"/>
                <w:lang w:eastAsia="sk-SK"/>
              </w:rPr>
              <w:t> </w:t>
            </w:r>
          </w:p>
        </w:tc>
        <w:tc>
          <w:tcPr>
            <w:tcW w:w="1168" w:type="dxa"/>
            <w:tcBorders>
              <w:top w:val="single" w:sz="4" w:space="0" w:color="auto"/>
              <w:left w:val="nil"/>
              <w:bottom w:val="single" w:sz="4" w:space="0" w:color="auto"/>
            </w:tcBorders>
            <w:shd w:val="clear" w:color="auto" w:fill="auto"/>
            <w:noWrap/>
            <w:vAlign w:val="center"/>
            <w:hideMark/>
          </w:tcPr>
          <w:p w14:paraId="0B1AA00A" w14:textId="77777777" w:rsidR="00BF5608" w:rsidRPr="00505A09" w:rsidRDefault="00BF5608" w:rsidP="005019EB">
            <w:pPr>
              <w:spacing w:after="0" w:line="240" w:lineRule="auto"/>
              <w:jc w:val="center"/>
              <w:rPr>
                <w:b/>
                <w:bCs/>
                <w:color w:val="000000"/>
                <w:sz w:val="18"/>
                <w:szCs w:val="18"/>
                <w:lang w:eastAsia="sk-SK"/>
              </w:rPr>
            </w:pPr>
            <w:r w:rsidRPr="00505A09">
              <w:rPr>
                <w:b/>
                <w:bCs/>
                <w:color w:val="000000"/>
                <w:sz w:val="18"/>
                <w:szCs w:val="18"/>
                <w:lang w:eastAsia="sk-SK"/>
              </w:rPr>
              <w:t> </w:t>
            </w:r>
          </w:p>
        </w:tc>
      </w:tr>
      <w:tr w:rsidR="00BF5608" w:rsidRPr="00505A09" w14:paraId="2B8EAA16" w14:textId="77777777" w:rsidTr="003511D3">
        <w:trPr>
          <w:trHeight w:val="300"/>
        </w:trPr>
        <w:tc>
          <w:tcPr>
            <w:tcW w:w="4208" w:type="dxa"/>
            <w:vMerge w:val="restart"/>
            <w:tcBorders>
              <w:top w:val="single" w:sz="4" w:space="0" w:color="auto"/>
              <w:right w:val="nil"/>
            </w:tcBorders>
            <w:shd w:val="clear" w:color="auto" w:fill="auto"/>
            <w:vAlign w:val="center"/>
            <w:hideMark/>
          </w:tcPr>
          <w:p w14:paraId="4929BDFC"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Slovenská konsolidačná, </w:t>
            </w:r>
            <w:proofErr w:type="spellStart"/>
            <w:r w:rsidRPr="00505A09">
              <w:rPr>
                <w:sz w:val="18"/>
                <w:szCs w:val="18"/>
                <w:lang w:eastAsia="sk-SK"/>
              </w:rPr>
              <w:t>a.s</w:t>
            </w:r>
            <w:proofErr w:type="spellEnd"/>
          </w:p>
        </w:tc>
        <w:tc>
          <w:tcPr>
            <w:tcW w:w="681" w:type="dxa"/>
            <w:tcBorders>
              <w:top w:val="single" w:sz="4" w:space="0" w:color="auto"/>
              <w:left w:val="nil"/>
              <w:right w:val="nil"/>
            </w:tcBorders>
            <w:shd w:val="clear" w:color="auto" w:fill="auto"/>
            <w:vAlign w:val="center"/>
            <w:hideMark/>
          </w:tcPr>
          <w:p w14:paraId="616A420A" w14:textId="77777777" w:rsidR="00BF5608" w:rsidRPr="00505A09" w:rsidRDefault="00BF5608" w:rsidP="005019EB">
            <w:pPr>
              <w:spacing w:after="0" w:line="240" w:lineRule="auto"/>
              <w:rPr>
                <w:sz w:val="18"/>
                <w:szCs w:val="18"/>
                <w:lang w:eastAsia="sk-SK"/>
              </w:rPr>
            </w:pPr>
            <w:r w:rsidRPr="00505A09">
              <w:rPr>
                <w:sz w:val="18"/>
                <w:szCs w:val="18"/>
                <w:lang w:eastAsia="sk-SK"/>
              </w:rPr>
              <w:t>Spolu</w:t>
            </w:r>
          </w:p>
        </w:tc>
        <w:tc>
          <w:tcPr>
            <w:tcW w:w="1016" w:type="dxa"/>
            <w:tcBorders>
              <w:top w:val="single" w:sz="4" w:space="0" w:color="auto"/>
              <w:left w:val="nil"/>
              <w:right w:val="nil"/>
            </w:tcBorders>
            <w:shd w:val="clear" w:color="auto" w:fill="auto"/>
            <w:noWrap/>
            <w:vAlign w:val="bottom"/>
            <w:hideMark/>
          </w:tcPr>
          <w:p w14:paraId="44745D23"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3 144</w:t>
            </w:r>
          </w:p>
        </w:tc>
        <w:tc>
          <w:tcPr>
            <w:tcW w:w="1096" w:type="dxa"/>
            <w:tcBorders>
              <w:top w:val="single" w:sz="4" w:space="0" w:color="auto"/>
              <w:left w:val="nil"/>
              <w:right w:val="nil"/>
            </w:tcBorders>
            <w:shd w:val="clear" w:color="auto" w:fill="auto"/>
            <w:noWrap/>
            <w:vAlign w:val="bottom"/>
            <w:hideMark/>
          </w:tcPr>
          <w:p w14:paraId="3F25E9F2"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575</w:t>
            </w:r>
          </w:p>
        </w:tc>
        <w:tc>
          <w:tcPr>
            <w:tcW w:w="976" w:type="dxa"/>
            <w:tcBorders>
              <w:top w:val="single" w:sz="4" w:space="0" w:color="auto"/>
              <w:left w:val="nil"/>
              <w:right w:val="nil"/>
            </w:tcBorders>
            <w:shd w:val="clear" w:color="auto" w:fill="auto"/>
            <w:noWrap/>
            <w:vAlign w:val="bottom"/>
            <w:hideMark/>
          </w:tcPr>
          <w:p w14:paraId="2C8CC7C6"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2 000</w:t>
            </w:r>
          </w:p>
        </w:tc>
        <w:tc>
          <w:tcPr>
            <w:tcW w:w="1168" w:type="dxa"/>
            <w:tcBorders>
              <w:top w:val="single" w:sz="4" w:space="0" w:color="auto"/>
              <w:left w:val="nil"/>
            </w:tcBorders>
            <w:shd w:val="clear" w:color="auto" w:fill="auto"/>
            <w:noWrap/>
            <w:vAlign w:val="bottom"/>
            <w:hideMark/>
          </w:tcPr>
          <w:p w14:paraId="2FD8CF1F"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1 425</w:t>
            </w:r>
          </w:p>
        </w:tc>
      </w:tr>
      <w:tr w:rsidR="00BF5608" w:rsidRPr="00505A09" w14:paraId="4D0D88C4" w14:textId="77777777" w:rsidTr="003511D3">
        <w:trPr>
          <w:trHeight w:val="300"/>
        </w:trPr>
        <w:tc>
          <w:tcPr>
            <w:tcW w:w="4208" w:type="dxa"/>
            <w:vMerge/>
            <w:tcBorders>
              <w:top w:val="nil"/>
              <w:right w:val="nil"/>
            </w:tcBorders>
            <w:vAlign w:val="center"/>
            <w:hideMark/>
          </w:tcPr>
          <w:p w14:paraId="1B1FCEF5" w14:textId="77777777" w:rsidR="00BF5608" w:rsidRPr="00505A09" w:rsidRDefault="00BF5608" w:rsidP="005019EB">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2E5352FD"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4DA38069"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14822772"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575</w:t>
            </w:r>
          </w:p>
        </w:tc>
        <w:tc>
          <w:tcPr>
            <w:tcW w:w="976" w:type="dxa"/>
            <w:tcBorders>
              <w:top w:val="nil"/>
              <w:left w:val="nil"/>
              <w:right w:val="nil"/>
            </w:tcBorders>
            <w:shd w:val="clear" w:color="auto" w:fill="auto"/>
            <w:noWrap/>
            <w:vAlign w:val="bottom"/>
            <w:hideMark/>
          </w:tcPr>
          <w:p w14:paraId="602FF816"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0</w:t>
            </w:r>
          </w:p>
        </w:tc>
        <w:tc>
          <w:tcPr>
            <w:tcW w:w="1168" w:type="dxa"/>
            <w:tcBorders>
              <w:top w:val="nil"/>
              <w:left w:val="nil"/>
            </w:tcBorders>
            <w:shd w:val="clear" w:color="auto" w:fill="auto"/>
            <w:noWrap/>
            <w:vAlign w:val="bottom"/>
            <w:hideMark/>
          </w:tcPr>
          <w:p w14:paraId="2B4D3C42"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-575</w:t>
            </w:r>
          </w:p>
        </w:tc>
      </w:tr>
      <w:tr w:rsidR="00BF5608" w:rsidRPr="00505A09" w14:paraId="203885B4" w14:textId="77777777" w:rsidTr="003511D3">
        <w:trPr>
          <w:trHeight w:val="300"/>
        </w:trPr>
        <w:tc>
          <w:tcPr>
            <w:tcW w:w="4208" w:type="dxa"/>
            <w:vMerge/>
            <w:tcBorders>
              <w:top w:val="nil"/>
              <w:right w:val="nil"/>
            </w:tcBorders>
            <w:vAlign w:val="center"/>
            <w:hideMark/>
          </w:tcPr>
          <w:p w14:paraId="1B44AA69" w14:textId="77777777" w:rsidR="00BF5608" w:rsidRPr="00505A09" w:rsidRDefault="00BF5608" w:rsidP="005019EB">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344A4481" w14:textId="77777777" w:rsidR="00BF5608" w:rsidRPr="00505A09" w:rsidRDefault="00BF5608" w:rsidP="005019EB">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bottom"/>
            <w:hideMark/>
          </w:tcPr>
          <w:p w14:paraId="2032D1D9"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3 144</w:t>
            </w:r>
          </w:p>
        </w:tc>
        <w:tc>
          <w:tcPr>
            <w:tcW w:w="1096" w:type="dxa"/>
            <w:tcBorders>
              <w:top w:val="nil"/>
              <w:left w:val="nil"/>
              <w:right w:val="nil"/>
            </w:tcBorders>
            <w:shd w:val="clear" w:color="auto" w:fill="auto"/>
            <w:noWrap/>
            <w:vAlign w:val="bottom"/>
            <w:hideMark/>
          </w:tcPr>
          <w:p w14:paraId="58A92229"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976" w:type="dxa"/>
            <w:tcBorders>
              <w:top w:val="nil"/>
              <w:left w:val="nil"/>
              <w:right w:val="nil"/>
            </w:tcBorders>
            <w:shd w:val="clear" w:color="auto" w:fill="auto"/>
            <w:noWrap/>
            <w:vAlign w:val="bottom"/>
            <w:hideMark/>
          </w:tcPr>
          <w:p w14:paraId="6B905ECD"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2 000</w:t>
            </w:r>
          </w:p>
        </w:tc>
        <w:tc>
          <w:tcPr>
            <w:tcW w:w="1168" w:type="dxa"/>
            <w:tcBorders>
              <w:top w:val="nil"/>
              <w:left w:val="nil"/>
            </w:tcBorders>
            <w:shd w:val="clear" w:color="auto" w:fill="auto"/>
            <w:noWrap/>
            <w:vAlign w:val="bottom"/>
            <w:hideMark/>
          </w:tcPr>
          <w:p w14:paraId="1C91CB7F"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2 000</w:t>
            </w:r>
          </w:p>
        </w:tc>
      </w:tr>
      <w:tr w:rsidR="00BF5608" w:rsidRPr="00505A09" w14:paraId="44F8A7E7" w14:textId="77777777" w:rsidTr="003511D3">
        <w:trPr>
          <w:trHeight w:val="300"/>
        </w:trPr>
        <w:tc>
          <w:tcPr>
            <w:tcW w:w="4208" w:type="dxa"/>
            <w:vMerge w:val="restart"/>
            <w:tcBorders>
              <w:top w:val="nil"/>
              <w:right w:val="nil"/>
            </w:tcBorders>
            <w:shd w:val="clear" w:color="auto" w:fill="auto"/>
            <w:vAlign w:val="center"/>
            <w:hideMark/>
          </w:tcPr>
          <w:p w14:paraId="336E1791"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Tipos, národná lotériová spoločnosť,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right w:val="nil"/>
            </w:tcBorders>
            <w:shd w:val="clear" w:color="auto" w:fill="auto"/>
            <w:vAlign w:val="center"/>
            <w:hideMark/>
          </w:tcPr>
          <w:p w14:paraId="218AF2F7" w14:textId="77777777" w:rsidR="00BF5608" w:rsidRPr="00505A09" w:rsidRDefault="00BF5608" w:rsidP="005019EB">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6A97A6AC"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3 300</w:t>
            </w:r>
          </w:p>
        </w:tc>
        <w:tc>
          <w:tcPr>
            <w:tcW w:w="1096" w:type="dxa"/>
            <w:tcBorders>
              <w:top w:val="nil"/>
              <w:left w:val="nil"/>
              <w:right w:val="nil"/>
            </w:tcBorders>
            <w:shd w:val="clear" w:color="auto" w:fill="auto"/>
            <w:noWrap/>
            <w:vAlign w:val="bottom"/>
            <w:hideMark/>
          </w:tcPr>
          <w:p w14:paraId="56E2167C"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2 500</w:t>
            </w:r>
          </w:p>
        </w:tc>
        <w:tc>
          <w:tcPr>
            <w:tcW w:w="976" w:type="dxa"/>
            <w:tcBorders>
              <w:top w:val="nil"/>
              <w:left w:val="nil"/>
              <w:right w:val="nil"/>
            </w:tcBorders>
            <w:shd w:val="clear" w:color="auto" w:fill="auto"/>
            <w:noWrap/>
            <w:vAlign w:val="bottom"/>
            <w:hideMark/>
          </w:tcPr>
          <w:p w14:paraId="3A857282"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5 000</w:t>
            </w:r>
          </w:p>
        </w:tc>
        <w:tc>
          <w:tcPr>
            <w:tcW w:w="1168" w:type="dxa"/>
            <w:tcBorders>
              <w:top w:val="nil"/>
              <w:left w:val="nil"/>
            </w:tcBorders>
            <w:shd w:val="clear" w:color="auto" w:fill="auto"/>
            <w:noWrap/>
            <w:vAlign w:val="bottom"/>
            <w:hideMark/>
          </w:tcPr>
          <w:p w14:paraId="2C86A870"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2 500</w:t>
            </w:r>
          </w:p>
        </w:tc>
      </w:tr>
      <w:tr w:rsidR="00BF5608" w:rsidRPr="00505A09" w14:paraId="5E512F2B" w14:textId="77777777" w:rsidTr="003511D3">
        <w:trPr>
          <w:trHeight w:val="300"/>
        </w:trPr>
        <w:tc>
          <w:tcPr>
            <w:tcW w:w="4208" w:type="dxa"/>
            <w:vMerge/>
            <w:tcBorders>
              <w:top w:val="nil"/>
              <w:right w:val="nil"/>
            </w:tcBorders>
            <w:vAlign w:val="center"/>
            <w:hideMark/>
          </w:tcPr>
          <w:p w14:paraId="124E333F" w14:textId="77777777" w:rsidR="00BF5608" w:rsidRPr="00505A09" w:rsidRDefault="00BF5608" w:rsidP="005019EB">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5D10A1B2"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62181123"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3 300</w:t>
            </w:r>
          </w:p>
        </w:tc>
        <w:tc>
          <w:tcPr>
            <w:tcW w:w="1096" w:type="dxa"/>
            <w:tcBorders>
              <w:top w:val="nil"/>
              <w:left w:val="nil"/>
              <w:right w:val="nil"/>
            </w:tcBorders>
            <w:shd w:val="clear" w:color="auto" w:fill="auto"/>
            <w:noWrap/>
            <w:vAlign w:val="bottom"/>
            <w:hideMark/>
          </w:tcPr>
          <w:p w14:paraId="505665FF"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2 500</w:t>
            </w:r>
          </w:p>
        </w:tc>
        <w:tc>
          <w:tcPr>
            <w:tcW w:w="976" w:type="dxa"/>
            <w:tcBorders>
              <w:top w:val="nil"/>
              <w:left w:val="nil"/>
              <w:right w:val="nil"/>
            </w:tcBorders>
            <w:shd w:val="clear" w:color="auto" w:fill="auto"/>
            <w:noWrap/>
            <w:vAlign w:val="bottom"/>
            <w:hideMark/>
          </w:tcPr>
          <w:p w14:paraId="1D93D243"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5 000</w:t>
            </w:r>
          </w:p>
        </w:tc>
        <w:tc>
          <w:tcPr>
            <w:tcW w:w="1168" w:type="dxa"/>
            <w:tcBorders>
              <w:top w:val="nil"/>
              <w:left w:val="nil"/>
            </w:tcBorders>
            <w:shd w:val="clear" w:color="auto" w:fill="auto"/>
            <w:noWrap/>
            <w:vAlign w:val="bottom"/>
            <w:hideMark/>
          </w:tcPr>
          <w:p w14:paraId="4AF61A06"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2 500</w:t>
            </w:r>
          </w:p>
        </w:tc>
      </w:tr>
      <w:tr w:rsidR="00BF5608" w:rsidRPr="00505A09" w14:paraId="56D5FF1B" w14:textId="77777777" w:rsidTr="003511D3">
        <w:trPr>
          <w:trHeight w:val="300"/>
        </w:trPr>
        <w:tc>
          <w:tcPr>
            <w:tcW w:w="4208" w:type="dxa"/>
            <w:vMerge/>
            <w:tcBorders>
              <w:top w:val="nil"/>
              <w:right w:val="nil"/>
            </w:tcBorders>
            <w:vAlign w:val="center"/>
            <w:hideMark/>
          </w:tcPr>
          <w:p w14:paraId="6B8B8066" w14:textId="77777777" w:rsidR="00BF5608" w:rsidRPr="00505A09" w:rsidRDefault="00BF5608" w:rsidP="005019EB">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61C9CBF4" w14:textId="77777777" w:rsidR="00BF5608" w:rsidRPr="00505A09" w:rsidRDefault="00BF5608" w:rsidP="005019EB">
            <w:pPr>
              <w:spacing w:after="0" w:line="240" w:lineRule="auto"/>
              <w:rPr>
                <w:sz w:val="18"/>
                <w:szCs w:val="18"/>
                <w:lang w:eastAsia="sk-SK"/>
              </w:rPr>
            </w:pPr>
            <w:r w:rsidRPr="00505A09">
              <w:rPr>
                <w:sz w:val="18"/>
                <w:szCs w:val="18"/>
                <w:lang w:eastAsia="sk-SK"/>
              </w:rPr>
              <w:t>Super</w:t>
            </w:r>
          </w:p>
        </w:tc>
        <w:tc>
          <w:tcPr>
            <w:tcW w:w="1016" w:type="dxa"/>
            <w:tcBorders>
              <w:top w:val="nil"/>
              <w:left w:val="nil"/>
              <w:right w:val="nil"/>
            </w:tcBorders>
            <w:shd w:val="clear" w:color="auto" w:fill="auto"/>
            <w:noWrap/>
            <w:vAlign w:val="bottom"/>
            <w:hideMark/>
          </w:tcPr>
          <w:p w14:paraId="15A23612"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0B010FA2"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976" w:type="dxa"/>
            <w:tcBorders>
              <w:top w:val="nil"/>
              <w:left w:val="nil"/>
              <w:right w:val="nil"/>
            </w:tcBorders>
            <w:shd w:val="clear" w:color="auto" w:fill="auto"/>
            <w:noWrap/>
            <w:vAlign w:val="bottom"/>
            <w:hideMark/>
          </w:tcPr>
          <w:p w14:paraId="42C16B14"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tcBorders>
            <w:shd w:val="clear" w:color="auto" w:fill="auto"/>
            <w:noWrap/>
            <w:vAlign w:val="bottom"/>
            <w:hideMark/>
          </w:tcPr>
          <w:p w14:paraId="1135C512"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r>
      <w:tr w:rsidR="00BF5608" w:rsidRPr="00505A09" w14:paraId="5154A06E" w14:textId="77777777" w:rsidTr="003511D3">
        <w:trPr>
          <w:trHeight w:val="300"/>
        </w:trPr>
        <w:tc>
          <w:tcPr>
            <w:tcW w:w="4208" w:type="dxa"/>
            <w:vMerge w:val="restart"/>
            <w:tcBorders>
              <w:top w:val="nil"/>
              <w:right w:val="nil"/>
            </w:tcBorders>
            <w:shd w:val="clear" w:color="auto" w:fill="auto"/>
            <w:vAlign w:val="center"/>
            <w:hideMark/>
          </w:tcPr>
          <w:p w14:paraId="6AA89828"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Slovenská elektrizačná prenosová sústava,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right w:val="nil"/>
            </w:tcBorders>
            <w:shd w:val="clear" w:color="auto" w:fill="auto"/>
            <w:vAlign w:val="center"/>
            <w:hideMark/>
          </w:tcPr>
          <w:p w14:paraId="60E21F34" w14:textId="77777777" w:rsidR="00BF5608" w:rsidRPr="00505A09" w:rsidRDefault="00BF5608" w:rsidP="005019EB">
            <w:pPr>
              <w:spacing w:after="0" w:line="240" w:lineRule="auto"/>
              <w:rPr>
                <w:sz w:val="18"/>
                <w:szCs w:val="18"/>
                <w:lang w:eastAsia="sk-SK"/>
              </w:rPr>
            </w:pPr>
            <w:r w:rsidRPr="00505A09">
              <w:rPr>
                <w:sz w:val="18"/>
                <w:szCs w:val="18"/>
                <w:lang w:eastAsia="sk-SK"/>
              </w:rPr>
              <w:t>Spolu</w:t>
            </w:r>
          </w:p>
        </w:tc>
        <w:tc>
          <w:tcPr>
            <w:tcW w:w="1016" w:type="dxa"/>
            <w:tcBorders>
              <w:top w:val="nil"/>
              <w:left w:val="nil"/>
              <w:right w:val="nil"/>
            </w:tcBorders>
            <w:shd w:val="clear" w:color="auto" w:fill="auto"/>
            <w:noWrap/>
            <w:vAlign w:val="bottom"/>
            <w:hideMark/>
          </w:tcPr>
          <w:p w14:paraId="5DD40493"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0</w:t>
            </w:r>
          </w:p>
        </w:tc>
        <w:tc>
          <w:tcPr>
            <w:tcW w:w="1096" w:type="dxa"/>
            <w:tcBorders>
              <w:top w:val="nil"/>
              <w:left w:val="nil"/>
              <w:right w:val="nil"/>
            </w:tcBorders>
            <w:shd w:val="clear" w:color="auto" w:fill="auto"/>
            <w:noWrap/>
            <w:vAlign w:val="bottom"/>
            <w:hideMark/>
          </w:tcPr>
          <w:p w14:paraId="29C070D1"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29 335</w:t>
            </w:r>
          </w:p>
        </w:tc>
        <w:tc>
          <w:tcPr>
            <w:tcW w:w="976" w:type="dxa"/>
            <w:tcBorders>
              <w:top w:val="nil"/>
              <w:left w:val="nil"/>
              <w:right w:val="nil"/>
            </w:tcBorders>
            <w:shd w:val="clear" w:color="auto" w:fill="auto"/>
            <w:noWrap/>
            <w:vAlign w:val="bottom"/>
            <w:hideMark/>
          </w:tcPr>
          <w:p w14:paraId="56B4CD9A"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0</w:t>
            </w:r>
          </w:p>
        </w:tc>
        <w:tc>
          <w:tcPr>
            <w:tcW w:w="1168" w:type="dxa"/>
            <w:tcBorders>
              <w:top w:val="nil"/>
              <w:left w:val="nil"/>
            </w:tcBorders>
            <w:shd w:val="clear" w:color="auto" w:fill="auto"/>
            <w:noWrap/>
            <w:vAlign w:val="bottom"/>
            <w:hideMark/>
          </w:tcPr>
          <w:p w14:paraId="71407851" w14:textId="77777777" w:rsidR="00BF5608" w:rsidRPr="00505A09" w:rsidRDefault="00BF5608" w:rsidP="005019EB">
            <w:pPr>
              <w:spacing w:after="0" w:line="240" w:lineRule="auto"/>
              <w:jc w:val="right"/>
              <w:rPr>
                <w:b/>
                <w:bCs/>
                <w:sz w:val="18"/>
                <w:szCs w:val="18"/>
                <w:lang w:eastAsia="sk-SK"/>
              </w:rPr>
            </w:pPr>
            <w:r w:rsidRPr="00505A09">
              <w:rPr>
                <w:b/>
                <w:bCs/>
                <w:sz w:val="18"/>
                <w:szCs w:val="18"/>
                <w:lang w:eastAsia="sk-SK"/>
              </w:rPr>
              <w:t>-29 335</w:t>
            </w:r>
          </w:p>
        </w:tc>
      </w:tr>
      <w:tr w:rsidR="00BF5608" w:rsidRPr="00505A09" w14:paraId="56100D86" w14:textId="77777777" w:rsidTr="003511D3">
        <w:trPr>
          <w:trHeight w:val="300"/>
        </w:trPr>
        <w:tc>
          <w:tcPr>
            <w:tcW w:w="4208" w:type="dxa"/>
            <w:vMerge/>
            <w:tcBorders>
              <w:top w:val="nil"/>
              <w:right w:val="nil"/>
            </w:tcBorders>
            <w:vAlign w:val="center"/>
            <w:hideMark/>
          </w:tcPr>
          <w:p w14:paraId="369B701B" w14:textId="77777777" w:rsidR="00BF5608" w:rsidRPr="00505A09" w:rsidRDefault="00BF5608" w:rsidP="005019EB">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042894FA" w14:textId="77777777" w:rsidR="00BF5608" w:rsidRPr="00505A09" w:rsidRDefault="00BF5608" w:rsidP="005019EB">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23E7F424"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0</w:t>
            </w:r>
          </w:p>
        </w:tc>
        <w:tc>
          <w:tcPr>
            <w:tcW w:w="1096" w:type="dxa"/>
            <w:tcBorders>
              <w:top w:val="nil"/>
              <w:left w:val="nil"/>
              <w:right w:val="nil"/>
            </w:tcBorders>
            <w:shd w:val="clear" w:color="auto" w:fill="auto"/>
            <w:noWrap/>
            <w:vAlign w:val="bottom"/>
            <w:hideMark/>
          </w:tcPr>
          <w:p w14:paraId="148DE132"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29 335</w:t>
            </w:r>
          </w:p>
        </w:tc>
        <w:tc>
          <w:tcPr>
            <w:tcW w:w="976" w:type="dxa"/>
            <w:tcBorders>
              <w:top w:val="nil"/>
              <w:left w:val="nil"/>
              <w:right w:val="nil"/>
            </w:tcBorders>
            <w:shd w:val="clear" w:color="auto" w:fill="auto"/>
            <w:noWrap/>
            <w:vAlign w:val="bottom"/>
            <w:hideMark/>
          </w:tcPr>
          <w:p w14:paraId="22050605"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tcBorders>
            <w:shd w:val="clear" w:color="auto" w:fill="auto"/>
            <w:noWrap/>
            <w:vAlign w:val="bottom"/>
            <w:hideMark/>
          </w:tcPr>
          <w:p w14:paraId="35C4B2E7"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-29 335</w:t>
            </w:r>
          </w:p>
        </w:tc>
      </w:tr>
      <w:tr w:rsidR="00BF5608" w:rsidRPr="00505A09" w14:paraId="32BE0F7D" w14:textId="77777777" w:rsidTr="003511D3">
        <w:trPr>
          <w:trHeight w:val="300"/>
        </w:trPr>
        <w:tc>
          <w:tcPr>
            <w:tcW w:w="4208" w:type="dxa"/>
            <w:vMerge/>
            <w:tcBorders>
              <w:top w:val="nil"/>
              <w:bottom w:val="single" w:sz="4" w:space="0" w:color="auto"/>
              <w:right w:val="nil"/>
            </w:tcBorders>
            <w:vAlign w:val="center"/>
            <w:hideMark/>
          </w:tcPr>
          <w:p w14:paraId="40E3C411" w14:textId="77777777" w:rsidR="00BF5608" w:rsidRPr="00505A09" w:rsidRDefault="00BF5608" w:rsidP="005019EB">
            <w:pPr>
              <w:spacing w:after="0" w:line="240" w:lineRule="auto"/>
              <w:rPr>
                <w:sz w:val="18"/>
                <w:szCs w:val="18"/>
                <w:lang w:eastAsia="sk-SK"/>
              </w:rPr>
            </w:pPr>
          </w:p>
        </w:tc>
        <w:tc>
          <w:tcPr>
            <w:tcW w:w="681" w:type="dxa"/>
            <w:tcBorders>
              <w:top w:val="nil"/>
              <w:left w:val="nil"/>
              <w:bottom w:val="single" w:sz="4" w:space="0" w:color="auto"/>
              <w:right w:val="nil"/>
            </w:tcBorders>
            <w:shd w:val="clear" w:color="auto" w:fill="auto"/>
            <w:vAlign w:val="center"/>
            <w:hideMark/>
          </w:tcPr>
          <w:p w14:paraId="7CE599B6" w14:textId="77777777" w:rsidR="00BF5608" w:rsidRPr="00505A09" w:rsidRDefault="00BF5608" w:rsidP="005019EB">
            <w:pPr>
              <w:spacing w:after="0" w:line="240" w:lineRule="auto"/>
              <w:rPr>
                <w:sz w:val="18"/>
                <w:szCs w:val="18"/>
                <w:lang w:eastAsia="sk-SK"/>
              </w:rPr>
            </w:pPr>
            <w:r w:rsidRPr="00505A09">
              <w:rPr>
                <w:sz w:val="18"/>
                <w:szCs w:val="18"/>
                <w:lang w:eastAsia="sk-SK"/>
              </w:rPr>
              <w:t>Super</w:t>
            </w:r>
          </w:p>
        </w:tc>
        <w:tc>
          <w:tcPr>
            <w:tcW w:w="1016" w:type="dxa"/>
            <w:tcBorders>
              <w:top w:val="nil"/>
              <w:left w:val="nil"/>
              <w:bottom w:val="single" w:sz="4" w:space="0" w:color="auto"/>
              <w:right w:val="nil"/>
            </w:tcBorders>
            <w:shd w:val="clear" w:color="auto" w:fill="auto"/>
            <w:noWrap/>
            <w:vAlign w:val="bottom"/>
            <w:hideMark/>
          </w:tcPr>
          <w:p w14:paraId="0F46DDA5" w14:textId="77777777" w:rsidR="00BF5608" w:rsidRPr="00505A09" w:rsidRDefault="00BF5608" w:rsidP="005019EB">
            <w:pPr>
              <w:spacing w:after="0" w:line="240" w:lineRule="auto"/>
              <w:jc w:val="right"/>
              <w:rPr>
                <w:sz w:val="18"/>
                <w:szCs w:val="18"/>
                <w:lang w:eastAsia="sk-SK"/>
              </w:rPr>
            </w:pPr>
            <w:r w:rsidRPr="00505A09">
              <w:rPr>
                <w:sz w:val="18"/>
                <w:szCs w:val="18"/>
                <w:lang w:eastAsia="sk-SK"/>
              </w:rPr>
              <w:t>0</w:t>
            </w:r>
          </w:p>
        </w:tc>
        <w:tc>
          <w:tcPr>
            <w:tcW w:w="1096" w:type="dxa"/>
            <w:tcBorders>
              <w:top w:val="nil"/>
              <w:left w:val="nil"/>
              <w:bottom w:val="single" w:sz="4" w:space="0" w:color="auto"/>
              <w:right w:val="nil"/>
            </w:tcBorders>
            <w:shd w:val="clear" w:color="auto" w:fill="auto"/>
            <w:noWrap/>
            <w:vAlign w:val="bottom"/>
            <w:hideMark/>
          </w:tcPr>
          <w:p w14:paraId="2CB1C69A"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976" w:type="dxa"/>
            <w:tcBorders>
              <w:top w:val="nil"/>
              <w:left w:val="nil"/>
              <w:bottom w:val="single" w:sz="4" w:space="0" w:color="auto"/>
              <w:right w:val="nil"/>
            </w:tcBorders>
            <w:shd w:val="clear" w:color="auto" w:fill="auto"/>
            <w:noWrap/>
            <w:vAlign w:val="bottom"/>
            <w:hideMark/>
          </w:tcPr>
          <w:p w14:paraId="3B1CDC9C"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bottom w:val="single" w:sz="4" w:space="0" w:color="auto"/>
            </w:tcBorders>
            <w:shd w:val="clear" w:color="auto" w:fill="auto"/>
            <w:noWrap/>
            <w:vAlign w:val="bottom"/>
            <w:hideMark/>
          </w:tcPr>
          <w:p w14:paraId="5D481E44" w14:textId="77777777" w:rsidR="00BF5608" w:rsidRPr="00505A09" w:rsidRDefault="00BF5608" w:rsidP="005019EB">
            <w:pPr>
              <w:spacing w:after="0" w:line="240" w:lineRule="auto"/>
              <w:jc w:val="right"/>
              <w:rPr>
                <w:color w:val="000000"/>
                <w:sz w:val="18"/>
                <w:szCs w:val="18"/>
                <w:lang w:eastAsia="sk-SK"/>
              </w:rPr>
            </w:pPr>
            <w:r w:rsidRPr="00505A09">
              <w:rPr>
                <w:color w:val="000000"/>
                <w:sz w:val="18"/>
                <w:szCs w:val="18"/>
                <w:lang w:eastAsia="sk-SK"/>
              </w:rPr>
              <w:t>0</w:t>
            </w:r>
          </w:p>
        </w:tc>
      </w:tr>
      <w:tr w:rsidR="00743ACA" w:rsidRPr="00505A09" w14:paraId="00E381BD" w14:textId="77777777" w:rsidTr="003511D3">
        <w:trPr>
          <w:trHeight w:val="300"/>
        </w:trPr>
        <w:tc>
          <w:tcPr>
            <w:tcW w:w="4208" w:type="dxa"/>
            <w:tcBorders>
              <w:top w:val="single" w:sz="4" w:space="0" w:color="auto"/>
              <w:bottom w:val="single" w:sz="4" w:space="0" w:color="auto"/>
              <w:right w:val="nil"/>
            </w:tcBorders>
            <w:shd w:val="clear" w:color="auto" w:fill="auto"/>
            <w:noWrap/>
            <w:vAlign w:val="center"/>
          </w:tcPr>
          <w:p w14:paraId="7DDFE16C" w14:textId="483DB19D" w:rsidR="00743ACA" w:rsidRPr="00505A09" w:rsidRDefault="00743ACA" w:rsidP="006F1687">
            <w:pPr>
              <w:spacing w:after="0" w:line="240" w:lineRule="auto"/>
              <w:rPr>
                <w:b/>
                <w:bCs/>
                <w:color w:val="000000"/>
                <w:sz w:val="18"/>
                <w:szCs w:val="18"/>
                <w:lang w:eastAsia="sk-SK"/>
              </w:rPr>
            </w:pPr>
            <w:r w:rsidRPr="00505A09">
              <w:rPr>
                <w:b/>
                <w:bCs/>
                <w:color w:val="000000"/>
                <w:sz w:val="18"/>
                <w:szCs w:val="18"/>
                <w:lang w:eastAsia="sk-SK"/>
              </w:rPr>
              <w:t>Ministerstvo dopravy SR</w:t>
            </w:r>
          </w:p>
        </w:tc>
        <w:tc>
          <w:tcPr>
            <w:tcW w:w="681" w:type="dxa"/>
            <w:tcBorders>
              <w:top w:val="single" w:sz="4" w:space="0" w:color="auto"/>
              <w:left w:val="nil"/>
              <w:bottom w:val="single" w:sz="4" w:space="0" w:color="auto"/>
              <w:right w:val="nil"/>
            </w:tcBorders>
            <w:shd w:val="clear" w:color="auto" w:fill="auto"/>
            <w:noWrap/>
            <w:vAlign w:val="center"/>
          </w:tcPr>
          <w:p w14:paraId="10D7E64C" w14:textId="78D28E3A" w:rsidR="00743ACA" w:rsidRPr="00505A09" w:rsidRDefault="00743ACA" w:rsidP="00743ACA">
            <w:pPr>
              <w:spacing w:after="0" w:line="240" w:lineRule="auto"/>
              <w:jc w:val="center"/>
              <w:rPr>
                <w:b/>
                <w:bCs/>
                <w:color w:val="000000"/>
                <w:sz w:val="18"/>
                <w:szCs w:val="18"/>
                <w:lang w:eastAsia="sk-SK"/>
              </w:rPr>
            </w:pPr>
            <w:r w:rsidRPr="00505A09">
              <w:rPr>
                <w:b/>
                <w:bCs/>
                <w:sz w:val="18"/>
                <w:szCs w:val="18"/>
                <w:lang w:eastAsia="sk-SK"/>
              </w:rPr>
              <w:t>Spolu</w:t>
            </w:r>
          </w:p>
        </w:tc>
        <w:tc>
          <w:tcPr>
            <w:tcW w:w="1016" w:type="dxa"/>
            <w:tcBorders>
              <w:top w:val="single" w:sz="4" w:space="0" w:color="auto"/>
              <w:left w:val="nil"/>
              <w:bottom w:val="single" w:sz="4" w:space="0" w:color="auto"/>
              <w:right w:val="nil"/>
            </w:tcBorders>
            <w:shd w:val="clear" w:color="auto" w:fill="auto"/>
            <w:noWrap/>
            <w:vAlign w:val="bottom"/>
          </w:tcPr>
          <w:p w14:paraId="45AAA10A" w14:textId="40A75090" w:rsidR="00743ACA" w:rsidRPr="00505A09" w:rsidRDefault="00743ACA" w:rsidP="00743ACA">
            <w:pPr>
              <w:spacing w:after="0" w:line="240" w:lineRule="auto"/>
              <w:jc w:val="right"/>
              <w:rPr>
                <w:b/>
                <w:bCs/>
                <w:color w:val="000000"/>
                <w:sz w:val="18"/>
                <w:szCs w:val="18"/>
                <w:lang w:eastAsia="sk-SK"/>
              </w:rPr>
            </w:pPr>
            <w:r w:rsidRPr="00505A09">
              <w:rPr>
                <w:b/>
                <w:bCs/>
                <w:sz w:val="18"/>
                <w:szCs w:val="18"/>
                <w:lang w:eastAsia="sk-SK"/>
              </w:rPr>
              <w:t>779</w:t>
            </w:r>
          </w:p>
        </w:tc>
        <w:tc>
          <w:tcPr>
            <w:tcW w:w="1096" w:type="dxa"/>
            <w:tcBorders>
              <w:top w:val="single" w:sz="4" w:space="0" w:color="auto"/>
              <w:left w:val="nil"/>
              <w:bottom w:val="single" w:sz="4" w:space="0" w:color="auto"/>
              <w:right w:val="nil"/>
            </w:tcBorders>
            <w:shd w:val="clear" w:color="auto" w:fill="auto"/>
            <w:noWrap/>
            <w:vAlign w:val="bottom"/>
          </w:tcPr>
          <w:p w14:paraId="3DF0D5A6" w14:textId="6DCA8A23" w:rsidR="00743ACA" w:rsidRPr="00505A09" w:rsidRDefault="00743ACA" w:rsidP="00743ACA">
            <w:pPr>
              <w:spacing w:after="0" w:line="240" w:lineRule="auto"/>
              <w:jc w:val="right"/>
              <w:rPr>
                <w:b/>
                <w:bCs/>
                <w:color w:val="000000"/>
                <w:sz w:val="18"/>
                <w:szCs w:val="18"/>
                <w:lang w:eastAsia="sk-SK"/>
              </w:rPr>
            </w:pPr>
            <w:r w:rsidRPr="00505A09">
              <w:rPr>
                <w:b/>
                <w:bCs/>
                <w:sz w:val="18"/>
                <w:szCs w:val="18"/>
                <w:lang w:eastAsia="sk-SK"/>
              </w:rPr>
              <w:t>0</w:t>
            </w:r>
          </w:p>
        </w:tc>
        <w:tc>
          <w:tcPr>
            <w:tcW w:w="976" w:type="dxa"/>
            <w:tcBorders>
              <w:top w:val="single" w:sz="4" w:space="0" w:color="auto"/>
              <w:left w:val="nil"/>
              <w:bottom w:val="single" w:sz="4" w:space="0" w:color="auto"/>
              <w:right w:val="nil"/>
            </w:tcBorders>
            <w:shd w:val="clear" w:color="auto" w:fill="auto"/>
            <w:noWrap/>
            <w:vAlign w:val="bottom"/>
          </w:tcPr>
          <w:p w14:paraId="5B41130D" w14:textId="0E225B27" w:rsidR="00743ACA" w:rsidRPr="00505A09" w:rsidRDefault="00743ACA" w:rsidP="00743ACA">
            <w:pPr>
              <w:spacing w:after="0" w:line="240" w:lineRule="auto"/>
              <w:jc w:val="right"/>
              <w:rPr>
                <w:b/>
                <w:bCs/>
                <w:color w:val="000000"/>
                <w:sz w:val="18"/>
                <w:szCs w:val="18"/>
                <w:lang w:eastAsia="sk-SK"/>
              </w:rPr>
            </w:pPr>
            <w:r w:rsidRPr="00505A09">
              <w:rPr>
                <w:b/>
                <w:bCs/>
                <w:sz w:val="18"/>
                <w:szCs w:val="18"/>
                <w:lang w:eastAsia="sk-SK"/>
              </w:rPr>
              <w:t>0</w:t>
            </w:r>
          </w:p>
        </w:tc>
        <w:tc>
          <w:tcPr>
            <w:tcW w:w="1168" w:type="dxa"/>
            <w:tcBorders>
              <w:top w:val="single" w:sz="4" w:space="0" w:color="auto"/>
              <w:left w:val="nil"/>
              <w:bottom w:val="single" w:sz="4" w:space="0" w:color="auto"/>
            </w:tcBorders>
            <w:shd w:val="clear" w:color="auto" w:fill="auto"/>
            <w:noWrap/>
            <w:vAlign w:val="bottom"/>
          </w:tcPr>
          <w:p w14:paraId="6A84BA14" w14:textId="570F9326" w:rsidR="00743ACA" w:rsidRPr="00505A09" w:rsidRDefault="00743ACA" w:rsidP="00743ACA">
            <w:pPr>
              <w:spacing w:after="0" w:line="240" w:lineRule="auto"/>
              <w:jc w:val="right"/>
              <w:rPr>
                <w:b/>
                <w:bCs/>
                <w:color w:val="000000"/>
                <w:sz w:val="18"/>
                <w:szCs w:val="18"/>
                <w:lang w:eastAsia="sk-SK"/>
              </w:rPr>
            </w:pPr>
            <w:r w:rsidRPr="00505A09">
              <w:rPr>
                <w:b/>
                <w:bCs/>
                <w:sz w:val="18"/>
                <w:szCs w:val="18"/>
                <w:lang w:eastAsia="sk-SK"/>
              </w:rPr>
              <w:t>0</w:t>
            </w:r>
          </w:p>
        </w:tc>
      </w:tr>
      <w:tr w:rsidR="00743ACA" w:rsidRPr="00505A09" w14:paraId="3DC0056B" w14:textId="77777777" w:rsidTr="003511D3">
        <w:trPr>
          <w:trHeight w:val="300"/>
        </w:trPr>
        <w:tc>
          <w:tcPr>
            <w:tcW w:w="4208" w:type="dxa"/>
            <w:tcBorders>
              <w:top w:val="nil"/>
              <w:bottom w:val="nil"/>
              <w:right w:val="nil"/>
            </w:tcBorders>
            <w:shd w:val="clear" w:color="auto" w:fill="auto"/>
            <w:noWrap/>
            <w:vAlign w:val="center"/>
          </w:tcPr>
          <w:p w14:paraId="3AADA1B3" w14:textId="77777777" w:rsidR="00743ACA" w:rsidRPr="00505A09" w:rsidRDefault="00743ACA" w:rsidP="00743ACA">
            <w:pPr>
              <w:spacing w:after="0" w:line="240" w:lineRule="auto"/>
              <w:jc w:val="center"/>
              <w:rPr>
                <w:b/>
                <w:bCs/>
                <w:color w:val="000000"/>
                <w:sz w:val="18"/>
                <w:szCs w:val="18"/>
                <w:lang w:eastAsia="sk-SK"/>
              </w:rPr>
            </w:pPr>
          </w:p>
        </w:tc>
        <w:tc>
          <w:tcPr>
            <w:tcW w:w="681" w:type="dxa"/>
            <w:tcBorders>
              <w:top w:val="nil"/>
              <w:left w:val="nil"/>
              <w:bottom w:val="nil"/>
              <w:right w:val="nil"/>
            </w:tcBorders>
            <w:shd w:val="clear" w:color="auto" w:fill="auto"/>
            <w:noWrap/>
            <w:vAlign w:val="center"/>
          </w:tcPr>
          <w:p w14:paraId="3221243F" w14:textId="0B8D0A8D" w:rsidR="00743ACA" w:rsidRPr="00505A09" w:rsidRDefault="00743ACA" w:rsidP="00743ACA">
            <w:pPr>
              <w:spacing w:after="0" w:line="240" w:lineRule="auto"/>
              <w:jc w:val="center"/>
              <w:rPr>
                <w:b/>
                <w:bCs/>
                <w:color w:val="000000"/>
                <w:sz w:val="18"/>
                <w:szCs w:val="18"/>
                <w:lang w:eastAsia="sk-SK"/>
              </w:rPr>
            </w:pPr>
            <w:r w:rsidRPr="00505A09">
              <w:rPr>
                <w:sz w:val="18"/>
                <w:szCs w:val="18"/>
                <w:lang w:eastAsia="sk-SK"/>
              </w:rPr>
              <w:t xml:space="preserve">ESA </w:t>
            </w:r>
          </w:p>
        </w:tc>
        <w:tc>
          <w:tcPr>
            <w:tcW w:w="1016" w:type="dxa"/>
            <w:tcBorders>
              <w:top w:val="nil"/>
              <w:left w:val="nil"/>
              <w:bottom w:val="nil"/>
              <w:right w:val="nil"/>
            </w:tcBorders>
            <w:shd w:val="clear" w:color="auto" w:fill="auto"/>
            <w:noWrap/>
            <w:vAlign w:val="bottom"/>
          </w:tcPr>
          <w:p w14:paraId="3C786505" w14:textId="3CDA6C5C"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742</w:t>
            </w:r>
          </w:p>
        </w:tc>
        <w:tc>
          <w:tcPr>
            <w:tcW w:w="1096" w:type="dxa"/>
            <w:tcBorders>
              <w:top w:val="nil"/>
              <w:left w:val="nil"/>
              <w:bottom w:val="nil"/>
              <w:right w:val="nil"/>
            </w:tcBorders>
            <w:shd w:val="clear" w:color="auto" w:fill="auto"/>
            <w:noWrap/>
            <w:vAlign w:val="bottom"/>
          </w:tcPr>
          <w:p w14:paraId="71C84C60" w14:textId="227BD48C"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c>
          <w:tcPr>
            <w:tcW w:w="976" w:type="dxa"/>
            <w:tcBorders>
              <w:top w:val="nil"/>
              <w:left w:val="nil"/>
              <w:bottom w:val="nil"/>
              <w:right w:val="nil"/>
            </w:tcBorders>
            <w:shd w:val="clear" w:color="auto" w:fill="auto"/>
            <w:noWrap/>
            <w:vAlign w:val="bottom"/>
          </w:tcPr>
          <w:p w14:paraId="2C26FDBB" w14:textId="0395D182"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c>
          <w:tcPr>
            <w:tcW w:w="1168" w:type="dxa"/>
            <w:tcBorders>
              <w:top w:val="nil"/>
              <w:left w:val="nil"/>
              <w:bottom w:val="nil"/>
            </w:tcBorders>
            <w:shd w:val="clear" w:color="auto" w:fill="auto"/>
            <w:noWrap/>
            <w:vAlign w:val="bottom"/>
          </w:tcPr>
          <w:p w14:paraId="6EE0B656" w14:textId="2593291E"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r>
      <w:tr w:rsidR="00743ACA" w:rsidRPr="00505A09" w14:paraId="2BF071E3" w14:textId="77777777" w:rsidTr="003511D3">
        <w:trPr>
          <w:trHeight w:val="300"/>
        </w:trPr>
        <w:tc>
          <w:tcPr>
            <w:tcW w:w="4208" w:type="dxa"/>
            <w:tcBorders>
              <w:top w:val="nil"/>
              <w:bottom w:val="nil"/>
              <w:right w:val="nil"/>
            </w:tcBorders>
            <w:shd w:val="clear" w:color="auto" w:fill="auto"/>
            <w:noWrap/>
            <w:vAlign w:val="center"/>
          </w:tcPr>
          <w:p w14:paraId="67F650F3" w14:textId="17A4A2E2" w:rsidR="00743ACA" w:rsidRPr="00505A09" w:rsidRDefault="00743ACA" w:rsidP="00E86ED2">
            <w:pPr>
              <w:spacing w:after="0" w:line="240" w:lineRule="auto"/>
              <w:rPr>
                <w:b/>
                <w:bCs/>
                <w:color w:val="000000"/>
                <w:sz w:val="18"/>
                <w:szCs w:val="18"/>
                <w:lang w:eastAsia="sk-SK"/>
              </w:rPr>
            </w:pPr>
            <w:r w:rsidRPr="00505A09">
              <w:rPr>
                <w:sz w:val="18"/>
                <w:szCs w:val="18"/>
                <w:lang w:eastAsia="sk-SK"/>
              </w:rPr>
              <w:t xml:space="preserve">Letisko Košice - </w:t>
            </w:r>
            <w:proofErr w:type="spellStart"/>
            <w:r w:rsidRPr="00505A09">
              <w:rPr>
                <w:sz w:val="18"/>
                <w:szCs w:val="18"/>
                <w:lang w:eastAsia="sk-SK"/>
              </w:rPr>
              <w:t>Airport</w:t>
            </w:r>
            <w:proofErr w:type="spellEnd"/>
            <w:r w:rsidRPr="00505A09">
              <w:rPr>
                <w:sz w:val="18"/>
                <w:szCs w:val="18"/>
                <w:lang w:eastAsia="sk-SK"/>
              </w:rPr>
              <w:t xml:space="preserve"> Košice, </w:t>
            </w:r>
            <w:proofErr w:type="spellStart"/>
            <w:r w:rsidRPr="00505A09">
              <w:rPr>
                <w:sz w:val="18"/>
                <w:szCs w:val="18"/>
                <w:lang w:eastAsia="sk-SK"/>
              </w:rPr>
              <w:t>a.s</w:t>
            </w:r>
            <w:proofErr w:type="spellEnd"/>
            <w:r w:rsidRPr="00505A09">
              <w:rPr>
                <w:sz w:val="18"/>
                <w:szCs w:val="18"/>
                <w:lang w:eastAsia="sk-SK"/>
              </w:rPr>
              <w:t>.</w:t>
            </w:r>
          </w:p>
        </w:tc>
        <w:tc>
          <w:tcPr>
            <w:tcW w:w="681" w:type="dxa"/>
            <w:tcBorders>
              <w:top w:val="nil"/>
              <w:left w:val="nil"/>
              <w:bottom w:val="nil"/>
              <w:right w:val="nil"/>
            </w:tcBorders>
            <w:shd w:val="clear" w:color="auto" w:fill="auto"/>
            <w:noWrap/>
            <w:vAlign w:val="center"/>
          </w:tcPr>
          <w:p w14:paraId="6F8C6B7E" w14:textId="199D22EA" w:rsidR="00743ACA" w:rsidRPr="00505A09" w:rsidRDefault="00743ACA" w:rsidP="00743ACA">
            <w:pPr>
              <w:spacing w:after="0" w:line="240" w:lineRule="auto"/>
              <w:jc w:val="center"/>
              <w:rPr>
                <w:b/>
                <w:bCs/>
                <w:color w:val="000000"/>
                <w:sz w:val="18"/>
                <w:szCs w:val="18"/>
                <w:lang w:eastAsia="sk-SK"/>
              </w:rPr>
            </w:pPr>
            <w:r w:rsidRPr="00505A09">
              <w:rPr>
                <w:sz w:val="18"/>
                <w:szCs w:val="18"/>
                <w:lang w:eastAsia="sk-SK"/>
              </w:rPr>
              <w:t>Super</w:t>
            </w:r>
          </w:p>
        </w:tc>
        <w:tc>
          <w:tcPr>
            <w:tcW w:w="1016" w:type="dxa"/>
            <w:tcBorders>
              <w:top w:val="nil"/>
              <w:left w:val="nil"/>
              <w:bottom w:val="nil"/>
              <w:right w:val="nil"/>
            </w:tcBorders>
            <w:shd w:val="clear" w:color="auto" w:fill="auto"/>
            <w:noWrap/>
            <w:vAlign w:val="bottom"/>
          </w:tcPr>
          <w:p w14:paraId="7904AC38" w14:textId="3C513BA2"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37</w:t>
            </w:r>
          </w:p>
        </w:tc>
        <w:tc>
          <w:tcPr>
            <w:tcW w:w="1096" w:type="dxa"/>
            <w:tcBorders>
              <w:top w:val="nil"/>
              <w:left w:val="nil"/>
              <w:bottom w:val="nil"/>
              <w:right w:val="nil"/>
            </w:tcBorders>
            <w:shd w:val="clear" w:color="auto" w:fill="auto"/>
            <w:noWrap/>
            <w:vAlign w:val="bottom"/>
          </w:tcPr>
          <w:p w14:paraId="434FCC77" w14:textId="13697A6A"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c>
          <w:tcPr>
            <w:tcW w:w="976" w:type="dxa"/>
            <w:tcBorders>
              <w:top w:val="nil"/>
              <w:left w:val="nil"/>
              <w:bottom w:val="nil"/>
              <w:right w:val="nil"/>
            </w:tcBorders>
            <w:shd w:val="clear" w:color="auto" w:fill="auto"/>
            <w:noWrap/>
            <w:vAlign w:val="bottom"/>
          </w:tcPr>
          <w:p w14:paraId="6763CF43" w14:textId="5089EFB3"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c>
          <w:tcPr>
            <w:tcW w:w="1168" w:type="dxa"/>
            <w:tcBorders>
              <w:top w:val="nil"/>
              <w:left w:val="nil"/>
              <w:bottom w:val="nil"/>
            </w:tcBorders>
            <w:shd w:val="clear" w:color="auto" w:fill="auto"/>
            <w:noWrap/>
            <w:vAlign w:val="bottom"/>
          </w:tcPr>
          <w:p w14:paraId="7B133BF7" w14:textId="56BD92E6" w:rsidR="00743ACA" w:rsidRPr="00505A09" w:rsidRDefault="00743ACA" w:rsidP="00743ACA">
            <w:pPr>
              <w:spacing w:after="0" w:line="240" w:lineRule="auto"/>
              <w:jc w:val="right"/>
              <w:rPr>
                <w:b/>
                <w:bCs/>
                <w:color w:val="000000"/>
                <w:sz w:val="18"/>
                <w:szCs w:val="18"/>
                <w:lang w:eastAsia="sk-SK"/>
              </w:rPr>
            </w:pPr>
            <w:r w:rsidRPr="00505A09">
              <w:rPr>
                <w:color w:val="000000"/>
                <w:sz w:val="18"/>
                <w:szCs w:val="18"/>
                <w:lang w:eastAsia="sk-SK"/>
              </w:rPr>
              <w:t>0</w:t>
            </w:r>
          </w:p>
        </w:tc>
      </w:tr>
      <w:tr w:rsidR="00743ACA" w:rsidRPr="00505A09" w14:paraId="0B90397B" w14:textId="77777777" w:rsidTr="003511D3">
        <w:trPr>
          <w:trHeight w:val="300"/>
        </w:trPr>
        <w:tc>
          <w:tcPr>
            <w:tcW w:w="5905" w:type="dxa"/>
            <w:gridSpan w:val="3"/>
            <w:tcBorders>
              <w:top w:val="single" w:sz="4" w:space="0" w:color="auto"/>
              <w:bottom w:val="single" w:sz="4" w:space="0" w:color="auto"/>
              <w:right w:val="nil"/>
            </w:tcBorders>
            <w:shd w:val="clear" w:color="auto" w:fill="auto"/>
            <w:noWrap/>
            <w:vAlign w:val="center"/>
            <w:hideMark/>
          </w:tcPr>
          <w:p w14:paraId="423A8220" w14:textId="77777777" w:rsidR="00743ACA" w:rsidRPr="00505A09" w:rsidRDefault="00743ACA" w:rsidP="00BF5608">
            <w:pPr>
              <w:spacing w:after="0" w:line="240" w:lineRule="auto"/>
              <w:rPr>
                <w:b/>
                <w:bCs/>
                <w:color w:val="000000"/>
                <w:sz w:val="18"/>
                <w:szCs w:val="18"/>
                <w:lang w:eastAsia="sk-SK"/>
              </w:rPr>
            </w:pPr>
            <w:r w:rsidRPr="00505A09">
              <w:rPr>
                <w:b/>
                <w:bCs/>
                <w:color w:val="000000"/>
                <w:sz w:val="18"/>
                <w:szCs w:val="18"/>
                <w:lang w:eastAsia="sk-SK"/>
              </w:rPr>
              <w:t>Ministerstvo zahraničných vecí a európskych záležitostí SR</w:t>
            </w:r>
          </w:p>
        </w:tc>
        <w:tc>
          <w:tcPr>
            <w:tcW w:w="1096" w:type="dxa"/>
            <w:tcBorders>
              <w:top w:val="single" w:sz="4" w:space="0" w:color="auto"/>
              <w:left w:val="nil"/>
              <w:bottom w:val="single" w:sz="4" w:space="0" w:color="auto"/>
              <w:right w:val="nil"/>
            </w:tcBorders>
            <w:shd w:val="clear" w:color="auto" w:fill="auto"/>
            <w:noWrap/>
            <w:vAlign w:val="center"/>
            <w:hideMark/>
          </w:tcPr>
          <w:p w14:paraId="599EEE73" w14:textId="77777777" w:rsidR="00743ACA" w:rsidRPr="00505A09" w:rsidRDefault="00743ACA" w:rsidP="00743ACA">
            <w:pPr>
              <w:spacing w:after="0" w:line="240" w:lineRule="auto"/>
              <w:jc w:val="center"/>
              <w:rPr>
                <w:b/>
                <w:bCs/>
                <w:color w:val="000000"/>
                <w:sz w:val="18"/>
                <w:szCs w:val="18"/>
                <w:lang w:eastAsia="sk-SK"/>
              </w:rPr>
            </w:pPr>
            <w:r w:rsidRPr="00505A09">
              <w:rPr>
                <w:b/>
                <w:bCs/>
                <w:color w:val="000000"/>
                <w:sz w:val="18"/>
                <w:szCs w:val="18"/>
                <w:lang w:eastAsia="sk-SK"/>
              </w:rPr>
              <w:t> </w:t>
            </w:r>
          </w:p>
        </w:tc>
        <w:tc>
          <w:tcPr>
            <w:tcW w:w="976" w:type="dxa"/>
            <w:tcBorders>
              <w:top w:val="single" w:sz="4" w:space="0" w:color="auto"/>
              <w:left w:val="nil"/>
              <w:bottom w:val="single" w:sz="4" w:space="0" w:color="auto"/>
              <w:right w:val="nil"/>
            </w:tcBorders>
            <w:shd w:val="clear" w:color="auto" w:fill="auto"/>
            <w:noWrap/>
            <w:vAlign w:val="center"/>
            <w:hideMark/>
          </w:tcPr>
          <w:p w14:paraId="412E900A" w14:textId="77777777" w:rsidR="00743ACA" w:rsidRPr="00505A09" w:rsidRDefault="00743ACA" w:rsidP="00743ACA">
            <w:pPr>
              <w:spacing w:after="0" w:line="240" w:lineRule="auto"/>
              <w:jc w:val="center"/>
              <w:rPr>
                <w:b/>
                <w:bCs/>
                <w:color w:val="000000"/>
                <w:sz w:val="18"/>
                <w:szCs w:val="18"/>
                <w:lang w:eastAsia="sk-SK"/>
              </w:rPr>
            </w:pPr>
            <w:r w:rsidRPr="00505A09">
              <w:rPr>
                <w:b/>
                <w:bCs/>
                <w:color w:val="000000"/>
                <w:sz w:val="18"/>
                <w:szCs w:val="18"/>
                <w:lang w:eastAsia="sk-SK"/>
              </w:rPr>
              <w:t> </w:t>
            </w:r>
          </w:p>
        </w:tc>
        <w:tc>
          <w:tcPr>
            <w:tcW w:w="1168" w:type="dxa"/>
            <w:tcBorders>
              <w:top w:val="single" w:sz="4" w:space="0" w:color="auto"/>
              <w:left w:val="nil"/>
              <w:bottom w:val="single" w:sz="4" w:space="0" w:color="auto"/>
            </w:tcBorders>
            <w:shd w:val="clear" w:color="auto" w:fill="auto"/>
            <w:noWrap/>
            <w:vAlign w:val="center"/>
            <w:hideMark/>
          </w:tcPr>
          <w:p w14:paraId="32589671" w14:textId="77777777" w:rsidR="00743ACA" w:rsidRPr="00505A09" w:rsidRDefault="00743ACA" w:rsidP="00743ACA">
            <w:pPr>
              <w:spacing w:after="0" w:line="240" w:lineRule="auto"/>
              <w:jc w:val="center"/>
              <w:rPr>
                <w:b/>
                <w:bCs/>
                <w:color w:val="000000"/>
                <w:sz w:val="18"/>
                <w:szCs w:val="18"/>
                <w:lang w:eastAsia="sk-SK"/>
              </w:rPr>
            </w:pPr>
            <w:r w:rsidRPr="00505A09">
              <w:rPr>
                <w:b/>
                <w:bCs/>
                <w:color w:val="000000"/>
                <w:sz w:val="18"/>
                <w:szCs w:val="18"/>
                <w:lang w:eastAsia="sk-SK"/>
              </w:rPr>
              <w:t> </w:t>
            </w:r>
          </w:p>
        </w:tc>
      </w:tr>
      <w:tr w:rsidR="00743ACA" w:rsidRPr="00505A09" w14:paraId="4CB07106" w14:textId="77777777" w:rsidTr="003511D3">
        <w:trPr>
          <w:trHeight w:val="300"/>
        </w:trPr>
        <w:tc>
          <w:tcPr>
            <w:tcW w:w="4208" w:type="dxa"/>
            <w:vMerge w:val="restart"/>
            <w:tcBorders>
              <w:top w:val="single" w:sz="4" w:space="0" w:color="auto"/>
              <w:right w:val="nil"/>
            </w:tcBorders>
            <w:shd w:val="clear" w:color="auto" w:fill="auto"/>
            <w:vAlign w:val="center"/>
            <w:hideMark/>
          </w:tcPr>
          <w:p w14:paraId="36F9E1A6"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Správa služieb diplomatického zboru, </w:t>
            </w:r>
            <w:proofErr w:type="spellStart"/>
            <w:r w:rsidRPr="00505A09">
              <w:rPr>
                <w:sz w:val="18"/>
                <w:szCs w:val="18"/>
                <w:lang w:eastAsia="sk-SK"/>
              </w:rPr>
              <w:t>a.s</w:t>
            </w:r>
            <w:proofErr w:type="spellEnd"/>
          </w:p>
        </w:tc>
        <w:tc>
          <w:tcPr>
            <w:tcW w:w="681" w:type="dxa"/>
            <w:tcBorders>
              <w:top w:val="single" w:sz="4" w:space="0" w:color="auto"/>
              <w:left w:val="nil"/>
              <w:right w:val="nil"/>
            </w:tcBorders>
            <w:shd w:val="clear" w:color="auto" w:fill="auto"/>
            <w:vAlign w:val="center"/>
            <w:hideMark/>
          </w:tcPr>
          <w:p w14:paraId="2B527F76" w14:textId="77777777" w:rsidR="00743ACA" w:rsidRPr="00505A09" w:rsidRDefault="00743ACA" w:rsidP="00743ACA">
            <w:pPr>
              <w:spacing w:after="0" w:line="240" w:lineRule="auto"/>
              <w:rPr>
                <w:sz w:val="18"/>
                <w:szCs w:val="18"/>
                <w:lang w:eastAsia="sk-SK"/>
              </w:rPr>
            </w:pPr>
            <w:r w:rsidRPr="00505A09">
              <w:rPr>
                <w:sz w:val="18"/>
                <w:szCs w:val="18"/>
                <w:lang w:eastAsia="sk-SK"/>
              </w:rPr>
              <w:t>Spolu</w:t>
            </w:r>
          </w:p>
        </w:tc>
        <w:tc>
          <w:tcPr>
            <w:tcW w:w="1016" w:type="dxa"/>
            <w:tcBorders>
              <w:top w:val="single" w:sz="4" w:space="0" w:color="auto"/>
              <w:left w:val="nil"/>
              <w:right w:val="nil"/>
            </w:tcBorders>
            <w:shd w:val="clear" w:color="auto" w:fill="auto"/>
            <w:noWrap/>
            <w:vAlign w:val="bottom"/>
            <w:hideMark/>
          </w:tcPr>
          <w:p w14:paraId="16F0A9C3"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698</w:t>
            </w:r>
          </w:p>
        </w:tc>
        <w:tc>
          <w:tcPr>
            <w:tcW w:w="1096" w:type="dxa"/>
            <w:tcBorders>
              <w:top w:val="single" w:sz="4" w:space="0" w:color="auto"/>
              <w:left w:val="nil"/>
              <w:right w:val="nil"/>
            </w:tcBorders>
            <w:shd w:val="clear" w:color="auto" w:fill="auto"/>
            <w:noWrap/>
            <w:vAlign w:val="bottom"/>
            <w:hideMark/>
          </w:tcPr>
          <w:p w14:paraId="29AD53CA"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250</w:t>
            </w:r>
          </w:p>
        </w:tc>
        <w:tc>
          <w:tcPr>
            <w:tcW w:w="976" w:type="dxa"/>
            <w:tcBorders>
              <w:top w:val="single" w:sz="4" w:space="0" w:color="auto"/>
              <w:left w:val="nil"/>
              <w:right w:val="nil"/>
            </w:tcBorders>
            <w:shd w:val="clear" w:color="auto" w:fill="auto"/>
            <w:noWrap/>
            <w:vAlign w:val="bottom"/>
            <w:hideMark/>
          </w:tcPr>
          <w:p w14:paraId="79743DD4"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240</w:t>
            </w:r>
          </w:p>
        </w:tc>
        <w:tc>
          <w:tcPr>
            <w:tcW w:w="1168" w:type="dxa"/>
            <w:tcBorders>
              <w:top w:val="single" w:sz="4" w:space="0" w:color="auto"/>
              <w:left w:val="nil"/>
            </w:tcBorders>
            <w:shd w:val="clear" w:color="auto" w:fill="auto"/>
            <w:noWrap/>
            <w:vAlign w:val="bottom"/>
            <w:hideMark/>
          </w:tcPr>
          <w:p w14:paraId="7B74D8DC" w14:textId="77777777" w:rsidR="00743ACA" w:rsidRPr="00505A09" w:rsidRDefault="00743ACA" w:rsidP="00743ACA">
            <w:pPr>
              <w:spacing w:after="0" w:line="240" w:lineRule="auto"/>
              <w:jc w:val="right"/>
              <w:rPr>
                <w:b/>
                <w:bCs/>
                <w:sz w:val="18"/>
                <w:szCs w:val="18"/>
                <w:lang w:eastAsia="sk-SK"/>
              </w:rPr>
            </w:pPr>
            <w:r w:rsidRPr="00505A09">
              <w:rPr>
                <w:b/>
                <w:bCs/>
                <w:sz w:val="18"/>
                <w:szCs w:val="18"/>
                <w:lang w:eastAsia="sk-SK"/>
              </w:rPr>
              <w:t>-10</w:t>
            </w:r>
          </w:p>
        </w:tc>
      </w:tr>
      <w:tr w:rsidR="00743ACA" w:rsidRPr="00505A09" w14:paraId="46D41B43" w14:textId="77777777" w:rsidTr="003511D3">
        <w:trPr>
          <w:trHeight w:val="300"/>
        </w:trPr>
        <w:tc>
          <w:tcPr>
            <w:tcW w:w="4208" w:type="dxa"/>
            <w:vMerge/>
            <w:tcBorders>
              <w:top w:val="nil"/>
              <w:right w:val="nil"/>
            </w:tcBorders>
            <w:vAlign w:val="center"/>
            <w:hideMark/>
          </w:tcPr>
          <w:p w14:paraId="27ECCBD2" w14:textId="77777777" w:rsidR="00743ACA" w:rsidRPr="00505A09" w:rsidRDefault="00743ACA" w:rsidP="00743ACA">
            <w:pPr>
              <w:spacing w:after="0" w:line="240" w:lineRule="auto"/>
              <w:rPr>
                <w:sz w:val="18"/>
                <w:szCs w:val="18"/>
                <w:lang w:eastAsia="sk-SK"/>
              </w:rPr>
            </w:pPr>
          </w:p>
        </w:tc>
        <w:tc>
          <w:tcPr>
            <w:tcW w:w="681" w:type="dxa"/>
            <w:tcBorders>
              <w:top w:val="nil"/>
              <w:left w:val="nil"/>
              <w:right w:val="nil"/>
            </w:tcBorders>
            <w:shd w:val="clear" w:color="auto" w:fill="auto"/>
            <w:vAlign w:val="center"/>
            <w:hideMark/>
          </w:tcPr>
          <w:p w14:paraId="42540C8F" w14:textId="77777777" w:rsidR="00743ACA" w:rsidRPr="00505A09" w:rsidRDefault="00743ACA" w:rsidP="00743ACA">
            <w:pPr>
              <w:spacing w:after="0" w:line="240" w:lineRule="auto"/>
              <w:rPr>
                <w:sz w:val="18"/>
                <w:szCs w:val="18"/>
                <w:lang w:eastAsia="sk-SK"/>
              </w:rPr>
            </w:pPr>
            <w:r w:rsidRPr="00505A09">
              <w:rPr>
                <w:sz w:val="18"/>
                <w:szCs w:val="18"/>
                <w:lang w:eastAsia="sk-SK"/>
              </w:rPr>
              <w:t xml:space="preserve">ESA </w:t>
            </w:r>
          </w:p>
        </w:tc>
        <w:tc>
          <w:tcPr>
            <w:tcW w:w="1016" w:type="dxa"/>
            <w:tcBorders>
              <w:top w:val="nil"/>
              <w:left w:val="nil"/>
              <w:right w:val="nil"/>
            </w:tcBorders>
            <w:shd w:val="clear" w:color="auto" w:fill="auto"/>
            <w:noWrap/>
            <w:vAlign w:val="bottom"/>
            <w:hideMark/>
          </w:tcPr>
          <w:p w14:paraId="2D72988D"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490</w:t>
            </w:r>
          </w:p>
        </w:tc>
        <w:tc>
          <w:tcPr>
            <w:tcW w:w="1096" w:type="dxa"/>
            <w:tcBorders>
              <w:top w:val="nil"/>
              <w:left w:val="nil"/>
              <w:right w:val="nil"/>
            </w:tcBorders>
            <w:shd w:val="clear" w:color="auto" w:fill="auto"/>
            <w:noWrap/>
            <w:vAlign w:val="bottom"/>
            <w:hideMark/>
          </w:tcPr>
          <w:p w14:paraId="20532175"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250</w:t>
            </w:r>
          </w:p>
        </w:tc>
        <w:tc>
          <w:tcPr>
            <w:tcW w:w="976" w:type="dxa"/>
            <w:tcBorders>
              <w:top w:val="nil"/>
              <w:left w:val="nil"/>
              <w:right w:val="nil"/>
            </w:tcBorders>
            <w:shd w:val="clear" w:color="auto" w:fill="auto"/>
            <w:noWrap/>
            <w:vAlign w:val="center"/>
            <w:hideMark/>
          </w:tcPr>
          <w:p w14:paraId="30373CE1"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240</w:t>
            </w:r>
          </w:p>
        </w:tc>
        <w:tc>
          <w:tcPr>
            <w:tcW w:w="1168" w:type="dxa"/>
            <w:tcBorders>
              <w:top w:val="nil"/>
              <w:left w:val="nil"/>
            </w:tcBorders>
            <w:shd w:val="clear" w:color="auto" w:fill="auto"/>
            <w:noWrap/>
            <w:vAlign w:val="bottom"/>
            <w:hideMark/>
          </w:tcPr>
          <w:p w14:paraId="52274021"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-10</w:t>
            </w:r>
          </w:p>
        </w:tc>
      </w:tr>
      <w:tr w:rsidR="00743ACA" w:rsidRPr="00505A09" w14:paraId="5D98B7F4" w14:textId="77777777" w:rsidTr="003511D3">
        <w:trPr>
          <w:trHeight w:val="300"/>
        </w:trPr>
        <w:tc>
          <w:tcPr>
            <w:tcW w:w="4208" w:type="dxa"/>
            <w:vMerge/>
            <w:tcBorders>
              <w:top w:val="nil"/>
              <w:bottom w:val="double" w:sz="4" w:space="0" w:color="auto"/>
              <w:right w:val="nil"/>
            </w:tcBorders>
            <w:vAlign w:val="center"/>
            <w:hideMark/>
          </w:tcPr>
          <w:p w14:paraId="5226BB0C" w14:textId="77777777" w:rsidR="00743ACA" w:rsidRPr="00505A09" w:rsidRDefault="00743ACA" w:rsidP="00743ACA">
            <w:pPr>
              <w:spacing w:after="0" w:line="240" w:lineRule="auto"/>
              <w:rPr>
                <w:sz w:val="18"/>
                <w:szCs w:val="18"/>
                <w:lang w:eastAsia="sk-SK"/>
              </w:rPr>
            </w:pPr>
          </w:p>
        </w:tc>
        <w:tc>
          <w:tcPr>
            <w:tcW w:w="681" w:type="dxa"/>
            <w:tcBorders>
              <w:top w:val="nil"/>
              <w:left w:val="nil"/>
              <w:bottom w:val="double" w:sz="4" w:space="0" w:color="auto"/>
              <w:right w:val="nil"/>
            </w:tcBorders>
            <w:shd w:val="clear" w:color="auto" w:fill="auto"/>
            <w:vAlign w:val="center"/>
            <w:hideMark/>
          </w:tcPr>
          <w:p w14:paraId="32E28FCE" w14:textId="77777777" w:rsidR="00743ACA" w:rsidRPr="00505A09" w:rsidRDefault="00743ACA" w:rsidP="00743ACA">
            <w:pPr>
              <w:spacing w:after="0" w:line="240" w:lineRule="auto"/>
              <w:rPr>
                <w:sz w:val="18"/>
                <w:szCs w:val="18"/>
                <w:lang w:eastAsia="sk-SK"/>
              </w:rPr>
            </w:pPr>
            <w:r w:rsidRPr="00505A09">
              <w:rPr>
                <w:sz w:val="18"/>
                <w:szCs w:val="18"/>
                <w:lang w:eastAsia="sk-SK"/>
              </w:rPr>
              <w:t>Super</w:t>
            </w:r>
          </w:p>
        </w:tc>
        <w:tc>
          <w:tcPr>
            <w:tcW w:w="1016" w:type="dxa"/>
            <w:tcBorders>
              <w:top w:val="nil"/>
              <w:left w:val="nil"/>
              <w:bottom w:val="double" w:sz="4" w:space="0" w:color="auto"/>
              <w:right w:val="nil"/>
            </w:tcBorders>
            <w:shd w:val="clear" w:color="auto" w:fill="auto"/>
            <w:noWrap/>
            <w:vAlign w:val="bottom"/>
            <w:hideMark/>
          </w:tcPr>
          <w:p w14:paraId="38B3A083"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208</w:t>
            </w:r>
          </w:p>
        </w:tc>
        <w:tc>
          <w:tcPr>
            <w:tcW w:w="1096" w:type="dxa"/>
            <w:tcBorders>
              <w:top w:val="nil"/>
              <w:left w:val="nil"/>
              <w:bottom w:val="double" w:sz="4" w:space="0" w:color="auto"/>
              <w:right w:val="nil"/>
            </w:tcBorders>
            <w:shd w:val="clear" w:color="auto" w:fill="auto"/>
            <w:noWrap/>
            <w:vAlign w:val="bottom"/>
            <w:hideMark/>
          </w:tcPr>
          <w:p w14:paraId="5E2190CA" w14:textId="77777777" w:rsidR="00743ACA" w:rsidRPr="00505A09" w:rsidRDefault="00743ACA" w:rsidP="00743ACA">
            <w:pPr>
              <w:spacing w:after="0" w:line="240" w:lineRule="auto"/>
              <w:jc w:val="right"/>
              <w:rPr>
                <w:sz w:val="18"/>
                <w:szCs w:val="18"/>
                <w:lang w:eastAsia="sk-SK"/>
              </w:rPr>
            </w:pPr>
            <w:r w:rsidRPr="00505A09">
              <w:rPr>
                <w:sz w:val="18"/>
                <w:szCs w:val="18"/>
                <w:lang w:eastAsia="sk-SK"/>
              </w:rPr>
              <w:t>0</w:t>
            </w:r>
          </w:p>
        </w:tc>
        <w:tc>
          <w:tcPr>
            <w:tcW w:w="976" w:type="dxa"/>
            <w:tcBorders>
              <w:top w:val="nil"/>
              <w:left w:val="nil"/>
              <w:bottom w:val="double" w:sz="4" w:space="0" w:color="auto"/>
              <w:right w:val="nil"/>
            </w:tcBorders>
            <w:shd w:val="clear" w:color="auto" w:fill="auto"/>
            <w:noWrap/>
            <w:vAlign w:val="bottom"/>
            <w:hideMark/>
          </w:tcPr>
          <w:p w14:paraId="48BC6EFF"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c>
          <w:tcPr>
            <w:tcW w:w="1168" w:type="dxa"/>
            <w:tcBorders>
              <w:top w:val="nil"/>
              <w:left w:val="nil"/>
              <w:bottom w:val="double" w:sz="4" w:space="0" w:color="auto"/>
            </w:tcBorders>
            <w:shd w:val="clear" w:color="auto" w:fill="auto"/>
            <w:noWrap/>
            <w:vAlign w:val="bottom"/>
            <w:hideMark/>
          </w:tcPr>
          <w:p w14:paraId="7FFB0FC3" w14:textId="77777777" w:rsidR="00743ACA" w:rsidRPr="00505A09" w:rsidRDefault="00743ACA" w:rsidP="00743ACA">
            <w:pPr>
              <w:spacing w:after="0" w:line="240" w:lineRule="auto"/>
              <w:jc w:val="right"/>
              <w:rPr>
                <w:color w:val="000000"/>
                <w:sz w:val="18"/>
                <w:szCs w:val="18"/>
                <w:lang w:eastAsia="sk-SK"/>
              </w:rPr>
            </w:pPr>
            <w:r w:rsidRPr="00505A09">
              <w:rPr>
                <w:color w:val="000000"/>
                <w:sz w:val="18"/>
                <w:szCs w:val="18"/>
                <w:lang w:eastAsia="sk-SK"/>
              </w:rPr>
              <w:t>0</w:t>
            </w:r>
          </w:p>
        </w:tc>
      </w:tr>
    </w:tbl>
    <w:p w14:paraId="2C6C6498" w14:textId="3A970C6F" w:rsidR="00E86ED2" w:rsidRDefault="00E86ED2">
      <w:pPr>
        <w:rPr>
          <w:b/>
          <w:color w:val="4F81BD" w:themeColor="accent1"/>
          <w:sz w:val="24"/>
          <w:szCs w:val="24"/>
        </w:rPr>
      </w:pPr>
    </w:p>
    <w:p w14:paraId="7A7A089F" w14:textId="3CC9FFF0" w:rsidR="0058646C" w:rsidRPr="005723AB" w:rsidRDefault="0058646C" w:rsidP="0058646C">
      <w:pPr>
        <w:spacing w:before="120" w:after="120" w:line="240" w:lineRule="auto"/>
        <w:jc w:val="both"/>
        <w:rPr>
          <w:color w:val="FF0000"/>
          <w:szCs w:val="22"/>
        </w:rPr>
      </w:pPr>
      <w:r>
        <w:rPr>
          <w:b/>
          <w:color w:val="4F81BD" w:themeColor="accent1"/>
          <w:sz w:val="24"/>
          <w:szCs w:val="24"/>
        </w:rPr>
        <w:t>Úroky</w:t>
      </w:r>
    </w:p>
    <w:p w14:paraId="68EE9423" w14:textId="5361D2BB" w:rsidR="00B504AA" w:rsidRPr="00B504AA" w:rsidRDefault="00B504AA" w:rsidP="005723AB">
      <w:pPr>
        <w:spacing w:before="120" w:after="0" w:line="240" w:lineRule="auto"/>
        <w:jc w:val="both"/>
      </w:pPr>
      <w:r w:rsidRPr="008F3FE9">
        <w:t>K</w:t>
      </w:r>
      <w:r w:rsidR="00286ED9">
        <w:t xml:space="preserve"> výraznejšiemu</w:t>
      </w:r>
      <w:r w:rsidRPr="008F3FE9">
        <w:t xml:space="preserve"> zvýšeniu príjmov </w:t>
      </w:r>
      <w:r w:rsidRPr="008F3FE9">
        <w:rPr>
          <w:b/>
        </w:rPr>
        <w:t>z úrokov</w:t>
      </w:r>
      <w:r w:rsidRPr="008F3FE9">
        <w:t xml:space="preserve"> o 32,2 % (nárast o 65 140 tis. eur) oproti predchádzajúcemu roku v podstatnej miere prispel nárast jednodňovej  sterilizačnej sadzby NBS z 0 % na 0,75 %. v septembri 2022, </w:t>
      </w:r>
      <w:r w:rsidRPr="00B504AA">
        <w:t>čo zapríčinilo aj nárast krátkodobých úrokových sadzieb. Pričom sadzby v roku 2021 boli záporné.</w:t>
      </w:r>
    </w:p>
    <w:p w14:paraId="148980C9" w14:textId="77777777" w:rsidR="00151939" w:rsidRPr="00B504AA" w:rsidRDefault="00151939" w:rsidP="0058646C">
      <w:pPr>
        <w:spacing w:before="120" w:after="120" w:line="240" w:lineRule="auto"/>
        <w:jc w:val="both"/>
        <w:rPr>
          <w:b/>
          <w:color w:val="4F81BD" w:themeColor="accent1"/>
          <w:sz w:val="24"/>
          <w:szCs w:val="24"/>
        </w:rPr>
      </w:pPr>
      <w:r w:rsidRPr="00B504AA">
        <w:rPr>
          <w:b/>
          <w:color w:val="4F81BD" w:themeColor="accent1"/>
          <w:sz w:val="24"/>
          <w:szCs w:val="24"/>
        </w:rPr>
        <w:t>Granty a transfery</w:t>
      </w:r>
    </w:p>
    <w:p w14:paraId="73B52D27" w14:textId="7340D92E" w:rsidR="00FD652C" w:rsidRDefault="00B504AA" w:rsidP="00B504AA">
      <w:pPr>
        <w:spacing w:after="120" w:line="240" w:lineRule="auto"/>
        <w:jc w:val="both"/>
        <w:rPr>
          <w:bCs/>
        </w:rPr>
      </w:pPr>
      <w:r w:rsidRPr="0083518F">
        <w:t xml:space="preserve">Nárast o 49,6 % zaznamenali </w:t>
      </w:r>
      <w:r w:rsidRPr="0083518F">
        <w:rPr>
          <w:b/>
          <w:bCs/>
        </w:rPr>
        <w:t xml:space="preserve">granty a transfery </w:t>
      </w:r>
      <w:r w:rsidRPr="0083518F">
        <w:rPr>
          <w:bCs/>
        </w:rPr>
        <w:t>(nárast o 761 192 tis. eur). Najvýznamnejší nárast predstavovali bežné transfery o 68,2 % (nárast o 604 323 tis. eur) a kapitálové transfery zaznamenali nárast o 24,1 % (nárast o 156 869 tis. eur). Nárast zaznamena</w:t>
      </w:r>
      <w:r w:rsidR="0058467A">
        <w:rPr>
          <w:bCs/>
        </w:rPr>
        <w:t>lo aj čerpania eurofondov o 23,0 % (nárast o 275</w:t>
      </w:r>
      <w:r w:rsidRPr="0083518F">
        <w:rPr>
          <w:bCs/>
        </w:rPr>
        <w:t> </w:t>
      </w:r>
      <w:r w:rsidR="0058467A">
        <w:rPr>
          <w:bCs/>
        </w:rPr>
        <w:t>233</w:t>
      </w:r>
      <w:r w:rsidRPr="0083518F">
        <w:rPr>
          <w:bCs/>
        </w:rPr>
        <w:t> tis. eur).</w:t>
      </w:r>
    </w:p>
    <w:p w14:paraId="13879ADC" w14:textId="77777777" w:rsidR="00FD652C" w:rsidRDefault="00FD652C">
      <w:pPr>
        <w:rPr>
          <w:bCs/>
        </w:rPr>
      </w:pPr>
      <w:r>
        <w:rPr>
          <w:bCs/>
        </w:rPr>
        <w:br w:type="page"/>
      </w:r>
    </w:p>
    <w:p w14:paraId="1EBC668A" w14:textId="63350406" w:rsidR="00500BD0" w:rsidRPr="00B504AA" w:rsidRDefault="00500BD0" w:rsidP="00CD628D">
      <w:pPr>
        <w:pStyle w:val="Nadpis3"/>
        <w:numPr>
          <w:ilvl w:val="0"/>
          <w:numId w:val="0"/>
        </w:numPr>
        <w:spacing w:after="0"/>
        <w:ind w:left="1797" w:hanging="720"/>
      </w:pPr>
      <w:bookmarkStart w:id="28" w:name="_Toc148704471"/>
      <w:r w:rsidRPr="00B504AA">
        <w:lastRenderedPageBreak/>
        <w:t xml:space="preserve">2.1.2. </w:t>
      </w:r>
      <w:r w:rsidRPr="00B504AA">
        <w:tab/>
        <w:t>Výdavky verejnej správy</w:t>
      </w:r>
      <w:bookmarkEnd w:id="28"/>
    </w:p>
    <w:p w14:paraId="2590AE60" w14:textId="77777777" w:rsidR="00B504AA" w:rsidRPr="0079104C" w:rsidRDefault="00B504AA" w:rsidP="00B504AA">
      <w:pPr>
        <w:spacing w:after="120" w:line="240" w:lineRule="auto"/>
        <w:jc w:val="both"/>
        <w:rPr>
          <w:b/>
          <w:color w:val="4F81BD" w:themeColor="accent1"/>
          <w:szCs w:val="22"/>
        </w:rPr>
      </w:pPr>
      <w:r w:rsidRPr="00D110AD">
        <w:rPr>
          <w:b/>
          <w:color w:val="4F81BD" w:themeColor="accent1"/>
          <w:szCs w:val="22"/>
        </w:rPr>
        <w:t xml:space="preserve">Celkové výdavky verejnej správy v roku 2022 v metodike ESA 2010 dosiahli </w:t>
      </w:r>
      <w:r w:rsidRPr="00D110AD">
        <w:rPr>
          <w:b/>
          <w:bCs/>
          <w:color w:val="4F81BD" w:themeColor="accent1"/>
          <w:szCs w:val="22"/>
        </w:rPr>
        <w:t>46 334 651 </w:t>
      </w:r>
      <w:r w:rsidRPr="00D110AD">
        <w:rPr>
          <w:b/>
          <w:color w:val="4F81BD" w:themeColor="accent1"/>
          <w:szCs w:val="22"/>
        </w:rPr>
        <w:t>tis. eur (42,3 % HDP).</w:t>
      </w:r>
      <w:r w:rsidRPr="0079104C">
        <w:rPr>
          <w:b/>
          <w:color w:val="4F81BD" w:themeColor="accent1"/>
          <w:szCs w:val="22"/>
        </w:rPr>
        <w:t xml:space="preserve"> Medziročne sa celkové výdavky zvýšili o 1,9 %, resp. o 874 680 tis. eur.</w:t>
      </w:r>
    </w:p>
    <w:tbl>
      <w:tblPr>
        <w:tblW w:w="9266" w:type="dxa"/>
        <w:tblCellMar>
          <w:left w:w="70" w:type="dxa"/>
          <w:right w:w="70" w:type="dxa"/>
        </w:tblCellMar>
        <w:tblLook w:val="04A0" w:firstRow="1" w:lastRow="0" w:firstColumn="1" w:lastColumn="0" w:noHBand="0" w:noVBand="1"/>
      </w:tblPr>
      <w:tblGrid>
        <w:gridCol w:w="4101"/>
        <w:gridCol w:w="1120"/>
        <w:gridCol w:w="1040"/>
        <w:gridCol w:w="1025"/>
        <w:gridCol w:w="980"/>
        <w:gridCol w:w="1000"/>
      </w:tblGrid>
      <w:tr w:rsidR="00211725" w:rsidRPr="00BB4B6F" w14:paraId="36B0CF0F" w14:textId="77777777" w:rsidTr="00211725">
        <w:trPr>
          <w:trHeight w:val="300"/>
          <w:tblHeader/>
        </w:trPr>
        <w:tc>
          <w:tcPr>
            <w:tcW w:w="9266" w:type="dxa"/>
            <w:gridSpan w:val="6"/>
            <w:tcBorders>
              <w:top w:val="nil"/>
              <w:left w:val="nil"/>
              <w:bottom w:val="single" w:sz="4" w:space="0" w:color="auto"/>
              <w:right w:val="nil"/>
            </w:tcBorders>
            <w:shd w:val="clear" w:color="auto" w:fill="auto"/>
            <w:noWrap/>
            <w:vAlign w:val="center"/>
            <w:hideMark/>
          </w:tcPr>
          <w:p w14:paraId="4A799E0A" w14:textId="1D62308D" w:rsidR="00211725" w:rsidRPr="00B504AA" w:rsidRDefault="00CB776D" w:rsidP="00211725">
            <w:pPr>
              <w:spacing w:before="120" w:after="0" w:line="240" w:lineRule="auto"/>
              <w:rPr>
                <w:b/>
                <w:bCs/>
                <w:color w:val="4F81BD"/>
                <w:sz w:val="20"/>
                <w:szCs w:val="20"/>
                <w:lang w:eastAsia="sk-SK"/>
              </w:rPr>
            </w:pPr>
            <w:r w:rsidRPr="00B504AA">
              <w:rPr>
                <w:b/>
                <w:bCs/>
                <w:color w:val="4F81BD"/>
                <w:sz w:val="20"/>
                <w:szCs w:val="20"/>
                <w:lang w:eastAsia="sk-SK"/>
              </w:rPr>
              <w:t>Tabuľka 11</w:t>
            </w:r>
            <w:r w:rsidR="00211725" w:rsidRPr="00B504AA">
              <w:rPr>
                <w:b/>
                <w:bCs/>
                <w:color w:val="4F81BD"/>
                <w:sz w:val="20"/>
                <w:szCs w:val="20"/>
                <w:lang w:eastAsia="sk-SK"/>
              </w:rPr>
              <w:t xml:space="preserve"> </w:t>
            </w:r>
            <w:r w:rsidR="00211725" w:rsidRPr="00B504AA">
              <w:rPr>
                <w:bCs/>
                <w:color w:val="4F81BD"/>
                <w:sz w:val="20"/>
                <w:szCs w:val="20"/>
                <w:lang w:eastAsia="sk-SK"/>
              </w:rPr>
              <w:t>-</w:t>
            </w:r>
            <w:r w:rsidR="00211725" w:rsidRPr="00B504AA">
              <w:rPr>
                <w:b/>
                <w:bCs/>
                <w:color w:val="4F81BD"/>
                <w:sz w:val="20"/>
                <w:szCs w:val="20"/>
                <w:lang w:eastAsia="sk-SK"/>
              </w:rPr>
              <w:t xml:space="preserve"> </w:t>
            </w:r>
            <w:r w:rsidR="00211725" w:rsidRPr="00B504AA">
              <w:rPr>
                <w:b/>
                <w:bCs/>
                <w:color w:val="4F81BD" w:themeColor="accent1"/>
                <w:sz w:val="20"/>
                <w:szCs w:val="20"/>
                <w:lang w:eastAsia="sk-SK"/>
              </w:rPr>
              <w:t xml:space="preserve">Výdavky verejnej správy (ESA 2010)                                                                             </w:t>
            </w:r>
            <w:r w:rsidR="00211725" w:rsidRPr="00B504AA">
              <w:rPr>
                <w:b/>
                <w:bCs/>
                <w:color w:val="4F81BD"/>
                <w:sz w:val="20"/>
                <w:szCs w:val="20"/>
                <w:lang w:eastAsia="sk-SK"/>
              </w:rPr>
              <w:t>v tis. eur</w:t>
            </w:r>
          </w:p>
        </w:tc>
      </w:tr>
      <w:tr w:rsidR="00B504AA" w:rsidRPr="00BB4B6F" w14:paraId="7BC2B969" w14:textId="77777777" w:rsidTr="00211725">
        <w:trPr>
          <w:trHeight w:val="480"/>
          <w:tblHeader/>
        </w:trPr>
        <w:tc>
          <w:tcPr>
            <w:tcW w:w="4101" w:type="dxa"/>
            <w:tcBorders>
              <w:top w:val="single" w:sz="4" w:space="0" w:color="auto"/>
              <w:left w:val="nil"/>
              <w:bottom w:val="single" w:sz="4" w:space="0" w:color="auto"/>
              <w:right w:val="nil"/>
            </w:tcBorders>
            <w:shd w:val="clear" w:color="auto" w:fill="auto"/>
            <w:noWrap/>
            <w:vAlign w:val="center"/>
            <w:hideMark/>
          </w:tcPr>
          <w:p w14:paraId="38043BBB" w14:textId="77777777" w:rsidR="00B504AA" w:rsidRPr="00B504AA" w:rsidRDefault="00B504AA" w:rsidP="00B504AA">
            <w:pPr>
              <w:spacing w:after="0" w:line="240" w:lineRule="auto"/>
              <w:rPr>
                <w:b/>
                <w:bCs/>
                <w:sz w:val="18"/>
                <w:szCs w:val="18"/>
                <w:lang w:eastAsia="sk-SK"/>
              </w:rPr>
            </w:pPr>
            <w:r w:rsidRPr="00B504AA">
              <w:rPr>
                <w:b/>
                <w:bCs/>
                <w:sz w:val="18"/>
                <w:szCs w:val="18"/>
                <w:lang w:eastAsia="sk-SK"/>
              </w:rPr>
              <w:t> </w:t>
            </w:r>
          </w:p>
        </w:tc>
        <w:tc>
          <w:tcPr>
            <w:tcW w:w="1120" w:type="dxa"/>
            <w:tcBorders>
              <w:top w:val="single" w:sz="4" w:space="0" w:color="auto"/>
              <w:left w:val="nil"/>
              <w:bottom w:val="single" w:sz="4" w:space="0" w:color="auto"/>
              <w:right w:val="nil"/>
            </w:tcBorders>
            <w:shd w:val="clear" w:color="auto" w:fill="auto"/>
            <w:vAlign w:val="center"/>
            <w:hideMark/>
          </w:tcPr>
          <w:p w14:paraId="15744123" w14:textId="615BE6D7" w:rsidR="00B504AA" w:rsidRPr="00BB4B6F" w:rsidRDefault="00B504AA" w:rsidP="00B504AA">
            <w:pPr>
              <w:spacing w:after="0" w:line="240" w:lineRule="auto"/>
              <w:jc w:val="center"/>
              <w:rPr>
                <w:b/>
                <w:bCs/>
                <w:sz w:val="18"/>
                <w:szCs w:val="18"/>
                <w:highlight w:val="yellow"/>
                <w:lang w:eastAsia="sk-SK"/>
              </w:rPr>
            </w:pPr>
            <w:r w:rsidRPr="00D110AD">
              <w:rPr>
                <w:b/>
                <w:bCs/>
                <w:sz w:val="18"/>
                <w:szCs w:val="18"/>
                <w:lang w:eastAsia="sk-SK"/>
              </w:rPr>
              <w:br/>
              <w:t>2020 S</w:t>
            </w:r>
          </w:p>
        </w:tc>
        <w:tc>
          <w:tcPr>
            <w:tcW w:w="1040" w:type="dxa"/>
            <w:tcBorders>
              <w:top w:val="single" w:sz="4" w:space="0" w:color="auto"/>
              <w:left w:val="nil"/>
              <w:bottom w:val="single" w:sz="4" w:space="0" w:color="auto"/>
              <w:right w:val="nil"/>
            </w:tcBorders>
            <w:shd w:val="clear" w:color="auto" w:fill="auto"/>
            <w:vAlign w:val="center"/>
            <w:hideMark/>
          </w:tcPr>
          <w:p w14:paraId="27F3AB24" w14:textId="14589B8C" w:rsidR="00B504AA" w:rsidRPr="00BB4B6F" w:rsidRDefault="00B504AA" w:rsidP="00B504AA">
            <w:pPr>
              <w:spacing w:after="0" w:line="240" w:lineRule="auto"/>
              <w:jc w:val="center"/>
              <w:rPr>
                <w:b/>
                <w:bCs/>
                <w:sz w:val="18"/>
                <w:szCs w:val="18"/>
                <w:highlight w:val="yellow"/>
                <w:lang w:eastAsia="sk-SK"/>
              </w:rPr>
            </w:pPr>
            <w:r w:rsidRPr="00D110AD">
              <w:rPr>
                <w:b/>
                <w:bCs/>
                <w:sz w:val="18"/>
                <w:szCs w:val="18"/>
                <w:lang w:eastAsia="sk-SK"/>
              </w:rPr>
              <w:br/>
              <w:t>2021 S</w:t>
            </w:r>
          </w:p>
        </w:tc>
        <w:tc>
          <w:tcPr>
            <w:tcW w:w="1025" w:type="dxa"/>
            <w:tcBorders>
              <w:top w:val="single" w:sz="4" w:space="0" w:color="auto"/>
              <w:left w:val="nil"/>
              <w:bottom w:val="single" w:sz="4" w:space="0" w:color="auto"/>
              <w:right w:val="nil"/>
            </w:tcBorders>
            <w:shd w:val="clear" w:color="auto" w:fill="auto"/>
            <w:vAlign w:val="center"/>
            <w:hideMark/>
          </w:tcPr>
          <w:p w14:paraId="49F94C3C" w14:textId="00CE4B09" w:rsidR="00B504AA" w:rsidRPr="00BB4B6F" w:rsidRDefault="00B504AA" w:rsidP="00B504AA">
            <w:pPr>
              <w:spacing w:after="0" w:line="240" w:lineRule="auto"/>
              <w:jc w:val="center"/>
              <w:rPr>
                <w:b/>
                <w:bCs/>
                <w:sz w:val="18"/>
                <w:szCs w:val="18"/>
                <w:highlight w:val="yellow"/>
                <w:lang w:eastAsia="sk-SK"/>
              </w:rPr>
            </w:pPr>
            <w:r w:rsidRPr="00D110AD">
              <w:rPr>
                <w:b/>
                <w:bCs/>
                <w:sz w:val="18"/>
                <w:szCs w:val="18"/>
                <w:lang w:eastAsia="sk-SK"/>
              </w:rPr>
              <w:br/>
              <w:t>2022 S</w:t>
            </w:r>
          </w:p>
        </w:tc>
        <w:tc>
          <w:tcPr>
            <w:tcW w:w="980" w:type="dxa"/>
            <w:tcBorders>
              <w:top w:val="single" w:sz="4" w:space="0" w:color="auto"/>
              <w:left w:val="nil"/>
              <w:bottom w:val="single" w:sz="4" w:space="0" w:color="auto"/>
              <w:right w:val="nil"/>
            </w:tcBorders>
            <w:shd w:val="clear" w:color="auto" w:fill="auto"/>
            <w:vAlign w:val="center"/>
            <w:hideMark/>
          </w:tcPr>
          <w:p w14:paraId="7BEE708F" w14:textId="6B241BE2" w:rsidR="00B504AA" w:rsidRPr="00B504AA" w:rsidRDefault="00B504AA" w:rsidP="00B504AA">
            <w:pPr>
              <w:spacing w:after="0" w:line="240" w:lineRule="auto"/>
              <w:jc w:val="center"/>
              <w:rPr>
                <w:b/>
                <w:bCs/>
                <w:sz w:val="18"/>
                <w:szCs w:val="18"/>
                <w:lang w:eastAsia="sk-SK"/>
              </w:rPr>
            </w:pPr>
            <w:r w:rsidRPr="00B504AA">
              <w:rPr>
                <w:b/>
                <w:bCs/>
                <w:sz w:val="18"/>
                <w:szCs w:val="18"/>
                <w:lang w:eastAsia="sk-SK"/>
              </w:rPr>
              <w:br/>
              <w:t>2022 R</w:t>
            </w:r>
          </w:p>
        </w:tc>
        <w:tc>
          <w:tcPr>
            <w:tcW w:w="1000" w:type="dxa"/>
            <w:tcBorders>
              <w:top w:val="single" w:sz="4" w:space="0" w:color="auto"/>
              <w:left w:val="nil"/>
              <w:bottom w:val="single" w:sz="4" w:space="0" w:color="auto"/>
              <w:right w:val="nil"/>
            </w:tcBorders>
            <w:shd w:val="clear" w:color="auto" w:fill="auto"/>
            <w:vAlign w:val="center"/>
            <w:hideMark/>
          </w:tcPr>
          <w:p w14:paraId="05612B31" w14:textId="59A7DC37" w:rsidR="00B504AA" w:rsidRPr="00B504AA" w:rsidRDefault="00B504AA" w:rsidP="00B504AA">
            <w:pPr>
              <w:spacing w:after="0" w:line="240" w:lineRule="auto"/>
              <w:jc w:val="center"/>
              <w:rPr>
                <w:b/>
                <w:bCs/>
                <w:sz w:val="18"/>
                <w:szCs w:val="18"/>
                <w:lang w:eastAsia="sk-SK"/>
              </w:rPr>
            </w:pPr>
            <w:r w:rsidRPr="00B504AA">
              <w:rPr>
                <w:b/>
                <w:bCs/>
                <w:sz w:val="18"/>
                <w:szCs w:val="18"/>
                <w:lang w:eastAsia="sk-SK"/>
              </w:rPr>
              <w:t>2022/2021</w:t>
            </w:r>
            <w:r w:rsidRPr="00B504AA">
              <w:rPr>
                <w:b/>
                <w:bCs/>
                <w:sz w:val="18"/>
                <w:szCs w:val="18"/>
                <w:lang w:eastAsia="sk-SK"/>
              </w:rPr>
              <w:br/>
              <w:t>v %</w:t>
            </w:r>
          </w:p>
        </w:tc>
      </w:tr>
      <w:tr w:rsidR="00B504AA" w:rsidRPr="00BB4B6F" w14:paraId="56F35811" w14:textId="77777777" w:rsidTr="007D1EDC">
        <w:trPr>
          <w:trHeight w:val="300"/>
        </w:trPr>
        <w:tc>
          <w:tcPr>
            <w:tcW w:w="4101" w:type="dxa"/>
            <w:tcBorders>
              <w:top w:val="nil"/>
              <w:left w:val="nil"/>
              <w:bottom w:val="nil"/>
              <w:right w:val="nil"/>
            </w:tcBorders>
            <w:shd w:val="clear" w:color="auto" w:fill="auto"/>
            <w:noWrap/>
            <w:vAlign w:val="center"/>
            <w:hideMark/>
          </w:tcPr>
          <w:p w14:paraId="784FDD56" w14:textId="77777777" w:rsidR="00B504AA" w:rsidRPr="00B504AA" w:rsidRDefault="00B504AA" w:rsidP="00B504AA">
            <w:pPr>
              <w:spacing w:after="0" w:line="240" w:lineRule="auto"/>
              <w:rPr>
                <w:b/>
                <w:bCs/>
                <w:color w:val="000000"/>
                <w:sz w:val="18"/>
                <w:szCs w:val="18"/>
                <w:lang w:eastAsia="sk-SK"/>
              </w:rPr>
            </w:pPr>
            <w:r w:rsidRPr="00B504AA">
              <w:rPr>
                <w:b/>
                <w:bCs/>
                <w:color w:val="000000"/>
                <w:sz w:val="18"/>
                <w:szCs w:val="18"/>
                <w:lang w:eastAsia="sk-SK"/>
              </w:rPr>
              <w:t>Bežné výdavky</w:t>
            </w:r>
          </w:p>
        </w:tc>
        <w:tc>
          <w:tcPr>
            <w:tcW w:w="1120" w:type="dxa"/>
            <w:tcBorders>
              <w:top w:val="nil"/>
              <w:left w:val="nil"/>
              <w:bottom w:val="nil"/>
              <w:right w:val="nil"/>
            </w:tcBorders>
            <w:shd w:val="clear" w:color="auto" w:fill="auto"/>
            <w:noWrap/>
            <w:vAlign w:val="bottom"/>
            <w:hideMark/>
          </w:tcPr>
          <w:p w14:paraId="2AEB3789" w14:textId="7BD4E2E7" w:rsidR="00B504AA" w:rsidRPr="00BB4B6F" w:rsidRDefault="00B504AA" w:rsidP="00B504AA">
            <w:pPr>
              <w:spacing w:after="0" w:line="240" w:lineRule="auto"/>
              <w:jc w:val="right"/>
              <w:rPr>
                <w:b/>
                <w:bCs/>
                <w:sz w:val="18"/>
                <w:szCs w:val="18"/>
                <w:highlight w:val="yellow"/>
                <w:lang w:eastAsia="sk-SK"/>
              </w:rPr>
            </w:pPr>
            <w:r>
              <w:rPr>
                <w:b/>
                <w:bCs/>
                <w:sz w:val="18"/>
                <w:szCs w:val="18"/>
              </w:rPr>
              <w:t>37 758 460</w:t>
            </w:r>
          </w:p>
        </w:tc>
        <w:tc>
          <w:tcPr>
            <w:tcW w:w="1040" w:type="dxa"/>
            <w:tcBorders>
              <w:top w:val="nil"/>
              <w:left w:val="nil"/>
              <w:bottom w:val="nil"/>
              <w:right w:val="nil"/>
            </w:tcBorders>
            <w:shd w:val="clear" w:color="auto" w:fill="auto"/>
            <w:noWrap/>
            <w:vAlign w:val="bottom"/>
            <w:hideMark/>
          </w:tcPr>
          <w:p w14:paraId="1CBE5006" w14:textId="0E3081D7" w:rsidR="00B504AA" w:rsidRPr="00BB4B6F" w:rsidRDefault="00B504AA" w:rsidP="00B504AA">
            <w:pPr>
              <w:spacing w:after="0" w:line="240" w:lineRule="auto"/>
              <w:jc w:val="right"/>
              <w:rPr>
                <w:b/>
                <w:bCs/>
                <w:sz w:val="18"/>
                <w:szCs w:val="18"/>
                <w:highlight w:val="yellow"/>
                <w:lang w:eastAsia="sk-SK"/>
              </w:rPr>
            </w:pPr>
            <w:r>
              <w:rPr>
                <w:b/>
                <w:bCs/>
                <w:sz w:val="18"/>
                <w:szCs w:val="18"/>
              </w:rPr>
              <w:t>41 852 659</w:t>
            </w:r>
          </w:p>
        </w:tc>
        <w:tc>
          <w:tcPr>
            <w:tcW w:w="1025" w:type="dxa"/>
            <w:tcBorders>
              <w:top w:val="single" w:sz="4" w:space="0" w:color="auto"/>
              <w:left w:val="nil"/>
              <w:bottom w:val="nil"/>
              <w:right w:val="nil"/>
            </w:tcBorders>
            <w:shd w:val="clear" w:color="000000" w:fill="auto"/>
            <w:noWrap/>
            <w:vAlign w:val="bottom"/>
            <w:hideMark/>
          </w:tcPr>
          <w:p w14:paraId="4C10B412" w14:textId="573E7296" w:rsidR="00B504AA" w:rsidRPr="00BB4B6F" w:rsidRDefault="00B504AA" w:rsidP="00B504AA">
            <w:pPr>
              <w:spacing w:after="0" w:line="240" w:lineRule="auto"/>
              <w:jc w:val="right"/>
              <w:rPr>
                <w:b/>
                <w:bCs/>
                <w:sz w:val="18"/>
                <w:szCs w:val="18"/>
                <w:highlight w:val="yellow"/>
                <w:lang w:eastAsia="sk-SK"/>
              </w:rPr>
            </w:pPr>
            <w:r>
              <w:rPr>
                <w:b/>
                <w:bCs/>
                <w:sz w:val="18"/>
                <w:szCs w:val="18"/>
              </w:rPr>
              <w:t>42 283 458</w:t>
            </w:r>
          </w:p>
        </w:tc>
        <w:tc>
          <w:tcPr>
            <w:tcW w:w="980" w:type="dxa"/>
            <w:tcBorders>
              <w:top w:val="nil"/>
              <w:left w:val="nil"/>
              <w:bottom w:val="nil"/>
              <w:right w:val="nil"/>
            </w:tcBorders>
            <w:shd w:val="clear" w:color="auto" w:fill="auto"/>
            <w:noWrap/>
            <w:vAlign w:val="bottom"/>
            <w:hideMark/>
          </w:tcPr>
          <w:p w14:paraId="37D8F1BA" w14:textId="5D64D6E1" w:rsidR="00B504AA" w:rsidRPr="00BB4B6F" w:rsidRDefault="00B504AA" w:rsidP="00B504AA">
            <w:pPr>
              <w:spacing w:after="0" w:line="240" w:lineRule="auto"/>
              <w:jc w:val="right"/>
              <w:rPr>
                <w:b/>
                <w:bCs/>
                <w:sz w:val="18"/>
                <w:szCs w:val="18"/>
                <w:highlight w:val="yellow"/>
                <w:lang w:eastAsia="sk-SK"/>
              </w:rPr>
            </w:pPr>
            <w:r>
              <w:rPr>
                <w:b/>
                <w:bCs/>
                <w:sz w:val="18"/>
                <w:szCs w:val="18"/>
              </w:rPr>
              <w:t>45 871 335</w:t>
            </w:r>
          </w:p>
        </w:tc>
        <w:tc>
          <w:tcPr>
            <w:tcW w:w="1000" w:type="dxa"/>
            <w:tcBorders>
              <w:top w:val="nil"/>
              <w:left w:val="nil"/>
              <w:bottom w:val="nil"/>
              <w:right w:val="nil"/>
            </w:tcBorders>
            <w:shd w:val="clear" w:color="auto" w:fill="auto"/>
            <w:noWrap/>
            <w:vAlign w:val="bottom"/>
            <w:hideMark/>
          </w:tcPr>
          <w:p w14:paraId="18BE4896" w14:textId="544AB79C" w:rsidR="00B504AA" w:rsidRPr="00BB4B6F" w:rsidRDefault="00B504AA" w:rsidP="00B504AA">
            <w:pPr>
              <w:tabs>
                <w:tab w:val="decimal" w:pos="309"/>
              </w:tabs>
              <w:spacing w:after="0" w:line="240" w:lineRule="auto"/>
              <w:jc w:val="center"/>
              <w:rPr>
                <w:b/>
                <w:bCs/>
                <w:sz w:val="18"/>
                <w:szCs w:val="18"/>
                <w:highlight w:val="yellow"/>
                <w:lang w:eastAsia="sk-SK"/>
              </w:rPr>
            </w:pPr>
            <w:r>
              <w:rPr>
                <w:b/>
                <w:bCs/>
                <w:sz w:val="18"/>
                <w:szCs w:val="18"/>
              </w:rPr>
              <w:t>1,0</w:t>
            </w:r>
          </w:p>
        </w:tc>
      </w:tr>
      <w:tr w:rsidR="00B504AA" w:rsidRPr="00BB4B6F" w14:paraId="6B6B167C" w14:textId="77777777" w:rsidTr="00211725">
        <w:trPr>
          <w:trHeight w:val="300"/>
        </w:trPr>
        <w:tc>
          <w:tcPr>
            <w:tcW w:w="4101" w:type="dxa"/>
            <w:tcBorders>
              <w:top w:val="nil"/>
              <w:left w:val="nil"/>
              <w:bottom w:val="nil"/>
              <w:right w:val="nil"/>
            </w:tcBorders>
            <w:shd w:val="clear" w:color="auto" w:fill="auto"/>
            <w:noWrap/>
            <w:vAlign w:val="center"/>
            <w:hideMark/>
          </w:tcPr>
          <w:p w14:paraId="50865925"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Kompenzácie zamestnancov</w:t>
            </w:r>
          </w:p>
        </w:tc>
        <w:tc>
          <w:tcPr>
            <w:tcW w:w="1120" w:type="dxa"/>
            <w:tcBorders>
              <w:top w:val="nil"/>
              <w:left w:val="nil"/>
              <w:bottom w:val="nil"/>
              <w:right w:val="nil"/>
            </w:tcBorders>
            <w:shd w:val="clear" w:color="auto" w:fill="auto"/>
            <w:noWrap/>
            <w:vAlign w:val="bottom"/>
            <w:hideMark/>
          </w:tcPr>
          <w:p w14:paraId="4D16B988" w14:textId="3A4DECD8" w:rsidR="00B504AA" w:rsidRPr="00BB4B6F" w:rsidRDefault="00B504AA" w:rsidP="00B504AA">
            <w:pPr>
              <w:spacing w:after="0" w:line="240" w:lineRule="auto"/>
              <w:jc w:val="right"/>
              <w:rPr>
                <w:b/>
                <w:bCs/>
                <w:color w:val="000000"/>
                <w:sz w:val="18"/>
                <w:szCs w:val="18"/>
                <w:highlight w:val="yellow"/>
                <w:lang w:eastAsia="sk-SK"/>
              </w:rPr>
            </w:pPr>
            <w:r>
              <w:rPr>
                <w:b/>
                <w:bCs/>
                <w:sz w:val="18"/>
                <w:szCs w:val="18"/>
              </w:rPr>
              <w:t>10 569 589</w:t>
            </w:r>
          </w:p>
        </w:tc>
        <w:tc>
          <w:tcPr>
            <w:tcW w:w="1040" w:type="dxa"/>
            <w:tcBorders>
              <w:top w:val="nil"/>
              <w:left w:val="nil"/>
              <w:bottom w:val="nil"/>
              <w:right w:val="nil"/>
            </w:tcBorders>
            <w:shd w:val="clear" w:color="auto" w:fill="auto"/>
            <w:noWrap/>
            <w:vAlign w:val="bottom"/>
            <w:hideMark/>
          </w:tcPr>
          <w:p w14:paraId="7BD86F1E" w14:textId="13CD260A" w:rsidR="00B504AA" w:rsidRPr="00BB4B6F" w:rsidRDefault="00B504AA" w:rsidP="00B504AA">
            <w:pPr>
              <w:spacing w:after="0" w:line="240" w:lineRule="auto"/>
              <w:jc w:val="right"/>
              <w:rPr>
                <w:b/>
                <w:bCs/>
                <w:color w:val="000000"/>
                <w:sz w:val="18"/>
                <w:szCs w:val="18"/>
                <w:highlight w:val="yellow"/>
                <w:lang w:eastAsia="sk-SK"/>
              </w:rPr>
            </w:pPr>
            <w:r>
              <w:rPr>
                <w:b/>
                <w:bCs/>
                <w:sz w:val="18"/>
                <w:szCs w:val="18"/>
              </w:rPr>
              <w:t>11 354 374</w:t>
            </w:r>
          </w:p>
        </w:tc>
        <w:tc>
          <w:tcPr>
            <w:tcW w:w="1025" w:type="dxa"/>
            <w:tcBorders>
              <w:top w:val="nil"/>
              <w:left w:val="nil"/>
              <w:bottom w:val="nil"/>
              <w:right w:val="nil"/>
            </w:tcBorders>
            <w:shd w:val="clear" w:color="000000" w:fill="auto"/>
            <w:noWrap/>
            <w:vAlign w:val="bottom"/>
            <w:hideMark/>
          </w:tcPr>
          <w:p w14:paraId="392BD480" w14:textId="64571314" w:rsidR="00B504AA" w:rsidRPr="00BB4B6F" w:rsidRDefault="00B504AA" w:rsidP="00B504AA">
            <w:pPr>
              <w:spacing w:after="0" w:line="240" w:lineRule="auto"/>
              <w:jc w:val="right"/>
              <w:rPr>
                <w:b/>
                <w:bCs/>
                <w:sz w:val="18"/>
                <w:szCs w:val="18"/>
                <w:highlight w:val="yellow"/>
                <w:lang w:eastAsia="sk-SK"/>
              </w:rPr>
            </w:pPr>
            <w:r>
              <w:rPr>
                <w:b/>
                <w:bCs/>
                <w:sz w:val="18"/>
                <w:szCs w:val="18"/>
              </w:rPr>
              <w:t>11 663 593</w:t>
            </w:r>
          </w:p>
        </w:tc>
        <w:tc>
          <w:tcPr>
            <w:tcW w:w="980" w:type="dxa"/>
            <w:tcBorders>
              <w:top w:val="nil"/>
              <w:left w:val="nil"/>
              <w:bottom w:val="nil"/>
              <w:right w:val="nil"/>
            </w:tcBorders>
            <w:shd w:val="clear" w:color="auto" w:fill="auto"/>
            <w:noWrap/>
            <w:vAlign w:val="bottom"/>
            <w:hideMark/>
          </w:tcPr>
          <w:p w14:paraId="6183FD0D" w14:textId="0933F490"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10 597 133</w:t>
            </w:r>
          </w:p>
        </w:tc>
        <w:tc>
          <w:tcPr>
            <w:tcW w:w="1000" w:type="dxa"/>
            <w:tcBorders>
              <w:top w:val="nil"/>
              <w:left w:val="nil"/>
              <w:bottom w:val="nil"/>
              <w:right w:val="nil"/>
            </w:tcBorders>
            <w:shd w:val="clear" w:color="auto" w:fill="auto"/>
            <w:noWrap/>
            <w:vAlign w:val="bottom"/>
            <w:hideMark/>
          </w:tcPr>
          <w:p w14:paraId="1F8FD1A9" w14:textId="2BAA91FE" w:rsidR="00B504AA" w:rsidRPr="00BB4B6F" w:rsidRDefault="00B504AA" w:rsidP="00B504AA">
            <w:pPr>
              <w:tabs>
                <w:tab w:val="decimal" w:pos="309"/>
              </w:tabs>
              <w:spacing w:after="0" w:line="240" w:lineRule="auto"/>
              <w:jc w:val="center"/>
              <w:rPr>
                <w:b/>
                <w:bCs/>
                <w:color w:val="000000"/>
                <w:sz w:val="18"/>
                <w:szCs w:val="18"/>
                <w:highlight w:val="yellow"/>
                <w:lang w:eastAsia="sk-SK"/>
              </w:rPr>
            </w:pPr>
            <w:r>
              <w:rPr>
                <w:b/>
                <w:bCs/>
                <w:color w:val="000000"/>
                <w:sz w:val="18"/>
                <w:szCs w:val="18"/>
              </w:rPr>
              <w:t>2,7</w:t>
            </w:r>
          </w:p>
        </w:tc>
      </w:tr>
      <w:tr w:rsidR="00B504AA" w:rsidRPr="00BB4B6F" w14:paraId="4E5AB294" w14:textId="77777777" w:rsidTr="00756725">
        <w:trPr>
          <w:trHeight w:val="300"/>
        </w:trPr>
        <w:tc>
          <w:tcPr>
            <w:tcW w:w="4101" w:type="dxa"/>
            <w:tcBorders>
              <w:top w:val="nil"/>
              <w:left w:val="nil"/>
              <w:bottom w:val="nil"/>
              <w:right w:val="nil"/>
            </w:tcBorders>
            <w:shd w:val="clear" w:color="auto" w:fill="auto"/>
            <w:noWrap/>
            <w:vAlign w:val="center"/>
            <w:hideMark/>
          </w:tcPr>
          <w:p w14:paraId="064A87F0"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Mzdy a platy</w:t>
            </w:r>
          </w:p>
        </w:tc>
        <w:tc>
          <w:tcPr>
            <w:tcW w:w="1120" w:type="dxa"/>
            <w:tcBorders>
              <w:top w:val="nil"/>
              <w:left w:val="nil"/>
              <w:bottom w:val="nil"/>
              <w:right w:val="nil"/>
            </w:tcBorders>
            <w:shd w:val="clear" w:color="auto" w:fill="auto"/>
            <w:noWrap/>
            <w:vAlign w:val="bottom"/>
            <w:hideMark/>
          </w:tcPr>
          <w:p w14:paraId="744DC372" w14:textId="6B9EFABF" w:rsidR="00B504AA" w:rsidRPr="00BB4B6F" w:rsidRDefault="00B504AA" w:rsidP="00B504AA">
            <w:pPr>
              <w:spacing w:after="0" w:line="240" w:lineRule="auto"/>
              <w:jc w:val="right"/>
              <w:rPr>
                <w:sz w:val="18"/>
                <w:szCs w:val="18"/>
                <w:highlight w:val="yellow"/>
                <w:lang w:eastAsia="sk-SK"/>
              </w:rPr>
            </w:pPr>
            <w:r>
              <w:rPr>
                <w:sz w:val="18"/>
                <w:szCs w:val="18"/>
              </w:rPr>
              <w:t>7 740 448</w:t>
            </w:r>
          </w:p>
        </w:tc>
        <w:tc>
          <w:tcPr>
            <w:tcW w:w="1040" w:type="dxa"/>
            <w:tcBorders>
              <w:top w:val="nil"/>
              <w:left w:val="nil"/>
              <w:bottom w:val="nil"/>
              <w:right w:val="nil"/>
            </w:tcBorders>
            <w:shd w:val="clear" w:color="auto" w:fill="auto"/>
            <w:noWrap/>
            <w:vAlign w:val="bottom"/>
            <w:hideMark/>
          </w:tcPr>
          <w:p w14:paraId="664FF4A2" w14:textId="0827234D" w:rsidR="00B504AA" w:rsidRPr="00BB4B6F" w:rsidRDefault="00B504AA" w:rsidP="00B504AA">
            <w:pPr>
              <w:spacing w:after="0" w:line="240" w:lineRule="auto"/>
              <w:jc w:val="right"/>
              <w:rPr>
                <w:sz w:val="18"/>
                <w:szCs w:val="18"/>
                <w:highlight w:val="yellow"/>
                <w:lang w:eastAsia="sk-SK"/>
              </w:rPr>
            </w:pPr>
            <w:r>
              <w:rPr>
                <w:sz w:val="18"/>
                <w:szCs w:val="18"/>
              </w:rPr>
              <w:t>8 147 199</w:t>
            </w:r>
          </w:p>
        </w:tc>
        <w:tc>
          <w:tcPr>
            <w:tcW w:w="1025" w:type="dxa"/>
            <w:tcBorders>
              <w:top w:val="nil"/>
              <w:left w:val="nil"/>
              <w:bottom w:val="nil"/>
              <w:right w:val="nil"/>
            </w:tcBorders>
            <w:shd w:val="clear" w:color="000000" w:fill="auto"/>
            <w:noWrap/>
            <w:vAlign w:val="bottom"/>
            <w:hideMark/>
          </w:tcPr>
          <w:p w14:paraId="2468CD62" w14:textId="73805D79" w:rsidR="00B504AA" w:rsidRPr="00BB4B6F" w:rsidRDefault="00B504AA" w:rsidP="00B504AA">
            <w:pPr>
              <w:spacing w:after="0" w:line="240" w:lineRule="auto"/>
              <w:jc w:val="right"/>
              <w:rPr>
                <w:sz w:val="18"/>
                <w:szCs w:val="18"/>
                <w:highlight w:val="yellow"/>
                <w:lang w:eastAsia="sk-SK"/>
              </w:rPr>
            </w:pPr>
            <w:r>
              <w:rPr>
                <w:sz w:val="18"/>
                <w:szCs w:val="18"/>
              </w:rPr>
              <w:t>8 529 242</w:t>
            </w:r>
          </w:p>
        </w:tc>
        <w:tc>
          <w:tcPr>
            <w:tcW w:w="980" w:type="dxa"/>
            <w:tcBorders>
              <w:top w:val="nil"/>
              <w:left w:val="nil"/>
              <w:bottom w:val="nil"/>
              <w:right w:val="nil"/>
            </w:tcBorders>
            <w:shd w:val="clear" w:color="auto" w:fill="auto"/>
            <w:noWrap/>
            <w:vAlign w:val="bottom"/>
            <w:hideMark/>
          </w:tcPr>
          <w:p w14:paraId="639BFCF8" w14:textId="6BC0B6FD"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7 740 590</w:t>
            </w:r>
          </w:p>
        </w:tc>
        <w:tc>
          <w:tcPr>
            <w:tcW w:w="1000" w:type="dxa"/>
            <w:tcBorders>
              <w:top w:val="nil"/>
              <w:left w:val="nil"/>
              <w:bottom w:val="nil"/>
              <w:right w:val="nil"/>
            </w:tcBorders>
            <w:shd w:val="clear" w:color="auto" w:fill="auto"/>
            <w:noWrap/>
            <w:vAlign w:val="bottom"/>
            <w:hideMark/>
          </w:tcPr>
          <w:p w14:paraId="7244A429" w14:textId="31336952"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4,7</w:t>
            </w:r>
          </w:p>
        </w:tc>
      </w:tr>
      <w:tr w:rsidR="00B504AA" w:rsidRPr="00BB4B6F" w14:paraId="54F89F59" w14:textId="77777777" w:rsidTr="00756725">
        <w:trPr>
          <w:trHeight w:val="300"/>
        </w:trPr>
        <w:tc>
          <w:tcPr>
            <w:tcW w:w="4101" w:type="dxa"/>
            <w:tcBorders>
              <w:top w:val="nil"/>
              <w:left w:val="nil"/>
              <w:bottom w:val="nil"/>
              <w:right w:val="nil"/>
            </w:tcBorders>
            <w:shd w:val="clear" w:color="auto" w:fill="auto"/>
            <w:noWrap/>
            <w:vAlign w:val="center"/>
            <w:hideMark/>
          </w:tcPr>
          <w:p w14:paraId="0881B102"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Sociálne príspevky zamestnávateľov</w:t>
            </w:r>
          </w:p>
        </w:tc>
        <w:tc>
          <w:tcPr>
            <w:tcW w:w="1120" w:type="dxa"/>
            <w:tcBorders>
              <w:top w:val="nil"/>
              <w:left w:val="nil"/>
              <w:bottom w:val="nil"/>
              <w:right w:val="nil"/>
            </w:tcBorders>
            <w:shd w:val="clear" w:color="auto" w:fill="auto"/>
            <w:noWrap/>
            <w:vAlign w:val="bottom"/>
            <w:hideMark/>
          </w:tcPr>
          <w:p w14:paraId="72705A03" w14:textId="1B63B9C6" w:rsidR="00B504AA" w:rsidRPr="00BB4B6F" w:rsidRDefault="00B504AA" w:rsidP="00B504AA">
            <w:pPr>
              <w:spacing w:after="0" w:line="240" w:lineRule="auto"/>
              <w:jc w:val="right"/>
              <w:rPr>
                <w:sz w:val="18"/>
                <w:szCs w:val="18"/>
                <w:highlight w:val="yellow"/>
                <w:lang w:eastAsia="sk-SK"/>
              </w:rPr>
            </w:pPr>
            <w:r>
              <w:rPr>
                <w:sz w:val="18"/>
                <w:szCs w:val="18"/>
              </w:rPr>
              <w:t>2 829 141</w:t>
            </w:r>
          </w:p>
        </w:tc>
        <w:tc>
          <w:tcPr>
            <w:tcW w:w="1040" w:type="dxa"/>
            <w:tcBorders>
              <w:top w:val="nil"/>
              <w:left w:val="nil"/>
              <w:bottom w:val="nil"/>
              <w:right w:val="nil"/>
            </w:tcBorders>
            <w:shd w:val="clear" w:color="auto" w:fill="auto"/>
            <w:noWrap/>
            <w:vAlign w:val="bottom"/>
            <w:hideMark/>
          </w:tcPr>
          <w:p w14:paraId="5B3A1F72" w14:textId="6F505F5A" w:rsidR="00B504AA" w:rsidRPr="00BB4B6F" w:rsidRDefault="00B504AA" w:rsidP="00B504AA">
            <w:pPr>
              <w:spacing w:after="0" w:line="240" w:lineRule="auto"/>
              <w:jc w:val="right"/>
              <w:rPr>
                <w:sz w:val="18"/>
                <w:szCs w:val="18"/>
                <w:highlight w:val="yellow"/>
                <w:lang w:eastAsia="sk-SK"/>
              </w:rPr>
            </w:pPr>
            <w:r>
              <w:rPr>
                <w:sz w:val="18"/>
                <w:szCs w:val="18"/>
              </w:rPr>
              <w:t>3 207 175</w:t>
            </w:r>
          </w:p>
        </w:tc>
        <w:tc>
          <w:tcPr>
            <w:tcW w:w="1025" w:type="dxa"/>
            <w:tcBorders>
              <w:top w:val="nil"/>
              <w:left w:val="nil"/>
              <w:bottom w:val="nil"/>
              <w:right w:val="nil"/>
            </w:tcBorders>
            <w:shd w:val="clear" w:color="000000" w:fill="auto"/>
            <w:noWrap/>
            <w:vAlign w:val="bottom"/>
            <w:hideMark/>
          </w:tcPr>
          <w:p w14:paraId="5FD54A14" w14:textId="7BC236EC" w:rsidR="00B504AA" w:rsidRPr="00BB4B6F" w:rsidRDefault="00B504AA" w:rsidP="00B504AA">
            <w:pPr>
              <w:spacing w:after="0" w:line="240" w:lineRule="auto"/>
              <w:jc w:val="right"/>
              <w:rPr>
                <w:sz w:val="18"/>
                <w:szCs w:val="18"/>
                <w:highlight w:val="yellow"/>
                <w:lang w:eastAsia="sk-SK"/>
              </w:rPr>
            </w:pPr>
            <w:r>
              <w:rPr>
                <w:sz w:val="18"/>
                <w:szCs w:val="18"/>
              </w:rPr>
              <w:t>3 134 351</w:t>
            </w:r>
          </w:p>
        </w:tc>
        <w:tc>
          <w:tcPr>
            <w:tcW w:w="980" w:type="dxa"/>
            <w:tcBorders>
              <w:top w:val="nil"/>
              <w:left w:val="nil"/>
              <w:bottom w:val="nil"/>
              <w:right w:val="nil"/>
            </w:tcBorders>
            <w:shd w:val="clear" w:color="auto" w:fill="auto"/>
            <w:noWrap/>
            <w:vAlign w:val="bottom"/>
            <w:hideMark/>
          </w:tcPr>
          <w:p w14:paraId="1487D02A" w14:textId="7F2A8C1B"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2 856 543</w:t>
            </w:r>
          </w:p>
        </w:tc>
        <w:tc>
          <w:tcPr>
            <w:tcW w:w="1000" w:type="dxa"/>
            <w:tcBorders>
              <w:top w:val="nil"/>
              <w:left w:val="nil"/>
              <w:bottom w:val="nil"/>
              <w:right w:val="nil"/>
            </w:tcBorders>
            <w:shd w:val="clear" w:color="auto" w:fill="auto"/>
            <w:noWrap/>
            <w:vAlign w:val="bottom"/>
            <w:hideMark/>
          </w:tcPr>
          <w:p w14:paraId="39498824" w14:textId="2D6031B3"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-2,3</w:t>
            </w:r>
          </w:p>
        </w:tc>
      </w:tr>
      <w:tr w:rsidR="00B504AA" w:rsidRPr="00BB4B6F" w14:paraId="09292A74" w14:textId="77777777" w:rsidTr="00756725">
        <w:trPr>
          <w:trHeight w:val="300"/>
        </w:trPr>
        <w:tc>
          <w:tcPr>
            <w:tcW w:w="4101" w:type="dxa"/>
            <w:tcBorders>
              <w:top w:val="nil"/>
              <w:left w:val="nil"/>
              <w:bottom w:val="nil"/>
              <w:right w:val="nil"/>
            </w:tcBorders>
            <w:shd w:val="clear" w:color="auto" w:fill="auto"/>
            <w:noWrap/>
            <w:vAlign w:val="center"/>
            <w:hideMark/>
          </w:tcPr>
          <w:p w14:paraId="6106041A"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Medzispotreba</w:t>
            </w:r>
          </w:p>
        </w:tc>
        <w:tc>
          <w:tcPr>
            <w:tcW w:w="1120" w:type="dxa"/>
            <w:tcBorders>
              <w:top w:val="nil"/>
              <w:left w:val="nil"/>
              <w:bottom w:val="nil"/>
              <w:right w:val="nil"/>
            </w:tcBorders>
            <w:shd w:val="clear" w:color="auto" w:fill="auto"/>
            <w:noWrap/>
            <w:vAlign w:val="bottom"/>
            <w:hideMark/>
          </w:tcPr>
          <w:p w14:paraId="3ED8536E" w14:textId="0BF357F1"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5 161 038</w:t>
            </w:r>
          </w:p>
        </w:tc>
        <w:tc>
          <w:tcPr>
            <w:tcW w:w="1040" w:type="dxa"/>
            <w:tcBorders>
              <w:top w:val="nil"/>
              <w:left w:val="nil"/>
              <w:bottom w:val="nil"/>
              <w:right w:val="nil"/>
            </w:tcBorders>
            <w:shd w:val="clear" w:color="auto" w:fill="auto"/>
            <w:noWrap/>
            <w:vAlign w:val="bottom"/>
            <w:hideMark/>
          </w:tcPr>
          <w:p w14:paraId="0C0571B7" w14:textId="2D61F6FC"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5 726 255</w:t>
            </w:r>
          </w:p>
        </w:tc>
        <w:tc>
          <w:tcPr>
            <w:tcW w:w="1025" w:type="dxa"/>
            <w:tcBorders>
              <w:top w:val="nil"/>
              <w:left w:val="nil"/>
              <w:bottom w:val="nil"/>
              <w:right w:val="nil"/>
            </w:tcBorders>
            <w:shd w:val="clear" w:color="000000" w:fill="auto"/>
            <w:noWrap/>
            <w:vAlign w:val="bottom"/>
            <w:hideMark/>
          </w:tcPr>
          <w:p w14:paraId="47E82949" w14:textId="7A52A4CE" w:rsidR="00B504AA" w:rsidRPr="00BB4B6F" w:rsidRDefault="00B504AA" w:rsidP="00B504AA">
            <w:pPr>
              <w:spacing w:after="0" w:line="240" w:lineRule="auto"/>
              <w:jc w:val="right"/>
              <w:rPr>
                <w:b/>
                <w:bCs/>
                <w:sz w:val="18"/>
                <w:szCs w:val="18"/>
                <w:highlight w:val="yellow"/>
                <w:lang w:eastAsia="sk-SK"/>
              </w:rPr>
            </w:pPr>
            <w:r>
              <w:rPr>
                <w:b/>
                <w:bCs/>
                <w:sz w:val="18"/>
                <w:szCs w:val="18"/>
              </w:rPr>
              <w:t>6 533 963</w:t>
            </w:r>
          </w:p>
        </w:tc>
        <w:tc>
          <w:tcPr>
            <w:tcW w:w="980" w:type="dxa"/>
            <w:tcBorders>
              <w:top w:val="nil"/>
              <w:left w:val="nil"/>
              <w:bottom w:val="nil"/>
              <w:right w:val="nil"/>
            </w:tcBorders>
            <w:shd w:val="clear" w:color="auto" w:fill="auto"/>
            <w:noWrap/>
            <w:vAlign w:val="bottom"/>
            <w:hideMark/>
          </w:tcPr>
          <w:p w14:paraId="3084AB04" w14:textId="6340A425"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9 118 893</w:t>
            </w:r>
          </w:p>
        </w:tc>
        <w:tc>
          <w:tcPr>
            <w:tcW w:w="1000" w:type="dxa"/>
            <w:tcBorders>
              <w:top w:val="nil"/>
              <w:left w:val="nil"/>
              <w:bottom w:val="nil"/>
              <w:right w:val="nil"/>
            </w:tcBorders>
            <w:shd w:val="clear" w:color="auto" w:fill="auto"/>
            <w:noWrap/>
            <w:vAlign w:val="bottom"/>
            <w:hideMark/>
          </w:tcPr>
          <w:p w14:paraId="6CA17598" w14:textId="30EC160F" w:rsidR="00B504AA" w:rsidRPr="00BB4B6F" w:rsidRDefault="00B504AA" w:rsidP="00B504AA">
            <w:pPr>
              <w:tabs>
                <w:tab w:val="decimal" w:pos="309"/>
              </w:tabs>
              <w:spacing w:after="0" w:line="240" w:lineRule="auto"/>
              <w:jc w:val="center"/>
              <w:rPr>
                <w:b/>
                <w:bCs/>
                <w:color w:val="000000"/>
                <w:sz w:val="18"/>
                <w:szCs w:val="18"/>
                <w:highlight w:val="yellow"/>
                <w:lang w:eastAsia="sk-SK"/>
              </w:rPr>
            </w:pPr>
            <w:r>
              <w:rPr>
                <w:b/>
                <w:bCs/>
                <w:color w:val="000000"/>
                <w:sz w:val="18"/>
                <w:szCs w:val="18"/>
              </w:rPr>
              <w:t>14,1</w:t>
            </w:r>
          </w:p>
        </w:tc>
      </w:tr>
      <w:tr w:rsidR="00B504AA" w:rsidRPr="00BB4B6F" w14:paraId="0C43012F" w14:textId="77777777" w:rsidTr="007D1EDC">
        <w:trPr>
          <w:trHeight w:val="300"/>
        </w:trPr>
        <w:tc>
          <w:tcPr>
            <w:tcW w:w="4101" w:type="dxa"/>
            <w:tcBorders>
              <w:top w:val="nil"/>
              <w:left w:val="nil"/>
              <w:bottom w:val="nil"/>
              <w:right w:val="nil"/>
            </w:tcBorders>
            <w:shd w:val="clear" w:color="auto" w:fill="auto"/>
            <w:noWrap/>
            <w:vAlign w:val="center"/>
            <w:hideMark/>
          </w:tcPr>
          <w:p w14:paraId="0B4E5CB7"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Dane</w:t>
            </w:r>
          </w:p>
        </w:tc>
        <w:tc>
          <w:tcPr>
            <w:tcW w:w="1120" w:type="dxa"/>
            <w:tcBorders>
              <w:top w:val="nil"/>
              <w:left w:val="nil"/>
              <w:bottom w:val="nil"/>
              <w:right w:val="nil"/>
            </w:tcBorders>
            <w:shd w:val="clear" w:color="auto" w:fill="auto"/>
            <w:noWrap/>
            <w:vAlign w:val="bottom"/>
            <w:hideMark/>
          </w:tcPr>
          <w:p w14:paraId="58479146" w14:textId="4B7833FB" w:rsidR="00B504AA" w:rsidRPr="00BB4B6F" w:rsidRDefault="00B504AA" w:rsidP="00B504AA">
            <w:pPr>
              <w:spacing w:after="0" w:line="240" w:lineRule="auto"/>
              <w:jc w:val="right"/>
              <w:rPr>
                <w:b/>
                <w:bCs/>
                <w:sz w:val="18"/>
                <w:szCs w:val="18"/>
                <w:highlight w:val="yellow"/>
                <w:lang w:eastAsia="sk-SK"/>
              </w:rPr>
            </w:pPr>
            <w:r>
              <w:rPr>
                <w:b/>
                <w:bCs/>
                <w:sz w:val="18"/>
                <w:szCs w:val="18"/>
              </w:rPr>
              <w:t>157 777</w:t>
            </w:r>
          </w:p>
        </w:tc>
        <w:tc>
          <w:tcPr>
            <w:tcW w:w="1040" w:type="dxa"/>
            <w:tcBorders>
              <w:top w:val="nil"/>
              <w:left w:val="nil"/>
              <w:bottom w:val="nil"/>
              <w:right w:val="nil"/>
            </w:tcBorders>
            <w:shd w:val="clear" w:color="auto" w:fill="auto"/>
            <w:noWrap/>
            <w:vAlign w:val="bottom"/>
            <w:hideMark/>
          </w:tcPr>
          <w:p w14:paraId="4C9D1E7E" w14:textId="03F7962B" w:rsidR="00B504AA" w:rsidRPr="00BB4B6F" w:rsidRDefault="00B504AA" w:rsidP="00B504AA">
            <w:pPr>
              <w:spacing w:after="0" w:line="240" w:lineRule="auto"/>
              <w:jc w:val="right"/>
              <w:rPr>
                <w:b/>
                <w:bCs/>
                <w:sz w:val="18"/>
                <w:szCs w:val="18"/>
                <w:highlight w:val="yellow"/>
                <w:lang w:eastAsia="sk-SK"/>
              </w:rPr>
            </w:pPr>
            <w:r>
              <w:rPr>
                <w:b/>
                <w:bCs/>
                <w:sz w:val="18"/>
                <w:szCs w:val="18"/>
              </w:rPr>
              <w:t>173 693</w:t>
            </w:r>
          </w:p>
        </w:tc>
        <w:tc>
          <w:tcPr>
            <w:tcW w:w="1025" w:type="dxa"/>
            <w:tcBorders>
              <w:top w:val="nil"/>
              <w:left w:val="nil"/>
              <w:bottom w:val="nil"/>
              <w:right w:val="nil"/>
            </w:tcBorders>
            <w:shd w:val="clear" w:color="000000" w:fill="auto"/>
            <w:noWrap/>
            <w:vAlign w:val="bottom"/>
            <w:hideMark/>
          </w:tcPr>
          <w:p w14:paraId="42A7AF79" w14:textId="1AB3FB9A" w:rsidR="00B504AA" w:rsidRPr="00BB4B6F" w:rsidRDefault="00B504AA" w:rsidP="00B504AA">
            <w:pPr>
              <w:spacing w:after="0" w:line="240" w:lineRule="auto"/>
              <w:jc w:val="right"/>
              <w:rPr>
                <w:b/>
                <w:bCs/>
                <w:sz w:val="18"/>
                <w:szCs w:val="18"/>
                <w:highlight w:val="yellow"/>
                <w:lang w:eastAsia="sk-SK"/>
              </w:rPr>
            </w:pPr>
            <w:r>
              <w:rPr>
                <w:b/>
                <w:bCs/>
                <w:sz w:val="18"/>
                <w:szCs w:val="18"/>
              </w:rPr>
              <w:t>115 980</w:t>
            </w:r>
          </w:p>
        </w:tc>
        <w:tc>
          <w:tcPr>
            <w:tcW w:w="980" w:type="dxa"/>
            <w:tcBorders>
              <w:top w:val="nil"/>
              <w:left w:val="nil"/>
              <w:bottom w:val="nil"/>
              <w:right w:val="nil"/>
            </w:tcBorders>
            <w:shd w:val="clear" w:color="auto" w:fill="auto"/>
            <w:noWrap/>
            <w:vAlign w:val="bottom"/>
            <w:hideMark/>
          </w:tcPr>
          <w:p w14:paraId="36039DC8" w14:textId="62A46626" w:rsidR="00B504AA" w:rsidRPr="00BB4B6F" w:rsidRDefault="00B504AA" w:rsidP="00B504AA">
            <w:pPr>
              <w:spacing w:after="0" w:line="240" w:lineRule="auto"/>
              <w:jc w:val="right"/>
              <w:rPr>
                <w:b/>
                <w:bCs/>
                <w:sz w:val="18"/>
                <w:szCs w:val="18"/>
                <w:highlight w:val="yellow"/>
                <w:lang w:eastAsia="sk-SK"/>
              </w:rPr>
            </w:pPr>
            <w:r>
              <w:rPr>
                <w:b/>
                <w:bCs/>
                <w:sz w:val="18"/>
                <w:szCs w:val="18"/>
              </w:rPr>
              <w:t>112 850</w:t>
            </w:r>
          </w:p>
        </w:tc>
        <w:tc>
          <w:tcPr>
            <w:tcW w:w="1000" w:type="dxa"/>
            <w:tcBorders>
              <w:top w:val="nil"/>
              <w:left w:val="nil"/>
              <w:bottom w:val="nil"/>
              <w:right w:val="nil"/>
            </w:tcBorders>
            <w:shd w:val="clear" w:color="auto" w:fill="auto"/>
            <w:noWrap/>
            <w:vAlign w:val="bottom"/>
            <w:hideMark/>
          </w:tcPr>
          <w:p w14:paraId="43C8DFEB" w14:textId="1DEBE05B" w:rsidR="00B504AA" w:rsidRPr="00BB4B6F" w:rsidRDefault="00B504AA" w:rsidP="00B504AA">
            <w:pPr>
              <w:tabs>
                <w:tab w:val="decimal" w:pos="309"/>
              </w:tabs>
              <w:spacing w:after="0" w:line="240" w:lineRule="auto"/>
              <w:jc w:val="center"/>
              <w:rPr>
                <w:b/>
                <w:bCs/>
                <w:sz w:val="18"/>
                <w:szCs w:val="18"/>
                <w:highlight w:val="yellow"/>
                <w:lang w:eastAsia="sk-SK"/>
              </w:rPr>
            </w:pPr>
            <w:r>
              <w:rPr>
                <w:b/>
                <w:bCs/>
                <w:sz w:val="18"/>
                <w:szCs w:val="18"/>
              </w:rPr>
              <w:t>-33,2</w:t>
            </w:r>
          </w:p>
        </w:tc>
      </w:tr>
      <w:tr w:rsidR="00B504AA" w:rsidRPr="00BB4B6F" w14:paraId="47853970" w14:textId="77777777" w:rsidTr="007D1EDC">
        <w:trPr>
          <w:trHeight w:val="300"/>
        </w:trPr>
        <w:tc>
          <w:tcPr>
            <w:tcW w:w="4101" w:type="dxa"/>
            <w:tcBorders>
              <w:top w:val="nil"/>
              <w:left w:val="nil"/>
              <w:bottom w:val="nil"/>
              <w:right w:val="nil"/>
            </w:tcBorders>
            <w:shd w:val="clear" w:color="auto" w:fill="auto"/>
            <w:noWrap/>
            <w:vAlign w:val="center"/>
            <w:hideMark/>
          </w:tcPr>
          <w:p w14:paraId="01910E24"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Iné dane z produkcie</w:t>
            </w:r>
          </w:p>
        </w:tc>
        <w:tc>
          <w:tcPr>
            <w:tcW w:w="1120" w:type="dxa"/>
            <w:tcBorders>
              <w:top w:val="nil"/>
              <w:left w:val="nil"/>
              <w:bottom w:val="nil"/>
              <w:right w:val="nil"/>
            </w:tcBorders>
            <w:shd w:val="clear" w:color="auto" w:fill="auto"/>
            <w:noWrap/>
            <w:vAlign w:val="bottom"/>
            <w:hideMark/>
          </w:tcPr>
          <w:p w14:paraId="34D8390B" w14:textId="237BC43B"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134 425</w:t>
            </w:r>
          </w:p>
        </w:tc>
        <w:tc>
          <w:tcPr>
            <w:tcW w:w="1040" w:type="dxa"/>
            <w:tcBorders>
              <w:top w:val="nil"/>
              <w:left w:val="nil"/>
              <w:bottom w:val="nil"/>
              <w:right w:val="nil"/>
            </w:tcBorders>
            <w:shd w:val="clear" w:color="auto" w:fill="auto"/>
            <w:noWrap/>
            <w:vAlign w:val="bottom"/>
            <w:hideMark/>
          </w:tcPr>
          <w:p w14:paraId="66113D27" w14:textId="1EFAA451" w:rsidR="00B504AA" w:rsidRPr="00BB4B6F" w:rsidRDefault="00B504AA" w:rsidP="00B504AA">
            <w:pPr>
              <w:spacing w:after="0" w:line="240" w:lineRule="auto"/>
              <w:jc w:val="right"/>
              <w:rPr>
                <w:color w:val="000000"/>
                <w:sz w:val="18"/>
                <w:szCs w:val="18"/>
                <w:highlight w:val="yellow"/>
                <w:lang w:eastAsia="sk-SK"/>
              </w:rPr>
            </w:pPr>
            <w:r>
              <w:rPr>
                <w:sz w:val="18"/>
                <w:szCs w:val="18"/>
              </w:rPr>
              <w:t>151 527</w:t>
            </w:r>
          </w:p>
        </w:tc>
        <w:tc>
          <w:tcPr>
            <w:tcW w:w="1025" w:type="dxa"/>
            <w:tcBorders>
              <w:top w:val="nil"/>
              <w:left w:val="nil"/>
              <w:bottom w:val="nil"/>
              <w:right w:val="nil"/>
            </w:tcBorders>
            <w:shd w:val="clear" w:color="000000" w:fill="auto"/>
            <w:noWrap/>
            <w:vAlign w:val="bottom"/>
            <w:hideMark/>
          </w:tcPr>
          <w:p w14:paraId="3E63E490" w14:textId="5D39AD31" w:rsidR="00B504AA" w:rsidRPr="00BB4B6F" w:rsidRDefault="00B504AA" w:rsidP="00B504AA">
            <w:pPr>
              <w:spacing w:after="0" w:line="240" w:lineRule="auto"/>
              <w:jc w:val="right"/>
              <w:rPr>
                <w:sz w:val="18"/>
                <w:szCs w:val="18"/>
                <w:highlight w:val="yellow"/>
                <w:lang w:eastAsia="sk-SK"/>
              </w:rPr>
            </w:pPr>
            <w:r>
              <w:rPr>
                <w:sz w:val="18"/>
                <w:szCs w:val="18"/>
              </w:rPr>
              <w:t>126 420</w:t>
            </w:r>
          </w:p>
        </w:tc>
        <w:tc>
          <w:tcPr>
            <w:tcW w:w="980" w:type="dxa"/>
            <w:tcBorders>
              <w:top w:val="nil"/>
              <w:left w:val="nil"/>
              <w:bottom w:val="nil"/>
              <w:right w:val="nil"/>
            </w:tcBorders>
            <w:shd w:val="clear" w:color="auto" w:fill="auto"/>
            <w:noWrap/>
            <w:vAlign w:val="bottom"/>
            <w:hideMark/>
          </w:tcPr>
          <w:p w14:paraId="19442CF3" w14:textId="4CB17101"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112 850</w:t>
            </w:r>
          </w:p>
        </w:tc>
        <w:tc>
          <w:tcPr>
            <w:tcW w:w="1000" w:type="dxa"/>
            <w:tcBorders>
              <w:top w:val="nil"/>
              <w:left w:val="nil"/>
              <w:bottom w:val="nil"/>
              <w:right w:val="nil"/>
            </w:tcBorders>
            <w:shd w:val="clear" w:color="auto" w:fill="auto"/>
            <w:noWrap/>
            <w:vAlign w:val="bottom"/>
            <w:hideMark/>
          </w:tcPr>
          <w:p w14:paraId="677D2870" w14:textId="667D73AD"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-16,6</w:t>
            </w:r>
          </w:p>
        </w:tc>
      </w:tr>
      <w:tr w:rsidR="00B504AA" w:rsidRPr="00BB4B6F" w14:paraId="0BAE9F0D" w14:textId="77777777" w:rsidTr="007D1EDC">
        <w:trPr>
          <w:trHeight w:val="300"/>
        </w:trPr>
        <w:tc>
          <w:tcPr>
            <w:tcW w:w="4101" w:type="dxa"/>
            <w:tcBorders>
              <w:top w:val="nil"/>
              <w:left w:val="nil"/>
              <w:bottom w:val="nil"/>
              <w:right w:val="nil"/>
            </w:tcBorders>
            <w:shd w:val="clear" w:color="auto" w:fill="auto"/>
            <w:noWrap/>
            <w:vAlign w:val="center"/>
            <w:hideMark/>
          </w:tcPr>
          <w:p w14:paraId="5CF954FA"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Bežné dane z majetku, atď.</w:t>
            </w:r>
          </w:p>
        </w:tc>
        <w:tc>
          <w:tcPr>
            <w:tcW w:w="1120" w:type="dxa"/>
            <w:tcBorders>
              <w:top w:val="nil"/>
              <w:left w:val="nil"/>
              <w:bottom w:val="nil"/>
              <w:right w:val="nil"/>
            </w:tcBorders>
            <w:shd w:val="clear" w:color="auto" w:fill="auto"/>
            <w:noWrap/>
            <w:vAlign w:val="bottom"/>
            <w:hideMark/>
          </w:tcPr>
          <w:p w14:paraId="643DEC1C" w14:textId="21E132BE"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23 352</w:t>
            </w:r>
          </w:p>
        </w:tc>
        <w:tc>
          <w:tcPr>
            <w:tcW w:w="1040" w:type="dxa"/>
            <w:tcBorders>
              <w:top w:val="nil"/>
              <w:left w:val="nil"/>
              <w:bottom w:val="nil"/>
              <w:right w:val="nil"/>
            </w:tcBorders>
            <w:shd w:val="clear" w:color="auto" w:fill="auto"/>
            <w:noWrap/>
            <w:vAlign w:val="bottom"/>
            <w:hideMark/>
          </w:tcPr>
          <w:p w14:paraId="3697E097" w14:textId="42B59760" w:rsidR="00B504AA" w:rsidRPr="00BB4B6F" w:rsidRDefault="00B504AA" w:rsidP="00B504AA">
            <w:pPr>
              <w:spacing w:after="0" w:line="240" w:lineRule="auto"/>
              <w:jc w:val="right"/>
              <w:rPr>
                <w:color w:val="000000"/>
                <w:sz w:val="18"/>
                <w:szCs w:val="18"/>
                <w:highlight w:val="yellow"/>
                <w:lang w:eastAsia="sk-SK"/>
              </w:rPr>
            </w:pPr>
            <w:r>
              <w:rPr>
                <w:sz w:val="18"/>
                <w:szCs w:val="18"/>
              </w:rPr>
              <w:t>22 166</w:t>
            </w:r>
          </w:p>
        </w:tc>
        <w:tc>
          <w:tcPr>
            <w:tcW w:w="1025" w:type="dxa"/>
            <w:tcBorders>
              <w:top w:val="nil"/>
              <w:left w:val="nil"/>
              <w:bottom w:val="nil"/>
              <w:right w:val="nil"/>
            </w:tcBorders>
            <w:shd w:val="clear" w:color="000000" w:fill="auto"/>
            <w:noWrap/>
            <w:vAlign w:val="bottom"/>
            <w:hideMark/>
          </w:tcPr>
          <w:p w14:paraId="7B8FC257" w14:textId="17A4E8EF" w:rsidR="00B504AA" w:rsidRPr="00BB4B6F" w:rsidRDefault="00B504AA" w:rsidP="00B504AA">
            <w:pPr>
              <w:spacing w:after="0" w:line="240" w:lineRule="auto"/>
              <w:jc w:val="right"/>
              <w:rPr>
                <w:sz w:val="18"/>
                <w:szCs w:val="18"/>
                <w:highlight w:val="yellow"/>
                <w:lang w:eastAsia="sk-SK"/>
              </w:rPr>
            </w:pPr>
            <w:r>
              <w:rPr>
                <w:sz w:val="18"/>
                <w:szCs w:val="18"/>
              </w:rPr>
              <w:t>-10 440</w:t>
            </w:r>
          </w:p>
        </w:tc>
        <w:tc>
          <w:tcPr>
            <w:tcW w:w="980" w:type="dxa"/>
            <w:tcBorders>
              <w:top w:val="nil"/>
              <w:left w:val="nil"/>
              <w:bottom w:val="nil"/>
              <w:right w:val="nil"/>
            </w:tcBorders>
            <w:shd w:val="clear" w:color="auto" w:fill="auto"/>
            <w:noWrap/>
            <w:vAlign w:val="bottom"/>
            <w:hideMark/>
          </w:tcPr>
          <w:p w14:paraId="551F7A5E" w14:textId="179C7171"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0</w:t>
            </w:r>
          </w:p>
        </w:tc>
        <w:tc>
          <w:tcPr>
            <w:tcW w:w="1000" w:type="dxa"/>
            <w:tcBorders>
              <w:top w:val="nil"/>
              <w:left w:val="nil"/>
              <w:bottom w:val="nil"/>
              <w:right w:val="nil"/>
            </w:tcBorders>
            <w:shd w:val="clear" w:color="auto" w:fill="auto"/>
            <w:noWrap/>
            <w:vAlign w:val="bottom"/>
            <w:hideMark/>
          </w:tcPr>
          <w:p w14:paraId="33A63E3E" w14:textId="323B6AD7"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-147,1</w:t>
            </w:r>
          </w:p>
        </w:tc>
      </w:tr>
      <w:tr w:rsidR="00B504AA" w:rsidRPr="00BB4B6F" w14:paraId="0317DAA6" w14:textId="77777777" w:rsidTr="007D1EDC">
        <w:trPr>
          <w:trHeight w:val="300"/>
        </w:trPr>
        <w:tc>
          <w:tcPr>
            <w:tcW w:w="4101" w:type="dxa"/>
            <w:tcBorders>
              <w:top w:val="nil"/>
              <w:left w:val="nil"/>
              <w:bottom w:val="nil"/>
              <w:right w:val="nil"/>
            </w:tcBorders>
            <w:shd w:val="clear" w:color="auto" w:fill="auto"/>
            <w:noWrap/>
            <w:vAlign w:val="center"/>
            <w:hideMark/>
          </w:tcPr>
          <w:p w14:paraId="451876FC"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Subvencie</w:t>
            </w:r>
          </w:p>
        </w:tc>
        <w:tc>
          <w:tcPr>
            <w:tcW w:w="1120" w:type="dxa"/>
            <w:tcBorders>
              <w:top w:val="nil"/>
              <w:left w:val="nil"/>
              <w:bottom w:val="nil"/>
              <w:right w:val="nil"/>
            </w:tcBorders>
            <w:shd w:val="clear" w:color="auto" w:fill="auto"/>
            <w:noWrap/>
            <w:vAlign w:val="bottom"/>
            <w:hideMark/>
          </w:tcPr>
          <w:p w14:paraId="56998367" w14:textId="0A8C2FCD" w:rsidR="00B504AA" w:rsidRPr="00BB4B6F" w:rsidRDefault="00B504AA" w:rsidP="00B504AA">
            <w:pPr>
              <w:spacing w:after="0" w:line="240" w:lineRule="auto"/>
              <w:jc w:val="right"/>
              <w:rPr>
                <w:b/>
                <w:bCs/>
                <w:sz w:val="18"/>
                <w:szCs w:val="18"/>
                <w:highlight w:val="yellow"/>
                <w:lang w:eastAsia="sk-SK"/>
              </w:rPr>
            </w:pPr>
            <w:r>
              <w:rPr>
                <w:b/>
                <w:bCs/>
                <w:sz w:val="18"/>
                <w:szCs w:val="18"/>
              </w:rPr>
              <w:t>1 240 353</w:t>
            </w:r>
          </w:p>
        </w:tc>
        <w:tc>
          <w:tcPr>
            <w:tcW w:w="1040" w:type="dxa"/>
            <w:tcBorders>
              <w:top w:val="nil"/>
              <w:left w:val="nil"/>
              <w:bottom w:val="nil"/>
              <w:right w:val="nil"/>
            </w:tcBorders>
            <w:shd w:val="clear" w:color="auto" w:fill="auto"/>
            <w:noWrap/>
            <w:vAlign w:val="bottom"/>
            <w:hideMark/>
          </w:tcPr>
          <w:p w14:paraId="5A52E8CC" w14:textId="46A51F08" w:rsidR="00B504AA" w:rsidRPr="00BB4B6F" w:rsidRDefault="00B504AA" w:rsidP="00B504AA">
            <w:pPr>
              <w:spacing w:after="0" w:line="240" w:lineRule="auto"/>
              <w:jc w:val="right"/>
              <w:rPr>
                <w:b/>
                <w:bCs/>
                <w:sz w:val="18"/>
                <w:szCs w:val="18"/>
                <w:highlight w:val="yellow"/>
                <w:lang w:eastAsia="sk-SK"/>
              </w:rPr>
            </w:pPr>
            <w:r>
              <w:rPr>
                <w:b/>
                <w:bCs/>
                <w:sz w:val="18"/>
                <w:szCs w:val="18"/>
              </w:rPr>
              <w:t>1 369 152</w:t>
            </w:r>
          </w:p>
        </w:tc>
        <w:tc>
          <w:tcPr>
            <w:tcW w:w="1025" w:type="dxa"/>
            <w:tcBorders>
              <w:top w:val="nil"/>
              <w:left w:val="nil"/>
              <w:bottom w:val="nil"/>
              <w:right w:val="nil"/>
            </w:tcBorders>
            <w:shd w:val="clear" w:color="000000" w:fill="auto"/>
            <w:noWrap/>
            <w:vAlign w:val="bottom"/>
            <w:hideMark/>
          </w:tcPr>
          <w:p w14:paraId="39B9C6E8" w14:textId="057D2519" w:rsidR="00B504AA" w:rsidRPr="00BB4B6F" w:rsidRDefault="00B504AA" w:rsidP="00B504AA">
            <w:pPr>
              <w:spacing w:after="0" w:line="240" w:lineRule="auto"/>
              <w:jc w:val="right"/>
              <w:rPr>
                <w:b/>
                <w:bCs/>
                <w:sz w:val="18"/>
                <w:szCs w:val="18"/>
                <w:highlight w:val="yellow"/>
                <w:lang w:eastAsia="sk-SK"/>
              </w:rPr>
            </w:pPr>
            <w:r>
              <w:rPr>
                <w:b/>
                <w:bCs/>
                <w:sz w:val="18"/>
                <w:szCs w:val="18"/>
              </w:rPr>
              <w:t>1 196 408</w:t>
            </w:r>
          </w:p>
        </w:tc>
        <w:tc>
          <w:tcPr>
            <w:tcW w:w="980" w:type="dxa"/>
            <w:tcBorders>
              <w:top w:val="nil"/>
              <w:left w:val="nil"/>
              <w:bottom w:val="nil"/>
              <w:right w:val="nil"/>
            </w:tcBorders>
            <w:shd w:val="clear" w:color="auto" w:fill="auto"/>
            <w:noWrap/>
            <w:vAlign w:val="bottom"/>
            <w:hideMark/>
          </w:tcPr>
          <w:p w14:paraId="2710823B" w14:textId="2EBA80B6" w:rsidR="00B504AA" w:rsidRPr="00BB4B6F" w:rsidRDefault="00B504AA" w:rsidP="00B504AA">
            <w:pPr>
              <w:spacing w:after="0" w:line="240" w:lineRule="auto"/>
              <w:jc w:val="right"/>
              <w:rPr>
                <w:b/>
                <w:bCs/>
                <w:sz w:val="18"/>
                <w:szCs w:val="18"/>
                <w:highlight w:val="yellow"/>
                <w:lang w:eastAsia="sk-SK"/>
              </w:rPr>
            </w:pPr>
            <w:r>
              <w:rPr>
                <w:b/>
                <w:bCs/>
                <w:sz w:val="18"/>
                <w:szCs w:val="18"/>
              </w:rPr>
              <w:t>1 118 093</w:t>
            </w:r>
          </w:p>
        </w:tc>
        <w:tc>
          <w:tcPr>
            <w:tcW w:w="1000" w:type="dxa"/>
            <w:tcBorders>
              <w:top w:val="nil"/>
              <w:left w:val="nil"/>
              <w:bottom w:val="nil"/>
              <w:right w:val="nil"/>
            </w:tcBorders>
            <w:shd w:val="clear" w:color="auto" w:fill="auto"/>
            <w:noWrap/>
            <w:vAlign w:val="bottom"/>
            <w:hideMark/>
          </w:tcPr>
          <w:p w14:paraId="3F60E401" w14:textId="4AA9F594" w:rsidR="00B504AA" w:rsidRPr="00BB4B6F" w:rsidRDefault="00B504AA" w:rsidP="00B504AA">
            <w:pPr>
              <w:tabs>
                <w:tab w:val="decimal" w:pos="309"/>
              </w:tabs>
              <w:spacing w:after="0" w:line="240" w:lineRule="auto"/>
              <w:jc w:val="center"/>
              <w:rPr>
                <w:b/>
                <w:bCs/>
                <w:sz w:val="18"/>
                <w:szCs w:val="18"/>
                <w:highlight w:val="yellow"/>
                <w:lang w:eastAsia="sk-SK"/>
              </w:rPr>
            </w:pPr>
            <w:r>
              <w:rPr>
                <w:b/>
                <w:bCs/>
                <w:sz w:val="18"/>
                <w:szCs w:val="18"/>
              </w:rPr>
              <w:t>-12,6</w:t>
            </w:r>
          </w:p>
        </w:tc>
      </w:tr>
      <w:tr w:rsidR="00B504AA" w:rsidRPr="00BB4B6F" w14:paraId="0D89DF37" w14:textId="77777777" w:rsidTr="007D1EDC">
        <w:trPr>
          <w:trHeight w:val="300"/>
        </w:trPr>
        <w:tc>
          <w:tcPr>
            <w:tcW w:w="4101" w:type="dxa"/>
            <w:tcBorders>
              <w:top w:val="nil"/>
              <w:left w:val="nil"/>
              <w:bottom w:val="nil"/>
              <w:right w:val="nil"/>
            </w:tcBorders>
            <w:shd w:val="clear" w:color="auto" w:fill="auto"/>
            <w:noWrap/>
            <w:vAlign w:val="center"/>
            <w:hideMark/>
          </w:tcPr>
          <w:p w14:paraId="452BD571" w14:textId="77777777" w:rsidR="00B504AA" w:rsidRPr="00B504AA" w:rsidRDefault="00B504AA" w:rsidP="00B504AA">
            <w:pPr>
              <w:spacing w:after="0" w:line="240" w:lineRule="auto"/>
              <w:ind w:firstLineChars="100" w:firstLine="180"/>
              <w:rPr>
                <w:i/>
                <w:iCs/>
                <w:color w:val="000000"/>
                <w:sz w:val="18"/>
                <w:szCs w:val="18"/>
                <w:lang w:eastAsia="sk-SK"/>
              </w:rPr>
            </w:pPr>
            <w:r w:rsidRPr="00B504AA">
              <w:rPr>
                <w:i/>
                <w:iCs/>
                <w:color w:val="000000"/>
                <w:sz w:val="18"/>
                <w:szCs w:val="18"/>
                <w:lang w:eastAsia="sk-SK"/>
              </w:rPr>
              <w:t xml:space="preserve"> - Dotácie do poľnohospodárstva</w:t>
            </w:r>
          </w:p>
        </w:tc>
        <w:tc>
          <w:tcPr>
            <w:tcW w:w="1120" w:type="dxa"/>
            <w:tcBorders>
              <w:top w:val="nil"/>
              <w:left w:val="nil"/>
              <w:bottom w:val="nil"/>
              <w:right w:val="nil"/>
            </w:tcBorders>
            <w:shd w:val="clear" w:color="auto" w:fill="auto"/>
            <w:noWrap/>
            <w:vAlign w:val="bottom"/>
            <w:hideMark/>
          </w:tcPr>
          <w:p w14:paraId="3DA8204D" w14:textId="0D0941B1"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121 456</w:t>
            </w:r>
          </w:p>
        </w:tc>
        <w:tc>
          <w:tcPr>
            <w:tcW w:w="1040" w:type="dxa"/>
            <w:tcBorders>
              <w:top w:val="nil"/>
              <w:left w:val="nil"/>
              <w:bottom w:val="nil"/>
              <w:right w:val="nil"/>
            </w:tcBorders>
            <w:shd w:val="clear" w:color="auto" w:fill="auto"/>
            <w:noWrap/>
            <w:vAlign w:val="bottom"/>
            <w:hideMark/>
          </w:tcPr>
          <w:p w14:paraId="75EC090E" w14:textId="5D494922" w:rsidR="00B504AA" w:rsidRPr="00BB4B6F" w:rsidRDefault="00B504AA" w:rsidP="00B504AA">
            <w:pPr>
              <w:spacing w:after="0" w:line="240" w:lineRule="auto"/>
              <w:jc w:val="right"/>
              <w:rPr>
                <w:color w:val="000000"/>
                <w:sz w:val="18"/>
                <w:szCs w:val="18"/>
                <w:highlight w:val="yellow"/>
                <w:lang w:eastAsia="sk-SK"/>
              </w:rPr>
            </w:pPr>
            <w:r>
              <w:rPr>
                <w:sz w:val="18"/>
                <w:szCs w:val="18"/>
              </w:rPr>
              <w:t>108 738</w:t>
            </w:r>
          </w:p>
        </w:tc>
        <w:tc>
          <w:tcPr>
            <w:tcW w:w="1025" w:type="dxa"/>
            <w:tcBorders>
              <w:top w:val="nil"/>
              <w:left w:val="nil"/>
              <w:bottom w:val="nil"/>
              <w:right w:val="nil"/>
            </w:tcBorders>
            <w:shd w:val="clear" w:color="000000" w:fill="auto"/>
            <w:noWrap/>
            <w:vAlign w:val="bottom"/>
            <w:hideMark/>
          </w:tcPr>
          <w:p w14:paraId="7B244B2E" w14:textId="6D0B0C6A" w:rsidR="00B504AA" w:rsidRPr="00BB4B6F" w:rsidRDefault="00B504AA" w:rsidP="00B504AA">
            <w:pPr>
              <w:spacing w:after="0" w:line="240" w:lineRule="auto"/>
              <w:jc w:val="right"/>
              <w:rPr>
                <w:sz w:val="18"/>
                <w:szCs w:val="18"/>
                <w:highlight w:val="yellow"/>
                <w:lang w:eastAsia="sk-SK"/>
              </w:rPr>
            </w:pPr>
            <w:r>
              <w:rPr>
                <w:sz w:val="18"/>
                <w:szCs w:val="18"/>
              </w:rPr>
              <w:t>169 264</w:t>
            </w:r>
          </w:p>
        </w:tc>
        <w:tc>
          <w:tcPr>
            <w:tcW w:w="980" w:type="dxa"/>
            <w:tcBorders>
              <w:top w:val="nil"/>
              <w:left w:val="nil"/>
              <w:bottom w:val="nil"/>
              <w:right w:val="nil"/>
            </w:tcBorders>
            <w:shd w:val="clear" w:color="auto" w:fill="auto"/>
            <w:noWrap/>
            <w:vAlign w:val="bottom"/>
            <w:hideMark/>
          </w:tcPr>
          <w:p w14:paraId="3A650F89" w14:textId="77C61D58"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245 802</w:t>
            </w:r>
          </w:p>
        </w:tc>
        <w:tc>
          <w:tcPr>
            <w:tcW w:w="1000" w:type="dxa"/>
            <w:tcBorders>
              <w:top w:val="nil"/>
              <w:left w:val="nil"/>
              <w:bottom w:val="nil"/>
              <w:right w:val="nil"/>
            </w:tcBorders>
            <w:shd w:val="clear" w:color="auto" w:fill="auto"/>
            <w:noWrap/>
            <w:vAlign w:val="bottom"/>
            <w:hideMark/>
          </w:tcPr>
          <w:p w14:paraId="5211BCEE" w14:textId="462E5002"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55,7</w:t>
            </w:r>
          </w:p>
        </w:tc>
      </w:tr>
      <w:tr w:rsidR="00B504AA" w:rsidRPr="00BB4B6F" w14:paraId="5235726B" w14:textId="77777777" w:rsidTr="00357146">
        <w:trPr>
          <w:trHeight w:val="300"/>
        </w:trPr>
        <w:tc>
          <w:tcPr>
            <w:tcW w:w="4101" w:type="dxa"/>
            <w:tcBorders>
              <w:top w:val="nil"/>
              <w:left w:val="nil"/>
              <w:bottom w:val="nil"/>
              <w:right w:val="nil"/>
            </w:tcBorders>
            <w:shd w:val="clear" w:color="auto" w:fill="auto"/>
            <w:noWrap/>
            <w:vAlign w:val="center"/>
            <w:hideMark/>
          </w:tcPr>
          <w:p w14:paraId="7D44F1E8" w14:textId="77777777" w:rsidR="00B504AA" w:rsidRPr="00B504AA" w:rsidRDefault="00B504AA" w:rsidP="00B504AA">
            <w:pPr>
              <w:spacing w:after="0" w:line="240" w:lineRule="auto"/>
              <w:ind w:firstLineChars="100" w:firstLine="180"/>
              <w:rPr>
                <w:i/>
                <w:iCs/>
                <w:color w:val="000000"/>
                <w:sz w:val="18"/>
                <w:szCs w:val="18"/>
                <w:lang w:eastAsia="sk-SK"/>
              </w:rPr>
            </w:pPr>
            <w:r w:rsidRPr="00B504AA">
              <w:rPr>
                <w:i/>
                <w:iCs/>
                <w:color w:val="000000"/>
                <w:sz w:val="18"/>
                <w:szCs w:val="18"/>
                <w:lang w:eastAsia="sk-SK"/>
              </w:rPr>
              <w:t xml:space="preserve"> - Dotácie do dopravy</w:t>
            </w:r>
          </w:p>
        </w:tc>
        <w:tc>
          <w:tcPr>
            <w:tcW w:w="1120" w:type="dxa"/>
            <w:tcBorders>
              <w:top w:val="nil"/>
              <w:left w:val="nil"/>
              <w:bottom w:val="nil"/>
              <w:right w:val="nil"/>
            </w:tcBorders>
            <w:shd w:val="clear" w:color="auto" w:fill="auto"/>
            <w:noWrap/>
            <w:vAlign w:val="bottom"/>
            <w:hideMark/>
          </w:tcPr>
          <w:p w14:paraId="59014292" w14:textId="5BE66246"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266 122</w:t>
            </w:r>
          </w:p>
        </w:tc>
        <w:tc>
          <w:tcPr>
            <w:tcW w:w="1040" w:type="dxa"/>
            <w:tcBorders>
              <w:top w:val="nil"/>
              <w:left w:val="nil"/>
              <w:bottom w:val="nil"/>
              <w:right w:val="nil"/>
            </w:tcBorders>
            <w:shd w:val="clear" w:color="auto" w:fill="auto"/>
            <w:noWrap/>
            <w:vAlign w:val="bottom"/>
            <w:hideMark/>
          </w:tcPr>
          <w:p w14:paraId="2063CD75" w14:textId="44EF7ECB" w:rsidR="00B504AA" w:rsidRPr="00BB4B6F" w:rsidRDefault="00B504AA" w:rsidP="00B504AA">
            <w:pPr>
              <w:spacing w:after="0" w:line="240" w:lineRule="auto"/>
              <w:jc w:val="right"/>
              <w:rPr>
                <w:color w:val="000000"/>
                <w:sz w:val="18"/>
                <w:szCs w:val="18"/>
                <w:highlight w:val="yellow"/>
                <w:lang w:eastAsia="sk-SK"/>
              </w:rPr>
            </w:pPr>
            <w:r>
              <w:rPr>
                <w:sz w:val="18"/>
                <w:szCs w:val="18"/>
              </w:rPr>
              <w:t>287 528</w:t>
            </w:r>
          </w:p>
        </w:tc>
        <w:tc>
          <w:tcPr>
            <w:tcW w:w="1025" w:type="dxa"/>
            <w:tcBorders>
              <w:top w:val="nil"/>
              <w:left w:val="nil"/>
              <w:bottom w:val="nil"/>
              <w:right w:val="nil"/>
            </w:tcBorders>
            <w:shd w:val="clear" w:color="000000" w:fill="auto"/>
            <w:noWrap/>
            <w:vAlign w:val="bottom"/>
            <w:hideMark/>
          </w:tcPr>
          <w:p w14:paraId="2FCDC2FE" w14:textId="5554EBC1" w:rsidR="00B504AA" w:rsidRPr="00BB4B6F" w:rsidRDefault="00B504AA" w:rsidP="00B504AA">
            <w:pPr>
              <w:spacing w:after="0" w:line="240" w:lineRule="auto"/>
              <w:jc w:val="right"/>
              <w:rPr>
                <w:sz w:val="18"/>
                <w:szCs w:val="18"/>
                <w:highlight w:val="yellow"/>
                <w:lang w:eastAsia="sk-SK"/>
              </w:rPr>
            </w:pPr>
            <w:r>
              <w:rPr>
                <w:sz w:val="18"/>
                <w:szCs w:val="18"/>
              </w:rPr>
              <w:t>322 759</w:t>
            </w:r>
          </w:p>
        </w:tc>
        <w:tc>
          <w:tcPr>
            <w:tcW w:w="980" w:type="dxa"/>
            <w:tcBorders>
              <w:top w:val="nil"/>
              <w:left w:val="nil"/>
              <w:bottom w:val="nil"/>
              <w:right w:val="nil"/>
            </w:tcBorders>
            <w:shd w:val="clear" w:color="auto" w:fill="auto"/>
            <w:noWrap/>
            <w:vAlign w:val="bottom"/>
            <w:hideMark/>
          </w:tcPr>
          <w:p w14:paraId="03BE5AAD" w14:textId="331DB26F"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261 374</w:t>
            </w:r>
          </w:p>
        </w:tc>
        <w:tc>
          <w:tcPr>
            <w:tcW w:w="1000" w:type="dxa"/>
            <w:tcBorders>
              <w:top w:val="nil"/>
              <w:left w:val="nil"/>
              <w:bottom w:val="nil"/>
              <w:right w:val="nil"/>
            </w:tcBorders>
            <w:shd w:val="clear" w:color="auto" w:fill="auto"/>
            <w:noWrap/>
            <w:vAlign w:val="bottom"/>
            <w:hideMark/>
          </w:tcPr>
          <w:p w14:paraId="38A94E81" w14:textId="3092FA73"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12,3</w:t>
            </w:r>
          </w:p>
        </w:tc>
      </w:tr>
      <w:tr w:rsidR="00B504AA" w:rsidRPr="00BB4B6F" w14:paraId="2D9D34D4" w14:textId="77777777" w:rsidTr="00357146">
        <w:trPr>
          <w:trHeight w:val="300"/>
        </w:trPr>
        <w:tc>
          <w:tcPr>
            <w:tcW w:w="4101" w:type="dxa"/>
            <w:tcBorders>
              <w:top w:val="nil"/>
              <w:left w:val="nil"/>
              <w:bottom w:val="nil"/>
              <w:right w:val="nil"/>
            </w:tcBorders>
            <w:shd w:val="clear" w:color="auto" w:fill="auto"/>
            <w:noWrap/>
            <w:vAlign w:val="bottom"/>
            <w:hideMark/>
          </w:tcPr>
          <w:p w14:paraId="67735E9E"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železničná doprava</w:t>
            </w:r>
          </w:p>
        </w:tc>
        <w:tc>
          <w:tcPr>
            <w:tcW w:w="1120" w:type="dxa"/>
            <w:tcBorders>
              <w:top w:val="nil"/>
              <w:left w:val="nil"/>
              <w:bottom w:val="nil"/>
              <w:right w:val="nil"/>
            </w:tcBorders>
            <w:shd w:val="clear" w:color="auto" w:fill="auto"/>
            <w:noWrap/>
            <w:vAlign w:val="bottom"/>
            <w:hideMark/>
          </w:tcPr>
          <w:p w14:paraId="5001B4E1" w14:textId="17763217"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11 408</w:t>
            </w:r>
          </w:p>
        </w:tc>
        <w:tc>
          <w:tcPr>
            <w:tcW w:w="1040" w:type="dxa"/>
            <w:tcBorders>
              <w:top w:val="nil"/>
              <w:left w:val="nil"/>
              <w:bottom w:val="nil"/>
              <w:right w:val="nil"/>
            </w:tcBorders>
            <w:shd w:val="clear" w:color="auto" w:fill="auto"/>
            <w:noWrap/>
            <w:vAlign w:val="bottom"/>
            <w:hideMark/>
          </w:tcPr>
          <w:p w14:paraId="6C8501A3" w14:textId="55F9C51D" w:rsidR="00B504AA" w:rsidRPr="00BB4B6F" w:rsidRDefault="00B504AA" w:rsidP="00B504AA">
            <w:pPr>
              <w:spacing w:after="0" w:line="240" w:lineRule="auto"/>
              <w:jc w:val="right"/>
              <w:rPr>
                <w:color w:val="000000"/>
                <w:sz w:val="18"/>
                <w:szCs w:val="18"/>
                <w:highlight w:val="yellow"/>
                <w:lang w:eastAsia="sk-SK"/>
              </w:rPr>
            </w:pPr>
            <w:r>
              <w:rPr>
                <w:sz w:val="18"/>
                <w:szCs w:val="18"/>
              </w:rPr>
              <w:t>0</w:t>
            </w:r>
          </w:p>
        </w:tc>
        <w:tc>
          <w:tcPr>
            <w:tcW w:w="1025" w:type="dxa"/>
            <w:tcBorders>
              <w:top w:val="nil"/>
              <w:left w:val="nil"/>
              <w:bottom w:val="nil"/>
              <w:right w:val="nil"/>
            </w:tcBorders>
            <w:shd w:val="clear" w:color="000000" w:fill="auto"/>
            <w:noWrap/>
            <w:vAlign w:val="bottom"/>
            <w:hideMark/>
          </w:tcPr>
          <w:p w14:paraId="459CCB9E" w14:textId="62303614" w:rsidR="00B504AA" w:rsidRPr="00BB4B6F" w:rsidRDefault="00B504AA" w:rsidP="00B504AA">
            <w:pPr>
              <w:spacing w:after="0" w:line="240" w:lineRule="auto"/>
              <w:jc w:val="right"/>
              <w:rPr>
                <w:sz w:val="18"/>
                <w:szCs w:val="18"/>
                <w:highlight w:val="yellow"/>
                <w:lang w:eastAsia="sk-SK"/>
              </w:rPr>
            </w:pPr>
            <w:r>
              <w:rPr>
                <w:sz w:val="18"/>
                <w:szCs w:val="18"/>
              </w:rPr>
              <w:t>0</w:t>
            </w:r>
          </w:p>
        </w:tc>
        <w:tc>
          <w:tcPr>
            <w:tcW w:w="980" w:type="dxa"/>
            <w:tcBorders>
              <w:top w:val="nil"/>
              <w:left w:val="nil"/>
              <w:bottom w:val="nil"/>
              <w:right w:val="nil"/>
            </w:tcBorders>
            <w:shd w:val="clear" w:color="auto" w:fill="auto"/>
            <w:noWrap/>
            <w:vAlign w:val="bottom"/>
            <w:hideMark/>
          </w:tcPr>
          <w:p w14:paraId="2B3C3A8D" w14:textId="44A70E22"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374</w:t>
            </w:r>
          </w:p>
        </w:tc>
        <w:tc>
          <w:tcPr>
            <w:tcW w:w="1000" w:type="dxa"/>
            <w:tcBorders>
              <w:top w:val="nil"/>
              <w:left w:val="nil"/>
              <w:bottom w:val="nil"/>
              <w:right w:val="nil"/>
            </w:tcBorders>
            <w:shd w:val="clear" w:color="auto" w:fill="auto"/>
            <w:noWrap/>
            <w:vAlign w:val="bottom"/>
            <w:hideMark/>
          </w:tcPr>
          <w:p w14:paraId="409EF802" w14:textId="4B4F7717"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0,0</w:t>
            </w:r>
          </w:p>
        </w:tc>
      </w:tr>
      <w:tr w:rsidR="00B504AA" w:rsidRPr="00BB4B6F" w14:paraId="76364C6A" w14:textId="77777777" w:rsidTr="00357146">
        <w:trPr>
          <w:trHeight w:val="300"/>
        </w:trPr>
        <w:tc>
          <w:tcPr>
            <w:tcW w:w="4101" w:type="dxa"/>
            <w:tcBorders>
              <w:top w:val="nil"/>
              <w:left w:val="nil"/>
              <w:bottom w:val="nil"/>
              <w:right w:val="nil"/>
            </w:tcBorders>
            <w:shd w:val="clear" w:color="auto" w:fill="auto"/>
            <w:noWrap/>
            <w:vAlign w:val="bottom"/>
            <w:hideMark/>
          </w:tcPr>
          <w:p w14:paraId="0300632A"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cestná doprava</w:t>
            </w:r>
          </w:p>
        </w:tc>
        <w:tc>
          <w:tcPr>
            <w:tcW w:w="1120" w:type="dxa"/>
            <w:tcBorders>
              <w:top w:val="nil"/>
              <w:left w:val="nil"/>
              <w:bottom w:val="nil"/>
              <w:right w:val="nil"/>
            </w:tcBorders>
            <w:shd w:val="clear" w:color="auto" w:fill="auto"/>
            <w:noWrap/>
            <w:vAlign w:val="bottom"/>
            <w:hideMark/>
          </w:tcPr>
          <w:p w14:paraId="40E8F3EF" w14:textId="70F495EB"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246 372</w:t>
            </w:r>
          </w:p>
        </w:tc>
        <w:tc>
          <w:tcPr>
            <w:tcW w:w="1040" w:type="dxa"/>
            <w:tcBorders>
              <w:top w:val="nil"/>
              <w:left w:val="nil"/>
              <w:bottom w:val="nil"/>
              <w:right w:val="nil"/>
            </w:tcBorders>
            <w:shd w:val="clear" w:color="auto" w:fill="auto"/>
            <w:noWrap/>
            <w:vAlign w:val="bottom"/>
            <w:hideMark/>
          </w:tcPr>
          <w:p w14:paraId="43E30213" w14:textId="1050D75C" w:rsidR="00B504AA" w:rsidRPr="00BB4B6F" w:rsidRDefault="00B504AA" w:rsidP="00B504AA">
            <w:pPr>
              <w:spacing w:after="0" w:line="240" w:lineRule="auto"/>
              <w:jc w:val="right"/>
              <w:rPr>
                <w:color w:val="000000"/>
                <w:sz w:val="18"/>
                <w:szCs w:val="18"/>
                <w:highlight w:val="yellow"/>
                <w:lang w:eastAsia="sk-SK"/>
              </w:rPr>
            </w:pPr>
            <w:r>
              <w:rPr>
                <w:sz w:val="18"/>
                <w:szCs w:val="18"/>
              </w:rPr>
              <w:t>270 548</w:t>
            </w:r>
          </w:p>
        </w:tc>
        <w:tc>
          <w:tcPr>
            <w:tcW w:w="1025" w:type="dxa"/>
            <w:tcBorders>
              <w:top w:val="nil"/>
              <w:left w:val="nil"/>
              <w:bottom w:val="nil"/>
              <w:right w:val="nil"/>
            </w:tcBorders>
            <w:shd w:val="clear" w:color="000000" w:fill="auto"/>
            <w:noWrap/>
            <w:vAlign w:val="bottom"/>
            <w:hideMark/>
          </w:tcPr>
          <w:p w14:paraId="76D3731B" w14:textId="4B4D0E80" w:rsidR="00B504AA" w:rsidRPr="00BB4B6F" w:rsidRDefault="00B504AA" w:rsidP="00B504AA">
            <w:pPr>
              <w:spacing w:after="0" w:line="240" w:lineRule="auto"/>
              <w:jc w:val="right"/>
              <w:rPr>
                <w:sz w:val="18"/>
                <w:szCs w:val="18"/>
                <w:highlight w:val="yellow"/>
                <w:lang w:eastAsia="sk-SK"/>
              </w:rPr>
            </w:pPr>
            <w:r>
              <w:rPr>
                <w:sz w:val="18"/>
                <w:szCs w:val="18"/>
              </w:rPr>
              <w:t>31 076</w:t>
            </w:r>
          </w:p>
        </w:tc>
        <w:tc>
          <w:tcPr>
            <w:tcW w:w="980" w:type="dxa"/>
            <w:tcBorders>
              <w:top w:val="nil"/>
              <w:left w:val="nil"/>
              <w:bottom w:val="nil"/>
              <w:right w:val="nil"/>
            </w:tcBorders>
            <w:shd w:val="clear" w:color="auto" w:fill="auto"/>
            <w:noWrap/>
            <w:vAlign w:val="bottom"/>
            <w:hideMark/>
          </w:tcPr>
          <w:p w14:paraId="28F3DBB4" w14:textId="2B6C8529"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255 000</w:t>
            </w:r>
          </w:p>
        </w:tc>
        <w:tc>
          <w:tcPr>
            <w:tcW w:w="1000" w:type="dxa"/>
            <w:tcBorders>
              <w:top w:val="nil"/>
              <w:left w:val="nil"/>
              <w:bottom w:val="nil"/>
              <w:right w:val="nil"/>
            </w:tcBorders>
            <w:shd w:val="clear" w:color="auto" w:fill="auto"/>
            <w:noWrap/>
            <w:vAlign w:val="bottom"/>
            <w:hideMark/>
          </w:tcPr>
          <w:p w14:paraId="2E405CD6" w14:textId="2F9F6538"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-88,5</w:t>
            </w:r>
          </w:p>
        </w:tc>
      </w:tr>
      <w:tr w:rsidR="00B504AA" w:rsidRPr="00BB4B6F" w14:paraId="1132F512" w14:textId="77777777" w:rsidTr="00357146">
        <w:trPr>
          <w:trHeight w:val="300"/>
        </w:trPr>
        <w:tc>
          <w:tcPr>
            <w:tcW w:w="4101" w:type="dxa"/>
            <w:tcBorders>
              <w:top w:val="nil"/>
              <w:left w:val="nil"/>
              <w:bottom w:val="nil"/>
              <w:right w:val="nil"/>
            </w:tcBorders>
            <w:shd w:val="clear" w:color="auto" w:fill="auto"/>
            <w:noWrap/>
            <w:vAlign w:val="center"/>
            <w:hideMark/>
          </w:tcPr>
          <w:p w14:paraId="1C1E7413"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Ostatné</w:t>
            </w:r>
          </w:p>
        </w:tc>
        <w:tc>
          <w:tcPr>
            <w:tcW w:w="1120" w:type="dxa"/>
            <w:tcBorders>
              <w:top w:val="nil"/>
              <w:left w:val="nil"/>
              <w:bottom w:val="nil"/>
              <w:right w:val="nil"/>
            </w:tcBorders>
            <w:shd w:val="clear" w:color="auto" w:fill="auto"/>
            <w:noWrap/>
            <w:vAlign w:val="bottom"/>
            <w:hideMark/>
          </w:tcPr>
          <w:p w14:paraId="5757B03A" w14:textId="0235D81A"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852 775</w:t>
            </w:r>
          </w:p>
        </w:tc>
        <w:tc>
          <w:tcPr>
            <w:tcW w:w="1040" w:type="dxa"/>
            <w:tcBorders>
              <w:top w:val="nil"/>
              <w:left w:val="nil"/>
              <w:bottom w:val="nil"/>
              <w:right w:val="nil"/>
            </w:tcBorders>
            <w:shd w:val="clear" w:color="auto" w:fill="auto"/>
            <w:noWrap/>
            <w:vAlign w:val="bottom"/>
            <w:hideMark/>
          </w:tcPr>
          <w:p w14:paraId="5A108B2B" w14:textId="08ABE043" w:rsidR="00B504AA" w:rsidRPr="00BB4B6F" w:rsidRDefault="00B504AA" w:rsidP="00B504AA">
            <w:pPr>
              <w:spacing w:after="0" w:line="240" w:lineRule="auto"/>
              <w:jc w:val="right"/>
              <w:rPr>
                <w:color w:val="000000"/>
                <w:sz w:val="18"/>
                <w:szCs w:val="18"/>
                <w:highlight w:val="yellow"/>
                <w:lang w:eastAsia="sk-SK"/>
              </w:rPr>
            </w:pPr>
            <w:r>
              <w:rPr>
                <w:sz w:val="18"/>
                <w:szCs w:val="18"/>
              </w:rPr>
              <w:t>972 886</w:t>
            </w:r>
          </w:p>
        </w:tc>
        <w:tc>
          <w:tcPr>
            <w:tcW w:w="1025" w:type="dxa"/>
            <w:tcBorders>
              <w:top w:val="nil"/>
              <w:left w:val="nil"/>
              <w:bottom w:val="nil"/>
              <w:right w:val="nil"/>
            </w:tcBorders>
            <w:shd w:val="clear" w:color="000000" w:fill="auto"/>
            <w:noWrap/>
            <w:vAlign w:val="bottom"/>
            <w:hideMark/>
          </w:tcPr>
          <w:p w14:paraId="47B7D241" w14:textId="2514D501" w:rsidR="00B504AA" w:rsidRPr="00BB4B6F" w:rsidRDefault="00B504AA" w:rsidP="00B504AA">
            <w:pPr>
              <w:spacing w:after="0" w:line="240" w:lineRule="auto"/>
              <w:jc w:val="right"/>
              <w:rPr>
                <w:sz w:val="18"/>
                <w:szCs w:val="18"/>
                <w:highlight w:val="yellow"/>
                <w:lang w:eastAsia="sk-SK"/>
              </w:rPr>
            </w:pPr>
            <w:r>
              <w:rPr>
                <w:sz w:val="18"/>
                <w:szCs w:val="18"/>
              </w:rPr>
              <w:t>704 385</w:t>
            </w:r>
          </w:p>
        </w:tc>
        <w:tc>
          <w:tcPr>
            <w:tcW w:w="980" w:type="dxa"/>
            <w:tcBorders>
              <w:top w:val="nil"/>
              <w:left w:val="nil"/>
              <w:bottom w:val="nil"/>
              <w:right w:val="nil"/>
            </w:tcBorders>
            <w:shd w:val="clear" w:color="auto" w:fill="auto"/>
            <w:noWrap/>
            <w:vAlign w:val="bottom"/>
            <w:hideMark/>
          </w:tcPr>
          <w:p w14:paraId="7209D516" w14:textId="463EBB81"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610 917</w:t>
            </w:r>
          </w:p>
        </w:tc>
        <w:tc>
          <w:tcPr>
            <w:tcW w:w="1000" w:type="dxa"/>
            <w:tcBorders>
              <w:top w:val="nil"/>
              <w:left w:val="nil"/>
              <w:bottom w:val="nil"/>
              <w:right w:val="nil"/>
            </w:tcBorders>
            <w:shd w:val="clear" w:color="auto" w:fill="auto"/>
            <w:noWrap/>
            <w:vAlign w:val="bottom"/>
            <w:hideMark/>
          </w:tcPr>
          <w:p w14:paraId="7E40A626" w14:textId="36AF0E93"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-27,6</w:t>
            </w:r>
          </w:p>
        </w:tc>
      </w:tr>
      <w:tr w:rsidR="00B504AA" w:rsidRPr="00BB4B6F" w14:paraId="7F43ECF3" w14:textId="77777777" w:rsidTr="007D1EDC">
        <w:trPr>
          <w:trHeight w:val="300"/>
        </w:trPr>
        <w:tc>
          <w:tcPr>
            <w:tcW w:w="4101" w:type="dxa"/>
            <w:tcBorders>
              <w:top w:val="nil"/>
              <w:left w:val="nil"/>
              <w:bottom w:val="nil"/>
              <w:right w:val="nil"/>
            </w:tcBorders>
            <w:shd w:val="clear" w:color="auto" w:fill="auto"/>
            <w:noWrap/>
            <w:vAlign w:val="center"/>
            <w:hideMark/>
          </w:tcPr>
          <w:p w14:paraId="6AF0715A"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 xml:space="preserve">Dôchodky z majetku </w:t>
            </w:r>
            <w:r w:rsidRPr="00B504AA">
              <w:rPr>
                <w:color w:val="000000"/>
                <w:sz w:val="18"/>
                <w:szCs w:val="18"/>
                <w:lang w:eastAsia="sk-SK"/>
              </w:rPr>
              <w:t>(Úrokové náklady)</w:t>
            </w:r>
          </w:p>
        </w:tc>
        <w:tc>
          <w:tcPr>
            <w:tcW w:w="1120" w:type="dxa"/>
            <w:tcBorders>
              <w:top w:val="nil"/>
              <w:left w:val="nil"/>
              <w:bottom w:val="nil"/>
              <w:right w:val="nil"/>
            </w:tcBorders>
            <w:shd w:val="clear" w:color="auto" w:fill="auto"/>
            <w:noWrap/>
            <w:vAlign w:val="bottom"/>
            <w:hideMark/>
          </w:tcPr>
          <w:p w14:paraId="25398448" w14:textId="4301166B" w:rsidR="00B504AA" w:rsidRPr="00BB4B6F" w:rsidRDefault="00B504AA" w:rsidP="00B504AA">
            <w:pPr>
              <w:spacing w:after="0" w:line="240" w:lineRule="auto"/>
              <w:jc w:val="right"/>
              <w:rPr>
                <w:b/>
                <w:bCs/>
                <w:sz w:val="18"/>
                <w:szCs w:val="18"/>
                <w:highlight w:val="yellow"/>
                <w:lang w:eastAsia="sk-SK"/>
              </w:rPr>
            </w:pPr>
            <w:r>
              <w:rPr>
                <w:b/>
                <w:bCs/>
                <w:sz w:val="18"/>
                <w:szCs w:val="18"/>
              </w:rPr>
              <w:t>1 104 611</w:t>
            </w:r>
          </w:p>
        </w:tc>
        <w:tc>
          <w:tcPr>
            <w:tcW w:w="1040" w:type="dxa"/>
            <w:tcBorders>
              <w:top w:val="nil"/>
              <w:left w:val="nil"/>
              <w:bottom w:val="nil"/>
              <w:right w:val="nil"/>
            </w:tcBorders>
            <w:shd w:val="clear" w:color="auto" w:fill="auto"/>
            <w:noWrap/>
            <w:vAlign w:val="bottom"/>
            <w:hideMark/>
          </w:tcPr>
          <w:p w14:paraId="2A9477ED" w14:textId="13446108" w:rsidR="00B504AA" w:rsidRPr="00BB4B6F" w:rsidRDefault="00B504AA" w:rsidP="00B504AA">
            <w:pPr>
              <w:spacing w:after="0" w:line="240" w:lineRule="auto"/>
              <w:jc w:val="right"/>
              <w:rPr>
                <w:b/>
                <w:bCs/>
                <w:sz w:val="18"/>
                <w:szCs w:val="18"/>
                <w:highlight w:val="yellow"/>
                <w:lang w:eastAsia="sk-SK"/>
              </w:rPr>
            </w:pPr>
            <w:r>
              <w:rPr>
                <w:b/>
                <w:bCs/>
                <w:sz w:val="18"/>
                <w:szCs w:val="18"/>
              </w:rPr>
              <w:t>1 099 038</w:t>
            </w:r>
          </w:p>
        </w:tc>
        <w:tc>
          <w:tcPr>
            <w:tcW w:w="1025" w:type="dxa"/>
            <w:tcBorders>
              <w:top w:val="nil"/>
              <w:left w:val="nil"/>
              <w:bottom w:val="nil"/>
              <w:right w:val="nil"/>
            </w:tcBorders>
            <w:shd w:val="clear" w:color="000000" w:fill="auto"/>
            <w:noWrap/>
            <w:vAlign w:val="bottom"/>
            <w:hideMark/>
          </w:tcPr>
          <w:p w14:paraId="1CC99AAA" w14:textId="7B11F2D7" w:rsidR="00B504AA" w:rsidRPr="00BB4B6F" w:rsidRDefault="00B504AA" w:rsidP="00B504AA">
            <w:pPr>
              <w:spacing w:after="0" w:line="240" w:lineRule="auto"/>
              <w:jc w:val="right"/>
              <w:rPr>
                <w:b/>
                <w:bCs/>
                <w:sz w:val="18"/>
                <w:szCs w:val="18"/>
                <w:highlight w:val="yellow"/>
                <w:lang w:eastAsia="sk-SK"/>
              </w:rPr>
            </w:pPr>
            <w:r>
              <w:rPr>
                <w:b/>
                <w:bCs/>
                <w:sz w:val="18"/>
                <w:szCs w:val="18"/>
              </w:rPr>
              <w:t>1 133 811</w:t>
            </w:r>
          </w:p>
        </w:tc>
        <w:tc>
          <w:tcPr>
            <w:tcW w:w="980" w:type="dxa"/>
            <w:tcBorders>
              <w:top w:val="nil"/>
              <w:left w:val="nil"/>
              <w:bottom w:val="nil"/>
              <w:right w:val="nil"/>
            </w:tcBorders>
            <w:shd w:val="clear" w:color="auto" w:fill="auto"/>
            <w:noWrap/>
            <w:vAlign w:val="bottom"/>
            <w:hideMark/>
          </w:tcPr>
          <w:p w14:paraId="7D3F1DE2" w14:textId="1C94A51C"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918 256</w:t>
            </w:r>
          </w:p>
        </w:tc>
        <w:tc>
          <w:tcPr>
            <w:tcW w:w="1000" w:type="dxa"/>
            <w:tcBorders>
              <w:top w:val="nil"/>
              <w:left w:val="nil"/>
              <w:bottom w:val="nil"/>
              <w:right w:val="nil"/>
            </w:tcBorders>
            <w:shd w:val="clear" w:color="auto" w:fill="auto"/>
            <w:noWrap/>
            <w:vAlign w:val="bottom"/>
            <w:hideMark/>
          </w:tcPr>
          <w:p w14:paraId="796A54CB" w14:textId="3B93F290" w:rsidR="00B504AA" w:rsidRPr="00BB4B6F" w:rsidRDefault="00B504AA" w:rsidP="00B504AA">
            <w:pPr>
              <w:tabs>
                <w:tab w:val="decimal" w:pos="309"/>
              </w:tabs>
              <w:spacing w:after="0" w:line="240" w:lineRule="auto"/>
              <w:jc w:val="center"/>
              <w:rPr>
                <w:b/>
                <w:bCs/>
                <w:sz w:val="18"/>
                <w:szCs w:val="18"/>
                <w:highlight w:val="yellow"/>
                <w:lang w:eastAsia="sk-SK"/>
              </w:rPr>
            </w:pPr>
            <w:r>
              <w:rPr>
                <w:b/>
                <w:bCs/>
                <w:sz w:val="18"/>
                <w:szCs w:val="18"/>
              </w:rPr>
              <w:t>3,2</w:t>
            </w:r>
          </w:p>
        </w:tc>
      </w:tr>
      <w:tr w:rsidR="00B504AA" w:rsidRPr="00BB4B6F" w14:paraId="274A68F1" w14:textId="77777777" w:rsidTr="00357146">
        <w:trPr>
          <w:trHeight w:val="300"/>
        </w:trPr>
        <w:tc>
          <w:tcPr>
            <w:tcW w:w="4101" w:type="dxa"/>
            <w:tcBorders>
              <w:top w:val="nil"/>
              <w:left w:val="nil"/>
              <w:bottom w:val="nil"/>
              <w:right w:val="nil"/>
            </w:tcBorders>
            <w:shd w:val="clear" w:color="auto" w:fill="auto"/>
            <w:noWrap/>
            <w:vAlign w:val="center"/>
            <w:hideMark/>
          </w:tcPr>
          <w:p w14:paraId="6BE61432"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Celkové sociálne transfery</w:t>
            </w:r>
          </w:p>
        </w:tc>
        <w:tc>
          <w:tcPr>
            <w:tcW w:w="1120" w:type="dxa"/>
            <w:tcBorders>
              <w:top w:val="nil"/>
              <w:left w:val="nil"/>
              <w:bottom w:val="nil"/>
              <w:right w:val="nil"/>
            </w:tcBorders>
            <w:shd w:val="clear" w:color="auto" w:fill="auto"/>
            <w:noWrap/>
            <w:vAlign w:val="bottom"/>
            <w:hideMark/>
          </w:tcPr>
          <w:p w14:paraId="74A1ADFC" w14:textId="2284D8CA"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16 739 489</w:t>
            </w:r>
          </w:p>
        </w:tc>
        <w:tc>
          <w:tcPr>
            <w:tcW w:w="1040" w:type="dxa"/>
            <w:tcBorders>
              <w:top w:val="nil"/>
              <w:left w:val="nil"/>
              <w:bottom w:val="nil"/>
              <w:right w:val="nil"/>
            </w:tcBorders>
            <w:shd w:val="clear" w:color="auto" w:fill="auto"/>
            <w:noWrap/>
            <w:vAlign w:val="bottom"/>
            <w:hideMark/>
          </w:tcPr>
          <w:p w14:paraId="799C8512" w14:textId="33115A8E"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18 376 468</w:t>
            </w:r>
          </w:p>
        </w:tc>
        <w:tc>
          <w:tcPr>
            <w:tcW w:w="1025" w:type="dxa"/>
            <w:tcBorders>
              <w:top w:val="nil"/>
              <w:left w:val="nil"/>
              <w:bottom w:val="nil"/>
              <w:right w:val="nil"/>
            </w:tcBorders>
            <w:shd w:val="clear" w:color="000000" w:fill="auto"/>
            <w:noWrap/>
            <w:vAlign w:val="bottom"/>
            <w:hideMark/>
          </w:tcPr>
          <w:p w14:paraId="04A9EC5E" w14:textId="16AB8090" w:rsidR="00B504AA" w:rsidRPr="00BB4B6F" w:rsidRDefault="00B504AA" w:rsidP="00B504AA">
            <w:pPr>
              <w:spacing w:after="0" w:line="240" w:lineRule="auto"/>
              <w:jc w:val="right"/>
              <w:rPr>
                <w:b/>
                <w:bCs/>
                <w:sz w:val="18"/>
                <w:szCs w:val="18"/>
                <w:highlight w:val="yellow"/>
                <w:lang w:eastAsia="sk-SK"/>
              </w:rPr>
            </w:pPr>
            <w:r>
              <w:rPr>
                <w:b/>
                <w:bCs/>
                <w:sz w:val="18"/>
                <w:szCs w:val="18"/>
              </w:rPr>
              <w:t>19 611 579</w:t>
            </w:r>
          </w:p>
        </w:tc>
        <w:tc>
          <w:tcPr>
            <w:tcW w:w="980" w:type="dxa"/>
            <w:tcBorders>
              <w:top w:val="nil"/>
              <w:left w:val="nil"/>
              <w:bottom w:val="nil"/>
              <w:right w:val="nil"/>
            </w:tcBorders>
            <w:shd w:val="clear" w:color="auto" w:fill="auto"/>
            <w:noWrap/>
            <w:vAlign w:val="bottom"/>
            <w:hideMark/>
          </w:tcPr>
          <w:p w14:paraId="05DD8A20" w14:textId="7AC5BA38" w:rsidR="00B504AA" w:rsidRPr="00BB4B6F" w:rsidRDefault="00B504AA" w:rsidP="00B504AA">
            <w:pPr>
              <w:spacing w:after="0" w:line="240" w:lineRule="auto"/>
              <w:jc w:val="right"/>
              <w:rPr>
                <w:b/>
                <w:bCs/>
                <w:color w:val="000000"/>
                <w:sz w:val="18"/>
                <w:szCs w:val="18"/>
                <w:highlight w:val="yellow"/>
                <w:lang w:eastAsia="sk-SK"/>
              </w:rPr>
            </w:pPr>
            <w:r>
              <w:rPr>
                <w:b/>
                <w:bCs/>
                <w:color w:val="000000"/>
                <w:sz w:val="18"/>
                <w:szCs w:val="18"/>
              </w:rPr>
              <w:t>20 663 215</w:t>
            </w:r>
          </w:p>
        </w:tc>
        <w:tc>
          <w:tcPr>
            <w:tcW w:w="1000" w:type="dxa"/>
            <w:tcBorders>
              <w:top w:val="nil"/>
              <w:left w:val="nil"/>
              <w:bottom w:val="nil"/>
              <w:right w:val="nil"/>
            </w:tcBorders>
            <w:shd w:val="clear" w:color="auto" w:fill="auto"/>
            <w:noWrap/>
            <w:vAlign w:val="bottom"/>
            <w:hideMark/>
          </w:tcPr>
          <w:p w14:paraId="1F08950A" w14:textId="43C07113" w:rsidR="00B504AA" w:rsidRPr="00BB4B6F" w:rsidRDefault="00B504AA" w:rsidP="00B504AA">
            <w:pPr>
              <w:tabs>
                <w:tab w:val="decimal" w:pos="309"/>
              </w:tabs>
              <w:spacing w:after="0" w:line="240" w:lineRule="auto"/>
              <w:jc w:val="center"/>
              <w:rPr>
                <w:b/>
                <w:bCs/>
                <w:color w:val="000000"/>
                <w:sz w:val="18"/>
                <w:szCs w:val="18"/>
                <w:highlight w:val="yellow"/>
                <w:lang w:eastAsia="sk-SK"/>
              </w:rPr>
            </w:pPr>
            <w:r>
              <w:rPr>
                <w:b/>
                <w:bCs/>
                <w:color w:val="000000"/>
                <w:sz w:val="18"/>
                <w:szCs w:val="18"/>
              </w:rPr>
              <w:t>6,7</w:t>
            </w:r>
          </w:p>
        </w:tc>
      </w:tr>
      <w:tr w:rsidR="00B504AA" w:rsidRPr="00BB4B6F" w14:paraId="16A46556" w14:textId="77777777" w:rsidTr="00357146">
        <w:trPr>
          <w:trHeight w:val="300"/>
        </w:trPr>
        <w:tc>
          <w:tcPr>
            <w:tcW w:w="4101" w:type="dxa"/>
            <w:tcBorders>
              <w:top w:val="nil"/>
              <w:left w:val="nil"/>
              <w:bottom w:val="nil"/>
              <w:right w:val="nil"/>
            </w:tcBorders>
            <w:shd w:val="clear" w:color="auto" w:fill="auto"/>
            <w:noWrap/>
            <w:vAlign w:val="center"/>
            <w:hideMark/>
          </w:tcPr>
          <w:p w14:paraId="6CA8A3E4"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Sociálne dávky okrem naturálnych soc. </w:t>
            </w:r>
            <w:proofErr w:type="spellStart"/>
            <w:r w:rsidRPr="00B504AA">
              <w:rPr>
                <w:color w:val="000000"/>
                <w:sz w:val="18"/>
                <w:szCs w:val="18"/>
                <w:lang w:eastAsia="sk-SK"/>
              </w:rPr>
              <w:t>transf</w:t>
            </w:r>
            <w:proofErr w:type="spellEnd"/>
            <w:r w:rsidRPr="00B504AA">
              <w:rPr>
                <w:color w:val="000000"/>
                <w:sz w:val="18"/>
                <w:szCs w:val="18"/>
                <w:lang w:eastAsia="sk-SK"/>
              </w:rPr>
              <w:t>.</w:t>
            </w:r>
          </w:p>
        </w:tc>
        <w:tc>
          <w:tcPr>
            <w:tcW w:w="1120" w:type="dxa"/>
            <w:tcBorders>
              <w:top w:val="nil"/>
              <w:left w:val="nil"/>
              <w:bottom w:val="nil"/>
              <w:right w:val="nil"/>
            </w:tcBorders>
            <w:shd w:val="clear" w:color="auto" w:fill="auto"/>
            <w:noWrap/>
            <w:vAlign w:val="bottom"/>
            <w:hideMark/>
          </w:tcPr>
          <w:p w14:paraId="1CA44077" w14:textId="562B2C16"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13 694 215</w:t>
            </w:r>
          </w:p>
        </w:tc>
        <w:tc>
          <w:tcPr>
            <w:tcW w:w="1040" w:type="dxa"/>
            <w:tcBorders>
              <w:top w:val="nil"/>
              <w:left w:val="nil"/>
              <w:bottom w:val="nil"/>
              <w:right w:val="nil"/>
            </w:tcBorders>
            <w:shd w:val="clear" w:color="auto" w:fill="auto"/>
            <w:noWrap/>
            <w:vAlign w:val="bottom"/>
            <w:hideMark/>
          </w:tcPr>
          <w:p w14:paraId="6449D897" w14:textId="323FCAAA"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14 971 645</w:t>
            </w:r>
          </w:p>
        </w:tc>
        <w:tc>
          <w:tcPr>
            <w:tcW w:w="1025" w:type="dxa"/>
            <w:tcBorders>
              <w:top w:val="nil"/>
              <w:left w:val="nil"/>
              <w:bottom w:val="nil"/>
              <w:right w:val="nil"/>
            </w:tcBorders>
            <w:shd w:val="clear" w:color="000000" w:fill="auto"/>
            <w:noWrap/>
            <w:vAlign w:val="bottom"/>
            <w:hideMark/>
          </w:tcPr>
          <w:p w14:paraId="0006FE03" w14:textId="660794E3" w:rsidR="00B504AA" w:rsidRPr="00BB4B6F" w:rsidRDefault="00B504AA" w:rsidP="00B504AA">
            <w:pPr>
              <w:spacing w:after="0" w:line="240" w:lineRule="auto"/>
              <w:jc w:val="right"/>
              <w:rPr>
                <w:sz w:val="18"/>
                <w:szCs w:val="18"/>
                <w:highlight w:val="yellow"/>
                <w:lang w:eastAsia="sk-SK"/>
              </w:rPr>
            </w:pPr>
            <w:r>
              <w:rPr>
                <w:sz w:val="18"/>
                <w:szCs w:val="18"/>
              </w:rPr>
              <w:t>15 883 851</w:t>
            </w:r>
          </w:p>
        </w:tc>
        <w:tc>
          <w:tcPr>
            <w:tcW w:w="980" w:type="dxa"/>
            <w:tcBorders>
              <w:top w:val="nil"/>
              <w:left w:val="nil"/>
              <w:bottom w:val="nil"/>
              <w:right w:val="nil"/>
            </w:tcBorders>
            <w:shd w:val="clear" w:color="auto" w:fill="auto"/>
            <w:noWrap/>
            <w:vAlign w:val="bottom"/>
            <w:hideMark/>
          </w:tcPr>
          <w:p w14:paraId="274B74CF" w14:textId="145DCD11"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15 241 053</w:t>
            </w:r>
          </w:p>
        </w:tc>
        <w:tc>
          <w:tcPr>
            <w:tcW w:w="1000" w:type="dxa"/>
            <w:tcBorders>
              <w:top w:val="nil"/>
              <w:left w:val="nil"/>
              <w:bottom w:val="nil"/>
              <w:right w:val="nil"/>
            </w:tcBorders>
            <w:shd w:val="clear" w:color="auto" w:fill="auto"/>
            <w:noWrap/>
            <w:vAlign w:val="bottom"/>
            <w:hideMark/>
          </w:tcPr>
          <w:p w14:paraId="14CCFA20" w14:textId="640010BA"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6,1</w:t>
            </w:r>
          </w:p>
        </w:tc>
      </w:tr>
      <w:tr w:rsidR="00B504AA" w:rsidRPr="00BB4B6F" w14:paraId="4BFA3BC7" w14:textId="77777777" w:rsidTr="00357146">
        <w:trPr>
          <w:trHeight w:val="300"/>
        </w:trPr>
        <w:tc>
          <w:tcPr>
            <w:tcW w:w="4101" w:type="dxa"/>
            <w:tcBorders>
              <w:top w:val="nil"/>
              <w:left w:val="nil"/>
              <w:bottom w:val="nil"/>
              <w:right w:val="nil"/>
            </w:tcBorders>
            <w:shd w:val="clear" w:color="auto" w:fill="auto"/>
            <w:noWrap/>
            <w:vAlign w:val="center"/>
            <w:hideMark/>
          </w:tcPr>
          <w:p w14:paraId="3BD04133"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Aktívne opatrenia trhu práce</w:t>
            </w:r>
          </w:p>
        </w:tc>
        <w:tc>
          <w:tcPr>
            <w:tcW w:w="1120" w:type="dxa"/>
            <w:tcBorders>
              <w:top w:val="nil"/>
              <w:left w:val="nil"/>
              <w:bottom w:val="nil"/>
              <w:right w:val="nil"/>
            </w:tcBorders>
            <w:shd w:val="clear" w:color="auto" w:fill="auto"/>
            <w:noWrap/>
            <w:vAlign w:val="bottom"/>
            <w:hideMark/>
          </w:tcPr>
          <w:p w14:paraId="3F621AC4" w14:textId="06063E21" w:rsidR="00B504AA" w:rsidRPr="00BB4B6F" w:rsidRDefault="00B504AA" w:rsidP="00B504AA">
            <w:pPr>
              <w:spacing w:after="0" w:line="240" w:lineRule="auto"/>
              <w:jc w:val="right"/>
              <w:rPr>
                <w:color w:val="000000"/>
                <w:sz w:val="18"/>
                <w:szCs w:val="18"/>
                <w:highlight w:val="yellow"/>
                <w:lang w:eastAsia="sk-SK"/>
              </w:rPr>
            </w:pPr>
            <w:r>
              <w:rPr>
                <w:sz w:val="18"/>
                <w:szCs w:val="18"/>
              </w:rPr>
              <w:t>47 042</w:t>
            </w:r>
          </w:p>
        </w:tc>
        <w:tc>
          <w:tcPr>
            <w:tcW w:w="1040" w:type="dxa"/>
            <w:tcBorders>
              <w:top w:val="nil"/>
              <w:left w:val="nil"/>
              <w:bottom w:val="nil"/>
              <w:right w:val="nil"/>
            </w:tcBorders>
            <w:shd w:val="clear" w:color="auto" w:fill="auto"/>
            <w:noWrap/>
            <w:vAlign w:val="bottom"/>
            <w:hideMark/>
          </w:tcPr>
          <w:p w14:paraId="31A9B7DB" w14:textId="2692D2D6" w:rsidR="00B504AA" w:rsidRPr="00BB4B6F" w:rsidRDefault="00B504AA" w:rsidP="00B504AA">
            <w:pPr>
              <w:spacing w:after="0" w:line="240" w:lineRule="auto"/>
              <w:jc w:val="right"/>
              <w:rPr>
                <w:sz w:val="18"/>
                <w:szCs w:val="18"/>
                <w:highlight w:val="yellow"/>
                <w:lang w:eastAsia="sk-SK"/>
              </w:rPr>
            </w:pPr>
            <w:r>
              <w:rPr>
                <w:sz w:val="18"/>
                <w:szCs w:val="18"/>
              </w:rPr>
              <w:t>40 367</w:t>
            </w:r>
          </w:p>
        </w:tc>
        <w:tc>
          <w:tcPr>
            <w:tcW w:w="1025" w:type="dxa"/>
            <w:tcBorders>
              <w:top w:val="nil"/>
              <w:left w:val="nil"/>
              <w:bottom w:val="nil"/>
              <w:right w:val="nil"/>
            </w:tcBorders>
            <w:shd w:val="clear" w:color="000000" w:fill="auto"/>
            <w:noWrap/>
            <w:vAlign w:val="bottom"/>
            <w:hideMark/>
          </w:tcPr>
          <w:p w14:paraId="56FF208D" w14:textId="001AB8A7" w:rsidR="00B504AA" w:rsidRPr="00BB4B6F" w:rsidRDefault="00B504AA" w:rsidP="00B504AA">
            <w:pPr>
              <w:spacing w:after="0" w:line="240" w:lineRule="auto"/>
              <w:jc w:val="right"/>
              <w:rPr>
                <w:sz w:val="18"/>
                <w:szCs w:val="18"/>
                <w:highlight w:val="yellow"/>
                <w:lang w:eastAsia="sk-SK"/>
              </w:rPr>
            </w:pPr>
            <w:r>
              <w:rPr>
                <w:sz w:val="18"/>
                <w:szCs w:val="18"/>
              </w:rPr>
              <w:t>60 981</w:t>
            </w:r>
          </w:p>
        </w:tc>
        <w:tc>
          <w:tcPr>
            <w:tcW w:w="980" w:type="dxa"/>
            <w:tcBorders>
              <w:top w:val="nil"/>
              <w:left w:val="nil"/>
              <w:bottom w:val="nil"/>
              <w:right w:val="nil"/>
            </w:tcBorders>
            <w:shd w:val="clear" w:color="auto" w:fill="auto"/>
            <w:noWrap/>
            <w:vAlign w:val="bottom"/>
            <w:hideMark/>
          </w:tcPr>
          <w:p w14:paraId="1490B2D1" w14:textId="27217388"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53 875</w:t>
            </w:r>
          </w:p>
        </w:tc>
        <w:tc>
          <w:tcPr>
            <w:tcW w:w="1000" w:type="dxa"/>
            <w:tcBorders>
              <w:top w:val="nil"/>
              <w:left w:val="nil"/>
              <w:bottom w:val="nil"/>
              <w:right w:val="nil"/>
            </w:tcBorders>
            <w:shd w:val="clear" w:color="auto" w:fill="auto"/>
            <w:noWrap/>
            <w:vAlign w:val="bottom"/>
            <w:hideMark/>
          </w:tcPr>
          <w:p w14:paraId="0E28BD7E" w14:textId="1B37D207"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51,1</w:t>
            </w:r>
          </w:p>
        </w:tc>
      </w:tr>
      <w:tr w:rsidR="00B504AA" w:rsidRPr="00BB4B6F" w14:paraId="01A7BE33" w14:textId="77777777" w:rsidTr="00357146">
        <w:trPr>
          <w:trHeight w:val="300"/>
        </w:trPr>
        <w:tc>
          <w:tcPr>
            <w:tcW w:w="4101" w:type="dxa"/>
            <w:tcBorders>
              <w:top w:val="nil"/>
              <w:left w:val="nil"/>
              <w:bottom w:val="nil"/>
              <w:right w:val="nil"/>
            </w:tcBorders>
            <w:shd w:val="clear" w:color="auto" w:fill="auto"/>
            <w:noWrap/>
            <w:vAlign w:val="center"/>
            <w:hideMark/>
          </w:tcPr>
          <w:p w14:paraId="59D41330"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Nemocenské dávky</w:t>
            </w:r>
          </w:p>
        </w:tc>
        <w:tc>
          <w:tcPr>
            <w:tcW w:w="1120" w:type="dxa"/>
            <w:tcBorders>
              <w:top w:val="nil"/>
              <w:left w:val="nil"/>
              <w:bottom w:val="nil"/>
              <w:right w:val="nil"/>
            </w:tcBorders>
            <w:shd w:val="clear" w:color="auto" w:fill="auto"/>
            <w:noWrap/>
            <w:vAlign w:val="bottom"/>
            <w:hideMark/>
          </w:tcPr>
          <w:p w14:paraId="37F106BC" w14:textId="41217D2C" w:rsidR="00B504AA" w:rsidRPr="00BB4B6F" w:rsidRDefault="00B504AA" w:rsidP="00B504AA">
            <w:pPr>
              <w:spacing w:after="0" w:line="240" w:lineRule="auto"/>
              <w:jc w:val="right"/>
              <w:rPr>
                <w:color w:val="000000"/>
                <w:sz w:val="18"/>
                <w:szCs w:val="18"/>
                <w:highlight w:val="yellow"/>
                <w:lang w:eastAsia="sk-SK"/>
              </w:rPr>
            </w:pPr>
            <w:r>
              <w:rPr>
                <w:sz w:val="18"/>
                <w:szCs w:val="18"/>
              </w:rPr>
              <w:t>1 052 199</w:t>
            </w:r>
          </w:p>
        </w:tc>
        <w:tc>
          <w:tcPr>
            <w:tcW w:w="1040" w:type="dxa"/>
            <w:tcBorders>
              <w:top w:val="nil"/>
              <w:left w:val="nil"/>
              <w:bottom w:val="nil"/>
              <w:right w:val="nil"/>
            </w:tcBorders>
            <w:shd w:val="clear" w:color="auto" w:fill="auto"/>
            <w:noWrap/>
            <w:vAlign w:val="bottom"/>
            <w:hideMark/>
          </w:tcPr>
          <w:p w14:paraId="349C1C29" w14:textId="72D8EADB" w:rsidR="00B504AA" w:rsidRPr="00BB4B6F" w:rsidRDefault="00B504AA" w:rsidP="00B504AA">
            <w:pPr>
              <w:spacing w:after="0" w:line="240" w:lineRule="auto"/>
              <w:jc w:val="right"/>
              <w:rPr>
                <w:sz w:val="18"/>
                <w:szCs w:val="18"/>
                <w:highlight w:val="yellow"/>
                <w:lang w:eastAsia="sk-SK"/>
              </w:rPr>
            </w:pPr>
            <w:r>
              <w:rPr>
                <w:sz w:val="18"/>
                <w:szCs w:val="18"/>
              </w:rPr>
              <w:t>1 131 284</w:t>
            </w:r>
          </w:p>
        </w:tc>
        <w:tc>
          <w:tcPr>
            <w:tcW w:w="1025" w:type="dxa"/>
            <w:tcBorders>
              <w:top w:val="nil"/>
              <w:left w:val="nil"/>
              <w:bottom w:val="nil"/>
              <w:right w:val="nil"/>
            </w:tcBorders>
            <w:shd w:val="clear" w:color="000000" w:fill="auto"/>
            <w:noWrap/>
            <w:vAlign w:val="bottom"/>
            <w:hideMark/>
          </w:tcPr>
          <w:p w14:paraId="63F11DC5" w14:textId="2F59AC6A" w:rsidR="00B504AA" w:rsidRPr="00BB4B6F" w:rsidRDefault="00B504AA" w:rsidP="00B504AA">
            <w:pPr>
              <w:spacing w:after="0" w:line="240" w:lineRule="auto"/>
              <w:jc w:val="right"/>
              <w:rPr>
                <w:sz w:val="18"/>
                <w:szCs w:val="18"/>
                <w:highlight w:val="yellow"/>
                <w:lang w:eastAsia="sk-SK"/>
              </w:rPr>
            </w:pPr>
            <w:r>
              <w:rPr>
                <w:sz w:val="18"/>
                <w:szCs w:val="18"/>
              </w:rPr>
              <w:t>1 034 378</w:t>
            </w:r>
          </w:p>
        </w:tc>
        <w:tc>
          <w:tcPr>
            <w:tcW w:w="980" w:type="dxa"/>
            <w:tcBorders>
              <w:top w:val="nil"/>
              <w:left w:val="nil"/>
              <w:bottom w:val="nil"/>
              <w:right w:val="nil"/>
            </w:tcBorders>
            <w:shd w:val="clear" w:color="auto" w:fill="auto"/>
            <w:noWrap/>
            <w:vAlign w:val="bottom"/>
            <w:hideMark/>
          </w:tcPr>
          <w:p w14:paraId="340FF658" w14:textId="6D1BA868"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1 069 908</w:t>
            </w:r>
          </w:p>
        </w:tc>
        <w:tc>
          <w:tcPr>
            <w:tcW w:w="1000" w:type="dxa"/>
            <w:tcBorders>
              <w:top w:val="nil"/>
              <w:left w:val="nil"/>
              <w:bottom w:val="nil"/>
              <w:right w:val="nil"/>
            </w:tcBorders>
            <w:shd w:val="clear" w:color="auto" w:fill="auto"/>
            <w:noWrap/>
            <w:vAlign w:val="bottom"/>
            <w:hideMark/>
          </w:tcPr>
          <w:p w14:paraId="636A5766" w14:textId="20468029"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-8,6</w:t>
            </w:r>
          </w:p>
        </w:tc>
      </w:tr>
      <w:tr w:rsidR="00B504AA" w:rsidRPr="00BB4B6F" w14:paraId="43D61AEC" w14:textId="77777777" w:rsidTr="00357146">
        <w:trPr>
          <w:trHeight w:val="300"/>
        </w:trPr>
        <w:tc>
          <w:tcPr>
            <w:tcW w:w="4101" w:type="dxa"/>
            <w:tcBorders>
              <w:top w:val="nil"/>
              <w:left w:val="nil"/>
              <w:bottom w:val="nil"/>
              <w:right w:val="nil"/>
            </w:tcBorders>
            <w:shd w:val="clear" w:color="auto" w:fill="auto"/>
            <w:noWrap/>
            <w:vAlign w:val="center"/>
            <w:hideMark/>
          </w:tcPr>
          <w:p w14:paraId="1B384B59"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Dôchodkové dávky zo </w:t>
            </w:r>
            <w:proofErr w:type="spellStart"/>
            <w:r w:rsidRPr="00B504AA">
              <w:rPr>
                <w:i/>
                <w:iCs/>
                <w:color w:val="000000"/>
                <w:sz w:val="18"/>
                <w:szCs w:val="18"/>
                <w:lang w:eastAsia="sk-SK"/>
              </w:rPr>
              <w:t>starob</w:t>
            </w:r>
            <w:proofErr w:type="spellEnd"/>
            <w:r w:rsidRPr="00B504AA">
              <w:rPr>
                <w:i/>
                <w:iCs/>
                <w:color w:val="000000"/>
                <w:sz w:val="18"/>
                <w:szCs w:val="18"/>
                <w:lang w:eastAsia="sk-SK"/>
              </w:rPr>
              <w:t xml:space="preserve">. a </w:t>
            </w:r>
            <w:proofErr w:type="spellStart"/>
            <w:r w:rsidRPr="00B504AA">
              <w:rPr>
                <w:i/>
                <w:iCs/>
                <w:color w:val="000000"/>
                <w:sz w:val="18"/>
                <w:szCs w:val="18"/>
                <w:lang w:eastAsia="sk-SK"/>
              </w:rPr>
              <w:t>inv</w:t>
            </w:r>
            <w:proofErr w:type="spellEnd"/>
            <w:r w:rsidRPr="00B504AA">
              <w:rPr>
                <w:i/>
                <w:iCs/>
                <w:color w:val="000000"/>
                <w:sz w:val="18"/>
                <w:szCs w:val="18"/>
                <w:lang w:eastAsia="sk-SK"/>
              </w:rPr>
              <w:t>. poistenia</w:t>
            </w:r>
          </w:p>
        </w:tc>
        <w:tc>
          <w:tcPr>
            <w:tcW w:w="1120" w:type="dxa"/>
            <w:tcBorders>
              <w:top w:val="nil"/>
              <w:left w:val="nil"/>
              <w:bottom w:val="nil"/>
              <w:right w:val="nil"/>
            </w:tcBorders>
            <w:shd w:val="clear" w:color="auto" w:fill="auto"/>
            <w:noWrap/>
            <w:vAlign w:val="bottom"/>
            <w:hideMark/>
          </w:tcPr>
          <w:p w14:paraId="59AF5E3D" w14:textId="24507E7C"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8 162 258</w:t>
            </w:r>
          </w:p>
        </w:tc>
        <w:tc>
          <w:tcPr>
            <w:tcW w:w="1040" w:type="dxa"/>
            <w:tcBorders>
              <w:top w:val="nil"/>
              <w:left w:val="nil"/>
              <w:bottom w:val="nil"/>
              <w:right w:val="nil"/>
            </w:tcBorders>
            <w:shd w:val="clear" w:color="auto" w:fill="auto"/>
            <w:noWrap/>
            <w:vAlign w:val="bottom"/>
            <w:hideMark/>
          </w:tcPr>
          <w:p w14:paraId="37BF2563" w14:textId="0C755BB5" w:rsidR="00B504AA" w:rsidRPr="00BB4B6F" w:rsidRDefault="00B504AA" w:rsidP="00B504AA">
            <w:pPr>
              <w:spacing w:after="0" w:line="240" w:lineRule="auto"/>
              <w:jc w:val="right"/>
              <w:rPr>
                <w:color w:val="000000"/>
                <w:sz w:val="18"/>
                <w:szCs w:val="18"/>
                <w:highlight w:val="yellow"/>
                <w:lang w:eastAsia="sk-SK"/>
              </w:rPr>
            </w:pPr>
            <w:r>
              <w:rPr>
                <w:sz w:val="18"/>
                <w:szCs w:val="18"/>
              </w:rPr>
              <w:t>8 465 028</w:t>
            </w:r>
          </w:p>
        </w:tc>
        <w:tc>
          <w:tcPr>
            <w:tcW w:w="1025" w:type="dxa"/>
            <w:tcBorders>
              <w:top w:val="nil"/>
              <w:left w:val="nil"/>
              <w:bottom w:val="nil"/>
              <w:right w:val="nil"/>
            </w:tcBorders>
            <w:shd w:val="clear" w:color="000000" w:fill="auto"/>
            <w:noWrap/>
            <w:vAlign w:val="bottom"/>
            <w:hideMark/>
          </w:tcPr>
          <w:p w14:paraId="3B0A133E" w14:textId="35CAC53B" w:rsidR="00B504AA" w:rsidRPr="00BB4B6F" w:rsidRDefault="00B504AA" w:rsidP="00B504AA">
            <w:pPr>
              <w:spacing w:after="0" w:line="240" w:lineRule="auto"/>
              <w:jc w:val="right"/>
              <w:rPr>
                <w:sz w:val="18"/>
                <w:szCs w:val="18"/>
                <w:highlight w:val="yellow"/>
                <w:lang w:eastAsia="sk-SK"/>
              </w:rPr>
            </w:pPr>
            <w:r>
              <w:rPr>
                <w:sz w:val="18"/>
                <w:szCs w:val="18"/>
              </w:rPr>
              <w:t>8 750 582</w:t>
            </w:r>
          </w:p>
        </w:tc>
        <w:tc>
          <w:tcPr>
            <w:tcW w:w="980" w:type="dxa"/>
            <w:tcBorders>
              <w:top w:val="nil"/>
              <w:left w:val="nil"/>
              <w:bottom w:val="nil"/>
              <w:right w:val="nil"/>
            </w:tcBorders>
            <w:shd w:val="clear" w:color="auto" w:fill="auto"/>
            <w:noWrap/>
            <w:vAlign w:val="bottom"/>
            <w:hideMark/>
          </w:tcPr>
          <w:p w14:paraId="0C9107EB" w14:textId="15E41D98"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8 727 727</w:t>
            </w:r>
          </w:p>
        </w:tc>
        <w:tc>
          <w:tcPr>
            <w:tcW w:w="1000" w:type="dxa"/>
            <w:tcBorders>
              <w:top w:val="nil"/>
              <w:left w:val="nil"/>
              <w:bottom w:val="nil"/>
              <w:right w:val="nil"/>
            </w:tcBorders>
            <w:shd w:val="clear" w:color="auto" w:fill="auto"/>
            <w:noWrap/>
            <w:vAlign w:val="bottom"/>
            <w:hideMark/>
          </w:tcPr>
          <w:p w14:paraId="32E98668" w14:textId="7A201903"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3,4</w:t>
            </w:r>
          </w:p>
        </w:tc>
      </w:tr>
      <w:tr w:rsidR="00B504AA" w:rsidRPr="00BB4B6F" w14:paraId="35F05B38" w14:textId="77777777" w:rsidTr="00357146">
        <w:trPr>
          <w:trHeight w:val="300"/>
        </w:trPr>
        <w:tc>
          <w:tcPr>
            <w:tcW w:w="4101" w:type="dxa"/>
            <w:tcBorders>
              <w:top w:val="nil"/>
              <w:left w:val="nil"/>
              <w:bottom w:val="nil"/>
              <w:right w:val="nil"/>
            </w:tcBorders>
            <w:shd w:val="clear" w:color="auto" w:fill="auto"/>
            <w:noWrap/>
            <w:vAlign w:val="center"/>
            <w:hideMark/>
          </w:tcPr>
          <w:p w14:paraId="07D3B318"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Dávky v nezamestnanosti</w:t>
            </w:r>
          </w:p>
        </w:tc>
        <w:tc>
          <w:tcPr>
            <w:tcW w:w="1120" w:type="dxa"/>
            <w:tcBorders>
              <w:top w:val="nil"/>
              <w:left w:val="nil"/>
              <w:bottom w:val="nil"/>
              <w:right w:val="nil"/>
            </w:tcBorders>
            <w:shd w:val="clear" w:color="auto" w:fill="auto"/>
            <w:noWrap/>
            <w:vAlign w:val="bottom"/>
            <w:hideMark/>
          </w:tcPr>
          <w:p w14:paraId="5F8A4DA6" w14:textId="27A1DA6E"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329 212</w:t>
            </w:r>
          </w:p>
        </w:tc>
        <w:tc>
          <w:tcPr>
            <w:tcW w:w="1040" w:type="dxa"/>
            <w:tcBorders>
              <w:top w:val="nil"/>
              <w:left w:val="nil"/>
              <w:bottom w:val="nil"/>
              <w:right w:val="nil"/>
            </w:tcBorders>
            <w:shd w:val="clear" w:color="auto" w:fill="auto"/>
            <w:noWrap/>
            <w:vAlign w:val="bottom"/>
            <w:hideMark/>
          </w:tcPr>
          <w:p w14:paraId="57D1C068" w14:textId="0F300F67" w:rsidR="00B504AA" w:rsidRPr="00BB4B6F" w:rsidRDefault="00B504AA" w:rsidP="00B504AA">
            <w:pPr>
              <w:spacing w:after="0" w:line="240" w:lineRule="auto"/>
              <w:jc w:val="right"/>
              <w:rPr>
                <w:color w:val="000000"/>
                <w:sz w:val="18"/>
                <w:szCs w:val="18"/>
                <w:highlight w:val="yellow"/>
                <w:lang w:eastAsia="sk-SK"/>
              </w:rPr>
            </w:pPr>
            <w:r>
              <w:rPr>
                <w:sz w:val="18"/>
                <w:szCs w:val="18"/>
              </w:rPr>
              <w:t>289 840</w:t>
            </w:r>
          </w:p>
        </w:tc>
        <w:tc>
          <w:tcPr>
            <w:tcW w:w="1025" w:type="dxa"/>
            <w:tcBorders>
              <w:top w:val="nil"/>
              <w:left w:val="nil"/>
              <w:bottom w:val="nil"/>
              <w:right w:val="nil"/>
            </w:tcBorders>
            <w:shd w:val="clear" w:color="000000" w:fill="auto"/>
            <w:noWrap/>
            <w:vAlign w:val="bottom"/>
            <w:hideMark/>
          </w:tcPr>
          <w:p w14:paraId="24CF2D39" w14:textId="39147171" w:rsidR="00B504AA" w:rsidRPr="00BB4B6F" w:rsidRDefault="00B504AA" w:rsidP="00B504AA">
            <w:pPr>
              <w:spacing w:after="0" w:line="240" w:lineRule="auto"/>
              <w:jc w:val="right"/>
              <w:rPr>
                <w:sz w:val="18"/>
                <w:szCs w:val="18"/>
                <w:highlight w:val="yellow"/>
                <w:lang w:eastAsia="sk-SK"/>
              </w:rPr>
            </w:pPr>
            <w:r>
              <w:rPr>
                <w:sz w:val="18"/>
                <w:szCs w:val="18"/>
              </w:rPr>
              <w:t>239 211</w:t>
            </w:r>
          </w:p>
        </w:tc>
        <w:tc>
          <w:tcPr>
            <w:tcW w:w="980" w:type="dxa"/>
            <w:tcBorders>
              <w:top w:val="nil"/>
              <w:left w:val="nil"/>
              <w:bottom w:val="nil"/>
              <w:right w:val="nil"/>
            </w:tcBorders>
            <w:shd w:val="clear" w:color="auto" w:fill="auto"/>
            <w:noWrap/>
            <w:vAlign w:val="bottom"/>
            <w:hideMark/>
          </w:tcPr>
          <w:p w14:paraId="3B06BC93" w14:textId="19B42BC9"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287 665</w:t>
            </w:r>
          </w:p>
        </w:tc>
        <w:tc>
          <w:tcPr>
            <w:tcW w:w="1000" w:type="dxa"/>
            <w:tcBorders>
              <w:top w:val="nil"/>
              <w:left w:val="nil"/>
              <w:bottom w:val="nil"/>
              <w:right w:val="nil"/>
            </w:tcBorders>
            <w:shd w:val="clear" w:color="auto" w:fill="auto"/>
            <w:noWrap/>
            <w:vAlign w:val="bottom"/>
            <w:hideMark/>
          </w:tcPr>
          <w:p w14:paraId="0C7D1737" w14:textId="1D9E74D6"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-17,5</w:t>
            </w:r>
          </w:p>
        </w:tc>
      </w:tr>
      <w:tr w:rsidR="00B504AA" w:rsidRPr="00BB4B6F" w14:paraId="28CE9FDB" w14:textId="77777777" w:rsidTr="00357146">
        <w:trPr>
          <w:trHeight w:val="300"/>
        </w:trPr>
        <w:tc>
          <w:tcPr>
            <w:tcW w:w="4101" w:type="dxa"/>
            <w:tcBorders>
              <w:top w:val="nil"/>
              <w:left w:val="nil"/>
              <w:bottom w:val="nil"/>
              <w:right w:val="nil"/>
            </w:tcBorders>
            <w:shd w:val="clear" w:color="auto" w:fill="auto"/>
            <w:noWrap/>
            <w:vAlign w:val="center"/>
            <w:hideMark/>
          </w:tcPr>
          <w:p w14:paraId="60E83CB2"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Štátne sociálne dávky a podpora</w:t>
            </w:r>
          </w:p>
        </w:tc>
        <w:tc>
          <w:tcPr>
            <w:tcW w:w="1120" w:type="dxa"/>
            <w:tcBorders>
              <w:top w:val="nil"/>
              <w:left w:val="nil"/>
              <w:bottom w:val="nil"/>
              <w:right w:val="nil"/>
            </w:tcBorders>
            <w:shd w:val="clear" w:color="auto" w:fill="auto"/>
            <w:noWrap/>
            <w:vAlign w:val="bottom"/>
            <w:hideMark/>
          </w:tcPr>
          <w:p w14:paraId="486D7233" w14:textId="68F73743"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2 571 672</w:t>
            </w:r>
          </w:p>
        </w:tc>
        <w:tc>
          <w:tcPr>
            <w:tcW w:w="1040" w:type="dxa"/>
            <w:tcBorders>
              <w:top w:val="nil"/>
              <w:left w:val="nil"/>
              <w:bottom w:val="nil"/>
              <w:right w:val="nil"/>
            </w:tcBorders>
            <w:shd w:val="clear" w:color="auto" w:fill="auto"/>
            <w:noWrap/>
            <w:vAlign w:val="bottom"/>
            <w:hideMark/>
          </w:tcPr>
          <w:p w14:paraId="29C2D9D5" w14:textId="53F69F93" w:rsidR="00B504AA" w:rsidRPr="00BB4B6F" w:rsidRDefault="00B504AA" w:rsidP="00B504AA">
            <w:pPr>
              <w:spacing w:after="0" w:line="240" w:lineRule="auto"/>
              <w:jc w:val="right"/>
              <w:rPr>
                <w:color w:val="000000"/>
                <w:sz w:val="18"/>
                <w:szCs w:val="18"/>
                <w:highlight w:val="yellow"/>
                <w:lang w:eastAsia="sk-SK"/>
              </w:rPr>
            </w:pPr>
            <w:r>
              <w:rPr>
                <w:sz w:val="18"/>
                <w:szCs w:val="18"/>
              </w:rPr>
              <w:t>3 350 586</w:t>
            </w:r>
          </w:p>
        </w:tc>
        <w:tc>
          <w:tcPr>
            <w:tcW w:w="1025" w:type="dxa"/>
            <w:tcBorders>
              <w:top w:val="nil"/>
              <w:left w:val="nil"/>
              <w:bottom w:val="nil"/>
              <w:right w:val="nil"/>
            </w:tcBorders>
            <w:shd w:val="clear" w:color="000000" w:fill="auto"/>
            <w:noWrap/>
            <w:vAlign w:val="bottom"/>
            <w:hideMark/>
          </w:tcPr>
          <w:p w14:paraId="332B88E9" w14:textId="45057201" w:rsidR="00B504AA" w:rsidRPr="00BB4B6F" w:rsidRDefault="00B504AA" w:rsidP="00B504AA">
            <w:pPr>
              <w:spacing w:after="0" w:line="240" w:lineRule="auto"/>
              <w:jc w:val="right"/>
              <w:rPr>
                <w:sz w:val="18"/>
                <w:szCs w:val="18"/>
                <w:highlight w:val="yellow"/>
                <w:lang w:eastAsia="sk-SK"/>
              </w:rPr>
            </w:pPr>
            <w:r>
              <w:rPr>
                <w:sz w:val="18"/>
                <w:szCs w:val="18"/>
              </w:rPr>
              <w:t>2 751 097</w:t>
            </w:r>
          </w:p>
        </w:tc>
        <w:tc>
          <w:tcPr>
            <w:tcW w:w="980" w:type="dxa"/>
            <w:tcBorders>
              <w:top w:val="nil"/>
              <w:left w:val="nil"/>
              <w:bottom w:val="nil"/>
              <w:right w:val="nil"/>
            </w:tcBorders>
            <w:shd w:val="clear" w:color="auto" w:fill="auto"/>
            <w:noWrap/>
            <w:vAlign w:val="bottom"/>
            <w:hideMark/>
          </w:tcPr>
          <w:p w14:paraId="283025E4" w14:textId="24127DF9"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2 414 641</w:t>
            </w:r>
          </w:p>
        </w:tc>
        <w:tc>
          <w:tcPr>
            <w:tcW w:w="1000" w:type="dxa"/>
            <w:tcBorders>
              <w:top w:val="nil"/>
              <w:left w:val="nil"/>
              <w:bottom w:val="nil"/>
              <w:right w:val="nil"/>
            </w:tcBorders>
            <w:shd w:val="clear" w:color="auto" w:fill="auto"/>
            <w:noWrap/>
            <w:vAlign w:val="bottom"/>
            <w:hideMark/>
          </w:tcPr>
          <w:p w14:paraId="5A2A6E19" w14:textId="29E7A175"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-17,9</w:t>
            </w:r>
          </w:p>
        </w:tc>
      </w:tr>
      <w:tr w:rsidR="00B504AA" w:rsidRPr="00BB4B6F" w14:paraId="7D6C03CA" w14:textId="77777777" w:rsidTr="00357146">
        <w:trPr>
          <w:trHeight w:val="300"/>
        </w:trPr>
        <w:tc>
          <w:tcPr>
            <w:tcW w:w="4101" w:type="dxa"/>
            <w:tcBorders>
              <w:top w:val="nil"/>
              <w:left w:val="nil"/>
              <w:bottom w:val="nil"/>
              <w:right w:val="nil"/>
            </w:tcBorders>
            <w:shd w:val="clear" w:color="auto" w:fill="auto"/>
            <w:noWrap/>
            <w:vAlign w:val="center"/>
            <w:hideMark/>
          </w:tcPr>
          <w:p w14:paraId="19D7682E"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na prídavok na dieťa</w:t>
            </w:r>
          </w:p>
        </w:tc>
        <w:tc>
          <w:tcPr>
            <w:tcW w:w="1120" w:type="dxa"/>
            <w:tcBorders>
              <w:top w:val="nil"/>
              <w:left w:val="nil"/>
              <w:bottom w:val="nil"/>
              <w:right w:val="nil"/>
            </w:tcBorders>
            <w:shd w:val="clear" w:color="auto" w:fill="auto"/>
            <w:noWrap/>
            <w:vAlign w:val="bottom"/>
            <w:hideMark/>
          </w:tcPr>
          <w:p w14:paraId="77C47B75" w14:textId="7B53B3B6"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332 116</w:t>
            </w:r>
          </w:p>
        </w:tc>
        <w:tc>
          <w:tcPr>
            <w:tcW w:w="1040" w:type="dxa"/>
            <w:tcBorders>
              <w:top w:val="nil"/>
              <w:left w:val="nil"/>
              <w:bottom w:val="nil"/>
              <w:right w:val="nil"/>
            </w:tcBorders>
            <w:shd w:val="clear" w:color="auto" w:fill="auto"/>
            <w:noWrap/>
            <w:vAlign w:val="bottom"/>
            <w:hideMark/>
          </w:tcPr>
          <w:p w14:paraId="47C13409" w14:textId="20814E97" w:rsidR="00B504AA" w:rsidRPr="00BB4B6F" w:rsidRDefault="00B504AA" w:rsidP="00B504AA">
            <w:pPr>
              <w:spacing w:after="0" w:line="240" w:lineRule="auto"/>
              <w:jc w:val="right"/>
              <w:rPr>
                <w:color w:val="000000"/>
                <w:sz w:val="18"/>
                <w:szCs w:val="18"/>
                <w:highlight w:val="yellow"/>
                <w:lang w:eastAsia="sk-SK"/>
              </w:rPr>
            </w:pPr>
            <w:r>
              <w:rPr>
                <w:sz w:val="18"/>
                <w:szCs w:val="18"/>
              </w:rPr>
              <w:t>343 222</w:t>
            </w:r>
          </w:p>
        </w:tc>
        <w:tc>
          <w:tcPr>
            <w:tcW w:w="1025" w:type="dxa"/>
            <w:tcBorders>
              <w:top w:val="nil"/>
              <w:left w:val="nil"/>
              <w:bottom w:val="nil"/>
              <w:right w:val="nil"/>
            </w:tcBorders>
            <w:shd w:val="clear" w:color="000000" w:fill="auto"/>
            <w:noWrap/>
            <w:vAlign w:val="bottom"/>
            <w:hideMark/>
          </w:tcPr>
          <w:p w14:paraId="59F612E9" w14:textId="64D3A16B" w:rsidR="00B504AA" w:rsidRPr="00BB4B6F" w:rsidRDefault="00B504AA" w:rsidP="00B504AA">
            <w:pPr>
              <w:spacing w:after="0" w:line="240" w:lineRule="auto"/>
              <w:jc w:val="right"/>
              <w:rPr>
                <w:sz w:val="18"/>
                <w:szCs w:val="18"/>
                <w:highlight w:val="yellow"/>
                <w:lang w:eastAsia="sk-SK"/>
              </w:rPr>
            </w:pPr>
            <w:r>
              <w:rPr>
                <w:sz w:val="18"/>
                <w:szCs w:val="18"/>
              </w:rPr>
              <w:t>372 588</w:t>
            </w:r>
          </w:p>
        </w:tc>
        <w:tc>
          <w:tcPr>
            <w:tcW w:w="980" w:type="dxa"/>
            <w:tcBorders>
              <w:top w:val="nil"/>
              <w:left w:val="nil"/>
              <w:bottom w:val="nil"/>
              <w:right w:val="nil"/>
            </w:tcBorders>
            <w:shd w:val="clear" w:color="auto" w:fill="auto"/>
            <w:noWrap/>
            <w:vAlign w:val="bottom"/>
            <w:hideMark/>
          </w:tcPr>
          <w:p w14:paraId="50406616" w14:textId="47A29EFC"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349 139</w:t>
            </w:r>
          </w:p>
        </w:tc>
        <w:tc>
          <w:tcPr>
            <w:tcW w:w="1000" w:type="dxa"/>
            <w:tcBorders>
              <w:top w:val="nil"/>
              <w:left w:val="nil"/>
              <w:bottom w:val="nil"/>
              <w:right w:val="nil"/>
            </w:tcBorders>
            <w:shd w:val="clear" w:color="auto" w:fill="auto"/>
            <w:noWrap/>
            <w:vAlign w:val="bottom"/>
            <w:hideMark/>
          </w:tcPr>
          <w:p w14:paraId="519933FB" w14:textId="2E82A5C0"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8,6</w:t>
            </w:r>
          </w:p>
        </w:tc>
      </w:tr>
      <w:tr w:rsidR="00B504AA" w:rsidRPr="00BB4B6F" w14:paraId="4C4D23E2" w14:textId="77777777" w:rsidTr="00357146">
        <w:trPr>
          <w:trHeight w:val="300"/>
        </w:trPr>
        <w:tc>
          <w:tcPr>
            <w:tcW w:w="4101" w:type="dxa"/>
            <w:tcBorders>
              <w:top w:val="nil"/>
              <w:left w:val="nil"/>
              <w:bottom w:val="nil"/>
              <w:right w:val="nil"/>
            </w:tcBorders>
            <w:shd w:val="clear" w:color="auto" w:fill="auto"/>
            <w:noWrap/>
            <w:vAlign w:val="center"/>
            <w:hideMark/>
          </w:tcPr>
          <w:p w14:paraId="33DA53E5"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pri narodení dieťaťa a </w:t>
            </w:r>
            <w:proofErr w:type="spellStart"/>
            <w:r w:rsidRPr="00B504AA">
              <w:rPr>
                <w:i/>
                <w:iCs/>
                <w:color w:val="000000"/>
                <w:sz w:val="18"/>
                <w:szCs w:val="18"/>
                <w:lang w:eastAsia="sk-SK"/>
              </w:rPr>
              <w:t>prísp</w:t>
            </w:r>
            <w:proofErr w:type="spellEnd"/>
            <w:r w:rsidRPr="00B504AA">
              <w:rPr>
                <w:i/>
                <w:iCs/>
                <w:color w:val="000000"/>
                <w:sz w:val="18"/>
                <w:szCs w:val="18"/>
                <w:lang w:eastAsia="sk-SK"/>
              </w:rPr>
              <w:t>. rodičom</w:t>
            </w:r>
          </w:p>
        </w:tc>
        <w:tc>
          <w:tcPr>
            <w:tcW w:w="1120" w:type="dxa"/>
            <w:tcBorders>
              <w:top w:val="nil"/>
              <w:left w:val="nil"/>
              <w:bottom w:val="nil"/>
              <w:right w:val="nil"/>
            </w:tcBorders>
            <w:shd w:val="clear" w:color="auto" w:fill="auto"/>
            <w:noWrap/>
            <w:vAlign w:val="bottom"/>
            <w:hideMark/>
          </w:tcPr>
          <w:p w14:paraId="59D1473D" w14:textId="39A86962"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42 916</w:t>
            </w:r>
          </w:p>
        </w:tc>
        <w:tc>
          <w:tcPr>
            <w:tcW w:w="1040" w:type="dxa"/>
            <w:tcBorders>
              <w:top w:val="nil"/>
              <w:left w:val="nil"/>
              <w:bottom w:val="nil"/>
              <w:right w:val="nil"/>
            </w:tcBorders>
            <w:shd w:val="clear" w:color="auto" w:fill="auto"/>
            <w:noWrap/>
            <w:vAlign w:val="bottom"/>
            <w:hideMark/>
          </w:tcPr>
          <w:p w14:paraId="4CA6E133" w14:textId="7A5F6BCD" w:rsidR="00B504AA" w:rsidRPr="00BB4B6F" w:rsidRDefault="00B504AA" w:rsidP="00B504AA">
            <w:pPr>
              <w:spacing w:after="0" w:line="240" w:lineRule="auto"/>
              <w:jc w:val="right"/>
              <w:rPr>
                <w:color w:val="000000"/>
                <w:sz w:val="18"/>
                <w:szCs w:val="18"/>
                <w:highlight w:val="yellow"/>
                <w:lang w:eastAsia="sk-SK"/>
              </w:rPr>
            </w:pPr>
            <w:r>
              <w:rPr>
                <w:sz w:val="18"/>
                <w:szCs w:val="18"/>
              </w:rPr>
              <w:t>42 548</w:t>
            </w:r>
          </w:p>
        </w:tc>
        <w:tc>
          <w:tcPr>
            <w:tcW w:w="1025" w:type="dxa"/>
            <w:tcBorders>
              <w:top w:val="nil"/>
              <w:left w:val="nil"/>
              <w:bottom w:val="nil"/>
              <w:right w:val="nil"/>
            </w:tcBorders>
            <w:shd w:val="clear" w:color="000000" w:fill="auto"/>
            <w:noWrap/>
            <w:vAlign w:val="bottom"/>
            <w:hideMark/>
          </w:tcPr>
          <w:p w14:paraId="391A4CE6" w14:textId="505FDAE8" w:rsidR="00B504AA" w:rsidRPr="00BB4B6F" w:rsidRDefault="00B504AA" w:rsidP="00B504AA">
            <w:pPr>
              <w:spacing w:after="0" w:line="240" w:lineRule="auto"/>
              <w:jc w:val="right"/>
              <w:rPr>
                <w:sz w:val="18"/>
                <w:szCs w:val="18"/>
                <w:highlight w:val="yellow"/>
                <w:lang w:eastAsia="sk-SK"/>
              </w:rPr>
            </w:pPr>
            <w:r>
              <w:rPr>
                <w:sz w:val="18"/>
                <w:szCs w:val="18"/>
              </w:rPr>
              <w:t>44 053</w:t>
            </w:r>
          </w:p>
        </w:tc>
        <w:tc>
          <w:tcPr>
            <w:tcW w:w="980" w:type="dxa"/>
            <w:tcBorders>
              <w:top w:val="nil"/>
              <w:left w:val="nil"/>
              <w:bottom w:val="nil"/>
              <w:right w:val="nil"/>
            </w:tcBorders>
            <w:shd w:val="clear" w:color="auto" w:fill="auto"/>
            <w:noWrap/>
            <w:vAlign w:val="bottom"/>
            <w:hideMark/>
          </w:tcPr>
          <w:p w14:paraId="4104F88F" w14:textId="11C9A9A7"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43 955</w:t>
            </w:r>
          </w:p>
        </w:tc>
        <w:tc>
          <w:tcPr>
            <w:tcW w:w="1000" w:type="dxa"/>
            <w:tcBorders>
              <w:top w:val="nil"/>
              <w:left w:val="nil"/>
              <w:bottom w:val="nil"/>
              <w:right w:val="nil"/>
            </w:tcBorders>
            <w:shd w:val="clear" w:color="auto" w:fill="auto"/>
            <w:noWrap/>
            <w:vAlign w:val="bottom"/>
            <w:hideMark/>
          </w:tcPr>
          <w:p w14:paraId="76C05A17" w14:textId="02E4EFF4"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3,5</w:t>
            </w:r>
          </w:p>
        </w:tc>
      </w:tr>
      <w:tr w:rsidR="00B504AA" w:rsidRPr="00BB4B6F" w14:paraId="6BA8C599" w14:textId="77777777" w:rsidTr="00357146">
        <w:trPr>
          <w:trHeight w:val="300"/>
        </w:trPr>
        <w:tc>
          <w:tcPr>
            <w:tcW w:w="4101" w:type="dxa"/>
            <w:tcBorders>
              <w:top w:val="nil"/>
              <w:left w:val="nil"/>
              <w:bottom w:val="nil"/>
              <w:right w:val="nil"/>
            </w:tcBorders>
            <w:shd w:val="clear" w:color="auto" w:fill="auto"/>
            <w:noWrap/>
            <w:vAlign w:val="center"/>
            <w:hideMark/>
          </w:tcPr>
          <w:p w14:paraId="466674EF"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na rodičovský príspevok</w:t>
            </w:r>
          </w:p>
        </w:tc>
        <w:tc>
          <w:tcPr>
            <w:tcW w:w="1120" w:type="dxa"/>
            <w:tcBorders>
              <w:top w:val="nil"/>
              <w:left w:val="nil"/>
              <w:bottom w:val="nil"/>
              <w:right w:val="nil"/>
            </w:tcBorders>
            <w:shd w:val="clear" w:color="auto" w:fill="auto"/>
            <w:noWrap/>
            <w:vAlign w:val="bottom"/>
            <w:hideMark/>
          </w:tcPr>
          <w:p w14:paraId="63A0DAE0" w14:textId="64BAF42A"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581 639</w:t>
            </w:r>
          </w:p>
        </w:tc>
        <w:tc>
          <w:tcPr>
            <w:tcW w:w="1040" w:type="dxa"/>
            <w:tcBorders>
              <w:top w:val="nil"/>
              <w:left w:val="nil"/>
              <w:bottom w:val="nil"/>
              <w:right w:val="nil"/>
            </w:tcBorders>
            <w:shd w:val="clear" w:color="auto" w:fill="auto"/>
            <w:noWrap/>
            <w:vAlign w:val="bottom"/>
            <w:hideMark/>
          </w:tcPr>
          <w:p w14:paraId="2CF9AC5A" w14:textId="76D8A785" w:rsidR="00B504AA" w:rsidRPr="00BB4B6F" w:rsidRDefault="00B504AA" w:rsidP="00B504AA">
            <w:pPr>
              <w:spacing w:after="0" w:line="240" w:lineRule="auto"/>
              <w:jc w:val="right"/>
              <w:rPr>
                <w:color w:val="000000"/>
                <w:sz w:val="18"/>
                <w:szCs w:val="18"/>
                <w:highlight w:val="yellow"/>
                <w:lang w:eastAsia="sk-SK"/>
              </w:rPr>
            </w:pPr>
            <w:r>
              <w:rPr>
                <w:sz w:val="18"/>
                <w:szCs w:val="18"/>
              </w:rPr>
              <w:t>649 854</w:t>
            </w:r>
          </w:p>
        </w:tc>
        <w:tc>
          <w:tcPr>
            <w:tcW w:w="1025" w:type="dxa"/>
            <w:tcBorders>
              <w:top w:val="nil"/>
              <w:left w:val="nil"/>
              <w:bottom w:val="nil"/>
              <w:right w:val="nil"/>
            </w:tcBorders>
            <w:shd w:val="clear" w:color="000000" w:fill="auto"/>
            <w:noWrap/>
            <w:vAlign w:val="bottom"/>
            <w:hideMark/>
          </w:tcPr>
          <w:p w14:paraId="0155BE88" w14:textId="32227F7C" w:rsidR="00B504AA" w:rsidRPr="00BB4B6F" w:rsidRDefault="00B504AA" w:rsidP="00B504AA">
            <w:pPr>
              <w:spacing w:after="0" w:line="240" w:lineRule="auto"/>
              <w:jc w:val="right"/>
              <w:rPr>
                <w:sz w:val="18"/>
                <w:szCs w:val="18"/>
                <w:highlight w:val="yellow"/>
                <w:lang w:eastAsia="sk-SK"/>
              </w:rPr>
            </w:pPr>
            <w:r>
              <w:rPr>
                <w:sz w:val="18"/>
                <w:szCs w:val="18"/>
              </w:rPr>
              <w:t>605 724</w:t>
            </w:r>
          </w:p>
        </w:tc>
        <w:tc>
          <w:tcPr>
            <w:tcW w:w="980" w:type="dxa"/>
            <w:tcBorders>
              <w:top w:val="nil"/>
              <w:left w:val="nil"/>
              <w:bottom w:val="nil"/>
              <w:right w:val="nil"/>
            </w:tcBorders>
            <w:shd w:val="clear" w:color="auto" w:fill="auto"/>
            <w:noWrap/>
            <w:vAlign w:val="bottom"/>
            <w:hideMark/>
          </w:tcPr>
          <w:p w14:paraId="517B25F8" w14:textId="325CAA74"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617 885</w:t>
            </w:r>
          </w:p>
        </w:tc>
        <w:tc>
          <w:tcPr>
            <w:tcW w:w="1000" w:type="dxa"/>
            <w:tcBorders>
              <w:top w:val="nil"/>
              <w:left w:val="nil"/>
              <w:bottom w:val="nil"/>
              <w:right w:val="nil"/>
            </w:tcBorders>
            <w:shd w:val="clear" w:color="auto" w:fill="auto"/>
            <w:noWrap/>
            <w:vAlign w:val="bottom"/>
            <w:hideMark/>
          </w:tcPr>
          <w:p w14:paraId="7C6C8EA2" w14:textId="3A2DEF23"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-6,8</w:t>
            </w:r>
          </w:p>
        </w:tc>
      </w:tr>
      <w:tr w:rsidR="00B504AA" w:rsidRPr="00BB4B6F" w14:paraId="0866F7D8" w14:textId="77777777" w:rsidTr="00357146">
        <w:trPr>
          <w:trHeight w:val="300"/>
        </w:trPr>
        <w:tc>
          <w:tcPr>
            <w:tcW w:w="4101" w:type="dxa"/>
            <w:tcBorders>
              <w:top w:val="nil"/>
              <w:left w:val="nil"/>
              <w:bottom w:val="nil"/>
              <w:right w:val="nil"/>
            </w:tcBorders>
            <w:shd w:val="clear" w:color="auto" w:fill="auto"/>
            <w:noWrap/>
            <w:vAlign w:val="center"/>
            <w:hideMark/>
          </w:tcPr>
          <w:p w14:paraId="44B17C63"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na dávku v hmotnej núdzi</w:t>
            </w:r>
          </w:p>
        </w:tc>
        <w:tc>
          <w:tcPr>
            <w:tcW w:w="1120" w:type="dxa"/>
            <w:tcBorders>
              <w:top w:val="nil"/>
              <w:left w:val="nil"/>
              <w:bottom w:val="nil"/>
              <w:right w:val="nil"/>
            </w:tcBorders>
            <w:shd w:val="clear" w:color="auto" w:fill="auto"/>
            <w:noWrap/>
            <w:vAlign w:val="bottom"/>
            <w:hideMark/>
          </w:tcPr>
          <w:p w14:paraId="67FDBAE7" w14:textId="04E5E502"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112 911</w:t>
            </w:r>
          </w:p>
        </w:tc>
        <w:tc>
          <w:tcPr>
            <w:tcW w:w="1040" w:type="dxa"/>
            <w:tcBorders>
              <w:top w:val="nil"/>
              <w:left w:val="nil"/>
              <w:bottom w:val="nil"/>
              <w:right w:val="nil"/>
            </w:tcBorders>
            <w:shd w:val="clear" w:color="auto" w:fill="auto"/>
            <w:noWrap/>
            <w:vAlign w:val="bottom"/>
            <w:hideMark/>
          </w:tcPr>
          <w:p w14:paraId="0BF82110" w14:textId="4B455F37" w:rsidR="00B504AA" w:rsidRPr="00BB4B6F" w:rsidRDefault="00B504AA" w:rsidP="00B504AA">
            <w:pPr>
              <w:spacing w:after="0" w:line="240" w:lineRule="auto"/>
              <w:jc w:val="right"/>
              <w:rPr>
                <w:color w:val="000000"/>
                <w:sz w:val="18"/>
                <w:szCs w:val="18"/>
                <w:highlight w:val="yellow"/>
                <w:lang w:eastAsia="sk-SK"/>
              </w:rPr>
            </w:pPr>
            <w:r>
              <w:rPr>
                <w:sz w:val="18"/>
                <w:szCs w:val="18"/>
              </w:rPr>
              <w:t>104 554</w:t>
            </w:r>
          </w:p>
        </w:tc>
        <w:tc>
          <w:tcPr>
            <w:tcW w:w="1025" w:type="dxa"/>
            <w:tcBorders>
              <w:top w:val="nil"/>
              <w:left w:val="nil"/>
              <w:bottom w:val="nil"/>
              <w:right w:val="nil"/>
            </w:tcBorders>
            <w:shd w:val="clear" w:color="000000" w:fill="auto"/>
            <w:noWrap/>
            <w:vAlign w:val="bottom"/>
            <w:hideMark/>
          </w:tcPr>
          <w:p w14:paraId="491920EE" w14:textId="471EF8D7" w:rsidR="00B504AA" w:rsidRPr="00BB4B6F" w:rsidRDefault="00B504AA" w:rsidP="00B504AA">
            <w:pPr>
              <w:spacing w:after="0" w:line="240" w:lineRule="auto"/>
              <w:jc w:val="right"/>
              <w:rPr>
                <w:sz w:val="18"/>
                <w:szCs w:val="18"/>
                <w:highlight w:val="yellow"/>
                <w:lang w:eastAsia="sk-SK"/>
              </w:rPr>
            </w:pPr>
            <w:r>
              <w:rPr>
                <w:sz w:val="18"/>
                <w:szCs w:val="18"/>
              </w:rPr>
              <w:t>106 746</w:t>
            </w:r>
          </w:p>
        </w:tc>
        <w:tc>
          <w:tcPr>
            <w:tcW w:w="980" w:type="dxa"/>
            <w:tcBorders>
              <w:top w:val="nil"/>
              <w:left w:val="nil"/>
              <w:bottom w:val="nil"/>
              <w:right w:val="nil"/>
            </w:tcBorders>
            <w:shd w:val="clear" w:color="auto" w:fill="auto"/>
            <w:noWrap/>
            <w:vAlign w:val="bottom"/>
            <w:hideMark/>
          </w:tcPr>
          <w:p w14:paraId="64111430" w14:textId="67CC9718"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114 487</w:t>
            </w:r>
          </w:p>
        </w:tc>
        <w:tc>
          <w:tcPr>
            <w:tcW w:w="1000" w:type="dxa"/>
            <w:tcBorders>
              <w:top w:val="nil"/>
              <w:left w:val="nil"/>
              <w:bottom w:val="nil"/>
              <w:right w:val="nil"/>
            </w:tcBorders>
            <w:shd w:val="clear" w:color="auto" w:fill="auto"/>
            <w:noWrap/>
            <w:vAlign w:val="bottom"/>
            <w:hideMark/>
          </w:tcPr>
          <w:p w14:paraId="7E406B72" w14:textId="15A692CE" w:rsidR="00B504AA" w:rsidRPr="00BB4B6F" w:rsidRDefault="00B504AA" w:rsidP="00B504AA">
            <w:pPr>
              <w:tabs>
                <w:tab w:val="decimal" w:pos="309"/>
              </w:tabs>
              <w:spacing w:after="0" w:line="240" w:lineRule="auto"/>
              <w:jc w:val="center"/>
              <w:rPr>
                <w:color w:val="000000"/>
                <w:sz w:val="18"/>
                <w:szCs w:val="18"/>
                <w:highlight w:val="yellow"/>
                <w:lang w:eastAsia="sk-SK"/>
              </w:rPr>
            </w:pPr>
            <w:r>
              <w:rPr>
                <w:color w:val="000000"/>
                <w:sz w:val="18"/>
                <w:szCs w:val="18"/>
              </w:rPr>
              <w:t>2,1</w:t>
            </w:r>
          </w:p>
        </w:tc>
      </w:tr>
      <w:tr w:rsidR="00B504AA" w:rsidRPr="00BB4B6F" w14:paraId="0BEC3B1C" w14:textId="77777777" w:rsidTr="00357146">
        <w:trPr>
          <w:trHeight w:val="300"/>
        </w:trPr>
        <w:tc>
          <w:tcPr>
            <w:tcW w:w="4101" w:type="dxa"/>
            <w:tcBorders>
              <w:top w:val="nil"/>
              <w:left w:val="nil"/>
              <w:bottom w:val="nil"/>
              <w:right w:val="nil"/>
            </w:tcBorders>
            <w:shd w:val="clear" w:color="auto" w:fill="auto"/>
            <w:noWrap/>
            <w:vAlign w:val="center"/>
            <w:hideMark/>
          </w:tcPr>
          <w:p w14:paraId="713EBDA8"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na peňažné príspevky na kompenzáciu</w:t>
            </w:r>
          </w:p>
        </w:tc>
        <w:tc>
          <w:tcPr>
            <w:tcW w:w="1120" w:type="dxa"/>
            <w:tcBorders>
              <w:top w:val="nil"/>
              <w:left w:val="nil"/>
              <w:bottom w:val="nil"/>
              <w:right w:val="nil"/>
            </w:tcBorders>
            <w:shd w:val="clear" w:color="auto" w:fill="auto"/>
            <w:noWrap/>
            <w:vAlign w:val="bottom"/>
            <w:hideMark/>
          </w:tcPr>
          <w:p w14:paraId="0EFECBF9" w14:textId="5A0E9084"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981 529</w:t>
            </w:r>
          </w:p>
        </w:tc>
        <w:tc>
          <w:tcPr>
            <w:tcW w:w="1040" w:type="dxa"/>
            <w:tcBorders>
              <w:top w:val="nil"/>
              <w:left w:val="nil"/>
              <w:bottom w:val="nil"/>
              <w:right w:val="nil"/>
            </w:tcBorders>
            <w:shd w:val="clear" w:color="auto" w:fill="auto"/>
            <w:noWrap/>
            <w:vAlign w:val="bottom"/>
            <w:hideMark/>
          </w:tcPr>
          <w:p w14:paraId="5FE3BF56" w14:textId="368D892F" w:rsidR="00B504AA" w:rsidRPr="00BB4B6F" w:rsidRDefault="00B504AA" w:rsidP="00B504AA">
            <w:pPr>
              <w:spacing w:after="0" w:line="240" w:lineRule="auto"/>
              <w:jc w:val="right"/>
              <w:rPr>
                <w:color w:val="000000"/>
                <w:sz w:val="18"/>
                <w:szCs w:val="18"/>
                <w:highlight w:val="yellow"/>
                <w:lang w:eastAsia="sk-SK"/>
              </w:rPr>
            </w:pPr>
            <w:r>
              <w:rPr>
                <w:sz w:val="18"/>
                <w:szCs w:val="18"/>
              </w:rPr>
              <w:t>1 696 183</w:t>
            </w:r>
          </w:p>
        </w:tc>
        <w:tc>
          <w:tcPr>
            <w:tcW w:w="1025" w:type="dxa"/>
            <w:tcBorders>
              <w:top w:val="nil"/>
              <w:left w:val="nil"/>
              <w:bottom w:val="nil"/>
              <w:right w:val="nil"/>
            </w:tcBorders>
            <w:shd w:val="clear" w:color="000000" w:fill="auto"/>
            <w:noWrap/>
            <w:vAlign w:val="bottom"/>
            <w:hideMark/>
          </w:tcPr>
          <w:p w14:paraId="3F3022B4" w14:textId="6BFAF08B" w:rsidR="00B504AA" w:rsidRPr="00BB4B6F" w:rsidRDefault="00B504AA" w:rsidP="00B504AA">
            <w:pPr>
              <w:spacing w:after="0" w:line="240" w:lineRule="auto"/>
              <w:jc w:val="right"/>
              <w:rPr>
                <w:sz w:val="18"/>
                <w:szCs w:val="18"/>
                <w:highlight w:val="yellow"/>
                <w:lang w:eastAsia="sk-SK"/>
              </w:rPr>
            </w:pPr>
            <w:r>
              <w:rPr>
                <w:sz w:val="18"/>
                <w:szCs w:val="18"/>
              </w:rPr>
              <w:t>811 002</w:t>
            </w:r>
          </w:p>
        </w:tc>
        <w:tc>
          <w:tcPr>
            <w:tcW w:w="980" w:type="dxa"/>
            <w:tcBorders>
              <w:top w:val="nil"/>
              <w:left w:val="nil"/>
              <w:bottom w:val="nil"/>
              <w:right w:val="nil"/>
            </w:tcBorders>
            <w:shd w:val="clear" w:color="auto" w:fill="auto"/>
            <w:noWrap/>
            <w:vAlign w:val="bottom"/>
            <w:hideMark/>
          </w:tcPr>
          <w:p w14:paraId="34B032C6" w14:textId="16C41CEA" w:rsidR="00B504AA" w:rsidRPr="00BB4B6F" w:rsidRDefault="00B504AA" w:rsidP="00B504AA">
            <w:pPr>
              <w:spacing w:after="0" w:line="240" w:lineRule="auto"/>
              <w:jc w:val="right"/>
              <w:rPr>
                <w:color w:val="000000"/>
                <w:sz w:val="18"/>
                <w:szCs w:val="18"/>
                <w:highlight w:val="yellow"/>
                <w:lang w:eastAsia="sk-SK"/>
              </w:rPr>
            </w:pPr>
            <w:r>
              <w:rPr>
                <w:color w:val="000000"/>
                <w:sz w:val="18"/>
                <w:szCs w:val="18"/>
              </w:rPr>
              <w:t>529 595</w:t>
            </w:r>
          </w:p>
        </w:tc>
        <w:tc>
          <w:tcPr>
            <w:tcW w:w="1000" w:type="dxa"/>
            <w:tcBorders>
              <w:top w:val="nil"/>
              <w:left w:val="nil"/>
              <w:bottom w:val="nil"/>
              <w:right w:val="nil"/>
            </w:tcBorders>
            <w:shd w:val="clear" w:color="auto" w:fill="auto"/>
            <w:noWrap/>
            <w:vAlign w:val="bottom"/>
            <w:hideMark/>
          </w:tcPr>
          <w:p w14:paraId="6698B889" w14:textId="22B58E80" w:rsidR="00B504AA" w:rsidRPr="00BB4B6F" w:rsidRDefault="00B504AA" w:rsidP="00674062">
            <w:pPr>
              <w:tabs>
                <w:tab w:val="decimal" w:pos="447"/>
              </w:tabs>
              <w:spacing w:after="0" w:line="240" w:lineRule="auto"/>
              <w:jc w:val="center"/>
              <w:rPr>
                <w:color w:val="000000"/>
                <w:sz w:val="18"/>
                <w:szCs w:val="18"/>
                <w:highlight w:val="yellow"/>
                <w:lang w:eastAsia="sk-SK"/>
              </w:rPr>
            </w:pPr>
            <w:r>
              <w:rPr>
                <w:color w:val="000000"/>
                <w:sz w:val="18"/>
                <w:szCs w:val="18"/>
              </w:rPr>
              <w:t>-52,2</w:t>
            </w:r>
          </w:p>
        </w:tc>
      </w:tr>
      <w:tr w:rsidR="00B504AA" w:rsidRPr="00B504AA" w14:paraId="59ED7CB0" w14:textId="77777777" w:rsidTr="00357146">
        <w:trPr>
          <w:trHeight w:val="300"/>
        </w:trPr>
        <w:tc>
          <w:tcPr>
            <w:tcW w:w="4101" w:type="dxa"/>
            <w:tcBorders>
              <w:top w:val="nil"/>
              <w:left w:val="nil"/>
              <w:bottom w:val="nil"/>
              <w:right w:val="nil"/>
            </w:tcBorders>
            <w:shd w:val="clear" w:color="auto" w:fill="auto"/>
            <w:noWrap/>
            <w:vAlign w:val="center"/>
            <w:hideMark/>
          </w:tcPr>
          <w:p w14:paraId="00A464C3"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ostatné</w:t>
            </w:r>
          </w:p>
        </w:tc>
        <w:tc>
          <w:tcPr>
            <w:tcW w:w="1120" w:type="dxa"/>
            <w:tcBorders>
              <w:top w:val="nil"/>
              <w:left w:val="nil"/>
              <w:bottom w:val="nil"/>
              <w:right w:val="nil"/>
            </w:tcBorders>
            <w:shd w:val="clear" w:color="auto" w:fill="auto"/>
            <w:noWrap/>
            <w:vAlign w:val="bottom"/>
            <w:hideMark/>
          </w:tcPr>
          <w:p w14:paraId="3DBA3A2C" w14:textId="7EE8DBDC"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520 561</w:t>
            </w:r>
          </w:p>
        </w:tc>
        <w:tc>
          <w:tcPr>
            <w:tcW w:w="1040" w:type="dxa"/>
            <w:tcBorders>
              <w:top w:val="nil"/>
              <w:left w:val="nil"/>
              <w:bottom w:val="nil"/>
              <w:right w:val="nil"/>
            </w:tcBorders>
            <w:shd w:val="clear" w:color="auto" w:fill="auto"/>
            <w:noWrap/>
            <w:vAlign w:val="bottom"/>
            <w:hideMark/>
          </w:tcPr>
          <w:p w14:paraId="2C567FB4" w14:textId="3F431D61" w:rsidR="00B504AA" w:rsidRPr="00B504AA" w:rsidRDefault="00B504AA" w:rsidP="00B504AA">
            <w:pPr>
              <w:spacing w:after="0" w:line="240" w:lineRule="auto"/>
              <w:jc w:val="right"/>
              <w:rPr>
                <w:color w:val="000000"/>
                <w:sz w:val="18"/>
                <w:szCs w:val="18"/>
                <w:lang w:eastAsia="sk-SK"/>
              </w:rPr>
            </w:pPr>
            <w:r w:rsidRPr="00B504AA">
              <w:rPr>
                <w:sz w:val="18"/>
                <w:szCs w:val="18"/>
              </w:rPr>
              <w:t>514 225</w:t>
            </w:r>
          </w:p>
        </w:tc>
        <w:tc>
          <w:tcPr>
            <w:tcW w:w="1025" w:type="dxa"/>
            <w:tcBorders>
              <w:top w:val="nil"/>
              <w:left w:val="nil"/>
              <w:bottom w:val="nil"/>
              <w:right w:val="nil"/>
            </w:tcBorders>
            <w:shd w:val="clear" w:color="000000" w:fill="auto"/>
            <w:noWrap/>
            <w:vAlign w:val="bottom"/>
            <w:hideMark/>
          </w:tcPr>
          <w:p w14:paraId="0D6DF9E8" w14:textId="5CECCE2C" w:rsidR="00B504AA" w:rsidRPr="00B504AA" w:rsidRDefault="00B504AA" w:rsidP="00B504AA">
            <w:pPr>
              <w:spacing w:after="0" w:line="240" w:lineRule="auto"/>
              <w:jc w:val="right"/>
              <w:rPr>
                <w:sz w:val="18"/>
                <w:szCs w:val="18"/>
                <w:lang w:eastAsia="sk-SK"/>
              </w:rPr>
            </w:pPr>
            <w:r w:rsidRPr="00B504AA">
              <w:rPr>
                <w:sz w:val="18"/>
                <w:szCs w:val="18"/>
              </w:rPr>
              <w:t>810 984</w:t>
            </w:r>
          </w:p>
        </w:tc>
        <w:tc>
          <w:tcPr>
            <w:tcW w:w="980" w:type="dxa"/>
            <w:tcBorders>
              <w:top w:val="nil"/>
              <w:left w:val="nil"/>
              <w:bottom w:val="nil"/>
              <w:right w:val="nil"/>
            </w:tcBorders>
            <w:shd w:val="clear" w:color="auto" w:fill="auto"/>
            <w:noWrap/>
            <w:vAlign w:val="bottom"/>
            <w:hideMark/>
          </w:tcPr>
          <w:p w14:paraId="4F18E0C5" w14:textId="5372F3E1"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759 580</w:t>
            </w:r>
          </w:p>
        </w:tc>
        <w:tc>
          <w:tcPr>
            <w:tcW w:w="1000" w:type="dxa"/>
            <w:tcBorders>
              <w:top w:val="nil"/>
              <w:left w:val="nil"/>
              <w:bottom w:val="nil"/>
              <w:right w:val="nil"/>
            </w:tcBorders>
            <w:shd w:val="clear" w:color="auto" w:fill="auto"/>
            <w:noWrap/>
            <w:vAlign w:val="bottom"/>
            <w:hideMark/>
          </w:tcPr>
          <w:p w14:paraId="0873B4D8" w14:textId="15860891" w:rsidR="00B504AA" w:rsidRPr="00B504AA" w:rsidRDefault="00B504AA" w:rsidP="00BA526A">
            <w:pPr>
              <w:tabs>
                <w:tab w:val="decimal" w:pos="450"/>
              </w:tabs>
              <w:spacing w:after="0" w:line="240" w:lineRule="auto"/>
              <w:jc w:val="center"/>
              <w:rPr>
                <w:color w:val="000000"/>
                <w:sz w:val="18"/>
                <w:szCs w:val="18"/>
                <w:lang w:eastAsia="sk-SK"/>
              </w:rPr>
            </w:pPr>
            <w:r w:rsidRPr="00B504AA">
              <w:rPr>
                <w:color w:val="000000"/>
                <w:sz w:val="18"/>
                <w:szCs w:val="18"/>
              </w:rPr>
              <w:t>57,7</w:t>
            </w:r>
          </w:p>
        </w:tc>
      </w:tr>
      <w:tr w:rsidR="00B504AA" w:rsidRPr="00B504AA" w14:paraId="20535357" w14:textId="77777777" w:rsidTr="00211725">
        <w:trPr>
          <w:trHeight w:val="300"/>
        </w:trPr>
        <w:tc>
          <w:tcPr>
            <w:tcW w:w="4101" w:type="dxa"/>
            <w:tcBorders>
              <w:top w:val="nil"/>
              <w:left w:val="nil"/>
              <w:bottom w:val="nil"/>
              <w:right w:val="nil"/>
            </w:tcBorders>
            <w:shd w:val="clear" w:color="auto" w:fill="auto"/>
            <w:noWrap/>
            <w:vAlign w:val="center"/>
            <w:hideMark/>
          </w:tcPr>
          <w:p w14:paraId="06D54AF3" w14:textId="77777777" w:rsidR="00B504AA" w:rsidRPr="00B504AA" w:rsidRDefault="00B504AA" w:rsidP="00B504AA">
            <w:pPr>
              <w:spacing w:after="0" w:line="240" w:lineRule="auto"/>
              <w:ind w:firstLineChars="200" w:firstLine="360"/>
              <w:rPr>
                <w:i/>
                <w:iCs/>
                <w:color w:val="000000"/>
                <w:sz w:val="18"/>
                <w:szCs w:val="18"/>
                <w:lang w:eastAsia="sk-SK"/>
              </w:rPr>
            </w:pPr>
            <w:r w:rsidRPr="00B504AA">
              <w:rPr>
                <w:i/>
                <w:iCs/>
                <w:color w:val="000000"/>
                <w:sz w:val="18"/>
                <w:szCs w:val="18"/>
                <w:lang w:eastAsia="sk-SK"/>
              </w:rPr>
              <w:t xml:space="preserve"> - Platené poistné za skupiny osôb </w:t>
            </w:r>
            <w:proofErr w:type="spellStart"/>
            <w:r w:rsidRPr="00B504AA">
              <w:rPr>
                <w:i/>
                <w:iCs/>
                <w:color w:val="000000"/>
                <w:sz w:val="18"/>
                <w:szCs w:val="18"/>
                <w:lang w:eastAsia="sk-SK"/>
              </w:rPr>
              <w:t>ust</w:t>
            </w:r>
            <w:proofErr w:type="spellEnd"/>
            <w:r w:rsidRPr="00B504AA">
              <w:rPr>
                <w:i/>
                <w:iCs/>
                <w:color w:val="000000"/>
                <w:sz w:val="18"/>
                <w:szCs w:val="18"/>
                <w:lang w:eastAsia="sk-SK"/>
              </w:rPr>
              <w:t>. zákonom</w:t>
            </w:r>
          </w:p>
        </w:tc>
        <w:tc>
          <w:tcPr>
            <w:tcW w:w="1120" w:type="dxa"/>
            <w:tcBorders>
              <w:top w:val="nil"/>
              <w:left w:val="nil"/>
              <w:bottom w:val="nil"/>
              <w:right w:val="nil"/>
            </w:tcBorders>
            <w:shd w:val="clear" w:color="auto" w:fill="auto"/>
            <w:noWrap/>
            <w:vAlign w:val="bottom"/>
            <w:hideMark/>
          </w:tcPr>
          <w:p w14:paraId="3FA90C0B" w14:textId="68B5FDAD"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1 537 681</w:t>
            </w:r>
          </w:p>
        </w:tc>
        <w:tc>
          <w:tcPr>
            <w:tcW w:w="1040" w:type="dxa"/>
            <w:tcBorders>
              <w:top w:val="nil"/>
              <w:left w:val="nil"/>
              <w:bottom w:val="nil"/>
              <w:right w:val="nil"/>
            </w:tcBorders>
            <w:shd w:val="clear" w:color="auto" w:fill="auto"/>
            <w:noWrap/>
            <w:vAlign w:val="bottom"/>
            <w:hideMark/>
          </w:tcPr>
          <w:p w14:paraId="533FCB93" w14:textId="14DF8477" w:rsidR="00B504AA" w:rsidRPr="00B504AA" w:rsidRDefault="00B504AA" w:rsidP="00B504AA">
            <w:pPr>
              <w:spacing w:after="0" w:line="240" w:lineRule="auto"/>
              <w:jc w:val="right"/>
              <w:rPr>
                <w:color w:val="000000"/>
                <w:sz w:val="18"/>
                <w:szCs w:val="18"/>
                <w:lang w:eastAsia="sk-SK"/>
              </w:rPr>
            </w:pPr>
            <w:r w:rsidRPr="00B504AA">
              <w:rPr>
                <w:sz w:val="18"/>
                <w:szCs w:val="18"/>
              </w:rPr>
              <w:t>1 764 601</w:t>
            </w:r>
          </w:p>
        </w:tc>
        <w:tc>
          <w:tcPr>
            <w:tcW w:w="1025" w:type="dxa"/>
            <w:tcBorders>
              <w:top w:val="nil"/>
              <w:left w:val="nil"/>
              <w:bottom w:val="nil"/>
              <w:right w:val="nil"/>
            </w:tcBorders>
            <w:shd w:val="clear" w:color="000000" w:fill="auto"/>
            <w:noWrap/>
            <w:vAlign w:val="bottom"/>
            <w:hideMark/>
          </w:tcPr>
          <w:p w14:paraId="5171AE7A" w14:textId="65728E9C" w:rsidR="00B504AA" w:rsidRPr="00B504AA" w:rsidRDefault="00B504AA" w:rsidP="00B504AA">
            <w:pPr>
              <w:spacing w:after="0" w:line="240" w:lineRule="auto"/>
              <w:jc w:val="right"/>
              <w:rPr>
                <w:sz w:val="18"/>
                <w:szCs w:val="18"/>
                <w:lang w:eastAsia="sk-SK"/>
              </w:rPr>
            </w:pPr>
            <w:r w:rsidRPr="00B504AA">
              <w:rPr>
                <w:sz w:val="18"/>
                <w:szCs w:val="18"/>
              </w:rPr>
              <w:t>1 785 149</w:t>
            </w:r>
          </w:p>
        </w:tc>
        <w:tc>
          <w:tcPr>
            <w:tcW w:w="980" w:type="dxa"/>
            <w:tcBorders>
              <w:top w:val="nil"/>
              <w:left w:val="nil"/>
              <w:bottom w:val="nil"/>
              <w:right w:val="nil"/>
            </w:tcBorders>
            <w:shd w:val="clear" w:color="auto" w:fill="auto"/>
            <w:noWrap/>
            <w:vAlign w:val="bottom"/>
            <w:hideMark/>
          </w:tcPr>
          <w:p w14:paraId="113F63A0" w14:textId="04427C8A"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1 545 416</w:t>
            </w:r>
          </w:p>
        </w:tc>
        <w:tc>
          <w:tcPr>
            <w:tcW w:w="1000" w:type="dxa"/>
            <w:tcBorders>
              <w:top w:val="nil"/>
              <w:left w:val="nil"/>
              <w:bottom w:val="nil"/>
              <w:right w:val="nil"/>
            </w:tcBorders>
            <w:shd w:val="clear" w:color="auto" w:fill="auto"/>
            <w:noWrap/>
            <w:vAlign w:val="bottom"/>
            <w:hideMark/>
          </w:tcPr>
          <w:p w14:paraId="47DDBAC8" w14:textId="5EBFB071"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1,2</w:t>
            </w:r>
          </w:p>
        </w:tc>
      </w:tr>
      <w:tr w:rsidR="00B504AA" w:rsidRPr="00B504AA" w14:paraId="0AD1C138" w14:textId="77777777" w:rsidTr="007D1EDC">
        <w:trPr>
          <w:trHeight w:val="300"/>
        </w:trPr>
        <w:tc>
          <w:tcPr>
            <w:tcW w:w="4101" w:type="dxa"/>
            <w:tcBorders>
              <w:top w:val="nil"/>
              <w:left w:val="nil"/>
              <w:bottom w:val="nil"/>
              <w:right w:val="nil"/>
            </w:tcBorders>
            <w:shd w:val="clear" w:color="auto" w:fill="auto"/>
            <w:noWrap/>
            <w:vAlign w:val="center"/>
            <w:hideMark/>
          </w:tcPr>
          <w:p w14:paraId="37B0EB6D"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sociálne poistenie</w:t>
            </w:r>
          </w:p>
        </w:tc>
        <w:tc>
          <w:tcPr>
            <w:tcW w:w="1120" w:type="dxa"/>
            <w:tcBorders>
              <w:top w:val="nil"/>
              <w:left w:val="nil"/>
              <w:bottom w:val="nil"/>
              <w:right w:val="nil"/>
            </w:tcBorders>
            <w:shd w:val="clear" w:color="auto" w:fill="auto"/>
            <w:noWrap/>
            <w:vAlign w:val="bottom"/>
            <w:hideMark/>
          </w:tcPr>
          <w:p w14:paraId="19447EA1" w14:textId="1DD669D3"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370 652</w:t>
            </w:r>
          </w:p>
        </w:tc>
        <w:tc>
          <w:tcPr>
            <w:tcW w:w="1040" w:type="dxa"/>
            <w:tcBorders>
              <w:top w:val="nil"/>
              <w:left w:val="nil"/>
              <w:bottom w:val="nil"/>
              <w:right w:val="nil"/>
            </w:tcBorders>
            <w:shd w:val="clear" w:color="auto" w:fill="auto"/>
            <w:noWrap/>
            <w:vAlign w:val="bottom"/>
            <w:hideMark/>
          </w:tcPr>
          <w:p w14:paraId="73BAABA5" w14:textId="214E5AF8" w:rsidR="00B504AA" w:rsidRPr="00B504AA" w:rsidRDefault="00B504AA" w:rsidP="00B504AA">
            <w:pPr>
              <w:spacing w:after="0" w:line="240" w:lineRule="auto"/>
              <w:jc w:val="right"/>
              <w:rPr>
                <w:color w:val="000000"/>
                <w:sz w:val="18"/>
                <w:szCs w:val="18"/>
                <w:lang w:eastAsia="sk-SK"/>
              </w:rPr>
            </w:pPr>
            <w:r w:rsidRPr="00B504AA">
              <w:rPr>
                <w:sz w:val="18"/>
                <w:szCs w:val="18"/>
              </w:rPr>
              <w:t>472 477</w:t>
            </w:r>
          </w:p>
        </w:tc>
        <w:tc>
          <w:tcPr>
            <w:tcW w:w="1025" w:type="dxa"/>
            <w:tcBorders>
              <w:top w:val="nil"/>
              <w:left w:val="nil"/>
              <w:bottom w:val="nil"/>
              <w:right w:val="nil"/>
            </w:tcBorders>
            <w:shd w:val="clear" w:color="000000" w:fill="auto"/>
            <w:noWrap/>
            <w:vAlign w:val="bottom"/>
            <w:hideMark/>
          </w:tcPr>
          <w:p w14:paraId="5B57CBE1" w14:textId="09F8CF36" w:rsidR="00B504AA" w:rsidRPr="00B504AA" w:rsidRDefault="00B504AA" w:rsidP="00B504AA">
            <w:pPr>
              <w:spacing w:after="0" w:line="240" w:lineRule="auto"/>
              <w:jc w:val="right"/>
              <w:rPr>
                <w:sz w:val="18"/>
                <w:szCs w:val="18"/>
                <w:lang w:eastAsia="sk-SK"/>
              </w:rPr>
            </w:pPr>
            <w:r w:rsidRPr="00B504AA">
              <w:rPr>
                <w:sz w:val="18"/>
                <w:szCs w:val="18"/>
              </w:rPr>
              <w:t>496 180</w:t>
            </w:r>
          </w:p>
        </w:tc>
        <w:tc>
          <w:tcPr>
            <w:tcW w:w="980" w:type="dxa"/>
            <w:tcBorders>
              <w:top w:val="nil"/>
              <w:left w:val="nil"/>
              <w:bottom w:val="nil"/>
              <w:right w:val="nil"/>
            </w:tcBorders>
            <w:shd w:val="clear" w:color="auto" w:fill="auto"/>
            <w:noWrap/>
            <w:vAlign w:val="bottom"/>
            <w:hideMark/>
          </w:tcPr>
          <w:p w14:paraId="52356927" w14:textId="7FA29CBB"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381 348</w:t>
            </w:r>
          </w:p>
        </w:tc>
        <w:tc>
          <w:tcPr>
            <w:tcW w:w="1000" w:type="dxa"/>
            <w:tcBorders>
              <w:top w:val="nil"/>
              <w:left w:val="nil"/>
              <w:bottom w:val="nil"/>
              <w:right w:val="nil"/>
            </w:tcBorders>
            <w:shd w:val="clear" w:color="auto" w:fill="auto"/>
            <w:noWrap/>
            <w:vAlign w:val="bottom"/>
            <w:hideMark/>
          </w:tcPr>
          <w:p w14:paraId="660FE504" w14:textId="35C190F7"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5,0</w:t>
            </w:r>
          </w:p>
        </w:tc>
      </w:tr>
      <w:tr w:rsidR="00B504AA" w:rsidRPr="00B504AA" w14:paraId="4B912948" w14:textId="77777777" w:rsidTr="007D1EDC">
        <w:trPr>
          <w:trHeight w:val="300"/>
        </w:trPr>
        <w:tc>
          <w:tcPr>
            <w:tcW w:w="4101" w:type="dxa"/>
            <w:tcBorders>
              <w:top w:val="nil"/>
              <w:left w:val="nil"/>
              <w:bottom w:val="nil"/>
              <w:right w:val="nil"/>
            </w:tcBorders>
            <w:shd w:val="clear" w:color="auto" w:fill="auto"/>
            <w:noWrap/>
            <w:vAlign w:val="center"/>
            <w:hideMark/>
          </w:tcPr>
          <w:p w14:paraId="2BEE3100" w14:textId="77777777" w:rsidR="00B504AA" w:rsidRPr="00B504AA" w:rsidRDefault="00B504AA" w:rsidP="00B504AA">
            <w:pPr>
              <w:spacing w:after="0" w:line="240" w:lineRule="auto"/>
              <w:ind w:firstLineChars="300" w:firstLine="540"/>
              <w:rPr>
                <w:i/>
                <w:iCs/>
                <w:color w:val="000000"/>
                <w:sz w:val="18"/>
                <w:szCs w:val="18"/>
                <w:lang w:eastAsia="sk-SK"/>
              </w:rPr>
            </w:pPr>
            <w:r w:rsidRPr="00B504AA">
              <w:rPr>
                <w:i/>
                <w:iCs/>
                <w:color w:val="000000"/>
                <w:sz w:val="18"/>
                <w:szCs w:val="18"/>
                <w:lang w:eastAsia="sk-SK"/>
              </w:rPr>
              <w:t xml:space="preserve"> - zdravotné poistenie</w:t>
            </w:r>
          </w:p>
        </w:tc>
        <w:tc>
          <w:tcPr>
            <w:tcW w:w="1120" w:type="dxa"/>
            <w:tcBorders>
              <w:top w:val="nil"/>
              <w:left w:val="nil"/>
              <w:bottom w:val="nil"/>
              <w:right w:val="nil"/>
            </w:tcBorders>
            <w:shd w:val="clear" w:color="auto" w:fill="auto"/>
            <w:noWrap/>
            <w:vAlign w:val="bottom"/>
            <w:hideMark/>
          </w:tcPr>
          <w:p w14:paraId="6BDA948E" w14:textId="6E8BF4E4"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1 167 029</w:t>
            </w:r>
          </w:p>
        </w:tc>
        <w:tc>
          <w:tcPr>
            <w:tcW w:w="1040" w:type="dxa"/>
            <w:tcBorders>
              <w:top w:val="nil"/>
              <w:left w:val="nil"/>
              <w:bottom w:val="nil"/>
              <w:right w:val="nil"/>
            </w:tcBorders>
            <w:shd w:val="clear" w:color="auto" w:fill="auto"/>
            <w:noWrap/>
            <w:vAlign w:val="bottom"/>
            <w:hideMark/>
          </w:tcPr>
          <w:p w14:paraId="3B81F755" w14:textId="2462F135" w:rsidR="00B504AA" w:rsidRPr="00B504AA" w:rsidRDefault="00B504AA" w:rsidP="00B504AA">
            <w:pPr>
              <w:spacing w:after="0" w:line="240" w:lineRule="auto"/>
              <w:jc w:val="right"/>
              <w:rPr>
                <w:color w:val="000000"/>
                <w:sz w:val="18"/>
                <w:szCs w:val="18"/>
                <w:lang w:eastAsia="sk-SK"/>
              </w:rPr>
            </w:pPr>
            <w:r w:rsidRPr="00B504AA">
              <w:rPr>
                <w:sz w:val="18"/>
                <w:szCs w:val="18"/>
              </w:rPr>
              <w:t>1 292 124</w:t>
            </w:r>
          </w:p>
        </w:tc>
        <w:tc>
          <w:tcPr>
            <w:tcW w:w="1025" w:type="dxa"/>
            <w:tcBorders>
              <w:top w:val="nil"/>
              <w:left w:val="nil"/>
              <w:bottom w:val="nil"/>
              <w:right w:val="nil"/>
            </w:tcBorders>
            <w:shd w:val="clear" w:color="000000" w:fill="auto"/>
            <w:noWrap/>
            <w:vAlign w:val="bottom"/>
            <w:hideMark/>
          </w:tcPr>
          <w:p w14:paraId="03FA5984" w14:textId="7190A297" w:rsidR="00B504AA" w:rsidRPr="00B504AA" w:rsidRDefault="00B504AA" w:rsidP="00B504AA">
            <w:pPr>
              <w:spacing w:after="0" w:line="240" w:lineRule="auto"/>
              <w:jc w:val="right"/>
              <w:rPr>
                <w:sz w:val="18"/>
                <w:szCs w:val="18"/>
                <w:lang w:eastAsia="sk-SK"/>
              </w:rPr>
            </w:pPr>
            <w:r w:rsidRPr="00B504AA">
              <w:rPr>
                <w:sz w:val="18"/>
                <w:szCs w:val="18"/>
              </w:rPr>
              <w:t>1 288 969</w:t>
            </w:r>
          </w:p>
        </w:tc>
        <w:tc>
          <w:tcPr>
            <w:tcW w:w="980" w:type="dxa"/>
            <w:tcBorders>
              <w:top w:val="nil"/>
              <w:left w:val="nil"/>
              <w:bottom w:val="nil"/>
              <w:right w:val="nil"/>
            </w:tcBorders>
            <w:shd w:val="clear" w:color="auto" w:fill="auto"/>
            <w:noWrap/>
            <w:vAlign w:val="bottom"/>
            <w:hideMark/>
          </w:tcPr>
          <w:p w14:paraId="3648C411" w14:textId="0F8BC8A9"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1 102 969</w:t>
            </w:r>
          </w:p>
        </w:tc>
        <w:tc>
          <w:tcPr>
            <w:tcW w:w="1000" w:type="dxa"/>
            <w:tcBorders>
              <w:top w:val="nil"/>
              <w:left w:val="nil"/>
              <w:bottom w:val="nil"/>
              <w:right w:val="nil"/>
            </w:tcBorders>
            <w:shd w:val="clear" w:color="auto" w:fill="auto"/>
            <w:noWrap/>
            <w:vAlign w:val="bottom"/>
            <w:hideMark/>
          </w:tcPr>
          <w:p w14:paraId="209692F9" w14:textId="3ECB75D8"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-0,2</w:t>
            </w:r>
          </w:p>
        </w:tc>
      </w:tr>
      <w:tr w:rsidR="00B504AA" w:rsidRPr="00B504AA" w14:paraId="13FC9FF2" w14:textId="77777777" w:rsidTr="007D1EDC">
        <w:trPr>
          <w:trHeight w:val="300"/>
        </w:trPr>
        <w:tc>
          <w:tcPr>
            <w:tcW w:w="4101" w:type="dxa"/>
            <w:tcBorders>
              <w:top w:val="nil"/>
              <w:left w:val="nil"/>
              <w:bottom w:val="nil"/>
              <w:right w:val="nil"/>
            </w:tcBorders>
            <w:shd w:val="clear" w:color="auto" w:fill="auto"/>
            <w:noWrap/>
            <w:vAlign w:val="center"/>
            <w:hideMark/>
          </w:tcPr>
          <w:p w14:paraId="1AE98C4B"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Naturálne sociálne transfery (</w:t>
            </w:r>
            <w:proofErr w:type="spellStart"/>
            <w:r w:rsidRPr="00B504AA">
              <w:rPr>
                <w:color w:val="000000"/>
                <w:sz w:val="18"/>
                <w:szCs w:val="18"/>
                <w:lang w:eastAsia="sk-SK"/>
              </w:rPr>
              <w:t>zdr</w:t>
            </w:r>
            <w:proofErr w:type="spellEnd"/>
            <w:r w:rsidRPr="00B504AA">
              <w:rPr>
                <w:color w:val="000000"/>
                <w:sz w:val="18"/>
                <w:szCs w:val="18"/>
                <w:lang w:eastAsia="sk-SK"/>
              </w:rPr>
              <w:t>. zariadenia)</w:t>
            </w:r>
          </w:p>
        </w:tc>
        <w:tc>
          <w:tcPr>
            <w:tcW w:w="1120" w:type="dxa"/>
            <w:tcBorders>
              <w:top w:val="nil"/>
              <w:left w:val="nil"/>
              <w:bottom w:val="nil"/>
              <w:right w:val="nil"/>
            </w:tcBorders>
            <w:shd w:val="clear" w:color="auto" w:fill="auto"/>
            <w:noWrap/>
            <w:vAlign w:val="bottom"/>
            <w:hideMark/>
          </w:tcPr>
          <w:p w14:paraId="0CB7EA9F" w14:textId="7F26C6A2"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3 045 274</w:t>
            </w:r>
          </w:p>
        </w:tc>
        <w:tc>
          <w:tcPr>
            <w:tcW w:w="1040" w:type="dxa"/>
            <w:tcBorders>
              <w:top w:val="nil"/>
              <w:left w:val="nil"/>
              <w:bottom w:val="nil"/>
              <w:right w:val="nil"/>
            </w:tcBorders>
            <w:shd w:val="clear" w:color="auto" w:fill="auto"/>
            <w:noWrap/>
            <w:vAlign w:val="bottom"/>
            <w:hideMark/>
          </w:tcPr>
          <w:p w14:paraId="06B09348" w14:textId="2F7E2EF0" w:rsidR="00B504AA" w:rsidRPr="00B504AA" w:rsidRDefault="00B504AA" w:rsidP="00B504AA">
            <w:pPr>
              <w:spacing w:after="0" w:line="240" w:lineRule="auto"/>
              <w:jc w:val="right"/>
              <w:rPr>
                <w:color w:val="000000"/>
                <w:sz w:val="18"/>
                <w:szCs w:val="18"/>
                <w:lang w:eastAsia="sk-SK"/>
              </w:rPr>
            </w:pPr>
            <w:r w:rsidRPr="00B504AA">
              <w:rPr>
                <w:sz w:val="18"/>
                <w:szCs w:val="18"/>
              </w:rPr>
              <w:t>3 404 823</w:t>
            </w:r>
          </w:p>
        </w:tc>
        <w:tc>
          <w:tcPr>
            <w:tcW w:w="1025" w:type="dxa"/>
            <w:tcBorders>
              <w:top w:val="nil"/>
              <w:left w:val="nil"/>
              <w:bottom w:val="nil"/>
              <w:right w:val="nil"/>
            </w:tcBorders>
            <w:shd w:val="clear" w:color="000000" w:fill="auto"/>
            <w:noWrap/>
            <w:vAlign w:val="bottom"/>
            <w:hideMark/>
          </w:tcPr>
          <w:p w14:paraId="3F0EE981" w14:textId="7D6519E5" w:rsidR="00B504AA" w:rsidRPr="00B504AA" w:rsidRDefault="00B504AA" w:rsidP="00B504AA">
            <w:pPr>
              <w:spacing w:after="0" w:line="240" w:lineRule="auto"/>
              <w:jc w:val="right"/>
              <w:rPr>
                <w:sz w:val="18"/>
                <w:szCs w:val="18"/>
                <w:lang w:eastAsia="sk-SK"/>
              </w:rPr>
            </w:pPr>
            <w:r w:rsidRPr="00B504AA">
              <w:rPr>
                <w:sz w:val="18"/>
                <w:szCs w:val="18"/>
              </w:rPr>
              <w:t>3 727 728</w:t>
            </w:r>
          </w:p>
        </w:tc>
        <w:tc>
          <w:tcPr>
            <w:tcW w:w="980" w:type="dxa"/>
            <w:tcBorders>
              <w:top w:val="nil"/>
              <w:left w:val="nil"/>
              <w:bottom w:val="nil"/>
              <w:right w:val="nil"/>
            </w:tcBorders>
            <w:shd w:val="clear" w:color="auto" w:fill="auto"/>
            <w:noWrap/>
            <w:vAlign w:val="bottom"/>
            <w:hideMark/>
          </w:tcPr>
          <w:p w14:paraId="3A20C41E" w14:textId="3F44EC95"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5 422 162</w:t>
            </w:r>
          </w:p>
        </w:tc>
        <w:tc>
          <w:tcPr>
            <w:tcW w:w="1000" w:type="dxa"/>
            <w:tcBorders>
              <w:top w:val="nil"/>
              <w:left w:val="nil"/>
              <w:bottom w:val="nil"/>
              <w:right w:val="nil"/>
            </w:tcBorders>
            <w:shd w:val="clear" w:color="auto" w:fill="auto"/>
            <w:noWrap/>
            <w:vAlign w:val="bottom"/>
            <w:hideMark/>
          </w:tcPr>
          <w:p w14:paraId="16108CF7" w14:textId="4FFB638E"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9,5</w:t>
            </w:r>
          </w:p>
        </w:tc>
      </w:tr>
      <w:tr w:rsidR="00B504AA" w:rsidRPr="00B504AA" w14:paraId="5EFE70C1" w14:textId="77777777" w:rsidTr="007D1EDC">
        <w:trPr>
          <w:trHeight w:val="300"/>
        </w:trPr>
        <w:tc>
          <w:tcPr>
            <w:tcW w:w="4101" w:type="dxa"/>
            <w:tcBorders>
              <w:top w:val="nil"/>
              <w:left w:val="nil"/>
              <w:bottom w:val="nil"/>
              <w:right w:val="nil"/>
            </w:tcBorders>
            <w:shd w:val="clear" w:color="auto" w:fill="auto"/>
            <w:noWrap/>
            <w:vAlign w:val="center"/>
            <w:hideMark/>
          </w:tcPr>
          <w:p w14:paraId="5D90D3F0"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Ostatné bežné transfery, z toho:</w:t>
            </w:r>
          </w:p>
        </w:tc>
        <w:tc>
          <w:tcPr>
            <w:tcW w:w="1120" w:type="dxa"/>
            <w:tcBorders>
              <w:top w:val="nil"/>
              <w:left w:val="nil"/>
              <w:bottom w:val="nil"/>
              <w:right w:val="nil"/>
            </w:tcBorders>
            <w:shd w:val="clear" w:color="auto" w:fill="auto"/>
            <w:noWrap/>
            <w:vAlign w:val="bottom"/>
            <w:hideMark/>
          </w:tcPr>
          <w:p w14:paraId="181F93E7" w14:textId="483746E6"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2 785 603</w:t>
            </w:r>
          </w:p>
        </w:tc>
        <w:tc>
          <w:tcPr>
            <w:tcW w:w="1040" w:type="dxa"/>
            <w:tcBorders>
              <w:top w:val="nil"/>
              <w:left w:val="nil"/>
              <w:bottom w:val="nil"/>
              <w:right w:val="nil"/>
            </w:tcBorders>
            <w:shd w:val="clear" w:color="auto" w:fill="auto"/>
            <w:noWrap/>
            <w:vAlign w:val="bottom"/>
            <w:hideMark/>
          </w:tcPr>
          <w:p w14:paraId="0E79C61C" w14:textId="3F4941A3"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3 753 679</w:t>
            </w:r>
          </w:p>
        </w:tc>
        <w:tc>
          <w:tcPr>
            <w:tcW w:w="1025" w:type="dxa"/>
            <w:tcBorders>
              <w:top w:val="nil"/>
              <w:left w:val="nil"/>
              <w:bottom w:val="nil"/>
              <w:right w:val="nil"/>
            </w:tcBorders>
            <w:shd w:val="clear" w:color="000000" w:fill="auto"/>
            <w:noWrap/>
            <w:vAlign w:val="bottom"/>
            <w:hideMark/>
          </w:tcPr>
          <w:p w14:paraId="70B1D4B2" w14:textId="444E82A3" w:rsidR="00B504AA" w:rsidRPr="00B504AA" w:rsidRDefault="00B504AA" w:rsidP="00B504AA">
            <w:pPr>
              <w:spacing w:after="0" w:line="240" w:lineRule="auto"/>
              <w:jc w:val="right"/>
              <w:rPr>
                <w:b/>
                <w:bCs/>
                <w:sz w:val="18"/>
                <w:szCs w:val="18"/>
                <w:lang w:eastAsia="sk-SK"/>
              </w:rPr>
            </w:pPr>
            <w:r w:rsidRPr="00B504AA">
              <w:rPr>
                <w:b/>
                <w:bCs/>
                <w:sz w:val="18"/>
                <w:szCs w:val="18"/>
              </w:rPr>
              <w:t>2 028 124</w:t>
            </w:r>
          </w:p>
        </w:tc>
        <w:tc>
          <w:tcPr>
            <w:tcW w:w="980" w:type="dxa"/>
            <w:tcBorders>
              <w:top w:val="nil"/>
              <w:left w:val="nil"/>
              <w:bottom w:val="nil"/>
              <w:right w:val="nil"/>
            </w:tcBorders>
            <w:shd w:val="clear" w:color="auto" w:fill="auto"/>
            <w:noWrap/>
            <w:vAlign w:val="bottom"/>
            <w:hideMark/>
          </w:tcPr>
          <w:p w14:paraId="7139972A" w14:textId="16F839CB"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3 342 895</w:t>
            </w:r>
          </w:p>
        </w:tc>
        <w:tc>
          <w:tcPr>
            <w:tcW w:w="1000" w:type="dxa"/>
            <w:tcBorders>
              <w:top w:val="nil"/>
              <w:left w:val="nil"/>
              <w:bottom w:val="nil"/>
              <w:right w:val="nil"/>
            </w:tcBorders>
            <w:shd w:val="clear" w:color="auto" w:fill="auto"/>
            <w:noWrap/>
            <w:vAlign w:val="bottom"/>
            <w:hideMark/>
          </w:tcPr>
          <w:p w14:paraId="496912AE" w14:textId="348C86C6" w:rsidR="00B504AA" w:rsidRPr="00B504AA" w:rsidRDefault="00B504AA" w:rsidP="00B504AA">
            <w:pPr>
              <w:tabs>
                <w:tab w:val="decimal" w:pos="451"/>
              </w:tabs>
              <w:spacing w:after="0" w:line="240" w:lineRule="auto"/>
              <w:jc w:val="center"/>
              <w:rPr>
                <w:b/>
                <w:bCs/>
                <w:color w:val="000000"/>
                <w:sz w:val="18"/>
                <w:szCs w:val="18"/>
                <w:lang w:eastAsia="sk-SK"/>
              </w:rPr>
            </w:pPr>
            <w:r w:rsidRPr="00B504AA">
              <w:rPr>
                <w:b/>
                <w:bCs/>
                <w:color w:val="000000"/>
                <w:sz w:val="18"/>
                <w:szCs w:val="18"/>
              </w:rPr>
              <w:t>-46,0</w:t>
            </w:r>
          </w:p>
        </w:tc>
      </w:tr>
      <w:tr w:rsidR="00B504AA" w:rsidRPr="00B504AA" w14:paraId="25E84DF0" w14:textId="77777777" w:rsidTr="007D1EDC">
        <w:trPr>
          <w:trHeight w:val="300"/>
        </w:trPr>
        <w:tc>
          <w:tcPr>
            <w:tcW w:w="4101" w:type="dxa"/>
            <w:tcBorders>
              <w:top w:val="nil"/>
              <w:left w:val="nil"/>
              <w:bottom w:val="nil"/>
              <w:right w:val="nil"/>
            </w:tcBorders>
            <w:shd w:val="clear" w:color="auto" w:fill="auto"/>
            <w:noWrap/>
            <w:vAlign w:val="center"/>
            <w:hideMark/>
          </w:tcPr>
          <w:p w14:paraId="62388A42" w14:textId="77777777" w:rsidR="00B504AA" w:rsidRPr="00B504AA" w:rsidRDefault="00B504AA" w:rsidP="00B504AA">
            <w:pPr>
              <w:spacing w:after="0" w:line="240" w:lineRule="auto"/>
              <w:ind w:firstLineChars="100" w:firstLine="180"/>
              <w:rPr>
                <w:i/>
                <w:iCs/>
                <w:color w:val="000000"/>
                <w:sz w:val="18"/>
                <w:szCs w:val="18"/>
                <w:lang w:eastAsia="sk-SK"/>
              </w:rPr>
            </w:pPr>
            <w:r w:rsidRPr="00B504AA">
              <w:rPr>
                <w:i/>
                <w:iCs/>
                <w:color w:val="000000"/>
                <w:sz w:val="18"/>
                <w:szCs w:val="18"/>
                <w:lang w:eastAsia="sk-SK"/>
              </w:rPr>
              <w:t xml:space="preserve"> - Odvody do rozpočtu EÚ</w:t>
            </w:r>
          </w:p>
        </w:tc>
        <w:tc>
          <w:tcPr>
            <w:tcW w:w="1120" w:type="dxa"/>
            <w:tcBorders>
              <w:top w:val="nil"/>
              <w:left w:val="nil"/>
              <w:bottom w:val="nil"/>
              <w:right w:val="nil"/>
            </w:tcBorders>
            <w:shd w:val="clear" w:color="auto" w:fill="auto"/>
            <w:noWrap/>
            <w:vAlign w:val="bottom"/>
            <w:hideMark/>
          </w:tcPr>
          <w:p w14:paraId="2E1CE044" w14:textId="42FFF0DC"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877 392</w:t>
            </w:r>
          </w:p>
        </w:tc>
        <w:tc>
          <w:tcPr>
            <w:tcW w:w="1040" w:type="dxa"/>
            <w:tcBorders>
              <w:top w:val="nil"/>
              <w:left w:val="nil"/>
              <w:bottom w:val="nil"/>
              <w:right w:val="nil"/>
            </w:tcBorders>
            <w:shd w:val="clear" w:color="auto" w:fill="auto"/>
            <w:noWrap/>
            <w:vAlign w:val="bottom"/>
            <w:hideMark/>
          </w:tcPr>
          <w:p w14:paraId="24D465D3" w14:textId="6999093F" w:rsidR="00B504AA" w:rsidRPr="00B504AA" w:rsidRDefault="00B504AA" w:rsidP="00B504AA">
            <w:pPr>
              <w:spacing w:after="0" w:line="240" w:lineRule="auto"/>
              <w:jc w:val="right"/>
              <w:rPr>
                <w:color w:val="000000"/>
                <w:sz w:val="18"/>
                <w:szCs w:val="18"/>
                <w:lang w:eastAsia="sk-SK"/>
              </w:rPr>
            </w:pPr>
            <w:r w:rsidRPr="00B504AA">
              <w:rPr>
                <w:sz w:val="18"/>
                <w:szCs w:val="18"/>
              </w:rPr>
              <w:t>964 922</w:t>
            </w:r>
          </w:p>
        </w:tc>
        <w:tc>
          <w:tcPr>
            <w:tcW w:w="1025" w:type="dxa"/>
            <w:tcBorders>
              <w:top w:val="nil"/>
              <w:left w:val="nil"/>
              <w:bottom w:val="nil"/>
              <w:right w:val="nil"/>
            </w:tcBorders>
            <w:shd w:val="clear" w:color="000000" w:fill="auto"/>
            <w:noWrap/>
            <w:vAlign w:val="bottom"/>
            <w:hideMark/>
          </w:tcPr>
          <w:p w14:paraId="03531052" w14:textId="61EFEBDB" w:rsidR="00B504AA" w:rsidRPr="00B504AA" w:rsidRDefault="00B504AA" w:rsidP="00B504AA">
            <w:pPr>
              <w:spacing w:after="0" w:line="240" w:lineRule="auto"/>
              <w:jc w:val="right"/>
              <w:rPr>
                <w:sz w:val="18"/>
                <w:szCs w:val="18"/>
                <w:lang w:eastAsia="sk-SK"/>
              </w:rPr>
            </w:pPr>
            <w:r w:rsidRPr="00B504AA">
              <w:rPr>
                <w:sz w:val="18"/>
                <w:szCs w:val="18"/>
              </w:rPr>
              <w:t>916 494</w:t>
            </w:r>
          </w:p>
        </w:tc>
        <w:tc>
          <w:tcPr>
            <w:tcW w:w="980" w:type="dxa"/>
            <w:tcBorders>
              <w:top w:val="nil"/>
              <w:left w:val="nil"/>
              <w:bottom w:val="nil"/>
              <w:right w:val="nil"/>
            </w:tcBorders>
            <w:shd w:val="clear" w:color="auto" w:fill="auto"/>
            <w:noWrap/>
            <w:vAlign w:val="bottom"/>
            <w:hideMark/>
          </w:tcPr>
          <w:p w14:paraId="24A5C3E7" w14:textId="1DD3F2A4"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1 026 568</w:t>
            </w:r>
          </w:p>
        </w:tc>
        <w:tc>
          <w:tcPr>
            <w:tcW w:w="1000" w:type="dxa"/>
            <w:tcBorders>
              <w:top w:val="nil"/>
              <w:left w:val="nil"/>
              <w:bottom w:val="nil"/>
              <w:right w:val="nil"/>
            </w:tcBorders>
            <w:shd w:val="clear" w:color="auto" w:fill="auto"/>
            <w:noWrap/>
            <w:vAlign w:val="bottom"/>
            <w:hideMark/>
          </w:tcPr>
          <w:p w14:paraId="06592B8C" w14:textId="76B78F68"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-5,0</w:t>
            </w:r>
          </w:p>
        </w:tc>
      </w:tr>
      <w:tr w:rsidR="00B504AA" w:rsidRPr="00B504AA" w14:paraId="5D9FE0BC" w14:textId="77777777" w:rsidTr="007D1EDC">
        <w:trPr>
          <w:trHeight w:val="300"/>
        </w:trPr>
        <w:tc>
          <w:tcPr>
            <w:tcW w:w="4101" w:type="dxa"/>
            <w:tcBorders>
              <w:top w:val="nil"/>
              <w:left w:val="nil"/>
              <w:bottom w:val="nil"/>
              <w:right w:val="nil"/>
            </w:tcBorders>
            <w:shd w:val="clear" w:color="auto" w:fill="auto"/>
            <w:noWrap/>
            <w:vAlign w:val="center"/>
            <w:hideMark/>
          </w:tcPr>
          <w:p w14:paraId="5C02ACE1" w14:textId="77777777" w:rsidR="00B504AA" w:rsidRPr="00B504AA" w:rsidRDefault="00B504AA" w:rsidP="00B504AA">
            <w:pPr>
              <w:spacing w:after="0" w:line="240" w:lineRule="auto"/>
              <w:ind w:firstLineChars="100" w:firstLine="180"/>
              <w:rPr>
                <w:i/>
                <w:iCs/>
                <w:sz w:val="18"/>
                <w:szCs w:val="18"/>
                <w:lang w:eastAsia="sk-SK"/>
              </w:rPr>
            </w:pPr>
            <w:r w:rsidRPr="00B504AA">
              <w:rPr>
                <w:i/>
                <w:iCs/>
                <w:sz w:val="18"/>
                <w:szCs w:val="18"/>
                <w:lang w:eastAsia="sk-SK"/>
              </w:rPr>
              <w:t xml:space="preserve"> - Transfery NO, cirkvi, </w:t>
            </w:r>
            <w:proofErr w:type="spellStart"/>
            <w:r w:rsidRPr="00B504AA">
              <w:rPr>
                <w:i/>
                <w:iCs/>
                <w:sz w:val="18"/>
                <w:szCs w:val="18"/>
                <w:lang w:eastAsia="sk-SK"/>
              </w:rPr>
              <w:t>súkr</w:t>
            </w:r>
            <w:proofErr w:type="spellEnd"/>
            <w:r w:rsidRPr="00B504AA">
              <w:rPr>
                <w:i/>
                <w:iCs/>
                <w:sz w:val="18"/>
                <w:szCs w:val="18"/>
                <w:lang w:eastAsia="sk-SK"/>
              </w:rPr>
              <w:t>. školám a pod.</w:t>
            </w:r>
          </w:p>
        </w:tc>
        <w:tc>
          <w:tcPr>
            <w:tcW w:w="1120" w:type="dxa"/>
            <w:tcBorders>
              <w:top w:val="nil"/>
              <w:left w:val="nil"/>
              <w:bottom w:val="nil"/>
              <w:right w:val="nil"/>
            </w:tcBorders>
            <w:shd w:val="clear" w:color="auto" w:fill="auto"/>
            <w:noWrap/>
            <w:vAlign w:val="bottom"/>
            <w:hideMark/>
          </w:tcPr>
          <w:p w14:paraId="6DAF1285" w14:textId="1B5CE037"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574 477</w:t>
            </w:r>
          </w:p>
        </w:tc>
        <w:tc>
          <w:tcPr>
            <w:tcW w:w="1040" w:type="dxa"/>
            <w:tcBorders>
              <w:top w:val="nil"/>
              <w:left w:val="nil"/>
              <w:bottom w:val="nil"/>
              <w:right w:val="nil"/>
            </w:tcBorders>
            <w:shd w:val="clear" w:color="auto" w:fill="auto"/>
            <w:noWrap/>
            <w:vAlign w:val="bottom"/>
            <w:hideMark/>
          </w:tcPr>
          <w:p w14:paraId="70666FE6" w14:textId="3BCE7B89" w:rsidR="00B504AA" w:rsidRPr="00B504AA" w:rsidRDefault="00B504AA" w:rsidP="00B504AA">
            <w:pPr>
              <w:spacing w:after="0" w:line="240" w:lineRule="auto"/>
              <w:jc w:val="right"/>
              <w:rPr>
                <w:color w:val="000000"/>
                <w:sz w:val="18"/>
                <w:szCs w:val="18"/>
                <w:lang w:eastAsia="sk-SK"/>
              </w:rPr>
            </w:pPr>
            <w:r w:rsidRPr="00B504AA">
              <w:rPr>
                <w:sz w:val="18"/>
                <w:szCs w:val="18"/>
              </w:rPr>
              <w:t>601 556</w:t>
            </w:r>
          </w:p>
        </w:tc>
        <w:tc>
          <w:tcPr>
            <w:tcW w:w="1025" w:type="dxa"/>
            <w:tcBorders>
              <w:top w:val="nil"/>
              <w:left w:val="nil"/>
              <w:bottom w:val="nil"/>
              <w:right w:val="nil"/>
            </w:tcBorders>
            <w:shd w:val="clear" w:color="000000" w:fill="auto"/>
            <w:noWrap/>
            <w:vAlign w:val="bottom"/>
            <w:hideMark/>
          </w:tcPr>
          <w:p w14:paraId="24DFC6DD" w14:textId="176F6D23" w:rsidR="00B504AA" w:rsidRPr="00B504AA" w:rsidRDefault="00B504AA" w:rsidP="00B504AA">
            <w:pPr>
              <w:spacing w:after="0" w:line="240" w:lineRule="auto"/>
              <w:jc w:val="right"/>
              <w:rPr>
                <w:sz w:val="18"/>
                <w:szCs w:val="18"/>
                <w:lang w:eastAsia="sk-SK"/>
              </w:rPr>
            </w:pPr>
            <w:r w:rsidRPr="00B504AA">
              <w:rPr>
                <w:sz w:val="18"/>
                <w:szCs w:val="18"/>
              </w:rPr>
              <w:t>637 789</w:t>
            </w:r>
          </w:p>
        </w:tc>
        <w:tc>
          <w:tcPr>
            <w:tcW w:w="980" w:type="dxa"/>
            <w:tcBorders>
              <w:top w:val="nil"/>
              <w:left w:val="nil"/>
              <w:bottom w:val="nil"/>
              <w:right w:val="nil"/>
            </w:tcBorders>
            <w:shd w:val="clear" w:color="auto" w:fill="auto"/>
            <w:noWrap/>
            <w:vAlign w:val="bottom"/>
            <w:hideMark/>
          </w:tcPr>
          <w:p w14:paraId="37DCCCF3" w14:textId="19A28FA5"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577 220</w:t>
            </w:r>
          </w:p>
        </w:tc>
        <w:tc>
          <w:tcPr>
            <w:tcW w:w="1000" w:type="dxa"/>
            <w:tcBorders>
              <w:top w:val="nil"/>
              <w:left w:val="nil"/>
              <w:bottom w:val="nil"/>
              <w:right w:val="nil"/>
            </w:tcBorders>
            <w:shd w:val="clear" w:color="auto" w:fill="auto"/>
            <w:noWrap/>
            <w:vAlign w:val="bottom"/>
            <w:hideMark/>
          </w:tcPr>
          <w:p w14:paraId="2CAF56C0" w14:textId="5D2F627D"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6,0</w:t>
            </w:r>
          </w:p>
        </w:tc>
      </w:tr>
      <w:tr w:rsidR="00B504AA" w:rsidRPr="00B504AA" w14:paraId="28815291" w14:textId="77777777" w:rsidTr="007D1EDC">
        <w:trPr>
          <w:trHeight w:val="300"/>
        </w:trPr>
        <w:tc>
          <w:tcPr>
            <w:tcW w:w="4101" w:type="dxa"/>
            <w:tcBorders>
              <w:top w:val="nil"/>
              <w:left w:val="nil"/>
              <w:bottom w:val="nil"/>
              <w:right w:val="nil"/>
            </w:tcBorders>
            <w:shd w:val="clear" w:color="auto" w:fill="auto"/>
            <w:noWrap/>
            <w:vAlign w:val="center"/>
            <w:hideMark/>
          </w:tcPr>
          <w:p w14:paraId="597D7618" w14:textId="77777777" w:rsidR="00B504AA" w:rsidRPr="00B504AA" w:rsidRDefault="00B504AA" w:rsidP="00B504AA">
            <w:pPr>
              <w:spacing w:after="0" w:line="240" w:lineRule="auto"/>
              <w:ind w:firstLineChars="100" w:firstLine="180"/>
              <w:rPr>
                <w:i/>
                <w:iCs/>
                <w:color w:val="000000"/>
                <w:sz w:val="18"/>
                <w:szCs w:val="18"/>
                <w:lang w:eastAsia="sk-SK"/>
              </w:rPr>
            </w:pPr>
            <w:r w:rsidRPr="00B504AA">
              <w:rPr>
                <w:i/>
                <w:iCs/>
                <w:color w:val="000000"/>
                <w:sz w:val="18"/>
                <w:szCs w:val="18"/>
                <w:lang w:eastAsia="sk-SK"/>
              </w:rPr>
              <w:t xml:space="preserve"> - 2% z daní na verejnoprospešný účel</w:t>
            </w:r>
          </w:p>
        </w:tc>
        <w:tc>
          <w:tcPr>
            <w:tcW w:w="1120" w:type="dxa"/>
            <w:tcBorders>
              <w:top w:val="nil"/>
              <w:left w:val="nil"/>
              <w:bottom w:val="nil"/>
              <w:right w:val="nil"/>
            </w:tcBorders>
            <w:shd w:val="clear" w:color="auto" w:fill="auto"/>
            <w:noWrap/>
            <w:vAlign w:val="bottom"/>
            <w:hideMark/>
          </w:tcPr>
          <w:p w14:paraId="3D2862D7" w14:textId="6946FB67"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53 392</w:t>
            </w:r>
          </w:p>
        </w:tc>
        <w:tc>
          <w:tcPr>
            <w:tcW w:w="1040" w:type="dxa"/>
            <w:tcBorders>
              <w:top w:val="nil"/>
              <w:left w:val="nil"/>
              <w:bottom w:val="nil"/>
              <w:right w:val="nil"/>
            </w:tcBorders>
            <w:shd w:val="clear" w:color="auto" w:fill="auto"/>
            <w:noWrap/>
            <w:vAlign w:val="bottom"/>
            <w:hideMark/>
          </w:tcPr>
          <w:p w14:paraId="5164B011" w14:textId="7F792866" w:rsidR="00B504AA" w:rsidRPr="00B504AA" w:rsidRDefault="00B504AA" w:rsidP="00B504AA">
            <w:pPr>
              <w:spacing w:after="0" w:line="240" w:lineRule="auto"/>
              <w:jc w:val="right"/>
              <w:rPr>
                <w:color w:val="000000"/>
                <w:sz w:val="18"/>
                <w:szCs w:val="18"/>
                <w:lang w:eastAsia="sk-SK"/>
              </w:rPr>
            </w:pPr>
            <w:r w:rsidRPr="00B504AA">
              <w:rPr>
                <w:sz w:val="18"/>
                <w:szCs w:val="18"/>
              </w:rPr>
              <w:t>87 190</w:t>
            </w:r>
          </w:p>
        </w:tc>
        <w:tc>
          <w:tcPr>
            <w:tcW w:w="1025" w:type="dxa"/>
            <w:tcBorders>
              <w:top w:val="nil"/>
              <w:left w:val="nil"/>
              <w:bottom w:val="nil"/>
              <w:right w:val="nil"/>
            </w:tcBorders>
            <w:shd w:val="clear" w:color="000000" w:fill="auto"/>
            <w:noWrap/>
            <w:vAlign w:val="bottom"/>
            <w:hideMark/>
          </w:tcPr>
          <w:p w14:paraId="1EC34D7A" w14:textId="08265F5D" w:rsidR="00B504AA" w:rsidRPr="00B504AA" w:rsidRDefault="00B504AA" w:rsidP="00B504AA">
            <w:pPr>
              <w:spacing w:after="0" w:line="240" w:lineRule="auto"/>
              <w:jc w:val="right"/>
              <w:rPr>
                <w:sz w:val="18"/>
                <w:szCs w:val="18"/>
                <w:lang w:eastAsia="sk-SK"/>
              </w:rPr>
            </w:pPr>
            <w:r w:rsidRPr="00B504AA">
              <w:rPr>
                <w:sz w:val="18"/>
                <w:szCs w:val="18"/>
              </w:rPr>
              <w:t>87 993</w:t>
            </w:r>
          </w:p>
        </w:tc>
        <w:tc>
          <w:tcPr>
            <w:tcW w:w="980" w:type="dxa"/>
            <w:tcBorders>
              <w:top w:val="nil"/>
              <w:left w:val="nil"/>
              <w:bottom w:val="nil"/>
              <w:right w:val="nil"/>
            </w:tcBorders>
            <w:shd w:val="clear" w:color="auto" w:fill="auto"/>
            <w:noWrap/>
            <w:vAlign w:val="bottom"/>
            <w:hideMark/>
          </w:tcPr>
          <w:p w14:paraId="457FF7DE" w14:textId="0564710E"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86 132</w:t>
            </w:r>
          </w:p>
        </w:tc>
        <w:tc>
          <w:tcPr>
            <w:tcW w:w="1000" w:type="dxa"/>
            <w:tcBorders>
              <w:top w:val="nil"/>
              <w:left w:val="nil"/>
              <w:bottom w:val="nil"/>
              <w:right w:val="nil"/>
            </w:tcBorders>
            <w:shd w:val="clear" w:color="auto" w:fill="auto"/>
            <w:noWrap/>
            <w:vAlign w:val="bottom"/>
            <w:hideMark/>
          </w:tcPr>
          <w:p w14:paraId="5954E27A" w14:textId="558CCA0B"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0,9</w:t>
            </w:r>
          </w:p>
        </w:tc>
      </w:tr>
      <w:tr w:rsidR="00B504AA" w:rsidRPr="00B504AA" w14:paraId="3B768F8F" w14:textId="77777777" w:rsidTr="007D1EDC">
        <w:trPr>
          <w:trHeight w:val="300"/>
        </w:trPr>
        <w:tc>
          <w:tcPr>
            <w:tcW w:w="4101" w:type="dxa"/>
            <w:tcBorders>
              <w:top w:val="nil"/>
              <w:left w:val="nil"/>
              <w:bottom w:val="nil"/>
              <w:right w:val="nil"/>
            </w:tcBorders>
            <w:shd w:val="clear" w:color="auto" w:fill="auto"/>
            <w:noWrap/>
            <w:vAlign w:val="center"/>
            <w:hideMark/>
          </w:tcPr>
          <w:p w14:paraId="04493BE7" w14:textId="77777777" w:rsidR="00B504AA" w:rsidRPr="00B504AA" w:rsidRDefault="00B504AA" w:rsidP="00B504AA">
            <w:pPr>
              <w:spacing w:after="0" w:line="240" w:lineRule="auto"/>
              <w:ind w:firstLineChars="100" w:firstLine="180"/>
              <w:rPr>
                <w:b/>
                <w:bCs/>
                <w:color w:val="000000"/>
                <w:sz w:val="18"/>
                <w:szCs w:val="18"/>
                <w:lang w:eastAsia="sk-SK"/>
              </w:rPr>
            </w:pPr>
            <w:r w:rsidRPr="00B504AA">
              <w:rPr>
                <w:b/>
                <w:bCs/>
                <w:color w:val="000000"/>
                <w:sz w:val="18"/>
                <w:szCs w:val="18"/>
                <w:lang w:eastAsia="sk-SK"/>
              </w:rPr>
              <w:t>Kapitálové výdavky</w:t>
            </w:r>
          </w:p>
        </w:tc>
        <w:tc>
          <w:tcPr>
            <w:tcW w:w="1120" w:type="dxa"/>
            <w:tcBorders>
              <w:top w:val="nil"/>
              <w:left w:val="nil"/>
              <w:bottom w:val="nil"/>
              <w:right w:val="nil"/>
            </w:tcBorders>
            <w:shd w:val="clear" w:color="auto" w:fill="auto"/>
            <w:noWrap/>
            <w:vAlign w:val="bottom"/>
            <w:hideMark/>
          </w:tcPr>
          <w:p w14:paraId="088BBB61" w14:textId="687EE5D8" w:rsidR="00B504AA" w:rsidRPr="00B504AA" w:rsidRDefault="00B504AA" w:rsidP="00B504AA">
            <w:pPr>
              <w:spacing w:after="0" w:line="240" w:lineRule="auto"/>
              <w:jc w:val="right"/>
              <w:rPr>
                <w:b/>
                <w:bCs/>
                <w:sz w:val="18"/>
                <w:szCs w:val="18"/>
                <w:lang w:eastAsia="sk-SK"/>
              </w:rPr>
            </w:pPr>
            <w:r w:rsidRPr="00B504AA">
              <w:rPr>
                <w:b/>
                <w:bCs/>
                <w:sz w:val="18"/>
                <w:szCs w:val="18"/>
              </w:rPr>
              <w:t>4 045 622</w:t>
            </w:r>
          </w:p>
        </w:tc>
        <w:tc>
          <w:tcPr>
            <w:tcW w:w="1040" w:type="dxa"/>
            <w:tcBorders>
              <w:top w:val="nil"/>
              <w:left w:val="nil"/>
              <w:bottom w:val="nil"/>
              <w:right w:val="nil"/>
            </w:tcBorders>
            <w:shd w:val="clear" w:color="auto" w:fill="auto"/>
            <w:noWrap/>
            <w:vAlign w:val="bottom"/>
            <w:hideMark/>
          </w:tcPr>
          <w:p w14:paraId="73A01D06" w14:textId="4968AC43" w:rsidR="00B504AA" w:rsidRPr="00B504AA" w:rsidRDefault="00B504AA" w:rsidP="00B504AA">
            <w:pPr>
              <w:spacing w:after="0" w:line="240" w:lineRule="auto"/>
              <w:jc w:val="right"/>
              <w:rPr>
                <w:b/>
                <w:bCs/>
                <w:sz w:val="18"/>
                <w:szCs w:val="18"/>
                <w:lang w:eastAsia="sk-SK"/>
              </w:rPr>
            </w:pPr>
            <w:r w:rsidRPr="00B504AA">
              <w:rPr>
                <w:b/>
                <w:bCs/>
                <w:sz w:val="18"/>
                <w:szCs w:val="18"/>
              </w:rPr>
              <w:t>3 607 312</w:t>
            </w:r>
          </w:p>
        </w:tc>
        <w:tc>
          <w:tcPr>
            <w:tcW w:w="1025" w:type="dxa"/>
            <w:tcBorders>
              <w:top w:val="nil"/>
              <w:left w:val="nil"/>
              <w:bottom w:val="nil"/>
              <w:right w:val="nil"/>
            </w:tcBorders>
            <w:shd w:val="clear" w:color="000000" w:fill="auto"/>
            <w:noWrap/>
            <w:vAlign w:val="bottom"/>
            <w:hideMark/>
          </w:tcPr>
          <w:p w14:paraId="60867680" w14:textId="1936360E" w:rsidR="00B504AA" w:rsidRPr="00B504AA" w:rsidRDefault="00B504AA" w:rsidP="00B504AA">
            <w:pPr>
              <w:spacing w:after="0" w:line="240" w:lineRule="auto"/>
              <w:jc w:val="right"/>
              <w:rPr>
                <w:b/>
                <w:bCs/>
                <w:sz w:val="18"/>
                <w:szCs w:val="18"/>
                <w:lang w:eastAsia="sk-SK"/>
              </w:rPr>
            </w:pPr>
            <w:r w:rsidRPr="00B504AA">
              <w:rPr>
                <w:b/>
                <w:bCs/>
                <w:sz w:val="18"/>
                <w:szCs w:val="18"/>
              </w:rPr>
              <w:t>4 051 193</w:t>
            </w:r>
          </w:p>
        </w:tc>
        <w:tc>
          <w:tcPr>
            <w:tcW w:w="980" w:type="dxa"/>
            <w:tcBorders>
              <w:top w:val="nil"/>
              <w:left w:val="nil"/>
              <w:bottom w:val="nil"/>
              <w:right w:val="nil"/>
            </w:tcBorders>
            <w:shd w:val="clear" w:color="auto" w:fill="auto"/>
            <w:noWrap/>
            <w:vAlign w:val="bottom"/>
            <w:hideMark/>
          </w:tcPr>
          <w:p w14:paraId="217CE824" w14:textId="3DFC5F31" w:rsidR="00B504AA" w:rsidRPr="00B504AA" w:rsidRDefault="00B504AA" w:rsidP="00B504AA">
            <w:pPr>
              <w:spacing w:after="0" w:line="240" w:lineRule="auto"/>
              <w:jc w:val="right"/>
              <w:rPr>
                <w:b/>
                <w:bCs/>
                <w:sz w:val="18"/>
                <w:szCs w:val="18"/>
                <w:lang w:eastAsia="sk-SK"/>
              </w:rPr>
            </w:pPr>
            <w:r w:rsidRPr="00B504AA">
              <w:rPr>
                <w:b/>
                <w:bCs/>
                <w:sz w:val="18"/>
                <w:szCs w:val="18"/>
              </w:rPr>
              <w:t>5 171 147</w:t>
            </w:r>
          </w:p>
        </w:tc>
        <w:tc>
          <w:tcPr>
            <w:tcW w:w="1000" w:type="dxa"/>
            <w:tcBorders>
              <w:top w:val="nil"/>
              <w:left w:val="nil"/>
              <w:bottom w:val="nil"/>
              <w:right w:val="nil"/>
            </w:tcBorders>
            <w:shd w:val="clear" w:color="auto" w:fill="auto"/>
            <w:noWrap/>
            <w:vAlign w:val="bottom"/>
            <w:hideMark/>
          </w:tcPr>
          <w:p w14:paraId="4FE2662C" w14:textId="4D391E33" w:rsidR="00B504AA" w:rsidRPr="00B504AA" w:rsidRDefault="00B504AA" w:rsidP="00B504AA">
            <w:pPr>
              <w:tabs>
                <w:tab w:val="decimal" w:pos="451"/>
              </w:tabs>
              <w:spacing w:after="0" w:line="240" w:lineRule="auto"/>
              <w:jc w:val="center"/>
              <w:rPr>
                <w:b/>
                <w:bCs/>
                <w:sz w:val="18"/>
                <w:szCs w:val="18"/>
                <w:lang w:eastAsia="sk-SK"/>
              </w:rPr>
            </w:pPr>
            <w:r w:rsidRPr="00B504AA">
              <w:rPr>
                <w:b/>
                <w:bCs/>
                <w:sz w:val="18"/>
                <w:szCs w:val="18"/>
              </w:rPr>
              <w:t>12,3</w:t>
            </w:r>
          </w:p>
        </w:tc>
      </w:tr>
      <w:tr w:rsidR="00B504AA" w:rsidRPr="00B504AA" w14:paraId="1A1500B7" w14:textId="77777777" w:rsidTr="00211725">
        <w:trPr>
          <w:trHeight w:val="300"/>
        </w:trPr>
        <w:tc>
          <w:tcPr>
            <w:tcW w:w="4101" w:type="dxa"/>
            <w:tcBorders>
              <w:top w:val="nil"/>
              <w:left w:val="nil"/>
              <w:bottom w:val="nil"/>
              <w:right w:val="nil"/>
            </w:tcBorders>
            <w:shd w:val="clear" w:color="auto" w:fill="auto"/>
            <w:noWrap/>
            <w:vAlign w:val="center"/>
            <w:hideMark/>
          </w:tcPr>
          <w:p w14:paraId="4E6E382A"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Kapitálové investície</w:t>
            </w:r>
          </w:p>
        </w:tc>
        <w:tc>
          <w:tcPr>
            <w:tcW w:w="1120" w:type="dxa"/>
            <w:tcBorders>
              <w:top w:val="nil"/>
              <w:left w:val="nil"/>
              <w:bottom w:val="nil"/>
              <w:right w:val="nil"/>
            </w:tcBorders>
            <w:shd w:val="clear" w:color="auto" w:fill="auto"/>
            <w:noWrap/>
            <w:vAlign w:val="bottom"/>
            <w:hideMark/>
          </w:tcPr>
          <w:p w14:paraId="756D8D94" w14:textId="2D7E21F5"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3 347 113</w:t>
            </w:r>
          </w:p>
        </w:tc>
        <w:tc>
          <w:tcPr>
            <w:tcW w:w="1040" w:type="dxa"/>
            <w:tcBorders>
              <w:top w:val="nil"/>
              <w:left w:val="nil"/>
              <w:bottom w:val="nil"/>
              <w:right w:val="nil"/>
            </w:tcBorders>
            <w:shd w:val="clear" w:color="auto" w:fill="auto"/>
            <w:noWrap/>
            <w:vAlign w:val="bottom"/>
            <w:hideMark/>
          </w:tcPr>
          <w:p w14:paraId="06DD5D4E" w14:textId="4A1949FD"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3 151 450</w:t>
            </w:r>
          </w:p>
        </w:tc>
        <w:tc>
          <w:tcPr>
            <w:tcW w:w="1025" w:type="dxa"/>
            <w:tcBorders>
              <w:top w:val="nil"/>
              <w:left w:val="nil"/>
              <w:bottom w:val="nil"/>
              <w:right w:val="nil"/>
            </w:tcBorders>
            <w:shd w:val="clear" w:color="000000" w:fill="auto"/>
            <w:noWrap/>
            <w:vAlign w:val="bottom"/>
            <w:hideMark/>
          </w:tcPr>
          <w:p w14:paraId="75513A98" w14:textId="56DE2D51" w:rsidR="00B504AA" w:rsidRPr="00B504AA" w:rsidRDefault="00B504AA" w:rsidP="00B504AA">
            <w:pPr>
              <w:spacing w:after="0" w:line="240" w:lineRule="auto"/>
              <w:jc w:val="right"/>
              <w:rPr>
                <w:sz w:val="18"/>
                <w:szCs w:val="18"/>
                <w:lang w:eastAsia="sk-SK"/>
              </w:rPr>
            </w:pPr>
            <w:r w:rsidRPr="00B504AA">
              <w:rPr>
                <w:sz w:val="18"/>
                <w:szCs w:val="18"/>
              </w:rPr>
              <w:t>3 368 531</w:t>
            </w:r>
          </w:p>
        </w:tc>
        <w:tc>
          <w:tcPr>
            <w:tcW w:w="980" w:type="dxa"/>
            <w:tcBorders>
              <w:top w:val="nil"/>
              <w:left w:val="nil"/>
              <w:bottom w:val="nil"/>
              <w:right w:val="nil"/>
            </w:tcBorders>
            <w:shd w:val="clear" w:color="auto" w:fill="auto"/>
            <w:noWrap/>
            <w:vAlign w:val="bottom"/>
            <w:hideMark/>
          </w:tcPr>
          <w:p w14:paraId="4841E170" w14:textId="771883BC"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4 825 169</w:t>
            </w:r>
          </w:p>
        </w:tc>
        <w:tc>
          <w:tcPr>
            <w:tcW w:w="1000" w:type="dxa"/>
            <w:tcBorders>
              <w:top w:val="nil"/>
              <w:left w:val="nil"/>
              <w:bottom w:val="nil"/>
              <w:right w:val="nil"/>
            </w:tcBorders>
            <w:shd w:val="clear" w:color="auto" w:fill="auto"/>
            <w:noWrap/>
            <w:vAlign w:val="bottom"/>
            <w:hideMark/>
          </w:tcPr>
          <w:p w14:paraId="22726838" w14:textId="6C50E5BB"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6,9</w:t>
            </w:r>
          </w:p>
        </w:tc>
      </w:tr>
      <w:tr w:rsidR="00B504AA" w:rsidRPr="00B504AA" w14:paraId="34E63127" w14:textId="77777777" w:rsidTr="007D1EDC">
        <w:trPr>
          <w:trHeight w:val="300"/>
        </w:trPr>
        <w:tc>
          <w:tcPr>
            <w:tcW w:w="4101" w:type="dxa"/>
            <w:tcBorders>
              <w:top w:val="nil"/>
              <w:left w:val="nil"/>
              <w:bottom w:val="nil"/>
              <w:right w:val="nil"/>
            </w:tcBorders>
            <w:shd w:val="clear" w:color="auto" w:fill="auto"/>
            <w:noWrap/>
            <w:vAlign w:val="center"/>
            <w:hideMark/>
          </w:tcPr>
          <w:p w14:paraId="32C93430"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Tvorba hrubého fixného kapitálu</w:t>
            </w:r>
          </w:p>
        </w:tc>
        <w:tc>
          <w:tcPr>
            <w:tcW w:w="1120" w:type="dxa"/>
            <w:tcBorders>
              <w:top w:val="nil"/>
              <w:left w:val="nil"/>
              <w:bottom w:val="nil"/>
              <w:right w:val="nil"/>
            </w:tcBorders>
            <w:shd w:val="clear" w:color="auto" w:fill="auto"/>
            <w:noWrap/>
            <w:vAlign w:val="bottom"/>
            <w:hideMark/>
          </w:tcPr>
          <w:p w14:paraId="6BE3E8C1" w14:textId="2ADA775C"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3 209 080</w:t>
            </w:r>
          </w:p>
        </w:tc>
        <w:tc>
          <w:tcPr>
            <w:tcW w:w="1040" w:type="dxa"/>
            <w:tcBorders>
              <w:top w:val="nil"/>
              <w:left w:val="nil"/>
              <w:bottom w:val="nil"/>
              <w:right w:val="nil"/>
            </w:tcBorders>
            <w:shd w:val="clear" w:color="auto" w:fill="auto"/>
            <w:noWrap/>
            <w:vAlign w:val="bottom"/>
            <w:hideMark/>
          </w:tcPr>
          <w:p w14:paraId="216533B8" w14:textId="1F9ACA8D"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3 065 852</w:t>
            </w:r>
          </w:p>
        </w:tc>
        <w:tc>
          <w:tcPr>
            <w:tcW w:w="1025" w:type="dxa"/>
            <w:tcBorders>
              <w:top w:val="nil"/>
              <w:left w:val="nil"/>
              <w:bottom w:val="nil"/>
              <w:right w:val="nil"/>
            </w:tcBorders>
            <w:shd w:val="clear" w:color="000000" w:fill="auto"/>
            <w:noWrap/>
            <w:vAlign w:val="bottom"/>
            <w:hideMark/>
          </w:tcPr>
          <w:p w14:paraId="427DDA35" w14:textId="4A073D87" w:rsidR="00B504AA" w:rsidRPr="00B504AA" w:rsidRDefault="00B504AA" w:rsidP="00B504AA">
            <w:pPr>
              <w:spacing w:after="0" w:line="240" w:lineRule="auto"/>
              <w:jc w:val="right"/>
              <w:rPr>
                <w:sz w:val="18"/>
                <w:szCs w:val="18"/>
                <w:lang w:eastAsia="sk-SK"/>
              </w:rPr>
            </w:pPr>
            <w:r w:rsidRPr="00B504AA">
              <w:rPr>
                <w:sz w:val="18"/>
                <w:szCs w:val="18"/>
              </w:rPr>
              <w:t>3 304 906</w:t>
            </w:r>
          </w:p>
        </w:tc>
        <w:tc>
          <w:tcPr>
            <w:tcW w:w="980" w:type="dxa"/>
            <w:tcBorders>
              <w:top w:val="nil"/>
              <w:left w:val="nil"/>
              <w:bottom w:val="nil"/>
              <w:right w:val="nil"/>
            </w:tcBorders>
            <w:shd w:val="clear" w:color="auto" w:fill="auto"/>
            <w:noWrap/>
            <w:vAlign w:val="bottom"/>
            <w:hideMark/>
          </w:tcPr>
          <w:p w14:paraId="7128FE37" w14:textId="581CAD35"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4 784 926</w:t>
            </w:r>
          </w:p>
        </w:tc>
        <w:tc>
          <w:tcPr>
            <w:tcW w:w="1000" w:type="dxa"/>
            <w:tcBorders>
              <w:top w:val="nil"/>
              <w:left w:val="nil"/>
              <w:bottom w:val="nil"/>
              <w:right w:val="nil"/>
            </w:tcBorders>
            <w:shd w:val="clear" w:color="auto" w:fill="auto"/>
            <w:noWrap/>
            <w:vAlign w:val="bottom"/>
            <w:hideMark/>
          </w:tcPr>
          <w:p w14:paraId="4CAD7173" w14:textId="74C380F9"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7,8</w:t>
            </w:r>
          </w:p>
        </w:tc>
      </w:tr>
      <w:tr w:rsidR="00B504AA" w:rsidRPr="00B504AA" w14:paraId="3B01A8D2" w14:textId="77777777" w:rsidTr="007D1EDC">
        <w:trPr>
          <w:trHeight w:val="300"/>
        </w:trPr>
        <w:tc>
          <w:tcPr>
            <w:tcW w:w="4101" w:type="dxa"/>
            <w:tcBorders>
              <w:top w:val="nil"/>
              <w:left w:val="nil"/>
              <w:bottom w:val="nil"/>
              <w:right w:val="nil"/>
            </w:tcBorders>
            <w:shd w:val="clear" w:color="auto" w:fill="auto"/>
            <w:noWrap/>
            <w:vAlign w:val="center"/>
            <w:hideMark/>
          </w:tcPr>
          <w:p w14:paraId="7DF87FFA"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 xml:space="preserve"> - Zmena st. </w:t>
            </w:r>
            <w:proofErr w:type="spellStart"/>
            <w:r w:rsidRPr="00B504AA">
              <w:rPr>
                <w:color w:val="000000"/>
                <w:sz w:val="18"/>
                <w:szCs w:val="18"/>
                <w:lang w:eastAsia="sk-SK"/>
              </w:rPr>
              <w:t>zásob+Nadobudnutie</w:t>
            </w:r>
            <w:proofErr w:type="spellEnd"/>
            <w:r w:rsidRPr="00B504AA">
              <w:rPr>
                <w:color w:val="000000"/>
                <w:sz w:val="18"/>
                <w:szCs w:val="18"/>
                <w:lang w:eastAsia="sk-SK"/>
              </w:rPr>
              <w:t xml:space="preserve"> - Úbytok cenností</w:t>
            </w:r>
          </w:p>
        </w:tc>
        <w:tc>
          <w:tcPr>
            <w:tcW w:w="1120" w:type="dxa"/>
            <w:tcBorders>
              <w:top w:val="nil"/>
              <w:left w:val="nil"/>
              <w:bottom w:val="nil"/>
              <w:right w:val="nil"/>
            </w:tcBorders>
            <w:shd w:val="clear" w:color="auto" w:fill="auto"/>
            <w:noWrap/>
            <w:vAlign w:val="bottom"/>
            <w:hideMark/>
          </w:tcPr>
          <w:p w14:paraId="41529FB8" w14:textId="7815EC16"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136 970</w:t>
            </w:r>
          </w:p>
        </w:tc>
        <w:tc>
          <w:tcPr>
            <w:tcW w:w="1040" w:type="dxa"/>
            <w:tcBorders>
              <w:top w:val="nil"/>
              <w:left w:val="nil"/>
              <w:bottom w:val="nil"/>
              <w:right w:val="nil"/>
            </w:tcBorders>
            <w:shd w:val="clear" w:color="auto" w:fill="auto"/>
            <w:noWrap/>
            <w:vAlign w:val="bottom"/>
            <w:hideMark/>
          </w:tcPr>
          <w:p w14:paraId="19C6201A" w14:textId="65B7AEFC"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99 466</w:t>
            </w:r>
          </w:p>
        </w:tc>
        <w:tc>
          <w:tcPr>
            <w:tcW w:w="1025" w:type="dxa"/>
            <w:tcBorders>
              <w:top w:val="nil"/>
              <w:left w:val="nil"/>
              <w:bottom w:val="nil"/>
              <w:right w:val="nil"/>
            </w:tcBorders>
            <w:shd w:val="clear" w:color="000000" w:fill="auto"/>
            <w:noWrap/>
            <w:vAlign w:val="bottom"/>
            <w:hideMark/>
          </w:tcPr>
          <w:p w14:paraId="60CA3925" w14:textId="4BBC4027" w:rsidR="00B504AA" w:rsidRPr="00B504AA" w:rsidRDefault="00B504AA" w:rsidP="00B504AA">
            <w:pPr>
              <w:spacing w:after="0" w:line="240" w:lineRule="auto"/>
              <w:jc w:val="right"/>
              <w:rPr>
                <w:sz w:val="18"/>
                <w:szCs w:val="18"/>
                <w:lang w:eastAsia="sk-SK"/>
              </w:rPr>
            </w:pPr>
            <w:r w:rsidRPr="00B504AA">
              <w:rPr>
                <w:sz w:val="18"/>
                <w:szCs w:val="18"/>
              </w:rPr>
              <w:t>36 581</w:t>
            </w:r>
          </w:p>
        </w:tc>
        <w:tc>
          <w:tcPr>
            <w:tcW w:w="980" w:type="dxa"/>
            <w:tcBorders>
              <w:top w:val="nil"/>
              <w:left w:val="nil"/>
              <w:bottom w:val="nil"/>
              <w:right w:val="nil"/>
            </w:tcBorders>
            <w:shd w:val="clear" w:color="auto" w:fill="auto"/>
            <w:noWrap/>
            <w:vAlign w:val="bottom"/>
            <w:hideMark/>
          </w:tcPr>
          <w:p w14:paraId="48FF2705" w14:textId="6912CB3E"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64 590</w:t>
            </w:r>
          </w:p>
        </w:tc>
        <w:tc>
          <w:tcPr>
            <w:tcW w:w="1000" w:type="dxa"/>
            <w:tcBorders>
              <w:top w:val="nil"/>
              <w:left w:val="nil"/>
              <w:bottom w:val="nil"/>
              <w:right w:val="nil"/>
            </w:tcBorders>
            <w:shd w:val="clear" w:color="auto" w:fill="auto"/>
            <w:noWrap/>
            <w:vAlign w:val="bottom"/>
            <w:hideMark/>
          </w:tcPr>
          <w:p w14:paraId="7F88B7D7" w14:textId="1223A12E"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-63,2</w:t>
            </w:r>
          </w:p>
        </w:tc>
      </w:tr>
      <w:tr w:rsidR="00B504AA" w:rsidRPr="00B504AA" w14:paraId="65FE2CE6" w14:textId="77777777" w:rsidTr="007D1EDC">
        <w:trPr>
          <w:trHeight w:val="300"/>
        </w:trPr>
        <w:tc>
          <w:tcPr>
            <w:tcW w:w="4101" w:type="dxa"/>
            <w:tcBorders>
              <w:top w:val="nil"/>
              <w:left w:val="nil"/>
              <w:bottom w:val="nil"/>
              <w:right w:val="nil"/>
            </w:tcBorders>
            <w:shd w:val="clear" w:color="auto" w:fill="auto"/>
            <w:noWrap/>
            <w:vAlign w:val="center"/>
            <w:hideMark/>
          </w:tcPr>
          <w:p w14:paraId="49B6418D"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lastRenderedPageBreak/>
              <w:t xml:space="preserve"> - </w:t>
            </w:r>
            <w:proofErr w:type="spellStart"/>
            <w:r w:rsidRPr="00B504AA">
              <w:rPr>
                <w:color w:val="000000"/>
                <w:sz w:val="18"/>
                <w:szCs w:val="18"/>
                <w:lang w:eastAsia="sk-SK"/>
              </w:rPr>
              <w:t>Nadobud</w:t>
            </w:r>
            <w:proofErr w:type="spellEnd"/>
            <w:r w:rsidRPr="00B504AA">
              <w:rPr>
                <w:color w:val="000000"/>
                <w:sz w:val="18"/>
                <w:szCs w:val="18"/>
                <w:lang w:eastAsia="sk-SK"/>
              </w:rPr>
              <w:t xml:space="preserve">. mínus úbytok </w:t>
            </w:r>
            <w:proofErr w:type="spellStart"/>
            <w:r w:rsidRPr="00B504AA">
              <w:rPr>
                <w:color w:val="000000"/>
                <w:sz w:val="18"/>
                <w:szCs w:val="18"/>
                <w:lang w:eastAsia="sk-SK"/>
              </w:rPr>
              <w:t>nef</w:t>
            </w:r>
            <w:proofErr w:type="spellEnd"/>
            <w:r w:rsidRPr="00B504AA">
              <w:rPr>
                <w:color w:val="000000"/>
                <w:sz w:val="18"/>
                <w:szCs w:val="18"/>
                <w:lang w:eastAsia="sk-SK"/>
              </w:rPr>
              <w:t xml:space="preserve">. </w:t>
            </w:r>
            <w:proofErr w:type="spellStart"/>
            <w:r w:rsidRPr="00B504AA">
              <w:rPr>
                <w:color w:val="000000"/>
                <w:sz w:val="18"/>
                <w:szCs w:val="18"/>
                <w:lang w:eastAsia="sk-SK"/>
              </w:rPr>
              <w:t>neproduk</w:t>
            </w:r>
            <w:proofErr w:type="spellEnd"/>
            <w:r w:rsidRPr="00B504AA">
              <w:rPr>
                <w:color w:val="000000"/>
                <w:sz w:val="18"/>
                <w:szCs w:val="18"/>
                <w:lang w:eastAsia="sk-SK"/>
              </w:rPr>
              <w:t>. aktív</w:t>
            </w:r>
          </w:p>
        </w:tc>
        <w:tc>
          <w:tcPr>
            <w:tcW w:w="1120" w:type="dxa"/>
            <w:tcBorders>
              <w:top w:val="nil"/>
              <w:left w:val="nil"/>
              <w:bottom w:val="nil"/>
              <w:right w:val="nil"/>
            </w:tcBorders>
            <w:shd w:val="clear" w:color="auto" w:fill="auto"/>
            <w:noWrap/>
            <w:vAlign w:val="bottom"/>
            <w:hideMark/>
          </w:tcPr>
          <w:p w14:paraId="6FFDA014" w14:textId="0858B8EB"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1 063</w:t>
            </w:r>
          </w:p>
        </w:tc>
        <w:tc>
          <w:tcPr>
            <w:tcW w:w="1040" w:type="dxa"/>
            <w:tcBorders>
              <w:top w:val="nil"/>
              <w:left w:val="nil"/>
              <w:bottom w:val="nil"/>
              <w:right w:val="nil"/>
            </w:tcBorders>
            <w:shd w:val="clear" w:color="auto" w:fill="auto"/>
            <w:noWrap/>
            <w:vAlign w:val="bottom"/>
            <w:hideMark/>
          </w:tcPr>
          <w:p w14:paraId="6FF301A5" w14:textId="6E72C942"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-13 868</w:t>
            </w:r>
          </w:p>
        </w:tc>
        <w:tc>
          <w:tcPr>
            <w:tcW w:w="1025" w:type="dxa"/>
            <w:tcBorders>
              <w:top w:val="nil"/>
              <w:left w:val="nil"/>
              <w:bottom w:val="nil"/>
              <w:right w:val="nil"/>
            </w:tcBorders>
            <w:shd w:val="clear" w:color="000000" w:fill="auto"/>
            <w:noWrap/>
            <w:vAlign w:val="bottom"/>
            <w:hideMark/>
          </w:tcPr>
          <w:p w14:paraId="589303D0" w14:textId="45991D45" w:rsidR="00B504AA" w:rsidRPr="00B504AA" w:rsidRDefault="00B504AA" w:rsidP="00B504AA">
            <w:pPr>
              <w:spacing w:after="0" w:line="240" w:lineRule="auto"/>
              <w:jc w:val="right"/>
              <w:rPr>
                <w:sz w:val="18"/>
                <w:szCs w:val="18"/>
                <w:lang w:eastAsia="sk-SK"/>
              </w:rPr>
            </w:pPr>
            <w:r w:rsidRPr="00B504AA">
              <w:rPr>
                <w:sz w:val="18"/>
                <w:szCs w:val="18"/>
              </w:rPr>
              <w:t>27 044</w:t>
            </w:r>
          </w:p>
        </w:tc>
        <w:tc>
          <w:tcPr>
            <w:tcW w:w="980" w:type="dxa"/>
            <w:tcBorders>
              <w:top w:val="nil"/>
              <w:left w:val="nil"/>
              <w:bottom w:val="nil"/>
              <w:right w:val="nil"/>
            </w:tcBorders>
            <w:shd w:val="clear" w:color="auto" w:fill="auto"/>
            <w:noWrap/>
            <w:vAlign w:val="bottom"/>
            <w:hideMark/>
          </w:tcPr>
          <w:p w14:paraId="1B06198F" w14:textId="347CC08D"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-24 347</w:t>
            </w:r>
          </w:p>
        </w:tc>
        <w:tc>
          <w:tcPr>
            <w:tcW w:w="1000" w:type="dxa"/>
            <w:tcBorders>
              <w:top w:val="nil"/>
              <w:left w:val="nil"/>
              <w:bottom w:val="nil"/>
              <w:right w:val="nil"/>
            </w:tcBorders>
            <w:shd w:val="clear" w:color="auto" w:fill="auto"/>
            <w:noWrap/>
            <w:vAlign w:val="bottom"/>
            <w:hideMark/>
          </w:tcPr>
          <w:p w14:paraId="540F3201" w14:textId="10F1CB46"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-295,0</w:t>
            </w:r>
          </w:p>
        </w:tc>
      </w:tr>
      <w:tr w:rsidR="00B504AA" w:rsidRPr="00B504AA" w14:paraId="230400E8" w14:textId="77777777" w:rsidTr="00211725">
        <w:trPr>
          <w:trHeight w:val="300"/>
        </w:trPr>
        <w:tc>
          <w:tcPr>
            <w:tcW w:w="4101" w:type="dxa"/>
            <w:tcBorders>
              <w:top w:val="nil"/>
              <w:left w:val="nil"/>
              <w:bottom w:val="single" w:sz="4" w:space="0" w:color="auto"/>
              <w:right w:val="nil"/>
            </w:tcBorders>
            <w:shd w:val="clear" w:color="auto" w:fill="auto"/>
            <w:noWrap/>
            <w:vAlign w:val="center"/>
            <w:hideMark/>
          </w:tcPr>
          <w:p w14:paraId="630D59E8" w14:textId="77777777" w:rsidR="00B504AA" w:rsidRPr="00B504AA" w:rsidRDefault="00B504AA" w:rsidP="00B504AA">
            <w:pPr>
              <w:spacing w:after="0" w:line="240" w:lineRule="auto"/>
              <w:ind w:firstLineChars="100" w:firstLine="180"/>
              <w:rPr>
                <w:color w:val="000000"/>
                <w:sz w:val="18"/>
                <w:szCs w:val="18"/>
                <w:lang w:eastAsia="sk-SK"/>
              </w:rPr>
            </w:pPr>
            <w:r w:rsidRPr="00B504AA">
              <w:rPr>
                <w:color w:val="000000"/>
                <w:sz w:val="18"/>
                <w:szCs w:val="18"/>
                <w:lang w:eastAsia="sk-SK"/>
              </w:rPr>
              <w:t>Kapitálové transfery</w:t>
            </w:r>
          </w:p>
        </w:tc>
        <w:tc>
          <w:tcPr>
            <w:tcW w:w="1120" w:type="dxa"/>
            <w:tcBorders>
              <w:top w:val="nil"/>
              <w:left w:val="nil"/>
              <w:bottom w:val="single" w:sz="4" w:space="0" w:color="auto"/>
              <w:right w:val="nil"/>
            </w:tcBorders>
            <w:shd w:val="clear" w:color="auto" w:fill="auto"/>
            <w:noWrap/>
            <w:vAlign w:val="bottom"/>
            <w:hideMark/>
          </w:tcPr>
          <w:p w14:paraId="123EF7C5" w14:textId="293CCB69"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698 509</w:t>
            </w:r>
          </w:p>
        </w:tc>
        <w:tc>
          <w:tcPr>
            <w:tcW w:w="1040" w:type="dxa"/>
            <w:tcBorders>
              <w:top w:val="nil"/>
              <w:left w:val="nil"/>
              <w:bottom w:val="single" w:sz="4" w:space="0" w:color="auto"/>
              <w:right w:val="nil"/>
            </w:tcBorders>
            <w:shd w:val="clear" w:color="auto" w:fill="auto"/>
            <w:noWrap/>
            <w:vAlign w:val="bottom"/>
            <w:hideMark/>
          </w:tcPr>
          <w:p w14:paraId="14B3F5EB" w14:textId="6A783747"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455 862</w:t>
            </w:r>
          </w:p>
        </w:tc>
        <w:tc>
          <w:tcPr>
            <w:tcW w:w="1025" w:type="dxa"/>
            <w:tcBorders>
              <w:top w:val="nil"/>
              <w:left w:val="nil"/>
              <w:bottom w:val="single" w:sz="4" w:space="0" w:color="auto"/>
              <w:right w:val="nil"/>
            </w:tcBorders>
            <w:shd w:val="clear" w:color="000000" w:fill="auto"/>
            <w:noWrap/>
            <w:vAlign w:val="bottom"/>
            <w:hideMark/>
          </w:tcPr>
          <w:p w14:paraId="56EDF86F" w14:textId="53647790" w:rsidR="00B504AA" w:rsidRPr="00B504AA" w:rsidRDefault="00B504AA" w:rsidP="00B504AA">
            <w:pPr>
              <w:spacing w:after="0" w:line="240" w:lineRule="auto"/>
              <w:jc w:val="right"/>
              <w:rPr>
                <w:sz w:val="18"/>
                <w:szCs w:val="18"/>
                <w:lang w:eastAsia="sk-SK"/>
              </w:rPr>
            </w:pPr>
            <w:r w:rsidRPr="00B504AA">
              <w:rPr>
                <w:sz w:val="18"/>
                <w:szCs w:val="18"/>
              </w:rPr>
              <w:t>682 662</w:t>
            </w:r>
          </w:p>
        </w:tc>
        <w:tc>
          <w:tcPr>
            <w:tcW w:w="980" w:type="dxa"/>
            <w:tcBorders>
              <w:top w:val="nil"/>
              <w:left w:val="nil"/>
              <w:bottom w:val="single" w:sz="4" w:space="0" w:color="auto"/>
              <w:right w:val="nil"/>
            </w:tcBorders>
            <w:shd w:val="clear" w:color="auto" w:fill="auto"/>
            <w:noWrap/>
            <w:vAlign w:val="bottom"/>
            <w:hideMark/>
          </w:tcPr>
          <w:p w14:paraId="02609FC8" w14:textId="031D9DE7" w:rsidR="00B504AA" w:rsidRPr="00B504AA" w:rsidRDefault="00B504AA" w:rsidP="00B504AA">
            <w:pPr>
              <w:spacing w:after="0" w:line="240" w:lineRule="auto"/>
              <w:jc w:val="right"/>
              <w:rPr>
                <w:color w:val="000000"/>
                <w:sz w:val="18"/>
                <w:szCs w:val="18"/>
                <w:lang w:eastAsia="sk-SK"/>
              </w:rPr>
            </w:pPr>
            <w:r w:rsidRPr="00B504AA">
              <w:rPr>
                <w:color w:val="000000"/>
                <w:sz w:val="18"/>
                <w:szCs w:val="18"/>
              </w:rPr>
              <w:t>345 978</w:t>
            </w:r>
          </w:p>
        </w:tc>
        <w:tc>
          <w:tcPr>
            <w:tcW w:w="1000" w:type="dxa"/>
            <w:tcBorders>
              <w:top w:val="nil"/>
              <w:left w:val="nil"/>
              <w:bottom w:val="single" w:sz="4" w:space="0" w:color="auto"/>
              <w:right w:val="nil"/>
            </w:tcBorders>
            <w:shd w:val="clear" w:color="auto" w:fill="auto"/>
            <w:noWrap/>
            <w:vAlign w:val="bottom"/>
            <w:hideMark/>
          </w:tcPr>
          <w:p w14:paraId="4FDE6CE2" w14:textId="73000BEC" w:rsidR="00B504AA" w:rsidRPr="00B504AA" w:rsidRDefault="00B504AA" w:rsidP="00B504AA">
            <w:pPr>
              <w:tabs>
                <w:tab w:val="decimal" w:pos="451"/>
              </w:tabs>
              <w:spacing w:after="0" w:line="240" w:lineRule="auto"/>
              <w:jc w:val="center"/>
              <w:rPr>
                <w:color w:val="000000"/>
                <w:sz w:val="18"/>
                <w:szCs w:val="18"/>
                <w:lang w:eastAsia="sk-SK"/>
              </w:rPr>
            </w:pPr>
            <w:r w:rsidRPr="00B504AA">
              <w:rPr>
                <w:color w:val="000000"/>
                <w:sz w:val="18"/>
                <w:szCs w:val="18"/>
              </w:rPr>
              <w:t>49,8</w:t>
            </w:r>
          </w:p>
        </w:tc>
      </w:tr>
      <w:tr w:rsidR="00B504AA" w:rsidRPr="00B504AA" w14:paraId="4EB86BC1" w14:textId="77777777" w:rsidTr="007D1EDC">
        <w:trPr>
          <w:trHeight w:val="300"/>
        </w:trPr>
        <w:tc>
          <w:tcPr>
            <w:tcW w:w="4101" w:type="dxa"/>
            <w:tcBorders>
              <w:top w:val="single" w:sz="4" w:space="0" w:color="auto"/>
              <w:left w:val="nil"/>
              <w:bottom w:val="nil"/>
              <w:right w:val="nil"/>
            </w:tcBorders>
            <w:shd w:val="clear" w:color="000000" w:fill="auto"/>
            <w:vAlign w:val="center"/>
            <w:hideMark/>
          </w:tcPr>
          <w:p w14:paraId="6BA396DA" w14:textId="77777777" w:rsidR="00B504AA" w:rsidRPr="00B504AA" w:rsidRDefault="00B504AA" w:rsidP="00B504AA">
            <w:pPr>
              <w:spacing w:after="0" w:line="240" w:lineRule="auto"/>
              <w:jc w:val="both"/>
              <w:rPr>
                <w:b/>
                <w:bCs/>
                <w:sz w:val="18"/>
                <w:szCs w:val="18"/>
                <w:lang w:eastAsia="sk-SK"/>
              </w:rPr>
            </w:pPr>
            <w:r w:rsidRPr="00B504AA">
              <w:rPr>
                <w:b/>
                <w:bCs/>
                <w:sz w:val="18"/>
                <w:szCs w:val="18"/>
                <w:lang w:eastAsia="sk-SK"/>
              </w:rPr>
              <w:t>Výdavky spolu</w:t>
            </w:r>
          </w:p>
        </w:tc>
        <w:tc>
          <w:tcPr>
            <w:tcW w:w="1120" w:type="dxa"/>
            <w:tcBorders>
              <w:top w:val="single" w:sz="4" w:space="0" w:color="auto"/>
              <w:left w:val="nil"/>
              <w:bottom w:val="nil"/>
              <w:right w:val="nil"/>
            </w:tcBorders>
            <w:shd w:val="clear" w:color="000000" w:fill="auto"/>
            <w:noWrap/>
            <w:vAlign w:val="bottom"/>
            <w:hideMark/>
          </w:tcPr>
          <w:p w14:paraId="7DDF097A" w14:textId="32E8E73A"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41 804 082</w:t>
            </w:r>
          </w:p>
        </w:tc>
        <w:tc>
          <w:tcPr>
            <w:tcW w:w="1040" w:type="dxa"/>
            <w:tcBorders>
              <w:top w:val="single" w:sz="4" w:space="0" w:color="auto"/>
              <w:left w:val="nil"/>
              <w:bottom w:val="nil"/>
              <w:right w:val="nil"/>
            </w:tcBorders>
            <w:shd w:val="clear" w:color="000000" w:fill="auto"/>
            <w:noWrap/>
            <w:vAlign w:val="bottom"/>
            <w:hideMark/>
          </w:tcPr>
          <w:p w14:paraId="707B76E4" w14:textId="67A82BAB"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45 459 971</w:t>
            </w:r>
          </w:p>
        </w:tc>
        <w:tc>
          <w:tcPr>
            <w:tcW w:w="1025" w:type="dxa"/>
            <w:tcBorders>
              <w:top w:val="single" w:sz="4" w:space="0" w:color="auto"/>
              <w:left w:val="nil"/>
              <w:bottom w:val="nil"/>
              <w:right w:val="nil"/>
            </w:tcBorders>
            <w:shd w:val="clear" w:color="000000" w:fill="auto"/>
            <w:noWrap/>
            <w:vAlign w:val="bottom"/>
            <w:hideMark/>
          </w:tcPr>
          <w:p w14:paraId="4B8D067C" w14:textId="5328CAA5"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46 334 651</w:t>
            </w:r>
          </w:p>
        </w:tc>
        <w:tc>
          <w:tcPr>
            <w:tcW w:w="980" w:type="dxa"/>
            <w:tcBorders>
              <w:top w:val="single" w:sz="4" w:space="0" w:color="auto"/>
              <w:left w:val="nil"/>
              <w:bottom w:val="nil"/>
              <w:right w:val="nil"/>
            </w:tcBorders>
            <w:shd w:val="clear" w:color="000000" w:fill="auto"/>
            <w:noWrap/>
            <w:vAlign w:val="bottom"/>
            <w:hideMark/>
          </w:tcPr>
          <w:p w14:paraId="7C3E8E0C" w14:textId="28C63719"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51 042 482</w:t>
            </w:r>
          </w:p>
        </w:tc>
        <w:tc>
          <w:tcPr>
            <w:tcW w:w="1000" w:type="dxa"/>
            <w:tcBorders>
              <w:top w:val="single" w:sz="4" w:space="0" w:color="auto"/>
              <w:left w:val="nil"/>
              <w:bottom w:val="nil"/>
              <w:right w:val="nil"/>
            </w:tcBorders>
            <w:shd w:val="clear" w:color="000000" w:fill="auto"/>
            <w:noWrap/>
            <w:vAlign w:val="bottom"/>
            <w:hideMark/>
          </w:tcPr>
          <w:p w14:paraId="06DC5BBF" w14:textId="48A7C60E" w:rsidR="00B504AA" w:rsidRPr="00B504AA" w:rsidRDefault="00B504AA" w:rsidP="00B504AA">
            <w:pPr>
              <w:tabs>
                <w:tab w:val="decimal" w:pos="451"/>
              </w:tabs>
              <w:spacing w:after="0" w:line="240" w:lineRule="auto"/>
              <w:jc w:val="center"/>
              <w:rPr>
                <w:b/>
                <w:bCs/>
                <w:color w:val="000000"/>
                <w:sz w:val="18"/>
                <w:szCs w:val="18"/>
                <w:lang w:eastAsia="sk-SK"/>
              </w:rPr>
            </w:pPr>
            <w:r w:rsidRPr="00B504AA">
              <w:rPr>
                <w:b/>
                <w:bCs/>
                <w:color w:val="000000"/>
                <w:sz w:val="18"/>
                <w:szCs w:val="18"/>
              </w:rPr>
              <w:t>1,9</w:t>
            </w:r>
          </w:p>
        </w:tc>
      </w:tr>
      <w:tr w:rsidR="00B504AA" w:rsidRPr="00BB4B6F" w14:paraId="3CD89163" w14:textId="77777777" w:rsidTr="007D1EDC">
        <w:trPr>
          <w:trHeight w:val="330"/>
        </w:trPr>
        <w:tc>
          <w:tcPr>
            <w:tcW w:w="4101" w:type="dxa"/>
            <w:tcBorders>
              <w:top w:val="nil"/>
              <w:left w:val="nil"/>
              <w:bottom w:val="single" w:sz="4" w:space="0" w:color="auto"/>
              <w:right w:val="nil"/>
            </w:tcBorders>
            <w:shd w:val="clear" w:color="000000" w:fill="auto"/>
            <w:noWrap/>
            <w:vAlign w:val="center"/>
            <w:hideMark/>
          </w:tcPr>
          <w:p w14:paraId="140A9BE4" w14:textId="6F520C9F" w:rsidR="00B504AA" w:rsidRPr="00B504AA" w:rsidRDefault="00B504AA" w:rsidP="00B504AA">
            <w:pPr>
              <w:spacing w:after="0" w:line="240" w:lineRule="auto"/>
              <w:rPr>
                <w:b/>
                <w:bCs/>
                <w:sz w:val="18"/>
                <w:szCs w:val="18"/>
                <w:lang w:eastAsia="sk-SK"/>
              </w:rPr>
            </w:pPr>
            <w:r w:rsidRPr="00B504AA">
              <w:rPr>
                <w:b/>
                <w:bCs/>
                <w:sz w:val="18"/>
                <w:szCs w:val="18"/>
                <w:lang w:eastAsia="sk-SK"/>
              </w:rPr>
              <w:t xml:space="preserve">     % z HDP</w:t>
            </w:r>
          </w:p>
        </w:tc>
        <w:tc>
          <w:tcPr>
            <w:tcW w:w="1120" w:type="dxa"/>
            <w:tcBorders>
              <w:top w:val="nil"/>
              <w:left w:val="nil"/>
              <w:bottom w:val="single" w:sz="4" w:space="0" w:color="auto"/>
              <w:right w:val="nil"/>
            </w:tcBorders>
            <w:shd w:val="clear" w:color="000000" w:fill="auto"/>
            <w:noWrap/>
            <w:vAlign w:val="bottom"/>
            <w:hideMark/>
          </w:tcPr>
          <w:p w14:paraId="760B25F5" w14:textId="4A5E96AD"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44,7</w:t>
            </w:r>
          </w:p>
        </w:tc>
        <w:tc>
          <w:tcPr>
            <w:tcW w:w="1040" w:type="dxa"/>
            <w:tcBorders>
              <w:top w:val="nil"/>
              <w:left w:val="nil"/>
              <w:bottom w:val="single" w:sz="4" w:space="0" w:color="auto"/>
              <w:right w:val="nil"/>
            </w:tcBorders>
            <w:shd w:val="clear" w:color="000000" w:fill="auto"/>
            <w:noWrap/>
            <w:vAlign w:val="bottom"/>
            <w:hideMark/>
          </w:tcPr>
          <w:p w14:paraId="24BC27AF" w14:textId="5B2496CF"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45,3</w:t>
            </w:r>
          </w:p>
        </w:tc>
        <w:tc>
          <w:tcPr>
            <w:tcW w:w="1025" w:type="dxa"/>
            <w:tcBorders>
              <w:top w:val="nil"/>
              <w:left w:val="nil"/>
              <w:bottom w:val="single" w:sz="4" w:space="0" w:color="auto"/>
              <w:right w:val="nil"/>
            </w:tcBorders>
            <w:shd w:val="clear" w:color="000000" w:fill="auto"/>
            <w:noWrap/>
            <w:vAlign w:val="bottom"/>
            <w:hideMark/>
          </w:tcPr>
          <w:p w14:paraId="614B2BD4" w14:textId="7B256811"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42,3</w:t>
            </w:r>
          </w:p>
        </w:tc>
        <w:tc>
          <w:tcPr>
            <w:tcW w:w="980" w:type="dxa"/>
            <w:tcBorders>
              <w:top w:val="nil"/>
              <w:left w:val="nil"/>
              <w:bottom w:val="single" w:sz="4" w:space="0" w:color="auto"/>
              <w:right w:val="nil"/>
            </w:tcBorders>
            <w:shd w:val="clear" w:color="000000" w:fill="auto"/>
            <w:noWrap/>
            <w:vAlign w:val="bottom"/>
            <w:hideMark/>
          </w:tcPr>
          <w:p w14:paraId="1BDD5A41" w14:textId="23C7098A" w:rsidR="00B504AA" w:rsidRPr="00B504AA" w:rsidRDefault="00B504AA" w:rsidP="00B504AA">
            <w:pPr>
              <w:spacing w:after="0" w:line="240" w:lineRule="auto"/>
              <w:jc w:val="right"/>
              <w:rPr>
                <w:b/>
                <w:bCs/>
                <w:color w:val="000000"/>
                <w:sz w:val="18"/>
                <w:szCs w:val="18"/>
                <w:lang w:eastAsia="sk-SK"/>
              </w:rPr>
            </w:pPr>
            <w:r w:rsidRPr="00B504AA">
              <w:rPr>
                <w:b/>
                <w:bCs/>
                <w:color w:val="000000"/>
                <w:sz w:val="18"/>
                <w:szCs w:val="18"/>
              </w:rPr>
              <w:t>47,0</w:t>
            </w:r>
          </w:p>
        </w:tc>
        <w:tc>
          <w:tcPr>
            <w:tcW w:w="1000" w:type="dxa"/>
            <w:tcBorders>
              <w:top w:val="nil"/>
              <w:left w:val="nil"/>
              <w:bottom w:val="single" w:sz="4" w:space="0" w:color="auto"/>
              <w:right w:val="nil"/>
            </w:tcBorders>
            <w:shd w:val="clear" w:color="000000" w:fill="auto"/>
            <w:noWrap/>
            <w:vAlign w:val="bottom"/>
            <w:hideMark/>
          </w:tcPr>
          <w:p w14:paraId="15DC3B38" w14:textId="2AE31CDB" w:rsidR="00B504AA" w:rsidRPr="00B504AA" w:rsidRDefault="00B504AA" w:rsidP="00B504AA">
            <w:pPr>
              <w:tabs>
                <w:tab w:val="decimal" w:pos="451"/>
              </w:tabs>
              <w:spacing w:after="0" w:line="240" w:lineRule="auto"/>
              <w:jc w:val="center"/>
              <w:rPr>
                <w:b/>
                <w:bCs/>
                <w:color w:val="000000"/>
                <w:sz w:val="18"/>
                <w:szCs w:val="18"/>
                <w:lang w:eastAsia="sk-SK"/>
              </w:rPr>
            </w:pPr>
            <w:r w:rsidRPr="00B504AA">
              <w:rPr>
                <w:b/>
                <w:bCs/>
                <w:color w:val="000000"/>
                <w:sz w:val="18"/>
                <w:szCs w:val="18"/>
              </w:rPr>
              <w:t>-3,1</w:t>
            </w:r>
          </w:p>
        </w:tc>
      </w:tr>
    </w:tbl>
    <w:p w14:paraId="39B25C2B" w14:textId="77777777" w:rsidR="002F1D21" w:rsidRPr="00B504AA" w:rsidRDefault="002F1D21" w:rsidP="002F1D21">
      <w:pPr>
        <w:spacing w:after="120" w:line="240" w:lineRule="auto"/>
        <w:jc w:val="right"/>
        <w:rPr>
          <w:sz w:val="16"/>
          <w:szCs w:val="16"/>
        </w:rPr>
      </w:pPr>
      <w:r w:rsidRPr="00B504AA">
        <w:rPr>
          <w:sz w:val="16"/>
          <w:szCs w:val="16"/>
          <w:lang w:eastAsia="sk-SK"/>
        </w:rPr>
        <w:t>*Položky vyznačené kurzívou sú vykázané na hotovostnej báze z analytických dôvodov.                                                  Zdroj: ŠÚSR, MF SR</w:t>
      </w:r>
    </w:p>
    <w:p w14:paraId="0A86A674" w14:textId="77777777" w:rsidR="002F1D21" w:rsidRPr="00BA526A" w:rsidRDefault="002F1D21" w:rsidP="002F1D21">
      <w:pPr>
        <w:spacing w:after="120" w:line="240" w:lineRule="auto"/>
        <w:jc w:val="both"/>
        <w:rPr>
          <w:b/>
          <w:color w:val="4F81BD" w:themeColor="accent1"/>
          <w:szCs w:val="22"/>
        </w:rPr>
      </w:pPr>
      <w:r w:rsidRPr="00BA526A">
        <w:rPr>
          <w:b/>
          <w:color w:val="4F81BD" w:themeColor="accent1"/>
          <w:sz w:val="24"/>
          <w:szCs w:val="24"/>
        </w:rPr>
        <w:t>Kompenzácie zamestnancov</w:t>
      </w:r>
      <w:r w:rsidRPr="00BA526A">
        <w:rPr>
          <w:b/>
          <w:color w:val="4F81BD" w:themeColor="accent1"/>
          <w:szCs w:val="22"/>
        </w:rPr>
        <w:t xml:space="preserve"> </w:t>
      </w:r>
    </w:p>
    <w:p w14:paraId="00509C7E" w14:textId="77777777" w:rsidR="00FD1730" w:rsidRPr="00150A76" w:rsidRDefault="00FD1730" w:rsidP="00FD1730">
      <w:pPr>
        <w:spacing w:after="120" w:line="240" w:lineRule="auto"/>
        <w:jc w:val="both"/>
        <w:rPr>
          <w:lang w:eastAsia="sk-SK"/>
        </w:rPr>
      </w:pPr>
      <w:r w:rsidRPr="00150A76">
        <w:rPr>
          <w:lang w:eastAsia="sk-SK"/>
        </w:rPr>
        <w:t>Celkovo mzdy a platy zamestnancov vo verejnej správe vzrástli oproti predchádzajúcemu roku</w:t>
      </w:r>
      <w:r>
        <w:rPr>
          <w:highlight w:val="yellow"/>
          <w:lang w:eastAsia="sk-SK"/>
        </w:rPr>
        <w:t xml:space="preserve"> </w:t>
      </w:r>
      <w:r w:rsidRPr="00150A76">
        <w:rPr>
          <w:lang w:eastAsia="sk-SK"/>
        </w:rPr>
        <w:t xml:space="preserve">o 382 043 tis. eur a sociálne príspevky zamestnávateľov poklesli o 72 824 tis. eur. </w:t>
      </w:r>
    </w:p>
    <w:p w14:paraId="429A9245" w14:textId="25197367" w:rsidR="00E65202" w:rsidRPr="00BB4B6F" w:rsidRDefault="00D62A48" w:rsidP="00E65202">
      <w:pPr>
        <w:spacing w:after="120" w:line="240" w:lineRule="auto"/>
        <w:jc w:val="both"/>
        <w:rPr>
          <w:highlight w:val="yellow"/>
          <w:lang w:eastAsia="sk-SK"/>
        </w:rPr>
      </w:pPr>
      <w:r w:rsidRPr="007B4722">
        <w:rPr>
          <w:szCs w:val="22"/>
        </w:rPr>
        <w:t>V roku 2022</w:t>
      </w:r>
      <w:r w:rsidR="00DD0026" w:rsidRPr="007B4722">
        <w:rPr>
          <w:szCs w:val="22"/>
        </w:rPr>
        <w:t xml:space="preserve"> vzrástli kompenzácie zamestnancov </w:t>
      </w:r>
      <w:r w:rsidR="007B4722" w:rsidRPr="007B4722">
        <w:rPr>
          <w:szCs w:val="22"/>
        </w:rPr>
        <w:t>o 2,7 % (nárast o 309 219</w:t>
      </w:r>
      <w:r w:rsidR="00E65202" w:rsidRPr="007B4722">
        <w:rPr>
          <w:szCs w:val="22"/>
        </w:rPr>
        <w:t xml:space="preserve"> tis. eur). </w:t>
      </w:r>
      <w:r w:rsidR="00E65202" w:rsidRPr="00613167">
        <w:rPr>
          <w:lang w:eastAsia="sk-SK"/>
        </w:rPr>
        <w:t>Medziročný nárast výdavkov na mzdy, platy, služobné príjmy a osta</w:t>
      </w:r>
      <w:r w:rsidR="00613167">
        <w:rPr>
          <w:lang w:eastAsia="sk-SK"/>
        </w:rPr>
        <w:t>tné osobné vyrovnania ovplyvnilo</w:t>
      </w:r>
      <w:r w:rsidR="00E65202" w:rsidRPr="00613167">
        <w:rPr>
          <w:lang w:eastAsia="sk-SK"/>
        </w:rPr>
        <w:t xml:space="preserve"> predovšetkým </w:t>
      </w:r>
      <w:r w:rsidR="003429D1" w:rsidRPr="00BC44BF">
        <w:rPr>
          <w:lang w:eastAsia="sk-SK"/>
        </w:rPr>
        <w:t>zvýšenie platov štátnych zamestnancov (v štátnozamestnaneckom aj služobnom pomere</w:t>
      </w:r>
      <w:r w:rsidR="003429D1">
        <w:rPr>
          <w:lang w:eastAsia="sk-SK"/>
        </w:rPr>
        <w:t>)</w:t>
      </w:r>
      <w:r w:rsidR="003429D1" w:rsidRPr="00BC44BF">
        <w:rPr>
          <w:lang w:eastAsia="sk-SK"/>
        </w:rPr>
        <w:t xml:space="preserve"> a zamestnancov pri výko</w:t>
      </w:r>
      <w:r w:rsidR="003429D1">
        <w:rPr>
          <w:lang w:eastAsia="sk-SK"/>
        </w:rPr>
        <w:t>ne práce vo verejnom záujme o 3</w:t>
      </w:r>
      <w:r w:rsidR="003429D1" w:rsidRPr="00BC44BF">
        <w:rPr>
          <w:lang w:eastAsia="sk-SK"/>
        </w:rPr>
        <w:t> % s účinnosťou od 1. j</w:t>
      </w:r>
      <w:r w:rsidR="003429D1">
        <w:rPr>
          <w:lang w:eastAsia="sk-SK"/>
        </w:rPr>
        <w:t>úla</w:t>
      </w:r>
      <w:r w:rsidR="003429D1" w:rsidRPr="00BC44BF">
        <w:rPr>
          <w:lang w:eastAsia="sk-SK"/>
        </w:rPr>
        <w:t> 202</w:t>
      </w:r>
      <w:r w:rsidR="003429D1">
        <w:rPr>
          <w:lang w:eastAsia="sk-SK"/>
        </w:rPr>
        <w:t xml:space="preserve">2. Toto zvýšenie sa týkalo aj </w:t>
      </w:r>
      <w:r w:rsidR="003429D1" w:rsidRPr="00BC44BF">
        <w:rPr>
          <w:lang w:eastAsia="sk-SK"/>
        </w:rPr>
        <w:t>platových taríf pedagogický</w:t>
      </w:r>
      <w:r w:rsidR="003429D1">
        <w:rPr>
          <w:lang w:eastAsia="sk-SK"/>
        </w:rPr>
        <w:t xml:space="preserve">ch a odborných zamestnancov a v zmysle </w:t>
      </w:r>
      <w:r w:rsidR="003429D1" w:rsidRPr="00EC0270">
        <w:rPr>
          <w:lang w:eastAsia="sk-SK"/>
        </w:rPr>
        <w:t>D</w:t>
      </w:r>
      <w:r w:rsidR="00B52ED2" w:rsidRPr="00EC0270">
        <w:t>odatku</w:t>
      </w:r>
      <w:r w:rsidR="00466BE4" w:rsidRPr="00EC0270">
        <w:t xml:space="preserve"> č.</w:t>
      </w:r>
      <w:r w:rsidR="00AD00B0" w:rsidRPr="00EC0270">
        <w:t>1</w:t>
      </w:r>
      <w:r w:rsidR="00E65202" w:rsidRPr="00EC0270">
        <w:t xml:space="preserve"> ku Kolektívnej zmluve vyššieho stupňa pre zamestnávateľov, ktorí pri odmeňovaní postup</w:t>
      </w:r>
      <w:r w:rsidR="004D08D9" w:rsidRPr="00EC0270">
        <w:t>ujú podľa zákona č. 553/2003 Z. </w:t>
      </w:r>
      <w:r w:rsidR="00E65202" w:rsidRPr="00EC0270">
        <w:t xml:space="preserve">z. o odmeňovaní niektorých zamestnancov pri výkone práce vo verejnom záujme na </w:t>
      </w:r>
      <w:r w:rsidR="003429D1" w:rsidRPr="00EC0270">
        <w:t>rok 2022</w:t>
      </w:r>
      <w:r w:rsidR="00EC0270" w:rsidRPr="00EC0270">
        <w:t>,</w:t>
      </w:r>
      <w:r w:rsidR="00E65202" w:rsidRPr="00EC0270">
        <w:t xml:space="preserve"> </w:t>
      </w:r>
      <w:r w:rsidR="00EC0270" w:rsidRPr="00EC0270">
        <w:t xml:space="preserve">sa </w:t>
      </w:r>
      <w:r w:rsidR="00E65202" w:rsidRPr="00EC0270">
        <w:t xml:space="preserve">dohodlo </w:t>
      </w:r>
      <w:r w:rsidR="009A2EBE" w:rsidRPr="00EC0270">
        <w:t xml:space="preserve">vyplatenie </w:t>
      </w:r>
      <w:r w:rsidR="003429D1" w:rsidRPr="00EC0270">
        <w:t>jednorazovej</w:t>
      </w:r>
      <w:r w:rsidR="009A2EBE" w:rsidRPr="00EC0270">
        <w:t xml:space="preserve"> odmeny na úrovni 50</w:t>
      </w:r>
      <w:r w:rsidR="004D08D9" w:rsidRPr="00EC0270">
        <w:t>0 </w:t>
      </w:r>
      <w:r w:rsidR="00E65202" w:rsidRPr="00EC0270">
        <w:t>eur pre zamestnanca.</w:t>
      </w:r>
    </w:p>
    <w:p w14:paraId="32DFF53F" w14:textId="32665566" w:rsidR="00EE0039" w:rsidRPr="009A76AC" w:rsidRDefault="009B3EF7" w:rsidP="00CF290C">
      <w:pPr>
        <w:spacing w:after="120" w:line="240" w:lineRule="auto"/>
        <w:jc w:val="both"/>
        <w:rPr>
          <w:szCs w:val="22"/>
        </w:rPr>
      </w:pPr>
      <w:r>
        <w:rPr>
          <w:lang w:eastAsia="sk-SK"/>
        </w:rPr>
        <w:t>Zároveň boli vyplatené</w:t>
      </w:r>
      <w:r w:rsidR="009E4C6B" w:rsidRPr="002728B3">
        <w:rPr>
          <w:lang w:eastAsia="sk-SK"/>
        </w:rPr>
        <w:t xml:space="preserve"> </w:t>
      </w:r>
      <w:r w:rsidR="004F6B48">
        <w:rPr>
          <w:lang w:eastAsia="sk-SK"/>
        </w:rPr>
        <w:t xml:space="preserve">tzv. </w:t>
      </w:r>
      <w:r w:rsidR="009E4C6B" w:rsidRPr="002728B3">
        <w:rPr>
          <w:lang w:eastAsia="sk-SK"/>
        </w:rPr>
        <w:t>stabilizačné príspevky</w:t>
      </w:r>
      <w:r w:rsidR="0065136C">
        <w:rPr>
          <w:rStyle w:val="Odkaznapoznmkupodiarou"/>
          <w:lang w:eastAsia="sk-SK"/>
        </w:rPr>
        <w:footnoteReference w:id="17"/>
      </w:r>
      <w:r w:rsidR="004F6B48">
        <w:rPr>
          <w:lang w:eastAsia="sk-SK"/>
        </w:rPr>
        <w:t xml:space="preserve"> </w:t>
      </w:r>
      <w:r w:rsidR="009E4C6B" w:rsidRPr="002728B3">
        <w:rPr>
          <w:lang w:eastAsia="sk-SK"/>
        </w:rPr>
        <w:t xml:space="preserve">z kapitoly Ministerstva zdravotníctva SR </w:t>
      </w:r>
      <w:r w:rsidR="004F6B48" w:rsidRPr="002E157F">
        <w:rPr>
          <w:szCs w:val="22"/>
        </w:rPr>
        <w:t>vo výške 169</w:t>
      </w:r>
      <w:r w:rsidR="009E4C6B" w:rsidRPr="002E157F">
        <w:rPr>
          <w:szCs w:val="22"/>
        </w:rPr>
        <w:t> </w:t>
      </w:r>
      <w:r w:rsidR="004F6B48" w:rsidRPr="002E157F">
        <w:rPr>
          <w:szCs w:val="22"/>
        </w:rPr>
        <w:t>269</w:t>
      </w:r>
      <w:r w:rsidR="009E4C6B" w:rsidRPr="002E157F">
        <w:rPr>
          <w:szCs w:val="22"/>
        </w:rPr>
        <w:t> tis. eur</w:t>
      </w:r>
      <w:r w:rsidR="000352E6" w:rsidRPr="002E157F">
        <w:rPr>
          <w:szCs w:val="22"/>
        </w:rPr>
        <w:t xml:space="preserve"> </w:t>
      </w:r>
      <w:r w:rsidR="0079104C">
        <w:rPr>
          <w:szCs w:val="22"/>
        </w:rPr>
        <w:t xml:space="preserve">zamestnancom </w:t>
      </w:r>
      <w:r w:rsidR="000352E6" w:rsidRPr="002E157F">
        <w:rPr>
          <w:szCs w:val="22"/>
        </w:rPr>
        <w:t>zdravotnícky</w:t>
      </w:r>
      <w:r w:rsidR="0079104C">
        <w:rPr>
          <w:szCs w:val="22"/>
        </w:rPr>
        <w:t>ch</w:t>
      </w:r>
      <w:r w:rsidR="000352E6" w:rsidRPr="002E157F">
        <w:rPr>
          <w:szCs w:val="22"/>
        </w:rPr>
        <w:t xml:space="preserve"> zariaden</w:t>
      </w:r>
      <w:r w:rsidR="0079104C">
        <w:rPr>
          <w:szCs w:val="22"/>
        </w:rPr>
        <w:t>í</w:t>
      </w:r>
      <w:r w:rsidR="002E157F">
        <w:rPr>
          <w:szCs w:val="22"/>
        </w:rPr>
        <w:t xml:space="preserve"> (z toho vo verejnej správe 118 254</w:t>
      </w:r>
      <w:r w:rsidR="002E157F">
        <w:t> tis. eur</w:t>
      </w:r>
      <w:r w:rsidR="002E157F">
        <w:rPr>
          <w:szCs w:val="22"/>
        </w:rPr>
        <w:t>)</w:t>
      </w:r>
      <w:r w:rsidR="009E4C6B" w:rsidRPr="00CF4490">
        <w:rPr>
          <w:szCs w:val="22"/>
        </w:rPr>
        <w:t xml:space="preserve">. </w:t>
      </w:r>
      <w:r w:rsidR="004F6B48" w:rsidRPr="00CF4490">
        <w:rPr>
          <w:szCs w:val="22"/>
        </w:rPr>
        <w:t>Stabilizačný</w:t>
      </w:r>
      <w:r w:rsidR="004F6B48" w:rsidRPr="004F6B48">
        <w:rPr>
          <w:szCs w:val="22"/>
        </w:rPr>
        <w:t xml:space="preserve"> príspevok bol </w:t>
      </w:r>
      <w:r w:rsidR="00613167">
        <w:rPr>
          <w:szCs w:val="22"/>
        </w:rPr>
        <w:t>stanovený</w:t>
      </w:r>
      <w:r w:rsidR="004F6B48" w:rsidRPr="004F6B48">
        <w:rPr>
          <w:szCs w:val="22"/>
        </w:rPr>
        <w:t xml:space="preserve"> </w:t>
      </w:r>
      <w:r w:rsidR="004F6B48" w:rsidRPr="004F6B48">
        <w:rPr>
          <w:lang w:eastAsia="sk-SK"/>
        </w:rPr>
        <w:t>vo</w:t>
      </w:r>
      <w:r w:rsidR="004F6B48">
        <w:rPr>
          <w:lang w:eastAsia="sk-SK"/>
        </w:rPr>
        <w:t xml:space="preserve"> výške 5 000 eur (resp. v jeho pomernej časti podľa podmienok stanových usmernením </w:t>
      </w:r>
      <w:r w:rsidR="004F6B48" w:rsidRPr="002728B3">
        <w:rPr>
          <w:lang w:eastAsia="sk-SK"/>
        </w:rPr>
        <w:t>Ministerstva zdravotníctva SR</w:t>
      </w:r>
      <w:r w:rsidR="004F6B48">
        <w:rPr>
          <w:lang w:eastAsia="sk-SK"/>
        </w:rPr>
        <w:t>).</w:t>
      </w:r>
      <w:r w:rsidR="000352E6">
        <w:rPr>
          <w:lang w:eastAsia="sk-SK"/>
        </w:rPr>
        <w:t xml:space="preserve"> Zdravotnícke zariadenia</w:t>
      </w:r>
      <w:r>
        <w:rPr>
          <w:lang w:eastAsia="sk-SK"/>
        </w:rPr>
        <w:t xml:space="preserve"> následne</w:t>
      </w:r>
      <w:r w:rsidR="000352E6">
        <w:rPr>
          <w:lang w:eastAsia="sk-SK"/>
        </w:rPr>
        <w:t xml:space="preserve"> vyplatili </w:t>
      </w:r>
      <w:r w:rsidR="00FD1730">
        <w:rPr>
          <w:lang w:eastAsia="sk-SK"/>
        </w:rPr>
        <w:t xml:space="preserve">do konca roka </w:t>
      </w:r>
      <w:r w:rsidR="000352E6">
        <w:rPr>
          <w:lang w:eastAsia="sk-SK"/>
        </w:rPr>
        <w:t>2022 preddavok zdravotníckym pracovníkom v</w:t>
      </w:r>
      <w:r>
        <w:rPr>
          <w:lang w:eastAsia="sk-SK"/>
        </w:rPr>
        <w:t>o výške 2 500 eur (resp. v jeho pomernej časti)</w:t>
      </w:r>
      <w:r w:rsidR="000352E6">
        <w:rPr>
          <w:lang w:eastAsia="sk-SK"/>
        </w:rPr>
        <w:t xml:space="preserve"> a druhá časť stabilizačného príspevku bola vyplatená v decembrových mzdách s výplatným termínom v mesiaci január 2023</w:t>
      </w:r>
      <w:r w:rsidR="00FD1730">
        <w:rPr>
          <w:lang w:eastAsia="sk-SK"/>
        </w:rPr>
        <w:t>.</w:t>
      </w:r>
      <w:r w:rsidR="00EE0039" w:rsidRPr="009A76AC">
        <w:rPr>
          <w:szCs w:val="22"/>
        </w:rPr>
        <w:t xml:space="preserve"> V zmysle dohody o poskytnutí stabilizačného príspevku sa zamestnanec zaviazal, že zotrvá v pracovnom pomere nepretržite počas troch rokov, preto výdavok zdravotníckych zariadení v sektore verejnej správy bude rozložený na obdobie rokov 2023, 2024 a 2025 v pomernej časti. </w:t>
      </w:r>
    </w:p>
    <w:p w14:paraId="1BB9E2E1" w14:textId="77777777" w:rsidR="002F1D21" w:rsidRPr="00D62A48" w:rsidRDefault="002F1D21" w:rsidP="002F1D21">
      <w:pPr>
        <w:keepNext/>
        <w:spacing w:after="120" w:line="240" w:lineRule="auto"/>
        <w:jc w:val="both"/>
        <w:rPr>
          <w:b/>
          <w:color w:val="4F81BD" w:themeColor="accent1"/>
          <w:szCs w:val="22"/>
        </w:rPr>
      </w:pPr>
      <w:r w:rsidRPr="00D62A48">
        <w:rPr>
          <w:b/>
          <w:color w:val="4F81BD" w:themeColor="accent1"/>
          <w:sz w:val="24"/>
          <w:szCs w:val="24"/>
        </w:rPr>
        <w:t xml:space="preserve">Medzispotreba </w:t>
      </w:r>
    </w:p>
    <w:p w14:paraId="447741D2" w14:textId="409BD683" w:rsidR="008F4B69" w:rsidRDefault="00E65202" w:rsidP="0025192F">
      <w:pPr>
        <w:spacing w:after="120" w:line="240" w:lineRule="auto"/>
        <w:jc w:val="both"/>
        <w:rPr>
          <w:szCs w:val="22"/>
          <w:highlight w:val="yellow"/>
        </w:rPr>
      </w:pPr>
      <w:r w:rsidRPr="007B4722">
        <w:rPr>
          <w:szCs w:val="22"/>
        </w:rPr>
        <w:t>Spotreba tovarov a služieb v rámci</w:t>
      </w:r>
      <w:r w:rsidR="007B4722" w:rsidRPr="007B4722">
        <w:rPr>
          <w:szCs w:val="22"/>
        </w:rPr>
        <w:t xml:space="preserve"> verejnej správy sa zvýšila o 14,1 % (nárast o 807 708</w:t>
      </w:r>
      <w:r w:rsidRPr="007B4722">
        <w:rPr>
          <w:szCs w:val="22"/>
        </w:rPr>
        <w:t xml:space="preserve"> tis. eur), </w:t>
      </w:r>
      <w:r w:rsidRPr="008F4B69">
        <w:rPr>
          <w:szCs w:val="22"/>
        </w:rPr>
        <w:t>čo bolo spôsobené najmä nárastom čerpania vý</w:t>
      </w:r>
      <w:r w:rsidR="00357146" w:rsidRPr="008F4B69">
        <w:rPr>
          <w:szCs w:val="22"/>
        </w:rPr>
        <w:t xml:space="preserve">davkov </w:t>
      </w:r>
      <w:r w:rsidR="008F4B69" w:rsidRPr="008F4B69">
        <w:rPr>
          <w:szCs w:val="22"/>
        </w:rPr>
        <w:t>na energie o 192 062 tis. eur (najvýraznejšie zvýšenie výdavkov na energie zaznamenali obce, zdravotnícke zariadenia ústrednej správy a</w:t>
      </w:r>
      <w:r w:rsidR="00FD1730">
        <w:rPr>
          <w:szCs w:val="22"/>
        </w:rPr>
        <w:t> </w:t>
      </w:r>
      <w:r w:rsidR="008F4B69" w:rsidRPr="008F4B69">
        <w:rPr>
          <w:szCs w:val="22"/>
        </w:rPr>
        <w:t>kapitoly</w:t>
      </w:r>
      <w:r w:rsidR="00FD1730">
        <w:rPr>
          <w:szCs w:val="22"/>
        </w:rPr>
        <w:t xml:space="preserve"> náročné na energie z pohľadu počtu organizácií a počtu budov, napríklad</w:t>
      </w:r>
      <w:r w:rsidR="008F4B69" w:rsidRPr="008F4B69">
        <w:rPr>
          <w:szCs w:val="22"/>
        </w:rPr>
        <w:t xml:space="preserve"> Ministerstv</w:t>
      </w:r>
      <w:r w:rsidR="00FD1730">
        <w:rPr>
          <w:szCs w:val="22"/>
        </w:rPr>
        <w:t>o</w:t>
      </w:r>
      <w:r w:rsidR="008F4B69" w:rsidRPr="008F4B69">
        <w:rPr>
          <w:szCs w:val="22"/>
        </w:rPr>
        <w:t xml:space="preserve"> vnútra SR, Ministerstv</w:t>
      </w:r>
      <w:r w:rsidR="00FD1730">
        <w:rPr>
          <w:szCs w:val="22"/>
        </w:rPr>
        <w:t>o</w:t>
      </w:r>
      <w:r w:rsidR="008F4B69" w:rsidRPr="008F4B69">
        <w:rPr>
          <w:szCs w:val="22"/>
        </w:rPr>
        <w:t xml:space="preserve"> </w:t>
      </w:r>
      <w:r w:rsidR="00FD1730">
        <w:rPr>
          <w:szCs w:val="22"/>
        </w:rPr>
        <w:t>spravodlivosti SR a Ministerstvo</w:t>
      </w:r>
      <w:r w:rsidR="008F4B69" w:rsidRPr="008F4B69">
        <w:rPr>
          <w:szCs w:val="22"/>
        </w:rPr>
        <w:t xml:space="preserve"> školstva, vedy, výskumu a športu SR).</w:t>
      </w:r>
    </w:p>
    <w:p w14:paraId="19E2BE89" w14:textId="7E6B6A3D" w:rsidR="003A77F2" w:rsidRDefault="00A86331" w:rsidP="0025192F">
      <w:pPr>
        <w:spacing w:after="120" w:line="240" w:lineRule="auto"/>
        <w:jc w:val="both"/>
        <w:rPr>
          <w:szCs w:val="22"/>
          <w:highlight w:val="yellow"/>
        </w:rPr>
      </w:pPr>
      <w:r w:rsidRPr="00A86331">
        <w:rPr>
          <w:szCs w:val="22"/>
        </w:rPr>
        <w:t xml:space="preserve">Nárast opäť zaznamenali aj výdavky </w:t>
      </w:r>
      <w:r w:rsidR="00357146" w:rsidRPr="00A86331">
        <w:rPr>
          <w:szCs w:val="22"/>
        </w:rPr>
        <w:t>na všeobecný materiál (o </w:t>
      </w:r>
      <w:r w:rsidRPr="00A86331">
        <w:rPr>
          <w:szCs w:val="22"/>
        </w:rPr>
        <w:t>112</w:t>
      </w:r>
      <w:r w:rsidR="00E65202" w:rsidRPr="00A86331">
        <w:rPr>
          <w:szCs w:val="22"/>
        </w:rPr>
        <w:t> </w:t>
      </w:r>
      <w:r w:rsidRPr="00A86331">
        <w:rPr>
          <w:szCs w:val="22"/>
        </w:rPr>
        <w:t>007</w:t>
      </w:r>
      <w:r w:rsidR="00E65202" w:rsidRPr="00A86331">
        <w:rPr>
          <w:szCs w:val="22"/>
        </w:rPr>
        <w:t xml:space="preserve"> tis. eur). </w:t>
      </w:r>
      <w:r w:rsidR="00E65202" w:rsidRPr="003A77F2">
        <w:rPr>
          <w:szCs w:val="22"/>
        </w:rPr>
        <w:t>Išlo predovšetkým o nárast výdavkov v kapitole Ministerstva zdravotníctva SR (n</w:t>
      </w:r>
      <w:r w:rsidR="00E65202" w:rsidRPr="003A77F2">
        <w:t xml:space="preserve">avýšenie sa týkalo hlavne </w:t>
      </w:r>
      <w:r w:rsidR="00B52ED2" w:rsidRPr="003A77F2">
        <w:t xml:space="preserve">obstarania </w:t>
      </w:r>
      <w:r w:rsidR="00E65202" w:rsidRPr="003A77F2">
        <w:t>vakcín, test</w:t>
      </w:r>
      <w:r w:rsidR="00B52ED2" w:rsidRPr="003A77F2">
        <w:t>ov</w:t>
      </w:r>
      <w:r w:rsidR="00E65202" w:rsidRPr="003A77F2">
        <w:t xml:space="preserve"> a liek</w:t>
      </w:r>
      <w:r w:rsidR="00B52ED2" w:rsidRPr="003A77F2">
        <w:t>ov</w:t>
      </w:r>
      <w:r w:rsidR="00E65202" w:rsidRPr="003A77F2">
        <w:t xml:space="preserve"> v súvislosti s ochorením C</w:t>
      </w:r>
      <w:r w:rsidR="00253472" w:rsidRPr="003A77F2">
        <w:t>OVID</w:t>
      </w:r>
      <w:r w:rsidR="00E65202" w:rsidRPr="003A77F2">
        <w:t>-19)</w:t>
      </w:r>
      <w:r w:rsidR="003A77F2">
        <w:t>, v</w:t>
      </w:r>
      <w:r w:rsidR="00E65202" w:rsidRPr="003A77F2">
        <w:t xml:space="preserve"> </w:t>
      </w:r>
      <w:r w:rsidR="003A77F2">
        <w:rPr>
          <w:szCs w:val="22"/>
        </w:rPr>
        <w:t>zdravotníckych zariadeniach (</w:t>
      </w:r>
      <w:r w:rsidR="00E65202" w:rsidRPr="003A77F2">
        <w:rPr>
          <w:szCs w:val="22"/>
        </w:rPr>
        <w:t>na zdravotnícky materiál</w:t>
      </w:r>
      <w:r w:rsidR="003A77F2">
        <w:rPr>
          <w:szCs w:val="22"/>
        </w:rPr>
        <w:t xml:space="preserve">) a </w:t>
      </w:r>
      <w:r w:rsidR="003A77F2" w:rsidRPr="003A77F2">
        <w:rPr>
          <w:szCs w:val="22"/>
        </w:rPr>
        <w:t xml:space="preserve">zároveň zvýšené výdavky </w:t>
      </w:r>
      <w:r w:rsidR="00FE05F3">
        <w:rPr>
          <w:szCs w:val="22"/>
        </w:rPr>
        <w:t xml:space="preserve">na všeobecný materiál </w:t>
      </w:r>
      <w:r w:rsidR="003A77F2" w:rsidRPr="003A77F2">
        <w:rPr>
          <w:szCs w:val="22"/>
        </w:rPr>
        <w:t xml:space="preserve">zaznamenali aj </w:t>
      </w:r>
      <w:r w:rsidR="003A77F2" w:rsidRPr="00E928F3">
        <w:rPr>
          <w:szCs w:val="22"/>
        </w:rPr>
        <w:t>prísp</w:t>
      </w:r>
      <w:r w:rsidR="00FE05F3">
        <w:rPr>
          <w:szCs w:val="22"/>
        </w:rPr>
        <w:t>evkové organizácie zriadené VÚC.</w:t>
      </w:r>
    </w:p>
    <w:p w14:paraId="51B4C62B" w14:textId="77777777" w:rsidR="00DE3367" w:rsidRDefault="003A77F2" w:rsidP="0025192F">
      <w:pPr>
        <w:spacing w:after="120" w:line="240" w:lineRule="auto"/>
        <w:jc w:val="both"/>
        <w:rPr>
          <w:szCs w:val="22"/>
        </w:rPr>
      </w:pPr>
      <w:r w:rsidRPr="003A77F2">
        <w:rPr>
          <w:szCs w:val="22"/>
        </w:rPr>
        <w:t xml:space="preserve">Zvýšili sa aj výdavky na palivá ako zdroj energie (o 73 969 tis. eur) predovšetkým v Železničnej spoločnosti Slovensko, </w:t>
      </w:r>
      <w:proofErr w:type="spellStart"/>
      <w:r w:rsidRPr="003A77F2">
        <w:rPr>
          <w:szCs w:val="22"/>
        </w:rPr>
        <w:t>a.s</w:t>
      </w:r>
      <w:proofErr w:type="spellEnd"/>
      <w:r w:rsidRPr="003A77F2">
        <w:rPr>
          <w:szCs w:val="22"/>
        </w:rPr>
        <w:t>.</w:t>
      </w:r>
      <w:r w:rsidR="00DE3367">
        <w:rPr>
          <w:szCs w:val="22"/>
        </w:rPr>
        <w:t xml:space="preserve"> z dôvodu zvýšenia cien energií.</w:t>
      </w:r>
    </w:p>
    <w:p w14:paraId="0058015C" w14:textId="5E2CFC29" w:rsidR="002F1D21" w:rsidRPr="00BA526A" w:rsidRDefault="002F1D21" w:rsidP="002F1D21">
      <w:pPr>
        <w:spacing w:after="120" w:line="240" w:lineRule="auto"/>
        <w:jc w:val="both"/>
        <w:rPr>
          <w:b/>
          <w:color w:val="0070C0"/>
          <w:sz w:val="24"/>
          <w:szCs w:val="24"/>
        </w:rPr>
      </w:pPr>
      <w:r w:rsidRPr="00BA526A">
        <w:rPr>
          <w:b/>
          <w:color w:val="4F81BD" w:themeColor="accent1"/>
          <w:sz w:val="24"/>
          <w:szCs w:val="24"/>
        </w:rPr>
        <w:t>Subvencie</w:t>
      </w:r>
    </w:p>
    <w:p w14:paraId="3543B816" w14:textId="7A863DBF" w:rsidR="00D92233" w:rsidRPr="00AC7E3F" w:rsidRDefault="00881380" w:rsidP="005C2CFF">
      <w:pPr>
        <w:spacing w:after="120" w:line="240" w:lineRule="auto"/>
        <w:jc w:val="both"/>
        <w:rPr>
          <w:szCs w:val="22"/>
        </w:rPr>
      </w:pPr>
      <w:r w:rsidRPr="00AC7E3F">
        <w:rPr>
          <w:szCs w:val="22"/>
        </w:rPr>
        <w:t>Celkové subvencie</w:t>
      </w:r>
      <w:r w:rsidRPr="00AC7E3F">
        <w:rPr>
          <w:rStyle w:val="Odkaznapoznmkupodiarou"/>
          <w:szCs w:val="22"/>
        </w:rPr>
        <w:footnoteReference w:id="18"/>
      </w:r>
      <w:r w:rsidRPr="00AC7E3F">
        <w:rPr>
          <w:szCs w:val="22"/>
        </w:rPr>
        <w:t xml:space="preserve"> poklesli o 12,6 %, čo predstavovalo pokles o 172 744 tis. eur. Najvýznamnejší </w:t>
      </w:r>
      <w:r>
        <w:rPr>
          <w:szCs w:val="22"/>
        </w:rPr>
        <w:t xml:space="preserve">nárast v roku 2022 </w:t>
      </w:r>
      <w:r w:rsidRPr="00AC7E3F">
        <w:rPr>
          <w:lang w:eastAsia="sk-SK"/>
        </w:rPr>
        <w:t>zaznamenali subvencie do poľnohospodárstva o 55,7 % (o 60 526 tis. eur)</w:t>
      </w:r>
      <w:r w:rsidR="00D92233">
        <w:rPr>
          <w:lang w:eastAsia="sk-SK"/>
        </w:rPr>
        <w:t xml:space="preserve">, išlo predovšetkým o platby z Pôdohospodárskej platobnej </w:t>
      </w:r>
      <w:r w:rsidR="00D92233" w:rsidRPr="00D92233">
        <w:rPr>
          <w:lang w:eastAsia="sk-SK"/>
        </w:rPr>
        <w:t xml:space="preserve">agentúry vynaložené na </w:t>
      </w:r>
      <w:r w:rsidR="005C2CFF">
        <w:rPr>
          <w:lang w:eastAsia="sk-SK"/>
        </w:rPr>
        <w:t xml:space="preserve">eliminovanie dôsledkov </w:t>
      </w:r>
      <w:r w:rsidR="00D92233" w:rsidRPr="00D92233">
        <w:rPr>
          <w:lang w:eastAsia="sk-SK"/>
        </w:rPr>
        <w:t xml:space="preserve">sucha na živočíšnu </w:t>
      </w:r>
      <w:r w:rsidR="00D92233" w:rsidRPr="00D92233">
        <w:rPr>
          <w:lang w:eastAsia="sk-SK"/>
        </w:rPr>
        <w:lastRenderedPageBreak/>
        <w:t>výrobu a objemové krmoviny, na stabilizáciu poľnohospodárstva a trhov s poľnohospodárskymi komoditami a</w:t>
      </w:r>
      <w:r w:rsidR="005C2CFF">
        <w:t xml:space="preserve"> </w:t>
      </w:r>
      <w:r w:rsidR="005C2CFF">
        <w:rPr>
          <w:lang w:eastAsia="sk-SK"/>
        </w:rPr>
        <w:t>na výplatu štátnej pomoci v súlade so Schémou štátnej pomoci na podporu poľnohospodárskej prvovýroby v dôsledku agresie Ruska voči Ukrajine</w:t>
      </w:r>
      <w:r w:rsidR="00D92233" w:rsidRPr="00D92233">
        <w:rPr>
          <w:lang w:eastAsia="sk-SK"/>
        </w:rPr>
        <w:t>.</w:t>
      </w:r>
    </w:p>
    <w:p w14:paraId="3FB757DA" w14:textId="400FF987" w:rsidR="00881380" w:rsidRPr="00AC7E3F" w:rsidRDefault="00881380" w:rsidP="00881380">
      <w:pPr>
        <w:spacing w:after="120" w:line="240" w:lineRule="auto"/>
        <w:jc w:val="both"/>
        <w:rPr>
          <w:szCs w:val="22"/>
        </w:rPr>
      </w:pPr>
      <w:r>
        <w:rPr>
          <w:szCs w:val="22"/>
        </w:rPr>
        <w:t>Mierny nárast zaznamenali</w:t>
      </w:r>
      <w:r w:rsidRPr="00AC7E3F">
        <w:rPr>
          <w:szCs w:val="22"/>
        </w:rPr>
        <w:t xml:space="preserve"> subvencie do dopravy t. j. o</w:t>
      </w:r>
      <w:r>
        <w:rPr>
          <w:szCs w:val="22"/>
        </w:rPr>
        <w:t> 12,3</w:t>
      </w:r>
      <w:r w:rsidRPr="00AC7E3F">
        <w:rPr>
          <w:szCs w:val="22"/>
        </w:rPr>
        <w:t> %</w:t>
      </w:r>
      <w:r>
        <w:rPr>
          <w:lang w:eastAsia="sk-SK"/>
        </w:rPr>
        <w:t xml:space="preserve"> (nárast</w:t>
      </w:r>
      <w:r w:rsidRPr="00AC7E3F">
        <w:rPr>
          <w:lang w:eastAsia="sk-SK"/>
        </w:rPr>
        <w:t xml:space="preserve"> o </w:t>
      </w:r>
      <w:r>
        <w:rPr>
          <w:lang w:eastAsia="sk-SK"/>
        </w:rPr>
        <w:t>35</w:t>
      </w:r>
      <w:r w:rsidRPr="00AC7E3F">
        <w:rPr>
          <w:lang w:eastAsia="sk-SK"/>
        </w:rPr>
        <w:t> </w:t>
      </w:r>
      <w:r>
        <w:rPr>
          <w:lang w:eastAsia="sk-SK"/>
        </w:rPr>
        <w:t>231</w:t>
      </w:r>
      <w:r w:rsidRPr="00AC7E3F">
        <w:rPr>
          <w:lang w:eastAsia="sk-SK"/>
        </w:rPr>
        <w:t> tis. eur)</w:t>
      </w:r>
      <w:r>
        <w:rPr>
          <w:lang w:eastAsia="sk-SK"/>
        </w:rPr>
        <w:t xml:space="preserve">, </w:t>
      </w:r>
      <w:r w:rsidRPr="00881380">
        <w:rPr>
          <w:lang w:eastAsia="sk-SK"/>
        </w:rPr>
        <w:t>z čoho najväčšiu po</w:t>
      </w:r>
      <w:r>
        <w:rPr>
          <w:lang w:eastAsia="sk-SK"/>
        </w:rPr>
        <w:t>ložku tvorila cestná doprava o 14,6 % (o 39</w:t>
      </w:r>
      <w:r w:rsidRPr="00881380">
        <w:rPr>
          <w:lang w:eastAsia="sk-SK"/>
        </w:rPr>
        <w:t xml:space="preserve"> </w:t>
      </w:r>
      <w:r>
        <w:rPr>
          <w:lang w:eastAsia="sk-SK"/>
        </w:rPr>
        <w:t>528</w:t>
      </w:r>
      <w:r w:rsidRPr="00881380">
        <w:rPr>
          <w:lang w:eastAsia="sk-SK"/>
        </w:rPr>
        <w:t xml:space="preserve"> tis. eur).</w:t>
      </w:r>
      <w:r>
        <w:rPr>
          <w:lang w:eastAsia="sk-SK"/>
        </w:rPr>
        <w:t xml:space="preserve"> </w:t>
      </w:r>
      <w:r w:rsidRPr="00630A60">
        <w:rPr>
          <w:lang w:eastAsia="sk-SK"/>
        </w:rPr>
        <w:t xml:space="preserve">Nárast subvencií zaznamenali najmä VÚC </w:t>
      </w:r>
      <w:r w:rsidRPr="00881380">
        <w:rPr>
          <w:lang w:eastAsia="sk-SK"/>
        </w:rPr>
        <w:t>o 30 312 tis. eur</w:t>
      </w:r>
      <w:r w:rsidRPr="0074172C">
        <w:rPr>
          <w:lang w:eastAsia="sk-SK"/>
        </w:rPr>
        <w:t>, išlo najmä o</w:t>
      </w:r>
      <w:r w:rsidRPr="0074172C">
        <w:t xml:space="preserve"> </w:t>
      </w:r>
      <w:r w:rsidRPr="0074172C">
        <w:rPr>
          <w:lang w:eastAsia="sk-SK"/>
        </w:rPr>
        <w:t xml:space="preserve">transfery verejným dopravcom na vykrytie strát výkonov vo verejnom záujme pri zabezpečovaní prímestskej autobusovej dopravy. </w:t>
      </w:r>
      <w:r w:rsidRPr="00881380">
        <w:rPr>
          <w:lang w:eastAsia="sk-SK"/>
        </w:rPr>
        <w:t xml:space="preserve">Najvyšší nárast zaznamenali </w:t>
      </w:r>
      <w:r>
        <w:rPr>
          <w:lang w:eastAsia="sk-SK"/>
        </w:rPr>
        <w:t>prešovský</w:t>
      </w:r>
      <w:r w:rsidRPr="00881380">
        <w:rPr>
          <w:lang w:eastAsia="sk-SK"/>
        </w:rPr>
        <w:t>, banskobystrický a trnavský kraj. V roku 2022 (ta</w:t>
      </w:r>
      <w:r w:rsidRPr="00AC7E3F">
        <w:rPr>
          <w:lang w:eastAsia="sk-SK"/>
        </w:rPr>
        <w:t>k ako aj v roku 2021) nebola poskytnut</w:t>
      </w:r>
      <w:r w:rsidR="00FD652C">
        <w:rPr>
          <w:lang w:eastAsia="sk-SK"/>
        </w:rPr>
        <w:t>é</w:t>
      </w:r>
      <w:r w:rsidRPr="00AC7E3F">
        <w:rPr>
          <w:lang w:eastAsia="sk-SK"/>
        </w:rPr>
        <w:t xml:space="preserve"> žiadn</w:t>
      </w:r>
      <w:r w:rsidR="00FD652C">
        <w:rPr>
          <w:lang w:eastAsia="sk-SK"/>
        </w:rPr>
        <w:t>e</w:t>
      </w:r>
      <w:r w:rsidRPr="00AC7E3F">
        <w:rPr>
          <w:lang w:eastAsia="sk-SK"/>
        </w:rPr>
        <w:t xml:space="preserve"> </w:t>
      </w:r>
      <w:r w:rsidR="00D12064">
        <w:rPr>
          <w:lang w:eastAsia="sk-SK"/>
        </w:rPr>
        <w:t xml:space="preserve">bežné transfery </w:t>
      </w:r>
      <w:r w:rsidRPr="00AC7E3F">
        <w:rPr>
          <w:lang w:eastAsia="sk-SK"/>
        </w:rPr>
        <w:t xml:space="preserve">do železničnej dopravy. </w:t>
      </w:r>
    </w:p>
    <w:p w14:paraId="290DE002" w14:textId="77777777" w:rsidR="00DE1BC6" w:rsidRPr="00E94FBD" w:rsidRDefault="00DE1BC6" w:rsidP="00DE1BC6">
      <w:pPr>
        <w:spacing w:after="120" w:line="240" w:lineRule="auto"/>
        <w:jc w:val="both"/>
        <w:rPr>
          <w:b/>
          <w:color w:val="4F81BD" w:themeColor="accent1"/>
          <w:sz w:val="24"/>
          <w:szCs w:val="24"/>
        </w:rPr>
      </w:pPr>
      <w:r w:rsidRPr="00E94FBD">
        <w:rPr>
          <w:b/>
          <w:color w:val="4F81BD" w:themeColor="accent1"/>
          <w:sz w:val="24"/>
          <w:szCs w:val="24"/>
        </w:rPr>
        <w:t>Úrokové náklady</w:t>
      </w:r>
    </w:p>
    <w:p w14:paraId="14577D5A" w14:textId="34B90047" w:rsidR="00DE1BC6" w:rsidRPr="00371415" w:rsidRDefault="00DE1BC6" w:rsidP="00DE1BC6">
      <w:pPr>
        <w:spacing w:after="120" w:line="240" w:lineRule="auto"/>
        <w:jc w:val="both"/>
        <w:rPr>
          <w:szCs w:val="22"/>
          <w:highlight w:val="green"/>
        </w:rPr>
      </w:pPr>
      <w:r w:rsidRPr="00E94FBD">
        <w:rPr>
          <w:szCs w:val="22"/>
        </w:rPr>
        <w:t xml:space="preserve">Úrokové náklady verejného dlhu </w:t>
      </w:r>
      <w:r w:rsidR="00E94FBD" w:rsidRPr="00E94FBD">
        <w:rPr>
          <w:szCs w:val="22"/>
        </w:rPr>
        <w:t>vzrástli o 3,2</w:t>
      </w:r>
      <w:r w:rsidRPr="00E94FBD">
        <w:rPr>
          <w:szCs w:val="22"/>
        </w:rPr>
        <w:t xml:space="preserve"> %, čo predstavovalo </w:t>
      </w:r>
      <w:r w:rsidR="00E94FBD" w:rsidRPr="00E94FBD">
        <w:rPr>
          <w:szCs w:val="22"/>
        </w:rPr>
        <w:t>nárast o 34</w:t>
      </w:r>
      <w:r w:rsidRPr="00E94FBD">
        <w:rPr>
          <w:szCs w:val="22"/>
        </w:rPr>
        <w:t> </w:t>
      </w:r>
      <w:r w:rsidR="00E94FBD" w:rsidRPr="00E94FBD">
        <w:rPr>
          <w:szCs w:val="22"/>
        </w:rPr>
        <w:t>773</w:t>
      </w:r>
      <w:r w:rsidRPr="00E94FBD">
        <w:rPr>
          <w:szCs w:val="22"/>
        </w:rPr>
        <w:t xml:space="preserve"> tis. eur. </w:t>
      </w:r>
      <w:r w:rsidR="00E94FBD" w:rsidRPr="00E94FBD">
        <w:rPr>
          <w:szCs w:val="22"/>
        </w:rPr>
        <w:t>V roku 2022 bo</w:t>
      </w:r>
      <w:r w:rsidR="007B4722">
        <w:rPr>
          <w:szCs w:val="22"/>
        </w:rPr>
        <w:t xml:space="preserve">l rozdiel medzi novo </w:t>
      </w:r>
      <w:proofErr w:type="spellStart"/>
      <w:r w:rsidR="007B4722">
        <w:rPr>
          <w:szCs w:val="22"/>
        </w:rPr>
        <w:t>vyemitovaný</w:t>
      </w:r>
      <w:r w:rsidR="00E94FBD" w:rsidRPr="00E94FBD">
        <w:rPr>
          <w:szCs w:val="22"/>
        </w:rPr>
        <w:t>mi</w:t>
      </w:r>
      <w:proofErr w:type="spellEnd"/>
      <w:r w:rsidR="00E94FBD" w:rsidRPr="00E94FBD">
        <w:rPr>
          <w:szCs w:val="22"/>
        </w:rPr>
        <w:t xml:space="preserve"> a splatnými dlhopismi </w:t>
      </w:r>
      <w:r w:rsidR="00FD1730">
        <w:rPr>
          <w:szCs w:val="22"/>
        </w:rPr>
        <w:t>zhruba</w:t>
      </w:r>
      <w:r w:rsidR="00E94FBD" w:rsidRPr="00E94FBD">
        <w:rPr>
          <w:szCs w:val="22"/>
        </w:rPr>
        <w:t xml:space="preserve"> 3,6 mld. </w:t>
      </w:r>
      <w:r w:rsidR="00E94FBD">
        <w:rPr>
          <w:szCs w:val="22"/>
        </w:rPr>
        <w:t xml:space="preserve">eur </w:t>
      </w:r>
      <w:r w:rsidR="00E94FBD" w:rsidRPr="00E94FBD">
        <w:rPr>
          <w:szCs w:val="22"/>
        </w:rPr>
        <w:t>v nominálnej hodnote, ktoré vygenerovali zvýšené akruálne úrokové náklady oproti roku 2021.</w:t>
      </w:r>
    </w:p>
    <w:p w14:paraId="0E0DD374" w14:textId="77777777" w:rsidR="002F1D21" w:rsidRPr="00BA526A" w:rsidRDefault="002F1D21" w:rsidP="002F1D21">
      <w:pPr>
        <w:spacing w:after="120" w:line="240" w:lineRule="auto"/>
        <w:jc w:val="both"/>
        <w:rPr>
          <w:b/>
          <w:color w:val="4F81BD" w:themeColor="accent1"/>
          <w:sz w:val="24"/>
          <w:szCs w:val="24"/>
        </w:rPr>
      </w:pPr>
      <w:r w:rsidRPr="00BA526A">
        <w:rPr>
          <w:b/>
          <w:color w:val="4F81BD" w:themeColor="accent1"/>
          <w:sz w:val="24"/>
          <w:szCs w:val="24"/>
        </w:rPr>
        <w:t>Sociálne transfery</w:t>
      </w:r>
    </w:p>
    <w:p w14:paraId="2E8D1C97" w14:textId="5A6961C5" w:rsidR="00B02E71" w:rsidRPr="00BB4B6F" w:rsidRDefault="006A1167" w:rsidP="00B02E71">
      <w:pPr>
        <w:spacing w:after="120" w:line="240" w:lineRule="auto"/>
        <w:jc w:val="both"/>
        <w:rPr>
          <w:szCs w:val="22"/>
          <w:highlight w:val="yellow"/>
        </w:rPr>
      </w:pPr>
      <w:r w:rsidRPr="006A1167">
        <w:rPr>
          <w:szCs w:val="22"/>
        </w:rPr>
        <w:t>Vzrástli o 6,7</w:t>
      </w:r>
      <w:r w:rsidR="00B02E71" w:rsidRPr="006A1167">
        <w:rPr>
          <w:szCs w:val="22"/>
        </w:rPr>
        <w:t> </w:t>
      </w:r>
      <w:r w:rsidRPr="006A1167">
        <w:rPr>
          <w:szCs w:val="22"/>
        </w:rPr>
        <w:t>%, čo predstavovalo nárast o 1 235</w:t>
      </w:r>
      <w:r w:rsidR="00B02E71" w:rsidRPr="006A1167">
        <w:rPr>
          <w:szCs w:val="22"/>
        </w:rPr>
        <w:t> </w:t>
      </w:r>
      <w:r w:rsidRPr="006A1167">
        <w:rPr>
          <w:szCs w:val="22"/>
        </w:rPr>
        <w:t>111</w:t>
      </w:r>
      <w:r w:rsidR="00B02E71" w:rsidRPr="006A1167">
        <w:rPr>
          <w:szCs w:val="22"/>
        </w:rPr>
        <w:t xml:space="preserve"> tis. eur. </w:t>
      </w:r>
      <w:r w:rsidR="00B02E71" w:rsidRPr="00095D11">
        <w:rPr>
          <w:szCs w:val="22"/>
        </w:rPr>
        <w:t xml:space="preserve">Nárast </w:t>
      </w:r>
      <w:r w:rsidR="00B02E71" w:rsidRPr="00095D11">
        <w:rPr>
          <w:szCs w:val="22"/>
          <w:u w:val="single"/>
        </w:rPr>
        <w:t>bežných transferov</w:t>
      </w:r>
      <w:r w:rsidR="00B02E71" w:rsidRPr="00095D11">
        <w:rPr>
          <w:szCs w:val="22"/>
        </w:rPr>
        <w:t xml:space="preserve"> v Sociálnej poisťovni bol v hotovos</w:t>
      </w:r>
      <w:r w:rsidR="00095D11" w:rsidRPr="00095D11">
        <w:rPr>
          <w:szCs w:val="22"/>
        </w:rPr>
        <w:t>tných platbách z poistenia o 107</w:t>
      </w:r>
      <w:r w:rsidR="00B02E71" w:rsidRPr="00095D11">
        <w:rPr>
          <w:szCs w:val="22"/>
        </w:rPr>
        <w:t> </w:t>
      </w:r>
      <w:r w:rsidR="00095D11" w:rsidRPr="00095D11">
        <w:rPr>
          <w:szCs w:val="22"/>
        </w:rPr>
        <w:t>308</w:t>
      </w:r>
      <w:r w:rsidR="00B02E71" w:rsidRPr="00095D11">
        <w:rPr>
          <w:szCs w:val="22"/>
        </w:rPr>
        <w:t> tis. eur (na nemocenské dávky, na dôchodkové dávky zo starobného poistenia, na úrazové dávky, na dôchodkové dávky z invalidného poistenia, na platené poistné za skupiny osôb ustanovené zákonom a dávky v nezamestnanosti) a zo samosta</w:t>
      </w:r>
      <w:r w:rsidR="00095D11" w:rsidRPr="00095D11">
        <w:rPr>
          <w:szCs w:val="22"/>
        </w:rPr>
        <w:t>tných účtov silových zložiek o 30 981</w:t>
      </w:r>
      <w:r w:rsidR="00B02E71" w:rsidRPr="00095D11">
        <w:rPr>
          <w:szCs w:val="22"/>
        </w:rPr>
        <w:t> tis. eur (na dôchodkové dávky zo starobného a invalidného poistenia a na nemocenské dávky).</w:t>
      </w:r>
    </w:p>
    <w:p w14:paraId="768E8666" w14:textId="2084A6DC" w:rsidR="00B02E71" w:rsidRPr="00BB4B6F" w:rsidRDefault="00B02E71" w:rsidP="00B02E71">
      <w:pPr>
        <w:spacing w:after="120" w:line="240" w:lineRule="auto"/>
        <w:jc w:val="both"/>
        <w:rPr>
          <w:szCs w:val="22"/>
          <w:highlight w:val="yellow"/>
        </w:rPr>
      </w:pPr>
      <w:r w:rsidRPr="006A1167">
        <w:rPr>
          <w:szCs w:val="22"/>
        </w:rPr>
        <w:t>Celkovo</w:t>
      </w:r>
      <w:r w:rsidR="00031892">
        <w:rPr>
          <w:szCs w:val="22"/>
        </w:rPr>
        <w:t xml:space="preserve"> </w:t>
      </w:r>
      <w:r w:rsidR="006A1167" w:rsidRPr="006A1167">
        <w:rPr>
          <w:szCs w:val="22"/>
        </w:rPr>
        <w:t>nemocenské dávky v roku 2022</w:t>
      </w:r>
      <w:r w:rsidR="006A1167">
        <w:rPr>
          <w:szCs w:val="22"/>
        </w:rPr>
        <w:t xml:space="preserve"> </w:t>
      </w:r>
      <w:r w:rsidR="006A1167" w:rsidRPr="006A1167">
        <w:rPr>
          <w:szCs w:val="22"/>
        </w:rPr>
        <w:t>pokles</w:t>
      </w:r>
      <w:r w:rsidRPr="006A1167">
        <w:rPr>
          <w:szCs w:val="22"/>
        </w:rPr>
        <w:t xml:space="preserve">li </w:t>
      </w:r>
      <w:r w:rsidR="006A1167" w:rsidRPr="006A1167">
        <w:rPr>
          <w:szCs w:val="22"/>
        </w:rPr>
        <w:t>o 8,6</w:t>
      </w:r>
      <w:r w:rsidRPr="006A1167">
        <w:rPr>
          <w:szCs w:val="22"/>
        </w:rPr>
        <w:t> % (</w:t>
      </w:r>
      <w:r w:rsidR="006A1167" w:rsidRPr="006A1167">
        <w:rPr>
          <w:szCs w:val="22"/>
        </w:rPr>
        <w:t>pokles o 96</w:t>
      </w:r>
      <w:r w:rsidRPr="006A1167">
        <w:rPr>
          <w:szCs w:val="22"/>
        </w:rPr>
        <w:t> </w:t>
      </w:r>
      <w:r w:rsidR="006A1167" w:rsidRPr="006A1167">
        <w:rPr>
          <w:szCs w:val="22"/>
        </w:rPr>
        <w:t>906</w:t>
      </w:r>
      <w:r w:rsidRPr="006A1167">
        <w:rPr>
          <w:szCs w:val="22"/>
        </w:rPr>
        <w:t> tis. eur), dôchodkové dávky zo starobného a invalidného poistenia sa zvýšili o 3,</w:t>
      </w:r>
      <w:r w:rsidR="006A1167" w:rsidRPr="006A1167">
        <w:rPr>
          <w:szCs w:val="22"/>
        </w:rPr>
        <w:t>4</w:t>
      </w:r>
      <w:r w:rsidR="00283D55">
        <w:rPr>
          <w:szCs w:val="22"/>
        </w:rPr>
        <w:t> % (nárast o 2</w:t>
      </w:r>
      <w:r w:rsidR="006A1167" w:rsidRPr="006A1167">
        <w:rPr>
          <w:szCs w:val="22"/>
        </w:rPr>
        <w:t>85</w:t>
      </w:r>
      <w:r w:rsidRPr="006A1167">
        <w:rPr>
          <w:szCs w:val="22"/>
        </w:rPr>
        <w:t> </w:t>
      </w:r>
      <w:r w:rsidR="006A1167" w:rsidRPr="006A1167">
        <w:rPr>
          <w:szCs w:val="22"/>
        </w:rPr>
        <w:t>554</w:t>
      </w:r>
      <w:r w:rsidRPr="006A1167">
        <w:rPr>
          <w:szCs w:val="22"/>
        </w:rPr>
        <w:t> tis. eur) a dávk</w:t>
      </w:r>
      <w:r w:rsidR="006A1167" w:rsidRPr="006A1167">
        <w:rPr>
          <w:szCs w:val="22"/>
        </w:rPr>
        <w:t>y v nezamestnanosti poklesli o 17,5 % (pokles o 50</w:t>
      </w:r>
      <w:r w:rsidRPr="006A1167">
        <w:rPr>
          <w:szCs w:val="22"/>
        </w:rPr>
        <w:t> </w:t>
      </w:r>
      <w:r w:rsidR="006A1167" w:rsidRPr="006A1167">
        <w:rPr>
          <w:szCs w:val="22"/>
        </w:rPr>
        <w:t>629</w:t>
      </w:r>
      <w:r w:rsidRPr="006A1167">
        <w:rPr>
          <w:szCs w:val="22"/>
        </w:rPr>
        <w:t> tis. eur).</w:t>
      </w:r>
    </w:p>
    <w:p w14:paraId="54C6E413" w14:textId="04EF2E91" w:rsidR="00B02E71" w:rsidRPr="00BB4B6F" w:rsidRDefault="00B02E71" w:rsidP="00B02E71">
      <w:pPr>
        <w:spacing w:after="120" w:line="240" w:lineRule="auto"/>
        <w:jc w:val="both"/>
        <w:rPr>
          <w:szCs w:val="22"/>
          <w:highlight w:val="yellow"/>
        </w:rPr>
      </w:pPr>
      <w:r w:rsidRPr="006A1167">
        <w:rPr>
          <w:szCs w:val="22"/>
        </w:rPr>
        <w:t xml:space="preserve">Vyplácané </w:t>
      </w:r>
      <w:r w:rsidRPr="006A1167">
        <w:rPr>
          <w:szCs w:val="22"/>
          <w:u w:val="single"/>
        </w:rPr>
        <w:t>štátne sociálne d</w:t>
      </w:r>
      <w:r w:rsidRPr="00517678">
        <w:rPr>
          <w:szCs w:val="22"/>
          <w:u w:val="single"/>
        </w:rPr>
        <w:t>ávky</w:t>
      </w:r>
      <w:r w:rsidR="006A1167" w:rsidRPr="00517678">
        <w:rPr>
          <w:szCs w:val="22"/>
        </w:rPr>
        <w:t xml:space="preserve"> medziročne pokles</w:t>
      </w:r>
      <w:r w:rsidRPr="00517678">
        <w:rPr>
          <w:szCs w:val="22"/>
        </w:rPr>
        <w:t xml:space="preserve">li </w:t>
      </w:r>
      <w:r w:rsidR="006A1167" w:rsidRPr="00517678">
        <w:rPr>
          <w:szCs w:val="22"/>
        </w:rPr>
        <w:t>o 17,9 % (pokles o 599 489</w:t>
      </w:r>
      <w:r w:rsidRPr="00517678">
        <w:rPr>
          <w:szCs w:val="22"/>
        </w:rPr>
        <w:t> tis. eur), z toho najvýraznejší vplyv malo z</w:t>
      </w:r>
      <w:r w:rsidR="00517678" w:rsidRPr="00517678">
        <w:rPr>
          <w:szCs w:val="22"/>
        </w:rPr>
        <w:t>níž</w:t>
      </w:r>
      <w:r w:rsidRPr="00517678">
        <w:rPr>
          <w:szCs w:val="22"/>
        </w:rPr>
        <w:t>enie výdavkov na peňaž</w:t>
      </w:r>
      <w:r w:rsidR="00517678" w:rsidRPr="00517678">
        <w:rPr>
          <w:szCs w:val="22"/>
        </w:rPr>
        <w:t>né príspevky na kompenzáciu o 52,2</w:t>
      </w:r>
      <w:r w:rsidRPr="00517678">
        <w:rPr>
          <w:szCs w:val="22"/>
        </w:rPr>
        <w:t> % (</w:t>
      </w:r>
      <w:r w:rsidR="00517678" w:rsidRPr="00517678">
        <w:rPr>
          <w:szCs w:val="22"/>
        </w:rPr>
        <w:t>pokles o 885</w:t>
      </w:r>
      <w:r w:rsidRPr="00517678">
        <w:rPr>
          <w:szCs w:val="22"/>
        </w:rPr>
        <w:t> </w:t>
      </w:r>
      <w:r w:rsidR="00517678" w:rsidRPr="00517678">
        <w:rPr>
          <w:szCs w:val="22"/>
        </w:rPr>
        <w:t>181</w:t>
      </w:r>
      <w:r w:rsidRPr="00517678">
        <w:rPr>
          <w:szCs w:val="22"/>
        </w:rPr>
        <w:t> tis. </w:t>
      </w:r>
      <w:r w:rsidRPr="003B1EA3">
        <w:rPr>
          <w:szCs w:val="22"/>
        </w:rPr>
        <w:t xml:space="preserve">eur). Prostriedky sa realizovali najmä v kapitole Ministerstva práce, sociálnych vecí a rodiny SR na podporu aktívnej politiky na trhu práce a podporu udržania </w:t>
      </w:r>
      <w:r w:rsidRPr="008F7786">
        <w:rPr>
          <w:szCs w:val="22"/>
        </w:rPr>
        <w:t>zamestnanosti</w:t>
      </w:r>
      <w:r w:rsidR="008F7786" w:rsidRPr="008F7786">
        <w:rPr>
          <w:szCs w:val="22"/>
        </w:rPr>
        <w:t>. Oproti roku 2021 došlo k poklesu vynaložených výdavkov</w:t>
      </w:r>
      <w:r w:rsidRPr="008F7786">
        <w:rPr>
          <w:szCs w:val="22"/>
        </w:rPr>
        <w:t xml:space="preserve"> v súvislosti s pandémiou koronavírusu. Suma</w:t>
      </w:r>
      <w:r w:rsidRPr="008E0E62">
        <w:rPr>
          <w:szCs w:val="22"/>
        </w:rPr>
        <w:t xml:space="preserve"> </w:t>
      </w:r>
      <w:r w:rsidR="00D92233">
        <w:rPr>
          <w:szCs w:val="22"/>
        </w:rPr>
        <w:t>vyplatených</w:t>
      </w:r>
      <w:r w:rsidR="008E0E62">
        <w:rPr>
          <w:szCs w:val="22"/>
        </w:rPr>
        <w:t xml:space="preserve"> </w:t>
      </w:r>
      <w:r w:rsidRPr="008E0E62">
        <w:rPr>
          <w:szCs w:val="22"/>
        </w:rPr>
        <w:t>rodičovských príspevkov</w:t>
      </w:r>
      <w:r w:rsidR="008E0E62">
        <w:rPr>
          <w:szCs w:val="22"/>
        </w:rPr>
        <w:t xml:space="preserve"> s</w:t>
      </w:r>
      <w:r w:rsidR="00313F84">
        <w:rPr>
          <w:szCs w:val="22"/>
        </w:rPr>
        <w:t>a medziročne znížila o 6,8</w:t>
      </w:r>
      <w:r w:rsidR="00D92233">
        <w:rPr>
          <w:szCs w:val="22"/>
        </w:rPr>
        <w:t> % (pokles</w:t>
      </w:r>
      <w:r w:rsidR="008E0E62">
        <w:rPr>
          <w:szCs w:val="22"/>
        </w:rPr>
        <w:t xml:space="preserve"> o 44</w:t>
      </w:r>
      <w:r w:rsidRPr="008E0E62">
        <w:rPr>
          <w:szCs w:val="22"/>
        </w:rPr>
        <w:t> </w:t>
      </w:r>
      <w:r w:rsidR="008E0E62">
        <w:rPr>
          <w:szCs w:val="22"/>
        </w:rPr>
        <w:t>130</w:t>
      </w:r>
      <w:r w:rsidR="003B1EA3">
        <w:rPr>
          <w:szCs w:val="22"/>
        </w:rPr>
        <w:t> tis. eur), išlo predovšetkým o </w:t>
      </w:r>
      <w:r w:rsidR="003B1EA3" w:rsidRPr="003B1EA3">
        <w:rPr>
          <w:szCs w:val="22"/>
        </w:rPr>
        <w:t>zastavenie</w:t>
      </w:r>
      <w:r w:rsidRPr="003B1EA3">
        <w:rPr>
          <w:szCs w:val="22"/>
        </w:rPr>
        <w:t xml:space="preserve"> vyplácania tzv. </w:t>
      </w:r>
      <w:proofErr w:type="spellStart"/>
      <w:r w:rsidRPr="003B1EA3">
        <w:rPr>
          <w:szCs w:val="22"/>
        </w:rPr>
        <w:t>pandemického</w:t>
      </w:r>
      <w:proofErr w:type="spellEnd"/>
      <w:r w:rsidRPr="003B1EA3">
        <w:rPr>
          <w:szCs w:val="22"/>
        </w:rPr>
        <w:t xml:space="preserve"> rodičovského príspevku</w:t>
      </w:r>
      <w:r w:rsidR="003B1EA3" w:rsidRPr="003B1EA3">
        <w:rPr>
          <w:szCs w:val="22"/>
        </w:rPr>
        <w:t xml:space="preserve"> od 1.1.2022</w:t>
      </w:r>
      <w:r w:rsidRPr="003B1EA3">
        <w:rPr>
          <w:szCs w:val="22"/>
        </w:rPr>
        <w:t>. Suma</w:t>
      </w:r>
      <w:r w:rsidRPr="00E06E4E">
        <w:rPr>
          <w:szCs w:val="22"/>
        </w:rPr>
        <w:t xml:space="preserve"> p</w:t>
      </w:r>
      <w:r w:rsidR="00E06E4E" w:rsidRPr="00E06E4E">
        <w:rPr>
          <w:szCs w:val="22"/>
        </w:rPr>
        <w:t>rídavkov na dieťa sa zvýšila o 8</w:t>
      </w:r>
      <w:r w:rsidRPr="00E06E4E">
        <w:rPr>
          <w:szCs w:val="22"/>
        </w:rPr>
        <w:t>,</w:t>
      </w:r>
      <w:r w:rsidR="00E06E4E" w:rsidRPr="00E06E4E">
        <w:rPr>
          <w:szCs w:val="22"/>
        </w:rPr>
        <w:t>6 % (nárast o 29</w:t>
      </w:r>
      <w:r w:rsidRPr="00E06E4E">
        <w:rPr>
          <w:szCs w:val="22"/>
        </w:rPr>
        <w:t> </w:t>
      </w:r>
      <w:r w:rsidR="00E06E4E" w:rsidRPr="00E06E4E">
        <w:rPr>
          <w:szCs w:val="22"/>
        </w:rPr>
        <w:t>366</w:t>
      </w:r>
      <w:r w:rsidR="003B1EA3">
        <w:rPr>
          <w:szCs w:val="22"/>
        </w:rPr>
        <w:t> tis. eur) predovšetkým z dôvodu zvýšenia mesačného prídavku od 1. júla 2022.</w:t>
      </w:r>
      <w:r w:rsidRPr="00E06E4E">
        <w:rPr>
          <w:szCs w:val="22"/>
        </w:rPr>
        <w:t xml:space="preserve"> </w:t>
      </w:r>
    </w:p>
    <w:p w14:paraId="6D2891D4" w14:textId="2FB6E5E6" w:rsidR="00B02E71" w:rsidRPr="00BB4B6F" w:rsidRDefault="00B02E71" w:rsidP="00B02E71">
      <w:pPr>
        <w:spacing w:after="120" w:line="240" w:lineRule="auto"/>
        <w:jc w:val="both"/>
        <w:rPr>
          <w:szCs w:val="22"/>
          <w:highlight w:val="yellow"/>
        </w:rPr>
      </w:pPr>
      <w:r w:rsidRPr="006A1167">
        <w:rPr>
          <w:szCs w:val="22"/>
          <w:u w:val="single"/>
        </w:rPr>
        <w:t>Platené poistné za skupiny osôb ustanovené zákonom</w:t>
      </w:r>
      <w:r w:rsidRPr="006A1167">
        <w:rPr>
          <w:szCs w:val="22"/>
        </w:rPr>
        <w:t xml:space="preserve">  (napr. dôchodca, evidovaný uchádzač o zamestnanie, </w:t>
      </w:r>
      <w:r w:rsidRPr="00C6004C">
        <w:rPr>
          <w:szCs w:val="22"/>
        </w:rPr>
        <w:t>matka na materskej dovolenke, študent alebo nezaopatrené dieťa) vzrástli o 1,</w:t>
      </w:r>
      <w:r w:rsidR="006A1167" w:rsidRPr="00C6004C">
        <w:rPr>
          <w:szCs w:val="22"/>
        </w:rPr>
        <w:t>2 % (nárast o 20</w:t>
      </w:r>
      <w:r w:rsidRPr="00C6004C">
        <w:rPr>
          <w:szCs w:val="22"/>
        </w:rPr>
        <w:t> </w:t>
      </w:r>
      <w:r w:rsidR="006A1167" w:rsidRPr="00C6004C">
        <w:rPr>
          <w:szCs w:val="22"/>
        </w:rPr>
        <w:t>548</w:t>
      </w:r>
      <w:r w:rsidRPr="00C6004C">
        <w:rPr>
          <w:szCs w:val="22"/>
        </w:rPr>
        <w:t> tis. eur) najmä v kapitole Ministerstva práce, s</w:t>
      </w:r>
      <w:r w:rsidR="00C6004C" w:rsidRPr="00C6004C">
        <w:rPr>
          <w:szCs w:val="22"/>
        </w:rPr>
        <w:t>ociálnych vecí a rodiny SR (o  13 058</w:t>
      </w:r>
      <w:r w:rsidRPr="00C6004C">
        <w:rPr>
          <w:szCs w:val="22"/>
        </w:rPr>
        <w:t xml:space="preserve"> tis. eur) a Ministerstva </w:t>
      </w:r>
      <w:r w:rsidR="00C6004C" w:rsidRPr="00C6004C">
        <w:rPr>
          <w:szCs w:val="22"/>
        </w:rPr>
        <w:t>obrany SR (o  10</w:t>
      </w:r>
      <w:r w:rsidRPr="00C6004C">
        <w:rPr>
          <w:szCs w:val="22"/>
        </w:rPr>
        <w:t> </w:t>
      </w:r>
      <w:r w:rsidR="00C6004C" w:rsidRPr="00C6004C">
        <w:rPr>
          <w:szCs w:val="22"/>
        </w:rPr>
        <w:t>376</w:t>
      </w:r>
      <w:r w:rsidRPr="00C6004C">
        <w:rPr>
          <w:szCs w:val="22"/>
        </w:rPr>
        <w:t xml:space="preserve"> tis. eur). </w:t>
      </w:r>
      <w:r w:rsidR="00C6004C" w:rsidRPr="00C6004C">
        <w:rPr>
          <w:szCs w:val="22"/>
        </w:rPr>
        <w:t>Pokles zaznamenalo Ministerstvo zdravotníctva SR (o  3 155 tis. eur)</w:t>
      </w:r>
    </w:p>
    <w:p w14:paraId="3E37B5F0" w14:textId="007BAD02" w:rsidR="002F1D21" w:rsidRPr="00BA526A" w:rsidRDefault="002F1D21" w:rsidP="002F1D21">
      <w:pPr>
        <w:spacing w:after="120" w:line="240" w:lineRule="auto"/>
        <w:jc w:val="both"/>
        <w:rPr>
          <w:color w:val="4F81BD" w:themeColor="accent1"/>
          <w:sz w:val="24"/>
          <w:szCs w:val="24"/>
        </w:rPr>
      </w:pPr>
      <w:r w:rsidRPr="00BA526A">
        <w:rPr>
          <w:b/>
          <w:color w:val="4F81BD" w:themeColor="accent1"/>
          <w:sz w:val="24"/>
          <w:szCs w:val="24"/>
        </w:rPr>
        <w:t>Ostatné bežné transfery</w:t>
      </w:r>
      <w:r w:rsidRPr="00BA526A">
        <w:rPr>
          <w:color w:val="4F81BD" w:themeColor="accent1"/>
          <w:sz w:val="24"/>
          <w:szCs w:val="24"/>
        </w:rPr>
        <w:t xml:space="preserve"> </w:t>
      </w:r>
    </w:p>
    <w:p w14:paraId="7A4B819D" w14:textId="13F621CE" w:rsidR="002F1D21" w:rsidRPr="00BB4B6F" w:rsidRDefault="00960826" w:rsidP="002F1D21">
      <w:pPr>
        <w:keepNext/>
        <w:spacing w:after="120" w:line="240" w:lineRule="auto"/>
        <w:jc w:val="both"/>
        <w:rPr>
          <w:szCs w:val="22"/>
          <w:highlight w:val="yellow"/>
        </w:rPr>
      </w:pPr>
      <w:r w:rsidRPr="001B4EA0">
        <w:rPr>
          <w:szCs w:val="22"/>
        </w:rPr>
        <w:t>N</w:t>
      </w:r>
      <w:r w:rsidR="002F1D21" w:rsidRPr="001B4EA0">
        <w:rPr>
          <w:szCs w:val="22"/>
        </w:rPr>
        <w:t>ajväčš</w:t>
      </w:r>
      <w:r w:rsidR="00687C3E" w:rsidRPr="001B4EA0">
        <w:rPr>
          <w:szCs w:val="22"/>
        </w:rPr>
        <w:t>iu</w:t>
      </w:r>
      <w:r w:rsidR="002F1D21" w:rsidRPr="001B4EA0">
        <w:rPr>
          <w:szCs w:val="22"/>
        </w:rPr>
        <w:t xml:space="preserve"> položku výdavkov rozpočtu verejnej správy</w:t>
      </w:r>
      <w:r w:rsidRPr="001B4EA0">
        <w:rPr>
          <w:szCs w:val="22"/>
        </w:rPr>
        <w:t xml:space="preserve"> tvoria ostatné bežné transfery, ktoré mali</w:t>
      </w:r>
      <w:r w:rsidR="002F1D21" w:rsidRPr="001B4EA0">
        <w:rPr>
          <w:szCs w:val="22"/>
        </w:rPr>
        <w:t xml:space="preserve"> v roku 202</w:t>
      </w:r>
      <w:r w:rsidR="001B4EA0" w:rsidRPr="001B4EA0">
        <w:rPr>
          <w:szCs w:val="22"/>
        </w:rPr>
        <w:t>2</w:t>
      </w:r>
      <w:r w:rsidR="002F1D21" w:rsidRPr="001B4EA0">
        <w:rPr>
          <w:szCs w:val="22"/>
        </w:rPr>
        <w:t xml:space="preserve"> podiel na celkových výdavkoch </w:t>
      </w:r>
      <w:r w:rsidR="001B4EA0" w:rsidRPr="001B4EA0">
        <w:rPr>
          <w:szCs w:val="22"/>
        </w:rPr>
        <w:t>46</w:t>
      </w:r>
      <w:r w:rsidR="002F1D21" w:rsidRPr="001B4EA0">
        <w:rPr>
          <w:szCs w:val="22"/>
        </w:rPr>
        <w:t>,</w:t>
      </w:r>
      <w:r w:rsidR="001B4EA0" w:rsidRPr="001B4EA0">
        <w:rPr>
          <w:szCs w:val="22"/>
        </w:rPr>
        <w:t>0</w:t>
      </w:r>
      <w:r w:rsidR="002F1D21" w:rsidRPr="001B4EA0">
        <w:rPr>
          <w:szCs w:val="22"/>
        </w:rPr>
        <w:t> % a oproti pred</w:t>
      </w:r>
      <w:r w:rsidR="007F5D0F" w:rsidRPr="001B4EA0">
        <w:rPr>
          <w:szCs w:val="22"/>
        </w:rPr>
        <w:t xml:space="preserve">chádzajúcemu roku </w:t>
      </w:r>
      <w:r w:rsidR="001B4EA0" w:rsidRPr="001B4EA0">
        <w:rPr>
          <w:szCs w:val="22"/>
        </w:rPr>
        <w:t>pokles</w:t>
      </w:r>
      <w:r w:rsidR="007F5D0F" w:rsidRPr="001B4EA0">
        <w:rPr>
          <w:szCs w:val="22"/>
        </w:rPr>
        <w:t xml:space="preserve">li </w:t>
      </w:r>
      <w:r w:rsidR="001B4EA0" w:rsidRPr="001B4EA0">
        <w:rPr>
          <w:szCs w:val="22"/>
        </w:rPr>
        <w:t>o 1 725</w:t>
      </w:r>
      <w:r w:rsidR="002F1D21" w:rsidRPr="001B4EA0">
        <w:rPr>
          <w:szCs w:val="22"/>
        </w:rPr>
        <w:t> </w:t>
      </w:r>
      <w:r w:rsidR="001B4EA0" w:rsidRPr="001B4EA0">
        <w:rPr>
          <w:szCs w:val="22"/>
        </w:rPr>
        <w:t>555</w:t>
      </w:r>
      <w:r w:rsidR="002F1D21" w:rsidRPr="001B4EA0">
        <w:rPr>
          <w:szCs w:val="22"/>
        </w:rPr>
        <w:t xml:space="preserve"> tis. eur. </w:t>
      </w:r>
      <w:r w:rsidR="006660D8">
        <w:rPr>
          <w:szCs w:val="22"/>
        </w:rPr>
        <w:t xml:space="preserve">Dôvodom výrazného zníženia </w:t>
      </w:r>
      <w:r w:rsidR="006660D8" w:rsidRPr="006660D8">
        <w:rPr>
          <w:szCs w:val="22"/>
        </w:rPr>
        <w:t>ostatných bežných</w:t>
      </w:r>
      <w:r w:rsidR="002F1D21" w:rsidRPr="006660D8">
        <w:rPr>
          <w:szCs w:val="22"/>
        </w:rPr>
        <w:t xml:space="preserve"> transfer</w:t>
      </w:r>
      <w:r w:rsidR="006660D8" w:rsidRPr="006660D8">
        <w:rPr>
          <w:szCs w:val="22"/>
        </w:rPr>
        <w:t xml:space="preserve">ov bolo predovšetkým z dôvodu výrazne nižšieho čerpania výdavkov </w:t>
      </w:r>
      <w:r w:rsidR="00FD1730">
        <w:rPr>
          <w:szCs w:val="22"/>
        </w:rPr>
        <w:t>na ustupujúcu pandémiu</w:t>
      </w:r>
      <w:r w:rsidR="006660D8" w:rsidRPr="006660D8">
        <w:rPr>
          <w:szCs w:val="22"/>
        </w:rPr>
        <w:t xml:space="preserve"> COVID-19.</w:t>
      </w:r>
      <w:r w:rsidR="002F1D21" w:rsidRPr="006660D8">
        <w:rPr>
          <w:szCs w:val="22"/>
        </w:rPr>
        <w:t xml:space="preserve"> </w:t>
      </w:r>
    </w:p>
    <w:p w14:paraId="3DB8648A" w14:textId="77777777" w:rsidR="002F1D21" w:rsidRPr="00BA526A" w:rsidRDefault="002F1D21" w:rsidP="002F1D21">
      <w:pPr>
        <w:spacing w:after="120" w:line="240" w:lineRule="auto"/>
        <w:jc w:val="both"/>
        <w:rPr>
          <w:b/>
          <w:color w:val="4F81BD" w:themeColor="accent1"/>
          <w:sz w:val="24"/>
          <w:szCs w:val="24"/>
        </w:rPr>
      </w:pPr>
      <w:r w:rsidRPr="00BA526A">
        <w:rPr>
          <w:b/>
          <w:color w:val="4F81BD" w:themeColor="accent1"/>
          <w:sz w:val="24"/>
          <w:szCs w:val="24"/>
        </w:rPr>
        <w:t>Kapitálové výdavky</w:t>
      </w:r>
    </w:p>
    <w:p w14:paraId="57338C63" w14:textId="05A2C820" w:rsidR="006C6F53" w:rsidRDefault="00AD00B0" w:rsidP="00896B85">
      <w:pPr>
        <w:spacing w:after="120" w:line="240" w:lineRule="auto"/>
        <w:jc w:val="both"/>
        <w:rPr>
          <w:szCs w:val="22"/>
          <w:highlight w:val="yellow"/>
        </w:rPr>
      </w:pPr>
      <w:r w:rsidRPr="00CE6C07">
        <w:rPr>
          <w:szCs w:val="22"/>
        </w:rPr>
        <w:t xml:space="preserve">Oproti predchádzajúcemu roku </w:t>
      </w:r>
      <w:r w:rsidR="00CE6C07" w:rsidRPr="00CE6C07">
        <w:rPr>
          <w:szCs w:val="22"/>
        </w:rPr>
        <w:t>vzrástli o 12,3 % (nárast o 443</w:t>
      </w:r>
      <w:r w:rsidR="00896B85" w:rsidRPr="00CE6C07">
        <w:rPr>
          <w:szCs w:val="22"/>
        </w:rPr>
        <w:t> </w:t>
      </w:r>
      <w:r w:rsidR="00CE6C07" w:rsidRPr="00CE6C07">
        <w:rPr>
          <w:szCs w:val="22"/>
        </w:rPr>
        <w:t>881</w:t>
      </w:r>
      <w:r w:rsidR="00896B85" w:rsidRPr="00CE6C07">
        <w:rPr>
          <w:szCs w:val="22"/>
        </w:rPr>
        <w:t xml:space="preserve"> tis. eur) z dôvodu </w:t>
      </w:r>
      <w:r w:rsidR="00CE6C07" w:rsidRPr="00CE6C07">
        <w:rPr>
          <w:szCs w:val="22"/>
        </w:rPr>
        <w:t>nárast</w:t>
      </w:r>
      <w:r w:rsidR="00896B85" w:rsidRPr="00CE6C07">
        <w:rPr>
          <w:szCs w:val="22"/>
        </w:rPr>
        <w:t xml:space="preserve">u </w:t>
      </w:r>
      <w:r w:rsidR="00896B85" w:rsidRPr="00CE6C07">
        <w:rPr>
          <w:szCs w:val="22"/>
          <w:u w:val="single"/>
        </w:rPr>
        <w:t>kapitálových transferov</w:t>
      </w:r>
      <w:r w:rsidR="00896B85" w:rsidRPr="00CE6C07">
        <w:rPr>
          <w:szCs w:val="22"/>
        </w:rPr>
        <w:t xml:space="preserve"> o </w:t>
      </w:r>
      <w:r w:rsidR="00CE6C07" w:rsidRPr="00CE6C07">
        <w:rPr>
          <w:szCs w:val="22"/>
        </w:rPr>
        <w:t>49,8 </w:t>
      </w:r>
      <w:r w:rsidR="00896B85" w:rsidRPr="00CE6C07">
        <w:rPr>
          <w:szCs w:val="22"/>
        </w:rPr>
        <w:t xml:space="preserve">% (o </w:t>
      </w:r>
      <w:r w:rsidR="00CE6C07" w:rsidRPr="00CE6C07">
        <w:rPr>
          <w:szCs w:val="22"/>
        </w:rPr>
        <w:t>226 800 </w:t>
      </w:r>
      <w:r w:rsidR="00896B85" w:rsidRPr="00CE6C07">
        <w:rPr>
          <w:szCs w:val="22"/>
        </w:rPr>
        <w:t>tis. eur</w:t>
      </w:r>
      <w:r w:rsidR="00896B85" w:rsidRPr="006C6F53">
        <w:rPr>
          <w:szCs w:val="22"/>
        </w:rPr>
        <w:t xml:space="preserve">), a to predovšetkým v kapitole Ministerstva </w:t>
      </w:r>
      <w:r w:rsidR="006C6F53" w:rsidRPr="006C6F53">
        <w:rPr>
          <w:szCs w:val="22"/>
        </w:rPr>
        <w:t xml:space="preserve">obrany SR z dôvodu </w:t>
      </w:r>
      <w:r w:rsidR="006C6F53">
        <w:rPr>
          <w:szCs w:val="22"/>
        </w:rPr>
        <w:t>darovania</w:t>
      </w:r>
      <w:r w:rsidR="006C6F53" w:rsidRPr="006C6F53">
        <w:rPr>
          <w:szCs w:val="22"/>
        </w:rPr>
        <w:t xml:space="preserve"> vojenských zariadení na Ukrajinu  </w:t>
      </w:r>
      <w:r w:rsidR="006C6F53">
        <w:rPr>
          <w:szCs w:val="22"/>
        </w:rPr>
        <w:t>v celkovej sume 324 494 tis. eur (táto transakcia bola zároveň zaznamenaná s pozitívnym vplyvom na schodok ako príjmy z predaja kapitálových aktív, t. j. vplyv darovania vojenskej techniky mal neutrálny vplyv na saldo verejnej správy).</w:t>
      </w:r>
      <w:r w:rsidR="00662D8D">
        <w:rPr>
          <w:szCs w:val="22"/>
        </w:rPr>
        <w:t xml:space="preserve"> Tento nárast bol čiastočne eliminovaný poklesom prevzatia rizikových záruk z COVID úverov z</w:t>
      </w:r>
      <w:r w:rsidR="007E4794">
        <w:rPr>
          <w:szCs w:val="22"/>
        </w:rPr>
        <w:t xml:space="preserve"> roku </w:t>
      </w:r>
      <w:r w:rsidR="00662D8D">
        <w:rPr>
          <w:szCs w:val="22"/>
        </w:rPr>
        <w:t>2022 oproti roku 2021</w:t>
      </w:r>
      <w:r w:rsidR="00E957E1">
        <w:rPr>
          <w:szCs w:val="22"/>
        </w:rPr>
        <w:t xml:space="preserve"> (pokles o 19 247 tis. eur)</w:t>
      </w:r>
      <w:r w:rsidR="00662D8D">
        <w:rPr>
          <w:szCs w:val="22"/>
        </w:rPr>
        <w:t>.</w:t>
      </w:r>
    </w:p>
    <w:p w14:paraId="04B64486" w14:textId="3D616638" w:rsidR="000671B7" w:rsidRPr="000F28E0" w:rsidRDefault="00896B85" w:rsidP="000671B7">
      <w:pPr>
        <w:spacing w:line="240" w:lineRule="auto"/>
        <w:jc w:val="both"/>
      </w:pPr>
      <w:r w:rsidRPr="000F28E0">
        <w:rPr>
          <w:u w:val="single"/>
        </w:rPr>
        <w:lastRenderedPageBreak/>
        <w:t>Výdavky na obstaranie kapitálových aktív</w:t>
      </w:r>
      <w:r w:rsidRPr="000F28E0">
        <w:t xml:space="preserve"> </w:t>
      </w:r>
      <w:r w:rsidR="00430A1E" w:rsidRPr="000F28E0">
        <w:t>vzrástli oproti roku 2021 o 6,9</w:t>
      </w:r>
      <w:r w:rsidRPr="000F28E0">
        <w:t> % (</w:t>
      </w:r>
      <w:r w:rsidR="00430A1E" w:rsidRPr="000F28E0">
        <w:t>nárast o 217</w:t>
      </w:r>
      <w:r w:rsidRPr="000F28E0">
        <w:t> </w:t>
      </w:r>
      <w:r w:rsidR="00430A1E" w:rsidRPr="000F28E0">
        <w:t>081</w:t>
      </w:r>
      <w:r w:rsidRPr="000F28E0">
        <w:t xml:space="preserve"> tis. eur). Najvyšší </w:t>
      </w:r>
      <w:r w:rsidR="00E00205" w:rsidRPr="000F28E0">
        <w:t>nárast</w:t>
      </w:r>
      <w:r w:rsidRPr="000F28E0">
        <w:t xml:space="preserve"> hotovostných výdavkov na nové investície vykázali </w:t>
      </w:r>
      <w:r w:rsidR="00105389" w:rsidRPr="000F28E0">
        <w:t xml:space="preserve">obce o 246 430 tis. eur (išlo o nárast výdavkov na realizáciu nových stavieb a na rekonštrukciu a modernizáciu stavieb), ktoré obnovili investičné akcie, ktoré boli pozastavené kvôli </w:t>
      </w:r>
      <w:proofErr w:type="spellStart"/>
      <w:r w:rsidR="00105389" w:rsidRPr="000F28E0">
        <w:t>pandemickej</w:t>
      </w:r>
      <w:proofErr w:type="spellEnd"/>
      <w:r w:rsidR="00105389" w:rsidRPr="000F28E0">
        <w:t xml:space="preserve"> kríze. Nárast zaznamenali aj </w:t>
      </w:r>
      <w:r w:rsidRPr="000F28E0">
        <w:t>štátne rozpočtové organizácie o</w:t>
      </w:r>
      <w:r w:rsidR="00105389" w:rsidRPr="000F28E0">
        <w:t> 155</w:t>
      </w:r>
      <w:r w:rsidRPr="000F28E0">
        <w:t> </w:t>
      </w:r>
      <w:r w:rsidR="00105389" w:rsidRPr="000F28E0">
        <w:t>120</w:t>
      </w:r>
      <w:r w:rsidRPr="000F28E0">
        <w:t xml:space="preserve"> tis. eur, išlo predovšetkým o obstaranie </w:t>
      </w:r>
      <w:r w:rsidR="00E63FC8" w:rsidRPr="000F28E0">
        <w:t xml:space="preserve">špeciálnych automobilov a dopravných lietadiel, vrtuľníkov (v kapitole Ministerstva obrany SR a Ministerstva vnútra SR), </w:t>
      </w:r>
      <w:r w:rsidR="002F0FDF" w:rsidRPr="000F28E0">
        <w:t>obstarania softvéru a</w:t>
      </w:r>
      <w:r w:rsidR="00E63FC8" w:rsidRPr="000F28E0">
        <w:t xml:space="preserve"> výpočtovej techniky (</w:t>
      </w:r>
      <w:r w:rsidR="002F0FDF" w:rsidRPr="000F28E0">
        <w:t xml:space="preserve">najmä </w:t>
      </w:r>
      <w:r w:rsidR="00E63FC8" w:rsidRPr="000F28E0">
        <w:t>v kapitole</w:t>
      </w:r>
      <w:r w:rsidRPr="000F28E0">
        <w:t xml:space="preserve"> Ministerstva financií SR</w:t>
      </w:r>
      <w:r w:rsidR="00E63FC8" w:rsidRPr="000F28E0">
        <w:t xml:space="preserve"> a Ministerstva vnútra SR</w:t>
      </w:r>
      <w:r w:rsidRPr="000F28E0">
        <w:t>).</w:t>
      </w:r>
      <w:r w:rsidR="00EF7C63" w:rsidRPr="000F28E0">
        <w:t xml:space="preserve"> </w:t>
      </w:r>
      <w:r w:rsidR="00DD6419" w:rsidRPr="000F28E0">
        <w:t xml:space="preserve">Pokles obstarania kapitálových aktív v štátnych rozpočtových organizáciách </w:t>
      </w:r>
      <w:r w:rsidR="00133BBF" w:rsidRPr="000F28E0">
        <w:t>nastal vo výdavkoch na špeciálne stroje, prístroje, zariadenia</w:t>
      </w:r>
      <w:r w:rsidR="002F0FDF" w:rsidRPr="000F28E0">
        <w:t xml:space="preserve"> a</w:t>
      </w:r>
      <w:r w:rsidR="00133BBF" w:rsidRPr="000F28E0">
        <w:t xml:space="preserve"> techniku, realizáciu  nových stavieb</w:t>
      </w:r>
      <w:r w:rsidR="002F0FDF" w:rsidRPr="000F28E0">
        <w:t xml:space="preserve"> (najmä v kapitole Ministerstva obrany SR a Ministerstva dopravy SR)</w:t>
      </w:r>
      <w:r w:rsidR="00133BBF" w:rsidRPr="000F28E0">
        <w:t>. Významný pokles investícií zaznamenala aj Správa štátnych hmotných rezerv v súvislosti s obstaraním hmotných a mobilizačných rezerv</w:t>
      </w:r>
      <w:r w:rsidR="007E4794">
        <w:t xml:space="preserve"> nižšie</w:t>
      </w:r>
      <w:r w:rsidR="00133BBF" w:rsidRPr="000F28E0">
        <w:t xml:space="preserve"> o 48 811 tis. eur</w:t>
      </w:r>
      <w:r w:rsidR="00C31C7C" w:rsidRPr="000F28E0">
        <w:t xml:space="preserve">. </w:t>
      </w:r>
      <w:r w:rsidR="00D10B23" w:rsidRPr="000F28E0">
        <w:t>N</w:t>
      </w:r>
      <w:r w:rsidR="000671B7" w:rsidRPr="000F28E0">
        <w:t xml:space="preserve">árast investičných výdavkov </w:t>
      </w:r>
      <w:r w:rsidR="00D10B23" w:rsidRPr="000F28E0">
        <w:t>zaznamenala</w:t>
      </w:r>
      <w:r w:rsidR="000671B7" w:rsidRPr="000F28E0">
        <w:t xml:space="preserve"> Národná diaľničná spoločnosť, a.</w:t>
      </w:r>
      <w:r w:rsidR="00D10B23" w:rsidRPr="000F28E0">
        <w:t xml:space="preserve"> </w:t>
      </w:r>
      <w:r w:rsidR="000671B7" w:rsidRPr="000F28E0">
        <w:t xml:space="preserve">s. o 27 190 tis. eur (najvyšší nárast bol vykázaný na stavbách Prešov západ - Prešov juh, Kriváň - Lovinobaňa a Lietavská Lúčka – </w:t>
      </w:r>
      <w:proofErr w:type="spellStart"/>
      <w:r w:rsidR="000671B7" w:rsidRPr="000F28E0">
        <w:t>Dubná</w:t>
      </w:r>
      <w:proofErr w:type="spellEnd"/>
      <w:r w:rsidR="000671B7" w:rsidRPr="000F28E0">
        <w:t xml:space="preserve"> Skala vrátane tunela Višňové) a taktiež aj </w:t>
      </w:r>
      <w:r w:rsidR="00D10B23" w:rsidRPr="000F28E0">
        <w:t>spoločnosť Valaliky Industrial Park, s.</w:t>
      </w:r>
      <w:r w:rsidR="006A28AA" w:rsidRPr="000F28E0">
        <w:t xml:space="preserve"> </w:t>
      </w:r>
      <w:r w:rsidR="00D10B23" w:rsidRPr="000F28E0">
        <w:t>r.</w:t>
      </w:r>
      <w:r w:rsidR="006A28AA" w:rsidRPr="000F28E0">
        <w:t xml:space="preserve"> </w:t>
      </w:r>
      <w:r w:rsidR="00D10B23" w:rsidRPr="000F28E0">
        <w:t>o. o 54 515 tis. eur, a to predovšetkým na financovanie realizácie významnej investície „ Strategické územie Valaliky “ (v súčasnej fáze tvoria kapitálové výdavky hlavne výdavky spojené s majetkovo právnym vysporiadaním pozemkov a úpravu terénu pre budúcu výstavbu).</w:t>
      </w:r>
    </w:p>
    <w:p w14:paraId="7E9579E9" w14:textId="59ED1A89" w:rsidR="005406D6" w:rsidRDefault="00900702" w:rsidP="00FD652C">
      <w:pPr>
        <w:spacing w:line="240" w:lineRule="auto"/>
        <w:jc w:val="both"/>
      </w:pPr>
      <w:r w:rsidRPr="000F28E0">
        <w:t>Význam</w:t>
      </w:r>
      <w:r w:rsidR="00896B85" w:rsidRPr="000F28E0">
        <w:t xml:space="preserve">ný pokles investícií zaznamenala </w:t>
      </w:r>
      <w:r w:rsidR="00EA51F3" w:rsidRPr="000F28E0">
        <w:t xml:space="preserve">aj </w:t>
      </w:r>
      <w:r w:rsidR="00105389" w:rsidRPr="000F28E0">
        <w:t>Železničná spoločnosť</w:t>
      </w:r>
      <w:r w:rsidR="000671B7" w:rsidRPr="000F28E0">
        <w:t xml:space="preserve"> Slovensko, a. s. o 83 461 tis. </w:t>
      </w:r>
      <w:r w:rsidR="00105389" w:rsidRPr="000F28E0">
        <w:t>eur z dôvodu ukončenia EÚ projektov</w:t>
      </w:r>
      <w:r w:rsidR="002D3D05">
        <w:t xml:space="preserve"> v roku 2021</w:t>
      </w:r>
      <w:r w:rsidR="00105389" w:rsidRPr="000F28E0">
        <w:t>.</w:t>
      </w:r>
      <w:r w:rsidR="00EF7C63" w:rsidRPr="000F28E0">
        <w:t xml:space="preserve"> Pozitívny vplyv na výdavky na obstaranie kapitálových aktív mal aj nárast zaplatených preddavkov na nákup vojenskej techniky</w:t>
      </w:r>
      <w:r w:rsidR="00EF7C63" w:rsidRPr="000F28E0">
        <w:rPr>
          <w:b/>
        </w:rPr>
        <w:t xml:space="preserve"> </w:t>
      </w:r>
      <w:r w:rsidR="00EF7C63" w:rsidRPr="000F28E0">
        <w:t>vo výške 60 052 tis. eur.</w:t>
      </w:r>
    </w:p>
    <w:p w14:paraId="6E38F90B" w14:textId="77777777" w:rsidR="00FD652C" w:rsidRDefault="00FD652C" w:rsidP="00FD652C">
      <w:pPr>
        <w:spacing w:line="240" w:lineRule="auto"/>
        <w:jc w:val="both"/>
      </w:pPr>
    </w:p>
    <w:p w14:paraId="7EDBE89D" w14:textId="6B715FCE" w:rsidR="0035366F" w:rsidRPr="00051A2B" w:rsidRDefault="008D55DC" w:rsidP="003C5653">
      <w:pPr>
        <w:pStyle w:val="Nadpis2"/>
        <w:numPr>
          <w:ilvl w:val="1"/>
          <w:numId w:val="3"/>
        </w:numPr>
        <w:spacing w:before="120" w:after="120"/>
        <w:ind w:left="714" w:hanging="357"/>
      </w:pPr>
      <w:bookmarkStart w:id="29" w:name="_Toc399324366"/>
      <w:bookmarkStart w:id="30" w:name="_Toc401920020"/>
      <w:bookmarkStart w:id="31" w:name="_Toc465255021"/>
      <w:bookmarkStart w:id="32" w:name="_Toc495990490"/>
      <w:bookmarkEnd w:id="7"/>
      <w:bookmarkEnd w:id="8"/>
      <w:bookmarkEnd w:id="13"/>
      <w:bookmarkEnd w:id="14"/>
      <w:r w:rsidRPr="00DF0EC5">
        <w:t xml:space="preserve">  </w:t>
      </w:r>
      <w:r w:rsidR="005F0AF6" w:rsidRPr="00DF0EC5">
        <w:t xml:space="preserve"> </w:t>
      </w:r>
      <w:bookmarkStart w:id="33" w:name="_Toc148704472"/>
      <w:r w:rsidR="005F0AF6" w:rsidRPr="00051A2B">
        <w:t xml:space="preserve">Štrukturálne saldo, </w:t>
      </w:r>
      <w:r w:rsidR="00EF3DE1" w:rsidRPr="00051A2B">
        <w:t>cyklická zložka a</w:t>
      </w:r>
      <w:r w:rsidR="005F0AF6" w:rsidRPr="00051A2B">
        <w:t xml:space="preserve"> jednorazové vplyvy</w:t>
      </w:r>
      <w:bookmarkEnd w:id="33"/>
      <w:r w:rsidR="00EF3DE1" w:rsidRPr="00051A2B">
        <w:t xml:space="preserve"> </w:t>
      </w:r>
      <w:bookmarkEnd w:id="29"/>
      <w:bookmarkEnd w:id="30"/>
      <w:bookmarkEnd w:id="31"/>
      <w:bookmarkEnd w:id="32"/>
    </w:p>
    <w:p w14:paraId="43EEF332" w14:textId="77777777" w:rsidR="003C5653" w:rsidRPr="008B059D" w:rsidRDefault="003C5653" w:rsidP="005406D6">
      <w:pPr>
        <w:pStyle w:val="NormalList"/>
        <w:rPr>
          <w:rFonts w:cs="Times New Roman"/>
          <w:lang w:eastAsia="sk-SK"/>
        </w:rPr>
      </w:pPr>
      <w:r w:rsidRPr="008B059D">
        <w:rPr>
          <w:rFonts w:cs="Times New Roman"/>
          <w:b/>
          <w:lang w:eastAsia="sk-SK"/>
        </w:rPr>
        <w:t>Štrukturálne saldo predstavuje analytický ukazovateľ, ktorým sa hodnotí fiškálna politika krajiny.</w:t>
      </w:r>
      <w:r>
        <w:rPr>
          <w:rFonts w:cs="Times New Roman"/>
          <w:b/>
          <w:lang w:eastAsia="sk-SK"/>
        </w:rPr>
        <w:t xml:space="preserve"> </w:t>
      </w:r>
      <w:r w:rsidRPr="00FA78C8">
        <w:rPr>
          <w:rFonts w:cs="Times New Roman"/>
          <w:lang w:eastAsia="sk-SK"/>
        </w:rPr>
        <w:t>Štrukturálne saldo analyticky očisťuje nominálne saldo o vplyv ekonomického cyklu a</w:t>
      </w:r>
      <w:r>
        <w:rPr>
          <w:rFonts w:cs="Times New Roman"/>
          <w:lang w:eastAsia="sk-SK"/>
        </w:rPr>
        <w:t> </w:t>
      </w:r>
      <w:r w:rsidRPr="00FA78C8">
        <w:rPr>
          <w:rFonts w:cs="Times New Roman"/>
          <w:lang w:eastAsia="sk-SK"/>
        </w:rPr>
        <w:t>jednorazové</w:t>
      </w:r>
      <w:r>
        <w:rPr>
          <w:rFonts w:cs="Times New Roman"/>
          <w:lang w:eastAsia="sk-SK"/>
        </w:rPr>
        <w:t xml:space="preserve"> a dočasné</w:t>
      </w:r>
      <w:r w:rsidRPr="00FA78C8">
        <w:rPr>
          <w:rFonts w:cs="Times New Roman"/>
          <w:lang w:eastAsia="sk-SK"/>
        </w:rPr>
        <w:t xml:space="preserve"> efekty</w:t>
      </w:r>
      <w:r w:rsidRPr="00EE2872">
        <w:rPr>
          <w:rFonts w:cs="Times New Roman"/>
          <w:lang w:eastAsia="sk-SK"/>
        </w:rPr>
        <w:t>. Vývoj štrukturálneho salda predstavuje jeden z kľúčových ukazovateľov pri hodnotení súladu s európskymi</w:t>
      </w:r>
      <w:r w:rsidRPr="008B059D">
        <w:rPr>
          <w:rFonts w:cs="Times New Roman"/>
          <w:lang w:eastAsia="sk-SK"/>
        </w:rPr>
        <w:t xml:space="preserve"> a národnými fiškálnymi pravidlami.</w:t>
      </w:r>
      <w:r w:rsidRPr="008B059D">
        <w:rPr>
          <w:rStyle w:val="Odkaznapoznmkupodiarou"/>
          <w:rFonts w:eastAsiaTheme="majorEastAsia"/>
        </w:rPr>
        <w:footnoteReference w:id="19"/>
      </w:r>
    </w:p>
    <w:p w14:paraId="04AFAD97" w14:textId="3C75678B" w:rsidR="003C5653" w:rsidRPr="004D5A67" w:rsidRDefault="003C5653" w:rsidP="005406D6">
      <w:pPr>
        <w:pStyle w:val="NormalList"/>
        <w:spacing w:before="120" w:after="120"/>
        <w:rPr>
          <w:rFonts w:cs="Times New Roman"/>
          <w:highlight w:val="yellow"/>
        </w:rPr>
      </w:pPr>
      <w:r w:rsidRPr="008B059D">
        <w:rPr>
          <w:rFonts w:cs="Times New Roman"/>
          <w:lang w:eastAsia="sk-SK"/>
        </w:rPr>
        <w:t xml:space="preserve"> </w:t>
      </w:r>
      <w:r w:rsidRPr="00034766">
        <w:rPr>
          <w:rFonts w:cs="Times New Roman"/>
          <w:b/>
        </w:rPr>
        <w:t xml:space="preserve">Štrukturálne saldo dosiahlo </w:t>
      </w:r>
      <w:r>
        <w:rPr>
          <w:rFonts w:cs="Times New Roman"/>
          <w:b/>
        </w:rPr>
        <w:t>v roku 2022</w:t>
      </w:r>
      <w:r w:rsidRPr="00034766">
        <w:rPr>
          <w:rFonts w:cs="Times New Roman"/>
          <w:b/>
        </w:rPr>
        <w:t xml:space="preserve"> hodnotu </w:t>
      </w:r>
      <w:r w:rsidRPr="00C57CA6">
        <w:rPr>
          <w:rFonts w:cs="Times New Roman"/>
          <w:b/>
        </w:rPr>
        <w:t>-</w:t>
      </w:r>
      <w:r>
        <w:rPr>
          <w:rFonts w:cs="Times New Roman"/>
          <w:b/>
        </w:rPr>
        <w:t>1,4</w:t>
      </w:r>
      <w:r w:rsidRPr="00034766">
        <w:rPr>
          <w:rFonts w:cs="Times New Roman"/>
          <w:b/>
        </w:rPr>
        <w:t xml:space="preserve"> % HDP</w:t>
      </w:r>
      <w:r w:rsidRPr="00034766">
        <w:rPr>
          <w:rFonts w:cs="Times New Roman"/>
        </w:rPr>
        <w:t>. Medziročná zmena štrukturálneho salda</w:t>
      </w:r>
      <w:r>
        <w:rPr>
          <w:rFonts w:cs="Times New Roman"/>
        </w:rPr>
        <w:t xml:space="preserve"> oproti úrovni z roku 2021</w:t>
      </w:r>
      <w:r w:rsidRPr="00034766">
        <w:rPr>
          <w:rFonts w:cs="Times New Roman"/>
        </w:rPr>
        <w:t xml:space="preserve"> zodpovedá </w:t>
      </w:r>
      <w:r>
        <w:rPr>
          <w:rFonts w:cs="Times New Roman"/>
        </w:rPr>
        <w:t>výraznej konsolidácii na úrovni 0,7</w:t>
      </w:r>
      <w:r w:rsidRPr="00034766">
        <w:rPr>
          <w:rFonts w:cs="Times New Roman"/>
        </w:rPr>
        <w:t xml:space="preserve"> p. b. HDP. Do tejto konsolidácie</w:t>
      </w:r>
      <w:r>
        <w:rPr>
          <w:rFonts w:cs="Times New Roman"/>
        </w:rPr>
        <w:t xml:space="preserve"> nevstupujú už odznievajúce výdavky spojené s</w:t>
      </w:r>
      <w:r w:rsidRPr="00034766">
        <w:rPr>
          <w:rFonts w:cs="Times New Roman"/>
        </w:rPr>
        <w:t xml:space="preserve"> pandémiou COVID-19</w:t>
      </w:r>
      <w:r>
        <w:rPr>
          <w:rFonts w:cs="Times New Roman"/>
        </w:rPr>
        <w:t>, výdavky spojené s vojnou na Ukrajine, ako aj výdavky spojené z vysokou infláciou a </w:t>
      </w:r>
      <w:proofErr w:type="spellStart"/>
      <w:r>
        <w:rPr>
          <w:rFonts w:cs="Times New Roman"/>
        </w:rPr>
        <w:t>energo</w:t>
      </w:r>
      <w:proofErr w:type="spellEnd"/>
      <w:r>
        <w:rPr>
          <w:rFonts w:cs="Times New Roman"/>
        </w:rPr>
        <w:t>-pomocou</w:t>
      </w:r>
      <w:r w:rsidRPr="00034766">
        <w:rPr>
          <w:rFonts w:cs="Times New Roman"/>
        </w:rPr>
        <w:t xml:space="preserve">, keďže tie sa v rámci jednorazových </w:t>
      </w:r>
      <w:r>
        <w:rPr>
          <w:rFonts w:cs="Times New Roman"/>
        </w:rPr>
        <w:t xml:space="preserve">a dočasných </w:t>
      </w:r>
      <w:r w:rsidRPr="00034766">
        <w:rPr>
          <w:rFonts w:cs="Times New Roman"/>
        </w:rPr>
        <w:t xml:space="preserve">opatrení očisťujú. </w:t>
      </w:r>
    </w:p>
    <w:tbl>
      <w:tblPr>
        <w:tblW w:w="9298" w:type="dxa"/>
        <w:tblLook w:val="04A0" w:firstRow="1" w:lastRow="0" w:firstColumn="1" w:lastColumn="0" w:noHBand="0" w:noVBand="1"/>
      </w:tblPr>
      <w:tblGrid>
        <w:gridCol w:w="5915"/>
        <w:gridCol w:w="453"/>
        <w:gridCol w:w="1046"/>
        <w:gridCol w:w="966"/>
        <w:gridCol w:w="918"/>
      </w:tblGrid>
      <w:tr w:rsidR="00051A2B" w:rsidRPr="00051A2B" w14:paraId="2800B3B6" w14:textId="77777777" w:rsidTr="00051A2B">
        <w:trPr>
          <w:trHeight w:val="295"/>
        </w:trPr>
        <w:tc>
          <w:tcPr>
            <w:tcW w:w="9298" w:type="dxa"/>
            <w:gridSpan w:val="5"/>
            <w:tcBorders>
              <w:top w:val="nil"/>
              <w:left w:val="nil"/>
              <w:bottom w:val="single" w:sz="4" w:space="0" w:color="auto"/>
              <w:right w:val="nil"/>
            </w:tcBorders>
            <w:shd w:val="clear" w:color="auto" w:fill="auto"/>
            <w:noWrap/>
            <w:vAlign w:val="center"/>
            <w:hideMark/>
          </w:tcPr>
          <w:p w14:paraId="62A32649" w14:textId="058543BF" w:rsidR="003C5653" w:rsidRPr="00051A2B" w:rsidRDefault="00051A2B" w:rsidP="003C5653">
            <w:pPr>
              <w:spacing w:after="0" w:line="240" w:lineRule="auto"/>
              <w:rPr>
                <w:b/>
                <w:bCs/>
                <w:color w:val="4F81BD" w:themeColor="accent1"/>
                <w:sz w:val="20"/>
                <w:szCs w:val="20"/>
                <w:lang w:eastAsia="en-GB"/>
              </w:rPr>
            </w:pPr>
            <w:r w:rsidRPr="00051A2B">
              <w:rPr>
                <w:b/>
                <w:bCs/>
                <w:color w:val="4F81BD" w:themeColor="accent1"/>
                <w:sz w:val="20"/>
                <w:szCs w:val="20"/>
                <w:lang w:eastAsia="en-GB"/>
              </w:rPr>
              <w:t xml:space="preserve">Tabuľka 12 - </w:t>
            </w:r>
            <w:r w:rsidR="003C5653" w:rsidRPr="00051A2B">
              <w:rPr>
                <w:b/>
                <w:bCs/>
                <w:color w:val="4F81BD" w:themeColor="accent1"/>
                <w:sz w:val="20"/>
                <w:szCs w:val="20"/>
                <w:lang w:eastAsia="en-GB"/>
              </w:rPr>
              <w:t>Výpočet štrukturálneho salda a konsolidačného úsilia ( ESA 2010)</w:t>
            </w:r>
          </w:p>
        </w:tc>
      </w:tr>
      <w:tr w:rsidR="00051A2B" w:rsidRPr="00051A2B" w14:paraId="52F0C77D" w14:textId="77777777" w:rsidTr="00051A2B">
        <w:trPr>
          <w:trHeight w:val="269"/>
        </w:trPr>
        <w:tc>
          <w:tcPr>
            <w:tcW w:w="5915" w:type="dxa"/>
            <w:vMerge w:val="restart"/>
            <w:tcBorders>
              <w:top w:val="single" w:sz="4" w:space="0" w:color="auto"/>
              <w:left w:val="nil"/>
              <w:bottom w:val="nil"/>
              <w:right w:val="nil"/>
            </w:tcBorders>
            <w:shd w:val="clear" w:color="auto" w:fill="auto"/>
            <w:noWrap/>
            <w:vAlign w:val="center"/>
            <w:hideMark/>
          </w:tcPr>
          <w:p w14:paraId="3DFB03E4" w14:textId="77777777" w:rsidR="003C5653" w:rsidRPr="00051A2B" w:rsidRDefault="003C5653" w:rsidP="003C5653">
            <w:pPr>
              <w:spacing w:after="0" w:line="240" w:lineRule="auto"/>
              <w:jc w:val="center"/>
              <w:rPr>
                <w:color w:val="4F81BD" w:themeColor="accent1"/>
                <w:sz w:val="18"/>
                <w:szCs w:val="18"/>
                <w:lang w:eastAsia="en-GB"/>
              </w:rPr>
            </w:pPr>
            <w:r w:rsidRPr="00051A2B">
              <w:rPr>
                <w:color w:val="4F81BD" w:themeColor="accent1"/>
                <w:sz w:val="18"/>
                <w:szCs w:val="18"/>
                <w:lang w:eastAsia="en-GB"/>
              </w:rPr>
              <w:t> </w:t>
            </w:r>
          </w:p>
        </w:tc>
        <w:tc>
          <w:tcPr>
            <w:tcW w:w="452" w:type="dxa"/>
            <w:tcBorders>
              <w:top w:val="single" w:sz="4" w:space="0" w:color="auto"/>
              <w:left w:val="nil"/>
              <w:bottom w:val="nil"/>
              <w:right w:val="single" w:sz="8" w:space="0" w:color="auto"/>
            </w:tcBorders>
            <w:shd w:val="clear" w:color="auto" w:fill="auto"/>
            <w:vAlign w:val="center"/>
          </w:tcPr>
          <w:p w14:paraId="61D11333" w14:textId="77777777" w:rsidR="003C5653" w:rsidRPr="00051A2B" w:rsidRDefault="003C5653" w:rsidP="003C5653">
            <w:pPr>
              <w:spacing w:after="0" w:line="240" w:lineRule="auto"/>
              <w:jc w:val="center"/>
              <w:rPr>
                <w:b/>
                <w:bCs/>
                <w:color w:val="4F81BD" w:themeColor="accent1"/>
                <w:sz w:val="18"/>
                <w:szCs w:val="18"/>
                <w:lang w:eastAsia="en-GB"/>
              </w:rPr>
            </w:pPr>
          </w:p>
        </w:tc>
        <w:tc>
          <w:tcPr>
            <w:tcW w:w="2929" w:type="dxa"/>
            <w:gridSpan w:val="3"/>
            <w:tcBorders>
              <w:top w:val="single" w:sz="4" w:space="0" w:color="auto"/>
              <w:left w:val="nil"/>
              <w:bottom w:val="nil"/>
              <w:right w:val="nil"/>
            </w:tcBorders>
            <w:shd w:val="clear" w:color="auto" w:fill="auto"/>
            <w:vAlign w:val="center"/>
            <w:hideMark/>
          </w:tcPr>
          <w:p w14:paraId="2CDA6F69" w14:textId="77777777" w:rsidR="003C5653" w:rsidRPr="00051A2B" w:rsidRDefault="003C5653" w:rsidP="003C5653">
            <w:pPr>
              <w:spacing w:after="0" w:line="240" w:lineRule="auto"/>
              <w:jc w:val="center"/>
              <w:rPr>
                <w:b/>
                <w:bCs/>
                <w:color w:val="4F81BD" w:themeColor="accent1"/>
                <w:sz w:val="18"/>
                <w:szCs w:val="18"/>
                <w:lang w:eastAsia="en-GB"/>
              </w:rPr>
            </w:pPr>
            <w:r w:rsidRPr="00051A2B">
              <w:rPr>
                <w:b/>
                <w:bCs/>
                <w:sz w:val="18"/>
                <w:szCs w:val="18"/>
                <w:lang w:eastAsia="en-GB"/>
              </w:rPr>
              <w:t>% HDP</w:t>
            </w:r>
          </w:p>
        </w:tc>
      </w:tr>
      <w:tr w:rsidR="003C5653" w:rsidRPr="005A50DE" w14:paraId="7AEFA44A" w14:textId="77777777" w:rsidTr="00051A2B">
        <w:trPr>
          <w:trHeight w:val="269"/>
        </w:trPr>
        <w:tc>
          <w:tcPr>
            <w:tcW w:w="5915" w:type="dxa"/>
            <w:vMerge/>
            <w:tcBorders>
              <w:top w:val="nil"/>
              <w:left w:val="nil"/>
              <w:bottom w:val="single" w:sz="4" w:space="0" w:color="auto"/>
              <w:right w:val="nil"/>
            </w:tcBorders>
            <w:shd w:val="clear" w:color="auto" w:fill="auto"/>
            <w:vAlign w:val="center"/>
            <w:hideMark/>
          </w:tcPr>
          <w:p w14:paraId="7A21F706" w14:textId="77777777" w:rsidR="003C5653" w:rsidRPr="001460E9" w:rsidRDefault="003C5653" w:rsidP="003C5653">
            <w:pPr>
              <w:spacing w:after="0" w:line="240" w:lineRule="auto"/>
              <w:rPr>
                <w:color w:val="000000"/>
                <w:sz w:val="18"/>
                <w:szCs w:val="18"/>
                <w:lang w:eastAsia="en-GB"/>
              </w:rPr>
            </w:pPr>
          </w:p>
        </w:tc>
        <w:tc>
          <w:tcPr>
            <w:tcW w:w="452" w:type="dxa"/>
            <w:tcBorders>
              <w:top w:val="nil"/>
              <w:left w:val="nil"/>
              <w:bottom w:val="single" w:sz="4" w:space="0" w:color="auto"/>
              <w:right w:val="single" w:sz="8" w:space="0" w:color="auto"/>
            </w:tcBorders>
            <w:shd w:val="clear" w:color="auto" w:fill="auto"/>
            <w:vAlign w:val="center"/>
          </w:tcPr>
          <w:p w14:paraId="040EA19C" w14:textId="77777777" w:rsidR="003C5653" w:rsidRPr="001460E9" w:rsidRDefault="003C5653" w:rsidP="003C5653">
            <w:pPr>
              <w:spacing w:after="0" w:line="240" w:lineRule="auto"/>
              <w:jc w:val="center"/>
              <w:rPr>
                <w:b/>
                <w:bCs/>
                <w:color w:val="000000"/>
                <w:sz w:val="18"/>
                <w:szCs w:val="18"/>
                <w:lang w:eastAsia="en-GB"/>
              </w:rPr>
            </w:pPr>
          </w:p>
        </w:tc>
        <w:tc>
          <w:tcPr>
            <w:tcW w:w="1046" w:type="dxa"/>
            <w:tcBorders>
              <w:top w:val="nil"/>
              <w:left w:val="nil"/>
              <w:bottom w:val="single" w:sz="4" w:space="0" w:color="auto"/>
              <w:right w:val="nil"/>
            </w:tcBorders>
            <w:shd w:val="clear" w:color="auto" w:fill="auto"/>
            <w:vAlign w:val="center"/>
            <w:hideMark/>
          </w:tcPr>
          <w:p w14:paraId="405A9E09" w14:textId="77777777" w:rsidR="003C5653" w:rsidRPr="001460E9" w:rsidRDefault="003C5653" w:rsidP="003C5653">
            <w:pPr>
              <w:spacing w:after="0" w:line="240" w:lineRule="auto"/>
              <w:jc w:val="center"/>
              <w:rPr>
                <w:b/>
                <w:bCs/>
                <w:color w:val="000000"/>
                <w:sz w:val="18"/>
                <w:szCs w:val="18"/>
                <w:lang w:eastAsia="en-GB"/>
              </w:rPr>
            </w:pPr>
            <w:r w:rsidRPr="001460E9">
              <w:rPr>
                <w:b/>
                <w:bCs/>
                <w:color w:val="000000"/>
                <w:sz w:val="18"/>
                <w:szCs w:val="18"/>
                <w:lang w:eastAsia="en-GB"/>
              </w:rPr>
              <w:t>2020</w:t>
            </w:r>
          </w:p>
        </w:tc>
        <w:tc>
          <w:tcPr>
            <w:tcW w:w="966" w:type="dxa"/>
            <w:tcBorders>
              <w:top w:val="nil"/>
              <w:left w:val="nil"/>
              <w:bottom w:val="single" w:sz="4" w:space="0" w:color="auto"/>
              <w:right w:val="nil"/>
            </w:tcBorders>
            <w:shd w:val="clear" w:color="auto" w:fill="auto"/>
            <w:vAlign w:val="center"/>
            <w:hideMark/>
          </w:tcPr>
          <w:p w14:paraId="6F6D9A3B" w14:textId="77777777" w:rsidR="003C5653" w:rsidRPr="001460E9" w:rsidRDefault="003C5653" w:rsidP="003C5653">
            <w:pPr>
              <w:spacing w:after="0" w:line="240" w:lineRule="auto"/>
              <w:jc w:val="center"/>
              <w:rPr>
                <w:b/>
                <w:bCs/>
                <w:color w:val="000000"/>
                <w:sz w:val="18"/>
                <w:szCs w:val="18"/>
                <w:lang w:eastAsia="en-GB"/>
              </w:rPr>
            </w:pPr>
            <w:r w:rsidRPr="001460E9">
              <w:rPr>
                <w:b/>
                <w:bCs/>
                <w:color w:val="000000"/>
                <w:sz w:val="18"/>
                <w:szCs w:val="18"/>
                <w:lang w:eastAsia="en-GB"/>
              </w:rPr>
              <w:t>2021</w:t>
            </w:r>
          </w:p>
        </w:tc>
        <w:tc>
          <w:tcPr>
            <w:tcW w:w="916" w:type="dxa"/>
            <w:tcBorders>
              <w:top w:val="nil"/>
              <w:left w:val="nil"/>
              <w:bottom w:val="single" w:sz="4" w:space="0" w:color="auto"/>
              <w:right w:val="nil"/>
            </w:tcBorders>
            <w:shd w:val="clear" w:color="auto" w:fill="auto"/>
            <w:vAlign w:val="center"/>
            <w:hideMark/>
          </w:tcPr>
          <w:p w14:paraId="5AC2B6E7" w14:textId="77777777" w:rsidR="003C5653" w:rsidRPr="001460E9" w:rsidRDefault="003C5653" w:rsidP="003C5653">
            <w:pPr>
              <w:spacing w:after="0" w:line="240" w:lineRule="auto"/>
              <w:jc w:val="center"/>
              <w:rPr>
                <w:b/>
                <w:bCs/>
                <w:color w:val="000000"/>
                <w:sz w:val="18"/>
                <w:szCs w:val="18"/>
                <w:lang w:eastAsia="en-GB"/>
              </w:rPr>
            </w:pPr>
            <w:r w:rsidRPr="001460E9">
              <w:rPr>
                <w:b/>
                <w:bCs/>
                <w:color w:val="000000"/>
                <w:sz w:val="18"/>
                <w:szCs w:val="18"/>
                <w:lang w:eastAsia="en-GB"/>
              </w:rPr>
              <w:t>2022</w:t>
            </w:r>
          </w:p>
        </w:tc>
      </w:tr>
      <w:tr w:rsidR="003C5653" w:rsidRPr="005A50DE" w14:paraId="087EC589" w14:textId="77777777" w:rsidTr="00051A2B">
        <w:trPr>
          <w:trHeight w:val="269"/>
        </w:trPr>
        <w:tc>
          <w:tcPr>
            <w:tcW w:w="6368" w:type="dxa"/>
            <w:gridSpan w:val="2"/>
            <w:tcBorders>
              <w:top w:val="single" w:sz="4" w:space="0" w:color="auto"/>
              <w:left w:val="nil"/>
              <w:bottom w:val="nil"/>
              <w:right w:val="single" w:sz="8" w:space="0" w:color="auto"/>
            </w:tcBorders>
            <w:shd w:val="clear" w:color="auto" w:fill="auto"/>
            <w:noWrap/>
            <w:vAlign w:val="center"/>
            <w:hideMark/>
          </w:tcPr>
          <w:p w14:paraId="567EAC0F" w14:textId="77777777" w:rsidR="003C5653" w:rsidRPr="003C5653" w:rsidRDefault="003C5653" w:rsidP="003C5653">
            <w:pPr>
              <w:spacing w:after="0" w:line="240" w:lineRule="auto"/>
              <w:rPr>
                <w:b/>
                <w:color w:val="000000"/>
                <w:sz w:val="20"/>
                <w:szCs w:val="20"/>
                <w:lang w:eastAsia="en-GB"/>
              </w:rPr>
            </w:pPr>
            <w:r w:rsidRPr="003C5653">
              <w:rPr>
                <w:b/>
                <w:color w:val="000000"/>
                <w:sz w:val="20"/>
                <w:szCs w:val="20"/>
                <w:lang w:eastAsia="en-GB"/>
              </w:rPr>
              <w:t>1. Saldo verejnej správy podľa ESA 2010*</w:t>
            </w:r>
          </w:p>
        </w:tc>
        <w:tc>
          <w:tcPr>
            <w:tcW w:w="1046" w:type="dxa"/>
            <w:tcBorders>
              <w:top w:val="single" w:sz="4" w:space="0" w:color="auto"/>
              <w:left w:val="nil"/>
              <w:bottom w:val="nil"/>
              <w:right w:val="nil"/>
            </w:tcBorders>
            <w:shd w:val="clear" w:color="auto" w:fill="auto"/>
            <w:noWrap/>
            <w:vAlign w:val="bottom"/>
          </w:tcPr>
          <w:p w14:paraId="549B9AFB" w14:textId="77777777" w:rsidR="003C5653" w:rsidRPr="003C5653" w:rsidRDefault="003C5653" w:rsidP="003C5653">
            <w:pPr>
              <w:spacing w:after="0" w:line="240" w:lineRule="auto"/>
              <w:jc w:val="center"/>
              <w:rPr>
                <w:b/>
                <w:sz w:val="20"/>
                <w:szCs w:val="20"/>
                <w:lang w:eastAsia="en-GB"/>
              </w:rPr>
            </w:pPr>
            <w:r w:rsidRPr="003C5653">
              <w:rPr>
                <w:b/>
                <w:bCs/>
                <w:color w:val="595959"/>
                <w:sz w:val="20"/>
                <w:szCs w:val="20"/>
              </w:rPr>
              <w:t>-5,4</w:t>
            </w:r>
          </w:p>
        </w:tc>
        <w:tc>
          <w:tcPr>
            <w:tcW w:w="966" w:type="dxa"/>
            <w:tcBorders>
              <w:top w:val="single" w:sz="4" w:space="0" w:color="auto"/>
              <w:left w:val="nil"/>
              <w:bottom w:val="nil"/>
              <w:right w:val="nil"/>
            </w:tcBorders>
            <w:shd w:val="clear" w:color="auto" w:fill="auto"/>
            <w:noWrap/>
            <w:vAlign w:val="bottom"/>
          </w:tcPr>
          <w:p w14:paraId="70957FB9" w14:textId="77777777" w:rsidR="003C5653" w:rsidRPr="003C5653" w:rsidRDefault="003C5653" w:rsidP="003C5653">
            <w:pPr>
              <w:spacing w:after="0" w:line="240" w:lineRule="auto"/>
              <w:jc w:val="center"/>
              <w:rPr>
                <w:b/>
                <w:sz w:val="20"/>
                <w:szCs w:val="20"/>
                <w:lang w:eastAsia="en-GB"/>
              </w:rPr>
            </w:pPr>
            <w:r w:rsidRPr="003C5653">
              <w:rPr>
                <w:b/>
                <w:bCs/>
                <w:color w:val="000000"/>
                <w:sz w:val="20"/>
                <w:szCs w:val="20"/>
              </w:rPr>
              <w:t>-5,4</w:t>
            </w:r>
          </w:p>
        </w:tc>
        <w:tc>
          <w:tcPr>
            <w:tcW w:w="916" w:type="dxa"/>
            <w:tcBorders>
              <w:top w:val="single" w:sz="4" w:space="0" w:color="auto"/>
              <w:left w:val="nil"/>
              <w:bottom w:val="nil"/>
              <w:right w:val="nil"/>
            </w:tcBorders>
            <w:shd w:val="clear" w:color="auto" w:fill="auto"/>
            <w:noWrap/>
            <w:vAlign w:val="bottom"/>
          </w:tcPr>
          <w:p w14:paraId="3251D5AB" w14:textId="77777777" w:rsidR="003C5653" w:rsidRPr="003C5653" w:rsidRDefault="003C5653" w:rsidP="003C5653">
            <w:pPr>
              <w:spacing w:after="0" w:line="240" w:lineRule="auto"/>
              <w:jc w:val="center"/>
              <w:rPr>
                <w:b/>
                <w:sz w:val="20"/>
                <w:szCs w:val="20"/>
                <w:lang w:eastAsia="en-GB"/>
              </w:rPr>
            </w:pPr>
            <w:r w:rsidRPr="003C5653">
              <w:rPr>
                <w:b/>
                <w:bCs/>
                <w:color w:val="000000"/>
                <w:sz w:val="20"/>
                <w:szCs w:val="20"/>
              </w:rPr>
              <w:t>-2,0</w:t>
            </w:r>
          </w:p>
        </w:tc>
      </w:tr>
      <w:tr w:rsidR="003C5653" w:rsidRPr="005A50DE" w14:paraId="4E010BCD" w14:textId="77777777" w:rsidTr="003C5653">
        <w:trPr>
          <w:trHeight w:val="269"/>
        </w:trPr>
        <w:tc>
          <w:tcPr>
            <w:tcW w:w="6368" w:type="dxa"/>
            <w:gridSpan w:val="2"/>
            <w:tcBorders>
              <w:top w:val="nil"/>
              <w:left w:val="nil"/>
              <w:bottom w:val="nil"/>
              <w:right w:val="single" w:sz="8" w:space="0" w:color="auto"/>
            </w:tcBorders>
            <w:shd w:val="clear" w:color="auto" w:fill="auto"/>
            <w:noWrap/>
            <w:vAlign w:val="center"/>
            <w:hideMark/>
          </w:tcPr>
          <w:p w14:paraId="026CC608" w14:textId="77777777" w:rsidR="003C5653" w:rsidRPr="003C5653" w:rsidRDefault="003C5653" w:rsidP="003C5653">
            <w:pPr>
              <w:spacing w:after="0" w:line="240" w:lineRule="auto"/>
              <w:rPr>
                <w:color w:val="000000"/>
                <w:sz w:val="20"/>
                <w:szCs w:val="20"/>
                <w:lang w:eastAsia="en-GB"/>
              </w:rPr>
            </w:pPr>
            <w:r w:rsidRPr="003C5653">
              <w:rPr>
                <w:color w:val="000000"/>
                <w:sz w:val="20"/>
                <w:szCs w:val="20"/>
                <w:lang w:eastAsia="en-GB"/>
              </w:rPr>
              <w:t>2. Cyklická zložka</w:t>
            </w:r>
          </w:p>
        </w:tc>
        <w:tc>
          <w:tcPr>
            <w:tcW w:w="1046" w:type="dxa"/>
            <w:tcBorders>
              <w:top w:val="nil"/>
              <w:left w:val="nil"/>
              <w:bottom w:val="nil"/>
              <w:right w:val="nil"/>
            </w:tcBorders>
            <w:shd w:val="clear" w:color="auto" w:fill="auto"/>
            <w:vAlign w:val="bottom"/>
          </w:tcPr>
          <w:p w14:paraId="21F5C94B" w14:textId="77777777" w:rsidR="003C5653" w:rsidRPr="003C5653" w:rsidRDefault="003C5653" w:rsidP="003C5653">
            <w:pPr>
              <w:spacing w:after="0" w:line="240" w:lineRule="auto"/>
              <w:jc w:val="center"/>
              <w:rPr>
                <w:b/>
                <w:sz w:val="20"/>
                <w:szCs w:val="20"/>
                <w:lang w:eastAsia="en-GB"/>
              </w:rPr>
            </w:pPr>
            <w:r w:rsidRPr="003C5653">
              <w:rPr>
                <w:b/>
                <w:color w:val="595959"/>
                <w:sz w:val="20"/>
                <w:szCs w:val="20"/>
              </w:rPr>
              <w:t>-1,1</w:t>
            </w:r>
          </w:p>
        </w:tc>
        <w:tc>
          <w:tcPr>
            <w:tcW w:w="966" w:type="dxa"/>
            <w:tcBorders>
              <w:top w:val="nil"/>
              <w:left w:val="nil"/>
              <w:bottom w:val="nil"/>
              <w:right w:val="nil"/>
            </w:tcBorders>
            <w:shd w:val="clear" w:color="auto" w:fill="auto"/>
            <w:vAlign w:val="bottom"/>
          </w:tcPr>
          <w:p w14:paraId="6D38186A" w14:textId="5F2872AE" w:rsidR="003C5653" w:rsidRPr="003C5653" w:rsidRDefault="00051A2B" w:rsidP="003C5653">
            <w:pPr>
              <w:spacing w:after="0" w:line="240" w:lineRule="auto"/>
              <w:jc w:val="center"/>
              <w:rPr>
                <w:b/>
                <w:sz w:val="20"/>
                <w:szCs w:val="20"/>
                <w:lang w:eastAsia="en-GB"/>
              </w:rPr>
            </w:pPr>
            <w:r>
              <w:rPr>
                <w:b/>
                <w:color w:val="595959"/>
                <w:sz w:val="20"/>
                <w:szCs w:val="20"/>
              </w:rPr>
              <w:t xml:space="preserve">  </w:t>
            </w:r>
            <w:r w:rsidR="003C5653" w:rsidRPr="003C5653">
              <w:rPr>
                <w:b/>
                <w:color w:val="595959"/>
                <w:sz w:val="20"/>
                <w:szCs w:val="20"/>
              </w:rPr>
              <w:t>0,1</w:t>
            </w:r>
          </w:p>
        </w:tc>
        <w:tc>
          <w:tcPr>
            <w:tcW w:w="916" w:type="dxa"/>
            <w:tcBorders>
              <w:top w:val="nil"/>
              <w:left w:val="nil"/>
              <w:bottom w:val="nil"/>
              <w:right w:val="nil"/>
            </w:tcBorders>
            <w:shd w:val="clear" w:color="auto" w:fill="auto"/>
            <w:vAlign w:val="bottom"/>
          </w:tcPr>
          <w:p w14:paraId="1C0D8702" w14:textId="5D7BC9E0" w:rsidR="003C5653" w:rsidRPr="003C5653" w:rsidRDefault="00051A2B" w:rsidP="003C5653">
            <w:pPr>
              <w:spacing w:after="0" w:line="240" w:lineRule="auto"/>
              <w:jc w:val="center"/>
              <w:rPr>
                <w:b/>
                <w:sz w:val="20"/>
                <w:szCs w:val="20"/>
                <w:lang w:eastAsia="en-GB"/>
              </w:rPr>
            </w:pPr>
            <w:r>
              <w:rPr>
                <w:b/>
                <w:color w:val="595959"/>
                <w:sz w:val="20"/>
                <w:szCs w:val="20"/>
              </w:rPr>
              <w:t xml:space="preserve">  </w:t>
            </w:r>
            <w:r w:rsidR="003C5653" w:rsidRPr="003C5653">
              <w:rPr>
                <w:b/>
                <w:color w:val="595959"/>
                <w:sz w:val="20"/>
                <w:szCs w:val="20"/>
              </w:rPr>
              <w:t>0,3</w:t>
            </w:r>
          </w:p>
        </w:tc>
      </w:tr>
      <w:tr w:rsidR="003C5653" w:rsidRPr="005A50DE" w14:paraId="6D179B78" w14:textId="77777777" w:rsidTr="003C5653">
        <w:trPr>
          <w:trHeight w:val="269"/>
        </w:trPr>
        <w:tc>
          <w:tcPr>
            <w:tcW w:w="6368" w:type="dxa"/>
            <w:gridSpan w:val="2"/>
            <w:tcBorders>
              <w:top w:val="nil"/>
              <w:left w:val="nil"/>
              <w:bottom w:val="nil"/>
              <w:right w:val="single" w:sz="8" w:space="0" w:color="auto"/>
            </w:tcBorders>
            <w:shd w:val="clear" w:color="auto" w:fill="auto"/>
            <w:noWrap/>
            <w:vAlign w:val="center"/>
            <w:hideMark/>
          </w:tcPr>
          <w:p w14:paraId="192E9A88" w14:textId="77777777" w:rsidR="003C5653" w:rsidRPr="003C5653" w:rsidRDefault="003C5653" w:rsidP="003C5653">
            <w:pPr>
              <w:spacing w:after="0" w:line="240" w:lineRule="auto"/>
              <w:rPr>
                <w:color w:val="000000"/>
                <w:sz w:val="20"/>
                <w:szCs w:val="20"/>
                <w:lang w:eastAsia="en-GB"/>
              </w:rPr>
            </w:pPr>
            <w:r w:rsidRPr="003C5653">
              <w:rPr>
                <w:color w:val="000000"/>
                <w:sz w:val="20"/>
                <w:szCs w:val="20"/>
                <w:lang w:eastAsia="en-GB"/>
              </w:rPr>
              <w:t xml:space="preserve">3. Jednorazové a dočasné vplyvy </w:t>
            </w:r>
          </w:p>
        </w:tc>
        <w:tc>
          <w:tcPr>
            <w:tcW w:w="1046" w:type="dxa"/>
            <w:tcBorders>
              <w:top w:val="nil"/>
              <w:left w:val="nil"/>
              <w:bottom w:val="nil"/>
              <w:right w:val="nil"/>
            </w:tcBorders>
            <w:shd w:val="clear" w:color="auto" w:fill="auto"/>
            <w:noWrap/>
            <w:vAlign w:val="bottom"/>
          </w:tcPr>
          <w:p w14:paraId="2BEB0BD4" w14:textId="77777777" w:rsidR="003C5653" w:rsidRPr="003C5653" w:rsidRDefault="003C5653" w:rsidP="003C5653">
            <w:pPr>
              <w:spacing w:after="0" w:line="240" w:lineRule="auto"/>
              <w:jc w:val="center"/>
              <w:rPr>
                <w:b/>
                <w:sz w:val="20"/>
                <w:szCs w:val="20"/>
                <w:lang w:eastAsia="en-GB"/>
              </w:rPr>
            </w:pPr>
            <w:r w:rsidRPr="003C5653">
              <w:rPr>
                <w:b/>
                <w:sz w:val="20"/>
                <w:szCs w:val="20"/>
              </w:rPr>
              <w:t>-1,8</w:t>
            </w:r>
          </w:p>
        </w:tc>
        <w:tc>
          <w:tcPr>
            <w:tcW w:w="966" w:type="dxa"/>
            <w:tcBorders>
              <w:top w:val="nil"/>
              <w:left w:val="nil"/>
              <w:bottom w:val="nil"/>
              <w:right w:val="nil"/>
            </w:tcBorders>
            <w:shd w:val="clear" w:color="auto" w:fill="auto"/>
            <w:noWrap/>
            <w:vAlign w:val="bottom"/>
          </w:tcPr>
          <w:p w14:paraId="7331953C" w14:textId="77777777" w:rsidR="003C5653" w:rsidRPr="003C5653" w:rsidRDefault="003C5653" w:rsidP="003C5653">
            <w:pPr>
              <w:spacing w:after="0" w:line="240" w:lineRule="auto"/>
              <w:jc w:val="center"/>
              <w:rPr>
                <w:b/>
                <w:sz w:val="20"/>
                <w:szCs w:val="20"/>
                <w:lang w:eastAsia="en-GB"/>
              </w:rPr>
            </w:pPr>
            <w:r w:rsidRPr="003C5653">
              <w:rPr>
                <w:b/>
                <w:sz w:val="20"/>
                <w:szCs w:val="20"/>
              </w:rPr>
              <w:t>-3,4</w:t>
            </w:r>
          </w:p>
        </w:tc>
        <w:tc>
          <w:tcPr>
            <w:tcW w:w="916" w:type="dxa"/>
            <w:tcBorders>
              <w:top w:val="nil"/>
              <w:left w:val="nil"/>
              <w:bottom w:val="nil"/>
              <w:right w:val="nil"/>
            </w:tcBorders>
            <w:shd w:val="clear" w:color="auto" w:fill="auto"/>
            <w:noWrap/>
            <w:vAlign w:val="bottom"/>
          </w:tcPr>
          <w:p w14:paraId="50371B1A" w14:textId="77777777" w:rsidR="003C5653" w:rsidRPr="003C5653" w:rsidRDefault="003C5653" w:rsidP="003C5653">
            <w:pPr>
              <w:spacing w:after="0" w:line="240" w:lineRule="auto"/>
              <w:jc w:val="center"/>
              <w:rPr>
                <w:b/>
                <w:sz w:val="20"/>
                <w:szCs w:val="20"/>
                <w:lang w:eastAsia="en-GB"/>
              </w:rPr>
            </w:pPr>
            <w:r w:rsidRPr="003C5653">
              <w:rPr>
                <w:b/>
                <w:sz w:val="20"/>
                <w:szCs w:val="20"/>
              </w:rPr>
              <w:t>-0,8</w:t>
            </w:r>
          </w:p>
        </w:tc>
      </w:tr>
      <w:tr w:rsidR="003C5653" w:rsidRPr="005A50DE" w14:paraId="342CEA87" w14:textId="77777777" w:rsidTr="003C5653">
        <w:trPr>
          <w:trHeight w:val="269"/>
        </w:trPr>
        <w:tc>
          <w:tcPr>
            <w:tcW w:w="6368" w:type="dxa"/>
            <w:gridSpan w:val="2"/>
            <w:tcBorders>
              <w:top w:val="nil"/>
              <w:left w:val="nil"/>
              <w:right w:val="single" w:sz="8" w:space="0" w:color="auto"/>
            </w:tcBorders>
            <w:shd w:val="clear" w:color="auto" w:fill="auto"/>
            <w:noWrap/>
            <w:vAlign w:val="center"/>
            <w:hideMark/>
          </w:tcPr>
          <w:p w14:paraId="3DB4416E" w14:textId="77777777" w:rsidR="003C5653" w:rsidRPr="003C5653" w:rsidRDefault="003C5653" w:rsidP="003C5653">
            <w:pPr>
              <w:spacing w:after="0" w:line="240" w:lineRule="auto"/>
              <w:rPr>
                <w:b/>
                <w:color w:val="000000"/>
                <w:sz w:val="20"/>
                <w:szCs w:val="20"/>
                <w:lang w:eastAsia="en-GB"/>
              </w:rPr>
            </w:pPr>
            <w:r w:rsidRPr="003C5653">
              <w:rPr>
                <w:b/>
                <w:bCs/>
                <w:color w:val="000000"/>
                <w:sz w:val="20"/>
                <w:szCs w:val="20"/>
                <w:lang w:eastAsia="en-GB"/>
              </w:rPr>
              <w:t>4. Štrukturálne saldo verejnej správy (1-2-3)</w:t>
            </w:r>
          </w:p>
        </w:tc>
        <w:tc>
          <w:tcPr>
            <w:tcW w:w="1046" w:type="dxa"/>
            <w:tcBorders>
              <w:top w:val="nil"/>
              <w:left w:val="nil"/>
              <w:right w:val="nil"/>
            </w:tcBorders>
            <w:shd w:val="clear" w:color="auto" w:fill="auto"/>
            <w:noWrap/>
            <w:vAlign w:val="bottom"/>
            <w:hideMark/>
          </w:tcPr>
          <w:p w14:paraId="473EF619" w14:textId="77777777" w:rsidR="003C5653" w:rsidRPr="003C5653" w:rsidRDefault="003C5653" w:rsidP="003C5653">
            <w:pPr>
              <w:spacing w:after="0" w:line="240" w:lineRule="auto"/>
              <w:jc w:val="center"/>
              <w:rPr>
                <w:b/>
                <w:sz w:val="20"/>
                <w:szCs w:val="20"/>
                <w:lang w:eastAsia="en-GB"/>
              </w:rPr>
            </w:pPr>
            <w:r w:rsidRPr="003C5653">
              <w:rPr>
                <w:b/>
                <w:bCs/>
                <w:sz w:val="20"/>
                <w:szCs w:val="20"/>
              </w:rPr>
              <w:t>-2,5</w:t>
            </w:r>
          </w:p>
        </w:tc>
        <w:tc>
          <w:tcPr>
            <w:tcW w:w="966" w:type="dxa"/>
            <w:tcBorders>
              <w:top w:val="nil"/>
              <w:left w:val="nil"/>
              <w:right w:val="nil"/>
            </w:tcBorders>
            <w:shd w:val="clear" w:color="auto" w:fill="auto"/>
            <w:noWrap/>
            <w:vAlign w:val="bottom"/>
          </w:tcPr>
          <w:p w14:paraId="5573EE74" w14:textId="77777777" w:rsidR="003C5653" w:rsidRPr="003C5653" w:rsidRDefault="003C5653" w:rsidP="003C5653">
            <w:pPr>
              <w:spacing w:after="0" w:line="240" w:lineRule="auto"/>
              <w:jc w:val="center"/>
              <w:rPr>
                <w:b/>
                <w:sz w:val="20"/>
                <w:szCs w:val="20"/>
                <w:lang w:eastAsia="en-GB"/>
              </w:rPr>
            </w:pPr>
            <w:r w:rsidRPr="003C5653">
              <w:rPr>
                <w:b/>
                <w:bCs/>
                <w:color w:val="595959"/>
                <w:sz w:val="20"/>
                <w:szCs w:val="20"/>
              </w:rPr>
              <w:t>-2,1</w:t>
            </w:r>
          </w:p>
        </w:tc>
        <w:tc>
          <w:tcPr>
            <w:tcW w:w="916" w:type="dxa"/>
            <w:tcBorders>
              <w:top w:val="nil"/>
              <w:left w:val="nil"/>
              <w:right w:val="nil"/>
            </w:tcBorders>
            <w:shd w:val="clear" w:color="auto" w:fill="auto"/>
            <w:noWrap/>
            <w:vAlign w:val="bottom"/>
          </w:tcPr>
          <w:p w14:paraId="5B8FBC05" w14:textId="77777777" w:rsidR="003C5653" w:rsidRPr="003C5653" w:rsidRDefault="003C5653" w:rsidP="003C5653">
            <w:pPr>
              <w:spacing w:after="0" w:line="240" w:lineRule="auto"/>
              <w:jc w:val="center"/>
              <w:rPr>
                <w:b/>
                <w:sz w:val="20"/>
                <w:szCs w:val="20"/>
                <w:lang w:eastAsia="en-GB"/>
              </w:rPr>
            </w:pPr>
            <w:r w:rsidRPr="003C5653">
              <w:rPr>
                <w:b/>
                <w:bCs/>
                <w:color w:val="000000"/>
                <w:sz w:val="20"/>
                <w:szCs w:val="20"/>
              </w:rPr>
              <w:t>-1,4</w:t>
            </w:r>
          </w:p>
        </w:tc>
      </w:tr>
      <w:tr w:rsidR="003C5653" w:rsidRPr="005A50DE" w14:paraId="2F5ABFB1" w14:textId="77777777" w:rsidTr="003C5653">
        <w:trPr>
          <w:trHeight w:val="371"/>
        </w:trPr>
        <w:tc>
          <w:tcPr>
            <w:tcW w:w="5915" w:type="dxa"/>
            <w:tcBorders>
              <w:top w:val="nil"/>
              <w:left w:val="nil"/>
              <w:bottom w:val="single" w:sz="4" w:space="0" w:color="auto"/>
              <w:right w:val="nil"/>
            </w:tcBorders>
            <w:shd w:val="clear" w:color="auto" w:fill="auto"/>
            <w:noWrap/>
            <w:vAlign w:val="center"/>
            <w:hideMark/>
          </w:tcPr>
          <w:p w14:paraId="3A2E074C" w14:textId="77777777" w:rsidR="003C5653" w:rsidRPr="003C5653" w:rsidRDefault="003C5653" w:rsidP="003C5653">
            <w:pPr>
              <w:spacing w:after="0" w:line="240" w:lineRule="auto"/>
              <w:rPr>
                <w:bCs/>
                <w:color w:val="000000"/>
                <w:sz w:val="20"/>
                <w:szCs w:val="20"/>
                <w:lang w:eastAsia="en-GB"/>
              </w:rPr>
            </w:pPr>
            <w:r w:rsidRPr="003C5653">
              <w:rPr>
                <w:bCs/>
                <w:color w:val="000000"/>
                <w:sz w:val="20"/>
                <w:szCs w:val="20"/>
                <w:lang w:eastAsia="en-GB"/>
              </w:rPr>
              <w:t>5. Konsolidačné úsilie (medziročná zmena 4)</w:t>
            </w:r>
          </w:p>
        </w:tc>
        <w:tc>
          <w:tcPr>
            <w:tcW w:w="452" w:type="dxa"/>
            <w:tcBorders>
              <w:top w:val="nil"/>
              <w:left w:val="nil"/>
              <w:bottom w:val="single" w:sz="4" w:space="0" w:color="auto"/>
              <w:right w:val="single" w:sz="8" w:space="0" w:color="auto"/>
            </w:tcBorders>
            <w:shd w:val="clear" w:color="auto" w:fill="auto"/>
            <w:noWrap/>
            <w:vAlign w:val="bottom"/>
          </w:tcPr>
          <w:p w14:paraId="12DAC8AD" w14:textId="77777777" w:rsidR="003C5653" w:rsidRPr="003C5653" w:rsidRDefault="003C5653" w:rsidP="003C5653">
            <w:pPr>
              <w:spacing w:after="0" w:line="240" w:lineRule="auto"/>
              <w:rPr>
                <w:bCs/>
                <w:color w:val="000000"/>
                <w:sz w:val="20"/>
                <w:szCs w:val="20"/>
                <w:lang w:eastAsia="en-GB"/>
              </w:rPr>
            </w:pPr>
          </w:p>
        </w:tc>
        <w:tc>
          <w:tcPr>
            <w:tcW w:w="1046" w:type="dxa"/>
            <w:tcBorders>
              <w:top w:val="nil"/>
              <w:left w:val="nil"/>
              <w:bottom w:val="single" w:sz="4" w:space="0" w:color="auto"/>
              <w:right w:val="nil"/>
            </w:tcBorders>
            <w:shd w:val="clear" w:color="auto" w:fill="auto"/>
            <w:noWrap/>
            <w:vAlign w:val="bottom"/>
            <w:hideMark/>
          </w:tcPr>
          <w:p w14:paraId="6E51550F" w14:textId="77777777" w:rsidR="003C5653" w:rsidRPr="003C5653" w:rsidRDefault="003C5653" w:rsidP="003C5653">
            <w:pPr>
              <w:spacing w:after="0" w:line="240" w:lineRule="auto"/>
              <w:jc w:val="center"/>
              <w:rPr>
                <w:b/>
                <w:bCs/>
                <w:sz w:val="20"/>
                <w:szCs w:val="20"/>
                <w:lang w:eastAsia="en-GB"/>
              </w:rPr>
            </w:pPr>
            <w:r w:rsidRPr="003C5653">
              <w:rPr>
                <w:b/>
                <w:bCs/>
                <w:color w:val="595959"/>
                <w:sz w:val="20"/>
                <w:szCs w:val="20"/>
              </w:rPr>
              <w:t>- 0,5</w:t>
            </w:r>
          </w:p>
        </w:tc>
        <w:tc>
          <w:tcPr>
            <w:tcW w:w="966" w:type="dxa"/>
            <w:tcBorders>
              <w:top w:val="nil"/>
              <w:left w:val="nil"/>
              <w:bottom w:val="single" w:sz="4" w:space="0" w:color="auto"/>
              <w:right w:val="nil"/>
            </w:tcBorders>
            <w:shd w:val="clear" w:color="auto" w:fill="auto"/>
            <w:noWrap/>
            <w:vAlign w:val="bottom"/>
          </w:tcPr>
          <w:p w14:paraId="413913D7" w14:textId="2E1472AE" w:rsidR="003C5653" w:rsidRPr="003C5653" w:rsidRDefault="00051A2B" w:rsidP="003C5653">
            <w:pPr>
              <w:spacing w:after="0" w:line="240" w:lineRule="auto"/>
              <w:jc w:val="center"/>
              <w:rPr>
                <w:b/>
                <w:bCs/>
                <w:sz w:val="20"/>
                <w:szCs w:val="20"/>
                <w:lang w:eastAsia="en-GB"/>
              </w:rPr>
            </w:pPr>
            <w:r>
              <w:rPr>
                <w:b/>
                <w:bCs/>
                <w:color w:val="000000"/>
                <w:sz w:val="20"/>
                <w:szCs w:val="20"/>
              </w:rPr>
              <w:t xml:space="preserve">  </w:t>
            </w:r>
            <w:r w:rsidR="003C5653" w:rsidRPr="003C5653">
              <w:rPr>
                <w:b/>
                <w:bCs/>
                <w:color w:val="000000"/>
                <w:sz w:val="20"/>
                <w:szCs w:val="20"/>
              </w:rPr>
              <w:t>0,3</w:t>
            </w:r>
          </w:p>
        </w:tc>
        <w:tc>
          <w:tcPr>
            <w:tcW w:w="916" w:type="dxa"/>
            <w:tcBorders>
              <w:top w:val="nil"/>
              <w:left w:val="nil"/>
              <w:bottom w:val="single" w:sz="4" w:space="0" w:color="auto"/>
              <w:right w:val="nil"/>
            </w:tcBorders>
            <w:shd w:val="clear" w:color="auto" w:fill="auto"/>
            <w:noWrap/>
            <w:vAlign w:val="bottom"/>
          </w:tcPr>
          <w:p w14:paraId="45BAEE74" w14:textId="310AAA0C" w:rsidR="003C5653" w:rsidRPr="003C5653" w:rsidRDefault="00051A2B" w:rsidP="003C5653">
            <w:pPr>
              <w:spacing w:after="0" w:line="240" w:lineRule="auto"/>
              <w:jc w:val="center"/>
              <w:rPr>
                <w:b/>
                <w:bCs/>
                <w:sz w:val="20"/>
                <w:szCs w:val="20"/>
                <w:lang w:eastAsia="en-GB"/>
              </w:rPr>
            </w:pPr>
            <w:r>
              <w:rPr>
                <w:b/>
                <w:bCs/>
                <w:sz w:val="20"/>
                <w:szCs w:val="20"/>
              </w:rPr>
              <w:t xml:space="preserve">  </w:t>
            </w:r>
            <w:r w:rsidR="003C5653" w:rsidRPr="003C5653">
              <w:rPr>
                <w:b/>
                <w:bCs/>
                <w:sz w:val="20"/>
                <w:szCs w:val="20"/>
              </w:rPr>
              <w:t>0,7</w:t>
            </w:r>
          </w:p>
        </w:tc>
      </w:tr>
    </w:tbl>
    <w:p w14:paraId="4778C430" w14:textId="34105F5D" w:rsidR="003C5653" w:rsidRPr="00034766" w:rsidRDefault="003C5653" w:rsidP="003C5653">
      <w:pPr>
        <w:pStyle w:val="NormalList"/>
        <w:spacing w:line="276" w:lineRule="auto"/>
        <w:jc w:val="left"/>
        <w:rPr>
          <w:rFonts w:cs="Times New Roman"/>
          <w:color w:val="000000"/>
          <w:sz w:val="14"/>
          <w:szCs w:val="18"/>
          <w:lang w:eastAsia="en-GB"/>
        </w:rPr>
      </w:pPr>
      <w:r w:rsidRPr="00034766">
        <w:rPr>
          <w:rFonts w:cs="Times New Roman"/>
          <w:color w:val="000000"/>
          <w:sz w:val="14"/>
          <w:szCs w:val="18"/>
          <w:lang w:eastAsia="en-GB"/>
        </w:rPr>
        <w:t xml:space="preserve">* </w:t>
      </w:r>
      <w:r w:rsidRPr="003C5653">
        <w:rPr>
          <w:rFonts w:cs="Times New Roman"/>
          <w:color w:val="000000"/>
          <w:sz w:val="16"/>
          <w:szCs w:val="16"/>
          <w:lang w:eastAsia="en-GB"/>
        </w:rPr>
        <w:t xml:space="preserve">V súlade s údajmi pre jesennú notifikáciu </w:t>
      </w:r>
      <w:proofErr w:type="spellStart"/>
      <w:r w:rsidRPr="003C5653">
        <w:rPr>
          <w:rFonts w:cs="Times New Roman"/>
          <w:color w:val="000000"/>
          <w:sz w:val="16"/>
          <w:szCs w:val="16"/>
          <w:lang w:eastAsia="en-GB"/>
        </w:rPr>
        <w:t>Eurostatu</w:t>
      </w:r>
      <w:proofErr w:type="spellEnd"/>
      <w:r w:rsidRPr="003C5653">
        <w:rPr>
          <w:rFonts w:cs="Times New Roman"/>
          <w:color w:val="000000"/>
          <w:sz w:val="16"/>
          <w:szCs w:val="16"/>
          <w:lang w:eastAsia="en-GB"/>
        </w:rPr>
        <w:t xml:space="preserve"> z októbra 2023.                                                                                                Zdroj: MF SR</w:t>
      </w:r>
    </w:p>
    <w:p w14:paraId="7F0B4BF0" w14:textId="2838E7B5" w:rsidR="003C5653" w:rsidRPr="005A50DE" w:rsidRDefault="003C5653" w:rsidP="003C5653">
      <w:pPr>
        <w:pStyle w:val="NormalList"/>
        <w:spacing w:line="276" w:lineRule="auto"/>
        <w:jc w:val="left"/>
        <w:rPr>
          <w:rFonts w:cs="Times New Roman"/>
          <w:color w:val="000000"/>
          <w:sz w:val="14"/>
          <w:szCs w:val="18"/>
          <w:lang w:eastAsia="en-GB"/>
        </w:rPr>
      </w:pPr>
      <w:r w:rsidRPr="005A50DE">
        <w:rPr>
          <w:rFonts w:cs="Times New Roman"/>
          <w:color w:val="000000"/>
          <w:sz w:val="14"/>
          <w:szCs w:val="18"/>
          <w:lang w:eastAsia="en-GB"/>
        </w:rPr>
        <w:t xml:space="preserve">                                                                                                                                                                                                                                            </w:t>
      </w:r>
    </w:p>
    <w:p w14:paraId="6F6D229B" w14:textId="77777777" w:rsidR="003C5653" w:rsidRPr="004D5A67" w:rsidRDefault="003C5653" w:rsidP="003C5653">
      <w:pPr>
        <w:pStyle w:val="NormalList"/>
        <w:spacing w:line="276" w:lineRule="auto"/>
        <w:jc w:val="left"/>
        <w:rPr>
          <w:rFonts w:cs="Times New Roman"/>
          <w:color w:val="000000"/>
          <w:sz w:val="14"/>
          <w:szCs w:val="18"/>
          <w:highlight w:val="yellow"/>
          <w:lang w:eastAsia="en-GB"/>
        </w:rPr>
      </w:pPr>
    </w:p>
    <w:p w14:paraId="48D58E37" w14:textId="77777777" w:rsidR="003C5653" w:rsidRPr="004D5A67" w:rsidRDefault="003C5653" w:rsidP="005406D6">
      <w:pPr>
        <w:spacing w:line="240" w:lineRule="auto"/>
        <w:jc w:val="both"/>
        <w:rPr>
          <w:b/>
          <w:szCs w:val="22"/>
          <w:highlight w:val="yellow"/>
        </w:rPr>
      </w:pPr>
      <w:r w:rsidRPr="00785005">
        <w:rPr>
          <w:b/>
          <w:szCs w:val="22"/>
        </w:rPr>
        <w:t xml:space="preserve">Výpočet štrukturálneho salda predpokladá očistenie nominálneho salda o dva základné komponenty – cyklickú zložku a jednorazové vplyvy. </w:t>
      </w:r>
      <w:r w:rsidRPr="00785005">
        <w:rPr>
          <w:szCs w:val="22"/>
        </w:rPr>
        <w:t xml:space="preserve">Cyklická zložka predstavuje vplyv ekonomického cyklu na štrukturálne saldo. Cieľom úpravy nominálneho salda je vyjadriť reakciu príjmov a výdavkov verejných financií na zmeny v produkčnej medzere. Veľkosť cyklickej zložky závisí od veľkosti produkčnej medzery a od elasticít vybraných príjmových a výdavkových kategórií, ktoré reagujú na výkyvy v ekonomickej </w:t>
      </w:r>
      <w:r w:rsidRPr="00785005">
        <w:rPr>
          <w:szCs w:val="22"/>
        </w:rPr>
        <w:lastRenderedPageBreak/>
        <w:t>aktivite.</w:t>
      </w:r>
      <w:r w:rsidRPr="00785005">
        <w:rPr>
          <w:b/>
          <w:szCs w:val="22"/>
        </w:rPr>
        <w:t xml:space="preserve"> </w:t>
      </w:r>
      <w:r w:rsidRPr="00785005">
        <w:rPr>
          <w:szCs w:val="22"/>
        </w:rPr>
        <w:t>Prípadné prehrievanie alebo podchladenie ekonomiky tak môže zásadne vplývať na výsledné štrukturálne saldo verejnej správy.</w:t>
      </w:r>
      <w:r w:rsidRPr="00785005">
        <w:rPr>
          <w:b/>
          <w:szCs w:val="22"/>
        </w:rPr>
        <w:t xml:space="preserve"> </w:t>
      </w:r>
      <w:r w:rsidRPr="00785005">
        <w:rPr>
          <w:szCs w:val="22"/>
        </w:rPr>
        <w:t xml:space="preserve">V roku </w:t>
      </w:r>
      <w:r>
        <w:rPr>
          <w:szCs w:val="22"/>
        </w:rPr>
        <w:t>2022</w:t>
      </w:r>
      <w:r w:rsidRPr="00AC6B47">
        <w:rPr>
          <w:szCs w:val="22"/>
        </w:rPr>
        <w:t xml:space="preserve">  ekonomika oproti predošlému roku </w:t>
      </w:r>
      <w:r>
        <w:rPr>
          <w:szCs w:val="22"/>
        </w:rPr>
        <w:t>sa dostala mierne nad svoj potenciál</w:t>
      </w:r>
      <w:r w:rsidRPr="00AC6B47">
        <w:rPr>
          <w:szCs w:val="22"/>
        </w:rPr>
        <w:t xml:space="preserve">. </w:t>
      </w:r>
      <w:r>
        <w:rPr>
          <w:szCs w:val="22"/>
        </w:rPr>
        <w:t>Tento vývoj</w:t>
      </w:r>
      <w:r w:rsidRPr="009A1D4B">
        <w:rPr>
          <w:szCs w:val="22"/>
        </w:rPr>
        <w:t xml:space="preserve"> bol spôsobený odznievaním pandémie COVID-19 a</w:t>
      </w:r>
      <w:r>
        <w:rPr>
          <w:szCs w:val="22"/>
        </w:rPr>
        <w:t> oživenia globálnej ekonomiky, no na druhej strane vyšší rast nad potenciál ekonomiky bol brzdený vojenským konfliktom na Ukrajine</w:t>
      </w:r>
      <w:r w:rsidRPr="009A1D4B">
        <w:rPr>
          <w:szCs w:val="22"/>
        </w:rPr>
        <w:t xml:space="preserve">. </w:t>
      </w:r>
      <w:r w:rsidRPr="00AC6B47">
        <w:rPr>
          <w:szCs w:val="22"/>
        </w:rPr>
        <w:t>Cyklický vývoj tak mal v</w:t>
      </w:r>
      <w:r>
        <w:rPr>
          <w:szCs w:val="22"/>
        </w:rPr>
        <w:t> roku 2022</w:t>
      </w:r>
      <w:r w:rsidRPr="00AC6B47">
        <w:rPr>
          <w:szCs w:val="22"/>
        </w:rPr>
        <w:t xml:space="preserve"> </w:t>
      </w:r>
      <w:r>
        <w:rPr>
          <w:szCs w:val="22"/>
        </w:rPr>
        <w:t>mierne negatívny</w:t>
      </w:r>
      <w:r w:rsidRPr="00AC6B47">
        <w:rPr>
          <w:szCs w:val="22"/>
        </w:rPr>
        <w:t xml:space="preserve"> vplyv na štrukturálne</w:t>
      </w:r>
      <w:r>
        <w:rPr>
          <w:szCs w:val="22"/>
        </w:rPr>
        <w:t xml:space="preserve"> saldo verejnej správy</w:t>
      </w:r>
      <w:r w:rsidRPr="00AC6B47">
        <w:rPr>
          <w:szCs w:val="22"/>
        </w:rPr>
        <w:t xml:space="preserve"> vo výške </w:t>
      </w:r>
      <w:r>
        <w:rPr>
          <w:szCs w:val="22"/>
        </w:rPr>
        <w:t>0,3</w:t>
      </w:r>
      <w:r w:rsidRPr="00AC6B47">
        <w:rPr>
          <w:szCs w:val="22"/>
        </w:rPr>
        <w:t xml:space="preserve"> % HDP.</w:t>
      </w:r>
    </w:p>
    <w:p w14:paraId="3154FCAB" w14:textId="02AE7835" w:rsidR="005406D6" w:rsidRDefault="003C5653" w:rsidP="00FD652C">
      <w:pPr>
        <w:pStyle w:val="NormalList"/>
        <w:spacing w:after="120"/>
      </w:pPr>
      <w:r w:rsidRPr="00753B4E">
        <w:rPr>
          <w:rFonts w:cs="Times New Roman"/>
          <w:b/>
        </w:rPr>
        <w:t>Druhý komponent, o ktorý sa očisťuje nominálne saldo, sú jednorazové</w:t>
      </w:r>
      <w:r>
        <w:rPr>
          <w:rFonts w:cs="Times New Roman"/>
          <w:b/>
        </w:rPr>
        <w:t xml:space="preserve"> a dočasné</w:t>
      </w:r>
      <w:r w:rsidRPr="00753B4E">
        <w:rPr>
          <w:rFonts w:cs="Times New Roman"/>
          <w:b/>
        </w:rPr>
        <w:t xml:space="preserve"> vplyvy. </w:t>
      </w:r>
      <w:r w:rsidRPr="00753B4E">
        <w:rPr>
          <w:rFonts w:cs="Times New Roman"/>
        </w:rPr>
        <w:t>Táto položka predstavuje príjmy alebo výdavky verejnej správy bez trvalého alebo opakujúceho sa charakteru.</w:t>
      </w:r>
      <w:r w:rsidRPr="00753B4E">
        <w:rPr>
          <w:rFonts w:cs="Times New Roman"/>
          <w:b/>
        </w:rPr>
        <w:t xml:space="preserve"> </w:t>
      </w:r>
      <w:r w:rsidRPr="00753B4E">
        <w:rPr>
          <w:rFonts w:cs="Times New Roman"/>
        </w:rPr>
        <w:t xml:space="preserve">Sledujú sa vzniknuté okolnosti s časovo obmedzeným vplyvom na saldo verejnej správy. </w:t>
      </w:r>
      <w:r w:rsidR="009652CF" w:rsidRPr="009652CF">
        <w:rPr>
          <w:rFonts w:cs="Times New Roman"/>
        </w:rPr>
        <w:t xml:space="preserve">Jednorazové vplyvy sú v slovenskej legislatíve rámcovo definované v zákone </w:t>
      </w:r>
      <w:r w:rsidR="009652CF">
        <w:rPr>
          <w:rFonts w:cs="Times New Roman"/>
        </w:rPr>
        <w:t>o rozpočtových pravidlách verejnej správy</w:t>
      </w:r>
      <w:r w:rsidRPr="00753B4E">
        <w:rPr>
          <w:rStyle w:val="Odkaznapoznmkupodiarou"/>
          <w:rFonts w:eastAsiaTheme="majorEastAsia"/>
        </w:rPr>
        <w:footnoteReference w:id="20"/>
      </w:r>
      <w:r>
        <w:rPr>
          <w:rFonts w:cs="Times New Roman"/>
        </w:rPr>
        <w:t>. P</w:t>
      </w:r>
      <w:r w:rsidRPr="00753B4E">
        <w:rPr>
          <w:rFonts w:cs="Times New Roman"/>
        </w:rPr>
        <w:t>re účely s</w:t>
      </w:r>
      <w:r>
        <w:rPr>
          <w:rFonts w:cs="Times New Roman"/>
        </w:rPr>
        <w:t>úhrnnej výročnej správy používa</w:t>
      </w:r>
      <w:r w:rsidRPr="00753B4E">
        <w:rPr>
          <w:rFonts w:cs="Times New Roman"/>
        </w:rPr>
        <w:t xml:space="preserve"> Min</w:t>
      </w:r>
      <w:r>
        <w:rPr>
          <w:rFonts w:cs="Times New Roman"/>
        </w:rPr>
        <w:t>isterstvo financií SR princípy vychádzajúce predovšetkým z národnej metodiky MF SR</w:t>
      </w:r>
      <w:r w:rsidRPr="00753B4E">
        <w:rPr>
          <w:rFonts w:cs="Times New Roman"/>
        </w:rPr>
        <w:t>.</w:t>
      </w:r>
      <w:r w:rsidRPr="00753B4E">
        <w:rPr>
          <w:rStyle w:val="Odkaznapoznmkupodiarou"/>
          <w:rFonts w:eastAsiaTheme="majorEastAsia"/>
        </w:rPr>
        <w:footnoteReference w:id="21"/>
      </w:r>
      <w:r w:rsidRPr="00753B4E">
        <w:rPr>
          <w:rFonts w:cs="Times New Roman"/>
        </w:rPr>
        <w:t xml:space="preserve"> Jednorazové opatrenia boli zaznamená za rok 2020 a</w:t>
      </w:r>
      <w:r>
        <w:rPr>
          <w:rFonts w:cs="Times New Roman"/>
        </w:rPr>
        <w:t>ž 2022</w:t>
      </w:r>
      <w:r w:rsidRPr="00753B4E">
        <w:rPr>
          <w:rFonts w:cs="Times New Roman"/>
        </w:rPr>
        <w:t xml:space="preserve">. </w:t>
      </w:r>
      <w:r>
        <w:rPr>
          <w:rFonts w:cs="Times New Roman"/>
        </w:rPr>
        <w:t>Najväčšia</w:t>
      </w:r>
      <w:r w:rsidRPr="00753B4E">
        <w:rPr>
          <w:rFonts w:cs="Times New Roman"/>
        </w:rPr>
        <w:t xml:space="preserve"> časť bola vyvolaná pandémiou COVID-19</w:t>
      </w:r>
      <w:r>
        <w:rPr>
          <w:rFonts w:cs="Times New Roman"/>
        </w:rPr>
        <w:t>, v menšej miere to boli výdavky spojené s vojnou na Ukrajine a pomoc s rastúcou cenovou hladinou</w:t>
      </w:r>
      <w:r w:rsidRPr="00753B4E">
        <w:rPr>
          <w:rFonts w:cs="Times New Roman"/>
        </w:rPr>
        <w:t>.</w:t>
      </w:r>
    </w:p>
    <w:tbl>
      <w:tblPr>
        <w:tblW w:w="9072" w:type="dxa"/>
        <w:tblLook w:val="04A0" w:firstRow="1" w:lastRow="0" w:firstColumn="1" w:lastColumn="0" w:noHBand="0" w:noVBand="1"/>
      </w:tblPr>
      <w:tblGrid>
        <w:gridCol w:w="6014"/>
        <w:gridCol w:w="932"/>
        <w:gridCol w:w="453"/>
        <w:gridCol w:w="223"/>
        <w:gridCol w:w="44"/>
        <w:gridCol w:w="1385"/>
        <w:gridCol w:w="21"/>
      </w:tblGrid>
      <w:tr w:rsidR="00051A2B" w:rsidRPr="00B82252" w14:paraId="42FF2F0C" w14:textId="77777777" w:rsidTr="002025FA">
        <w:trPr>
          <w:gridAfter w:val="1"/>
          <w:wAfter w:w="21" w:type="dxa"/>
          <w:trHeight w:val="277"/>
        </w:trPr>
        <w:tc>
          <w:tcPr>
            <w:tcW w:w="7399" w:type="dxa"/>
            <w:gridSpan w:val="3"/>
            <w:tcBorders>
              <w:top w:val="nil"/>
              <w:left w:val="nil"/>
              <w:bottom w:val="nil"/>
              <w:right w:val="nil"/>
            </w:tcBorders>
            <w:shd w:val="clear" w:color="auto" w:fill="auto"/>
            <w:noWrap/>
            <w:vAlign w:val="bottom"/>
            <w:hideMark/>
          </w:tcPr>
          <w:p w14:paraId="03949305" w14:textId="1E41390A" w:rsidR="003C5653" w:rsidRPr="00B82252" w:rsidRDefault="00051A2B" w:rsidP="002025FA">
            <w:pPr>
              <w:spacing w:after="0" w:line="240" w:lineRule="auto"/>
              <w:rPr>
                <w:b/>
                <w:bCs/>
                <w:color w:val="4F81BD" w:themeColor="accent1"/>
                <w:sz w:val="20"/>
                <w:szCs w:val="20"/>
                <w:lang w:eastAsia="en-GB"/>
              </w:rPr>
            </w:pPr>
            <w:r w:rsidRPr="00B82252">
              <w:rPr>
                <w:b/>
                <w:bCs/>
                <w:color w:val="4F81BD" w:themeColor="accent1"/>
                <w:sz w:val="20"/>
                <w:szCs w:val="20"/>
                <w:lang w:eastAsia="en-GB"/>
              </w:rPr>
              <w:t xml:space="preserve">Tabuľka 13 - </w:t>
            </w:r>
            <w:r w:rsidR="003C5653" w:rsidRPr="00B82252">
              <w:rPr>
                <w:b/>
                <w:bCs/>
                <w:color w:val="4F81BD" w:themeColor="accent1"/>
                <w:sz w:val="20"/>
                <w:szCs w:val="20"/>
                <w:lang w:eastAsia="en-GB"/>
              </w:rPr>
              <w:t>Jednorazové opatrenia (ESA 2010</w:t>
            </w:r>
            <w:r w:rsidR="002025FA">
              <w:rPr>
                <w:b/>
                <w:bCs/>
                <w:color w:val="4F81BD" w:themeColor="accent1"/>
                <w:sz w:val="20"/>
                <w:szCs w:val="20"/>
                <w:lang w:eastAsia="en-GB"/>
              </w:rPr>
              <w:t xml:space="preserve">)                                                                 </w:t>
            </w:r>
            <w:r w:rsidR="003C5653" w:rsidRPr="00B82252">
              <w:rPr>
                <w:b/>
                <w:bCs/>
                <w:color w:val="4F81BD" w:themeColor="accent1"/>
                <w:sz w:val="20"/>
                <w:szCs w:val="20"/>
                <w:lang w:eastAsia="en-GB"/>
              </w:rPr>
              <w:t xml:space="preserve"> </w:t>
            </w:r>
          </w:p>
        </w:tc>
        <w:tc>
          <w:tcPr>
            <w:tcW w:w="223" w:type="dxa"/>
            <w:tcBorders>
              <w:top w:val="nil"/>
              <w:left w:val="nil"/>
              <w:bottom w:val="nil"/>
              <w:right w:val="nil"/>
            </w:tcBorders>
            <w:shd w:val="clear" w:color="auto" w:fill="auto"/>
            <w:vAlign w:val="bottom"/>
          </w:tcPr>
          <w:p w14:paraId="75D8E7DA" w14:textId="77777777" w:rsidR="003C5653" w:rsidRPr="00B82252" w:rsidRDefault="003C5653" w:rsidP="003C5653">
            <w:pPr>
              <w:spacing w:after="0" w:line="240" w:lineRule="auto"/>
              <w:rPr>
                <w:b/>
                <w:bCs/>
                <w:color w:val="1F497D" w:themeColor="text2"/>
                <w:sz w:val="20"/>
                <w:szCs w:val="20"/>
                <w:lang w:eastAsia="en-GB"/>
              </w:rPr>
            </w:pPr>
          </w:p>
        </w:tc>
        <w:tc>
          <w:tcPr>
            <w:tcW w:w="1429" w:type="dxa"/>
            <w:gridSpan w:val="2"/>
            <w:tcBorders>
              <w:top w:val="nil"/>
              <w:left w:val="nil"/>
              <w:bottom w:val="nil"/>
              <w:right w:val="nil"/>
            </w:tcBorders>
            <w:shd w:val="clear" w:color="auto" w:fill="auto"/>
            <w:vAlign w:val="bottom"/>
          </w:tcPr>
          <w:p w14:paraId="1D438983" w14:textId="3473AEA8" w:rsidR="003C5653" w:rsidRPr="00B82252" w:rsidRDefault="002025FA" w:rsidP="002025FA">
            <w:pPr>
              <w:spacing w:after="0" w:line="240" w:lineRule="auto"/>
              <w:rPr>
                <w:b/>
                <w:bCs/>
                <w:color w:val="1F497D" w:themeColor="text2"/>
                <w:sz w:val="20"/>
                <w:szCs w:val="20"/>
                <w:lang w:eastAsia="en-GB"/>
              </w:rPr>
            </w:pPr>
            <w:r>
              <w:rPr>
                <w:b/>
                <w:bCs/>
                <w:color w:val="4F81BD" w:themeColor="accent1"/>
                <w:sz w:val="20"/>
                <w:szCs w:val="20"/>
                <w:lang w:eastAsia="en-GB"/>
              </w:rPr>
              <w:t xml:space="preserve">       </w:t>
            </w:r>
            <w:r w:rsidRPr="00B82252">
              <w:rPr>
                <w:b/>
                <w:bCs/>
                <w:color w:val="4F81BD" w:themeColor="accent1"/>
                <w:sz w:val="20"/>
                <w:szCs w:val="20"/>
                <w:lang w:eastAsia="en-GB"/>
              </w:rPr>
              <w:t>v mil.</w:t>
            </w:r>
            <w:r>
              <w:rPr>
                <w:b/>
                <w:bCs/>
                <w:color w:val="4F81BD" w:themeColor="accent1"/>
                <w:sz w:val="20"/>
                <w:szCs w:val="20"/>
                <w:lang w:eastAsia="en-GB"/>
              </w:rPr>
              <w:t> </w:t>
            </w:r>
            <w:r w:rsidRPr="00B82252">
              <w:rPr>
                <w:b/>
                <w:bCs/>
                <w:color w:val="4F81BD" w:themeColor="accent1"/>
                <w:sz w:val="20"/>
                <w:szCs w:val="20"/>
                <w:lang w:eastAsia="en-GB"/>
              </w:rPr>
              <w:t>eur</w:t>
            </w:r>
          </w:p>
        </w:tc>
      </w:tr>
      <w:tr w:rsidR="003C5653" w:rsidRPr="007A3DFE" w14:paraId="7312C08B" w14:textId="77777777" w:rsidTr="00051A2B">
        <w:tblPrEx>
          <w:tblCellMar>
            <w:left w:w="70" w:type="dxa"/>
            <w:right w:w="70" w:type="dxa"/>
          </w:tblCellMar>
        </w:tblPrEx>
        <w:trPr>
          <w:trHeight w:val="152"/>
        </w:trPr>
        <w:tc>
          <w:tcPr>
            <w:tcW w:w="6014" w:type="dxa"/>
            <w:tcBorders>
              <w:top w:val="single" w:sz="8" w:space="0" w:color="auto"/>
              <w:left w:val="nil"/>
              <w:bottom w:val="single" w:sz="8" w:space="0" w:color="auto"/>
              <w:right w:val="nil"/>
            </w:tcBorders>
            <w:shd w:val="clear" w:color="auto" w:fill="auto"/>
            <w:noWrap/>
            <w:vAlign w:val="bottom"/>
            <w:hideMark/>
          </w:tcPr>
          <w:p w14:paraId="52BCABA3" w14:textId="77777777" w:rsidR="003C5653" w:rsidRPr="00B82252" w:rsidRDefault="003C5653" w:rsidP="003C5653">
            <w:pPr>
              <w:spacing w:after="0" w:line="240" w:lineRule="auto"/>
              <w:rPr>
                <w:b/>
                <w:bCs/>
                <w:color w:val="000000"/>
                <w:sz w:val="20"/>
                <w:szCs w:val="20"/>
                <w:lang w:eastAsia="sk-SK"/>
              </w:rPr>
            </w:pPr>
            <w:r w:rsidRPr="00B82252">
              <w:rPr>
                <w:b/>
                <w:bCs/>
                <w:color w:val="000000"/>
                <w:sz w:val="20"/>
                <w:szCs w:val="20"/>
                <w:lang w:eastAsia="sk-SK"/>
              </w:rPr>
              <w:t> </w:t>
            </w:r>
          </w:p>
        </w:tc>
        <w:tc>
          <w:tcPr>
            <w:tcW w:w="932" w:type="dxa"/>
            <w:tcBorders>
              <w:top w:val="single" w:sz="8" w:space="0" w:color="auto"/>
              <w:left w:val="nil"/>
              <w:bottom w:val="single" w:sz="8" w:space="0" w:color="auto"/>
              <w:right w:val="nil"/>
            </w:tcBorders>
            <w:vAlign w:val="center"/>
          </w:tcPr>
          <w:p w14:paraId="2B11629C" w14:textId="77777777" w:rsidR="003C5653" w:rsidRPr="00B82252" w:rsidRDefault="003C5653" w:rsidP="003C5653">
            <w:pPr>
              <w:spacing w:after="0" w:line="240" w:lineRule="auto"/>
              <w:jc w:val="center"/>
              <w:rPr>
                <w:b/>
                <w:bCs/>
                <w:sz w:val="20"/>
                <w:szCs w:val="20"/>
                <w:lang w:eastAsia="sk-SK"/>
              </w:rPr>
            </w:pPr>
            <w:r w:rsidRPr="00B82252">
              <w:rPr>
                <w:b/>
                <w:bCs/>
                <w:sz w:val="20"/>
                <w:szCs w:val="20"/>
                <w:lang w:eastAsia="sk-SK"/>
              </w:rPr>
              <w:t>2020</w:t>
            </w:r>
          </w:p>
        </w:tc>
        <w:tc>
          <w:tcPr>
            <w:tcW w:w="720" w:type="dxa"/>
            <w:gridSpan w:val="3"/>
            <w:tcBorders>
              <w:top w:val="single" w:sz="8" w:space="0" w:color="auto"/>
              <w:left w:val="nil"/>
              <w:bottom w:val="single" w:sz="8" w:space="0" w:color="auto"/>
              <w:right w:val="nil"/>
            </w:tcBorders>
            <w:vAlign w:val="center"/>
          </w:tcPr>
          <w:p w14:paraId="5500BEB5" w14:textId="77777777" w:rsidR="003C5653" w:rsidRPr="00B82252" w:rsidRDefault="003C5653" w:rsidP="00B82252">
            <w:pPr>
              <w:spacing w:after="0" w:line="240" w:lineRule="auto"/>
              <w:ind w:right="-55"/>
              <w:jc w:val="center"/>
              <w:rPr>
                <w:b/>
                <w:bCs/>
                <w:sz w:val="20"/>
                <w:szCs w:val="20"/>
                <w:lang w:eastAsia="sk-SK"/>
              </w:rPr>
            </w:pPr>
            <w:r w:rsidRPr="00B82252">
              <w:rPr>
                <w:b/>
                <w:bCs/>
                <w:sz w:val="20"/>
                <w:szCs w:val="20"/>
                <w:lang w:eastAsia="sk-SK"/>
              </w:rPr>
              <w:t>2021</w:t>
            </w:r>
          </w:p>
        </w:tc>
        <w:tc>
          <w:tcPr>
            <w:tcW w:w="1406" w:type="dxa"/>
            <w:gridSpan w:val="2"/>
            <w:tcBorders>
              <w:top w:val="single" w:sz="8" w:space="0" w:color="auto"/>
              <w:left w:val="nil"/>
              <w:bottom w:val="single" w:sz="8" w:space="0" w:color="auto"/>
              <w:right w:val="nil"/>
            </w:tcBorders>
            <w:shd w:val="clear" w:color="auto" w:fill="auto"/>
            <w:noWrap/>
            <w:vAlign w:val="center"/>
            <w:hideMark/>
          </w:tcPr>
          <w:p w14:paraId="18A0FCE6" w14:textId="77777777" w:rsidR="003C5653" w:rsidRPr="00B82252" w:rsidRDefault="003C5653" w:rsidP="003C5653">
            <w:pPr>
              <w:spacing w:after="0" w:line="240" w:lineRule="auto"/>
              <w:jc w:val="center"/>
              <w:rPr>
                <w:b/>
                <w:bCs/>
                <w:sz w:val="20"/>
                <w:szCs w:val="20"/>
                <w:lang w:eastAsia="sk-SK"/>
              </w:rPr>
            </w:pPr>
            <w:r w:rsidRPr="00B82252">
              <w:rPr>
                <w:b/>
                <w:bCs/>
                <w:sz w:val="20"/>
                <w:szCs w:val="20"/>
                <w:lang w:eastAsia="sk-SK"/>
              </w:rPr>
              <w:t>2022</w:t>
            </w:r>
          </w:p>
        </w:tc>
      </w:tr>
      <w:tr w:rsidR="003C5653" w:rsidRPr="007A3DFE" w14:paraId="0190C8BC"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center"/>
            <w:hideMark/>
          </w:tcPr>
          <w:p w14:paraId="31718F28"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Celkové opatrenia spojené s pandémiou COVID 19</w:t>
            </w:r>
          </w:p>
        </w:tc>
        <w:tc>
          <w:tcPr>
            <w:tcW w:w="932" w:type="dxa"/>
            <w:tcBorders>
              <w:top w:val="single" w:sz="8" w:space="0" w:color="auto"/>
              <w:left w:val="nil"/>
              <w:bottom w:val="nil"/>
              <w:right w:val="nil"/>
            </w:tcBorders>
            <w:vAlign w:val="center"/>
          </w:tcPr>
          <w:p w14:paraId="6C8DB258" w14:textId="77777777" w:rsidR="003C5653" w:rsidRPr="00B82252" w:rsidRDefault="003C5653" w:rsidP="003C5653">
            <w:pPr>
              <w:spacing w:after="0" w:line="240" w:lineRule="auto"/>
              <w:jc w:val="center"/>
              <w:rPr>
                <w:sz w:val="20"/>
                <w:szCs w:val="20"/>
                <w:lang w:eastAsia="sk-SK"/>
              </w:rPr>
            </w:pPr>
            <w:r w:rsidRPr="00B82252">
              <w:rPr>
                <w:sz w:val="20"/>
                <w:szCs w:val="20"/>
                <w:lang w:eastAsia="sk-SK"/>
              </w:rPr>
              <w:t>-2183</w:t>
            </w:r>
          </w:p>
        </w:tc>
        <w:tc>
          <w:tcPr>
            <w:tcW w:w="720" w:type="dxa"/>
            <w:gridSpan w:val="3"/>
            <w:tcBorders>
              <w:top w:val="single" w:sz="8" w:space="0" w:color="auto"/>
              <w:left w:val="nil"/>
              <w:bottom w:val="nil"/>
              <w:right w:val="nil"/>
            </w:tcBorders>
            <w:vAlign w:val="center"/>
          </w:tcPr>
          <w:p w14:paraId="12FFB862" w14:textId="77777777" w:rsidR="003C5653" w:rsidRPr="00B82252" w:rsidRDefault="003C5653" w:rsidP="00B82252">
            <w:pPr>
              <w:spacing w:after="0" w:line="240" w:lineRule="auto"/>
              <w:ind w:right="-55"/>
              <w:jc w:val="center"/>
              <w:rPr>
                <w:sz w:val="20"/>
                <w:szCs w:val="20"/>
                <w:lang w:eastAsia="sk-SK"/>
              </w:rPr>
            </w:pPr>
            <w:r w:rsidRPr="00B82252">
              <w:rPr>
                <w:sz w:val="20"/>
                <w:szCs w:val="20"/>
                <w:lang w:eastAsia="sk-SK"/>
              </w:rPr>
              <w:t>-3385</w:t>
            </w:r>
          </w:p>
        </w:tc>
        <w:tc>
          <w:tcPr>
            <w:tcW w:w="1406" w:type="dxa"/>
            <w:gridSpan w:val="2"/>
            <w:tcBorders>
              <w:top w:val="single" w:sz="8" w:space="0" w:color="auto"/>
              <w:left w:val="nil"/>
              <w:bottom w:val="nil"/>
              <w:right w:val="nil"/>
            </w:tcBorders>
            <w:shd w:val="clear" w:color="auto" w:fill="auto"/>
            <w:noWrap/>
            <w:vAlign w:val="center"/>
          </w:tcPr>
          <w:p w14:paraId="775135FB" w14:textId="77777777" w:rsidR="003C5653" w:rsidRPr="00B82252" w:rsidRDefault="003C5653" w:rsidP="003C5653">
            <w:pPr>
              <w:spacing w:after="0" w:line="240" w:lineRule="auto"/>
              <w:jc w:val="center"/>
              <w:rPr>
                <w:sz w:val="20"/>
                <w:szCs w:val="20"/>
                <w:lang w:eastAsia="sk-SK"/>
              </w:rPr>
            </w:pPr>
            <w:r w:rsidRPr="00B82252">
              <w:rPr>
                <w:sz w:val="20"/>
                <w:szCs w:val="20"/>
                <w:lang w:eastAsia="sk-SK"/>
              </w:rPr>
              <w:t>-894</w:t>
            </w:r>
          </w:p>
        </w:tc>
      </w:tr>
      <w:tr w:rsidR="003C5653" w:rsidRPr="007A3DFE" w14:paraId="6F1E9F95"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bottom"/>
            <w:hideMark/>
          </w:tcPr>
          <w:p w14:paraId="2A71932A"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Opatrenia financované z EÚ zdrojov (COVID 19)</w:t>
            </w:r>
          </w:p>
        </w:tc>
        <w:tc>
          <w:tcPr>
            <w:tcW w:w="932" w:type="dxa"/>
            <w:tcBorders>
              <w:top w:val="nil"/>
              <w:left w:val="nil"/>
              <w:bottom w:val="nil"/>
              <w:right w:val="nil"/>
            </w:tcBorders>
            <w:vAlign w:val="center"/>
          </w:tcPr>
          <w:p w14:paraId="622774F2" w14:textId="3C653C2A" w:rsidR="003C5653" w:rsidRPr="00B82252" w:rsidRDefault="00051A2B" w:rsidP="003C5653">
            <w:pPr>
              <w:spacing w:after="0" w:line="240" w:lineRule="auto"/>
              <w:jc w:val="center"/>
              <w:rPr>
                <w:sz w:val="20"/>
                <w:szCs w:val="20"/>
                <w:lang w:eastAsia="sk-SK"/>
              </w:rPr>
            </w:pPr>
            <w:r w:rsidRPr="00B82252">
              <w:rPr>
                <w:sz w:val="20"/>
                <w:szCs w:val="20"/>
                <w:lang w:eastAsia="sk-SK"/>
              </w:rPr>
              <w:t xml:space="preserve">    </w:t>
            </w:r>
            <w:r w:rsidR="003C5653" w:rsidRPr="00B82252">
              <w:rPr>
                <w:sz w:val="20"/>
                <w:szCs w:val="20"/>
                <w:lang w:eastAsia="sk-SK"/>
              </w:rPr>
              <w:t>413</w:t>
            </w:r>
          </w:p>
        </w:tc>
        <w:tc>
          <w:tcPr>
            <w:tcW w:w="720" w:type="dxa"/>
            <w:gridSpan w:val="3"/>
            <w:tcBorders>
              <w:top w:val="nil"/>
              <w:left w:val="nil"/>
              <w:bottom w:val="nil"/>
              <w:right w:val="nil"/>
            </w:tcBorders>
            <w:vAlign w:val="center"/>
          </w:tcPr>
          <w:p w14:paraId="1EBE4038" w14:textId="5CEC45B7" w:rsidR="003C5653" w:rsidRPr="00B82252" w:rsidRDefault="00051A2B" w:rsidP="00B82252">
            <w:pPr>
              <w:spacing w:after="0" w:line="240" w:lineRule="auto"/>
              <w:ind w:right="-55"/>
              <w:rPr>
                <w:sz w:val="20"/>
                <w:szCs w:val="20"/>
                <w:lang w:eastAsia="sk-SK"/>
              </w:rPr>
            </w:pPr>
            <w:r w:rsidRPr="00B82252">
              <w:rPr>
                <w:sz w:val="20"/>
                <w:szCs w:val="20"/>
                <w:lang w:eastAsia="sk-SK"/>
              </w:rPr>
              <w:t xml:space="preserve">    </w:t>
            </w:r>
            <w:r w:rsidR="003C5653" w:rsidRPr="00B82252">
              <w:rPr>
                <w:sz w:val="20"/>
                <w:szCs w:val="20"/>
                <w:lang w:eastAsia="sk-SK"/>
              </w:rPr>
              <w:t>388</w:t>
            </w:r>
          </w:p>
        </w:tc>
        <w:tc>
          <w:tcPr>
            <w:tcW w:w="1406" w:type="dxa"/>
            <w:gridSpan w:val="2"/>
            <w:tcBorders>
              <w:top w:val="nil"/>
              <w:left w:val="nil"/>
              <w:bottom w:val="nil"/>
              <w:right w:val="nil"/>
            </w:tcBorders>
            <w:shd w:val="clear" w:color="auto" w:fill="auto"/>
            <w:noWrap/>
            <w:vAlign w:val="center"/>
          </w:tcPr>
          <w:p w14:paraId="03B26D7A" w14:textId="239C8235" w:rsidR="003C5653" w:rsidRPr="00B82252" w:rsidRDefault="00051A2B" w:rsidP="003C5653">
            <w:pPr>
              <w:spacing w:after="0" w:line="240" w:lineRule="auto"/>
              <w:jc w:val="center"/>
              <w:rPr>
                <w:sz w:val="20"/>
                <w:szCs w:val="20"/>
                <w:lang w:eastAsia="sk-SK"/>
              </w:rPr>
            </w:pPr>
            <w:r w:rsidRPr="00B82252">
              <w:rPr>
                <w:sz w:val="20"/>
                <w:szCs w:val="20"/>
                <w:lang w:eastAsia="sk-SK"/>
              </w:rPr>
              <w:t xml:space="preserve">  </w:t>
            </w:r>
            <w:r w:rsidR="003C5653" w:rsidRPr="00B82252">
              <w:rPr>
                <w:sz w:val="20"/>
                <w:szCs w:val="20"/>
                <w:lang w:eastAsia="sk-SK"/>
              </w:rPr>
              <w:t>196</w:t>
            </w:r>
          </w:p>
        </w:tc>
      </w:tr>
      <w:tr w:rsidR="003C5653" w:rsidRPr="007A3DFE" w14:paraId="60B7C8DF"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bottom"/>
          </w:tcPr>
          <w:p w14:paraId="04DD152A"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Celkové opatrenia spojené s vojnou na Ukrajine</w:t>
            </w:r>
          </w:p>
        </w:tc>
        <w:tc>
          <w:tcPr>
            <w:tcW w:w="932" w:type="dxa"/>
            <w:tcBorders>
              <w:top w:val="nil"/>
              <w:left w:val="nil"/>
              <w:bottom w:val="nil"/>
              <w:right w:val="nil"/>
            </w:tcBorders>
            <w:vAlign w:val="center"/>
          </w:tcPr>
          <w:p w14:paraId="30818D74" w14:textId="77777777" w:rsidR="003C5653" w:rsidRPr="00B82252" w:rsidRDefault="003C5653" w:rsidP="003C5653">
            <w:pPr>
              <w:spacing w:after="0" w:line="240" w:lineRule="auto"/>
              <w:jc w:val="center"/>
              <w:rPr>
                <w:sz w:val="20"/>
                <w:szCs w:val="20"/>
                <w:lang w:eastAsia="sk-SK"/>
              </w:rPr>
            </w:pPr>
          </w:p>
        </w:tc>
        <w:tc>
          <w:tcPr>
            <w:tcW w:w="720" w:type="dxa"/>
            <w:gridSpan w:val="3"/>
            <w:tcBorders>
              <w:top w:val="nil"/>
              <w:left w:val="nil"/>
              <w:bottom w:val="nil"/>
              <w:right w:val="nil"/>
            </w:tcBorders>
            <w:vAlign w:val="center"/>
          </w:tcPr>
          <w:p w14:paraId="751C6085" w14:textId="77777777" w:rsidR="003C5653" w:rsidRPr="00B82252" w:rsidRDefault="003C5653" w:rsidP="00B82252">
            <w:pPr>
              <w:spacing w:after="0" w:line="240" w:lineRule="auto"/>
              <w:ind w:right="-55"/>
              <w:jc w:val="center"/>
              <w:rPr>
                <w:sz w:val="20"/>
                <w:szCs w:val="20"/>
                <w:lang w:eastAsia="sk-SK"/>
              </w:rPr>
            </w:pPr>
          </w:p>
        </w:tc>
        <w:tc>
          <w:tcPr>
            <w:tcW w:w="1406" w:type="dxa"/>
            <w:gridSpan w:val="2"/>
            <w:tcBorders>
              <w:top w:val="nil"/>
              <w:left w:val="nil"/>
              <w:bottom w:val="nil"/>
              <w:right w:val="nil"/>
            </w:tcBorders>
            <w:shd w:val="clear" w:color="auto" w:fill="auto"/>
            <w:noWrap/>
            <w:vAlign w:val="center"/>
          </w:tcPr>
          <w:p w14:paraId="5CAFD629" w14:textId="77777777" w:rsidR="003C5653" w:rsidRPr="00B82252" w:rsidRDefault="003C5653" w:rsidP="003C5653">
            <w:pPr>
              <w:spacing w:after="0" w:line="240" w:lineRule="auto"/>
              <w:jc w:val="center"/>
              <w:rPr>
                <w:sz w:val="20"/>
                <w:szCs w:val="20"/>
                <w:lang w:eastAsia="sk-SK"/>
              </w:rPr>
            </w:pPr>
            <w:r w:rsidRPr="00B82252">
              <w:rPr>
                <w:sz w:val="20"/>
                <w:szCs w:val="20"/>
                <w:lang w:eastAsia="sk-SK"/>
              </w:rPr>
              <w:t>-194</w:t>
            </w:r>
          </w:p>
        </w:tc>
      </w:tr>
      <w:tr w:rsidR="003C5653" w:rsidRPr="007A3DFE" w14:paraId="2A8E15E6"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bottom"/>
          </w:tcPr>
          <w:p w14:paraId="05A1F506"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Financovanie z EU zdrojov za poskytnutú vojenskú pomoc</w:t>
            </w:r>
          </w:p>
        </w:tc>
        <w:tc>
          <w:tcPr>
            <w:tcW w:w="932" w:type="dxa"/>
            <w:tcBorders>
              <w:top w:val="nil"/>
              <w:left w:val="nil"/>
              <w:bottom w:val="nil"/>
              <w:right w:val="nil"/>
            </w:tcBorders>
            <w:vAlign w:val="center"/>
          </w:tcPr>
          <w:p w14:paraId="31418AC6" w14:textId="77777777" w:rsidR="003C5653" w:rsidRPr="00B82252" w:rsidRDefault="003C5653" w:rsidP="003C5653">
            <w:pPr>
              <w:spacing w:after="0" w:line="240" w:lineRule="auto"/>
              <w:jc w:val="center"/>
              <w:rPr>
                <w:sz w:val="20"/>
                <w:szCs w:val="20"/>
                <w:lang w:eastAsia="sk-SK"/>
              </w:rPr>
            </w:pPr>
          </w:p>
        </w:tc>
        <w:tc>
          <w:tcPr>
            <w:tcW w:w="720" w:type="dxa"/>
            <w:gridSpan w:val="3"/>
            <w:tcBorders>
              <w:top w:val="nil"/>
              <w:left w:val="nil"/>
              <w:bottom w:val="nil"/>
              <w:right w:val="nil"/>
            </w:tcBorders>
            <w:vAlign w:val="center"/>
          </w:tcPr>
          <w:p w14:paraId="3A758C1F" w14:textId="77777777" w:rsidR="003C5653" w:rsidRPr="00B82252" w:rsidRDefault="003C5653" w:rsidP="00B82252">
            <w:pPr>
              <w:spacing w:after="0" w:line="240" w:lineRule="auto"/>
              <w:ind w:right="-55"/>
              <w:jc w:val="center"/>
              <w:rPr>
                <w:sz w:val="20"/>
                <w:szCs w:val="20"/>
                <w:lang w:eastAsia="sk-SK"/>
              </w:rPr>
            </w:pPr>
          </w:p>
        </w:tc>
        <w:tc>
          <w:tcPr>
            <w:tcW w:w="1406" w:type="dxa"/>
            <w:gridSpan w:val="2"/>
            <w:tcBorders>
              <w:top w:val="nil"/>
              <w:left w:val="nil"/>
              <w:bottom w:val="nil"/>
              <w:right w:val="nil"/>
            </w:tcBorders>
            <w:shd w:val="clear" w:color="auto" w:fill="auto"/>
            <w:noWrap/>
            <w:vAlign w:val="center"/>
          </w:tcPr>
          <w:p w14:paraId="4A8D51F6" w14:textId="5CA8C73B" w:rsidR="003C5653" w:rsidRPr="00B82252" w:rsidRDefault="00051A2B" w:rsidP="003C5653">
            <w:pPr>
              <w:spacing w:after="0" w:line="240" w:lineRule="auto"/>
              <w:jc w:val="center"/>
              <w:rPr>
                <w:sz w:val="20"/>
                <w:szCs w:val="20"/>
                <w:lang w:eastAsia="sk-SK"/>
              </w:rPr>
            </w:pPr>
            <w:r w:rsidRPr="00B82252">
              <w:rPr>
                <w:sz w:val="20"/>
                <w:szCs w:val="20"/>
                <w:lang w:eastAsia="sk-SK"/>
              </w:rPr>
              <w:t xml:space="preserve">    </w:t>
            </w:r>
            <w:r w:rsidR="003C5653" w:rsidRPr="00B82252">
              <w:rPr>
                <w:sz w:val="20"/>
                <w:szCs w:val="20"/>
                <w:lang w:eastAsia="sk-SK"/>
              </w:rPr>
              <w:t>41</w:t>
            </w:r>
          </w:p>
        </w:tc>
      </w:tr>
      <w:tr w:rsidR="003C5653" w:rsidRPr="007A3DFE" w14:paraId="32475AD0"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bottom"/>
          </w:tcPr>
          <w:p w14:paraId="27EACFA1"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Opatrenia spojené s rastom cenovej hladiny a </w:t>
            </w:r>
            <w:proofErr w:type="spellStart"/>
            <w:r w:rsidRPr="005A5F12">
              <w:rPr>
                <w:color w:val="000000"/>
                <w:sz w:val="18"/>
                <w:szCs w:val="18"/>
                <w:lang w:eastAsia="sk-SK"/>
              </w:rPr>
              <w:t>energo</w:t>
            </w:r>
            <w:proofErr w:type="spellEnd"/>
            <w:r w:rsidRPr="005A5F12">
              <w:rPr>
                <w:color w:val="000000"/>
                <w:sz w:val="18"/>
                <w:szCs w:val="18"/>
                <w:lang w:eastAsia="sk-SK"/>
              </w:rPr>
              <w:t>-pomoci na výdavkoch</w:t>
            </w:r>
          </w:p>
        </w:tc>
        <w:tc>
          <w:tcPr>
            <w:tcW w:w="932" w:type="dxa"/>
            <w:tcBorders>
              <w:top w:val="nil"/>
              <w:left w:val="nil"/>
              <w:bottom w:val="nil"/>
              <w:right w:val="nil"/>
            </w:tcBorders>
            <w:vAlign w:val="center"/>
          </w:tcPr>
          <w:p w14:paraId="762C1A5E" w14:textId="77777777" w:rsidR="003C5653" w:rsidRPr="00B82252" w:rsidRDefault="003C5653" w:rsidP="003C5653">
            <w:pPr>
              <w:spacing w:after="0" w:line="240" w:lineRule="auto"/>
              <w:jc w:val="center"/>
              <w:rPr>
                <w:sz w:val="20"/>
                <w:szCs w:val="20"/>
                <w:lang w:eastAsia="sk-SK"/>
              </w:rPr>
            </w:pPr>
          </w:p>
        </w:tc>
        <w:tc>
          <w:tcPr>
            <w:tcW w:w="720" w:type="dxa"/>
            <w:gridSpan w:val="3"/>
            <w:tcBorders>
              <w:top w:val="nil"/>
              <w:left w:val="nil"/>
              <w:bottom w:val="nil"/>
              <w:right w:val="nil"/>
            </w:tcBorders>
            <w:vAlign w:val="center"/>
          </w:tcPr>
          <w:p w14:paraId="14FC81E9" w14:textId="77777777" w:rsidR="003C5653" w:rsidRPr="00B82252" w:rsidRDefault="003C5653" w:rsidP="00B82252">
            <w:pPr>
              <w:spacing w:after="0" w:line="240" w:lineRule="auto"/>
              <w:ind w:right="-55"/>
              <w:jc w:val="center"/>
              <w:rPr>
                <w:sz w:val="20"/>
                <w:szCs w:val="20"/>
                <w:lang w:eastAsia="sk-SK"/>
              </w:rPr>
            </w:pPr>
          </w:p>
        </w:tc>
        <w:tc>
          <w:tcPr>
            <w:tcW w:w="1406" w:type="dxa"/>
            <w:gridSpan w:val="2"/>
            <w:tcBorders>
              <w:top w:val="nil"/>
              <w:left w:val="nil"/>
              <w:bottom w:val="nil"/>
              <w:right w:val="nil"/>
            </w:tcBorders>
            <w:shd w:val="clear" w:color="auto" w:fill="auto"/>
            <w:noWrap/>
            <w:vAlign w:val="center"/>
          </w:tcPr>
          <w:p w14:paraId="36108191" w14:textId="77777777" w:rsidR="003C5653" w:rsidRPr="00B82252" w:rsidRDefault="003C5653" w:rsidP="003C5653">
            <w:pPr>
              <w:spacing w:after="0" w:line="240" w:lineRule="auto"/>
              <w:jc w:val="center"/>
              <w:rPr>
                <w:sz w:val="20"/>
                <w:szCs w:val="20"/>
                <w:lang w:eastAsia="sk-SK"/>
              </w:rPr>
            </w:pPr>
            <w:r w:rsidRPr="00B82252">
              <w:rPr>
                <w:sz w:val="20"/>
                <w:szCs w:val="20"/>
                <w:lang w:eastAsia="sk-SK"/>
              </w:rPr>
              <w:t>-467</w:t>
            </w:r>
          </w:p>
        </w:tc>
      </w:tr>
      <w:tr w:rsidR="003C5653" w:rsidRPr="007A3DFE" w14:paraId="38189F7D"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center"/>
          </w:tcPr>
          <w:p w14:paraId="7673ADCF"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Opatrenia spojené s rastom cenovej hladiny a </w:t>
            </w:r>
            <w:proofErr w:type="spellStart"/>
            <w:r w:rsidRPr="005A5F12">
              <w:rPr>
                <w:color w:val="000000"/>
                <w:sz w:val="18"/>
                <w:szCs w:val="18"/>
                <w:lang w:eastAsia="sk-SK"/>
              </w:rPr>
              <w:t>energo</w:t>
            </w:r>
            <w:proofErr w:type="spellEnd"/>
            <w:r w:rsidRPr="005A5F12">
              <w:rPr>
                <w:color w:val="000000"/>
                <w:sz w:val="18"/>
                <w:szCs w:val="18"/>
                <w:lang w:eastAsia="sk-SK"/>
              </w:rPr>
              <w:t>-pomoci na príjmoch</w:t>
            </w:r>
          </w:p>
        </w:tc>
        <w:tc>
          <w:tcPr>
            <w:tcW w:w="932" w:type="dxa"/>
            <w:tcBorders>
              <w:top w:val="nil"/>
              <w:left w:val="nil"/>
              <w:bottom w:val="nil"/>
              <w:right w:val="nil"/>
            </w:tcBorders>
            <w:vAlign w:val="center"/>
          </w:tcPr>
          <w:p w14:paraId="4EDFCCA5" w14:textId="77777777" w:rsidR="003C5653" w:rsidRPr="00B82252" w:rsidRDefault="003C5653" w:rsidP="003C5653">
            <w:pPr>
              <w:spacing w:after="0" w:line="240" w:lineRule="auto"/>
              <w:jc w:val="center"/>
              <w:rPr>
                <w:sz w:val="20"/>
                <w:szCs w:val="20"/>
                <w:lang w:eastAsia="sk-SK"/>
              </w:rPr>
            </w:pPr>
          </w:p>
        </w:tc>
        <w:tc>
          <w:tcPr>
            <w:tcW w:w="720" w:type="dxa"/>
            <w:gridSpan w:val="3"/>
            <w:tcBorders>
              <w:top w:val="nil"/>
              <w:left w:val="nil"/>
              <w:bottom w:val="nil"/>
              <w:right w:val="nil"/>
            </w:tcBorders>
            <w:vAlign w:val="center"/>
          </w:tcPr>
          <w:p w14:paraId="7ABAA5E3" w14:textId="77777777" w:rsidR="003C5653" w:rsidRPr="00B82252" w:rsidRDefault="003C5653" w:rsidP="00B82252">
            <w:pPr>
              <w:spacing w:after="0" w:line="240" w:lineRule="auto"/>
              <w:ind w:right="-55"/>
              <w:jc w:val="center"/>
              <w:rPr>
                <w:sz w:val="20"/>
                <w:szCs w:val="20"/>
                <w:lang w:eastAsia="sk-SK"/>
              </w:rPr>
            </w:pPr>
          </w:p>
        </w:tc>
        <w:tc>
          <w:tcPr>
            <w:tcW w:w="1406" w:type="dxa"/>
            <w:gridSpan w:val="2"/>
            <w:tcBorders>
              <w:top w:val="nil"/>
              <w:left w:val="nil"/>
              <w:bottom w:val="nil"/>
              <w:right w:val="nil"/>
            </w:tcBorders>
            <w:shd w:val="clear" w:color="auto" w:fill="auto"/>
            <w:vAlign w:val="center"/>
          </w:tcPr>
          <w:p w14:paraId="657AEE66" w14:textId="37CEA074" w:rsidR="003C5653" w:rsidRPr="00B82252" w:rsidRDefault="00051A2B" w:rsidP="003C5653">
            <w:pPr>
              <w:spacing w:after="0" w:line="240" w:lineRule="auto"/>
              <w:jc w:val="center"/>
              <w:rPr>
                <w:sz w:val="20"/>
                <w:szCs w:val="20"/>
                <w:lang w:eastAsia="sk-SK"/>
              </w:rPr>
            </w:pPr>
            <w:r w:rsidRPr="00B82252">
              <w:rPr>
                <w:sz w:val="20"/>
                <w:szCs w:val="20"/>
                <w:lang w:eastAsia="sk-SK"/>
              </w:rPr>
              <w:t xml:space="preserve">  </w:t>
            </w:r>
            <w:r w:rsidR="003C5653" w:rsidRPr="00B82252">
              <w:rPr>
                <w:sz w:val="20"/>
                <w:szCs w:val="20"/>
                <w:lang w:eastAsia="sk-SK"/>
              </w:rPr>
              <w:t>412</w:t>
            </w:r>
          </w:p>
        </w:tc>
      </w:tr>
      <w:tr w:rsidR="003C5653" w:rsidRPr="007A3DFE" w14:paraId="5036ACC6" w14:textId="77777777" w:rsidTr="003C5653">
        <w:tblPrEx>
          <w:tblCellMar>
            <w:left w:w="70" w:type="dxa"/>
            <w:right w:w="70" w:type="dxa"/>
          </w:tblCellMar>
        </w:tblPrEx>
        <w:trPr>
          <w:trHeight w:val="300"/>
        </w:trPr>
        <w:tc>
          <w:tcPr>
            <w:tcW w:w="6014" w:type="dxa"/>
            <w:tcBorders>
              <w:top w:val="nil"/>
              <w:left w:val="nil"/>
              <w:bottom w:val="nil"/>
              <w:right w:val="nil"/>
            </w:tcBorders>
            <w:shd w:val="clear" w:color="auto" w:fill="auto"/>
            <w:noWrap/>
            <w:vAlign w:val="center"/>
            <w:hideMark/>
          </w:tcPr>
          <w:p w14:paraId="23AB4F7C"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Špeciálny odvod do EÚ - podhodnotené preclievanie tovaru z III. krajín</w:t>
            </w:r>
          </w:p>
        </w:tc>
        <w:tc>
          <w:tcPr>
            <w:tcW w:w="932" w:type="dxa"/>
            <w:tcBorders>
              <w:top w:val="nil"/>
              <w:left w:val="nil"/>
              <w:bottom w:val="nil"/>
              <w:right w:val="nil"/>
            </w:tcBorders>
            <w:vAlign w:val="center"/>
          </w:tcPr>
          <w:p w14:paraId="7E15100D" w14:textId="77777777" w:rsidR="003C5653" w:rsidRPr="00B82252" w:rsidRDefault="003C5653" w:rsidP="003C5653">
            <w:pPr>
              <w:spacing w:after="0" w:line="240" w:lineRule="auto"/>
              <w:jc w:val="center"/>
              <w:rPr>
                <w:sz w:val="20"/>
                <w:szCs w:val="20"/>
                <w:lang w:eastAsia="sk-SK"/>
              </w:rPr>
            </w:pPr>
          </w:p>
        </w:tc>
        <w:tc>
          <w:tcPr>
            <w:tcW w:w="720" w:type="dxa"/>
            <w:gridSpan w:val="3"/>
            <w:tcBorders>
              <w:top w:val="nil"/>
              <w:left w:val="nil"/>
              <w:bottom w:val="nil"/>
              <w:right w:val="nil"/>
            </w:tcBorders>
            <w:vAlign w:val="center"/>
          </w:tcPr>
          <w:p w14:paraId="0915B1EB" w14:textId="77777777" w:rsidR="003C5653" w:rsidRPr="00B82252" w:rsidRDefault="003C5653" w:rsidP="00B82252">
            <w:pPr>
              <w:spacing w:after="0" w:line="240" w:lineRule="auto"/>
              <w:ind w:right="-55"/>
              <w:jc w:val="center"/>
              <w:rPr>
                <w:sz w:val="20"/>
                <w:szCs w:val="20"/>
                <w:lang w:eastAsia="sk-SK"/>
              </w:rPr>
            </w:pPr>
            <w:r w:rsidRPr="00B82252">
              <w:rPr>
                <w:sz w:val="20"/>
                <w:szCs w:val="20"/>
                <w:lang w:eastAsia="sk-SK"/>
              </w:rPr>
              <w:t>-527</w:t>
            </w:r>
          </w:p>
        </w:tc>
        <w:tc>
          <w:tcPr>
            <w:tcW w:w="1406" w:type="dxa"/>
            <w:gridSpan w:val="2"/>
            <w:tcBorders>
              <w:top w:val="nil"/>
              <w:left w:val="nil"/>
              <w:bottom w:val="nil"/>
              <w:right w:val="nil"/>
            </w:tcBorders>
            <w:shd w:val="clear" w:color="auto" w:fill="auto"/>
            <w:vAlign w:val="center"/>
          </w:tcPr>
          <w:p w14:paraId="20574D21" w14:textId="77777777" w:rsidR="003C5653" w:rsidRPr="00B82252" w:rsidRDefault="003C5653" w:rsidP="003C5653">
            <w:pPr>
              <w:spacing w:after="0" w:line="240" w:lineRule="auto"/>
              <w:jc w:val="center"/>
              <w:rPr>
                <w:sz w:val="20"/>
                <w:szCs w:val="20"/>
                <w:lang w:eastAsia="sk-SK"/>
              </w:rPr>
            </w:pPr>
          </w:p>
        </w:tc>
      </w:tr>
      <w:tr w:rsidR="003C5653" w:rsidRPr="007A3DFE" w14:paraId="2C7CD82D" w14:textId="77777777" w:rsidTr="003C5653">
        <w:tblPrEx>
          <w:tblCellMar>
            <w:left w:w="70" w:type="dxa"/>
            <w:right w:w="70" w:type="dxa"/>
          </w:tblCellMar>
        </w:tblPrEx>
        <w:trPr>
          <w:trHeight w:val="300"/>
        </w:trPr>
        <w:tc>
          <w:tcPr>
            <w:tcW w:w="6014" w:type="dxa"/>
            <w:tcBorders>
              <w:top w:val="nil"/>
              <w:left w:val="nil"/>
              <w:bottom w:val="single" w:sz="4" w:space="0" w:color="auto"/>
              <w:right w:val="nil"/>
            </w:tcBorders>
            <w:shd w:val="clear" w:color="auto" w:fill="auto"/>
            <w:vAlign w:val="center"/>
            <w:hideMark/>
          </w:tcPr>
          <w:p w14:paraId="5C8F1433" w14:textId="77777777" w:rsidR="003C5653" w:rsidRPr="005A5F12" w:rsidRDefault="003C5653" w:rsidP="003C5653">
            <w:pPr>
              <w:spacing w:after="0" w:line="240" w:lineRule="auto"/>
              <w:rPr>
                <w:color w:val="000000"/>
                <w:sz w:val="18"/>
                <w:szCs w:val="18"/>
                <w:lang w:eastAsia="sk-SK"/>
              </w:rPr>
            </w:pPr>
            <w:r w:rsidRPr="005A5F12">
              <w:rPr>
                <w:color w:val="000000"/>
                <w:sz w:val="18"/>
                <w:szCs w:val="18"/>
                <w:lang w:eastAsia="sk-SK"/>
              </w:rPr>
              <w:t>Platba DPH koncesionára stavby D4/R7</w:t>
            </w:r>
          </w:p>
        </w:tc>
        <w:tc>
          <w:tcPr>
            <w:tcW w:w="932" w:type="dxa"/>
            <w:tcBorders>
              <w:top w:val="nil"/>
              <w:left w:val="nil"/>
              <w:bottom w:val="single" w:sz="4" w:space="0" w:color="auto"/>
              <w:right w:val="nil"/>
            </w:tcBorders>
            <w:vAlign w:val="center"/>
          </w:tcPr>
          <w:p w14:paraId="7806D46C" w14:textId="6C679B2C" w:rsidR="003C5653" w:rsidRPr="00B82252" w:rsidRDefault="00051A2B" w:rsidP="003C5653">
            <w:pPr>
              <w:spacing w:after="0" w:line="240" w:lineRule="auto"/>
              <w:jc w:val="center"/>
              <w:rPr>
                <w:sz w:val="20"/>
                <w:szCs w:val="20"/>
                <w:lang w:eastAsia="sk-SK"/>
              </w:rPr>
            </w:pPr>
            <w:r w:rsidRPr="00B82252">
              <w:rPr>
                <w:sz w:val="20"/>
                <w:szCs w:val="20"/>
                <w:lang w:eastAsia="sk-SK"/>
              </w:rPr>
              <w:t xml:space="preserve">    </w:t>
            </w:r>
            <w:r w:rsidR="003C5653" w:rsidRPr="00B82252">
              <w:rPr>
                <w:sz w:val="20"/>
                <w:szCs w:val="20"/>
                <w:lang w:eastAsia="sk-SK"/>
              </w:rPr>
              <w:t>71</w:t>
            </w:r>
          </w:p>
        </w:tc>
        <w:tc>
          <w:tcPr>
            <w:tcW w:w="720" w:type="dxa"/>
            <w:gridSpan w:val="3"/>
            <w:tcBorders>
              <w:top w:val="nil"/>
              <w:left w:val="nil"/>
              <w:bottom w:val="single" w:sz="4" w:space="0" w:color="auto"/>
              <w:right w:val="nil"/>
            </w:tcBorders>
            <w:vAlign w:val="center"/>
          </w:tcPr>
          <w:p w14:paraId="391022A7" w14:textId="5D8CB977" w:rsidR="003C5653" w:rsidRPr="00B82252" w:rsidRDefault="00B82252" w:rsidP="00B82252">
            <w:pPr>
              <w:spacing w:after="0" w:line="240" w:lineRule="auto"/>
              <w:ind w:right="-55"/>
              <w:jc w:val="center"/>
              <w:rPr>
                <w:sz w:val="20"/>
                <w:szCs w:val="20"/>
                <w:lang w:eastAsia="sk-SK"/>
              </w:rPr>
            </w:pPr>
            <w:r w:rsidRPr="00B82252">
              <w:rPr>
                <w:sz w:val="20"/>
                <w:szCs w:val="20"/>
                <w:lang w:eastAsia="sk-SK"/>
              </w:rPr>
              <w:t xml:space="preserve"> </w:t>
            </w:r>
            <w:r w:rsidR="003C5653" w:rsidRPr="00B82252">
              <w:rPr>
                <w:sz w:val="20"/>
                <w:szCs w:val="20"/>
                <w:lang w:eastAsia="sk-SK"/>
              </w:rPr>
              <w:t>130</w:t>
            </w:r>
          </w:p>
        </w:tc>
        <w:tc>
          <w:tcPr>
            <w:tcW w:w="1406" w:type="dxa"/>
            <w:gridSpan w:val="2"/>
            <w:tcBorders>
              <w:top w:val="nil"/>
              <w:left w:val="nil"/>
              <w:bottom w:val="single" w:sz="4" w:space="0" w:color="auto"/>
              <w:right w:val="nil"/>
            </w:tcBorders>
            <w:shd w:val="clear" w:color="auto" w:fill="auto"/>
            <w:vAlign w:val="center"/>
          </w:tcPr>
          <w:p w14:paraId="3B0E3E67" w14:textId="77777777" w:rsidR="003C5653" w:rsidRPr="00B82252" w:rsidRDefault="003C5653" w:rsidP="003C5653">
            <w:pPr>
              <w:spacing w:after="0" w:line="240" w:lineRule="auto"/>
              <w:jc w:val="center"/>
              <w:rPr>
                <w:sz w:val="20"/>
                <w:szCs w:val="20"/>
                <w:lang w:eastAsia="sk-SK"/>
              </w:rPr>
            </w:pPr>
          </w:p>
        </w:tc>
      </w:tr>
      <w:tr w:rsidR="003C5653" w:rsidRPr="003E281C" w14:paraId="7D8166F8" w14:textId="77777777" w:rsidTr="003C5653">
        <w:tblPrEx>
          <w:tblCellMar>
            <w:left w:w="70" w:type="dxa"/>
            <w:right w:w="70" w:type="dxa"/>
          </w:tblCellMar>
        </w:tblPrEx>
        <w:trPr>
          <w:trHeight w:val="132"/>
        </w:trPr>
        <w:tc>
          <w:tcPr>
            <w:tcW w:w="6014" w:type="dxa"/>
            <w:tcBorders>
              <w:top w:val="nil"/>
              <w:left w:val="nil"/>
              <w:bottom w:val="single" w:sz="8" w:space="0" w:color="auto"/>
              <w:right w:val="nil"/>
            </w:tcBorders>
            <w:shd w:val="clear" w:color="auto" w:fill="auto"/>
            <w:noWrap/>
            <w:vAlign w:val="bottom"/>
            <w:hideMark/>
          </w:tcPr>
          <w:p w14:paraId="4C7DF942" w14:textId="77777777" w:rsidR="003C5653" w:rsidRPr="005A5F12" w:rsidRDefault="003C5653" w:rsidP="003C5653">
            <w:pPr>
              <w:spacing w:after="0" w:line="240" w:lineRule="auto"/>
              <w:rPr>
                <w:b/>
                <w:bCs/>
                <w:color w:val="000000"/>
                <w:sz w:val="18"/>
                <w:szCs w:val="18"/>
                <w:lang w:eastAsia="sk-SK"/>
              </w:rPr>
            </w:pPr>
            <w:r w:rsidRPr="005A5F12">
              <w:rPr>
                <w:b/>
                <w:bCs/>
                <w:color w:val="000000"/>
                <w:sz w:val="18"/>
                <w:szCs w:val="18"/>
                <w:lang w:eastAsia="sk-SK"/>
              </w:rPr>
              <w:t xml:space="preserve">Spolu  </w:t>
            </w:r>
          </w:p>
        </w:tc>
        <w:tc>
          <w:tcPr>
            <w:tcW w:w="932" w:type="dxa"/>
            <w:tcBorders>
              <w:top w:val="nil"/>
              <w:left w:val="nil"/>
              <w:bottom w:val="single" w:sz="8" w:space="0" w:color="auto"/>
              <w:right w:val="nil"/>
            </w:tcBorders>
            <w:vAlign w:val="center"/>
          </w:tcPr>
          <w:p w14:paraId="17D03AB0" w14:textId="77777777" w:rsidR="003C5653" w:rsidRPr="00B82252" w:rsidRDefault="003C5653" w:rsidP="003C5653">
            <w:pPr>
              <w:spacing w:after="0" w:line="240" w:lineRule="auto"/>
              <w:jc w:val="center"/>
              <w:rPr>
                <w:b/>
                <w:bCs/>
                <w:sz w:val="20"/>
                <w:szCs w:val="20"/>
                <w:lang w:eastAsia="sk-SK"/>
              </w:rPr>
            </w:pPr>
            <w:r w:rsidRPr="00B82252">
              <w:rPr>
                <w:b/>
                <w:bCs/>
                <w:sz w:val="20"/>
                <w:szCs w:val="20"/>
                <w:lang w:eastAsia="sk-SK"/>
              </w:rPr>
              <w:t>-1698</w:t>
            </w:r>
          </w:p>
        </w:tc>
        <w:tc>
          <w:tcPr>
            <w:tcW w:w="720" w:type="dxa"/>
            <w:gridSpan w:val="3"/>
            <w:tcBorders>
              <w:top w:val="nil"/>
              <w:left w:val="nil"/>
              <w:bottom w:val="single" w:sz="8" w:space="0" w:color="auto"/>
              <w:right w:val="nil"/>
            </w:tcBorders>
            <w:vAlign w:val="center"/>
          </w:tcPr>
          <w:p w14:paraId="2A682005" w14:textId="77777777" w:rsidR="003C5653" w:rsidRPr="00B82252" w:rsidRDefault="003C5653" w:rsidP="00B82252">
            <w:pPr>
              <w:spacing w:after="0" w:line="240" w:lineRule="auto"/>
              <w:ind w:right="-55"/>
              <w:jc w:val="center"/>
              <w:rPr>
                <w:b/>
                <w:bCs/>
                <w:sz w:val="20"/>
                <w:szCs w:val="20"/>
                <w:lang w:eastAsia="sk-SK"/>
              </w:rPr>
            </w:pPr>
            <w:r w:rsidRPr="00B82252">
              <w:rPr>
                <w:b/>
                <w:bCs/>
                <w:sz w:val="20"/>
                <w:szCs w:val="20"/>
                <w:lang w:eastAsia="sk-SK"/>
              </w:rPr>
              <w:t>-3394</w:t>
            </w:r>
          </w:p>
        </w:tc>
        <w:tc>
          <w:tcPr>
            <w:tcW w:w="1406" w:type="dxa"/>
            <w:gridSpan w:val="2"/>
            <w:tcBorders>
              <w:top w:val="nil"/>
              <w:left w:val="nil"/>
              <w:bottom w:val="single" w:sz="8" w:space="0" w:color="auto"/>
              <w:right w:val="nil"/>
            </w:tcBorders>
            <w:shd w:val="clear" w:color="auto" w:fill="auto"/>
            <w:noWrap/>
            <w:vAlign w:val="center"/>
          </w:tcPr>
          <w:p w14:paraId="77A12E7D" w14:textId="77777777" w:rsidR="003C5653" w:rsidRPr="00B82252" w:rsidRDefault="003C5653" w:rsidP="003C5653">
            <w:pPr>
              <w:spacing w:after="0" w:line="240" w:lineRule="auto"/>
              <w:jc w:val="center"/>
              <w:rPr>
                <w:b/>
                <w:bCs/>
                <w:sz w:val="20"/>
                <w:szCs w:val="20"/>
                <w:lang w:eastAsia="sk-SK"/>
              </w:rPr>
            </w:pPr>
            <w:r w:rsidRPr="00B82252">
              <w:rPr>
                <w:b/>
                <w:bCs/>
                <w:sz w:val="20"/>
                <w:szCs w:val="20"/>
                <w:lang w:eastAsia="sk-SK"/>
              </w:rPr>
              <w:t>-906</w:t>
            </w:r>
          </w:p>
        </w:tc>
      </w:tr>
    </w:tbl>
    <w:p w14:paraId="68583825" w14:textId="516095C3" w:rsidR="003C5653" w:rsidRPr="00B156D9" w:rsidRDefault="00051A2B" w:rsidP="00051A2B">
      <w:pPr>
        <w:pStyle w:val="NormalList"/>
        <w:spacing w:after="120" w:line="276" w:lineRule="auto"/>
        <w:ind w:left="7799"/>
        <w:rPr>
          <w:rFonts w:cs="Times New Roman"/>
          <w:b/>
        </w:rPr>
      </w:pPr>
      <w:r>
        <w:rPr>
          <w:rFonts w:cs="Times New Roman"/>
          <w:color w:val="000000"/>
          <w:sz w:val="16"/>
          <w:szCs w:val="16"/>
          <w:lang w:eastAsia="en-GB"/>
        </w:rPr>
        <w:t xml:space="preserve">        </w:t>
      </w:r>
      <w:r w:rsidRPr="003C5653">
        <w:rPr>
          <w:rFonts w:cs="Times New Roman"/>
          <w:color w:val="000000"/>
          <w:sz w:val="16"/>
          <w:szCs w:val="16"/>
          <w:lang w:eastAsia="en-GB"/>
        </w:rPr>
        <w:t>Zdroj: MF SR</w:t>
      </w:r>
    </w:p>
    <w:p w14:paraId="0134562E" w14:textId="7F032E8F" w:rsidR="00215BC5" w:rsidRPr="00B82252" w:rsidRDefault="00215BC5" w:rsidP="0064462E">
      <w:pPr>
        <w:pStyle w:val="Nadpis2"/>
        <w:numPr>
          <w:ilvl w:val="1"/>
          <w:numId w:val="3"/>
        </w:numPr>
        <w:spacing w:before="120" w:after="0"/>
        <w:jc w:val="center"/>
      </w:pPr>
      <w:bookmarkStart w:id="34" w:name="_Toc148704473"/>
      <w:bookmarkStart w:id="35" w:name="_Toc399324369"/>
      <w:r w:rsidRPr="00B82252">
        <w:t>Vyhodnotenie plnenia cieľov stratégie riadenia štátneho dlhu</w:t>
      </w:r>
      <w:bookmarkEnd w:id="34"/>
    </w:p>
    <w:p w14:paraId="32F70BF1" w14:textId="77777777" w:rsidR="00B82252" w:rsidRPr="001E3E2E" w:rsidRDefault="00B82252" w:rsidP="00B82252">
      <w:pPr>
        <w:spacing w:before="120" w:after="120" w:line="240" w:lineRule="auto"/>
        <w:jc w:val="both"/>
        <w:rPr>
          <w:szCs w:val="22"/>
        </w:rPr>
      </w:pPr>
      <w:r>
        <w:rPr>
          <w:szCs w:val="22"/>
        </w:rPr>
        <w:t xml:space="preserve">Svetová ekonomika a finančné trhy v roku 2022 zaznamenali sériu šokov. Vojenská agresia Ruska proti Ukrajine a následná snaha politicky a ekonomicky izolovať Rusko viedli k silným nárastom cien energetických komodít, najmä plynu a ropy. </w:t>
      </w:r>
      <w:r w:rsidRPr="00791386">
        <w:rPr>
          <w:szCs w:val="22"/>
        </w:rPr>
        <w:t>Energetický šok sa stal hnacou silou už aj tak narastajúcej inflácie pod vplyvom utíchajúcej pandémie a pretrvávajúcich narušení v dodávateľských reťazcoch.</w:t>
      </w:r>
      <w:r>
        <w:rPr>
          <w:szCs w:val="22"/>
        </w:rPr>
        <w:t xml:space="preserve"> Na situáciu museli reagovať aj centrálne banky, ktoré sa v snahe spomaliť rekordnú infláciu odhodlali k bezprecedentnému zvýšeniu základných úrokových sadzieb. ECB tak zvýšila v druhej polovici roka svoju základnú sadzbu z 0 % na 2 %, pričom FED zašiel ešte ďalej a v priebehu roka zvýšil sadzby o 4,25 p. b. (do pásma 4,25 % – 4,50 %). Geopolitické, ekonomické aj monetárne šoky v roku 2022 negatívne pôsobili na finančné trhy. Solídna dvojciferná výkonnosť akciových trhov z predchádzajúceho roka bola vystriedaná postupným prepadom do medvedieho trhu. Mierne oživenie nastalo v poslednom kvartáli, keď sa vďaka spoločnému úsiliu európskych krajín podarilo zredukovať energetickú závislosť od Ruska, čo prispelo k poklesu trhových cien energetických komodít. </w:t>
      </w:r>
    </w:p>
    <w:p w14:paraId="47BF22B4" w14:textId="77777777" w:rsidR="00FD652C" w:rsidRDefault="00B82252" w:rsidP="00B82252">
      <w:pPr>
        <w:spacing w:before="120" w:after="120" w:line="240" w:lineRule="auto"/>
        <w:jc w:val="both"/>
        <w:rPr>
          <w:szCs w:val="22"/>
        </w:rPr>
      </w:pPr>
      <w:r>
        <w:rPr>
          <w:szCs w:val="22"/>
        </w:rPr>
        <w:t xml:space="preserve">Nepriaznivý vývoj poznačil aj dlhopisové trhy. Stúpajúca inflácia a rastúce krátkodobé úrokové sadzby posunuli slovenskú dlhopisovú krivku smerom nahor. Výnos desaťročného slovenského dlhopisu sa tak vyšplhal z hodnôt blízkych nule na začiatku roka na priemerných cca 3,4 % </w:t>
      </w:r>
      <w:proofErr w:type="spellStart"/>
      <w:r>
        <w:rPr>
          <w:szCs w:val="22"/>
        </w:rPr>
        <w:t>p.a</w:t>
      </w:r>
      <w:proofErr w:type="spellEnd"/>
      <w:r>
        <w:rPr>
          <w:szCs w:val="22"/>
        </w:rPr>
        <w:t xml:space="preserve">. v poslednom kvartáli. Blízkosť vojenského konfliktu ako aj energetická závislosť od Ruska sa prejavili na silne rastúcej rizikovej prirážke, ktorá presiahla 1 p. b. oproti 10-ročnému nemeckému dlhopisu. Ešte </w:t>
      </w:r>
      <w:proofErr w:type="spellStart"/>
      <w:r>
        <w:rPr>
          <w:szCs w:val="22"/>
        </w:rPr>
        <w:t>dramatickejší</w:t>
      </w:r>
      <w:proofErr w:type="spellEnd"/>
      <w:r>
        <w:rPr>
          <w:szCs w:val="22"/>
        </w:rPr>
        <w:t xml:space="preserve"> vývoj prirážky zaznamenali susedné krajiny s vlastnou menovou politikou, ktoré pristúpili k  razantnejšiemu sprísneniu </w:t>
      </w:r>
      <w:r>
        <w:rPr>
          <w:szCs w:val="22"/>
        </w:rPr>
        <w:lastRenderedPageBreak/>
        <w:t>menovej politiky. Situáciu negatívne ovplyvnilo aj postupné ukončovanie programov nákupu aktív centrálnymi bankami.</w:t>
      </w:r>
    </w:p>
    <w:p w14:paraId="4A91EC20" w14:textId="62E18621" w:rsidR="00B82252" w:rsidRPr="00457823" w:rsidRDefault="00B82252" w:rsidP="00B82252">
      <w:pPr>
        <w:spacing w:before="120" w:after="120" w:line="240" w:lineRule="auto"/>
        <w:jc w:val="both"/>
        <w:rPr>
          <w:szCs w:val="22"/>
          <w:highlight w:val="yellow"/>
        </w:rPr>
      </w:pPr>
      <w:r>
        <w:rPr>
          <w:szCs w:val="22"/>
        </w:rPr>
        <w:t>Vyššia energetická závislosť Európy od Ruska ako aj postavenie amerických štátnych dlhopisov ako bezpečného aktíva spolu s vyššími úrokovými sadzbami v USA spôsobili silné zhodnotenie dolára voči euru a postupný pokles k parite. Vďaka pozitívnym s</w:t>
      </w:r>
      <w:r w:rsidR="007E4794">
        <w:rPr>
          <w:szCs w:val="22"/>
        </w:rPr>
        <w:t>ignálom z konca roka sa kurz v d</w:t>
      </w:r>
      <w:r>
        <w:rPr>
          <w:szCs w:val="22"/>
        </w:rPr>
        <w:t xml:space="preserve">ecembri stabilizoval blízko 1,06 doláru za euro.  </w:t>
      </w:r>
    </w:p>
    <w:p w14:paraId="02065DBE" w14:textId="0BBEDC2B" w:rsidR="005406D6" w:rsidRDefault="00B82252" w:rsidP="00B82252">
      <w:pPr>
        <w:spacing w:before="120" w:after="120" w:line="240" w:lineRule="auto"/>
        <w:jc w:val="both"/>
        <w:rPr>
          <w:szCs w:val="22"/>
        </w:rPr>
      </w:pPr>
      <w:r w:rsidRPr="00DC49E7">
        <w:rPr>
          <w:szCs w:val="22"/>
        </w:rPr>
        <w:t>Financovanie slovenského štátneho dlhu v roku 2022 zabezpečovala Agentúra pre riadenie dlhu a likvidity v mene MF SR bez nutnosti použitia menej tradičných foriem financovania. Prudký nárast úrokových sadzieb v roku 2022 a s tým spojený rast nákladov na obsluhu dlhu znamenali zhoršenie podmienok pre emitovanie dlhu, ktoré pravdepodobne pretrvá aj v nasledujúcom roku.</w:t>
      </w:r>
    </w:p>
    <w:tbl>
      <w:tblPr>
        <w:tblpPr w:leftFromText="141" w:rightFromText="141" w:vertAnchor="text" w:horzAnchor="margin" w:tblpY="113"/>
        <w:tblW w:w="9418" w:type="dxa"/>
        <w:tblCellMar>
          <w:left w:w="70" w:type="dxa"/>
          <w:right w:w="70" w:type="dxa"/>
        </w:tblCellMar>
        <w:tblLook w:val="04A0" w:firstRow="1" w:lastRow="0" w:firstColumn="1" w:lastColumn="0" w:noHBand="0" w:noVBand="1"/>
      </w:tblPr>
      <w:tblGrid>
        <w:gridCol w:w="9418"/>
      </w:tblGrid>
      <w:tr w:rsidR="00BB4B6F" w:rsidRPr="00DF0EC5" w14:paraId="7527DE66" w14:textId="77777777" w:rsidTr="005406D6">
        <w:trPr>
          <w:trHeight w:val="315"/>
        </w:trPr>
        <w:tc>
          <w:tcPr>
            <w:tcW w:w="9418" w:type="dxa"/>
            <w:tcBorders>
              <w:top w:val="nil"/>
              <w:left w:val="nil"/>
              <w:bottom w:val="single" w:sz="4" w:space="0" w:color="auto"/>
              <w:right w:val="nil"/>
            </w:tcBorders>
            <w:shd w:val="clear" w:color="auto" w:fill="auto"/>
            <w:noWrap/>
            <w:vAlign w:val="center"/>
            <w:hideMark/>
          </w:tcPr>
          <w:p w14:paraId="48A41322" w14:textId="66FAD696" w:rsidR="00D22E0C" w:rsidRPr="00B82252" w:rsidRDefault="00211725" w:rsidP="00DC6F21">
            <w:pPr>
              <w:spacing w:after="0" w:line="240" w:lineRule="auto"/>
              <w:rPr>
                <w:b/>
                <w:bCs/>
                <w:color w:val="4F81BD" w:themeColor="accent1"/>
                <w:sz w:val="20"/>
                <w:szCs w:val="20"/>
                <w:lang w:eastAsia="en-GB"/>
              </w:rPr>
            </w:pPr>
            <w:r w:rsidRPr="00B82252">
              <w:rPr>
                <w:b/>
                <w:bCs/>
                <w:color w:val="4F81BD" w:themeColor="accent1"/>
                <w:sz w:val="20"/>
                <w:szCs w:val="20"/>
                <w:lang w:eastAsia="sk-SK"/>
              </w:rPr>
              <w:t xml:space="preserve">Graf </w:t>
            </w:r>
            <w:r w:rsidR="00DF0EC5" w:rsidRPr="00B82252">
              <w:rPr>
                <w:b/>
                <w:bCs/>
                <w:color w:val="4F81BD" w:themeColor="accent1"/>
                <w:sz w:val="20"/>
                <w:szCs w:val="20"/>
                <w:lang w:eastAsia="sk-SK"/>
              </w:rPr>
              <w:t>7</w:t>
            </w:r>
            <w:r w:rsidRPr="00B82252">
              <w:rPr>
                <w:b/>
                <w:bCs/>
                <w:color w:val="4F81BD" w:themeColor="accent1"/>
                <w:sz w:val="20"/>
                <w:szCs w:val="20"/>
                <w:lang w:eastAsia="sk-SK"/>
              </w:rPr>
              <w:t xml:space="preserve"> </w:t>
            </w:r>
            <w:r w:rsidRPr="00B82252">
              <w:rPr>
                <w:bCs/>
                <w:color w:val="4F81BD" w:themeColor="accent1"/>
                <w:sz w:val="20"/>
                <w:szCs w:val="20"/>
                <w:lang w:eastAsia="sk-SK"/>
              </w:rPr>
              <w:t>-</w:t>
            </w:r>
            <w:r w:rsidRPr="00B82252">
              <w:rPr>
                <w:b/>
                <w:bCs/>
                <w:color w:val="4F81BD" w:themeColor="accent1"/>
                <w:sz w:val="20"/>
                <w:szCs w:val="20"/>
                <w:lang w:eastAsia="sk-SK"/>
              </w:rPr>
              <w:t xml:space="preserve"> </w:t>
            </w:r>
            <w:r w:rsidR="00D22E0C" w:rsidRPr="00B82252">
              <w:rPr>
                <w:b/>
                <w:bCs/>
                <w:color w:val="4F81BD" w:themeColor="accent1"/>
                <w:sz w:val="20"/>
                <w:szCs w:val="20"/>
                <w:lang w:eastAsia="en-GB"/>
              </w:rPr>
              <w:t xml:space="preserve">Výnosy vybraných slovenských vládnych dlhopisov a riziková prirážka voči nemeckým </w:t>
            </w:r>
          </w:p>
          <w:p w14:paraId="597EEBC6" w14:textId="77777777" w:rsidR="00D22E0C" w:rsidRPr="00DF0EC5" w:rsidRDefault="00D22E0C" w:rsidP="00DC6F21">
            <w:pPr>
              <w:spacing w:after="0" w:line="240" w:lineRule="auto"/>
              <w:rPr>
                <w:b/>
                <w:sz w:val="20"/>
                <w:szCs w:val="20"/>
                <w:highlight w:val="yellow"/>
              </w:rPr>
            </w:pPr>
            <w:r w:rsidRPr="00B82252">
              <w:rPr>
                <w:b/>
                <w:bCs/>
                <w:color w:val="4F81BD" w:themeColor="accent1"/>
                <w:sz w:val="20"/>
                <w:szCs w:val="20"/>
                <w:lang w:eastAsia="en-GB"/>
              </w:rPr>
              <w:t>10-ročným štátnym dlhopisom (v % a </w:t>
            </w:r>
            <w:proofErr w:type="spellStart"/>
            <w:r w:rsidRPr="00B82252">
              <w:rPr>
                <w:b/>
                <w:bCs/>
                <w:color w:val="4F81BD" w:themeColor="accent1"/>
                <w:sz w:val="20"/>
                <w:szCs w:val="20"/>
                <w:lang w:eastAsia="en-GB"/>
              </w:rPr>
              <w:t>p.b</w:t>
            </w:r>
            <w:proofErr w:type="spellEnd"/>
            <w:r w:rsidRPr="00B82252">
              <w:rPr>
                <w:b/>
                <w:bCs/>
                <w:color w:val="4F81BD" w:themeColor="accent1"/>
                <w:sz w:val="20"/>
                <w:szCs w:val="20"/>
                <w:lang w:eastAsia="en-GB"/>
              </w:rPr>
              <w:t>.)</w:t>
            </w:r>
          </w:p>
        </w:tc>
      </w:tr>
      <w:tr w:rsidR="00BB4B6F" w:rsidRPr="00DF0EC5" w14:paraId="7CB9DA14" w14:textId="77777777" w:rsidTr="005406D6">
        <w:trPr>
          <w:trHeight w:val="683"/>
        </w:trPr>
        <w:tc>
          <w:tcPr>
            <w:tcW w:w="9418" w:type="dxa"/>
            <w:vMerge w:val="restart"/>
            <w:tcBorders>
              <w:top w:val="single" w:sz="4" w:space="0" w:color="auto"/>
              <w:left w:val="nil"/>
              <w:bottom w:val="single" w:sz="4" w:space="0" w:color="auto"/>
              <w:right w:val="nil"/>
            </w:tcBorders>
            <w:shd w:val="clear" w:color="auto" w:fill="auto"/>
            <w:noWrap/>
            <w:vAlign w:val="bottom"/>
            <w:hideMark/>
          </w:tcPr>
          <w:p w14:paraId="158BD63C" w14:textId="5600E27F" w:rsidR="00D22E0C" w:rsidRPr="00DF0EC5" w:rsidRDefault="00B82252" w:rsidP="00DC6F21">
            <w:pPr>
              <w:spacing w:after="0" w:line="240" w:lineRule="auto"/>
              <w:jc w:val="center"/>
              <w:rPr>
                <w:sz w:val="20"/>
                <w:szCs w:val="20"/>
                <w:highlight w:val="yellow"/>
                <w:lang w:eastAsia="sk-SK"/>
              </w:rPr>
            </w:pPr>
            <w:r>
              <w:rPr>
                <w:noProof/>
                <w:lang w:eastAsia="sk-SK"/>
              </w:rPr>
              <w:drawing>
                <wp:inline distT="0" distB="0" distL="0" distR="0" wp14:anchorId="7AFE0E41" wp14:editId="590FFEF1">
                  <wp:extent cx="5814060" cy="2786131"/>
                  <wp:effectExtent l="0" t="0" r="15240" b="1460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A673EB" w14:textId="77777777" w:rsidR="00D22E0C" w:rsidRPr="00DF0EC5" w:rsidRDefault="00D22E0C" w:rsidP="00DC6F21">
            <w:pPr>
              <w:spacing w:after="0" w:line="240" w:lineRule="auto"/>
              <w:jc w:val="center"/>
              <w:rPr>
                <w:sz w:val="20"/>
                <w:szCs w:val="20"/>
                <w:highlight w:val="yellow"/>
                <w:lang w:eastAsia="sk-SK"/>
              </w:rPr>
            </w:pPr>
          </w:p>
        </w:tc>
      </w:tr>
      <w:tr w:rsidR="00BB4B6F" w:rsidRPr="00DF0EC5" w14:paraId="1B89849E" w14:textId="77777777" w:rsidTr="005406D6">
        <w:trPr>
          <w:trHeight w:val="685"/>
        </w:trPr>
        <w:tc>
          <w:tcPr>
            <w:tcW w:w="9418" w:type="dxa"/>
            <w:vMerge/>
            <w:tcBorders>
              <w:top w:val="nil"/>
              <w:left w:val="nil"/>
              <w:bottom w:val="single" w:sz="4" w:space="0" w:color="auto"/>
              <w:right w:val="nil"/>
            </w:tcBorders>
            <w:vAlign w:val="center"/>
            <w:hideMark/>
          </w:tcPr>
          <w:p w14:paraId="00F03E0F" w14:textId="77777777" w:rsidR="00D22E0C" w:rsidRPr="00DF0EC5" w:rsidRDefault="00D22E0C" w:rsidP="00DC6F21">
            <w:pPr>
              <w:spacing w:after="0" w:line="240" w:lineRule="auto"/>
              <w:rPr>
                <w:sz w:val="20"/>
                <w:szCs w:val="20"/>
                <w:highlight w:val="yellow"/>
                <w:lang w:eastAsia="sk-SK"/>
              </w:rPr>
            </w:pPr>
          </w:p>
        </w:tc>
      </w:tr>
      <w:tr w:rsidR="00BB4B6F" w:rsidRPr="00DF0EC5" w14:paraId="7FC70A66" w14:textId="77777777" w:rsidTr="005406D6">
        <w:trPr>
          <w:trHeight w:val="685"/>
        </w:trPr>
        <w:tc>
          <w:tcPr>
            <w:tcW w:w="9418" w:type="dxa"/>
            <w:vMerge/>
            <w:tcBorders>
              <w:top w:val="nil"/>
              <w:left w:val="nil"/>
              <w:bottom w:val="single" w:sz="4" w:space="0" w:color="auto"/>
              <w:right w:val="nil"/>
            </w:tcBorders>
            <w:vAlign w:val="center"/>
            <w:hideMark/>
          </w:tcPr>
          <w:p w14:paraId="05B1599A" w14:textId="77777777" w:rsidR="00D22E0C" w:rsidRPr="00DF0EC5" w:rsidRDefault="00D22E0C" w:rsidP="00DC6F21">
            <w:pPr>
              <w:spacing w:after="0" w:line="240" w:lineRule="auto"/>
              <w:rPr>
                <w:sz w:val="20"/>
                <w:szCs w:val="20"/>
                <w:highlight w:val="yellow"/>
                <w:lang w:eastAsia="sk-SK"/>
              </w:rPr>
            </w:pPr>
          </w:p>
        </w:tc>
      </w:tr>
      <w:tr w:rsidR="00BB4B6F" w:rsidRPr="00DF0EC5" w14:paraId="60931F01" w14:textId="77777777" w:rsidTr="005406D6">
        <w:trPr>
          <w:trHeight w:val="685"/>
        </w:trPr>
        <w:tc>
          <w:tcPr>
            <w:tcW w:w="9418" w:type="dxa"/>
            <w:vMerge/>
            <w:tcBorders>
              <w:top w:val="nil"/>
              <w:left w:val="nil"/>
              <w:bottom w:val="single" w:sz="4" w:space="0" w:color="auto"/>
              <w:right w:val="nil"/>
            </w:tcBorders>
            <w:vAlign w:val="center"/>
            <w:hideMark/>
          </w:tcPr>
          <w:p w14:paraId="11E6DC03" w14:textId="77777777" w:rsidR="00D22E0C" w:rsidRPr="00DF0EC5" w:rsidRDefault="00D22E0C" w:rsidP="00DC6F21">
            <w:pPr>
              <w:spacing w:after="0" w:line="240" w:lineRule="auto"/>
              <w:rPr>
                <w:sz w:val="20"/>
                <w:szCs w:val="20"/>
                <w:highlight w:val="yellow"/>
                <w:lang w:eastAsia="sk-SK"/>
              </w:rPr>
            </w:pPr>
          </w:p>
        </w:tc>
      </w:tr>
      <w:tr w:rsidR="00BB4B6F" w:rsidRPr="00DF0EC5" w14:paraId="6EDAD792" w14:textId="77777777" w:rsidTr="005406D6">
        <w:trPr>
          <w:trHeight w:val="685"/>
        </w:trPr>
        <w:tc>
          <w:tcPr>
            <w:tcW w:w="9418" w:type="dxa"/>
            <w:vMerge/>
            <w:tcBorders>
              <w:top w:val="nil"/>
              <w:left w:val="nil"/>
              <w:bottom w:val="single" w:sz="4" w:space="0" w:color="auto"/>
              <w:right w:val="nil"/>
            </w:tcBorders>
            <w:vAlign w:val="center"/>
            <w:hideMark/>
          </w:tcPr>
          <w:p w14:paraId="071940E2" w14:textId="77777777" w:rsidR="00D22E0C" w:rsidRPr="00DF0EC5" w:rsidRDefault="00D22E0C" w:rsidP="00DC6F21">
            <w:pPr>
              <w:spacing w:after="0" w:line="240" w:lineRule="auto"/>
              <w:rPr>
                <w:sz w:val="20"/>
                <w:szCs w:val="20"/>
                <w:highlight w:val="yellow"/>
                <w:lang w:eastAsia="sk-SK"/>
              </w:rPr>
            </w:pPr>
          </w:p>
        </w:tc>
      </w:tr>
      <w:tr w:rsidR="00BB4B6F" w:rsidRPr="00DF0EC5" w14:paraId="23CA757B" w14:textId="77777777" w:rsidTr="005406D6">
        <w:trPr>
          <w:trHeight w:val="685"/>
        </w:trPr>
        <w:tc>
          <w:tcPr>
            <w:tcW w:w="9418" w:type="dxa"/>
            <w:vMerge/>
            <w:tcBorders>
              <w:top w:val="nil"/>
              <w:left w:val="nil"/>
              <w:bottom w:val="single" w:sz="4" w:space="0" w:color="auto"/>
              <w:right w:val="nil"/>
            </w:tcBorders>
            <w:vAlign w:val="center"/>
            <w:hideMark/>
          </w:tcPr>
          <w:p w14:paraId="5C8CE217" w14:textId="77777777" w:rsidR="00D22E0C" w:rsidRPr="00DF0EC5" w:rsidRDefault="00D22E0C" w:rsidP="00DC6F21">
            <w:pPr>
              <w:spacing w:after="0" w:line="240" w:lineRule="auto"/>
              <w:rPr>
                <w:sz w:val="20"/>
                <w:szCs w:val="20"/>
                <w:highlight w:val="yellow"/>
                <w:lang w:eastAsia="sk-SK"/>
              </w:rPr>
            </w:pPr>
          </w:p>
        </w:tc>
      </w:tr>
      <w:tr w:rsidR="00BB4B6F" w:rsidRPr="00DF0EC5" w14:paraId="769C15D3" w14:textId="77777777" w:rsidTr="005406D6">
        <w:trPr>
          <w:trHeight w:val="685"/>
        </w:trPr>
        <w:tc>
          <w:tcPr>
            <w:tcW w:w="9418" w:type="dxa"/>
            <w:vMerge/>
            <w:tcBorders>
              <w:top w:val="nil"/>
              <w:left w:val="nil"/>
              <w:bottom w:val="single" w:sz="4" w:space="0" w:color="auto"/>
              <w:right w:val="nil"/>
            </w:tcBorders>
            <w:vAlign w:val="center"/>
            <w:hideMark/>
          </w:tcPr>
          <w:p w14:paraId="2909C375" w14:textId="77777777" w:rsidR="00D22E0C" w:rsidRPr="00DF0EC5" w:rsidRDefault="00D22E0C" w:rsidP="00DC6F21">
            <w:pPr>
              <w:spacing w:after="0" w:line="240" w:lineRule="auto"/>
              <w:rPr>
                <w:sz w:val="20"/>
                <w:szCs w:val="20"/>
                <w:highlight w:val="yellow"/>
                <w:lang w:eastAsia="sk-SK"/>
              </w:rPr>
            </w:pPr>
          </w:p>
        </w:tc>
      </w:tr>
    </w:tbl>
    <w:p w14:paraId="7C516199" w14:textId="77777777" w:rsidR="00D22E0C" w:rsidRPr="00B82252" w:rsidRDefault="00D22E0C" w:rsidP="00D22E0C">
      <w:pPr>
        <w:autoSpaceDE w:val="0"/>
        <w:autoSpaceDN w:val="0"/>
        <w:adjustRightInd w:val="0"/>
        <w:spacing w:after="0" w:line="240" w:lineRule="auto"/>
        <w:ind w:left="5664" w:right="140"/>
        <w:jc w:val="right"/>
        <w:rPr>
          <w:sz w:val="18"/>
          <w:szCs w:val="18"/>
        </w:rPr>
      </w:pPr>
      <w:r w:rsidRPr="00B82252">
        <w:rPr>
          <w:sz w:val="18"/>
          <w:szCs w:val="18"/>
        </w:rPr>
        <w:t xml:space="preserve">Zdroj: </w:t>
      </w:r>
      <w:proofErr w:type="spellStart"/>
      <w:r w:rsidRPr="00B82252">
        <w:rPr>
          <w:sz w:val="18"/>
          <w:szCs w:val="18"/>
        </w:rPr>
        <w:t>Bloomberg</w:t>
      </w:r>
      <w:proofErr w:type="spellEnd"/>
    </w:p>
    <w:p w14:paraId="2745F61F" w14:textId="350468DE" w:rsidR="00AD6AC1" w:rsidRPr="00B82252" w:rsidRDefault="00AD6AC1" w:rsidP="00552C67">
      <w:pPr>
        <w:pStyle w:val="Nadpis3"/>
        <w:numPr>
          <w:ilvl w:val="2"/>
          <w:numId w:val="17"/>
        </w:numPr>
        <w:spacing w:before="120"/>
      </w:pPr>
      <w:bookmarkStart w:id="36" w:name="_Toc148704474"/>
      <w:r w:rsidRPr="00B82252">
        <w:t>Vyhodnotenie plnenia cieľov stratégie riadenia štátneho dlhu</w:t>
      </w:r>
      <w:bookmarkEnd w:id="36"/>
    </w:p>
    <w:p w14:paraId="4AC81056" w14:textId="77777777" w:rsidR="00B82252" w:rsidRDefault="00B82252" w:rsidP="00B82252">
      <w:pPr>
        <w:spacing w:after="120" w:line="240" w:lineRule="auto"/>
        <w:jc w:val="both"/>
        <w:rPr>
          <w:szCs w:val="22"/>
        </w:rPr>
      </w:pPr>
      <w:r>
        <w:rPr>
          <w:szCs w:val="22"/>
        </w:rPr>
        <w:t>V rámci stratégie riadenia štátneho dlhu sú stanovené kvantitatívne limity pre refinančné a úrokové riziko. Cieľom riadenia dlhu je dosiahnutie tesného priblíženia sa k stanoveným hodnotám, resp. udržanie parametrov dlhu čo najbližšie k stanoveným hodnotám.</w:t>
      </w:r>
    </w:p>
    <w:p w14:paraId="7827A056" w14:textId="7E316D19" w:rsidR="00B82252" w:rsidRDefault="00B82252" w:rsidP="00B82252">
      <w:pPr>
        <w:pStyle w:val="Odsekzoznamu"/>
        <w:numPr>
          <w:ilvl w:val="0"/>
          <w:numId w:val="1"/>
        </w:numPr>
        <w:spacing w:after="120"/>
        <w:ind w:left="360"/>
        <w:jc w:val="both"/>
        <w:rPr>
          <w:rFonts w:cs="Times New Roman"/>
          <w:color w:val="000000" w:themeColor="text1"/>
        </w:rPr>
      </w:pPr>
      <w:r>
        <w:rPr>
          <w:rFonts w:cs="Times New Roman"/>
          <w:color w:val="000000" w:themeColor="text1"/>
        </w:rPr>
        <w:t xml:space="preserve">Hodnota </w:t>
      </w:r>
      <w:r>
        <w:rPr>
          <w:rFonts w:cs="Times New Roman"/>
          <w:b/>
          <w:color w:val="000000" w:themeColor="text1"/>
        </w:rPr>
        <w:t>refinančného rizika</w:t>
      </w:r>
      <w:r>
        <w:rPr>
          <w:rFonts w:cs="Times New Roman"/>
          <w:color w:val="000000" w:themeColor="text1"/>
        </w:rPr>
        <w:t xml:space="preserve"> kumulatívnej splatnosti aktív a pasív do jedného roka bola stanovená na úrovni 20 % kumulatívnej splatnosti aktív a pasív splatných </w:t>
      </w:r>
      <w:r>
        <w:rPr>
          <w:rFonts w:cs="Times New Roman"/>
          <w:b/>
          <w:color w:val="000000" w:themeColor="text1"/>
        </w:rPr>
        <w:t>do jedného roka</w:t>
      </w:r>
      <w:r>
        <w:rPr>
          <w:rFonts w:cs="Times New Roman"/>
          <w:color w:val="000000" w:themeColor="text1"/>
        </w:rPr>
        <w:t xml:space="preserve"> ku celkovému kumulatívnemu saldu aktív a pasív. Hodnota tohto kritéria ku koncu roka 2022 medziročne narástla z hodnoty 12,4</w:t>
      </w:r>
      <w:r w:rsidR="007E4794">
        <w:rPr>
          <w:rFonts w:cs="Times New Roman"/>
          <w:color w:val="000000" w:themeColor="text1"/>
        </w:rPr>
        <w:t xml:space="preserve"> </w:t>
      </w:r>
      <w:r>
        <w:rPr>
          <w:rFonts w:cs="Times New Roman"/>
          <w:color w:val="000000" w:themeColor="text1"/>
        </w:rPr>
        <w:t xml:space="preserve">% vykázanej ku koncu roka 2021 na úroveň 18,1 %. Hodnota refinančného rizika kumulatívnej splatnosti aktív a pasív </w:t>
      </w:r>
      <w:r>
        <w:rPr>
          <w:rFonts w:cs="Times New Roman"/>
          <w:b/>
          <w:color w:val="000000" w:themeColor="text1"/>
        </w:rPr>
        <w:t>do piatich rokov</w:t>
      </w:r>
      <w:r>
        <w:rPr>
          <w:rFonts w:cs="Times New Roman"/>
          <w:color w:val="000000" w:themeColor="text1"/>
        </w:rPr>
        <w:t xml:space="preserve"> bola stanovená na úrovni 55 % kumulatívnej splatnosti aktív a pasív splatných do piatich rokov ku celkovému kumulatívnemu saldu aktív a pasív. Hodnota tohto kritéria bola približne 46,0 % na konci roka 2022. V porovnaní s rovnakým obdobím minulého roka došlo k nárastu z hodnoty 41,8 %. </w:t>
      </w:r>
    </w:p>
    <w:p w14:paraId="233EEF11" w14:textId="77777777" w:rsidR="00B82252" w:rsidRDefault="00B82252" w:rsidP="00B82252">
      <w:pPr>
        <w:pStyle w:val="Odsekzoznamu"/>
        <w:numPr>
          <w:ilvl w:val="0"/>
          <w:numId w:val="1"/>
        </w:numPr>
        <w:spacing w:after="120"/>
        <w:ind w:left="360"/>
        <w:jc w:val="both"/>
        <w:rPr>
          <w:rFonts w:cs="Times New Roman"/>
          <w:color w:val="C0504D" w:themeColor="accent2"/>
        </w:rPr>
      </w:pPr>
      <w:r>
        <w:rPr>
          <w:rFonts w:cs="Times New Roman"/>
          <w:color w:val="000000" w:themeColor="text1"/>
        </w:rPr>
        <w:t xml:space="preserve">Hodnota </w:t>
      </w:r>
      <w:r>
        <w:rPr>
          <w:rFonts w:cs="Times New Roman"/>
          <w:b/>
          <w:color w:val="000000" w:themeColor="text1"/>
        </w:rPr>
        <w:t>úrokového rizika</w:t>
      </w:r>
      <w:r>
        <w:rPr>
          <w:rFonts w:cs="Times New Roman"/>
          <w:color w:val="000000" w:themeColor="text1"/>
        </w:rPr>
        <w:t xml:space="preserve"> kumulatívnej </w:t>
      </w:r>
      <w:proofErr w:type="spellStart"/>
      <w:r>
        <w:rPr>
          <w:rFonts w:cs="Times New Roman"/>
          <w:color w:val="000000" w:themeColor="text1"/>
        </w:rPr>
        <w:t>refixácie</w:t>
      </w:r>
      <w:proofErr w:type="spellEnd"/>
      <w:r>
        <w:rPr>
          <w:rFonts w:cs="Times New Roman"/>
          <w:color w:val="000000" w:themeColor="text1"/>
        </w:rPr>
        <w:t xml:space="preserve"> aktív a pasív </w:t>
      </w:r>
      <w:r>
        <w:rPr>
          <w:rFonts w:cs="Times New Roman"/>
          <w:b/>
          <w:color w:val="000000" w:themeColor="text1"/>
        </w:rPr>
        <w:t>do jedného roka</w:t>
      </w:r>
      <w:r>
        <w:rPr>
          <w:rFonts w:cs="Times New Roman"/>
          <w:color w:val="000000" w:themeColor="text1"/>
        </w:rPr>
        <w:t xml:space="preserve"> bola stanovená na úrovni 25 % kumulatívnej splatnosti aktív a pasív </w:t>
      </w:r>
      <w:proofErr w:type="spellStart"/>
      <w:r>
        <w:rPr>
          <w:rFonts w:cs="Times New Roman"/>
          <w:color w:val="000000" w:themeColor="text1"/>
        </w:rPr>
        <w:t>refixovaných</w:t>
      </w:r>
      <w:proofErr w:type="spellEnd"/>
      <w:r>
        <w:rPr>
          <w:rFonts w:cs="Times New Roman"/>
          <w:color w:val="000000" w:themeColor="text1"/>
        </w:rPr>
        <w:t xml:space="preserve"> do jedného roka ku celkovému kumulatívnemu saldu aktív a pasív. Hodnota tohto kritéria bola na úrovni 18,1 % ku koncu roka 2022 (12,4 % ku koncu roka 2021). Hodnota úrokového rizika kumulatívnej </w:t>
      </w:r>
      <w:proofErr w:type="spellStart"/>
      <w:r>
        <w:rPr>
          <w:rFonts w:cs="Times New Roman"/>
          <w:color w:val="000000" w:themeColor="text1"/>
        </w:rPr>
        <w:t>refixácie</w:t>
      </w:r>
      <w:proofErr w:type="spellEnd"/>
      <w:r>
        <w:rPr>
          <w:rFonts w:cs="Times New Roman"/>
          <w:color w:val="000000" w:themeColor="text1"/>
        </w:rPr>
        <w:t xml:space="preserve"> aktív a pasív </w:t>
      </w:r>
      <w:r>
        <w:rPr>
          <w:rFonts w:cs="Times New Roman"/>
          <w:b/>
          <w:color w:val="000000" w:themeColor="text1"/>
        </w:rPr>
        <w:t>do piatich rokov</w:t>
      </w:r>
      <w:r>
        <w:rPr>
          <w:rFonts w:cs="Times New Roman"/>
          <w:color w:val="000000" w:themeColor="text1"/>
        </w:rPr>
        <w:t xml:space="preserve"> bola stanovená na úrovni 55 % kumulatívnej splatnosti aktív a pasív </w:t>
      </w:r>
      <w:proofErr w:type="spellStart"/>
      <w:r>
        <w:rPr>
          <w:rFonts w:cs="Times New Roman"/>
          <w:color w:val="000000" w:themeColor="text1"/>
        </w:rPr>
        <w:t>refixovaných</w:t>
      </w:r>
      <w:proofErr w:type="spellEnd"/>
      <w:r>
        <w:rPr>
          <w:rFonts w:cs="Times New Roman"/>
          <w:color w:val="000000" w:themeColor="text1"/>
        </w:rPr>
        <w:t xml:space="preserve"> do piatich rokov ku celkovému kumulatívnemu saldu aktív a pasív. Hodnota tohto kritéria bola na úrovni 46,0 % ku koncu roka 2022 (41,8 % ku koncu roka 2021).</w:t>
      </w:r>
    </w:p>
    <w:p w14:paraId="40662156" w14:textId="450A18B7" w:rsidR="00B82252" w:rsidRDefault="00B82252" w:rsidP="00B82252">
      <w:pPr>
        <w:pStyle w:val="Odsekzoznamu"/>
        <w:numPr>
          <w:ilvl w:val="0"/>
          <w:numId w:val="1"/>
        </w:numPr>
        <w:spacing w:after="120"/>
        <w:ind w:left="360"/>
        <w:jc w:val="both"/>
        <w:rPr>
          <w:rFonts w:cs="Times New Roman"/>
        </w:rPr>
      </w:pPr>
      <w:r>
        <w:rPr>
          <w:rFonts w:cs="Times New Roman"/>
        </w:rPr>
        <w:lastRenderedPageBreak/>
        <w:t>V roku 2022 bola otvorená jedna nová línia dlhopisov so splatnosťou 10 rokov. Dlhopis so splatnosťou v roku 2032 bol predaný prostredníctvom syndikátu vybraných primárnych dealerov s kupónovým výnosom 4,000</w:t>
      </w:r>
      <w:r w:rsidR="007E4794">
        <w:rPr>
          <w:rFonts w:cs="Times New Roman"/>
        </w:rPr>
        <w:t xml:space="preserve"> </w:t>
      </w:r>
      <w:r>
        <w:rPr>
          <w:rFonts w:cs="Times New Roman"/>
        </w:rPr>
        <w:t>% v menovitej hodnote 1,0 mld. euro a tiež bol predávaný formou aukčného predaja.</w:t>
      </w:r>
    </w:p>
    <w:p w14:paraId="2919C8FE" w14:textId="77777777" w:rsidR="00B82252" w:rsidRPr="00B82252" w:rsidRDefault="00B82252" w:rsidP="00B82252">
      <w:pPr>
        <w:pStyle w:val="Odsekzoznamu"/>
        <w:numPr>
          <w:ilvl w:val="0"/>
          <w:numId w:val="1"/>
        </w:numPr>
        <w:spacing w:after="120"/>
        <w:ind w:left="360"/>
        <w:jc w:val="both"/>
        <w:rPr>
          <w:rFonts w:cs="Times New Roman"/>
        </w:rPr>
      </w:pPr>
      <w:r>
        <w:rPr>
          <w:rFonts w:cs="Times New Roman"/>
        </w:rPr>
        <w:t xml:space="preserve"> K 31.12.2022 malo MF SR „živých“ celkovo 29 emisií (z toho 4 emisie registrované v zahraničí). Okrem meny EUR boli k </w:t>
      </w:r>
      <w:proofErr w:type="spellStart"/>
      <w:r>
        <w:rPr>
          <w:rFonts w:cs="Times New Roman"/>
        </w:rPr>
        <w:t>ultimu</w:t>
      </w:r>
      <w:proofErr w:type="spellEnd"/>
      <w:r>
        <w:rPr>
          <w:rFonts w:cs="Times New Roman"/>
        </w:rPr>
        <w:t xml:space="preserve"> roka 2022 emitované slovenské štátne dlhopisy aj v menách CHF a </w:t>
      </w:r>
      <w:r w:rsidRPr="00B82252">
        <w:rPr>
          <w:rFonts w:cs="Times New Roman"/>
        </w:rPr>
        <w:t>NOK.</w:t>
      </w:r>
    </w:p>
    <w:p w14:paraId="2C1A3291" w14:textId="0ABD96DF" w:rsidR="007A47DD" w:rsidRPr="00B82252" w:rsidRDefault="007A47DD" w:rsidP="00552C67">
      <w:pPr>
        <w:pStyle w:val="Nadpis3"/>
        <w:numPr>
          <w:ilvl w:val="2"/>
          <w:numId w:val="17"/>
        </w:numPr>
        <w:spacing w:before="120"/>
      </w:pPr>
      <w:bookmarkStart w:id="37" w:name="_Toc148704475"/>
      <w:r w:rsidRPr="00B82252">
        <w:t>Riadenie štátneho dlhu v roku 20</w:t>
      </w:r>
      <w:r w:rsidR="00024B0D" w:rsidRPr="00B82252">
        <w:t>2</w:t>
      </w:r>
      <w:r w:rsidR="00B82252" w:rsidRPr="00B82252">
        <w:t>2</w:t>
      </w:r>
      <w:bookmarkEnd w:id="37"/>
    </w:p>
    <w:p w14:paraId="0FE52111" w14:textId="1AA1D60D" w:rsidR="00B82252" w:rsidRPr="00B82252" w:rsidRDefault="00B82252" w:rsidP="005406D6">
      <w:pPr>
        <w:spacing w:before="120" w:after="120" w:line="240" w:lineRule="auto"/>
        <w:jc w:val="both"/>
      </w:pPr>
      <w:bookmarkStart w:id="38" w:name="_Toc401920023"/>
      <w:bookmarkStart w:id="39" w:name="_Toc465255024"/>
      <w:bookmarkStart w:id="40" w:name="_Toc495990492"/>
      <w:r w:rsidRPr="00B82252">
        <w:t>Agentúra pre riadene dlhu a likvidity emitovala v mene MF SR v roku 2022 dlhopisy v celkovej hodnote 5 215 200 tis. eur, pričom vydala dlhopisy denominované len v mene EUR s fixnou úrokovou sadzbou s priemernou splatnosťou 12,0 rok</w:t>
      </w:r>
      <w:r w:rsidR="007E4794">
        <w:t>ov</w:t>
      </w:r>
      <w:r w:rsidRPr="00B82252">
        <w:t>. V roku 2022 neboli vydané žiadne štátne pokladničné poukážky.</w:t>
      </w:r>
      <w:r w:rsidRPr="00B82252">
        <w:rPr>
          <w:color w:val="FF0000"/>
        </w:rPr>
        <w:t xml:space="preserve"> </w:t>
      </w:r>
      <w:r w:rsidRPr="00B82252">
        <w:t>Okrem cenných papierov boli na krytie dlhu prijaté úvery v nominálnej hodnote 100 000 tis. eur s priemernou váženou úrokovou sadzbou 1,207</w:t>
      </w:r>
      <w:r w:rsidR="007E4794">
        <w:t xml:space="preserve"> </w:t>
      </w:r>
      <w:r w:rsidRPr="00B82252">
        <w:t>% a s priemernou váženou splatnosťou 16,0 rokov.</w:t>
      </w:r>
    </w:p>
    <w:p w14:paraId="77E4A3AB" w14:textId="07F4071D" w:rsidR="007E2555" w:rsidRPr="00B82252" w:rsidRDefault="00B82252" w:rsidP="005406D6">
      <w:pPr>
        <w:spacing w:before="120" w:after="120" w:line="240" w:lineRule="auto"/>
        <w:jc w:val="both"/>
      </w:pPr>
      <w:r w:rsidRPr="00B82252">
        <w:t xml:space="preserve">Nasledujúca tabuľka prezentuje základné kvantitatívne parametre riadenia štátneho dlhu v roku 2022. Štruktúra tabuľky obsahuje priemernú úrokovú sadzbu a splatnosť pri novom vydanom (emitovanom) dlhu. </w:t>
      </w:r>
    </w:p>
    <w:tbl>
      <w:tblPr>
        <w:tblW w:w="9142" w:type="dxa"/>
        <w:tblCellMar>
          <w:left w:w="70" w:type="dxa"/>
          <w:right w:w="70" w:type="dxa"/>
        </w:tblCellMar>
        <w:tblLook w:val="04A0" w:firstRow="1" w:lastRow="0" w:firstColumn="1" w:lastColumn="0" w:noHBand="0" w:noVBand="1"/>
      </w:tblPr>
      <w:tblGrid>
        <w:gridCol w:w="2977"/>
        <w:gridCol w:w="1276"/>
        <w:gridCol w:w="1821"/>
        <w:gridCol w:w="1702"/>
        <w:gridCol w:w="1366"/>
      </w:tblGrid>
      <w:tr w:rsidR="00BB4B6F" w:rsidRPr="00B82252" w14:paraId="31CA138A" w14:textId="77777777" w:rsidTr="002025FA">
        <w:trPr>
          <w:trHeight w:val="284"/>
        </w:trPr>
        <w:tc>
          <w:tcPr>
            <w:tcW w:w="0" w:type="auto"/>
            <w:gridSpan w:val="5"/>
            <w:tcBorders>
              <w:top w:val="nil"/>
              <w:left w:val="nil"/>
              <w:bottom w:val="single" w:sz="4" w:space="0" w:color="auto"/>
              <w:right w:val="nil"/>
            </w:tcBorders>
            <w:shd w:val="clear" w:color="auto" w:fill="auto"/>
            <w:noWrap/>
            <w:vAlign w:val="center"/>
            <w:hideMark/>
          </w:tcPr>
          <w:p w14:paraId="4689DC02" w14:textId="5C118AFF" w:rsidR="00211725" w:rsidRPr="000B1F5C" w:rsidRDefault="00211725" w:rsidP="00B82252">
            <w:pPr>
              <w:spacing w:after="0" w:line="240" w:lineRule="auto"/>
              <w:rPr>
                <w:b/>
                <w:bCs/>
                <w:color w:val="4F81BD" w:themeColor="accent1"/>
                <w:sz w:val="20"/>
                <w:szCs w:val="20"/>
                <w:lang w:eastAsia="sk-SK"/>
              </w:rPr>
            </w:pPr>
            <w:r w:rsidRPr="000B1F5C">
              <w:rPr>
                <w:b/>
                <w:bCs/>
                <w:color w:val="4F81BD" w:themeColor="accent1"/>
                <w:sz w:val="20"/>
                <w:szCs w:val="20"/>
                <w:lang w:eastAsia="sk-SK"/>
              </w:rPr>
              <w:t>Tabuľka 1</w:t>
            </w:r>
            <w:r w:rsidR="00CB776D" w:rsidRPr="000B1F5C">
              <w:rPr>
                <w:b/>
                <w:bCs/>
                <w:color w:val="4F81BD" w:themeColor="accent1"/>
                <w:sz w:val="20"/>
                <w:szCs w:val="20"/>
                <w:lang w:eastAsia="sk-SK"/>
              </w:rPr>
              <w:t>4</w:t>
            </w:r>
            <w:r w:rsidRPr="000B1F5C">
              <w:rPr>
                <w:b/>
                <w:bCs/>
                <w:color w:val="4F81BD" w:themeColor="accent1"/>
                <w:sz w:val="20"/>
                <w:szCs w:val="20"/>
                <w:lang w:eastAsia="sk-SK"/>
              </w:rPr>
              <w:t xml:space="preserve"> </w:t>
            </w:r>
            <w:r w:rsidRPr="000B1F5C">
              <w:rPr>
                <w:bCs/>
                <w:color w:val="4F81BD" w:themeColor="accent1"/>
                <w:sz w:val="20"/>
                <w:szCs w:val="20"/>
                <w:lang w:eastAsia="sk-SK"/>
              </w:rPr>
              <w:t>-</w:t>
            </w:r>
            <w:r w:rsidRPr="000B1F5C">
              <w:rPr>
                <w:b/>
                <w:bCs/>
                <w:color w:val="4F81BD" w:themeColor="accent1"/>
                <w:sz w:val="20"/>
                <w:szCs w:val="20"/>
                <w:lang w:eastAsia="sk-SK"/>
              </w:rPr>
              <w:t xml:space="preserve"> </w:t>
            </w:r>
            <w:r w:rsidRPr="000B1F5C">
              <w:rPr>
                <w:b/>
                <w:bCs/>
                <w:color w:val="4F81BD" w:themeColor="accent1"/>
                <w:sz w:val="20"/>
                <w:szCs w:val="20"/>
                <w:lang w:eastAsia="en-GB"/>
              </w:rPr>
              <w:t>Štátny dlh realizovaný v roku 202</w:t>
            </w:r>
            <w:r w:rsidR="00B82252" w:rsidRPr="000B1F5C">
              <w:rPr>
                <w:b/>
                <w:bCs/>
                <w:color w:val="4F81BD" w:themeColor="accent1"/>
                <w:sz w:val="20"/>
                <w:szCs w:val="20"/>
                <w:lang w:eastAsia="en-GB"/>
              </w:rPr>
              <w:t>2</w:t>
            </w:r>
            <w:r w:rsidRPr="000B1F5C">
              <w:rPr>
                <w:b/>
                <w:bCs/>
                <w:color w:val="4F81BD" w:themeColor="accent1"/>
                <w:sz w:val="20"/>
                <w:szCs w:val="20"/>
                <w:lang w:eastAsia="en-GB"/>
              </w:rPr>
              <w:t xml:space="preserve">                                                                         </w:t>
            </w:r>
            <w:r w:rsidR="002025FA">
              <w:rPr>
                <w:b/>
                <w:bCs/>
                <w:color w:val="4F81BD" w:themeColor="accent1"/>
                <w:sz w:val="20"/>
                <w:szCs w:val="20"/>
                <w:lang w:eastAsia="en-GB"/>
              </w:rPr>
              <w:t xml:space="preserve">    </w:t>
            </w:r>
            <w:r w:rsidRPr="000B1F5C">
              <w:rPr>
                <w:b/>
                <w:bCs/>
                <w:color w:val="4F81BD" w:themeColor="accent1"/>
                <w:sz w:val="20"/>
                <w:szCs w:val="20"/>
                <w:lang w:eastAsia="en-GB"/>
              </w:rPr>
              <w:t xml:space="preserve">   v tis. eur</w:t>
            </w:r>
            <w:r w:rsidRPr="000B1F5C">
              <w:rPr>
                <w:b/>
                <w:bCs/>
                <w:color w:val="4F81BD" w:themeColor="accent1"/>
                <w:sz w:val="20"/>
                <w:szCs w:val="20"/>
                <w:lang w:eastAsia="sk-SK"/>
              </w:rPr>
              <w:t> </w:t>
            </w:r>
          </w:p>
        </w:tc>
      </w:tr>
      <w:tr w:rsidR="00BB4B6F" w:rsidRPr="00B82252" w14:paraId="29076A6A" w14:textId="77777777" w:rsidTr="004F128E">
        <w:trPr>
          <w:trHeight w:val="765"/>
        </w:trPr>
        <w:tc>
          <w:tcPr>
            <w:tcW w:w="2977" w:type="dxa"/>
            <w:tcBorders>
              <w:top w:val="single" w:sz="4" w:space="0" w:color="auto"/>
              <w:left w:val="nil"/>
              <w:bottom w:val="nil"/>
              <w:right w:val="nil"/>
            </w:tcBorders>
            <w:shd w:val="clear" w:color="auto" w:fill="auto"/>
            <w:vAlign w:val="center"/>
            <w:hideMark/>
          </w:tcPr>
          <w:p w14:paraId="305C74AB" w14:textId="77777777" w:rsidR="007E2555" w:rsidRPr="00B82252" w:rsidRDefault="007E2555" w:rsidP="00DC6F21">
            <w:pPr>
              <w:spacing w:after="0" w:line="240" w:lineRule="auto"/>
              <w:jc w:val="center"/>
              <w:rPr>
                <w:b/>
                <w:sz w:val="18"/>
                <w:szCs w:val="18"/>
                <w:lang w:eastAsia="sk-SK"/>
              </w:rPr>
            </w:pPr>
            <w:r w:rsidRPr="00B82252">
              <w:rPr>
                <w:b/>
                <w:sz w:val="18"/>
                <w:szCs w:val="18"/>
                <w:lang w:eastAsia="sk-SK"/>
              </w:rPr>
              <w:t>Typ cenného papiera</w:t>
            </w:r>
          </w:p>
        </w:tc>
        <w:tc>
          <w:tcPr>
            <w:tcW w:w="1276" w:type="dxa"/>
            <w:tcBorders>
              <w:top w:val="single" w:sz="4" w:space="0" w:color="auto"/>
              <w:left w:val="nil"/>
              <w:bottom w:val="nil"/>
              <w:right w:val="nil"/>
            </w:tcBorders>
            <w:shd w:val="clear" w:color="auto" w:fill="auto"/>
            <w:vAlign w:val="center"/>
            <w:hideMark/>
          </w:tcPr>
          <w:p w14:paraId="65F48E4C" w14:textId="77777777" w:rsidR="007E2555" w:rsidRPr="00B82252" w:rsidRDefault="007E2555" w:rsidP="00DC6F21">
            <w:pPr>
              <w:spacing w:after="0" w:line="240" w:lineRule="auto"/>
              <w:jc w:val="center"/>
              <w:rPr>
                <w:b/>
                <w:sz w:val="18"/>
                <w:szCs w:val="18"/>
                <w:lang w:eastAsia="sk-SK"/>
              </w:rPr>
            </w:pPr>
            <w:r w:rsidRPr="00B82252">
              <w:rPr>
                <w:b/>
                <w:sz w:val="18"/>
                <w:szCs w:val="18"/>
                <w:lang w:eastAsia="sk-SK"/>
              </w:rPr>
              <w:t>Nominálna hodnota</w:t>
            </w:r>
          </w:p>
        </w:tc>
        <w:tc>
          <w:tcPr>
            <w:tcW w:w="1821" w:type="dxa"/>
            <w:tcBorders>
              <w:top w:val="single" w:sz="4" w:space="0" w:color="auto"/>
              <w:left w:val="nil"/>
              <w:bottom w:val="nil"/>
              <w:right w:val="nil"/>
            </w:tcBorders>
            <w:shd w:val="clear" w:color="auto" w:fill="auto"/>
            <w:vAlign w:val="center"/>
            <w:hideMark/>
          </w:tcPr>
          <w:p w14:paraId="7203F311" w14:textId="77777777" w:rsidR="007E2555" w:rsidRPr="00B82252" w:rsidRDefault="007E2555" w:rsidP="00DC6F21">
            <w:pPr>
              <w:spacing w:after="0" w:line="240" w:lineRule="auto"/>
              <w:jc w:val="center"/>
              <w:rPr>
                <w:b/>
                <w:sz w:val="18"/>
                <w:szCs w:val="18"/>
                <w:lang w:eastAsia="sk-SK"/>
              </w:rPr>
            </w:pPr>
            <w:r w:rsidRPr="00B82252">
              <w:rPr>
                <w:b/>
                <w:sz w:val="18"/>
                <w:szCs w:val="18"/>
                <w:lang w:eastAsia="sk-SK"/>
              </w:rPr>
              <w:t xml:space="preserve">Priemerný úrok / prirážka (ŠD </w:t>
            </w:r>
            <w:proofErr w:type="spellStart"/>
            <w:r w:rsidRPr="00B82252">
              <w:rPr>
                <w:b/>
                <w:sz w:val="18"/>
                <w:szCs w:val="18"/>
                <w:lang w:eastAsia="sk-SK"/>
              </w:rPr>
              <w:t>float</w:t>
            </w:r>
            <w:proofErr w:type="spellEnd"/>
            <w:r w:rsidRPr="00B82252">
              <w:rPr>
                <w:b/>
                <w:sz w:val="18"/>
                <w:szCs w:val="18"/>
                <w:lang w:eastAsia="sk-SK"/>
              </w:rPr>
              <w:t>)</w:t>
            </w:r>
          </w:p>
        </w:tc>
        <w:tc>
          <w:tcPr>
            <w:tcW w:w="0" w:type="auto"/>
            <w:tcBorders>
              <w:top w:val="single" w:sz="4" w:space="0" w:color="auto"/>
              <w:left w:val="nil"/>
              <w:bottom w:val="nil"/>
              <w:right w:val="nil"/>
            </w:tcBorders>
            <w:shd w:val="clear" w:color="auto" w:fill="auto"/>
            <w:vAlign w:val="center"/>
            <w:hideMark/>
          </w:tcPr>
          <w:p w14:paraId="1C90BDE0" w14:textId="77777777" w:rsidR="007E2555" w:rsidRPr="00B82252" w:rsidRDefault="007E2555" w:rsidP="00DC6F21">
            <w:pPr>
              <w:spacing w:after="0" w:line="240" w:lineRule="auto"/>
              <w:jc w:val="center"/>
              <w:rPr>
                <w:b/>
                <w:sz w:val="18"/>
                <w:szCs w:val="18"/>
                <w:lang w:eastAsia="sk-SK"/>
              </w:rPr>
            </w:pPr>
            <w:r w:rsidRPr="00B82252">
              <w:rPr>
                <w:b/>
                <w:sz w:val="18"/>
                <w:szCs w:val="18"/>
                <w:lang w:eastAsia="sk-SK"/>
              </w:rPr>
              <w:t>Priemerná splatnosť (rok)</w:t>
            </w:r>
          </w:p>
        </w:tc>
        <w:tc>
          <w:tcPr>
            <w:tcW w:w="0" w:type="auto"/>
            <w:tcBorders>
              <w:top w:val="single" w:sz="4" w:space="0" w:color="auto"/>
              <w:left w:val="nil"/>
              <w:bottom w:val="nil"/>
              <w:right w:val="nil"/>
            </w:tcBorders>
            <w:shd w:val="clear" w:color="auto" w:fill="auto"/>
            <w:vAlign w:val="center"/>
            <w:hideMark/>
          </w:tcPr>
          <w:p w14:paraId="77D10706" w14:textId="77777777" w:rsidR="007E2555" w:rsidRPr="00B82252" w:rsidRDefault="007E2555" w:rsidP="00DC6F21">
            <w:pPr>
              <w:spacing w:after="0" w:line="240" w:lineRule="auto"/>
              <w:jc w:val="center"/>
              <w:rPr>
                <w:b/>
                <w:sz w:val="18"/>
                <w:szCs w:val="18"/>
                <w:lang w:eastAsia="sk-SK"/>
              </w:rPr>
            </w:pPr>
            <w:r w:rsidRPr="00B82252">
              <w:rPr>
                <w:b/>
                <w:sz w:val="18"/>
                <w:szCs w:val="18"/>
                <w:lang w:eastAsia="sk-SK"/>
              </w:rPr>
              <w:t>Typ kupónovej sadzby</w:t>
            </w:r>
          </w:p>
        </w:tc>
      </w:tr>
      <w:tr w:rsidR="00B82252" w:rsidRPr="00B82252" w14:paraId="021FDC29" w14:textId="77777777" w:rsidTr="009F18C3">
        <w:trPr>
          <w:trHeight w:val="255"/>
        </w:trPr>
        <w:tc>
          <w:tcPr>
            <w:tcW w:w="2977" w:type="dxa"/>
            <w:tcBorders>
              <w:top w:val="single" w:sz="4" w:space="0" w:color="auto"/>
              <w:left w:val="nil"/>
              <w:bottom w:val="nil"/>
              <w:right w:val="nil"/>
            </w:tcBorders>
            <w:shd w:val="clear" w:color="auto" w:fill="auto"/>
            <w:noWrap/>
            <w:vAlign w:val="bottom"/>
            <w:hideMark/>
          </w:tcPr>
          <w:p w14:paraId="1C8A3A74" w14:textId="77777777" w:rsidR="00B82252" w:rsidRPr="00B82252" w:rsidRDefault="00B82252" w:rsidP="00B82252">
            <w:pPr>
              <w:spacing w:after="0" w:line="240" w:lineRule="auto"/>
              <w:ind w:firstLineChars="100" w:firstLine="180"/>
              <w:rPr>
                <w:sz w:val="18"/>
                <w:szCs w:val="18"/>
              </w:rPr>
            </w:pPr>
            <w:r w:rsidRPr="00B82252">
              <w:rPr>
                <w:sz w:val="18"/>
                <w:szCs w:val="18"/>
              </w:rPr>
              <w:t>ŠD fix</w:t>
            </w:r>
          </w:p>
        </w:tc>
        <w:tc>
          <w:tcPr>
            <w:tcW w:w="1276" w:type="dxa"/>
            <w:tcBorders>
              <w:top w:val="single" w:sz="4" w:space="0" w:color="auto"/>
              <w:left w:val="nil"/>
              <w:bottom w:val="nil"/>
              <w:right w:val="nil"/>
            </w:tcBorders>
            <w:shd w:val="clear" w:color="auto" w:fill="auto"/>
            <w:noWrap/>
            <w:hideMark/>
          </w:tcPr>
          <w:p w14:paraId="7DF134BA" w14:textId="6E02F219" w:rsidR="00B82252" w:rsidRPr="00B82252" w:rsidRDefault="00B82252" w:rsidP="00B82252">
            <w:pPr>
              <w:spacing w:after="0" w:line="240" w:lineRule="auto"/>
              <w:jc w:val="right"/>
              <w:rPr>
                <w:sz w:val="18"/>
                <w:szCs w:val="18"/>
              </w:rPr>
            </w:pPr>
            <w:r w:rsidRPr="00B82252">
              <w:rPr>
                <w:color w:val="000000"/>
                <w:sz w:val="20"/>
                <w:szCs w:val="20"/>
              </w:rPr>
              <w:t>5 215 200</w:t>
            </w:r>
          </w:p>
        </w:tc>
        <w:tc>
          <w:tcPr>
            <w:tcW w:w="1821" w:type="dxa"/>
            <w:tcBorders>
              <w:top w:val="single" w:sz="4" w:space="0" w:color="auto"/>
              <w:left w:val="nil"/>
              <w:bottom w:val="nil"/>
              <w:right w:val="nil"/>
            </w:tcBorders>
            <w:shd w:val="clear" w:color="auto" w:fill="auto"/>
            <w:noWrap/>
            <w:vAlign w:val="center"/>
            <w:hideMark/>
          </w:tcPr>
          <w:p w14:paraId="2980B371" w14:textId="05172300" w:rsidR="00B82252" w:rsidRPr="00B82252" w:rsidRDefault="00B82252" w:rsidP="00B82252">
            <w:pPr>
              <w:spacing w:after="0" w:line="240" w:lineRule="auto"/>
              <w:jc w:val="center"/>
              <w:rPr>
                <w:b/>
                <w:sz w:val="18"/>
                <w:szCs w:val="18"/>
                <w:lang w:eastAsia="sk-SK"/>
              </w:rPr>
            </w:pPr>
            <w:r w:rsidRPr="00B82252">
              <w:rPr>
                <w:color w:val="000000"/>
                <w:sz w:val="20"/>
                <w:szCs w:val="20"/>
              </w:rPr>
              <w:t>2,47%</w:t>
            </w:r>
          </w:p>
        </w:tc>
        <w:tc>
          <w:tcPr>
            <w:tcW w:w="0" w:type="auto"/>
            <w:tcBorders>
              <w:top w:val="single" w:sz="4" w:space="0" w:color="auto"/>
              <w:left w:val="nil"/>
              <w:bottom w:val="nil"/>
              <w:right w:val="nil"/>
            </w:tcBorders>
            <w:shd w:val="clear" w:color="auto" w:fill="auto"/>
            <w:noWrap/>
            <w:vAlign w:val="center"/>
            <w:hideMark/>
          </w:tcPr>
          <w:p w14:paraId="4970B0DF" w14:textId="02CB4D6E" w:rsidR="00B82252" w:rsidRPr="00B82252" w:rsidRDefault="00B82252" w:rsidP="00B82252">
            <w:pPr>
              <w:spacing w:after="0" w:line="240" w:lineRule="auto"/>
              <w:jc w:val="center"/>
              <w:rPr>
                <w:sz w:val="18"/>
                <w:szCs w:val="18"/>
                <w:lang w:eastAsia="sk-SK"/>
              </w:rPr>
            </w:pPr>
            <w:r w:rsidRPr="00B82252">
              <w:rPr>
                <w:color w:val="000000"/>
                <w:sz w:val="20"/>
                <w:szCs w:val="20"/>
                <w:lang w:eastAsia="sk-SK"/>
              </w:rPr>
              <w:t>12,1</w:t>
            </w:r>
          </w:p>
        </w:tc>
        <w:tc>
          <w:tcPr>
            <w:tcW w:w="0" w:type="auto"/>
            <w:tcBorders>
              <w:top w:val="single" w:sz="4" w:space="0" w:color="auto"/>
              <w:left w:val="nil"/>
              <w:bottom w:val="nil"/>
              <w:right w:val="nil"/>
            </w:tcBorders>
            <w:shd w:val="clear" w:color="auto" w:fill="auto"/>
            <w:noWrap/>
            <w:vAlign w:val="center"/>
            <w:hideMark/>
          </w:tcPr>
          <w:p w14:paraId="033E250B" w14:textId="04A333F4" w:rsidR="00B82252" w:rsidRPr="00B82252" w:rsidRDefault="00B82252" w:rsidP="00B82252">
            <w:pPr>
              <w:spacing w:after="0" w:line="240" w:lineRule="auto"/>
              <w:jc w:val="center"/>
              <w:rPr>
                <w:sz w:val="18"/>
                <w:szCs w:val="18"/>
                <w:lang w:eastAsia="sk-SK"/>
              </w:rPr>
            </w:pPr>
            <w:r w:rsidRPr="00B82252">
              <w:rPr>
                <w:color w:val="000000"/>
                <w:sz w:val="20"/>
                <w:szCs w:val="20"/>
                <w:lang w:eastAsia="sk-SK"/>
              </w:rPr>
              <w:t>fixná</w:t>
            </w:r>
          </w:p>
        </w:tc>
      </w:tr>
      <w:tr w:rsidR="00B82252" w:rsidRPr="00B82252" w14:paraId="53482C4C" w14:textId="77777777" w:rsidTr="009F18C3">
        <w:trPr>
          <w:trHeight w:val="255"/>
        </w:trPr>
        <w:tc>
          <w:tcPr>
            <w:tcW w:w="2977" w:type="dxa"/>
            <w:tcBorders>
              <w:top w:val="nil"/>
              <w:left w:val="nil"/>
              <w:bottom w:val="nil"/>
              <w:right w:val="nil"/>
            </w:tcBorders>
            <w:shd w:val="clear" w:color="auto" w:fill="auto"/>
            <w:noWrap/>
            <w:vAlign w:val="bottom"/>
            <w:hideMark/>
          </w:tcPr>
          <w:p w14:paraId="1B4DB71D" w14:textId="77777777" w:rsidR="00B82252" w:rsidRPr="00B82252" w:rsidRDefault="00B82252" w:rsidP="00B82252">
            <w:pPr>
              <w:spacing w:after="0" w:line="240" w:lineRule="auto"/>
              <w:ind w:firstLineChars="100" w:firstLine="180"/>
              <w:rPr>
                <w:sz w:val="18"/>
                <w:szCs w:val="18"/>
              </w:rPr>
            </w:pPr>
            <w:r w:rsidRPr="00B82252">
              <w:rPr>
                <w:sz w:val="18"/>
                <w:szCs w:val="18"/>
              </w:rPr>
              <w:t xml:space="preserve">ŠD </w:t>
            </w:r>
            <w:proofErr w:type="spellStart"/>
            <w:r w:rsidRPr="00B82252">
              <w:rPr>
                <w:sz w:val="18"/>
                <w:szCs w:val="18"/>
              </w:rPr>
              <w:t>float</w:t>
            </w:r>
            <w:proofErr w:type="spellEnd"/>
          </w:p>
        </w:tc>
        <w:tc>
          <w:tcPr>
            <w:tcW w:w="1276" w:type="dxa"/>
            <w:tcBorders>
              <w:top w:val="nil"/>
              <w:left w:val="nil"/>
              <w:bottom w:val="nil"/>
              <w:right w:val="nil"/>
            </w:tcBorders>
            <w:shd w:val="clear" w:color="auto" w:fill="auto"/>
            <w:noWrap/>
            <w:hideMark/>
          </w:tcPr>
          <w:p w14:paraId="0F769013" w14:textId="7AFB6281" w:rsidR="00B82252" w:rsidRPr="00B82252" w:rsidRDefault="00B82252" w:rsidP="00B82252">
            <w:pPr>
              <w:spacing w:after="0" w:line="240" w:lineRule="auto"/>
              <w:jc w:val="right"/>
              <w:rPr>
                <w:sz w:val="18"/>
                <w:szCs w:val="18"/>
              </w:rPr>
            </w:pPr>
            <w:r w:rsidRPr="00B82252">
              <w:rPr>
                <w:color w:val="000000"/>
                <w:sz w:val="20"/>
                <w:szCs w:val="20"/>
              </w:rPr>
              <w:t>0</w:t>
            </w:r>
          </w:p>
        </w:tc>
        <w:tc>
          <w:tcPr>
            <w:tcW w:w="1821" w:type="dxa"/>
            <w:tcBorders>
              <w:top w:val="nil"/>
              <w:left w:val="nil"/>
              <w:bottom w:val="nil"/>
              <w:right w:val="nil"/>
            </w:tcBorders>
            <w:shd w:val="clear" w:color="auto" w:fill="auto"/>
            <w:noWrap/>
            <w:vAlign w:val="center"/>
            <w:hideMark/>
          </w:tcPr>
          <w:p w14:paraId="5281F21B" w14:textId="07F247D2"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5E31E167" w14:textId="1BA7411D"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3AA12654" w14:textId="291EE0B6" w:rsidR="00B82252" w:rsidRPr="00B82252" w:rsidRDefault="00B82252" w:rsidP="00B82252">
            <w:pPr>
              <w:spacing w:after="0" w:line="240" w:lineRule="auto"/>
              <w:jc w:val="center"/>
              <w:rPr>
                <w:sz w:val="18"/>
                <w:szCs w:val="18"/>
              </w:rPr>
            </w:pPr>
            <w:r w:rsidRPr="00B82252">
              <w:rPr>
                <w:color w:val="000000"/>
                <w:sz w:val="20"/>
                <w:szCs w:val="20"/>
              </w:rPr>
              <w:t>-</w:t>
            </w:r>
          </w:p>
        </w:tc>
      </w:tr>
      <w:tr w:rsidR="00B82252" w:rsidRPr="00B82252" w14:paraId="0B4EE9BA" w14:textId="77777777" w:rsidTr="009F18C3">
        <w:trPr>
          <w:trHeight w:val="255"/>
        </w:trPr>
        <w:tc>
          <w:tcPr>
            <w:tcW w:w="2977" w:type="dxa"/>
            <w:tcBorders>
              <w:top w:val="nil"/>
              <w:left w:val="nil"/>
              <w:bottom w:val="nil"/>
              <w:right w:val="nil"/>
            </w:tcBorders>
            <w:shd w:val="clear" w:color="auto" w:fill="auto"/>
            <w:noWrap/>
            <w:vAlign w:val="bottom"/>
            <w:hideMark/>
          </w:tcPr>
          <w:p w14:paraId="12D839E7" w14:textId="77777777" w:rsidR="00B82252" w:rsidRPr="00B82252" w:rsidRDefault="00B82252" w:rsidP="00B82252">
            <w:pPr>
              <w:spacing w:after="0" w:line="240" w:lineRule="auto"/>
              <w:ind w:firstLineChars="100" w:firstLine="180"/>
              <w:rPr>
                <w:sz w:val="18"/>
                <w:szCs w:val="18"/>
              </w:rPr>
            </w:pPr>
            <w:r w:rsidRPr="00B82252">
              <w:rPr>
                <w:sz w:val="18"/>
                <w:szCs w:val="18"/>
              </w:rPr>
              <w:t>ŠPP</w:t>
            </w:r>
          </w:p>
        </w:tc>
        <w:tc>
          <w:tcPr>
            <w:tcW w:w="1276" w:type="dxa"/>
            <w:tcBorders>
              <w:top w:val="nil"/>
              <w:left w:val="nil"/>
              <w:bottom w:val="nil"/>
              <w:right w:val="nil"/>
            </w:tcBorders>
            <w:shd w:val="clear" w:color="auto" w:fill="auto"/>
            <w:noWrap/>
            <w:hideMark/>
          </w:tcPr>
          <w:p w14:paraId="0C3201AD" w14:textId="1EEECEDB" w:rsidR="00B82252" w:rsidRPr="00B82252" w:rsidRDefault="00B82252" w:rsidP="00B82252">
            <w:pPr>
              <w:spacing w:after="0" w:line="240" w:lineRule="auto"/>
              <w:jc w:val="right"/>
              <w:rPr>
                <w:sz w:val="18"/>
                <w:szCs w:val="18"/>
              </w:rPr>
            </w:pPr>
            <w:r w:rsidRPr="00B82252">
              <w:rPr>
                <w:color w:val="000000"/>
                <w:sz w:val="20"/>
                <w:szCs w:val="20"/>
              </w:rPr>
              <w:t>0</w:t>
            </w:r>
          </w:p>
        </w:tc>
        <w:tc>
          <w:tcPr>
            <w:tcW w:w="1821" w:type="dxa"/>
            <w:tcBorders>
              <w:top w:val="nil"/>
              <w:left w:val="nil"/>
              <w:bottom w:val="nil"/>
              <w:right w:val="nil"/>
            </w:tcBorders>
            <w:shd w:val="clear" w:color="auto" w:fill="auto"/>
            <w:noWrap/>
            <w:vAlign w:val="center"/>
            <w:hideMark/>
          </w:tcPr>
          <w:p w14:paraId="75770A82" w14:textId="071BEC3D"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72DB140F" w14:textId="73DC4044"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599D86F2" w14:textId="365A8C7F" w:rsidR="00B82252" w:rsidRPr="00B82252" w:rsidRDefault="00B82252" w:rsidP="00B82252">
            <w:pPr>
              <w:spacing w:after="0" w:line="240" w:lineRule="auto"/>
              <w:jc w:val="center"/>
              <w:rPr>
                <w:sz w:val="18"/>
                <w:szCs w:val="18"/>
              </w:rPr>
            </w:pPr>
            <w:r w:rsidRPr="00B82252">
              <w:rPr>
                <w:color w:val="000000"/>
                <w:sz w:val="20"/>
                <w:szCs w:val="20"/>
              </w:rPr>
              <w:t>-</w:t>
            </w:r>
          </w:p>
        </w:tc>
      </w:tr>
      <w:tr w:rsidR="00B82252" w:rsidRPr="00B82252" w14:paraId="3555B5F8" w14:textId="77777777" w:rsidTr="009F18C3">
        <w:trPr>
          <w:trHeight w:val="255"/>
        </w:trPr>
        <w:tc>
          <w:tcPr>
            <w:tcW w:w="2977" w:type="dxa"/>
            <w:tcBorders>
              <w:top w:val="nil"/>
              <w:left w:val="nil"/>
              <w:bottom w:val="nil"/>
              <w:right w:val="nil"/>
            </w:tcBorders>
            <w:shd w:val="clear" w:color="auto" w:fill="auto"/>
            <w:noWrap/>
            <w:vAlign w:val="bottom"/>
            <w:hideMark/>
          </w:tcPr>
          <w:p w14:paraId="6D69490D" w14:textId="77777777" w:rsidR="00B82252" w:rsidRPr="00B82252" w:rsidRDefault="00B82252" w:rsidP="00B82252">
            <w:pPr>
              <w:spacing w:after="0" w:line="240" w:lineRule="auto"/>
              <w:ind w:firstLineChars="100" w:firstLine="180"/>
              <w:rPr>
                <w:sz w:val="18"/>
                <w:szCs w:val="18"/>
              </w:rPr>
            </w:pPr>
            <w:r w:rsidRPr="00B82252">
              <w:rPr>
                <w:sz w:val="18"/>
                <w:szCs w:val="18"/>
              </w:rPr>
              <w:t xml:space="preserve">Úvery </w:t>
            </w:r>
          </w:p>
        </w:tc>
        <w:tc>
          <w:tcPr>
            <w:tcW w:w="1276" w:type="dxa"/>
            <w:tcBorders>
              <w:top w:val="nil"/>
              <w:left w:val="nil"/>
              <w:bottom w:val="nil"/>
              <w:right w:val="nil"/>
            </w:tcBorders>
            <w:shd w:val="clear" w:color="auto" w:fill="auto"/>
            <w:noWrap/>
            <w:hideMark/>
          </w:tcPr>
          <w:p w14:paraId="7B2478AC" w14:textId="28FD6FE3" w:rsidR="00B82252" w:rsidRPr="00B82252" w:rsidRDefault="00B82252" w:rsidP="00B82252">
            <w:pPr>
              <w:spacing w:after="0" w:line="240" w:lineRule="auto"/>
              <w:jc w:val="right"/>
              <w:rPr>
                <w:sz w:val="18"/>
                <w:szCs w:val="18"/>
              </w:rPr>
            </w:pPr>
            <w:r w:rsidRPr="00B82252">
              <w:rPr>
                <w:sz w:val="20"/>
                <w:szCs w:val="20"/>
              </w:rPr>
              <w:t>100 000</w:t>
            </w:r>
          </w:p>
        </w:tc>
        <w:tc>
          <w:tcPr>
            <w:tcW w:w="1821" w:type="dxa"/>
            <w:tcBorders>
              <w:top w:val="nil"/>
              <w:left w:val="nil"/>
              <w:bottom w:val="nil"/>
              <w:right w:val="nil"/>
            </w:tcBorders>
            <w:shd w:val="clear" w:color="auto" w:fill="auto"/>
            <w:noWrap/>
            <w:vAlign w:val="center"/>
            <w:hideMark/>
          </w:tcPr>
          <w:p w14:paraId="41364F8D" w14:textId="0698A1D6" w:rsidR="00B82252" w:rsidRPr="00B82252" w:rsidRDefault="00B82252" w:rsidP="00B82252">
            <w:pPr>
              <w:spacing w:after="0" w:line="240" w:lineRule="auto"/>
              <w:jc w:val="center"/>
              <w:rPr>
                <w:sz w:val="18"/>
                <w:szCs w:val="18"/>
              </w:rPr>
            </w:pPr>
            <w:r w:rsidRPr="00B82252">
              <w:rPr>
                <w:sz w:val="20"/>
                <w:szCs w:val="20"/>
              </w:rPr>
              <w:t>1,21%</w:t>
            </w:r>
          </w:p>
        </w:tc>
        <w:tc>
          <w:tcPr>
            <w:tcW w:w="0" w:type="auto"/>
            <w:tcBorders>
              <w:top w:val="nil"/>
              <w:left w:val="nil"/>
              <w:bottom w:val="nil"/>
              <w:right w:val="nil"/>
            </w:tcBorders>
            <w:shd w:val="clear" w:color="auto" w:fill="auto"/>
            <w:noWrap/>
            <w:vAlign w:val="center"/>
            <w:hideMark/>
          </w:tcPr>
          <w:p w14:paraId="5B96B1CF" w14:textId="1C780270" w:rsidR="00B82252" w:rsidRPr="00B82252" w:rsidRDefault="00B82252" w:rsidP="00B82252">
            <w:pPr>
              <w:spacing w:after="0" w:line="240" w:lineRule="auto"/>
              <w:jc w:val="center"/>
              <w:rPr>
                <w:sz w:val="18"/>
                <w:szCs w:val="18"/>
              </w:rPr>
            </w:pPr>
            <w:r w:rsidRPr="00B82252">
              <w:rPr>
                <w:sz w:val="20"/>
                <w:szCs w:val="20"/>
              </w:rPr>
              <w:t>16,0</w:t>
            </w:r>
          </w:p>
        </w:tc>
        <w:tc>
          <w:tcPr>
            <w:tcW w:w="0" w:type="auto"/>
            <w:tcBorders>
              <w:top w:val="nil"/>
              <w:left w:val="nil"/>
              <w:bottom w:val="nil"/>
              <w:right w:val="nil"/>
            </w:tcBorders>
            <w:shd w:val="clear" w:color="auto" w:fill="auto"/>
            <w:noWrap/>
            <w:vAlign w:val="center"/>
            <w:hideMark/>
          </w:tcPr>
          <w:p w14:paraId="3F302705" w14:textId="4AF82BFC" w:rsidR="00B82252" w:rsidRPr="00B82252" w:rsidRDefault="00B82252" w:rsidP="00B82252">
            <w:pPr>
              <w:spacing w:after="0" w:line="240" w:lineRule="auto"/>
              <w:jc w:val="center"/>
              <w:rPr>
                <w:sz w:val="18"/>
                <w:szCs w:val="18"/>
              </w:rPr>
            </w:pPr>
            <w:r w:rsidRPr="00B82252">
              <w:rPr>
                <w:sz w:val="20"/>
                <w:szCs w:val="20"/>
              </w:rPr>
              <w:t>fixná</w:t>
            </w:r>
          </w:p>
        </w:tc>
      </w:tr>
      <w:tr w:rsidR="00B82252" w:rsidRPr="00B82252" w14:paraId="60609E60" w14:textId="77777777" w:rsidTr="009F18C3">
        <w:trPr>
          <w:trHeight w:val="255"/>
        </w:trPr>
        <w:tc>
          <w:tcPr>
            <w:tcW w:w="2977" w:type="dxa"/>
            <w:tcBorders>
              <w:top w:val="nil"/>
              <w:left w:val="nil"/>
              <w:bottom w:val="nil"/>
              <w:right w:val="nil"/>
            </w:tcBorders>
            <w:shd w:val="clear" w:color="auto" w:fill="auto"/>
            <w:noWrap/>
            <w:vAlign w:val="bottom"/>
            <w:hideMark/>
          </w:tcPr>
          <w:p w14:paraId="3432CC0D" w14:textId="77777777" w:rsidR="00B82252" w:rsidRPr="00B82252" w:rsidRDefault="00B82252" w:rsidP="00B82252">
            <w:pPr>
              <w:spacing w:after="0" w:line="240" w:lineRule="auto"/>
              <w:ind w:firstLineChars="100" w:firstLine="180"/>
              <w:rPr>
                <w:b/>
                <w:sz w:val="18"/>
                <w:szCs w:val="18"/>
              </w:rPr>
            </w:pPr>
            <w:r w:rsidRPr="00B82252">
              <w:rPr>
                <w:b/>
                <w:sz w:val="18"/>
                <w:szCs w:val="18"/>
              </w:rPr>
              <w:t>Dlh spolu</w:t>
            </w:r>
          </w:p>
        </w:tc>
        <w:tc>
          <w:tcPr>
            <w:tcW w:w="1276" w:type="dxa"/>
            <w:tcBorders>
              <w:top w:val="nil"/>
              <w:left w:val="nil"/>
              <w:bottom w:val="nil"/>
              <w:right w:val="nil"/>
            </w:tcBorders>
            <w:shd w:val="clear" w:color="auto" w:fill="auto"/>
            <w:noWrap/>
            <w:hideMark/>
          </w:tcPr>
          <w:p w14:paraId="1BCAEA36" w14:textId="295CD407" w:rsidR="00B82252" w:rsidRPr="00B82252" w:rsidRDefault="00B82252" w:rsidP="00B82252">
            <w:pPr>
              <w:spacing w:after="0" w:line="240" w:lineRule="auto"/>
              <w:ind w:firstLine="220"/>
              <w:jc w:val="right"/>
              <w:rPr>
                <w:b/>
                <w:sz w:val="18"/>
                <w:szCs w:val="18"/>
              </w:rPr>
            </w:pPr>
            <w:r w:rsidRPr="00B82252">
              <w:rPr>
                <w:b/>
                <w:color w:val="000000"/>
                <w:sz w:val="20"/>
                <w:szCs w:val="20"/>
              </w:rPr>
              <w:t>5 315 200</w:t>
            </w:r>
          </w:p>
        </w:tc>
        <w:tc>
          <w:tcPr>
            <w:tcW w:w="1821" w:type="dxa"/>
            <w:tcBorders>
              <w:top w:val="nil"/>
              <w:left w:val="nil"/>
              <w:bottom w:val="nil"/>
              <w:right w:val="nil"/>
            </w:tcBorders>
            <w:shd w:val="clear" w:color="auto" w:fill="auto"/>
            <w:noWrap/>
            <w:vAlign w:val="center"/>
            <w:hideMark/>
          </w:tcPr>
          <w:p w14:paraId="5287EB23" w14:textId="29BBD0ED" w:rsidR="00B82252" w:rsidRPr="00B82252" w:rsidRDefault="00B82252" w:rsidP="00B82252">
            <w:pPr>
              <w:spacing w:after="0" w:line="240" w:lineRule="auto"/>
              <w:jc w:val="center"/>
              <w:rPr>
                <w:sz w:val="18"/>
                <w:szCs w:val="18"/>
              </w:rPr>
            </w:pPr>
            <w:r w:rsidRPr="00B82252">
              <w:rPr>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43548F88" w14:textId="460FC7F0" w:rsidR="00B82252" w:rsidRPr="00B82252" w:rsidRDefault="00B82252" w:rsidP="00B82252">
            <w:pPr>
              <w:spacing w:after="0" w:line="240" w:lineRule="auto"/>
              <w:jc w:val="center"/>
              <w:rPr>
                <w:sz w:val="18"/>
                <w:szCs w:val="18"/>
              </w:rPr>
            </w:pPr>
            <w:r w:rsidRPr="00B82252">
              <w:rPr>
                <w:color w:val="000000"/>
                <w:sz w:val="20"/>
                <w:szCs w:val="20"/>
              </w:rPr>
              <w:t xml:space="preserve">-  </w:t>
            </w:r>
          </w:p>
        </w:tc>
        <w:tc>
          <w:tcPr>
            <w:tcW w:w="0" w:type="auto"/>
            <w:tcBorders>
              <w:top w:val="nil"/>
              <w:left w:val="nil"/>
              <w:bottom w:val="nil"/>
              <w:right w:val="nil"/>
            </w:tcBorders>
            <w:shd w:val="clear" w:color="auto" w:fill="auto"/>
            <w:noWrap/>
            <w:vAlign w:val="center"/>
            <w:hideMark/>
          </w:tcPr>
          <w:p w14:paraId="1E132AE0" w14:textId="5C54A7C2" w:rsidR="00B82252" w:rsidRPr="00B82252" w:rsidRDefault="00B82252" w:rsidP="00B82252">
            <w:pPr>
              <w:spacing w:after="0" w:line="240" w:lineRule="auto"/>
              <w:jc w:val="center"/>
              <w:rPr>
                <w:sz w:val="18"/>
                <w:szCs w:val="18"/>
              </w:rPr>
            </w:pPr>
            <w:r w:rsidRPr="00B82252">
              <w:rPr>
                <w:color w:val="000000"/>
                <w:sz w:val="20"/>
                <w:szCs w:val="20"/>
              </w:rPr>
              <w:t xml:space="preserve"> - </w:t>
            </w:r>
          </w:p>
        </w:tc>
      </w:tr>
      <w:tr w:rsidR="00B82252" w:rsidRPr="00B82252" w14:paraId="44D35450" w14:textId="77777777" w:rsidTr="009F18C3">
        <w:trPr>
          <w:trHeight w:val="255"/>
        </w:trPr>
        <w:tc>
          <w:tcPr>
            <w:tcW w:w="2977" w:type="dxa"/>
            <w:tcBorders>
              <w:top w:val="nil"/>
              <w:left w:val="nil"/>
              <w:bottom w:val="nil"/>
              <w:right w:val="nil"/>
            </w:tcBorders>
            <w:shd w:val="clear" w:color="auto" w:fill="auto"/>
            <w:noWrap/>
            <w:vAlign w:val="bottom"/>
            <w:hideMark/>
          </w:tcPr>
          <w:p w14:paraId="75A8C242" w14:textId="1980A87A" w:rsidR="00B82252" w:rsidRPr="00B82252" w:rsidRDefault="00B82252" w:rsidP="00B82252">
            <w:pPr>
              <w:spacing w:after="0" w:line="240" w:lineRule="auto"/>
              <w:ind w:firstLineChars="100" w:firstLine="180"/>
              <w:rPr>
                <w:sz w:val="18"/>
                <w:szCs w:val="18"/>
              </w:rPr>
            </w:pPr>
            <w:r w:rsidRPr="00B82252">
              <w:rPr>
                <w:sz w:val="18"/>
                <w:szCs w:val="18"/>
              </w:rPr>
              <w:t xml:space="preserve">ŠD spätný </w:t>
            </w:r>
            <w:proofErr w:type="spellStart"/>
            <w:r w:rsidRPr="00B82252">
              <w:rPr>
                <w:sz w:val="18"/>
                <w:szCs w:val="18"/>
              </w:rPr>
              <w:t>odkup</w:t>
            </w:r>
            <w:proofErr w:type="spellEnd"/>
            <w:r w:rsidRPr="00B82252">
              <w:rPr>
                <w:sz w:val="18"/>
                <w:szCs w:val="18"/>
              </w:rPr>
              <w:t xml:space="preserve"> (2022)</w:t>
            </w:r>
          </w:p>
        </w:tc>
        <w:tc>
          <w:tcPr>
            <w:tcW w:w="1276" w:type="dxa"/>
            <w:tcBorders>
              <w:top w:val="nil"/>
              <w:left w:val="nil"/>
              <w:bottom w:val="nil"/>
              <w:right w:val="nil"/>
            </w:tcBorders>
            <w:shd w:val="clear" w:color="auto" w:fill="auto"/>
            <w:noWrap/>
            <w:hideMark/>
          </w:tcPr>
          <w:p w14:paraId="663141B4" w14:textId="459F10E0" w:rsidR="00B82252" w:rsidRPr="00B82252" w:rsidRDefault="00B82252" w:rsidP="00B82252">
            <w:pPr>
              <w:spacing w:after="0" w:line="240" w:lineRule="auto"/>
              <w:jc w:val="right"/>
              <w:rPr>
                <w:sz w:val="18"/>
                <w:szCs w:val="18"/>
              </w:rPr>
            </w:pPr>
            <w:r w:rsidRPr="00B82252">
              <w:rPr>
                <w:color w:val="000000"/>
                <w:sz w:val="20"/>
                <w:szCs w:val="20"/>
              </w:rPr>
              <w:t xml:space="preserve">99 031 </w:t>
            </w:r>
          </w:p>
        </w:tc>
        <w:tc>
          <w:tcPr>
            <w:tcW w:w="1821" w:type="dxa"/>
            <w:tcBorders>
              <w:top w:val="nil"/>
              <w:left w:val="nil"/>
              <w:bottom w:val="nil"/>
              <w:right w:val="nil"/>
            </w:tcBorders>
            <w:shd w:val="clear" w:color="auto" w:fill="auto"/>
            <w:noWrap/>
            <w:vAlign w:val="center"/>
            <w:hideMark/>
          </w:tcPr>
          <w:p w14:paraId="0AB28D9B" w14:textId="28A202B6"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7EEF2668" w14:textId="68F35863"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nil"/>
              <w:right w:val="nil"/>
            </w:tcBorders>
            <w:shd w:val="clear" w:color="auto" w:fill="auto"/>
            <w:noWrap/>
            <w:vAlign w:val="center"/>
            <w:hideMark/>
          </w:tcPr>
          <w:p w14:paraId="37A15F57" w14:textId="4B97A954" w:rsidR="00B82252" w:rsidRPr="00B82252" w:rsidRDefault="00B82252" w:rsidP="00B82252">
            <w:pPr>
              <w:spacing w:after="0" w:line="240" w:lineRule="auto"/>
              <w:ind w:left="55"/>
              <w:jc w:val="center"/>
              <w:rPr>
                <w:sz w:val="18"/>
                <w:szCs w:val="18"/>
              </w:rPr>
            </w:pPr>
            <w:r w:rsidRPr="00B82252">
              <w:rPr>
                <w:color w:val="000000"/>
                <w:sz w:val="20"/>
                <w:szCs w:val="20"/>
              </w:rPr>
              <w:t>-</w:t>
            </w:r>
          </w:p>
        </w:tc>
      </w:tr>
      <w:tr w:rsidR="00B82252" w:rsidRPr="00B82252" w14:paraId="629D6296" w14:textId="77777777" w:rsidTr="009F18C3">
        <w:trPr>
          <w:trHeight w:val="255"/>
        </w:trPr>
        <w:tc>
          <w:tcPr>
            <w:tcW w:w="2977" w:type="dxa"/>
            <w:tcBorders>
              <w:top w:val="nil"/>
              <w:left w:val="nil"/>
              <w:bottom w:val="single" w:sz="4" w:space="0" w:color="auto"/>
              <w:right w:val="nil"/>
            </w:tcBorders>
            <w:shd w:val="clear" w:color="auto" w:fill="auto"/>
            <w:noWrap/>
            <w:vAlign w:val="bottom"/>
            <w:hideMark/>
          </w:tcPr>
          <w:p w14:paraId="7A565461" w14:textId="77777777" w:rsidR="00B82252" w:rsidRPr="00B82252" w:rsidRDefault="00B82252" w:rsidP="00B82252">
            <w:pPr>
              <w:spacing w:after="0" w:line="240" w:lineRule="auto"/>
              <w:ind w:firstLineChars="100" w:firstLine="180"/>
              <w:rPr>
                <w:b/>
                <w:sz w:val="18"/>
                <w:szCs w:val="18"/>
              </w:rPr>
            </w:pPr>
            <w:r w:rsidRPr="00B82252">
              <w:rPr>
                <w:b/>
                <w:sz w:val="18"/>
                <w:szCs w:val="18"/>
              </w:rPr>
              <w:t xml:space="preserve">Dlh upravený o spätný </w:t>
            </w:r>
            <w:proofErr w:type="spellStart"/>
            <w:r w:rsidRPr="00B82252">
              <w:rPr>
                <w:b/>
                <w:sz w:val="18"/>
                <w:szCs w:val="18"/>
              </w:rPr>
              <w:t>odkup</w:t>
            </w:r>
            <w:proofErr w:type="spellEnd"/>
          </w:p>
        </w:tc>
        <w:tc>
          <w:tcPr>
            <w:tcW w:w="1276" w:type="dxa"/>
            <w:tcBorders>
              <w:top w:val="nil"/>
              <w:left w:val="nil"/>
              <w:bottom w:val="single" w:sz="4" w:space="0" w:color="auto"/>
              <w:right w:val="nil"/>
            </w:tcBorders>
            <w:shd w:val="clear" w:color="auto" w:fill="auto"/>
            <w:noWrap/>
            <w:hideMark/>
          </w:tcPr>
          <w:p w14:paraId="5CF00CD7" w14:textId="2497014D" w:rsidR="00B82252" w:rsidRPr="00B82252" w:rsidRDefault="00B82252" w:rsidP="00B82252">
            <w:pPr>
              <w:spacing w:after="0" w:line="240" w:lineRule="auto"/>
              <w:ind w:firstLine="220"/>
              <w:jc w:val="right"/>
              <w:rPr>
                <w:b/>
                <w:sz w:val="18"/>
                <w:szCs w:val="18"/>
              </w:rPr>
            </w:pPr>
            <w:r w:rsidRPr="00B82252">
              <w:rPr>
                <w:b/>
                <w:color w:val="000000"/>
                <w:sz w:val="20"/>
                <w:szCs w:val="20"/>
              </w:rPr>
              <w:t>5 216 169</w:t>
            </w:r>
          </w:p>
        </w:tc>
        <w:tc>
          <w:tcPr>
            <w:tcW w:w="1821" w:type="dxa"/>
            <w:tcBorders>
              <w:top w:val="nil"/>
              <w:left w:val="nil"/>
              <w:bottom w:val="single" w:sz="4" w:space="0" w:color="auto"/>
              <w:right w:val="nil"/>
            </w:tcBorders>
            <w:shd w:val="clear" w:color="auto" w:fill="auto"/>
            <w:noWrap/>
            <w:vAlign w:val="center"/>
            <w:hideMark/>
          </w:tcPr>
          <w:p w14:paraId="00297AD6" w14:textId="015DFE6B"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14:paraId="525A1857" w14:textId="32829978" w:rsidR="00B82252" w:rsidRPr="00B82252" w:rsidRDefault="00B82252" w:rsidP="00B82252">
            <w:pPr>
              <w:spacing w:after="0" w:line="240" w:lineRule="auto"/>
              <w:jc w:val="center"/>
              <w:rPr>
                <w:sz w:val="18"/>
                <w:szCs w:val="18"/>
              </w:rPr>
            </w:pPr>
            <w:r w:rsidRPr="00B82252">
              <w:rPr>
                <w:color w:val="000000"/>
                <w:sz w:val="20"/>
                <w:szCs w:val="20"/>
              </w:rPr>
              <w:t>-</w:t>
            </w:r>
          </w:p>
        </w:tc>
        <w:tc>
          <w:tcPr>
            <w:tcW w:w="0" w:type="auto"/>
            <w:tcBorders>
              <w:top w:val="nil"/>
              <w:left w:val="nil"/>
              <w:bottom w:val="single" w:sz="4" w:space="0" w:color="auto"/>
              <w:right w:val="nil"/>
            </w:tcBorders>
            <w:shd w:val="clear" w:color="auto" w:fill="auto"/>
            <w:noWrap/>
            <w:vAlign w:val="center"/>
            <w:hideMark/>
          </w:tcPr>
          <w:p w14:paraId="6564AF13" w14:textId="4491B8DF" w:rsidR="00B82252" w:rsidRPr="00B82252" w:rsidRDefault="00B82252" w:rsidP="00B82252">
            <w:pPr>
              <w:spacing w:after="0" w:line="240" w:lineRule="auto"/>
              <w:ind w:firstLine="55"/>
              <w:jc w:val="center"/>
              <w:rPr>
                <w:sz w:val="18"/>
                <w:szCs w:val="18"/>
              </w:rPr>
            </w:pPr>
            <w:r w:rsidRPr="00B82252">
              <w:rPr>
                <w:color w:val="000000"/>
                <w:sz w:val="20"/>
                <w:szCs w:val="20"/>
              </w:rPr>
              <w:t>-</w:t>
            </w:r>
          </w:p>
        </w:tc>
      </w:tr>
    </w:tbl>
    <w:p w14:paraId="7A67E940" w14:textId="1247EEAA" w:rsidR="00F70C7E" w:rsidRPr="00B82252" w:rsidRDefault="00B82252" w:rsidP="00B82252">
      <w:pPr>
        <w:autoSpaceDE w:val="0"/>
        <w:autoSpaceDN w:val="0"/>
        <w:adjustRightInd w:val="0"/>
        <w:spacing w:after="0" w:line="240" w:lineRule="auto"/>
        <w:ind w:left="5664" w:right="140"/>
        <w:jc w:val="center"/>
        <w:rPr>
          <w:sz w:val="18"/>
          <w:szCs w:val="18"/>
        </w:rPr>
      </w:pPr>
      <w:r w:rsidRPr="00B82252">
        <w:rPr>
          <w:sz w:val="18"/>
          <w:szCs w:val="18"/>
        </w:rPr>
        <w:t xml:space="preserve">                                                        </w:t>
      </w:r>
      <w:r w:rsidR="00F70C7E" w:rsidRPr="00B82252">
        <w:rPr>
          <w:sz w:val="18"/>
          <w:szCs w:val="18"/>
        </w:rPr>
        <w:t>Zdroj: IFP</w:t>
      </w:r>
    </w:p>
    <w:p w14:paraId="2115D494" w14:textId="5DF67629" w:rsidR="00FD652C" w:rsidRDefault="00B82252" w:rsidP="00B82252">
      <w:pPr>
        <w:spacing w:before="120" w:after="120" w:line="240" w:lineRule="auto"/>
        <w:jc w:val="both"/>
      </w:pPr>
      <w:r>
        <w:t xml:space="preserve">Štruktúra prezentovaných priemerných úrokov (nákladov) a splatností zodpovedá jednotlivým druhom cenných papierov, ktoré boli v rámci svojej kategórie agregované. „ŠD fix“ označuje dlhopis s pevnou úrokovou sadzbou, „ŠD </w:t>
      </w:r>
      <w:proofErr w:type="spellStart"/>
      <w:r>
        <w:t>float</w:t>
      </w:r>
      <w:proofErr w:type="spellEnd"/>
      <w:r>
        <w:t xml:space="preserve">“ dlhopis s plávajúcou úrokovou sadzbou, kde náklad tvorí meniaca sa sadzba (6M EURIBOR) a prirážka. „ŠD spätný </w:t>
      </w:r>
      <w:proofErr w:type="spellStart"/>
      <w:r>
        <w:t>odkup</w:t>
      </w:r>
      <w:proofErr w:type="spellEnd"/>
      <w:r>
        <w:t xml:space="preserve">“ označujú predčasné umorenie štátnych dlhopisov pôvodne splatných v neskoršom období. Tieto transakcie fakticky môžu znížiť dlh ku koncu roka 2022 resp. v priebehu roka 2022. Vážená priemerná úroková sadzba všetkých dlhopisov „živých“ ku koncu roku 2022 sa zvýšila </w:t>
      </w:r>
      <w:r w:rsidRPr="00B43BF4">
        <w:t>približne o 0,01% oproti roku 2021, a to na úroveň 1,66 %.</w:t>
      </w:r>
    </w:p>
    <w:p w14:paraId="531FEE7E" w14:textId="77777777" w:rsidR="00FD652C" w:rsidRDefault="00FD652C">
      <w:r>
        <w:br w:type="page"/>
      </w:r>
    </w:p>
    <w:p w14:paraId="710AEC9B" w14:textId="37188FC9" w:rsidR="00A544B6" w:rsidRPr="00B43BF4" w:rsidRDefault="00AE09B9" w:rsidP="00DD4867">
      <w:pPr>
        <w:pStyle w:val="Nadpis1"/>
        <w:numPr>
          <w:ilvl w:val="0"/>
          <w:numId w:val="0"/>
        </w:numPr>
        <w:spacing w:before="240" w:after="240"/>
        <w:ind w:left="1491" w:hanging="1491"/>
        <w:rPr>
          <w:rFonts w:eastAsia="Times New Roman"/>
        </w:rPr>
      </w:pPr>
      <w:bookmarkStart w:id="41" w:name="_Toc148704476"/>
      <w:r w:rsidRPr="00B43BF4">
        <w:rPr>
          <w:rFonts w:eastAsia="Times New Roman"/>
        </w:rPr>
        <w:lastRenderedPageBreak/>
        <w:t xml:space="preserve">3. </w:t>
      </w:r>
      <w:r w:rsidR="00A544B6" w:rsidRPr="00B43BF4">
        <w:rPr>
          <w:rFonts w:eastAsia="Times New Roman"/>
        </w:rPr>
        <w:t>Čisté bohatstvo</w:t>
      </w:r>
      <w:bookmarkEnd w:id="35"/>
      <w:bookmarkEnd w:id="38"/>
      <w:bookmarkEnd w:id="39"/>
      <w:bookmarkEnd w:id="40"/>
      <w:bookmarkEnd w:id="41"/>
    </w:p>
    <w:p w14:paraId="7303F68A" w14:textId="77777777" w:rsidR="005406D6" w:rsidRPr="006449F0" w:rsidRDefault="005406D6" w:rsidP="005406D6">
      <w:pPr>
        <w:spacing w:after="120" w:line="240" w:lineRule="auto"/>
        <w:jc w:val="both"/>
      </w:pPr>
      <w:bookmarkStart w:id="42" w:name="_Toc399324370"/>
      <w:bookmarkStart w:id="43" w:name="_Toc401920024"/>
      <w:bookmarkStart w:id="44" w:name="_Toc465255025"/>
      <w:bookmarkStart w:id="45" w:name="_Toc495990493"/>
      <w:r w:rsidRPr="005406D6">
        <w:rPr>
          <w:rFonts w:eastAsia="Cambria"/>
        </w:rPr>
        <w:t>Prvé dve kapitoly súhrnnej výročnej správy hodnotia hospodárenie verejných financií z pohľadu sektora verejnej správy tak, ako ho definuje metodika ESA 2010. Tento pohľad je v podmienkach krajín EÚ najviac zaužívaný kvôli tomu, že európske fiškálne pravidlá</w:t>
      </w:r>
      <w:r w:rsidRPr="00BB4D2B">
        <w:rPr>
          <w:rStyle w:val="Odkaznapoznmkupodiarou"/>
        </w:rPr>
        <w:footnoteReference w:id="22"/>
      </w:r>
      <w:r w:rsidRPr="005406D6">
        <w:rPr>
          <w:rFonts w:eastAsia="Cambria"/>
        </w:rPr>
        <w:t xml:space="preserve"> sú formulované pre verejnú správu a národné rozpočty väčšiny krajín sú zostavované tiež za okruh verejnej správy a v tejto metodike.  </w:t>
      </w:r>
      <w:r w:rsidRPr="005406D6">
        <w:rPr>
          <w:rFonts w:eastAsia="Cambria"/>
          <w:b/>
        </w:rPr>
        <w:t>Koncept čistého bohatstva rozširuje pohľad na verejné financie z verejnej správy na verejný sektor</w:t>
      </w:r>
      <w:r>
        <w:rPr>
          <w:rStyle w:val="Odkaznapoznmkupodiarou"/>
          <w:rFonts w:eastAsia="Cambria"/>
        </w:rPr>
        <w:footnoteReference w:id="23"/>
      </w:r>
      <w:r w:rsidRPr="005406D6">
        <w:rPr>
          <w:rFonts w:eastAsia="Cambria"/>
          <w:b/>
        </w:rPr>
        <w:t xml:space="preserve"> </w:t>
      </w:r>
      <w:r w:rsidRPr="005406D6">
        <w:rPr>
          <w:rFonts w:eastAsia="Cambria"/>
        </w:rPr>
        <w:t>(napr. o subjekty štátu – obchodné spoločnosti, ktoré štatisticky nie sú zahrnuté do verejnej správy)</w:t>
      </w:r>
      <w:r w:rsidRPr="005406D6">
        <w:rPr>
          <w:rFonts w:eastAsia="Cambria"/>
          <w:b/>
        </w:rPr>
        <w:t>.</w:t>
      </w:r>
      <w:r w:rsidRPr="005406D6">
        <w:rPr>
          <w:rFonts w:eastAsia="Cambria"/>
        </w:rPr>
        <w:t xml:space="preserve"> Povinnosť prezentovať v súhrnnej výročnej správe čisté bohatstvo a tiež informácie o hospodárení podnikov štátnej správy vyplýva z ústavného zákona o rozpočtovej zodpovednosti, pričom </w:t>
      </w:r>
      <w:r w:rsidRPr="005406D6">
        <w:rPr>
          <w:rFonts w:eastAsia="Cambria"/>
          <w:b/>
        </w:rPr>
        <w:t xml:space="preserve">dôraz je kladený na vysvetlenie medziročných </w:t>
      </w:r>
      <w:r w:rsidRPr="006449F0">
        <w:rPr>
          <w:rFonts w:eastAsia="Cambria"/>
          <w:b/>
        </w:rPr>
        <w:t>zmien položiek čistého bohatstva.</w:t>
      </w:r>
    </w:p>
    <w:p w14:paraId="3BE3264A" w14:textId="77777777" w:rsidR="00A544B6" w:rsidRPr="006449F0" w:rsidRDefault="00AE09B9" w:rsidP="00DD4867">
      <w:pPr>
        <w:pStyle w:val="Nadpis2"/>
        <w:numPr>
          <w:ilvl w:val="1"/>
          <w:numId w:val="16"/>
        </w:numPr>
        <w:spacing w:after="120"/>
        <w:ind w:left="1378" w:hanging="357"/>
      </w:pPr>
      <w:r w:rsidRPr="006449F0">
        <w:t xml:space="preserve"> </w:t>
      </w:r>
      <w:bookmarkStart w:id="46" w:name="_Toc148704477"/>
      <w:r w:rsidR="00A544B6" w:rsidRPr="006449F0">
        <w:t>Koncept čistého bohatstva</w:t>
      </w:r>
      <w:bookmarkEnd w:id="42"/>
      <w:bookmarkEnd w:id="43"/>
      <w:bookmarkEnd w:id="44"/>
      <w:bookmarkEnd w:id="45"/>
      <w:bookmarkEnd w:id="46"/>
    </w:p>
    <w:p w14:paraId="340788C3" w14:textId="77777777" w:rsidR="005406D6" w:rsidRPr="005406D6" w:rsidRDefault="005406D6" w:rsidP="005406D6">
      <w:pPr>
        <w:spacing w:after="120" w:line="240" w:lineRule="auto"/>
        <w:jc w:val="both"/>
        <w:rPr>
          <w:rFonts w:eastAsia="Cambria"/>
          <w:i/>
        </w:rPr>
      </w:pPr>
      <w:r w:rsidRPr="005406D6">
        <w:rPr>
          <w:rFonts w:eastAsia="Cambria"/>
          <w:b/>
        </w:rPr>
        <w:t>Čisté bohatstvo</w:t>
      </w:r>
      <w:r w:rsidRPr="005406D6">
        <w:rPr>
          <w:rFonts w:eastAsia="Cambria"/>
        </w:rPr>
        <w:t xml:space="preserve"> popisuje stav hospodárenia verejného sektora ku koncu roka. </w:t>
      </w:r>
      <w:r w:rsidRPr="00BB4D2B">
        <w:t>P</w:t>
      </w:r>
      <w:r w:rsidRPr="005406D6">
        <w:rPr>
          <w:rFonts w:eastAsia="Cambria"/>
        </w:rPr>
        <w:t xml:space="preserve">odľa ústavného zákona o rozpočtovej zodpovednosti sa pod čistým bohatstvom rozumie: </w:t>
      </w:r>
      <w:r w:rsidRPr="005406D6">
        <w:rPr>
          <w:rFonts w:eastAsia="Cambria"/>
          <w:i/>
        </w:rPr>
        <w:t>súčet vlastného imania subjektov verejnej správy, vlastného imania Národnej banky Slovenska, vlastného imania podnikov štátnej správy a podnikov územnej samosprávy, upravený o implicitné záväzky, iné aktíva a iné pasíva vrátane podmienených záväzkov.</w:t>
      </w:r>
    </w:p>
    <w:p w14:paraId="20167955" w14:textId="77777777" w:rsidR="005406D6" w:rsidRPr="005406D6" w:rsidRDefault="005406D6" w:rsidP="005406D6">
      <w:pPr>
        <w:spacing w:after="120" w:line="240" w:lineRule="auto"/>
        <w:jc w:val="both"/>
      </w:pPr>
      <w:r w:rsidRPr="005406D6">
        <w:t xml:space="preserve">Čisté bohatstvo má špecifickú štruktúru, a preto je veľmi dôležitá jeho správna interpretácia. Pri veľkosti čistého bohatstva má význam analyzovať len jednotlivé zložky jeho štruktúry, ako napríklad vlastné imanie podnikov, podmienené záväzky či implicitné záväzky, pretože tie majú z ekonomického hľadiska samostatnú vypovedaciu schopnosť. Čisté bohatstvo treba vnímať ako komplex všetkých typov ukazovateľov, ktoré je podstatné sledovať z hľadiska finančnej stability a bohatstva štátu. </w:t>
      </w:r>
    </w:p>
    <w:p w14:paraId="19397937" w14:textId="77777777" w:rsidR="005406D6" w:rsidRPr="005406D6" w:rsidRDefault="005406D6" w:rsidP="005406D6">
      <w:pPr>
        <w:spacing w:after="120" w:line="240" w:lineRule="auto"/>
        <w:jc w:val="both"/>
      </w:pPr>
      <w:r w:rsidRPr="005406D6">
        <w:t xml:space="preserve">Analýza a vysvetlenie medziročných zmien zložiek čistého bohatstva poskytujú dôležité informácie o hospodárení štátu, ktoré nemusí zachytiť tradičný pohľad na saldo a dlh verejnej správy. Existujú totiž politiky a transakcie, ktoré sa z metodických dôvodov nemusia prejaviť na salde a dlhu verejnej správy, ale majú negatívny alebo naopak pozitívny vplyv na čisté bohatstvo štátu. </w:t>
      </w:r>
    </w:p>
    <w:p w14:paraId="549F25C3" w14:textId="30DCDBEF" w:rsidR="008117A9" w:rsidRPr="005406D6" w:rsidRDefault="008117A9" w:rsidP="00B43BF4">
      <w:pPr>
        <w:pStyle w:val="Nadpis2"/>
        <w:numPr>
          <w:ilvl w:val="1"/>
          <w:numId w:val="16"/>
        </w:numPr>
        <w:spacing w:after="120"/>
        <w:ind w:left="1378" w:hanging="357"/>
      </w:pPr>
      <w:bookmarkStart w:id="47" w:name="_Toc399324371"/>
      <w:bookmarkStart w:id="48" w:name="_Toc401920025"/>
      <w:bookmarkStart w:id="49" w:name="_Toc495990494"/>
      <w:bookmarkStart w:id="50" w:name="_Toc148704478"/>
      <w:r w:rsidRPr="005406D6">
        <w:t>Odhad čistého bohatstva za rok 20</w:t>
      </w:r>
      <w:bookmarkEnd w:id="47"/>
      <w:bookmarkEnd w:id="48"/>
      <w:bookmarkEnd w:id="49"/>
      <w:r w:rsidR="001E7E6F" w:rsidRPr="005406D6">
        <w:t>2</w:t>
      </w:r>
      <w:r w:rsidR="005406D6" w:rsidRPr="005406D6">
        <w:t>2</w:t>
      </w:r>
      <w:bookmarkEnd w:id="50"/>
    </w:p>
    <w:p w14:paraId="7B35CCC5" w14:textId="6A7E36A3" w:rsidR="005406D6" w:rsidRPr="005406D6" w:rsidRDefault="005406D6" w:rsidP="00FD652C">
      <w:pPr>
        <w:spacing w:after="0" w:line="240" w:lineRule="auto"/>
        <w:jc w:val="both"/>
        <w:rPr>
          <w:b/>
          <w:bCs/>
        </w:rPr>
      </w:pPr>
      <w:r w:rsidRPr="005406D6">
        <w:rPr>
          <w:b/>
        </w:rPr>
        <w:t>Odhadnutá výška čistého bohatstva Slovenskej republiky dosiahla k 31.12.2022 zápornú hodnotu</w:t>
      </w:r>
      <w:r w:rsidRPr="005406D6">
        <w:rPr>
          <w:b/>
          <w:bCs/>
        </w:rPr>
        <w:br/>
        <w:t>-42</w:t>
      </w:r>
      <w:r w:rsidR="00D20F77">
        <w:rPr>
          <w:b/>
          <w:bCs/>
        </w:rPr>
        <w:t>3 107 902</w:t>
      </w:r>
      <w:r w:rsidRPr="005406D6">
        <w:rPr>
          <w:b/>
          <w:bCs/>
        </w:rPr>
        <w:t xml:space="preserve"> tis. eur</w:t>
      </w:r>
      <w:r w:rsidRPr="005406D6">
        <w:rPr>
          <w:b/>
        </w:rPr>
        <w:t xml:space="preserve"> (-385,</w:t>
      </w:r>
      <w:r w:rsidR="00D20F77">
        <w:rPr>
          <w:b/>
        </w:rPr>
        <w:t>89</w:t>
      </w:r>
      <w:r w:rsidRPr="005406D6">
        <w:rPr>
          <w:b/>
        </w:rPr>
        <w:t> % HDP).</w:t>
      </w:r>
      <w:r w:rsidRPr="003F0F4B">
        <w:t xml:space="preserve"> Oproti predchádzajúcemu roku sa hodnota čistého bohatstva opäť </w:t>
      </w:r>
      <w:r>
        <w:t>zlepšila</w:t>
      </w:r>
      <w:r w:rsidRPr="003F0F4B">
        <w:t>, a to o</w:t>
      </w:r>
      <w:r>
        <w:t> 26</w:t>
      </w:r>
      <w:r w:rsidR="00D20F77">
        <w:t> 280 206</w:t>
      </w:r>
      <w:r w:rsidRPr="003F0F4B">
        <w:t xml:space="preserve"> tis. eur, najmä </w:t>
      </w:r>
      <w:r>
        <w:t>nižšou hodnotou</w:t>
      </w:r>
      <w:r w:rsidRPr="003F0F4B">
        <w:t xml:space="preserve"> odhadovaných implicitných záväzkov</w:t>
      </w:r>
      <w:r>
        <w:t xml:space="preserve"> súvisiacich s dôchodkovým systémom a starnutím populácie.</w:t>
      </w:r>
    </w:p>
    <w:tbl>
      <w:tblPr>
        <w:tblW w:w="5000" w:type="pct"/>
        <w:tblCellMar>
          <w:left w:w="70" w:type="dxa"/>
          <w:right w:w="70" w:type="dxa"/>
        </w:tblCellMar>
        <w:tblLook w:val="04A0" w:firstRow="1" w:lastRow="0" w:firstColumn="1" w:lastColumn="0" w:noHBand="0" w:noVBand="1"/>
      </w:tblPr>
      <w:tblGrid>
        <w:gridCol w:w="4439"/>
        <w:gridCol w:w="1177"/>
        <w:gridCol w:w="1246"/>
        <w:gridCol w:w="1194"/>
        <w:gridCol w:w="1298"/>
      </w:tblGrid>
      <w:tr w:rsidR="005406D6" w:rsidRPr="005406D6" w14:paraId="179871FC" w14:textId="77777777" w:rsidTr="005406D6">
        <w:trPr>
          <w:trHeight w:val="344"/>
        </w:trPr>
        <w:tc>
          <w:tcPr>
            <w:tcW w:w="5000" w:type="pct"/>
            <w:gridSpan w:val="5"/>
            <w:tcBorders>
              <w:left w:val="nil"/>
              <w:bottom w:val="single" w:sz="4" w:space="0" w:color="auto"/>
              <w:right w:val="nil"/>
            </w:tcBorders>
            <w:shd w:val="clear" w:color="auto" w:fill="auto"/>
            <w:hideMark/>
          </w:tcPr>
          <w:p w14:paraId="42F6F817" w14:textId="5179635C" w:rsidR="00FB260E" w:rsidRPr="005406D6" w:rsidRDefault="00211725" w:rsidP="004428C7">
            <w:pPr>
              <w:spacing w:before="120" w:after="60" w:line="240" w:lineRule="auto"/>
              <w:rPr>
                <w:rFonts w:ascii="Calibri" w:hAnsi="Calibri"/>
                <w:color w:val="4F81BD" w:themeColor="accent1"/>
                <w:sz w:val="18"/>
                <w:szCs w:val="18"/>
                <w:lang w:eastAsia="sk-SK"/>
              </w:rPr>
            </w:pPr>
            <w:bookmarkStart w:id="51" w:name="OLE_LINK1"/>
            <w:r w:rsidRPr="005406D6">
              <w:rPr>
                <w:b/>
                <w:bCs/>
                <w:color w:val="4F81BD" w:themeColor="accent1"/>
                <w:sz w:val="20"/>
                <w:szCs w:val="20"/>
                <w:lang w:eastAsia="sk-SK"/>
              </w:rPr>
              <w:t>Tabuľka 1</w:t>
            </w:r>
            <w:r w:rsidR="00CB776D" w:rsidRPr="005406D6">
              <w:rPr>
                <w:b/>
                <w:bCs/>
                <w:color w:val="4F81BD" w:themeColor="accent1"/>
                <w:sz w:val="20"/>
                <w:szCs w:val="20"/>
                <w:lang w:eastAsia="sk-SK"/>
              </w:rPr>
              <w:t>5</w:t>
            </w:r>
            <w:r w:rsidRPr="005406D6">
              <w:rPr>
                <w:b/>
                <w:bCs/>
                <w:color w:val="4F81BD" w:themeColor="accent1"/>
                <w:sz w:val="20"/>
                <w:szCs w:val="20"/>
                <w:lang w:eastAsia="sk-SK"/>
              </w:rPr>
              <w:t xml:space="preserve"> </w:t>
            </w:r>
            <w:r w:rsidRPr="005406D6">
              <w:rPr>
                <w:bCs/>
                <w:color w:val="4F81BD" w:themeColor="accent1"/>
                <w:sz w:val="20"/>
                <w:szCs w:val="20"/>
                <w:lang w:eastAsia="sk-SK"/>
              </w:rPr>
              <w:t>-</w:t>
            </w:r>
            <w:r w:rsidRPr="005406D6">
              <w:rPr>
                <w:b/>
                <w:bCs/>
                <w:color w:val="4F81BD" w:themeColor="accent1"/>
                <w:sz w:val="20"/>
                <w:szCs w:val="20"/>
                <w:lang w:eastAsia="sk-SK"/>
              </w:rPr>
              <w:t xml:space="preserve"> </w:t>
            </w:r>
            <w:r w:rsidR="00093C11" w:rsidRPr="005406D6">
              <w:rPr>
                <w:b/>
                <w:bCs/>
                <w:color w:val="4F81BD" w:themeColor="accent1"/>
                <w:sz w:val="20"/>
                <w:szCs w:val="20"/>
                <w:lang w:eastAsia="sk-SK"/>
              </w:rPr>
              <w:t>Odhad č</w:t>
            </w:r>
            <w:r w:rsidR="00FB260E" w:rsidRPr="005406D6">
              <w:rPr>
                <w:b/>
                <w:bCs/>
                <w:color w:val="4F81BD" w:themeColor="accent1"/>
                <w:sz w:val="20"/>
                <w:szCs w:val="20"/>
                <w:lang w:eastAsia="sk-SK"/>
              </w:rPr>
              <w:t>isté</w:t>
            </w:r>
            <w:r w:rsidR="00093C11" w:rsidRPr="005406D6">
              <w:rPr>
                <w:b/>
                <w:bCs/>
                <w:color w:val="4F81BD" w:themeColor="accent1"/>
                <w:sz w:val="20"/>
                <w:szCs w:val="20"/>
                <w:lang w:eastAsia="sk-SK"/>
              </w:rPr>
              <w:t>ho</w:t>
            </w:r>
            <w:r w:rsidR="00FB260E" w:rsidRPr="005406D6">
              <w:rPr>
                <w:b/>
                <w:bCs/>
                <w:color w:val="4F81BD" w:themeColor="accent1"/>
                <w:sz w:val="20"/>
                <w:szCs w:val="20"/>
                <w:lang w:eastAsia="sk-SK"/>
              </w:rPr>
              <w:t xml:space="preserve"> bohatstv</w:t>
            </w:r>
            <w:r w:rsidR="00093C11" w:rsidRPr="005406D6">
              <w:rPr>
                <w:b/>
                <w:bCs/>
                <w:color w:val="4F81BD" w:themeColor="accent1"/>
                <w:sz w:val="20"/>
                <w:szCs w:val="20"/>
                <w:lang w:eastAsia="sk-SK"/>
              </w:rPr>
              <w:t>a</w:t>
            </w:r>
            <w:r w:rsidR="00FB260E" w:rsidRPr="005406D6">
              <w:rPr>
                <w:b/>
                <w:bCs/>
                <w:color w:val="4F81BD" w:themeColor="accent1"/>
                <w:sz w:val="20"/>
                <w:szCs w:val="20"/>
                <w:lang w:eastAsia="sk-SK"/>
              </w:rPr>
              <w:t xml:space="preserve"> S</w:t>
            </w:r>
            <w:r w:rsidRPr="005406D6">
              <w:rPr>
                <w:b/>
                <w:bCs/>
                <w:color w:val="4F81BD" w:themeColor="accent1"/>
                <w:sz w:val="20"/>
                <w:szCs w:val="20"/>
                <w:lang w:eastAsia="sk-SK"/>
              </w:rPr>
              <w:t xml:space="preserve">lovenskej republiky </w:t>
            </w:r>
            <w:r w:rsidR="004428C7" w:rsidRPr="005406D6">
              <w:rPr>
                <w:b/>
                <w:bCs/>
                <w:color w:val="4F81BD" w:themeColor="accent1"/>
                <w:sz w:val="20"/>
                <w:szCs w:val="20"/>
                <w:lang w:eastAsia="sk-SK"/>
              </w:rPr>
              <w:t xml:space="preserve">                                               </w:t>
            </w:r>
            <w:r w:rsidRPr="005406D6">
              <w:rPr>
                <w:b/>
                <w:bCs/>
                <w:color w:val="4F81BD" w:themeColor="accent1"/>
                <w:sz w:val="20"/>
                <w:szCs w:val="20"/>
                <w:lang w:eastAsia="sk-SK"/>
              </w:rPr>
              <w:t>v % resp. v tis. eur</w:t>
            </w:r>
            <w:r w:rsidRPr="005406D6">
              <w:rPr>
                <w:rFonts w:ascii="Calibri" w:hAnsi="Calibri"/>
                <w:color w:val="4F81BD" w:themeColor="accent1"/>
                <w:sz w:val="18"/>
                <w:szCs w:val="18"/>
                <w:lang w:eastAsia="sk-SK"/>
              </w:rPr>
              <w:t> </w:t>
            </w:r>
            <w:r w:rsidR="00FB260E" w:rsidRPr="005406D6">
              <w:rPr>
                <w:b/>
                <w:bCs/>
                <w:color w:val="4F81BD" w:themeColor="accent1"/>
                <w:sz w:val="20"/>
                <w:szCs w:val="20"/>
                <w:lang w:eastAsia="sk-SK"/>
              </w:rPr>
              <w:t xml:space="preserve">                                              </w:t>
            </w:r>
            <w:r w:rsidR="00AE3790" w:rsidRPr="005406D6">
              <w:rPr>
                <w:b/>
                <w:bCs/>
                <w:color w:val="4F81BD" w:themeColor="accent1"/>
                <w:sz w:val="20"/>
                <w:szCs w:val="20"/>
                <w:lang w:eastAsia="sk-SK"/>
              </w:rPr>
              <w:t xml:space="preserve">           </w:t>
            </w:r>
            <w:r w:rsidR="00FB260E" w:rsidRPr="005406D6">
              <w:rPr>
                <w:b/>
                <w:bCs/>
                <w:color w:val="4F81BD" w:themeColor="accent1"/>
                <w:sz w:val="20"/>
                <w:szCs w:val="20"/>
                <w:lang w:eastAsia="sk-SK"/>
              </w:rPr>
              <w:t xml:space="preserve">  </w:t>
            </w:r>
          </w:p>
        </w:tc>
      </w:tr>
      <w:tr w:rsidR="005406D6" w:rsidRPr="005406D6" w14:paraId="28018D8D" w14:textId="77777777" w:rsidTr="005406D6">
        <w:trPr>
          <w:trHeight w:val="300"/>
        </w:trPr>
        <w:tc>
          <w:tcPr>
            <w:tcW w:w="2373" w:type="pct"/>
            <w:tcBorders>
              <w:top w:val="single" w:sz="4" w:space="0" w:color="auto"/>
              <w:left w:val="nil"/>
              <w:bottom w:val="single" w:sz="4" w:space="0" w:color="auto"/>
              <w:right w:val="nil"/>
            </w:tcBorders>
            <w:shd w:val="clear" w:color="auto" w:fill="auto"/>
            <w:vAlign w:val="bottom"/>
            <w:hideMark/>
          </w:tcPr>
          <w:p w14:paraId="4E598C0A" w14:textId="77777777" w:rsidR="005406D6" w:rsidRPr="005406D6" w:rsidRDefault="005406D6" w:rsidP="005406D6">
            <w:pPr>
              <w:spacing w:after="0" w:line="240" w:lineRule="auto"/>
              <w:rPr>
                <w:b/>
                <w:bCs/>
                <w:sz w:val="18"/>
                <w:szCs w:val="18"/>
                <w:lang w:eastAsia="sk-SK"/>
              </w:rPr>
            </w:pPr>
            <w:r w:rsidRPr="005406D6">
              <w:rPr>
                <w:b/>
                <w:bCs/>
                <w:sz w:val="18"/>
                <w:szCs w:val="18"/>
                <w:lang w:eastAsia="sk-SK"/>
              </w:rPr>
              <w:t> </w:t>
            </w:r>
          </w:p>
        </w:tc>
        <w:tc>
          <w:tcPr>
            <w:tcW w:w="629" w:type="pct"/>
            <w:tcBorders>
              <w:top w:val="single" w:sz="4" w:space="0" w:color="auto"/>
              <w:left w:val="nil"/>
              <w:bottom w:val="single" w:sz="4" w:space="0" w:color="auto"/>
              <w:right w:val="nil"/>
            </w:tcBorders>
            <w:shd w:val="clear" w:color="auto" w:fill="auto"/>
            <w:vAlign w:val="bottom"/>
            <w:hideMark/>
          </w:tcPr>
          <w:p w14:paraId="5C5E3E03" w14:textId="38595744"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2020</w:t>
            </w:r>
          </w:p>
        </w:tc>
        <w:tc>
          <w:tcPr>
            <w:tcW w:w="666" w:type="pct"/>
            <w:tcBorders>
              <w:top w:val="single" w:sz="4" w:space="0" w:color="auto"/>
              <w:left w:val="nil"/>
              <w:bottom w:val="single" w:sz="4" w:space="0" w:color="auto"/>
              <w:right w:val="nil"/>
            </w:tcBorders>
            <w:shd w:val="clear" w:color="auto" w:fill="auto"/>
            <w:vAlign w:val="bottom"/>
          </w:tcPr>
          <w:p w14:paraId="267DE5E3" w14:textId="79C9FDC3"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2021</w:t>
            </w:r>
          </w:p>
        </w:tc>
        <w:tc>
          <w:tcPr>
            <w:tcW w:w="638" w:type="pct"/>
            <w:tcBorders>
              <w:top w:val="single" w:sz="4" w:space="0" w:color="auto"/>
              <w:left w:val="nil"/>
              <w:bottom w:val="single" w:sz="4" w:space="0" w:color="auto"/>
              <w:right w:val="nil"/>
            </w:tcBorders>
            <w:shd w:val="clear" w:color="auto" w:fill="auto"/>
            <w:vAlign w:val="bottom"/>
          </w:tcPr>
          <w:p w14:paraId="46E9056A" w14:textId="3D2B1520"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2022</w:t>
            </w:r>
          </w:p>
        </w:tc>
        <w:tc>
          <w:tcPr>
            <w:tcW w:w="694" w:type="pct"/>
            <w:tcBorders>
              <w:top w:val="single" w:sz="4" w:space="0" w:color="auto"/>
              <w:left w:val="nil"/>
              <w:bottom w:val="single" w:sz="4" w:space="0" w:color="auto"/>
              <w:right w:val="nil"/>
            </w:tcBorders>
            <w:shd w:val="clear" w:color="auto" w:fill="auto"/>
            <w:vAlign w:val="bottom"/>
            <w:hideMark/>
          </w:tcPr>
          <w:p w14:paraId="74818613" w14:textId="0D7FCA3F"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Δ 2022-2021</w:t>
            </w:r>
          </w:p>
        </w:tc>
      </w:tr>
      <w:tr w:rsidR="005406D6" w:rsidRPr="005406D6" w14:paraId="282AB9D1" w14:textId="77777777" w:rsidTr="005406D6">
        <w:trPr>
          <w:trHeight w:val="300"/>
        </w:trPr>
        <w:tc>
          <w:tcPr>
            <w:tcW w:w="2373" w:type="pct"/>
            <w:tcBorders>
              <w:top w:val="single" w:sz="4" w:space="0" w:color="auto"/>
              <w:left w:val="nil"/>
              <w:bottom w:val="nil"/>
              <w:right w:val="nil"/>
            </w:tcBorders>
            <w:shd w:val="clear" w:color="auto" w:fill="auto"/>
            <w:vAlign w:val="bottom"/>
            <w:hideMark/>
          </w:tcPr>
          <w:p w14:paraId="5EA01D6F" w14:textId="77777777" w:rsidR="005406D6" w:rsidRPr="005406D6" w:rsidRDefault="005406D6" w:rsidP="005406D6">
            <w:pPr>
              <w:spacing w:after="0" w:line="240" w:lineRule="auto"/>
              <w:rPr>
                <w:sz w:val="18"/>
                <w:szCs w:val="18"/>
                <w:lang w:eastAsia="sk-SK"/>
              </w:rPr>
            </w:pPr>
            <w:r w:rsidRPr="005406D6">
              <w:rPr>
                <w:sz w:val="18"/>
                <w:szCs w:val="18"/>
                <w:lang w:eastAsia="sk-SK"/>
              </w:rPr>
              <w:t>Vlastné imanie verejného sektora                               (1)</w:t>
            </w:r>
          </w:p>
        </w:tc>
        <w:tc>
          <w:tcPr>
            <w:tcW w:w="629" w:type="pct"/>
            <w:tcBorders>
              <w:top w:val="single" w:sz="4" w:space="0" w:color="auto"/>
              <w:left w:val="nil"/>
              <w:bottom w:val="nil"/>
              <w:right w:val="nil"/>
            </w:tcBorders>
            <w:shd w:val="clear" w:color="auto" w:fill="auto"/>
            <w:vAlign w:val="bottom"/>
          </w:tcPr>
          <w:p w14:paraId="3F96028B" w14:textId="614EE277" w:rsidR="005406D6" w:rsidRPr="005406D6" w:rsidRDefault="005406D6" w:rsidP="005406D6">
            <w:pPr>
              <w:spacing w:after="0" w:line="240" w:lineRule="auto"/>
              <w:jc w:val="right"/>
              <w:rPr>
                <w:sz w:val="18"/>
                <w:szCs w:val="18"/>
                <w:lang w:eastAsia="sk-SK"/>
              </w:rPr>
            </w:pPr>
            <w:r w:rsidRPr="005406D6">
              <w:rPr>
                <w:sz w:val="18"/>
                <w:szCs w:val="18"/>
                <w:lang w:eastAsia="sk-SK"/>
              </w:rPr>
              <w:t>-2 229 220</w:t>
            </w:r>
          </w:p>
        </w:tc>
        <w:tc>
          <w:tcPr>
            <w:tcW w:w="666" w:type="pct"/>
            <w:tcBorders>
              <w:top w:val="single" w:sz="4" w:space="0" w:color="auto"/>
              <w:left w:val="nil"/>
              <w:bottom w:val="nil"/>
              <w:right w:val="nil"/>
            </w:tcBorders>
            <w:shd w:val="clear" w:color="auto" w:fill="auto"/>
            <w:vAlign w:val="bottom"/>
          </w:tcPr>
          <w:p w14:paraId="78EC5274" w14:textId="4976557B" w:rsidR="005406D6" w:rsidRPr="005406D6" w:rsidRDefault="005406D6" w:rsidP="005406D6">
            <w:pPr>
              <w:spacing w:after="0" w:line="240" w:lineRule="auto"/>
              <w:jc w:val="right"/>
              <w:rPr>
                <w:sz w:val="18"/>
                <w:szCs w:val="18"/>
                <w:lang w:eastAsia="sk-SK"/>
              </w:rPr>
            </w:pPr>
            <w:r w:rsidRPr="005406D6">
              <w:rPr>
                <w:sz w:val="18"/>
                <w:szCs w:val="18"/>
                <w:lang w:eastAsia="sk-SK"/>
              </w:rPr>
              <w:t>-7 203 821</w:t>
            </w:r>
          </w:p>
        </w:tc>
        <w:tc>
          <w:tcPr>
            <w:tcW w:w="638" w:type="pct"/>
            <w:tcBorders>
              <w:top w:val="single" w:sz="4" w:space="0" w:color="auto"/>
              <w:left w:val="nil"/>
              <w:bottom w:val="nil"/>
              <w:right w:val="nil"/>
            </w:tcBorders>
            <w:shd w:val="clear" w:color="auto" w:fill="auto"/>
            <w:vAlign w:val="bottom"/>
          </w:tcPr>
          <w:p w14:paraId="1D2422AE" w14:textId="0FF48A10" w:rsidR="005406D6" w:rsidRPr="005406D6" w:rsidRDefault="005406D6" w:rsidP="005406D6">
            <w:pPr>
              <w:spacing w:after="0" w:line="240" w:lineRule="auto"/>
              <w:jc w:val="right"/>
              <w:rPr>
                <w:sz w:val="18"/>
                <w:szCs w:val="18"/>
                <w:lang w:eastAsia="sk-SK"/>
              </w:rPr>
            </w:pPr>
            <w:r w:rsidRPr="005406D6">
              <w:rPr>
                <w:sz w:val="18"/>
                <w:szCs w:val="18"/>
                <w:lang w:eastAsia="sk-SK"/>
              </w:rPr>
              <w:t>-6 449 691</w:t>
            </w:r>
          </w:p>
        </w:tc>
        <w:tc>
          <w:tcPr>
            <w:tcW w:w="694" w:type="pct"/>
            <w:tcBorders>
              <w:top w:val="single" w:sz="4" w:space="0" w:color="auto"/>
              <w:left w:val="nil"/>
              <w:bottom w:val="nil"/>
              <w:right w:val="nil"/>
            </w:tcBorders>
            <w:shd w:val="clear" w:color="auto" w:fill="auto"/>
            <w:vAlign w:val="bottom"/>
          </w:tcPr>
          <w:p w14:paraId="0E532E7A" w14:textId="33ADDD3F" w:rsidR="005406D6" w:rsidRPr="005406D6" w:rsidRDefault="005406D6" w:rsidP="005406D6">
            <w:pPr>
              <w:spacing w:after="0" w:line="240" w:lineRule="auto"/>
              <w:jc w:val="right"/>
              <w:rPr>
                <w:sz w:val="18"/>
                <w:szCs w:val="18"/>
                <w:lang w:eastAsia="sk-SK"/>
              </w:rPr>
            </w:pPr>
            <w:r w:rsidRPr="005406D6">
              <w:rPr>
                <w:sz w:val="18"/>
                <w:szCs w:val="18"/>
                <w:lang w:eastAsia="sk-SK"/>
              </w:rPr>
              <w:t>754 130</w:t>
            </w:r>
          </w:p>
        </w:tc>
      </w:tr>
      <w:tr w:rsidR="005406D6" w:rsidRPr="005406D6" w14:paraId="29223570" w14:textId="77777777" w:rsidTr="00F4601B">
        <w:trPr>
          <w:trHeight w:val="300"/>
        </w:trPr>
        <w:tc>
          <w:tcPr>
            <w:tcW w:w="2373" w:type="pct"/>
            <w:tcBorders>
              <w:top w:val="nil"/>
              <w:left w:val="nil"/>
              <w:bottom w:val="nil"/>
              <w:right w:val="nil"/>
            </w:tcBorders>
            <w:shd w:val="clear" w:color="auto" w:fill="auto"/>
            <w:vAlign w:val="bottom"/>
            <w:hideMark/>
          </w:tcPr>
          <w:p w14:paraId="0A2742F2" w14:textId="77777777" w:rsidR="005406D6" w:rsidRPr="005406D6" w:rsidRDefault="005406D6" w:rsidP="005406D6">
            <w:pPr>
              <w:spacing w:after="0" w:line="240" w:lineRule="auto"/>
              <w:ind w:firstLineChars="300" w:firstLine="540"/>
              <w:rPr>
                <w:sz w:val="18"/>
                <w:szCs w:val="18"/>
                <w:lang w:eastAsia="sk-SK"/>
              </w:rPr>
            </w:pPr>
            <w:r w:rsidRPr="005406D6">
              <w:rPr>
                <w:sz w:val="18"/>
                <w:szCs w:val="18"/>
                <w:lang w:eastAsia="sk-SK"/>
              </w:rPr>
              <w:t>VI súhrnného celku verejnej správy</w:t>
            </w:r>
          </w:p>
        </w:tc>
        <w:tc>
          <w:tcPr>
            <w:tcW w:w="629" w:type="pct"/>
            <w:tcBorders>
              <w:top w:val="nil"/>
              <w:left w:val="nil"/>
              <w:bottom w:val="nil"/>
              <w:right w:val="nil"/>
            </w:tcBorders>
            <w:shd w:val="clear" w:color="auto" w:fill="auto"/>
            <w:vAlign w:val="bottom"/>
          </w:tcPr>
          <w:p w14:paraId="1F400459" w14:textId="12456B20" w:rsidR="005406D6" w:rsidRPr="005406D6" w:rsidRDefault="005406D6" w:rsidP="005406D6">
            <w:pPr>
              <w:spacing w:after="0" w:line="240" w:lineRule="auto"/>
              <w:jc w:val="right"/>
              <w:rPr>
                <w:sz w:val="18"/>
                <w:szCs w:val="18"/>
                <w:lang w:eastAsia="sk-SK"/>
              </w:rPr>
            </w:pPr>
            <w:r w:rsidRPr="005406D6">
              <w:rPr>
                <w:sz w:val="18"/>
                <w:szCs w:val="18"/>
                <w:lang w:eastAsia="sk-SK"/>
              </w:rPr>
              <w:t>-685 177</w:t>
            </w:r>
          </w:p>
        </w:tc>
        <w:tc>
          <w:tcPr>
            <w:tcW w:w="666" w:type="pct"/>
            <w:tcBorders>
              <w:top w:val="nil"/>
              <w:left w:val="nil"/>
              <w:bottom w:val="nil"/>
              <w:right w:val="nil"/>
            </w:tcBorders>
            <w:shd w:val="clear" w:color="auto" w:fill="auto"/>
            <w:vAlign w:val="bottom"/>
          </w:tcPr>
          <w:p w14:paraId="75F39A47" w14:textId="7AA2B0A0" w:rsidR="005406D6" w:rsidRPr="005406D6" w:rsidRDefault="005406D6" w:rsidP="005406D6">
            <w:pPr>
              <w:spacing w:after="0" w:line="240" w:lineRule="auto"/>
              <w:jc w:val="right"/>
              <w:rPr>
                <w:sz w:val="18"/>
                <w:szCs w:val="18"/>
                <w:lang w:eastAsia="sk-SK"/>
              </w:rPr>
            </w:pPr>
            <w:r w:rsidRPr="005406D6">
              <w:rPr>
                <w:sz w:val="18"/>
                <w:szCs w:val="18"/>
                <w:lang w:eastAsia="sk-SK"/>
              </w:rPr>
              <w:t>-5 961 982</w:t>
            </w:r>
          </w:p>
        </w:tc>
        <w:tc>
          <w:tcPr>
            <w:tcW w:w="638" w:type="pct"/>
            <w:tcBorders>
              <w:top w:val="nil"/>
              <w:left w:val="nil"/>
              <w:bottom w:val="nil"/>
              <w:right w:val="nil"/>
            </w:tcBorders>
            <w:shd w:val="clear" w:color="auto" w:fill="auto"/>
            <w:vAlign w:val="bottom"/>
          </w:tcPr>
          <w:p w14:paraId="1D728EBB" w14:textId="2A8427F0" w:rsidR="005406D6" w:rsidRPr="005406D6" w:rsidRDefault="005406D6" w:rsidP="005406D6">
            <w:pPr>
              <w:spacing w:after="0" w:line="240" w:lineRule="auto"/>
              <w:jc w:val="right"/>
              <w:rPr>
                <w:sz w:val="18"/>
                <w:szCs w:val="18"/>
                <w:lang w:eastAsia="sk-SK"/>
              </w:rPr>
            </w:pPr>
            <w:r w:rsidRPr="005406D6">
              <w:rPr>
                <w:sz w:val="18"/>
                <w:szCs w:val="18"/>
                <w:lang w:eastAsia="sk-SK"/>
              </w:rPr>
              <w:t>-5 309 921</w:t>
            </w:r>
          </w:p>
        </w:tc>
        <w:tc>
          <w:tcPr>
            <w:tcW w:w="694" w:type="pct"/>
            <w:tcBorders>
              <w:top w:val="nil"/>
              <w:left w:val="nil"/>
              <w:bottom w:val="nil"/>
              <w:right w:val="nil"/>
            </w:tcBorders>
            <w:shd w:val="clear" w:color="auto" w:fill="auto"/>
            <w:vAlign w:val="bottom"/>
          </w:tcPr>
          <w:p w14:paraId="4EDA5601" w14:textId="41F97CC8" w:rsidR="005406D6" w:rsidRPr="005406D6" w:rsidRDefault="005406D6" w:rsidP="005406D6">
            <w:pPr>
              <w:spacing w:after="0" w:line="240" w:lineRule="auto"/>
              <w:jc w:val="right"/>
              <w:rPr>
                <w:sz w:val="18"/>
                <w:szCs w:val="18"/>
                <w:lang w:eastAsia="sk-SK"/>
              </w:rPr>
            </w:pPr>
            <w:r w:rsidRPr="005406D6">
              <w:rPr>
                <w:sz w:val="18"/>
                <w:szCs w:val="18"/>
                <w:lang w:eastAsia="sk-SK"/>
              </w:rPr>
              <w:t>652 061</w:t>
            </w:r>
          </w:p>
        </w:tc>
      </w:tr>
      <w:tr w:rsidR="005406D6" w:rsidRPr="005406D6" w14:paraId="7183F324" w14:textId="77777777" w:rsidTr="00F4601B">
        <w:trPr>
          <w:trHeight w:val="300"/>
        </w:trPr>
        <w:tc>
          <w:tcPr>
            <w:tcW w:w="2373" w:type="pct"/>
            <w:tcBorders>
              <w:top w:val="nil"/>
              <w:left w:val="nil"/>
              <w:bottom w:val="nil"/>
              <w:right w:val="nil"/>
            </w:tcBorders>
            <w:shd w:val="clear" w:color="auto" w:fill="auto"/>
            <w:vAlign w:val="bottom"/>
            <w:hideMark/>
          </w:tcPr>
          <w:p w14:paraId="2068D1B2" w14:textId="4C092A3A" w:rsidR="005406D6" w:rsidRPr="005406D6" w:rsidRDefault="005406D6" w:rsidP="005406D6">
            <w:pPr>
              <w:spacing w:after="0" w:line="240" w:lineRule="auto"/>
              <w:ind w:firstLineChars="300" w:firstLine="540"/>
              <w:rPr>
                <w:sz w:val="18"/>
                <w:szCs w:val="18"/>
                <w:lang w:eastAsia="sk-SK"/>
              </w:rPr>
            </w:pPr>
            <w:r w:rsidRPr="005406D6">
              <w:rPr>
                <w:sz w:val="18"/>
                <w:szCs w:val="18"/>
                <w:lang w:eastAsia="sk-SK"/>
              </w:rPr>
              <w:t xml:space="preserve">VI podnikov MH Manažment, a. s. </w:t>
            </w:r>
          </w:p>
        </w:tc>
        <w:tc>
          <w:tcPr>
            <w:tcW w:w="629" w:type="pct"/>
            <w:tcBorders>
              <w:top w:val="nil"/>
              <w:left w:val="nil"/>
              <w:bottom w:val="nil"/>
              <w:right w:val="nil"/>
            </w:tcBorders>
            <w:shd w:val="clear" w:color="auto" w:fill="auto"/>
            <w:vAlign w:val="bottom"/>
          </w:tcPr>
          <w:p w14:paraId="7041627E" w14:textId="563A2074" w:rsidR="005406D6" w:rsidRPr="005406D6" w:rsidRDefault="005406D6" w:rsidP="005406D6">
            <w:pPr>
              <w:spacing w:after="0" w:line="240" w:lineRule="auto"/>
              <w:jc w:val="right"/>
              <w:rPr>
                <w:sz w:val="18"/>
                <w:szCs w:val="18"/>
                <w:lang w:eastAsia="sk-SK"/>
              </w:rPr>
            </w:pPr>
            <w:r w:rsidRPr="005406D6">
              <w:rPr>
                <w:sz w:val="18"/>
                <w:szCs w:val="18"/>
                <w:lang w:eastAsia="sk-SK"/>
              </w:rPr>
              <w:t>293 624</w:t>
            </w:r>
          </w:p>
        </w:tc>
        <w:tc>
          <w:tcPr>
            <w:tcW w:w="666" w:type="pct"/>
            <w:tcBorders>
              <w:top w:val="nil"/>
              <w:left w:val="nil"/>
              <w:bottom w:val="nil"/>
              <w:right w:val="nil"/>
            </w:tcBorders>
            <w:shd w:val="clear" w:color="auto" w:fill="auto"/>
            <w:vAlign w:val="bottom"/>
          </w:tcPr>
          <w:p w14:paraId="176C6AE5" w14:textId="72383B10" w:rsidR="005406D6" w:rsidRPr="005406D6" w:rsidRDefault="005406D6" w:rsidP="005406D6">
            <w:pPr>
              <w:spacing w:after="0" w:line="240" w:lineRule="auto"/>
              <w:jc w:val="right"/>
              <w:rPr>
                <w:sz w:val="18"/>
                <w:szCs w:val="18"/>
                <w:lang w:eastAsia="sk-SK"/>
              </w:rPr>
            </w:pPr>
            <w:r w:rsidRPr="005406D6">
              <w:rPr>
                <w:sz w:val="18"/>
                <w:szCs w:val="18"/>
                <w:lang w:eastAsia="sk-SK"/>
              </w:rPr>
              <w:t>301 596</w:t>
            </w:r>
          </w:p>
        </w:tc>
        <w:tc>
          <w:tcPr>
            <w:tcW w:w="638" w:type="pct"/>
            <w:tcBorders>
              <w:top w:val="nil"/>
              <w:left w:val="nil"/>
              <w:bottom w:val="nil"/>
              <w:right w:val="nil"/>
            </w:tcBorders>
            <w:shd w:val="clear" w:color="auto" w:fill="auto"/>
            <w:vAlign w:val="bottom"/>
          </w:tcPr>
          <w:p w14:paraId="354D950E" w14:textId="7005E632" w:rsidR="005406D6" w:rsidRPr="005406D6" w:rsidRDefault="005406D6" w:rsidP="005406D6">
            <w:pPr>
              <w:spacing w:after="0" w:line="240" w:lineRule="auto"/>
              <w:jc w:val="right"/>
              <w:rPr>
                <w:sz w:val="18"/>
                <w:szCs w:val="18"/>
                <w:lang w:eastAsia="sk-SK"/>
              </w:rPr>
            </w:pPr>
            <w:r w:rsidRPr="005406D6">
              <w:rPr>
                <w:sz w:val="18"/>
                <w:szCs w:val="18"/>
                <w:lang w:eastAsia="sk-SK"/>
              </w:rPr>
              <w:t>358 187</w:t>
            </w:r>
          </w:p>
        </w:tc>
        <w:tc>
          <w:tcPr>
            <w:tcW w:w="694" w:type="pct"/>
            <w:tcBorders>
              <w:top w:val="nil"/>
              <w:left w:val="nil"/>
              <w:bottom w:val="nil"/>
              <w:right w:val="nil"/>
            </w:tcBorders>
            <w:shd w:val="clear" w:color="auto" w:fill="auto"/>
            <w:vAlign w:val="bottom"/>
          </w:tcPr>
          <w:p w14:paraId="7C5C06F6" w14:textId="61B0F1EF" w:rsidR="005406D6" w:rsidRPr="005406D6" w:rsidRDefault="005406D6" w:rsidP="005406D6">
            <w:pPr>
              <w:spacing w:after="0" w:line="240" w:lineRule="auto"/>
              <w:jc w:val="right"/>
              <w:rPr>
                <w:sz w:val="18"/>
                <w:szCs w:val="18"/>
                <w:lang w:eastAsia="sk-SK"/>
              </w:rPr>
            </w:pPr>
            <w:r w:rsidRPr="005406D6">
              <w:rPr>
                <w:sz w:val="18"/>
                <w:szCs w:val="18"/>
                <w:lang w:eastAsia="sk-SK"/>
              </w:rPr>
              <w:t>56 591</w:t>
            </w:r>
          </w:p>
        </w:tc>
      </w:tr>
      <w:tr w:rsidR="005406D6" w:rsidRPr="005406D6" w14:paraId="7D974DD7" w14:textId="77777777" w:rsidTr="00F4601B">
        <w:trPr>
          <w:trHeight w:val="300"/>
        </w:trPr>
        <w:tc>
          <w:tcPr>
            <w:tcW w:w="2373" w:type="pct"/>
            <w:tcBorders>
              <w:top w:val="nil"/>
              <w:left w:val="nil"/>
              <w:bottom w:val="nil"/>
              <w:right w:val="nil"/>
            </w:tcBorders>
            <w:shd w:val="clear" w:color="auto" w:fill="auto"/>
            <w:vAlign w:val="bottom"/>
            <w:hideMark/>
          </w:tcPr>
          <w:p w14:paraId="6E139BF2" w14:textId="77777777" w:rsidR="005406D6" w:rsidRPr="005406D6" w:rsidRDefault="005406D6" w:rsidP="005406D6">
            <w:pPr>
              <w:spacing w:after="0" w:line="240" w:lineRule="auto"/>
              <w:ind w:firstLineChars="300" w:firstLine="540"/>
              <w:rPr>
                <w:sz w:val="18"/>
                <w:szCs w:val="18"/>
                <w:lang w:eastAsia="sk-SK"/>
              </w:rPr>
            </w:pPr>
            <w:r w:rsidRPr="005406D6">
              <w:rPr>
                <w:sz w:val="18"/>
                <w:szCs w:val="18"/>
                <w:lang w:eastAsia="sk-SK"/>
              </w:rPr>
              <w:t>VI Národnej banky Slovenska</w:t>
            </w:r>
          </w:p>
        </w:tc>
        <w:tc>
          <w:tcPr>
            <w:tcW w:w="629" w:type="pct"/>
            <w:tcBorders>
              <w:top w:val="nil"/>
              <w:left w:val="nil"/>
              <w:bottom w:val="nil"/>
              <w:right w:val="nil"/>
            </w:tcBorders>
            <w:shd w:val="clear" w:color="auto" w:fill="auto"/>
            <w:vAlign w:val="bottom"/>
          </w:tcPr>
          <w:p w14:paraId="0152741A" w14:textId="5C48CB24" w:rsidR="005406D6" w:rsidRPr="005406D6" w:rsidRDefault="005406D6" w:rsidP="005406D6">
            <w:pPr>
              <w:spacing w:after="0" w:line="240" w:lineRule="auto"/>
              <w:jc w:val="right"/>
              <w:rPr>
                <w:sz w:val="18"/>
                <w:szCs w:val="18"/>
                <w:lang w:eastAsia="sk-SK"/>
              </w:rPr>
            </w:pPr>
            <w:r w:rsidRPr="005406D6">
              <w:rPr>
                <w:sz w:val="18"/>
                <w:szCs w:val="18"/>
                <w:lang w:eastAsia="sk-SK"/>
              </w:rPr>
              <w:t>-1 837 667</w:t>
            </w:r>
          </w:p>
        </w:tc>
        <w:tc>
          <w:tcPr>
            <w:tcW w:w="666" w:type="pct"/>
            <w:tcBorders>
              <w:top w:val="nil"/>
              <w:left w:val="nil"/>
              <w:bottom w:val="nil"/>
              <w:right w:val="nil"/>
            </w:tcBorders>
            <w:shd w:val="clear" w:color="auto" w:fill="auto"/>
            <w:vAlign w:val="bottom"/>
          </w:tcPr>
          <w:p w14:paraId="533CAD2F" w14:textId="4FE53CB4" w:rsidR="005406D6" w:rsidRPr="005406D6" w:rsidRDefault="005406D6" w:rsidP="005406D6">
            <w:pPr>
              <w:spacing w:after="0" w:line="240" w:lineRule="auto"/>
              <w:jc w:val="right"/>
              <w:rPr>
                <w:sz w:val="18"/>
                <w:szCs w:val="18"/>
                <w:lang w:eastAsia="sk-SK"/>
              </w:rPr>
            </w:pPr>
            <w:r w:rsidRPr="005406D6">
              <w:rPr>
                <w:sz w:val="18"/>
                <w:szCs w:val="18"/>
                <w:lang w:eastAsia="sk-SK"/>
              </w:rPr>
              <w:t>-1 543 435</w:t>
            </w:r>
          </w:p>
        </w:tc>
        <w:tc>
          <w:tcPr>
            <w:tcW w:w="638" w:type="pct"/>
            <w:tcBorders>
              <w:top w:val="nil"/>
              <w:left w:val="nil"/>
              <w:bottom w:val="nil"/>
              <w:right w:val="nil"/>
            </w:tcBorders>
            <w:shd w:val="clear" w:color="auto" w:fill="auto"/>
            <w:vAlign w:val="bottom"/>
          </w:tcPr>
          <w:p w14:paraId="59CCD691" w14:textId="1FAE5A85" w:rsidR="005406D6" w:rsidRPr="005406D6" w:rsidRDefault="005406D6" w:rsidP="005406D6">
            <w:pPr>
              <w:spacing w:after="0" w:line="240" w:lineRule="auto"/>
              <w:jc w:val="right"/>
              <w:rPr>
                <w:sz w:val="18"/>
                <w:szCs w:val="18"/>
                <w:lang w:eastAsia="sk-SK"/>
              </w:rPr>
            </w:pPr>
            <w:r w:rsidRPr="005406D6">
              <w:rPr>
                <w:sz w:val="18"/>
                <w:szCs w:val="18"/>
                <w:lang w:eastAsia="sk-SK"/>
              </w:rPr>
              <w:t>-1 497 957</w:t>
            </w:r>
          </w:p>
        </w:tc>
        <w:tc>
          <w:tcPr>
            <w:tcW w:w="694" w:type="pct"/>
            <w:tcBorders>
              <w:top w:val="nil"/>
              <w:left w:val="nil"/>
              <w:bottom w:val="nil"/>
              <w:right w:val="nil"/>
            </w:tcBorders>
            <w:shd w:val="clear" w:color="auto" w:fill="auto"/>
            <w:vAlign w:val="bottom"/>
          </w:tcPr>
          <w:p w14:paraId="22504C99" w14:textId="0E700B55" w:rsidR="005406D6" w:rsidRPr="005406D6" w:rsidRDefault="005406D6" w:rsidP="005406D6">
            <w:pPr>
              <w:spacing w:after="0" w:line="240" w:lineRule="auto"/>
              <w:jc w:val="right"/>
              <w:rPr>
                <w:sz w:val="18"/>
                <w:szCs w:val="18"/>
                <w:lang w:eastAsia="sk-SK"/>
              </w:rPr>
            </w:pPr>
            <w:r w:rsidRPr="005406D6">
              <w:rPr>
                <w:sz w:val="18"/>
                <w:szCs w:val="18"/>
                <w:lang w:eastAsia="sk-SK"/>
              </w:rPr>
              <w:t>45 478</w:t>
            </w:r>
          </w:p>
        </w:tc>
      </w:tr>
      <w:tr w:rsidR="005406D6" w:rsidRPr="005406D6" w14:paraId="19F5D3D5" w14:textId="77777777" w:rsidTr="00F4601B">
        <w:trPr>
          <w:trHeight w:val="300"/>
        </w:trPr>
        <w:tc>
          <w:tcPr>
            <w:tcW w:w="2373" w:type="pct"/>
            <w:tcBorders>
              <w:top w:val="nil"/>
              <w:left w:val="nil"/>
              <w:bottom w:val="nil"/>
              <w:right w:val="nil"/>
            </w:tcBorders>
            <w:shd w:val="clear" w:color="auto" w:fill="auto"/>
            <w:vAlign w:val="bottom"/>
            <w:hideMark/>
          </w:tcPr>
          <w:p w14:paraId="30921D27" w14:textId="714332D9" w:rsidR="005406D6" w:rsidRPr="005406D6" w:rsidRDefault="005406D6" w:rsidP="005406D6">
            <w:pPr>
              <w:spacing w:after="0" w:line="240" w:lineRule="auto"/>
              <w:rPr>
                <w:sz w:val="18"/>
                <w:szCs w:val="18"/>
                <w:lang w:eastAsia="sk-SK"/>
              </w:rPr>
            </w:pPr>
            <w:r w:rsidRPr="005406D6">
              <w:rPr>
                <w:sz w:val="18"/>
                <w:szCs w:val="18"/>
                <w:lang w:eastAsia="sk-SK"/>
              </w:rPr>
              <w:t>Implicitné záväzky                                                     (2)</w:t>
            </w:r>
          </w:p>
        </w:tc>
        <w:tc>
          <w:tcPr>
            <w:tcW w:w="629" w:type="pct"/>
            <w:tcBorders>
              <w:top w:val="nil"/>
              <w:left w:val="nil"/>
              <w:bottom w:val="nil"/>
              <w:right w:val="nil"/>
            </w:tcBorders>
            <w:shd w:val="clear" w:color="auto" w:fill="auto"/>
            <w:vAlign w:val="bottom"/>
          </w:tcPr>
          <w:p w14:paraId="7075384F" w14:textId="7DEA3DE6" w:rsidR="005406D6" w:rsidRPr="005406D6" w:rsidRDefault="005406D6" w:rsidP="005406D6">
            <w:pPr>
              <w:spacing w:after="0" w:line="240" w:lineRule="auto"/>
              <w:jc w:val="right"/>
              <w:rPr>
                <w:sz w:val="18"/>
                <w:szCs w:val="18"/>
                <w:lang w:eastAsia="sk-SK"/>
              </w:rPr>
            </w:pPr>
            <w:r w:rsidRPr="005406D6">
              <w:rPr>
                <w:sz w:val="18"/>
                <w:szCs w:val="18"/>
                <w:lang w:eastAsia="sk-SK"/>
              </w:rPr>
              <w:t>363 440 690</w:t>
            </w:r>
          </w:p>
        </w:tc>
        <w:tc>
          <w:tcPr>
            <w:tcW w:w="666" w:type="pct"/>
            <w:tcBorders>
              <w:top w:val="nil"/>
              <w:left w:val="nil"/>
              <w:bottom w:val="nil"/>
              <w:right w:val="nil"/>
            </w:tcBorders>
            <w:shd w:val="clear" w:color="auto" w:fill="auto"/>
            <w:vAlign w:val="bottom"/>
          </w:tcPr>
          <w:p w14:paraId="5BFE120E" w14:textId="55080F9A" w:rsidR="005406D6" w:rsidRPr="005406D6" w:rsidRDefault="005406D6" w:rsidP="005406D6">
            <w:pPr>
              <w:spacing w:after="0" w:line="240" w:lineRule="auto"/>
              <w:jc w:val="right"/>
              <w:rPr>
                <w:sz w:val="18"/>
                <w:szCs w:val="18"/>
                <w:lang w:eastAsia="sk-SK"/>
              </w:rPr>
            </w:pPr>
            <w:r w:rsidRPr="005406D6">
              <w:rPr>
                <w:sz w:val="18"/>
                <w:szCs w:val="18"/>
                <w:lang w:eastAsia="sk-SK"/>
              </w:rPr>
              <w:t>427 131 045</w:t>
            </w:r>
          </w:p>
        </w:tc>
        <w:tc>
          <w:tcPr>
            <w:tcW w:w="638" w:type="pct"/>
            <w:tcBorders>
              <w:top w:val="nil"/>
              <w:left w:val="nil"/>
              <w:bottom w:val="nil"/>
              <w:right w:val="nil"/>
            </w:tcBorders>
            <w:shd w:val="clear" w:color="auto" w:fill="auto"/>
            <w:vAlign w:val="bottom"/>
          </w:tcPr>
          <w:p w14:paraId="3D077788" w14:textId="3761C770" w:rsidR="005406D6" w:rsidRPr="005406D6" w:rsidRDefault="005406D6" w:rsidP="005406D6">
            <w:pPr>
              <w:spacing w:after="0" w:line="240" w:lineRule="auto"/>
              <w:jc w:val="right"/>
              <w:rPr>
                <w:sz w:val="18"/>
                <w:szCs w:val="18"/>
                <w:lang w:eastAsia="sk-SK"/>
              </w:rPr>
            </w:pPr>
            <w:r w:rsidRPr="005406D6">
              <w:rPr>
                <w:sz w:val="18"/>
                <w:szCs w:val="18"/>
                <w:lang w:eastAsia="sk-SK"/>
              </w:rPr>
              <w:t>401 359 121</w:t>
            </w:r>
          </w:p>
        </w:tc>
        <w:tc>
          <w:tcPr>
            <w:tcW w:w="694" w:type="pct"/>
            <w:tcBorders>
              <w:top w:val="nil"/>
              <w:left w:val="nil"/>
              <w:bottom w:val="nil"/>
              <w:right w:val="nil"/>
            </w:tcBorders>
            <w:shd w:val="clear" w:color="auto" w:fill="auto"/>
            <w:vAlign w:val="bottom"/>
          </w:tcPr>
          <w:p w14:paraId="62816B14" w14:textId="7E061834" w:rsidR="005406D6" w:rsidRPr="005406D6" w:rsidRDefault="005406D6" w:rsidP="005406D6">
            <w:pPr>
              <w:spacing w:after="0" w:line="240" w:lineRule="auto"/>
              <w:jc w:val="right"/>
              <w:rPr>
                <w:sz w:val="18"/>
                <w:szCs w:val="18"/>
                <w:lang w:eastAsia="sk-SK"/>
              </w:rPr>
            </w:pPr>
            <w:r w:rsidRPr="005406D6">
              <w:rPr>
                <w:sz w:val="18"/>
                <w:szCs w:val="18"/>
                <w:lang w:eastAsia="sk-SK"/>
              </w:rPr>
              <w:t>-25 771 924</w:t>
            </w:r>
          </w:p>
        </w:tc>
      </w:tr>
      <w:tr w:rsidR="005406D6" w:rsidRPr="005406D6" w14:paraId="686CAC07" w14:textId="77777777" w:rsidTr="00F4601B">
        <w:trPr>
          <w:trHeight w:val="300"/>
        </w:trPr>
        <w:tc>
          <w:tcPr>
            <w:tcW w:w="2373" w:type="pct"/>
            <w:tcBorders>
              <w:top w:val="nil"/>
              <w:left w:val="nil"/>
              <w:bottom w:val="nil"/>
              <w:right w:val="nil"/>
            </w:tcBorders>
            <w:shd w:val="clear" w:color="auto" w:fill="auto"/>
            <w:vAlign w:val="bottom"/>
            <w:hideMark/>
          </w:tcPr>
          <w:p w14:paraId="06CC45A2" w14:textId="0739E23B" w:rsidR="005406D6" w:rsidRPr="005406D6" w:rsidRDefault="005406D6" w:rsidP="005406D6">
            <w:pPr>
              <w:spacing w:after="0" w:line="240" w:lineRule="auto"/>
              <w:rPr>
                <w:sz w:val="18"/>
                <w:szCs w:val="18"/>
                <w:lang w:eastAsia="sk-SK"/>
              </w:rPr>
            </w:pPr>
            <w:r w:rsidRPr="005406D6">
              <w:rPr>
                <w:sz w:val="18"/>
                <w:szCs w:val="18"/>
                <w:lang w:eastAsia="sk-SK"/>
              </w:rPr>
              <w:t>Podmienené záväzky                                                  (3)</w:t>
            </w:r>
          </w:p>
        </w:tc>
        <w:tc>
          <w:tcPr>
            <w:tcW w:w="629" w:type="pct"/>
            <w:tcBorders>
              <w:top w:val="nil"/>
              <w:left w:val="nil"/>
              <w:bottom w:val="nil"/>
              <w:right w:val="nil"/>
            </w:tcBorders>
            <w:shd w:val="clear" w:color="auto" w:fill="auto"/>
            <w:vAlign w:val="bottom"/>
          </w:tcPr>
          <w:p w14:paraId="6598149E" w14:textId="64438A64" w:rsidR="005406D6" w:rsidRPr="005406D6" w:rsidRDefault="005406D6" w:rsidP="005406D6">
            <w:pPr>
              <w:spacing w:after="0" w:line="240" w:lineRule="auto"/>
              <w:jc w:val="right"/>
              <w:rPr>
                <w:sz w:val="18"/>
                <w:szCs w:val="18"/>
                <w:lang w:eastAsia="sk-SK"/>
              </w:rPr>
            </w:pPr>
            <w:r w:rsidRPr="005406D6">
              <w:rPr>
                <w:sz w:val="18"/>
                <w:szCs w:val="18"/>
                <w:lang w:eastAsia="sk-SK"/>
              </w:rPr>
              <w:t>19 710 086</w:t>
            </w:r>
          </w:p>
        </w:tc>
        <w:tc>
          <w:tcPr>
            <w:tcW w:w="666" w:type="pct"/>
            <w:tcBorders>
              <w:top w:val="nil"/>
              <w:left w:val="nil"/>
              <w:bottom w:val="nil"/>
              <w:right w:val="nil"/>
            </w:tcBorders>
            <w:shd w:val="clear" w:color="auto" w:fill="auto"/>
            <w:vAlign w:val="bottom"/>
          </w:tcPr>
          <w:p w14:paraId="165BD727" w14:textId="22927326" w:rsidR="005406D6" w:rsidRPr="005406D6" w:rsidRDefault="005406D6" w:rsidP="005406D6">
            <w:pPr>
              <w:spacing w:after="0" w:line="240" w:lineRule="auto"/>
              <w:jc w:val="right"/>
              <w:rPr>
                <w:sz w:val="18"/>
                <w:szCs w:val="18"/>
                <w:lang w:eastAsia="sk-SK"/>
              </w:rPr>
            </w:pPr>
            <w:r w:rsidRPr="005406D6">
              <w:rPr>
                <w:sz w:val="18"/>
                <w:szCs w:val="18"/>
                <w:lang w:eastAsia="sk-SK"/>
              </w:rPr>
              <w:t>20 187 890</w:t>
            </w:r>
          </w:p>
        </w:tc>
        <w:tc>
          <w:tcPr>
            <w:tcW w:w="638" w:type="pct"/>
            <w:tcBorders>
              <w:top w:val="nil"/>
              <w:left w:val="nil"/>
              <w:bottom w:val="nil"/>
              <w:right w:val="nil"/>
            </w:tcBorders>
            <w:shd w:val="clear" w:color="auto" w:fill="auto"/>
            <w:vAlign w:val="bottom"/>
          </w:tcPr>
          <w:p w14:paraId="5C59C045" w14:textId="3DEC6937" w:rsidR="005406D6" w:rsidRPr="005406D6" w:rsidRDefault="005406D6" w:rsidP="005406D6">
            <w:pPr>
              <w:spacing w:after="0" w:line="240" w:lineRule="auto"/>
              <w:jc w:val="right"/>
              <w:rPr>
                <w:sz w:val="18"/>
                <w:szCs w:val="18"/>
                <w:lang w:eastAsia="sk-SK"/>
              </w:rPr>
            </w:pPr>
            <w:r w:rsidRPr="005406D6">
              <w:rPr>
                <w:sz w:val="18"/>
                <w:szCs w:val="18"/>
                <w:lang w:eastAsia="sk-SK"/>
              </w:rPr>
              <w:t>20 245 585</w:t>
            </w:r>
          </w:p>
        </w:tc>
        <w:tc>
          <w:tcPr>
            <w:tcW w:w="694" w:type="pct"/>
            <w:tcBorders>
              <w:top w:val="nil"/>
              <w:left w:val="nil"/>
              <w:bottom w:val="nil"/>
              <w:right w:val="nil"/>
            </w:tcBorders>
            <w:shd w:val="clear" w:color="auto" w:fill="auto"/>
            <w:vAlign w:val="bottom"/>
          </w:tcPr>
          <w:p w14:paraId="7A31ED61" w14:textId="1185BFEC" w:rsidR="005406D6" w:rsidRPr="005406D6" w:rsidRDefault="005406D6" w:rsidP="005406D6">
            <w:pPr>
              <w:spacing w:after="0" w:line="240" w:lineRule="auto"/>
              <w:jc w:val="right"/>
              <w:rPr>
                <w:sz w:val="18"/>
                <w:szCs w:val="18"/>
                <w:lang w:eastAsia="sk-SK"/>
              </w:rPr>
            </w:pPr>
            <w:r w:rsidRPr="005406D6">
              <w:rPr>
                <w:sz w:val="18"/>
                <w:szCs w:val="18"/>
                <w:lang w:eastAsia="sk-SK"/>
              </w:rPr>
              <w:t>57 695</w:t>
            </w:r>
          </w:p>
        </w:tc>
      </w:tr>
      <w:tr w:rsidR="005406D6" w:rsidRPr="005406D6" w14:paraId="65E622F3" w14:textId="77777777" w:rsidTr="00F4601B">
        <w:trPr>
          <w:trHeight w:val="300"/>
        </w:trPr>
        <w:tc>
          <w:tcPr>
            <w:tcW w:w="2373" w:type="pct"/>
            <w:tcBorders>
              <w:top w:val="nil"/>
              <w:left w:val="nil"/>
              <w:bottom w:val="nil"/>
              <w:right w:val="nil"/>
            </w:tcBorders>
            <w:shd w:val="clear" w:color="auto" w:fill="auto"/>
            <w:vAlign w:val="bottom"/>
            <w:hideMark/>
          </w:tcPr>
          <w:p w14:paraId="2C108A3F" w14:textId="61361753" w:rsidR="005406D6" w:rsidRPr="005406D6" w:rsidRDefault="005406D6" w:rsidP="005406D6">
            <w:pPr>
              <w:spacing w:after="0" w:line="240" w:lineRule="auto"/>
              <w:rPr>
                <w:sz w:val="18"/>
                <w:szCs w:val="18"/>
                <w:lang w:eastAsia="sk-SK"/>
              </w:rPr>
            </w:pPr>
            <w:r w:rsidRPr="005406D6">
              <w:rPr>
                <w:sz w:val="18"/>
                <w:szCs w:val="18"/>
                <w:lang w:eastAsia="sk-SK"/>
              </w:rPr>
              <w:t>Iné aktíva                                                                    (4)</w:t>
            </w:r>
          </w:p>
        </w:tc>
        <w:tc>
          <w:tcPr>
            <w:tcW w:w="629" w:type="pct"/>
            <w:tcBorders>
              <w:top w:val="nil"/>
              <w:left w:val="nil"/>
              <w:bottom w:val="nil"/>
              <w:right w:val="nil"/>
            </w:tcBorders>
            <w:shd w:val="clear" w:color="auto" w:fill="auto"/>
            <w:vAlign w:val="bottom"/>
          </w:tcPr>
          <w:p w14:paraId="1194567A" w14:textId="20955C17" w:rsidR="005406D6" w:rsidRPr="005406D6" w:rsidRDefault="005406D6" w:rsidP="005406D6">
            <w:pPr>
              <w:spacing w:after="0" w:line="240" w:lineRule="auto"/>
              <w:jc w:val="right"/>
              <w:rPr>
                <w:sz w:val="18"/>
                <w:szCs w:val="18"/>
                <w:lang w:eastAsia="sk-SK"/>
              </w:rPr>
            </w:pPr>
            <w:r w:rsidRPr="005406D6">
              <w:rPr>
                <w:sz w:val="18"/>
                <w:szCs w:val="18"/>
                <w:lang w:eastAsia="sk-SK"/>
              </w:rPr>
              <w:t>5 949 545</w:t>
            </w:r>
          </w:p>
        </w:tc>
        <w:tc>
          <w:tcPr>
            <w:tcW w:w="666" w:type="pct"/>
            <w:tcBorders>
              <w:top w:val="nil"/>
              <w:left w:val="nil"/>
              <w:bottom w:val="nil"/>
              <w:right w:val="nil"/>
            </w:tcBorders>
            <w:shd w:val="clear" w:color="auto" w:fill="auto"/>
            <w:vAlign w:val="bottom"/>
          </w:tcPr>
          <w:p w14:paraId="02C633A8" w14:textId="57C15B9F" w:rsidR="005406D6" w:rsidRPr="005406D6" w:rsidRDefault="005406D6" w:rsidP="005406D6">
            <w:pPr>
              <w:spacing w:after="0" w:line="240" w:lineRule="auto"/>
              <w:jc w:val="right"/>
              <w:rPr>
                <w:sz w:val="18"/>
                <w:szCs w:val="18"/>
                <w:lang w:eastAsia="sk-SK"/>
              </w:rPr>
            </w:pPr>
            <w:r w:rsidRPr="005406D6">
              <w:rPr>
                <w:sz w:val="18"/>
                <w:szCs w:val="18"/>
                <w:lang w:eastAsia="sk-SK"/>
              </w:rPr>
              <w:t>5 134 648</w:t>
            </w:r>
          </w:p>
        </w:tc>
        <w:tc>
          <w:tcPr>
            <w:tcW w:w="638" w:type="pct"/>
            <w:tcBorders>
              <w:top w:val="nil"/>
              <w:left w:val="nil"/>
              <w:bottom w:val="nil"/>
              <w:right w:val="nil"/>
            </w:tcBorders>
            <w:shd w:val="clear" w:color="auto" w:fill="auto"/>
            <w:vAlign w:val="bottom"/>
          </w:tcPr>
          <w:p w14:paraId="08B86364" w14:textId="4C8C97B0" w:rsidR="005406D6" w:rsidRPr="005406D6" w:rsidRDefault="00887F3D" w:rsidP="00887F3D">
            <w:pPr>
              <w:spacing w:after="0" w:line="240" w:lineRule="auto"/>
              <w:jc w:val="right"/>
              <w:rPr>
                <w:sz w:val="18"/>
                <w:szCs w:val="18"/>
                <w:lang w:eastAsia="sk-SK"/>
              </w:rPr>
            </w:pPr>
            <w:r>
              <w:rPr>
                <w:sz w:val="18"/>
                <w:szCs w:val="18"/>
                <w:lang w:eastAsia="sk-SK"/>
              </w:rPr>
              <w:t>4 946 495</w:t>
            </w:r>
          </w:p>
        </w:tc>
        <w:tc>
          <w:tcPr>
            <w:tcW w:w="694" w:type="pct"/>
            <w:tcBorders>
              <w:top w:val="nil"/>
              <w:left w:val="nil"/>
              <w:bottom w:val="nil"/>
              <w:right w:val="nil"/>
            </w:tcBorders>
            <w:shd w:val="clear" w:color="auto" w:fill="auto"/>
            <w:vAlign w:val="bottom"/>
          </w:tcPr>
          <w:p w14:paraId="24C99F04" w14:textId="50B0FA32" w:rsidR="005406D6" w:rsidRPr="005406D6" w:rsidRDefault="00887F3D" w:rsidP="005406D6">
            <w:pPr>
              <w:spacing w:after="0" w:line="240" w:lineRule="auto"/>
              <w:jc w:val="right"/>
              <w:rPr>
                <w:sz w:val="18"/>
                <w:szCs w:val="18"/>
                <w:lang w:eastAsia="sk-SK"/>
              </w:rPr>
            </w:pPr>
            <w:r>
              <w:rPr>
                <w:sz w:val="18"/>
                <w:szCs w:val="18"/>
                <w:lang w:eastAsia="sk-SK"/>
              </w:rPr>
              <w:t>-188 153</w:t>
            </w:r>
          </w:p>
        </w:tc>
      </w:tr>
      <w:tr w:rsidR="005406D6" w:rsidRPr="005406D6" w14:paraId="767339BF" w14:textId="77777777" w:rsidTr="00F4601B">
        <w:trPr>
          <w:trHeight w:val="300"/>
        </w:trPr>
        <w:tc>
          <w:tcPr>
            <w:tcW w:w="2373" w:type="pct"/>
            <w:tcBorders>
              <w:top w:val="single" w:sz="4" w:space="0" w:color="auto"/>
              <w:left w:val="nil"/>
              <w:bottom w:val="nil"/>
              <w:right w:val="nil"/>
            </w:tcBorders>
            <w:shd w:val="clear" w:color="auto" w:fill="auto"/>
            <w:vAlign w:val="bottom"/>
            <w:hideMark/>
          </w:tcPr>
          <w:p w14:paraId="48D7B24F" w14:textId="77777777" w:rsidR="005406D6" w:rsidRPr="005406D6" w:rsidRDefault="005406D6" w:rsidP="005406D6">
            <w:pPr>
              <w:spacing w:after="0" w:line="240" w:lineRule="auto"/>
              <w:rPr>
                <w:b/>
                <w:bCs/>
                <w:sz w:val="18"/>
                <w:szCs w:val="18"/>
                <w:lang w:eastAsia="sk-SK"/>
              </w:rPr>
            </w:pPr>
            <w:r w:rsidRPr="005406D6">
              <w:rPr>
                <w:b/>
                <w:bCs/>
                <w:sz w:val="18"/>
                <w:szCs w:val="18"/>
                <w:lang w:eastAsia="sk-SK"/>
              </w:rPr>
              <w:t>Čisté bohatstvo SR  (1-2-3+4)</w:t>
            </w:r>
          </w:p>
        </w:tc>
        <w:tc>
          <w:tcPr>
            <w:tcW w:w="629" w:type="pct"/>
            <w:tcBorders>
              <w:top w:val="single" w:sz="4" w:space="0" w:color="auto"/>
              <w:left w:val="nil"/>
              <w:bottom w:val="nil"/>
              <w:right w:val="nil"/>
            </w:tcBorders>
            <w:shd w:val="clear" w:color="auto" w:fill="auto"/>
            <w:vAlign w:val="bottom"/>
          </w:tcPr>
          <w:p w14:paraId="15E063C2" w14:textId="34874922"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-379 430 451</w:t>
            </w:r>
          </w:p>
        </w:tc>
        <w:tc>
          <w:tcPr>
            <w:tcW w:w="666" w:type="pct"/>
            <w:tcBorders>
              <w:top w:val="single" w:sz="4" w:space="0" w:color="auto"/>
              <w:left w:val="nil"/>
              <w:bottom w:val="nil"/>
              <w:right w:val="nil"/>
            </w:tcBorders>
            <w:shd w:val="clear" w:color="auto" w:fill="auto"/>
            <w:vAlign w:val="bottom"/>
          </w:tcPr>
          <w:p w14:paraId="5C5FC1E5" w14:textId="2F29D56A"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-449 388 108</w:t>
            </w:r>
          </w:p>
        </w:tc>
        <w:tc>
          <w:tcPr>
            <w:tcW w:w="638" w:type="pct"/>
            <w:tcBorders>
              <w:top w:val="single" w:sz="4" w:space="0" w:color="auto"/>
              <w:left w:val="nil"/>
              <w:bottom w:val="nil"/>
              <w:right w:val="nil"/>
            </w:tcBorders>
            <w:shd w:val="clear" w:color="auto" w:fill="auto"/>
            <w:vAlign w:val="bottom"/>
          </w:tcPr>
          <w:p w14:paraId="609E65C6" w14:textId="72221CC0" w:rsidR="005406D6" w:rsidRPr="005406D6" w:rsidRDefault="005406D6" w:rsidP="00887F3D">
            <w:pPr>
              <w:spacing w:after="0" w:line="240" w:lineRule="auto"/>
              <w:jc w:val="right"/>
              <w:rPr>
                <w:b/>
                <w:bCs/>
                <w:sz w:val="18"/>
                <w:szCs w:val="18"/>
                <w:lang w:eastAsia="sk-SK"/>
              </w:rPr>
            </w:pPr>
            <w:r w:rsidRPr="005406D6">
              <w:rPr>
                <w:b/>
                <w:bCs/>
                <w:sz w:val="18"/>
                <w:szCs w:val="18"/>
                <w:lang w:eastAsia="sk-SK"/>
              </w:rPr>
              <w:t>-</w:t>
            </w:r>
            <w:r w:rsidR="00887F3D">
              <w:rPr>
                <w:b/>
                <w:bCs/>
                <w:sz w:val="18"/>
                <w:szCs w:val="18"/>
                <w:lang w:eastAsia="sk-SK"/>
              </w:rPr>
              <w:t>423 107 902</w:t>
            </w:r>
          </w:p>
        </w:tc>
        <w:tc>
          <w:tcPr>
            <w:tcW w:w="694" w:type="pct"/>
            <w:tcBorders>
              <w:top w:val="single" w:sz="4" w:space="0" w:color="auto"/>
              <w:left w:val="nil"/>
              <w:bottom w:val="nil"/>
              <w:right w:val="nil"/>
            </w:tcBorders>
            <w:shd w:val="clear" w:color="auto" w:fill="auto"/>
            <w:vAlign w:val="bottom"/>
          </w:tcPr>
          <w:p w14:paraId="37B3593D" w14:textId="340FD606" w:rsidR="005406D6" w:rsidRPr="005406D6" w:rsidRDefault="005406D6" w:rsidP="005406D6">
            <w:pPr>
              <w:spacing w:after="0" w:line="240" w:lineRule="auto"/>
              <w:jc w:val="right"/>
              <w:rPr>
                <w:b/>
                <w:bCs/>
                <w:sz w:val="18"/>
                <w:szCs w:val="18"/>
                <w:lang w:eastAsia="sk-SK"/>
              </w:rPr>
            </w:pPr>
            <w:r w:rsidRPr="005406D6">
              <w:rPr>
                <w:b/>
                <w:bCs/>
                <w:sz w:val="18"/>
                <w:szCs w:val="18"/>
                <w:lang w:eastAsia="sk-SK"/>
              </w:rPr>
              <w:t>2</w:t>
            </w:r>
            <w:r w:rsidR="00887F3D">
              <w:rPr>
                <w:b/>
                <w:bCs/>
                <w:sz w:val="18"/>
                <w:szCs w:val="18"/>
                <w:lang w:eastAsia="sk-SK"/>
              </w:rPr>
              <w:t>6 280 206</w:t>
            </w:r>
          </w:p>
        </w:tc>
      </w:tr>
      <w:tr w:rsidR="005406D6" w:rsidRPr="005406D6" w14:paraId="0FD60691" w14:textId="77777777" w:rsidTr="00F4601B">
        <w:trPr>
          <w:trHeight w:val="68"/>
        </w:trPr>
        <w:tc>
          <w:tcPr>
            <w:tcW w:w="2373" w:type="pct"/>
            <w:tcBorders>
              <w:top w:val="nil"/>
              <w:left w:val="nil"/>
              <w:bottom w:val="single" w:sz="4" w:space="0" w:color="auto"/>
              <w:right w:val="nil"/>
            </w:tcBorders>
            <w:shd w:val="clear" w:color="auto" w:fill="auto"/>
            <w:vAlign w:val="bottom"/>
            <w:hideMark/>
          </w:tcPr>
          <w:p w14:paraId="3D7B4441" w14:textId="3A141720" w:rsidR="005406D6" w:rsidRPr="005406D6" w:rsidRDefault="005406D6" w:rsidP="005406D6">
            <w:pPr>
              <w:spacing w:after="0" w:line="240" w:lineRule="auto"/>
              <w:ind w:firstLineChars="300" w:firstLine="540"/>
              <w:rPr>
                <w:b/>
                <w:bCs/>
                <w:i/>
                <w:iCs/>
                <w:sz w:val="18"/>
                <w:szCs w:val="18"/>
                <w:lang w:eastAsia="sk-SK"/>
              </w:rPr>
            </w:pPr>
            <w:r w:rsidRPr="005406D6">
              <w:rPr>
                <w:b/>
                <w:bCs/>
                <w:i/>
                <w:iCs/>
                <w:sz w:val="18"/>
                <w:szCs w:val="18"/>
                <w:lang w:eastAsia="sk-SK"/>
              </w:rPr>
              <w:t>v % HDP</w:t>
            </w:r>
          </w:p>
        </w:tc>
        <w:tc>
          <w:tcPr>
            <w:tcW w:w="629" w:type="pct"/>
            <w:tcBorders>
              <w:top w:val="nil"/>
              <w:left w:val="nil"/>
              <w:bottom w:val="single" w:sz="4" w:space="0" w:color="auto"/>
              <w:right w:val="nil"/>
            </w:tcBorders>
            <w:shd w:val="clear" w:color="auto" w:fill="auto"/>
            <w:vAlign w:val="bottom"/>
          </w:tcPr>
          <w:p w14:paraId="3CF652CC" w14:textId="3799E6B4" w:rsidR="005406D6" w:rsidRPr="005406D6" w:rsidRDefault="005406D6" w:rsidP="005406D6">
            <w:pPr>
              <w:spacing w:after="0" w:line="240" w:lineRule="auto"/>
              <w:jc w:val="right"/>
              <w:rPr>
                <w:b/>
                <w:bCs/>
                <w:i/>
                <w:iCs/>
                <w:sz w:val="18"/>
                <w:szCs w:val="18"/>
                <w:lang w:eastAsia="sk-SK"/>
              </w:rPr>
            </w:pPr>
            <w:r w:rsidRPr="005406D6">
              <w:rPr>
                <w:b/>
                <w:bCs/>
                <w:i/>
                <w:iCs/>
                <w:sz w:val="18"/>
                <w:szCs w:val="18"/>
                <w:lang w:eastAsia="sk-SK"/>
              </w:rPr>
              <w:t>-406,05</w:t>
            </w:r>
          </w:p>
        </w:tc>
        <w:tc>
          <w:tcPr>
            <w:tcW w:w="666" w:type="pct"/>
            <w:tcBorders>
              <w:top w:val="nil"/>
              <w:left w:val="nil"/>
              <w:bottom w:val="single" w:sz="4" w:space="0" w:color="auto"/>
              <w:right w:val="nil"/>
            </w:tcBorders>
            <w:shd w:val="clear" w:color="auto" w:fill="auto"/>
            <w:vAlign w:val="bottom"/>
          </w:tcPr>
          <w:p w14:paraId="50D32623" w14:textId="403E403B" w:rsidR="005406D6" w:rsidRPr="005406D6" w:rsidRDefault="005406D6" w:rsidP="005406D6">
            <w:pPr>
              <w:spacing w:after="0" w:line="240" w:lineRule="auto"/>
              <w:jc w:val="right"/>
              <w:rPr>
                <w:b/>
                <w:bCs/>
                <w:i/>
                <w:iCs/>
                <w:sz w:val="18"/>
                <w:szCs w:val="18"/>
                <w:lang w:eastAsia="sk-SK"/>
              </w:rPr>
            </w:pPr>
            <w:r w:rsidRPr="005406D6">
              <w:rPr>
                <w:b/>
                <w:bCs/>
                <w:i/>
                <w:iCs/>
                <w:sz w:val="18"/>
                <w:szCs w:val="18"/>
                <w:lang w:eastAsia="sk-SK"/>
              </w:rPr>
              <w:t>-448,24</w:t>
            </w:r>
          </w:p>
        </w:tc>
        <w:tc>
          <w:tcPr>
            <w:tcW w:w="638" w:type="pct"/>
            <w:tcBorders>
              <w:top w:val="nil"/>
              <w:left w:val="nil"/>
              <w:bottom w:val="single" w:sz="4" w:space="0" w:color="auto"/>
              <w:right w:val="nil"/>
            </w:tcBorders>
            <w:shd w:val="clear" w:color="auto" w:fill="auto"/>
            <w:vAlign w:val="bottom"/>
          </w:tcPr>
          <w:p w14:paraId="4F6AF83C" w14:textId="5C03BB62" w:rsidR="005406D6" w:rsidRPr="005406D6" w:rsidRDefault="00887F3D" w:rsidP="005406D6">
            <w:pPr>
              <w:spacing w:after="0" w:line="240" w:lineRule="auto"/>
              <w:jc w:val="right"/>
              <w:rPr>
                <w:b/>
                <w:bCs/>
                <w:i/>
                <w:iCs/>
                <w:sz w:val="18"/>
                <w:szCs w:val="18"/>
                <w:lang w:eastAsia="sk-SK"/>
              </w:rPr>
            </w:pPr>
            <w:r>
              <w:rPr>
                <w:b/>
                <w:bCs/>
                <w:i/>
                <w:iCs/>
                <w:sz w:val="18"/>
                <w:szCs w:val="18"/>
                <w:lang w:eastAsia="sk-SK"/>
              </w:rPr>
              <w:t>-385,89</w:t>
            </w:r>
          </w:p>
        </w:tc>
        <w:tc>
          <w:tcPr>
            <w:tcW w:w="694" w:type="pct"/>
            <w:tcBorders>
              <w:top w:val="nil"/>
              <w:left w:val="nil"/>
              <w:bottom w:val="single" w:sz="4" w:space="0" w:color="auto"/>
              <w:right w:val="nil"/>
            </w:tcBorders>
            <w:shd w:val="clear" w:color="auto" w:fill="auto"/>
            <w:vAlign w:val="bottom"/>
          </w:tcPr>
          <w:p w14:paraId="55C208BC" w14:textId="3464FF3F" w:rsidR="005406D6" w:rsidRPr="005406D6" w:rsidRDefault="00887F3D" w:rsidP="005406D6">
            <w:pPr>
              <w:spacing w:after="0" w:line="240" w:lineRule="auto"/>
              <w:jc w:val="right"/>
              <w:rPr>
                <w:b/>
                <w:bCs/>
                <w:i/>
                <w:sz w:val="18"/>
                <w:szCs w:val="18"/>
                <w:lang w:eastAsia="sk-SK"/>
              </w:rPr>
            </w:pPr>
            <w:r>
              <w:rPr>
                <w:b/>
                <w:bCs/>
                <w:i/>
                <w:sz w:val="18"/>
                <w:szCs w:val="18"/>
                <w:lang w:eastAsia="sk-SK"/>
              </w:rPr>
              <w:t>62,35</w:t>
            </w:r>
          </w:p>
        </w:tc>
      </w:tr>
    </w:tbl>
    <w:bookmarkEnd w:id="51"/>
    <w:p w14:paraId="20C69C3B" w14:textId="3889D89E" w:rsidR="00FB260E" w:rsidRPr="00FD652C" w:rsidRDefault="0018178F" w:rsidP="001941DB">
      <w:pPr>
        <w:spacing w:after="120" w:line="336" w:lineRule="auto"/>
        <w:ind w:left="4956" w:firstLine="708"/>
        <w:jc w:val="both"/>
        <w:rPr>
          <w:sz w:val="16"/>
          <w:szCs w:val="16"/>
        </w:rPr>
      </w:pPr>
      <w:r w:rsidRPr="005406D6">
        <w:rPr>
          <w:sz w:val="18"/>
          <w:szCs w:val="18"/>
        </w:rPr>
        <w:t xml:space="preserve">                </w:t>
      </w:r>
      <w:r w:rsidR="00411E35" w:rsidRPr="005406D6">
        <w:rPr>
          <w:sz w:val="18"/>
          <w:szCs w:val="18"/>
        </w:rPr>
        <w:tab/>
      </w:r>
      <w:r w:rsidR="00411E35" w:rsidRPr="005406D6">
        <w:rPr>
          <w:sz w:val="18"/>
          <w:szCs w:val="18"/>
        </w:rPr>
        <w:tab/>
      </w:r>
      <w:r w:rsidRPr="00FD652C">
        <w:rPr>
          <w:sz w:val="16"/>
          <w:szCs w:val="16"/>
        </w:rPr>
        <w:t>Zdroj: MF SR</w:t>
      </w:r>
      <w:r w:rsidR="00DD5CBE" w:rsidRPr="00FD652C">
        <w:rPr>
          <w:sz w:val="16"/>
          <w:szCs w:val="16"/>
        </w:rPr>
        <w:t>, IFP</w:t>
      </w:r>
    </w:p>
    <w:p w14:paraId="656910ED" w14:textId="77777777" w:rsidR="005406D6" w:rsidRPr="005E7772" w:rsidRDefault="005406D6" w:rsidP="005406D6">
      <w:pPr>
        <w:spacing w:before="120" w:after="120" w:line="240" w:lineRule="auto"/>
        <w:jc w:val="both"/>
      </w:pPr>
      <w:r w:rsidRPr="005E7772">
        <w:lastRenderedPageBreak/>
        <w:t xml:space="preserve">V rámci aktualizácie údajov vstupujúcich do výpočtu čistého bohatstva boli použité nové hodnoty HDP, ktoré boli </w:t>
      </w:r>
      <w:r>
        <w:t>revidované</w:t>
      </w:r>
      <w:r w:rsidRPr="005E7772">
        <w:t xml:space="preserve"> p</w:t>
      </w:r>
      <w:r>
        <w:t>očas</w:t>
      </w:r>
      <w:r w:rsidRPr="005E7772">
        <w:t xml:space="preserve"> jesenn</w:t>
      </w:r>
      <w:r>
        <w:t>ej</w:t>
      </w:r>
      <w:r w:rsidRPr="005E7772">
        <w:t xml:space="preserve"> notifikáci</w:t>
      </w:r>
      <w:r>
        <w:t>e</w:t>
      </w:r>
      <w:r w:rsidRPr="005E7772">
        <w:t xml:space="preserve"> výsledkov hospodárenia verejných financií za rok 202</w:t>
      </w:r>
      <w:r>
        <w:t>2</w:t>
      </w:r>
      <w:r w:rsidRPr="005E7772">
        <w:t xml:space="preserve">. </w:t>
      </w:r>
      <w:r>
        <w:t>V ostatných položkách nedošlo k aktualizácii údajov za predchádzajúce roky.</w:t>
      </w:r>
    </w:p>
    <w:p w14:paraId="0ABB3C54" w14:textId="77777777" w:rsidR="005406D6" w:rsidRPr="005E7772" w:rsidRDefault="005406D6" w:rsidP="005406D6">
      <w:pPr>
        <w:spacing w:before="120" w:after="120" w:line="240" w:lineRule="auto"/>
        <w:jc w:val="both"/>
      </w:pPr>
      <w:r w:rsidRPr="005E7772">
        <w:t xml:space="preserve">Podrobnému vysvetleniu zmien v jednotlivých zložkách čistého bohatstva sa venujú nasledovné podkapitoly s výnimkou vlastného imania podnikov MH Manažmentu, </w:t>
      </w:r>
      <w:r>
        <w:t xml:space="preserve">a. s. </w:t>
      </w:r>
      <w:r w:rsidRPr="005E7772">
        <w:t>Vlastné imanie podnikov</w:t>
      </w:r>
      <w:r>
        <w:t xml:space="preserve">, ktorých podiely drží </w:t>
      </w:r>
      <w:r w:rsidRPr="005E7772">
        <w:t xml:space="preserve">MH Manažment, </w:t>
      </w:r>
      <w:r>
        <w:t xml:space="preserve">a. s. </w:t>
      </w:r>
      <w:r w:rsidRPr="005E7772">
        <w:t>tvorí podmnožinu podnikov štátnej správy, ktorá je pre účely vyčíslenia čistého bohatstva uvedená osobitne, pretože táto skupina podnikov nie je súčasťou súhrnného celku, a preto nie je predmetom účtovnej konsolidácie. Vlastné</w:t>
      </w:r>
      <w:r>
        <w:t xml:space="preserve"> imanie podnikov MH </w:t>
      </w:r>
      <w:proofErr w:type="spellStart"/>
      <w:r>
        <w:t>Manažmentu,a</w:t>
      </w:r>
      <w:proofErr w:type="spellEnd"/>
      <w:r>
        <w:t xml:space="preserve">. s. </w:t>
      </w:r>
      <w:r w:rsidRPr="005E7772">
        <w:t xml:space="preserve">tvorí súčet vlastných imaní jednotlivých podnikov z individuálnych účtovných závierok, pričom veľkosť vlastného imania je prepočítaná vlastníckym podielom štátu v týchto podnikoch. </w:t>
      </w:r>
    </w:p>
    <w:p w14:paraId="188010DB" w14:textId="77777777" w:rsidR="00A544B6" w:rsidRPr="005406D6" w:rsidRDefault="00A544B6" w:rsidP="00B43BF4">
      <w:pPr>
        <w:pStyle w:val="Nadpis3"/>
        <w:numPr>
          <w:ilvl w:val="2"/>
          <w:numId w:val="13"/>
        </w:numPr>
        <w:spacing w:before="120"/>
        <w:ind w:left="1797"/>
      </w:pPr>
      <w:bookmarkStart w:id="52" w:name="_Toc399324372"/>
      <w:bookmarkStart w:id="53" w:name="_Toc401920026"/>
      <w:bookmarkStart w:id="54" w:name="_Toc465255027"/>
      <w:bookmarkStart w:id="55" w:name="_Toc495990495"/>
      <w:bookmarkStart w:id="56" w:name="_Toc148704479"/>
      <w:r w:rsidRPr="005406D6">
        <w:t xml:space="preserve">Vlastné imanie </w:t>
      </w:r>
      <w:r w:rsidR="008117A9" w:rsidRPr="005406D6">
        <w:t>súhrnného celku verejnej</w:t>
      </w:r>
      <w:r w:rsidRPr="005406D6">
        <w:t xml:space="preserve"> správy</w:t>
      </w:r>
      <w:bookmarkEnd w:id="52"/>
      <w:bookmarkEnd w:id="53"/>
      <w:bookmarkEnd w:id="54"/>
      <w:bookmarkEnd w:id="55"/>
      <w:bookmarkEnd w:id="56"/>
    </w:p>
    <w:p w14:paraId="41D95BD1" w14:textId="77777777" w:rsidR="005406D6" w:rsidRPr="00117D0F" w:rsidRDefault="005406D6" w:rsidP="005406D6">
      <w:pPr>
        <w:spacing w:after="120" w:line="240" w:lineRule="auto"/>
        <w:jc w:val="both"/>
      </w:pPr>
      <w:bookmarkStart w:id="57" w:name="_Toc495990496"/>
      <w:bookmarkStart w:id="58" w:name="_Toc399324373"/>
      <w:bookmarkStart w:id="59" w:name="_Toc431985279"/>
      <w:bookmarkStart w:id="60" w:name="_Toc433099061"/>
      <w:bookmarkStart w:id="61" w:name="_Toc433099300"/>
      <w:bookmarkStart w:id="62" w:name="_Toc433099406"/>
      <w:bookmarkStart w:id="63" w:name="_Toc433099588"/>
      <w:r w:rsidRPr="000B14CD">
        <w:t>Vlastné imanie súhrnného celku</w:t>
      </w:r>
      <w:r w:rsidRPr="000B14CD">
        <w:rPr>
          <w:rStyle w:val="Odkaznapoznmkupodiarou"/>
        </w:rPr>
        <w:footnoteReference w:id="24"/>
      </w:r>
      <w:r w:rsidRPr="000B14CD">
        <w:t xml:space="preserve"> pre účely odhadu čistého bohatstva dosiahlo k 31.12.2022 zápornú hodnotu -5 309 921 tis. eur, pričom je tvorené záporným výsledkom hospodárenia vo výške</w:t>
      </w:r>
      <w:r w:rsidRPr="000B14CD">
        <w:br/>
        <w:t>-5 488 961 tis. eur (z toho výsledkom hospodárenia bežného obdobia vo výške -448 888 tis. eur), oceňovacími rozdielmi v hodnote 22 812 tis. eur a podielmi inýc</w:t>
      </w:r>
      <w:r>
        <w:t>h účtovných jednotiek v hodnote</w:t>
      </w:r>
      <w:r>
        <w:br/>
      </w:r>
      <w:r w:rsidRPr="000B14CD">
        <w:t xml:space="preserve">17 679 tis. eur. </w:t>
      </w:r>
      <w:r w:rsidRPr="000B14CD">
        <w:rPr>
          <w:b/>
        </w:rPr>
        <w:t xml:space="preserve">Medziročne sa vlastné imanie súhrnného celku úhrnom </w:t>
      </w:r>
      <w:r w:rsidRPr="001855B9">
        <w:rPr>
          <w:b/>
        </w:rPr>
        <w:t>zvýšilo o 652 061 tis. eur.</w:t>
      </w:r>
    </w:p>
    <w:p w14:paraId="4AA42D5A" w14:textId="77777777" w:rsidR="005406D6" w:rsidRPr="00117D0F" w:rsidRDefault="005406D6" w:rsidP="005406D6">
      <w:pPr>
        <w:spacing w:after="120" w:line="240" w:lineRule="auto"/>
        <w:jc w:val="both"/>
      </w:pPr>
      <w:r w:rsidRPr="00117D0F">
        <w:t xml:space="preserve">Na vlastné imanie súhrnného celku má vplyv najmä dosiahnutý výsledok hospodárenia bežného obdobia jednotlivých subjektov (v podnikateľskom prostredí chápaný ako ,,zisk alebo ,,strata“), ako aj výsledok hospodárenia minulých období (ovplyvnený prevodom výsledku hospodárenia bežného obdobia za posledný rok alebo významnými účtovnými opravami minulých období). V menšej miere ovplyvňujú vlastné imanie oceňovacie rozdiely a výška fondov (rezervné fondy, kapitálové fondy). </w:t>
      </w:r>
    </w:p>
    <w:p w14:paraId="176CBA07" w14:textId="77777777" w:rsidR="005406D6" w:rsidRPr="00117D0F" w:rsidRDefault="005406D6" w:rsidP="005406D6">
      <w:pPr>
        <w:spacing w:after="120" w:line="240" w:lineRule="auto"/>
        <w:jc w:val="both"/>
      </w:pPr>
      <w:r w:rsidRPr="00117D0F">
        <w:t>Z pohľadu veľkosti podielu na vlastnom imaní súhrnného celku je najvýznamnejšia ústredná správa a v rámci nej Ministerstvo financií SR. Špecifické postavenie Ministerstva financií SR spoč</w:t>
      </w:r>
      <w:r>
        <w:t>íva v </w:t>
      </w:r>
      <w:r w:rsidRPr="00117D0F">
        <w:t>tom, že účtuje o všetkých poskytnutých transferoch zo štátneho rozpočtu, ktoré sa vykazujú jednak vo výdavkoch daného roka, a akruálne aj v nákladoch. Ide o rôzne druhy transferov, ktoré nemusí reálne poskytovať len Ministerstvo financií SR, ale aj ostatné kapitoly štátneho rozpočtu</w:t>
      </w:r>
      <w:r>
        <w:t xml:space="preserve"> a ich rozpočtové organizácie v </w:t>
      </w:r>
      <w:r w:rsidRPr="00117D0F">
        <w:t>zriaďovateľskej pôsobnosti. Na druhej strane Ministerstvo financií SR účtuje o najdôležitejších príjmoch verejnej správy, a to o daňových a značnej časti nedaňových príjmoch štátneho rozpočtu (odvody, poplatky, dividendy).</w:t>
      </w:r>
    </w:p>
    <w:p w14:paraId="41295A56" w14:textId="77777777" w:rsidR="005406D6" w:rsidRDefault="005406D6" w:rsidP="005406D6">
      <w:pPr>
        <w:spacing w:after="120" w:line="240" w:lineRule="auto"/>
        <w:jc w:val="both"/>
      </w:pPr>
      <w:r w:rsidRPr="00FF26F6">
        <w:t xml:space="preserve">Ministerstvo financií SR účtuje o výdavkoch </w:t>
      </w:r>
      <w:r>
        <w:t xml:space="preserve">všetkých </w:t>
      </w:r>
      <w:r w:rsidRPr="00FF26F6">
        <w:t>štátnych rozpočtových organizácií</w:t>
      </w:r>
      <w:r>
        <w:t xml:space="preserve"> prostredníctvom transferov</w:t>
      </w:r>
      <w:r w:rsidRPr="00FF26F6">
        <w:t>.</w:t>
      </w:r>
      <w:r>
        <w:t xml:space="preserve"> Vo výsledku znáša saldo štátneho rozpočtu, ktoré bolo doteraz vždy </w:t>
      </w:r>
      <w:r w:rsidRPr="00FF26F6">
        <w:t xml:space="preserve">deficitné. Naakumulované záporné výsledky hospodárenia štátneho rozpočtu za predchádzajúce roky sú súčasťou výsledku hospodárenia minulých rokov a v rámci súhrnného celku ide o najvyššiu hodnotu </w:t>
      </w:r>
      <w:r w:rsidRPr="00634A57">
        <w:t>záporného vlastného imania.</w:t>
      </w:r>
    </w:p>
    <w:p w14:paraId="6A7B6D21" w14:textId="77777777" w:rsidR="005406D6" w:rsidRPr="00634A57" w:rsidRDefault="005406D6" w:rsidP="005406D6">
      <w:pPr>
        <w:spacing w:after="120" w:line="240" w:lineRule="auto"/>
        <w:jc w:val="both"/>
      </w:pPr>
      <w:r>
        <w:t xml:space="preserve">Významnými jednotkami štátu, ktoré sa na celkových nákladoch a výnosoch podieľajú rádovo v miliardách, sú napríklad Slovenská plynárenský priemysel, </w:t>
      </w:r>
      <w:proofErr w:type="spellStart"/>
      <w:r>
        <w:t>a.s</w:t>
      </w:r>
      <w:proofErr w:type="spellEnd"/>
      <w:r>
        <w:t xml:space="preserve">. (SPP), Slovenská elektrizačná prenosová sústava, </w:t>
      </w:r>
      <w:proofErr w:type="spellStart"/>
      <w:r>
        <w:t>a.s</w:t>
      </w:r>
      <w:proofErr w:type="spellEnd"/>
      <w:r>
        <w:t xml:space="preserve">. (SEPS) ako aj Všeobecná zdravotná poisťovňa, </w:t>
      </w:r>
      <w:proofErr w:type="spellStart"/>
      <w:r>
        <w:t>a.s</w:t>
      </w:r>
      <w:proofErr w:type="spellEnd"/>
      <w:r>
        <w:t>. Významné náklady a výnosy vykazuje aj Sociálna poisťovňa.</w:t>
      </w:r>
    </w:p>
    <w:p w14:paraId="1C168DAA" w14:textId="77777777" w:rsidR="005406D6" w:rsidRPr="0062698A" w:rsidRDefault="005406D6" w:rsidP="005406D6">
      <w:pPr>
        <w:spacing w:after="120" w:line="240" w:lineRule="auto"/>
        <w:jc w:val="both"/>
      </w:pPr>
      <w:r w:rsidRPr="00634A57">
        <w:rPr>
          <w:b/>
        </w:rPr>
        <w:t>Výsledok hospodárenia bežného účtovného obdobia 2022</w:t>
      </w:r>
      <w:r w:rsidRPr="00634A57">
        <w:t>, ktorý je výsledkom rozdielu účtovných výnosov a účtovných nákladov, dosiahol za celý súhrnný celok -448 888 tis. eur, pričom medziročne došlo k zlepšeniu o 4 452 997 tis. eur. Celkové náklady súhrnného celku medziročne klesli o 5 159 624 tis. eur, pričom celkové výnosy medziročne poklesli o 709 670 tis. eur.</w:t>
      </w:r>
    </w:p>
    <w:p w14:paraId="28458435" w14:textId="53A5C6AA" w:rsidR="005406D6" w:rsidRDefault="005406D6" w:rsidP="005406D6">
      <w:pPr>
        <w:spacing w:after="120" w:line="240" w:lineRule="auto"/>
        <w:jc w:val="both"/>
      </w:pPr>
      <w:r>
        <w:t xml:space="preserve">Na medziročné celkové zníženie nákladov vplývalo viacero faktorov. Na jednej strane sa nezopakovala výška transferov poskytnutých zo štátneho rozpočtu, ako tomu bolo v rokoch 2020 a 2021, ktoré smerovali na </w:t>
      </w:r>
      <w:r w:rsidRPr="00CB41F6">
        <w:t>kompenzačné opatrenia na zmiernenie dopadu pandémie COVID-19</w:t>
      </w:r>
      <w:r>
        <w:t xml:space="preserve">, na druhej strane sa zvýšili náklady podnikov štátu, najmä SPP a SEPS z dôvodu zvýšených cien nakupovaných komodít ako elektrická energia </w:t>
      </w:r>
      <w:r>
        <w:lastRenderedPageBreak/>
        <w:t xml:space="preserve">a plyn. </w:t>
      </w:r>
      <w:r w:rsidRPr="00CB41F6">
        <w:t>Medziročne boli náklady na transfery Ministerstva financií SR nižšie o 1 832 </w:t>
      </w:r>
      <w:r w:rsidRPr="00344828">
        <w:t>106 tis. eur, z toho odvod do rozpočtu EU vo výške 940 226 tis. eur bol medziročne nižší o 26 523 tis. eur. Ďalšie položky nákladov, ktoré medziročne významne poklesli boli napríklad podiel na výsledku hospodárenia pridružených účtovných jednotiek, a to najmä v ústrednej správe o 653 144 tis. eur, ďalej nižšia tvorba opravných položiek o 160 470 tis. eur a nižšie finančné náklady o 57 2</w:t>
      </w:r>
      <w:r w:rsidR="00957E78">
        <w:t>50 tis. eur (najmä úroky 30 030 tis. </w:t>
      </w:r>
      <w:r w:rsidRPr="00344828">
        <w:t xml:space="preserve">eur). </w:t>
      </w:r>
    </w:p>
    <w:p w14:paraId="0DEDA9BE" w14:textId="77777777" w:rsidR="005406D6" w:rsidRPr="003E0DAE" w:rsidRDefault="005406D6" w:rsidP="005406D6">
      <w:pPr>
        <w:spacing w:after="120" w:line="240" w:lineRule="auto"/>
        <w:jc w:val="both"/>
        <w:rPr>
          <w:highlight w:val="yellow"/>
        </w:rPr>
      </w:pPr>
      <w:r>
        <w:t xml:space="preserve">Nárast prevádzkových nákladov ako sú spotrebované nákupy, náklady na nakupované služby a osobné náklady, úhrnom vzrástli o 10 612 388 tis. eur. Na tomto náraste sa podieľa najmä ústredná správa a podnikateľské jednotky v nej, ako je SPP, </w:t>
      </w:r>
      <w:proofErr w:type="spellStart"/>
      <w:r>
        <w:t>a.s</w:t>
      </w:r>
      <w:proofErr w:type="spellEnd"/>
      <w:r>
        <w:t xml:space="preserve">. a SEPS. Nárast cien na trhu s elektrinou a plynom výrazne ovplyvnili náklady (ale aj výnosy) týchto štátnych podnikov. Nárast nákladov bol z časti negovaný nárastom výnosov za predaný tovar a výrobky, práve z dôvodu vyšších predajných cien </w:t>
      </w:r>
      <w:r w:rsidRPr="00460BE7">
        <w:t xml:space="preserve">elektrickej energie a plynu. Za </w:t>
      </w:r>
      <w:proofErr w:type="spellStart"/>
      <w:r w:rsidRPr="00460BE7">
        <w:t>SPP,a.s</w:t>
      </w:r>
      <w:proofErr w:type="spellEnd"/>
      <w:r w:rsidRPr="00460BE7">
        <w:t xml:space="preserve">. a SEPS, </w:t>
      </w:r>
      <w:proofErr w:type="spellStart"/>
      <w:r w:rsidRPr="00460BE7">
        <w:t>a.s</w:t>
      </w:r>
      <w:proofErr w:type="spellEnd"/>
      <w:r w:rsidRPr="00460BE7">
        <w:t xml:space="preserve">. tento nárast </w:t>
      </w:r>
      <w:r>
        <w:t xml:space="preserve">nákladov </w:t>
      </w:r>
      <w:r w:rsidRPr="00460BE7">
        <w:t xml:space="preserve">predstavoval medziročne 6 746 968 tis. eur. V súhrnnom celku rástli aj osobné náklady úhrnom o 808 750 tis. eur, z toho priame mzdové náklady o 558 707 tis. eur. Ústredná správa z tohto nárastu predstavovala 272 778 tis. eur a územná samospráva 232 837 tis. eur. </w:t>
      </w:r>
    </w:p>
    <w:p w14:paraId="7195923F" w14:textId="0B043698" w:rsidR="005406D6" w:rsidRDefault="005406D6" w:rsidP="005406D6">
      <w:pPr>
        <w:spacing w:after="120" w:line="240" w:lineRule="auto"/>
        <w:jc w:val="both"/>
      </w:pPr>
      <w:r w:rsidRPr="00590C5B">
        <w:t>Z výnosov súhrnného celku sa v roku 2022 vyvíjali pozitívne, okrem už spomenutých tržieb za výrobky (o 1 844 01</w:t>
      </w:r>
      <w:r w:rsidR="00957E78">
        <w:t>7 tis. eur), tovar (o 3 910 836 tis. </w:t>
      </w:r>
      <w:r w:rsidRPr="00590C5B">
        <w:t>eur) a zm</w:t>
      </w:r>
      <w:r w:rsidR="00957E78">
        <w:t>eny stavu výrobkov (o 1 369 890 tis. </w:t>
      </w:r>
      <w:r w:rsidRPr="00590C5B">
        <w:t>eur) najmä daňové výnosy štátu, ktoré vzrástli o 1 925 553 tis. eur, daňové výnosy samosprávy vzrástli o 327 902 tis. eur</w:t>
      </w:r>
      <w:r>
        <w:t xml:space="preserve"> (v rámci nich sa vykazuje aj podielová daň z príjmov fyzických osôb)</w:t>
      </w:r>
      <w:r w:rsidRPr="00590C5B">
        <w:t xml:space="preserve">, výnosy z finančných derivátov ovplyvnili ostatné finančné výnosy </w:t>
      </w:r>
      <w:r>
        <w:t xml:space="preserve">výrazne až </w:t>
      </w:r>
      <w:r w:rsidRPr="00590C5B">
        <w:t>o 1 289 851 tis. eur.</w:t>
      </w:r>
    </w:p>
    <w:p w14:paraId="12186BE2" w14:textId="2B7DD75E" w:rsidR="005406D6" w:rsidRPr="004B6F17" w:rsidRDefault="005406D6" w:rsidP="005406D6">
      <w:pPr>
        <w:spacing w:after="120" w:line="240" w:lineRule="auto"/>
        <w:jc w:val="both"/>
      </w:pPr>
      <w:r w:rsidRPr="004B6F17">
        <w:t>Medziročný pokles nákladov ako aj výnosov bol ovplyvnený aj úpravou dát za Sociálnu poisťovňu</w:t>
      </w:r>
      <w:r>
        <w:rPr>
          <w:rStyle w:val="Odkaznapoznmkupodiarou"/>
        </w:rPr>
        <w:footnoteReference w:id="25"/>
      </w:r>
      <w:r w:rsidRPr="004B6F17">
        <w:t>. Kým v roku 2021 boli vnútorné prevody medzi fondami poisťovne súčasťou nákladov a výnosov po použití prevodového mostíka na účtovnú závierku rozpočtových organizácií, v roku 2022 boli tieto náklady a výnosy predmetom úpravy, čo spôsobilo medziročný</w:t>
      </w:r>
      <w:r w:rsidR="00957E78">
        <w:t xml:space="preserve"> pokles nákladov o 15 037 152 tis. </w:t>
      </w:r>
      <w:r w:rsidRPr="004B6F17">
        <w:t>eur a výnosov o 13 623 536 tis. eur. Sociálna poisťovňa dosiahla celkový výsledok hospodárenia za rok 2022 v štruktúre platnej pre výpočet súhrnnej účt</w:t>
      </w:r>
      <w:r w:rsidR="00957E78">
        <w:t>ovnej závierky vo výške 392 593 tis. </w:t>
      </w:r>
      <w:r w:rsidRPr="004B6F17">
        <w:t>eur.</w:t>
      </w:r>
    </w:p>
    <w:p w14:paraId="4DEF6D48" w14:textId="77777777" w:rsidR="005406D6" w:rsidRPr="0062698A" w:rsidRDefault="005406D6" w:rsidP="005406D6">
      <w:pPr>
        <w:spacing w:after="120" w:line="240" w:lineRule="auto"/>
        <w:jc w:val="both"/>
      </w:pPr>
      <w:r w:rsidRPr="0062698A">
        <w:rPr>
          <w:b/>
        </w:rPr>
        <w:t>Výsledok hospodárenia minulých rokov</w:t>
      </w:r>
      <w:r w:rsidRPr="0062698A">
        <w:t xml:space="preserve"> súhrnného celku tvorí najmä: </w:t>
      </w:r>
    </w:p>
    <w:p w14:paraId="75403520" w14:textId="77777777" w:rsidR="005406D6" w:rsidRPr="0062698A" w:rsidRDefault="005406D6" w:rsidP="005406D6">
      <w:pPr>
        <w:pStyle w:val="Odsekzoznamu"/>
        <w:numPr>
          <w:ilvl w:val="0"/>
          <w:numId w:val="19"/>
        </w:numPr>
        <w:spacing w:after="120"/>
        <w:ind w:left="714" w:hanging="357"/>
        <w:jc w:val="both"/>
        <w:rPr>
          <w:rFonts w:cs="Times New Roman"/>
        </w:rPr>
      </w:pPr>
      <w:r w:rsidRPr="0062698A">
        <w:rPr>
          <w:rFonts w:cs="Times New Roman"/>
        </w:rPr>
        <w:t>nerozdelený zisk resp. neuhradená strata obchodných spoločností,</w:t>
      </w:r>
    </w:p>
    <w:p w14:paraId="3B4301E3" w14:textId="77777777" w:rsidR="005406D6" w:rsidRPr="0062698A" w:rsidRDefault="005406D6" w:rsidP="005406D6">
      <w:pPr>
        <w:pStyle w:val="Odsekzoznamu"/>
        <w:numPr>
          <w:ilvl w:val="0"/>
          <w:numId w:val="19"/>
        </w:numPr>
        <w:spacing w:after="120"/>
        <w:ind w:left="714" w:hanging="357"/>
        <w:jc w:val="both"/>
        <w:rPr>
          <w:rFonts w:cs="Times New Roman"/>
        </w:rPr>
      </w:pPr>
      <w:r w:rsidRPr="0062698A">
        <w:rPr>
          <w:rFonts w:cs="Times New Roman"/>
        </w:rPr>
        <w:t>prevod zostatkov kapitálových fondov, rezervných fondov a ostatných fondov obchodných spoločností,</w:t>
      </w:r>
    </w:p>
    <w:p w14:paraId="14AC45A6" w14:textId="77777777" w:rsidR="005406D6" w:rsidRPr="0062698A" w:rsidRDefault="005406D6" w:rsidP="005406D6">
      <w:pPr>
        <w:pStyle w:val="Odsekzoznamu"/>
        <w:numPr>
          <w:ilvl w:val="0"/>
          <w:numId w:val="19"/>
        </w:numPr>
        <w:spacing w:after="120"/>
        <w:ind w:left="714" w:hanging="357"/>
        <w:jc w:val="both"/>
        <w:rPr>
          <w:rFonts w:cs="Times New Roman"/>
        </w:rPr>
      </w:pPr>
      <w:r w:rsidRPr="0062698A">
        <w:rPr>
          <w:rFonts w:cs="Times New Roman"/>
        </w:rPr>
        <w:t xml:space="preserve">prevod zostatku fondov ústrednej správy, </w:t>
      </w:r>
    </w:p>
    <w:p w14:paraId="2FF89F2A" w14:textId="77777777" w:rsidR="005406D6" w:rsidRPr="0062698A" w:rsidRDefault="005406D6" w:rsidP="005406D6">
      <w:pPr>
        <w:pStyle w:val="Odsekzoznamu"/>
        <w:numPr>
          <w:ilvl w:val="0"/>
          <w:numId w:val="18"/>
        </w:numPr>
        <w:spacing w:after="120"/>
        <w:ind w:left="714" w:hanging="357"/>
        <w:jc w:val="both"/>
        <w:rPr>
          <w:rFonts w:cs="Times New Roman"/>
        </w:rPr>
      </w:pPr>
      <w:r w:rsidRPr="0062698A">
        <w:rPr>
          <w:rFonts w:cs="Times New Roman"/>
        </w:rPr>
        <w:t>výsledok hospodárenia všetkých rozpočtových organizácií ústrednej správy,</w:t>
      </w:r>
    </w:p>
    <w:p w14:paraId="6FFEC806" w14:textId="77777777" w:rsidR="005406D6" w:rsidRDefault="005406D6" w:rsidP="005406D6">
      <w:pPr>
        <w:pStyle w:val="Odsekzoznamu"/>
        <w:numPr>
          <w:ilvl w:val="0"/>
          <w:numId w:val="18"/>
        </w:numPr>
        <w:spacing w:after="120"/>
        <w:ind w:left="714" w:hanging="357"/>
        <w:jc w:val="both"/>
        <w:rPr>
          <w:rFonts w:cs="Times New Roman"/>
        </w:rPr>
      </w:pPr>
      <w:r w:rsidRPr="0062698A">
        <w:rPr>
          <w:rFonts w:cs="Times New Roman"/>
        </w:rPr>
        <w:t>opravy významných chýb minulých účtovných období resp. zmeny účtovných metód a zásad s vplyvom na hospodárenie minulých období.</w:t>
      </w:r>
    </w:p>
    <w:p w14:paraId="1C4C901C" w14:textId="28B79CEE" w:rsidR="005406D6" w:rsidRDefault="005406D6" w:rsidP="005406D6">
      <w:pPr>
        <w:spacing w:after="120" w:line="240" w:lineRule="auto"/>
        <w:jc w:val="both"/>
      </w:pPr>
      <w:r w:rsidRPr="00E63DA2">
        <w:t>Celková hodnota ,,výsledkov minulých rokov“ po očistení vplyvu tvorby rezervy na zamestnane</w:t>
      </w:r>
      <w:r w:rsidR="00957E78">
        <w:t>cké požitky dosiahla -5 040 073 tis. eur, čo je zhoršenie o 3 805 </w:t>
      </w:r>
      <w:r w:rsidRPr="00E63DA2">
        <w:t xml:space="preserve">732 tis. eur. Ide najmä o zúčtovanie výsledku hospodárenia roka 2021 do výsledku minulých období (reálne v roku 2022), ktorý medzi rokmi 2020 a 2021 </w:t>
      </w:r>
      <w:r>
        <w:t>prehĺbil zápornú hodnotu</w:t>
      </w:r>
      <w:r w:rsidRPr="00E63DA2">
        <w:t xml:space="preserve"> na -4 901 885 tis. eur.</w:t>
      </w:r>
    </w:p>
    <w:p w14:paraId="40413473" w14:textId="77777777" w:rsidR="005406D6" w:rsidRPr="00325E53" w:rsidRDefault="005406D6" w:rsidP="005406D6">
      <w:pPr>
        <w:spacing w:after="120" w:line="240" w:lineRule="auto"/>
        <w:jc w:val="both"/>
      </w:pPr>
      <w:r>
        <w:t>Detailnejšie údaje zo súhrnnej účtovnej závierky sú uvedené v prílohe č. 3</w:t>
      </w:r>
    </w:p>
    <w:p w14:paraId="6D0BC705" w14:textId="77777777" w:rsidR="008117A9" w:rsidRPr="00FA1620" w:rsidRDefault="008117A9" w:rsidP="00552C67">
      <w:pPr>
        <w:pStyle w:val="Nadpis3"/>
        <w:numPr>
          <w:ilvl w:val="2"/>
          <w:numId w:val="13"/>
        </w:numPr>
      </w:pPr>
      <w:bookmarkStart w:id="64" w:name="_Toc148704480"/>
      <w:r w:rsidRPr="00FA1620">
        <w:t>Vlastné imanie podnikov štátnej správy</w:t>
      </w:r>
      <w:bookmarkEnd w:id="57"/>
      <w:bookmarkEnd w:id="64"/>
    </w:p>
    <w:p w14:paraId="3C1B099A" w14:textId="497A50B8" w:rsidR="00C5274D" w:rsidRPr="00FA1620" w:rsidRDefault="00C5274D" w:rsidP="00260473">
      <w:pPr>
        <w:spacing w:after="120" w:line="240" w:lineRule="auto"/>
        <w:jc w:val="both"/>
        <w:rPr>
          <w:szCs w:val="24"/>
        </w:rPr>
      </w:pPr>
      <w:r w:rsidRPr="00FA1620">
        <w:rPr>
          <w:b/>
        </w:rPr>
        <w:t>Vlastné imanie podnikov štátnej správy dosiahlo k 31.12.202</w:t>
      </w:r>
      <w:r w:rsidR="00FA1620" w:rsidRPr="00FA1620">
        <w:rPr>
          <w:b/>
        </w:rPr>
        <w:t>2</w:t>
      </w:r>
      <w:r w:rsidRPr="00FA1620">
        <w:rPr>
          <w:b/>
        </w:rPr>
        <w:t xml:space="preserve"> hodnotu </w:t>
      </w:r>
      <w:r w:rsidR="00FA1620" w:rsidRPr="00FA1620">
        <w:rPr>
          <w:b/>
        </w:rPr>
        <w:t>18</w:t>
      </w:r>
      <w:r w:rsidR="00DD4867">
        <w:rPr>
          <w:b/>
        </w:rPr>
        <w:t> </w:t>
      </w:r>
      <w:r w:rsidR="00FA1620" w:rsidRPr="00FA1620">
        <w:rPr>
          <w:b/>
        </w:rPr>
        <w:t>001</w:t>
      </w:r>
      <w:r w:rsidR="00DD4867">
        <w:rPr>
          <w:b/>
        </w:rPr>
        <w:t> </w:t>
      </w:r>
      <w:r w:rsidR="00FA1620" w:rsidRPr="00FA1620">
        <w:rPr>
          <w:b/>
        </w:rPr>
        <w:t>538</w:t>
      </w:r>
      <w:r w:rsidR="00D01E0C" w:rsidRPr="00FA1620">
        <w:rPr>
          <w:b/>
          <w:bCs/>
        </w:rPr>
        <w:t> </w:t>
      </w:r>
      <w:r w:rsidRPr="00FA1620">
        <w:rPr>
          <w:b/>
          <w:bCs/>
        </w:rPr>
        <w:t>tis.</w:t>
      </w:r>
      <w:r w:rsidR="00D01E0C" w:rsidRPr="00FA1620">
        <w:rPr>
          <w:b/>
          <w:bCs/>
        </w:rPr>
        <w:t> </w:t>
      </w:r>
      <w:r w:rsidRPr="00FA1620">
        <w:rPr>
          <w:b/>
          <w:bCs/>
        </w:rPr>
        <w:t>eur (</w:t>
      </w:r>
      <w:r w:rsidR="00D27756" w:rsidRPr="00FA1620">
        <w:rPr>
          <w:b/>
          <w:bCs/>
        </w:rPr>
        <w:t>1</w:t>
      </w:r>
      <w:r w:rsidR="005557F6">
        <w:rPr>
          <w:b/>
          <w:bCs/>
        </w:rPr>
        <w:t>6,42</w:t>
      </w:r>
      <w:r w:rsidRPr="00FA1620">
        <w:rPr>
          <w:b/>
          <w:bCs/>
        </w:rPr>
        <w:t> % HDP)</w:t>
      </w:r>
      <w:r w:rsidRPr="00FA1620">
        <w:rPr>
          <w:b/>
        </w:rPr>
        <w:t>.</w:t>
      </w:r>
      <w:r w:rsidRPr="00FA1620">
        <w:t xml:space="preserve"> Uvedený údaj je nekonsolidovaný a predstavuje súčet vlastných imaní jednotlivých podnikov z individuálnych účtovných závierok prepočítaný na veľkosť vlastníckych podielov štátu. Tento údaj nemožno dávať do súvislosti s údajom o celkovom čistom bohatstve v časti 3.2., pretože v rámci </w:t>
      </w:r>
      <w:r w:rsidRPr="00FA1620">
        <w:lastRenderedPageBreak/>
        <w:t xml:space="preserve">čistého bohatstva sú všetky podniky okrem podnikov MH Manažmentu, </w:t>
      </w:r>
      <w:r w:rsidR="000E08D0" w:rsidRPr="00FA1620">
        <w:t xml:space="preserve">a. s. </w:t>
      </w:r>
      <w:r w:rsidRPr="00FA1620">
        <w:t xml:space="preserve"> zaradené do súhrnného celku a údaje o vlastnom imaní sú konsolidované. Vlastné imanie podnikov štátnej správ</w:t>
      </w:r>
      <w:r w:rsidR="00D01E0C" w:rsidRPr="00FA1620">
        <w:t xml:space="preserve">y oproti predchádzajúcemu roku </w:t>
      </w:r>
      <w:r w:rsidR="00FA1620" w:rsidRPr="00FA1620">
        <w:t>vzrástlo</w:t>
      </w:r>
      <w:r w:rsidRPr="00FA1620">
        <w:rPr>
          <w:b/>
          <w:bCs/>
        </w:rPr>
        <w:t xml:space="preserve"> o</w:t>
      </w:r>
      <w:r w:rsidR="00FA1620" w:rsidRPr="00FA1620">
        <w:rPr>
          <w:b/>
          <w:bCs/>
        </w:rPr>
        <w:t> 688</w:t>
      </w:r>
      <w:r w:rsidR="00957E78">
        <w:rPr>
          <w:b/>
          <w:bCs/>
        </w:rPr>
        <w:t> 151 </w:t>
      </w:r>
      <w:r w:rsidRPr="00FA1620">
        <w:rPr>
          <w:b/>
          <w:bCs/>
        </w:rPr>
        <w:t>tis.</w:t>
      </w:r>
      <w:r w:rsidR="00D01E0C" w:rsidRPr="00FA1620">
        <w:rPr>
          <w:b/>
          <w:bCs/>
        </w:rPr>
        <w:t> </w:t>
      </w:r>
      <w:r w:rsidRPr="00FA1620">
        <w:rPr>
          <w:b/>
          <w:bCs/>
        </w:rPr>
        <w:t>eur</w:t>
      </w:r>
      <w:r w:rsidRPr="00FA1620">
        <w:t xml:space="preserve">. </w:t>
      </w:r>
    </w:p>
    <w:p w14:paraId="0F419220" w14:textId="408F63B9" w:rsidR="00FB260E" w:rsidRPr="00FA1620" w:rsidRDefault="00FB260E" w:rsidP="00890235">
      <w:pPr>
        <w:spacing w:after="120" w:line="240" w:lineRule="auto"/>
        <w:jc w:val="both"/>
      </w:pPr>
      <w:r w:rsidRPr="00FA1620">
        <w:rPr>
          <w:szCs w:val="22"/>
        </w:rPr>
        <w:t>V nasledujúcej časti sú podrobnejšie komentované zmeny vlastného imania za vybrané podniky. Príloha</w:t>
      </w:r>
      <w:r w:rsidR="00D01E0C" w:rsidRPr="00FA1620">
        <w:rPr>
          <w:szCs w:val="22"/>
        </w:rPr>
        <w:t> </w:t>
      </w:r>
      <w:r w:rsidRPr="00FA1620">
        <w:rPr>
          <w:szCs w:val="22"/>
        </w:rPr>
        <w:t>č. 1 obsahuje tabuľkový prehľad všetkých podnikov štátnej správy, výšku vlastníckych podielov štátu (k 31.12.20</w:t>
      </w:r>
      <w:r w:rsidR="00890235" w:rsidRPr="00FA1620">
        <w:rPr>
          <w:szCs w:val="22"/>
        </w:rPr>
        <w:t>2</w:t>
      </w:r>
      <w:r w:rsidR="005557F6">
        <w:rPr>
          <w:szCs w:val="22"/>
        </w:rPr>
        <w:t>2</w:t>
      </w:r>
      <w:r w:rsidRPr="00FA1620">
        <w:rPr>
          <w:szCs w:val="22"/>
        </w:rPr>
        <w:t xml:space="preserve">) a výšku ich vlastných imaní a výsledky hospodárenia za posledné tri roky. </w:t>
      </w:r>
      <w:r w:rsidR="0076538F" w:rsidRPr="00FA1620">
        <w:rPr>
          <w:szCs w:val="22"/>
        </w:rPr>
        <w:t>Príloha č.</w:t>
      </w:r>
      <w:r w:rsidR="00D01E0C" w:rsidRPr="00FA1620">
        <w:rPr>
          <w:szCs w:val="22"/>
        </w:rPr>
        <w:t> </w:t>
      </w:r>
      <w:r w:rsidR="0076538F" w:rsidRPr="00FA1620">
        <w:rPr>
          <w:szCs w:val="22"/>
        </w:rPr>
        <w:t xml:space="preserve">2 poskytuje </w:t>
      </w:r>
      <w:r w:rsidRPr="00FA1620">
        <w:rPr>
          <w:szCs w:val="22"/>
        </w:rPr>
        <w:t xml:space="preserve">prehľad o štruktúre medziročnej zmeny ich vlastného imania podľa jednotlivých položiek vlastného imania. </w:t>
      </w:r>
    </w:p>
    <w:p w14:paraId="618F9D08" w14:textId="77777777" w:rsidR="00FB260E" w:rsidRPr="00FA1620" w:rsidRDefault="00FB260E" w:rsidP="00260473">
      <w:pPr>
        <w:spacing w:after="0" w:line="240" w:lineRule="auto"/>
        <w:jc w:val="both"/>
        <w:rPr>
          <w:szCs w:val="22"/>
        </w:rPr>
      </w:pPr>
      <w:r w:rsidRPr="00FA1620">
        <w:rPr>
          <w:szCs w:val="22"/>
        </w:rPr>
        <w:t>Pri komentovaní medziročných zmien vlastného imania vybraných podnikov sa pre účely tejto správy zameriavame najmä na päť hlavných položiek, ktoré spôsobujú prírastok alebo úbytok vlastného imania:</w:t>
      </w:r>
    </w:p>
    <w:p w14:paraId="5D8819B7" w14:textId="77777777" w:rsidR="00FB260E" w:rsidRPr="00FA1620" w:rsidRDefault="00FB260E" w:rsidP="00D3577E">
      <w:pPr>
        <w:pStyle w:val="Odsekzoznamu"/>
        <w:numPr>
          <w:ilvl w:val="0"/>
          <w:numId w:val="12"/>
        </w:numPr>
        <w:spacing w:after="120"/>
        <w:ind w:left="357" w:hanging="357"/>
        <w:jc w:val="both"/>
        <w:rPr>
          <w:rFonts w:cs="Times New Roman"/>
        </w:rPr>
      </w:pPr>
      <w:r w:rsidRPr="00FA1620">
        <w:rPr>
          <w:rFonts w:cs="Times New Roman"/>
          <w:b/>
        </w:rPr>
        <w:t>Výsledok hospodárenia bežného účtovného obdobia</w:t>
      </w:r>
      <w:r w:rsidRPr="00FA1620">
        <w:rPr>
          <w:rFonts w:cs="Times New Roman"/>
        </w:rPr>
        <w:t xml:space="preserve"> predstavuje čistý zisk (prírastok VI) alebo stratu (úbytok VI) za sledovaný rok. Táto položka je najvýznamnejšia, pretože výsledky hospodárenia priamo poukazujú na príspevok podniku k hodnote čistého bohatstva. </w:t>
      </w:r>
    </w:p>
    <w:p w14:paraId="494F6B34" w14:textId="5DF405CD" w:rsidR="00FB260E" w:rsidRPr="00FA1620" w:rsidRDefault="00FB260E" w:rsidP="00D3577E">
      <w:pPr>
        <w:pStyle w:val="Odsekzoznamu"/>
        <w:numPr>
          <w:ilvl w:val="0"/>
          <w:numId w:val="12"/>
        </w:numPr>
        <w:spacing w:after="120"/>
        <w:ind w:left="357" w:hanging="357"/>
        <w:jc w:val="both"/>
        <w:rPr>
          <w:rFonts w:cs="Times New Roman"/>
        </w:rPr>
      </w:pPr>
      <w:r w:rsidRPr="00FA1620">
        <w:rPr>
          <w:rFonts w:cs="Times New Roman"/>
          <w:b/>
        </w:rPr>
        <w:t xml:space="preserve">Dividendy </w:t>
      </w:r>
      <w:r w:rsidRPr="00FA1620">
        <w:rPr>
          <w:rFonts w:cs="Times New Roman"/>
        </w:rPr>
        <w:t>sú položkou, ktorá sa zvyčajne vypláca zo zisku minulého účtovného obdobia a spôsobuje úbytok vlastného imania. Dividendy môžu byť v danom roku vy</w:t>
      </w:r>
      <w:r w:rsidR="00902BA6" w:rsidRPr="00FA1620">
        <w:rPr>
          <w:rFonts w:cs="Times New Roman"/>
        </w:rPr>
        <w:t>platené, alebo len schválené na </w:t>
      </w:r>
      <w:r w:rsidRPr="00FA1620">
        <w:rPr>
          <w:rFonts w:cs="Times New Roman"/>
        </w:rPr>
        <w:t>rozdelenie a následne vyplatené v neskoršom období. Pri dividendách sú osobitne spomenuté superdividendy</w:t>
      </w:r>
      <w:r w:rsidRPr="00FA1620">
        <w:rPr>
          <w:rStyle w:val="Odkaznapoznmkupodiarou"/>
          <w:rFonts w:eastAsiaTheme="majorEastAsia"/>
        </w:rPr>
        <w:footnoteReference w:id="26"/>
      </w:r>
      <w:r w:rsidRPr="00FA1620">
        <w:rPr>
          <w:rFonts w:cs="Times New Roman"/>
        </w:rPr>
        <w:t xml:space="preserve">, ak ich výplata bola v danom roku u podniku zaznamenaná. </w:t>
      </w:r>
    </w:p>
    <w:p w14:paraId="06D08F0C" w14:textId="3005F651" w:rsidR="00FB260E" w:rsidRPr="00FA1620" w:rsidRDefault="00FB260E" w:rsidP="00D3577E">
      <w:pPr>
        <w:pStyle w:val="Odsekzoznamu"/>
        <w:numPr>
          <w:ilvl w:val="0"/>
          <w:numId w:val="12"/>
        </w:numPr>
        <w:spacing w:after="120"/>
        <w:ind w:left="357" w:hanging="357"/>
        <w:jc w:val="both"/>
        <w:rPr>
          <w:rFonts w:cs="Times New Roman"/>
        </w:rPr>
      </w:pPr>
      <w:r w:rsidRPr="00FA1620">
        <w:rPr>
          <w:rFonts w:cs="Times New Roman"/>
          <w:b/>
        </w:rPr>
        <w:t>Priame vklady spoločníkov do vlastného imania</w:t>
      </w:r>
      <w:r w:rsidRPr="00FA1620">
        <w:rPr>
          <w:rFonts w:cs="Times New Roman"/>
        </w:rPr>
        <w:t xml:space="preserve"> zvyšujú vlastné imanie spoločnosti</w:t>
      </w:r>
      <w:r w:rsidRPr="00FA1620">
        <w:rPr>
          <w:rStyle w:val="Odkaznapoznmkupodiarou"/>
          <w:rFonts w:eastAsiaTheme="majorEastAsia"/>
        </w:rPr>
        <w:footnoteReference w:id="27"/>
      </w:r>
      <w:r w:rsidRPr="00FA1620">
        <w:rPr>
          <w:rFonts w:cs="Times New Roman"/>
        </w:rPr>
        <w:t>. Pod priamymi vkladmi sa rozumejú peňažné a nepeňažné vklady do základného imania, do kapitálových fondov alebo</w:t>
      </w:r>
      <w:r w:rsidR="00FF06A7" w:rsidRPr="00FA1620">
        <w:rPr>
          <w:rFonts w:cs="Times New Roman"/>
        </w:rPr>
        <w:t> </w:t>
      </w:r>
      <w:r w:rsidRPr="00FA1620">
        <w:rPr>
          <w:rFonts w:cs="Times New Roman"/>
        </w:rPr>
        <w:t>vklady použité na úhradu straty.</w:t>
      </w:r>
    </w:p>
    <w:p w14:paraId="0A0C7B15" w14:textId="77777777" w:rsidR="00FB260E" w:rsidRPr="00FA1620" w:rsidRDefault="00FB260E" w:rsidP="00D3577E">
      <w:pPr>
        <w:pStyle w:val="Odsekzoznamu"/>
        <w:numPr>
          <w:ilvl w:val="0"/>
          <w:numId w:val="12"/>
        </w:numPr>
        <w:spacing w:after="120"/>
        <w:ind w:left="357" w:hanging="357"/>
        <w:jc w:val="both"/>
        <w:rPr>
          <w:rFonts w:cs="Times New Roman"/>
        </w:rPr>
      </w:pPr>
      <w:r w:rsidRPr="00FA1620">
        <w:rPr>
          <w:rFonts w:cs="Times New Roman"/>
          <w:b/>
        </w:rPr>
        <w:t>Zmeny precenenia majetku a záväzkov</w:t>
      </w:r>
      <w:r w:rsidRPr="00FA1620">
        <w:rPr>
          <w:rFonts w:cs="Times New Roman"/>
        </w:rPr>
        <w:t xml:space="preserve"> môžu znižovať aj zvyšovať vlastné imanie na základe rozdielu medzi účtovným a reálnym ocenením určitých položiek majetku a záväzkov. Konkrétne prípady sú bližšie vysvetlené pri jednotlivých spoločnostiach. </w:t>
      </w:r>
    </w:p>
    <w:p w14:paraId="1BDA7F31" w14:textId="77777777" w:rsidR="00FB260E" w:rsidRPr="00FA1620" w:rsidRDefault="00FB260E" w:rsidP="00D3577E">
      <w:pPr>
        <w:pStyle w:val="Odsekzoznamu"/>
        <w:numPr>
          <w:ilvl w:val="0"/>
          <w:numId w:val="12"/>
        </w:numPr>
        <w:spacing w:after="120"/>
        <w:ind w:left="357" w:hanging="357"/>
        <w:jc w:val="both"/>
        <w:rPr>
          <w:rFonts w:cs="Times New Roman"/>
        </w:rPr>
      </w:pPr>
      <w:r w:rsidRPr="00FA1620">
        <w:rPr>
          <w:rFonts w:cs="Times New Roman"/>
        </w:rPr>
        <w:t>Pod „</w:t>
      </w:r>
      <w:r w:rsidRPr="00FA1620">
        <w:rPr>
          <w:rFonts w:cs="Times New Roman"/>
          <w:b/>
        </w:rPr>
        <w:t>ostatné zmeny</w:t>
      </w:r>
      <w:r w:rsidRPr="00FA1620">
        <w:rPr>
          <w:rFonts w:cs="Times New Roman"/>
        </w:rPr>
        <w:t xml:space="preserve">“ zaraďujeme opravy významných chýb minulých účtovných období a rozdiely zo zmien použitých účtovných metód a účtovných zásad, ktoré sa účtujú priamo do vlastného imania (do výsledku hospodárenia minulých období), a ktoré môžu spôsobiť úbytok alebo prírastok vlastného imania podniku. Patria sem taktiež zmeny rezerv zo zabezpečovacích derivátov, prípadne zmeny iných rezerv, ktoré nesúvisia s preceňovaním. </w:t>
      </w:r>
    </w:p>
    <w:p w14:paraId="395F428D" w14:textId="77777777" w:rsidR="00FA1620" w:rsidRPr="00E11226" w:rsidRDefault="00FA1620" w:rsidP="00886720">
      <w:pPr>
        <w:spacing w:after="120" w:line="240" w:lineRule="auto"/>
        <w:jc w:val="both"/>
        <w:rPr>
          <w:szCs w:val="22"/>
        </w:rPr>
      </w:pPr>
      <w:r w:rsidRPr="00E11226">
        <w:rPr>
          <w:szCs w:val="22"/>
        </w:rPr>
        <w:t>Nasledujúca tabuľka predstavuje prehľad zmien vlastného imania vybraných štátnych podnikov. Uvedené podniky sa podieľajú až  8</w:t>
      </w:r>
      <w:r>
        <w:rPr>
          <w:szCs w:val="22"/>
        </w:rPr>
        <w:t>3</w:t>
      </w:r>
      <w:r w:rsidRPr="00E11226">
        <w:rPr>
          <w:szCs w:val="22"/>
        </w:rPr>
        <w:t>,</w:t>
      </w:r>
      <w:r>
        <w:rPr>
          <w:szCs w:val="22"/>
        </w:rPr>
        <w:t>3</w:t>
      </w:r>
      <w:r w:rsidRPr="00E11226">
        <w:rPr>
          <w:szCs w:val="22"/>
        </w:rPr>
        <w:t> % na celkovom vlastnom imaní všetkých podnikov štátnej správy po prepočte na vlastnícky podiel štátu.</w:t>
      </w:r>
    </w:p>
    <w:tbl>
      <w:tblPr>
        <w:tblW w:w="5084" w:type="pct"/>
        <w:tblLayout w:type="fixed"/>
        <w:tblCellMar>
          <w:left w:w="70" w:type="dxa"/>
          <w:right w:w="70" w:type="dxa"/>
        </w:tblCellMar>
        <w:tblLook w:val="04A0" w:firstRow="1" w:lastRow="0" w:firstColumn="1" w:lastColumn="0" w:noHBand="0" w:noVBand="1"/>
      </w:tblPr>
      <w:tblGrid>
        <w:gridCol w:w="2923"/>
        <w:gridCol w:w="361"/>
        <w:gridCol w:w="808"/>
        <w:gridCol w:w="232"/>
        <w:gridCol w:w="1084"/>
        <w:gridCol w:w="126"/>
        <w:gridCol w:w="896"/>
        <w:gridCol w:w="59"/>
        <w:gridCol w:w="966"/>
        <w:gridCol w:w="156"/>
        <w:gridCol w:w="886"/>
        <w:gridCol w:w="127"/>
        <w:gridCol w:w="877"/>
        <w:gridCol w:w="10"/>
      </w:tblGrid>
      <w:tr w:rsidR="00D21DEA" w:rsidRPr="00D21DEA" w14:paraId="1C99163B" w14:textId="77777777" w:rsidTr="00D21DEA">
        <w:trPr>
          <w:trHeight w:val="232"/>
        </w:trPr>
        <w:tc>
          <w:tcPr>
            <w:tcW w:w="5000" w:type="pct"/>
            <w:gridSpan w:val="14"/>
            <w:tcBorders>
              <w:top w:val="nil"/>
              <w:left w:val="nil"/>
              <w:bottom w:val="single" w:sz="4" w:space="0" w:color="auto"/>
              <w:right w:val="nil"/>
            </w:tcBorders>
            <w:shd w:val="clear" w:color="auto" w:fill="auto"/>
            <w:noWrap/>
            <w:vAlign w:val="bottom"/>
            <w:hideMark/>
          </w:tcPr>
          <w:p w14:paraId="1688E3D5" w14:textId="7A63D72C" w:rsidR="00FA1620" w:rsidRPr="00D21DEA" w:rsidRDefault="00D21DEA" w:rsidP="00D21DEA">
            <w:pPr>
              <w:spacing w:after="0" w:line="240" w:lineRule="auto"/>
              <w:rPr>
                <w:b/>
                <w:bCs/>
                <w:color w:val="4F81BD" w:themeColor="accent1"/>
                <w:sz w:val="20"/>
                <w:szCs w:val="20"/>
                <w:lang w:eastAsia="sk-SK"/>
              </w:rPr>
            </w:pPr>
            <w:r>
              <w:rPr>
                <w:b/>
                <w:bCs/>
                <w:color w:val="4F81BD" w:themeColor="accent1"/>
                <w:sz w:val="20"/>
                <w:szCs w:val="20"/>
                <w:lang w:eastAsia="sk-SK"/>
              </w:rPr>
              <w:t xml:space="preserve">Tabuľka 16 - </w:t>
            </w:r>
            <w:r w:rsidR="00FA1620" w:rsidRPr="00D21DEA">
              <w:rPr>
                <w:b/>
                <w:bCs/>
                <w:color w:val="4F81BD" w:themeColor="accent1"/>
                <w:sz w:val="20"/>
                <w:szCs w:val="20"/>
                <w:lang w:eastAsia="sk-SK"/>
              </w:rPr>
              <w:t>Medziročná zmena vlastného imania k 31 .12. 2022</w:t>
            </w:r>
            <w:r>
              <w:rPr>
                <w:b/>
                <w:bCs/>
                <w:color w:val="4F81BD" w:themeColor="accent1"/>
                <w:sz w:val="20"/>
                <w:szCs w:val="20"/>
                <w:lang w:eastAsia="sk-SK"/>
              </w:rPr>
              <w:t xml:space="preserve">                                                              v tis. eur</w:t>
            </w:r>
          </w:p>
        </w:tc>
      </w:tr>
      <w:tr w:rsidR="00FA1620" w:rsidRPr="001B4DEC" w14:paraId="2CB5C825" w14:textId="77777777" w:rsidTr="00D21DEA">
        <w:trPr>
          <w:gridAfter w:val="1"/>
          <w:wAfter w:w="5" w:type="pct"/>
          <w:trHeight w:val="465"/>
        </w:trPr>
        <w:tc>
          <w:tcPr>
            <w:tcW w:w="1536" w:type="pct"/>
            <w:tcBorders>
              <w:top w:val="nil"/>
              <w:left w:val="nil"/>
              <w:bottom w:val="single" w:sz="4" w:space="0" w:color="auto"/>
              <w:right w:val="nil"/>
            </w:tcBorders>
            <w:shd w:val="clear" w:color="auto" w:fill="auto"/>
            <w:noWrap/>
            <w:vAlign w:val="center"/>
            <w:hideMark/>
          </w:tcPr>
          <w:p w14:paraId="37F6A396" w14:textId="77777777" w:rsidR="00FA1620" w:rsidRPr="00E11226" w:rsidRDefault="00FA1620" w:rsidP="00CA4C99">
            <w:pPr>
              <w:spacing w:after="0" w:line="240" w:lineRule="auto"/>
              <w:rPr>
                <w:b/>
                <w:bCs/>
                <w:sz w:val="18"/>
                <w:szCs w:val="18"/>
                <w:lang w:eastAsia="sk-SK"/>
              </w:rPr>
            </w:pPr>
            <w:r w:rsidRPr="00E11226">
              <w:rPr>
                <w:b/>
                <w:bCs/>
                <w:sz w:val="18"/>
                <w:szCs w:val="18"/>
                <w:lang w:eastAsia="sk-SK"/>
              </w:rPr>
              <w:t>Podnik</w:t>
            </w:r>
          </w:p>
        </w:tc>
        <w:tc>
          <w:tcPr>
            <w:tcW w:w="615" w:type="pct"/>
            <w:gridSpan w:val="2"/>
            <w:tcBorders>
              <w:top w:val="nil"/>
              <w:left w:val="nil"/>
              <w:bottom w:val="single" w:sz="4" w:space="0" w:color="auto"/>
              <w:right w:val="nil"/>
            </w:tcBorders>
            <w:shd w:val="clear" w:color="auto" w:fill="auto"/>
            <w:vAlign w:val="center"/>
            <w:hideMark/>
          </w:tcPr>
          <w:p w14:paraId="0BEE7648" w14:textId="77777777" w:rsidR="00FA1620" w:rsidRPr="00E11226" w:rsidRDefault="00FA1620" w:rsidP="00CA4C99">
            <w:pPr>
              <w:spacing w:after="0" w:line="240" w:lineRule="auto"/>
              <w:jc w:val="center"/>
              <w:rPr>
                <w:b/>
                <w:bCs/>
                <w:sz w:val="18"/>
                <w:szCs w:val="18"/>
                <w:lang w:eastAsia="sk-SK"/>
              </w:rPr>
            </w:pPr>
            <w:r w:rsidRPr="00E11226">
              <w:rPr>
                <w:b/>
                <w:bCs/>
                <w:sz w:val="18"/>
                <w:szCs w:val="18"/>
                <w:lang w:eastAsia="sk-SK"/>
              </w:rPr>
              <w:t>VI</w:t>
            </w:r>
            <w:r w:rsidRPr="00E11226">
              <w:rPr>
                <w:b/>
                <w:bCs/>
                <w:sz w:val="18"/>
                <w:szCs w:val="18"/>
                <w:lang w:eastAsia="sk-SK"/>
              </w:rPr>
              <w:br/>
              <w:t xml:space="preserve"> Δ2022-2021</w:t>
            </w:r>
          </w:p>
        </w:tc>
        <w:tc>
          <w:tcPr>
            <w:tcW w:w="692" w:type="pct"/>
            <w:gridSpan w:val="2"/>
            <w:tcBorders>
              <w:top w:val="nil"/>
              <w:left w:val="nil"/>
              <w:bottom w:val="single" w:sz="4" w:space="0" w:color="auto"/>
              <w:right w:val="nil"/>
            </w:tcBorders>
            <w:shd w:val="clear" w:color="auto" w:fill="auto"/>
            <w:vAlign w:val="center"/>
            <w:hideMark/>
          </w:tcPr>
          <w:p w14:paraId="563C51E4" w14:textId="77777777" w:rsidR="00FA1620" w:rsidRPr="00E11226" w:rsidRDefault="00FA1620" w:rsidP="00CA4C99">
            <w:pPr>
              <w:spacing w:after="0" w:line="240" w:lineRule="auto"/>
              <w:jc w:val="center"/>
              <w:rPr>
                <w:b/>
                <w:bCs/>
                <w:sz w:val="18"/>
                <w:szCs w:val="18"/>
                <w:lang w:eastAsia="sk-SK"/>
              </w:rPr>
            </w:pPr>
            <w:r w:rsidRPr="00E11226">
              <w:rPr>
                <w:b/>
                <w:bCs/>
                <w:sz w:val="18"/>
                <w:szCs w:val="18"/>
                <w:lang w:eastAsia="sk-SK"/>
              </w:rPr>
              <w:t>Výsledok hospodárenia</w:t>
            </w:r>
          </w:p>
        </w:tc>
        <w:tc>
          <w:tcPr>
            <w:tcW w:w="537" w:type="pct"/>
            <w:gridSpan w:val="2"/>
            <w:tcBorders>
              <w:top w:val="nil"/>
              <w:left w:val="nil"/>
              <w:bottom w:val="single" w:sz="4" w:space="0" w:color="auto"/>
              <w:right w:val="nil"/>
            </w:tcBorders>
            <w:shd w:val="clear" w:color="auto" w:fill="auto"/>
            <w:vAlign w:val="center"/>
            <w:hideMark/>
          </w:tcPr>
          <w:p w14:paraId="631E7855" w14:textId="77777777" w:rsidR="00FA1620" w:rsidRPr="00E11226" w:rsidRDefault="00FA1620" w:rsidP="00CA4C99">
            <w:pPr>
              <w:spacing w:after="0" w:line="240" w:lineRule="auto"/>
              <w:jc w:val="center"/>
              <w:rPr>
                <w:b/>
                <w:bCs/>
                <w:sz w:val="18"/>
                <w:szCs w:val="18"/>
                <w:lang w:eastAsia="sk-SK"/>
              </w:rPr>
            </w:pPr>
            <w:r w:rsidRPr="00E11226">
              <w:rPr>
                <w:b/>
                <w:bCs/>
                <w:sz w:val="18"/>
                <w:szCs w:val="18"/>
                <w:lang w:eastAsia="sk-SK"/>
              </w:rPr>
              <w:t>Dividendy</w:t>
            </w:r>
          </w:p>
        </w:tc>
        <w:tc>
          <w:tcPr>
            <w:tcW w:w="539" w:type="pct"/>
            <w:gridSpan w:val="2"/>
            <w:tcBorders>
              <w:top w:val="nil"/>
              <w:left w:val="nil"/>
              <w:bottom w:val="single" w:sz="4" w:space="0" w:color="auto"/>
              <w:right w:val="nil"/>
            </w:tcBorders>
            <w:shd w:val="clear" w:color="auto" w:fill="auto"/>
            <w:vAlign w:val="center"/>
            <w:hideMark/>
          </w:tcPr>
          <w:p w14:paraId="22FB5349" w14:textId="77777777" w:rsidR="00FA1620" w:rsidRPr="00E11226" w:rsidRDefault="00FA1620" w:rsidP="00CA4C99">
            <w:pPr>
              <w:spacing w:after="0" w:line="240" w:lineRule="auto"/>
              <w:jc w:val="center"/>
              <w:rPr>
                <w:b/>
                <w:bCs/>
                <w:sz w:val="18"/>
                <w:szCs w:val="18"/>
                <w:lang w:eastAsia="sk-SK"/>
              </w:rPr>
            </w:pPr>
            <w:r>
              <w:rPr>
                <w:b/>
                <w:bCs/>
                <w:sz w:val="18"/>
                <w:szCs w:val="18"/>
                <w:lang w:eastAsia="sk-SK"/>
              </w:rPr>
              <w:t>Ocenenie</w:t>
            </w:r>
          </w:p>
        </w:tc>
        <w:tc>
          <w:tcPr>
            <w:tcW w:w="615" w:type="pct"/>
            <w:gridSpan w:val="3"/>
            <w:tcBorders>
              <w:top w:val="nil"/>
              <w:left w:val="nil"/>
              <w:bottom w:val="single" w:sz="4" w:space="0" w:color="auto"/>
              <w:right w:val="nil"/>
            </w:tcBorders>
            <w:shd w:val="clear" w:color="auto" w:fill="auto"/>
            <w:vAlign w:val="center"/>
            <w:hideMark/>
          </w:tcPr>
          <w:p w14:paraId="1EB6DB68" w14:textId="77777777" w:rsidR="00FA1620" w:rsidRPr="00E11226" w:rsidRDefault="00FA1620" w:rsidP="00CA4C99">
            <w:pPr>
              <w:spacing w:after="0" w:line="240" w:lineRule="auto"/>
              <w:jc w:val="center"/>
              <w:rPr>
                <w:b/>
                <w:bCs/>
                <w:sz w:val="18"/>
                <w:szCs w:val="18"/>
                <w:lang w:eastAsia="sk-SK"/>
              </w:rPr>
            </w:pPr>
            <w:r w:rsidRPr="00E11226">
              <w:rPr>
                <w:b/>
                <w:bCs/>
                <w:sz w:val="18"/>
                <w:szCs w:val="18"/>
                <w:lang w:eastAsia="sk-SK"/>
              </w:rPr>
              <w:t>Vklady spoločníkov</w:t>
            </w:r>
          </w:p>
        </w:tc>
        <w:tc>
          <w:tcPr>
            <w:tcW w:w="461" w:type="pct"/>
            <w:tcBorders>
              <w:top w:val="nil"/>
              <w:left w:val="nil"/>
              <w:bottom w:val="single" w:sz="4" w:space="0" w:color="auto"/>
              <w:right w:val="nil"/>
            </w:tcBorders>
            <w:shd w:val="clear" w:color="auto" w:fill="auto"/>
            <w:vAlign w:val="center"/>
            <w:hideMark/>
          </w:tcPr>
          <w:p w14:paraId="680BEDFC" w14:textId="77777777" w:rsidR="00FA1620" w:rsidRPr="00E11226" w:rsidRDefault="00FA1620" w:rsidP="00CA4C99">
            <w:pPr>
              <w:spacing w:after="0" w:line="240" w:lineRule="auto"/>
              <w:jc w:val="center"/>
              <w:rPr>
                <w:b/>
                <w:bCs/>
                <w:sz w:val="18"/>
                <w:szCs w:val="18"/>
                <w:lang w:eastAsia="sk-SK"/>
              </w:rPr>
            </w:pPr>
            <w:r w:rsidRPr="00E11226">
              <w:rPr>
                <w:b/>
                <w:bCs/>
                <w:sz w:val="18"/>
                <w:szCs w:val="18"/>
                <w:lang w:eastAsia="sk-SK"/>
              </w:rPr>
              <w:t>Ostatné</w:t>
            </w:r>
          </w:p>
        </w:tc>
      </w:tr>
      <w:tr w:rsidR="00FA1620" w:rsidRPr="001B4DEC" w14:paraId="51A1BEC5"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54CC06FC" w14:textId="77777777" w:rsidR="00FA1620" w:rsidRPr="00AF167D" w:rsidRDefault="00FA1620" w:rsidP="00CA4C99">
            <w:pPr>
              <w:spacing w:after="0" w:line="240" w:lineRule="auto"/>
              <w:rPr>
                <w:sz w:val="18"/>
                <w:szCs w:val="18"/>
                <w:lang w:eastAsia="sk-SK"/>
              </w:rPr>
            </w:pPr>
            <w:r w:rsidRPr="00AF167D">
              <w:rPr>
                <w:sz w:val="18"/>
                <w:szCs w:val="18"/>
                <w:lang w:eastAsia="sk-SK"/>
              </w:rPr>
              <w:t xml:space="preserve">Slovenské elektrárne, </w:t>
            </w:r>
            <w:proofErr w:type="spellStart"/>
            <w:r w:rsidRPr="00AF167D">
              <w:rPr>
                <w:sz w:val="18"/>
                <w:szCs w:val="18"/>
                <w:lang w:eastAsia="sk-SK"/>
              </w:rPr>
              <w:t>a.s</w:t>
            </w:r>
            <w:proofErr w:type="spellEnd"/>
            <w:r w:rsidRPr="00AF167D">
              <w:rPr>
                <w:sz w:val="18"/>
                <w:szCs w:val="18"/>
                <w:lang w:eastAsia="sk-SK"/>
              </w:rPr>
              <w:t>.</w:t>
            </w:r>
          </w:p>
        </w:tc>
        <w:tc>
          <w:tcPr>
            <w:tcW w:w="615" w:type="pct"/>
            <w:gridSpan w:val="2"/>
            <w:tcBorders>
              <w:top w:val="nil"/>
              <w:left w:val="nil"/>
              <w:bottom w:val="nil"/>
              <w:right w:val="nil"/>
            </w:tcBorders>
            <w:shd w:val="clear" w:color="auto" w:fill="auto"/>
            <w:noWrap/>
            <w:vAlign w:val="bottom"/>
          </w:tcPr>
          <w:p w14:paraId="3234DFB1"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368 758</w:t>
            </w:r>
          </w:p>
        </w:tc>
        <w:tc>
          <w:tcPr>
            <w:tcW w:w="692" w:type="pct"/>
            <w:gridSpan w:val="2"/>
            <w:tcBorders>
              <w:top w:val="nil"/>
              <w:left w:val="nil"/>
              <w:bottom w:val="nil"/>
              <w:right w:val="nil"/>
            </w:tcBorders>
            <w:shd w:val="clear" w:color="auto" w:fill="auto"/>
            <w:noWrap/>
            <w:vAlign w:val="bottom"/>
          </w:tcPr>
          <w:p w14:paraId="31766397"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-216 860</w:t>
            </w:r>
          </w:p>
        </w:tc>
        <w:tc>
          <w:tcPr>
            <w:tcW w:w="537" w:type="pct"/>
            <w:gridSpan w:val="2"/>
            <w:tcBorders>
              <w:top w:val="nil"/>
              <w:left w:val="nil"/>
              <w:bottom w:val="nil"/>
              <w:right w:val="nil"/>
            </w:tcBorders>
            <w:shd w:val="clear" w:color="auto" w:fill="auto"/>
            <w:noWrap/>
            <w:vAlign w:val="bottom"/>
          </w:tcPr>
          <w:p w14:paraId="25D76CFA"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0</w:t>
            </w:r>
          </w:p>
        </w:tc>
        <w:tc>
          <w:tcPr>
            <w:tcW w:w="539" w:type="pct"/>
            <w:gridSpan w:val="2"/>
            <w:tcBorders>
              <w:top w:val="nil"/>
              <w:left w:val="nil"/>
              <w:bottom w:val="nil"/>
              <w:right w:val="nil"/>
            </w:tcBorders>
            <w:shd w:val="clear" w:color="auto" w:fill="auto"/>
            <w:noWrap/>
            <w:vAlign w:val="bottom"/>
          </w:tcPr>
          <w:p w14:paraId="547C737C"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585 618</w:t>
            </w:r>
          </w:p>
        </w:tc>
        <w:tc>
          <w:tcPr>
            <w:tcW w:w="615" w:type="pct"/>
            <w:gridSpan w:val="3"/>
            <w:tcBorders>
              <w:top w:val="nil"/>
              <w:left w:val="nil"/>
              <w:bottom w:val="nil"/>
              <w:right w:val="nil"/>
            </w:tcBorders>
            <w:shd w:val="clear" w:color="auto" w:fill="auto"/>
            <w:noWrap/>
            <w:vAlign w:val="bottom"/>
          </w:tcPr>
          <w:p w14:paraId="45672C85"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0</w:t>
            </w:r>
          </w:p>
        </w:tc>
        <w:tc>
          <w:tcPr>
            <w:tcW w:w="461" w:type="pct"/>
            <w:tcBorders>
              <w:top w:val="nil"/>
              <w:left w:val="nil"/>
              <w:bottom w:val="nil"/>
              <w:right w:val="nil"/>
            </w:tcBorders>
            <w:shd w:val="clear" w:color="auto" w:fill="auto"/>
            <w:noWrap/>
            <w:vAlign w:val="bottom"/>
          </w:tcPr>
          <w:p w14:paraId="2223C74E" w14:textId="39A956C8" w:rsidR="00FA1620" w:rsidRPr="00AF167D"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11136" behindDoc="0" locked="0" layoutInCell="1" allowOverlap="1" wp14:anchorId="39F74801" wp14:editId="304A9E58">
                  <wp:simplePos x="0" y="0"/>
                  <wp:positionH relativeFrom="column">
                    <wp:posOffset>0</wp:posOffset>
                  </wp:positionH>
                  <wp:positionV relativeFrom="paragraph">
                    <wp:posOffset>0</wp:posOffset>
                  </wp:positionV>
                  <wp:extent cx="123825" cy="123825"/>
                  <wp:effectExtent l="0" t="0" r="9525" b="9525"/>
                  <wp:wrapNone/>
                  <wp:docPr id="271" name="Obrázok 271" descr="9D4GQ34QB727H10MA3SSAR2R9" hidden="1"/>
                  <wp:cNvGraphicFramePr/>
                  <a:graphic xmlns:a="http://schemas.openxmlformats.org/drawingml/2006/main">
                    <a:graphicData uri="http://schemas.openxmlformats.org/drawingml/2006/picture">
                      <pic:pic xmlns:pic="http://schemas.openxmlformats.org/drawingml/2006/picture">
                        <pic:nvPicPr>
                          <pic:cNvPr id="27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2160" behindDoc="0" locked="0" layoutInCell="1" allowOverlap="1" wp14:anchorId="5E922175" wp14:editId="6C314870">
                  <wp:simplePos x="0" y="0"/>
                  <wp:positionH relativeFrom="column">
                    <wp:posOffset>0</wp:posOffset>
                  </wp:positionH>
                  <wp:positionV relativeFrom="paragraph">
                    <wp:posOffset>0</wp:posOffset>
                  </wp:positionV>
                  <wp:extent cx="123825" cy="123825"/>
                  <wp:effectExtent l="0" t="0" r="9525" b="9525"/>
                  <wp:wrapNone/>
                  <wp:docPr id="272" name="Obrázok 272" descr="MEW27CPIFG44B7E7HEQUUF5QF" hidden="1"/>
                  <wp:cNvGraphicFramePr/>
                  <a:graphic xmlns:a="http://schemas.openxmlformats.org/drawingml/2006/main">
                    <a:graphicData uri="http://schemas.openxmlformats.org/drawingml/2006/picture">
                      <pic:pic xmlns:pic="http://schemas.openxmlformats.org/drawingml/2006/picture">
                        <pic:nvPicPr>
                          <pic:cNvPr id="27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3184" behindDoc="0" locked="0" layoutInCell="1" allowOverlap="1" wp14:anchorId="271A7034" wp14:editId="7FF98C92">
                  <wp:simplePos x="0" y="0"/>
                  <wp:positionH relativeFrom="column">
                    <wp:posOffset>0</wp:posOffset>
                  </wp:positionH>
                  <wp:positionV relativeFrom="paragraph">
                    <wp:posOffset>0</wp:posOffset>
                  </wp:positionV>
                  <wp:extent cx="123825" cy="123825"/>
                  <wp:effectExtent l="0" t="0" r="9525" b="9525"/>
                  <wp:wrapNone/>
                  <wp:docPr id="273" name="Obrázok 273" descr="9D4GQ34QB727H10MA3SSAR2R9" hidden="1"/>
                  <wp:cNvGraphicFramePr/>
                  <a:graphic xmlns:a="http://schemas.openxmlformats.org/drawingml/2006/main">
                    <a:graphicData uri="http://schemas.openxmlformats.org/drawingml/2006/picture">
                      <pic:pic xmlns:pic="http://schemas.openxmlformats.org/drawingml/2006/picture">
                        <pic:nvPicPr>
                          <pic:cNvPr id="27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4208" behindDoc="0" locked="0" layoutInCell="1" allowOverlap="1" wp14:anchorId="3C4F478B" wp14:editId="3238B017">
                  <wp:simplePos x="0" y="0"/>
                  <wp:positionH relativeFrom="column">
                    <wp:posOffset>0</wp:posOffset>
                  </wp:positionH>
                  <wp:positionV relativeFrom="paragraph">
                    <wp:posOffset>0</wp:posOffset>
                  </wp:positionV>
                  <wp:extent cx="123825" cy="123825"/>
                  <wp:effectExtent l="0" t="0" r="9525" b="9525"/>
                  <wp:wrapNone/>
                  <wp:docPr id="274" name="Obrázok 274" descr="MEW27CPIFG44B7E7HEQUUF5QF" hidden="1"/>
                  <wp:cNvGraphicFramePr/>
                  <a:graphic xmlns:a="http://schemas.openxmlformats.org/drawingml/2006/main">
                    <a:graphicData uri="http://schemas.openxmlformats.org/drawingml/2006/picture">
                      <pic:pic xmlns:pic="http://schemas.openxmlformats.org/drawingml/2006/picture">
                        <pic:nvPicPr>
                          <pic:cNvPr id="27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AF167D">
              <w:rPr>
                <w:sz w:val="18"/>
                <w:szCs w:val="18"/>
                <w:lang w:eastAsia="sk-SK"/>
              </w:rPr>
              <w:t>0</w:t>
            </w:r>
          </w:p>
        </w:tc>
      </w:tr>
      <w:tr w:rsidR="00FA1620" w:rsidRPr="001B4DEC" w14:paraId="6BD4683F"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452077B0" w14:textId="77777777" w:rsidR="00FA1620" w:rsidRPr="00AF167D" w:rsidRDefault="00FA1620" w:rsidP="00CA4C99">
            <w:pPr>
              <w:spacing w:after="0" w:line="240" w:lineRule="auto"/>
              <w:rPr>
                <w:sz w:val="18"/>
                <w:szCs w:val="18"/>
                <w:lang w:eastAsia="sk-SK"/>
              </w:rPr>
            </w:pPr>
            <w:proofErr w:type="spellStart"/>
            <w:r w:rsidRPr="00AF167D">
              <w:rPr>
                <w:sz w:val="18"/>
                <w:szCs w:val="18"/>
                <w:lang w:eastAsia="sk-SK"/>
              </w:rPr>
              <w:t>Slov.plynárenský</w:t>
            </w:r>
            <w:proofErr w:type="spellEnd"/>
            <w:r w:rsidRPr="00AF167D">
              <w:rPr>
                <w:sz w:val="18"/>
                <w:szCs w:val="18"/>
                <w:lang w:eastAsia="sk-SK"/>
              </w:rPr>
              <w:t xml:space="preserve"> priemysel, </w:t>
            </w:r>
            <w:proofErr w:type="spellStart"/>
            <w:r w:rsidRPr="00AF167D">
              <w:rPr>
                <w:sz w:val="18"/>
                <w:szCs w:val="18"/>
                <w:lang w:eastAsia="sk-SK"/>
              </w:rPr>
              <w:t>a.s</w:t>
            </w:r>
            <w:proofErr w:type="spellEnd"/>
            <w:r w:rsidRPr="00AF167D">
              <w:rPr>
                <w:sz w:val="18"/>
                <w:szCs w:val="18"/>
                <w:lang w:eastAsia="sk-SK"/>
              </w:rPr>
              <w:t>.</w:t>
            </w:r>
          </w:p>
        </w:tc>
        <w:tc>
          <w:tcPr>
            <w:tcW w:w="615" w:type="pct"/>
            <w:gridSpan w:val="2"/>
            <w:tcBorders>
              <w:top w:val="nil"/>
              <w:left w:val="nil"/>
              <w:bottom w:val="nil"/>
              <w:right w:val="nil"/>
            </w:tcBorders>
            <w:shd w:val="clear" w:color="auto" w:fill="auto"/>
            <w:noWrap/>
            <w:vAlign w:val="bottom"/>
          </w:tcPr>
          <w:p w14:paraId="099C78E7"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365 325</w:t>
            </w:r>
          </w:p>
        </w:tc>
        <w:tc>
          <w:tcPr>
            <w:tcW w:w="692" w:type="pct"/>
            <w:gridSpan w:val="2"/>
            <w:tcBorders>
              <w:top w:val="nil"/>
              <w:left w:val="nil"/>
              <w:bottom w:val="nil"/>
              <w:right w:val="nil"/>
            </w:tcBorders>
            <w:shd w:val="clear" w:color="auto" w:fill="auto"/>
            <w:noWrap/>
            <w:vAlign w:val="bottom"/>
          </w:tcPr>
          <w:p w14:paraId="52D6E0DA"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24 978</w:t>
            </w:r>
          </w:p>
        </w:tc>
        <w:tc>
          <w:tcPr>
            <w:tcW w:w="537" w:type="pct"/>
            <w:gridSpan w:val="2"/>
            <w:tcBorders>
              <w:top w:val="nil"/>
              <w:left w:val="nil"/>
              <w:bottom w:val="nil"/>
              <w:right w:val="nil"/>
            </w:tcBorders>
            <w:shd w:val="clear" w:color="auto" w:fill="auto"/>
            <w:noWrap/>
            <w:vAlign w:val="bottom"/>
          </w:tcPr>
          <w:p w14:paraId="187CE81C"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-2</w:t>
            </w:r>
            <w:r>
              <w:rPr>
                <w:sz w:val="18"/>
                <w:szCs w:val="18"/>
                <w:lang w:eastAsia="sk-SK"/>
              </w:rPr>
              <w:t>20 0</w:t>
            </w:r>
            <w:r w:rsidRPr="00AF167D">
              <w:rPr>
                <w:sz w:val="18"/>
                <w:szCs w:val="18"/>
                <w:lang w:eastAsia="sk-SK"/>
              </w:rPr>
              <w:t>00</w:t>
            </w:r>
          </w:p>
        </w:tc>
        <w:tc>
          <w:tcPr>
            <w:tcW w:w="539" w:type="pct"/>
            <w:gridSpan w:val="2"/>
            <w:tcBorders>
              <w:top w:val="nil"/>
              <w:left w:val="nil"/>
              <w:bottom w:val="nil"/>
              <w:right w:val="nil"/>
            </w:tcBorders>
            <w:shd w:val="clear" w:color="auto" w:fill="auto"/>
            <w:noWrap/>
            <w:vAlign w:val="bottom"/>
          </w:tcPr>
          <w:p w14:paraId="0AE136A4"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64 083</w:t>
            </w:r>
          </w:p>
        </w:tc>
        <w:tc>
          <w:tcPr>
            <w:tcW w:w="615" w:type="pct"/>
            <w:gridSpan w:val="3"/>
            <w:tcBorders>
              <w:top w:val="nil"/>
              <w:left w:val="nil"/>
              <w:bottom w:val="nil"/>
              <w:right w:val="nil"/>
            </w:tcBorders>
            <w:shd w:val="clear" w:color="auto" w:fill="auto"/>
            <w:noWrap/>
            <w:vAlign w:val="bottom"/>
          </w:tcPr>
          <w:p w14:paraId="7CF9FB74"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500 000</w:t>
            </w:r>
          </w:p>
        </w:tc>
        <w:tc>
          <w:tcPr>
            <w:tcW w:w="461" w:type="pct"/>
            <w:tcBorders>
              <w:top w:val="nil"/>
              <w:left w:val="nil"/>
              <w:bottom w:val="nil"/>
              <w:right w:val="nil"/>
            </w:tcBorders>
            <w:shd w:val="clear" w:color="auto" w:fill="auto"/>
            <w:noWrap/>
            <w:vAlign w:val="bottom"/>
          </w:tcPr>
          <w:p w14:paraId="1D309518" w14:textId="6B606684" w:rsidR="00FA1620" w:rsidRPr="00AF167D"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15232" behindDoc="0" locked="0" layoutInCell="1" allowOverlap="1" wp14:anchorId="4878725E" wp14:editId="48EA9B9B">
                  <wp:simplePos x="0" y="0"/>
                  <wp:positionH relativeFrom="column">
                    <wp:posOffset>0</wp:posOffset>
                  </wp:positionH>
                  <wp:positionV relativeFrom="paragraph">
                    <wp:posOffset>0</wp:posOffset>
                  </wp:positionV>
                  <wp:extent cx="123825" cy="123825"/>
                  <wp:effectExtent l="0" t="0" r="9525" b="9525"/>
                  <wp:wrapNone/>
                  <wp:docPr id="269" name="Obrázok 269" descr="9D4GQ34QB727H10MA3SSAR2R9" hidden="1"/>
                  <wp:cNvGraphicFramePr/>
                  <a:graphic xmlns:a="http://schemas.openxmlformats.org/drawingml/2006/main">
                    <a:graphicData uri="http://schemas.openxmlformats.org/drawingml/2006/picture">
                      <pic:pic xmlns:pic="http://schemas.openxmlformats.org/drawingml/2006/picture">
                        <pic:nvPicPr>
                          <pic:cNvPr id="26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6256" behindDoc="0" locked="0" layoutInCell="1" allowOverlap="1" wp14:anchorId="4FC855F1" wp14:editId="7E9375D7">
                  <wp:simplePos x="0" y="0"/>
                  <wp:positionH relativeFrom="column">
                    <wp:posOffset>0</wp:posOffset>
                  </wp:positionH>
                  <wp:positionV relativeFrom="paragraph">
                    <wp:posOffset>0</wp:posOffset>
                  </wp:positionV>
                  <wp:extent cx="123825" cy="123825"/>
                  <wp:effectExtent l="0" t="0" r="9525" b="9525"/>
                  <wp:wrapNone/>
                  <wp:docPr id="270" name="Obrázok 270" descr="MEW27CPIFG44B7E7HEQUUF5QF" hidden="1"/>
                  <wp:cNvGraphicFramePr/>
                  <a:graphic xmlns:a="http://schemas.openxmlformats.org/drawingml/2006/main">
                    <a:graphicData uri="http://schemas.openxmlformats.org/drawingml/2006/picture">
                      <pic:pic xmlns:pic="http://schemas.openxmlformats.org/drawingml/2006/picture">
                        <pic:nvPicPr>
                          <pic:cNvPr id="27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sz w:val="18"/>
                <w:szCs w:val="18"/>
                <w:lang w:eastAsia="sk-SK"/>
              </w:rPr>
              <w:t>-3 736</w:t>
            </w:r>
          </w:p>
        </w:tc>
      </w:tr>
      <w:tr w:rsidR="00FA1620" w:rsidRPr="001B4DEC" w14:paraId="37374216"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4EB0315F" w14:textId="77777777" w:rsidR="00FA1620" w:rsidRPr="00AF167D" w:rsidRDefault="00FA1620" w:rsidP="00CA4C99">
            <w:pPr>
              <w:spacing w:after="0" w:line="240" w:lineRule="auto"/>
              <w:rPr>
                <w:sz w:val="18"/>
                <w:szCs w:val="18"/>
                <w:lang w:eastAsia="sk-SK"/>
              </w:rPr>
            </w:pPr>
            <w:proofErr w:type="spellStart"/>
            <w:r w:rsidRPr="00AF167D">
              <w:rPr>
                <w:sz w:val="18"/>
                <w:szCs w:val="18"/>
                <w:lang w:eastAsia="sk-SK"/>
              </w:rPr>
              <w:t>Slov.elektr</w:t>
            </w:r>
            <w:proofErr w:type="spellEnd"/>
            <w:r w:rsidRPr="00AF167D">
              <w:rPr>
                <w:sz w:val="18"/>
                <w:szCs w:val="18"/>
                <w:lang w:eastAsia="sk-SK"/>
              </w:rPr>
              <w:t xml:space="preserve">. a prenos. sústava, </w:t>
            </w:r>
            <w:proofErr w:type="spellStart"/>
            <w:r w:rsidRPr="00AF167D">
              <w:rPr>
                <w:sz w:val="18"/>
                <w:szCs w:val="18"/>
                <w:lang w:eastAsia="sk-SK"/>
              </w:rPr>
              <w:t>a.s</w:t>
            </w:r>
            <w:proofErr w:type="spellEnd"/>
            <w:r w:rsidRPr="00AF167D">
              <w:rPr>
                <w:sz w:val="18"/>
                <w:szCs w:val="18"/>
                <w:lang w:eastAsia="sk-SK"/>
              </w:rPr>
              <w:t>.</w:t>
            </w:r>
          </w:p>
        </w:tc>
        <w:tc>
          <w:tcPr>
            <w:tcW w:w="615" w:type="pct"/>
            <w:gridSpan w:val="2"/>
            <w:tcBorders>
              <w:top w:val="nil"/>
              <w:left w:val="nil"/>
              <w:bottom w:val="nil"/>
              <w:right w:val="nil"/>
            </w:tcBorders>
            <w:shd w:val="clear" w:color="auto" w:fill="auto"/>
            <w:noWrap/>
            <w:vAlign w:val="bottom"/>
          </w:tcPr>
          <w:p w14:paraId="5862E659"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103 831</w:t>
            </w:r>
          </w:p>
        </w:tc>
        <w:tc>
          <w:tcPr>
            <w:tcW w:w="692" w:type="pct"/>
            <w:gridSpan w:val="2"/>
            <w:tcBorders>
              <w:top w:val="nil"/>
              <w:left w:val="nil"/>
              <w:bottom w:val="nil"/>
              <w:right w:val="nil"/>
            </w:tcBorders>
            <w:shd w:val="clear" w:color="auto" w:fill="auto"/>
            <w:noWrap/>
            <w:vAlign w:val="bottom"/>
          </w:tcPr>
          <w:p w14:paraId="652BC031"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105 142</w:t>
            </w:r>
          </w:p>
        </w:tc>
        <w:tc>
          <w:tcPr>
            <w:tcW w:w="537" w:type="pct"/>
            <w:gridSpan w:val="2"/>
            <w:tcBorders>
              <w:top w:val="nil"/>
              <w:left w:val="nil"/>
              <w:bottom w:val="nil"/>
              <w:right w:val="nil"/>
            </w:tcBorders>
            <w:shd w:val="clear" w:color="auto" w:fill="auto"/>
            <w:noWrap/>
            <w:vAlign w:val="bottom"/>
          </w:tcPr>
          <w:p w14:paraId="5A790C2A"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0</w:t>
            </w:r>
          </w:p>
        </w:tc>
        <w:tc>
          <w:tcPr>
            <w:tcW w:w="539" w:type="pct"/>
            <w:gridSpan w:val="2"/>
            <w:tcBorders>
              <w:top w:val="nil"/>
              <w:left w:val="nil"/>
              <w:bottom w:val="nil"/>
              <w:right w:val="nil"/>
            </w:tcBorders>
            <w:shd w:val="clear" w:color="auto" w:fill="auto"/>
            <w:noWrap/>
            <w:vAlign w:val="bottom"/>
          </w:tcPr>
          <w:p w14:paraId="70D48477" w14:textId="7AEC218C" w:rsidR="00FA1620" w:rsidRPr="00AF167D"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17280" behindDoc="0" locked="0" layoutInCell="1" allowOverlap="1" wp14:anchorId="5395D791" wp14:editId="04DBAF99">
                  <wp:simplePos x="0" y="0"/>
                  <wp:positionH relativeFrom="column">
                    <wp:posOffset>0</wp:posOffset>
                  </wp:positionH>
                  <wp:positionV relativeFrom="paragraph">
                    <wp:posOffset>0</wp:posOffset>
                  </wp:positionV>
                  <wp:extent cx="123825" cy="123825"/>
                  <wp:effectExtent l="0" t="0" r="9525" b="9525"/>
                  <wp:wrapNone/>
                  <wp:docPr id="536" name="Obrázok 536" descr="9D4GQ34QB727H10MA3SSAR2R9" hidden="1"/>
                  <wp:cNvGraphicFramePr/>
                  <a:graphic xmlns:a="http://schemas.openxmlformats.org/drawingml/2006/main">
                    <a:graphicData uri="http://schemas.openxmlformats.org/drawingml/2006/picture">
                      <pic:pic xmlns:pic="http://schemas.openxmlformats.org/drawingml/2006/picture">
                        <pic:nvPicPr>
                          <pic:cNvPr id="536"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8304" behindDoc="0" locked="0" layoutInCell="1" allowOverlap="1" wp14:anchorId="367BA76C" wp14:editId="655A4BFA">
                  <wp:simplePos x="0" y="0"/>
                  <wp:positionH relativeFrom="column">
                    <wp:posOffset>0</wp:posOffset>
                  </wp:positionH>
                  <wp:positionV relativeFrom="paragraph">
                    <wp:posOffset>0</wp:posOffset>
                  </wp:positionV>
                  <wp:extent cx="123825" cy="123825"/>
                  <wp:effectExtent l="0" t="0" r="9525" b="9525"/>
                  <wp:wrapNone/>
                  <wp:docPr id="537" name="Obrázok 537" descr="MEW27CPIFG44B7E7HEQUUF5QF" hidden="1"/>
                  <wp:cNvGraphicFramePr/>
                  <a:graphic xmlns:a="http://schemas.openxmlformats.org/drawingml/2006/main">
                    <a:graphicData uri="http://schemas.openxmlformats.org/drawingml/2006/picture">
                      <pic:pic xmlns:pic="http://schemas.openxmlformats.org/drawingml/2006/picture">
                        <pic:nvPicPr>
                          <pic:cNvPr id="537"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19328" behindDoc="0" locked="0" layoutInCell="1" allowOverlap="1" wp14:anchorId="40D2BA98" wp14:editId="1A65F051">
                  <wp:simplePos x="0" y="0"/>
                  <wp:positionH relativeFrom="column">
                    <wp:posOffset>0</wp:posOffset>
                  </wp:positionH>
                  <wp:positionV relativeFrom="paragraph">
                    <wp:posOffset>0</wp:posOffset>
                  </wp:positionV>
                  <wp:extent cx="123825" cy="123825"/>
                  <wp:effectExtent l="0" t="0" r="9525" b="9525"/>
                  <wp:wrapNone/>
                  <wp:docPr id="538" name="Obrázok 538" descr="9D4GQ34QB727H10MA3SSAR2R9" hidden="1"/>
                  <wp:cNvGraphicFramePr/>
                  <a:graphic xmlns:a="http://schemas.openxmlformats.org/drawingml/2006/main">
                    <a:graphicData uri="http://schemas.openxmlformats.org/drawingml/2006/picture">
                      <pic:pic xmlns:pic="http://schemas.openxmlformats.org/drawingml/2006/picture">
                        <pic:nvPicPr>
                          <pic:cNvPr id="538"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0352" behindDoc="0" locked="0" layoutInCell="1" allowOverlap="1" wp14:anchorId="6F4D2352" wp14:editId="1148B106">
                  <wp:simplePos x="0" y="0"/>
                  <wp:positionH relativeFrom="column">
                    <wp:posOffset>0</wp:posOffset>
                  </wp:positionH>
                  <wp:positionV relativeFrom="paragraph">
                    <wp:posOffset>0</wp:posOffset>
                  </wp:positionV>
                  <wp:extent cx="123825" cy="123825"/>
                  <wp:effectExtent l="0" t="0" r="9525" b="9525"/>
                  <wp:wrapNone/>
                  <wp:docPr id="539" name="Obrázok 539" descr="MEW27CPIFG44B7E7HEQUUF5QF" hidden="1"/>
                  <wp:cNvGraphicFramePr/>
                  <a:graphic xmlns:a="http://schemas.openxmlformats.org/drawingml/2006/main">
                    <a:graphicData uri="http://schemas.openxmlformats.org/drawingml/2006/picture">
                      <pic:pic xmlns:pic="http://schemas.openxmlformats.org/drawingml/2006/picture">
                        <pic:nvPicPr>
                          <pic:cNvPr id="539"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AF167D">
              <w:rPr>
                <w:sz w:val="18"/>
                <w:szCs w:val="18"/>
                <w:lang w:eastAsia="sk-SK"/>
              </w:rPr>
              <w:t xml:space="preserve">-1 </w:t>
            </w:r>
            <w:r>
              <w:rPr>
                <w:sz w:val="18"/>
                <w:szCs w:val="18"/>
                <w:lang w:eastAsia="sk-SK"/>
              </w:rPr>
              <w:t>311</w:t>
            </w:r>
          </w:p>
        </w:tc>
        <w:tc>
          <w:tcPr>
            <w:tcW w:w="615" w:type="pct"/>
            <w:gridSpan w:val="3"/>
            <w:tcBorders>
              <w:top w:val="nil"/>
              <w:left w:val="nil"/>
              <w:bottom w:val="nil"/>
              <w:right w:val="nil"/>
            </w:tcBorders>
            <w:shd w:val="clear" w:color="auto" w:fill="auto"/>
            <w:noWrap/>
            <w:vAlign w:val="bottom"/>
          </w:tcPr>
          <w:p w14:paraId="23EAC7F0"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0</w:t>
            </w:r>
          </w:p>
        </w:tc>
        <w:tc>
          <w:tcPr>
            <w:tcW w:w="461" w:type="pct"/>
            <w:tcBorders>
              <w:top w:val="nil"/>
              <w:left w:val="nil"/>
              <w:bottom w:val="nil"/>
              <w:right w:val="nil"/>
            </w:tcBorders>
            <w:shd w:val="clear" w:color="auto" w:fill="auto"/>
            <w:noWrap/>
            <w:vAlign w:val="bottom"/>
          </w:tcPr>
          <w:p w14:paraId="0104FBA9" w14:textId="3817255C" w:rsidR="00FA1620" w:rsidRPr="00AF167D"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21376" behindDoc="0" locked="0" layoutInCell="1" allowOverlap="1" wp14:anchorId="7D50F347" wp14:editId="5FBEDC52">
                  <wp:simplePos x="0" y="0"/>
                  <wp:positionH relativeFrom="column">
                    <wp:posOffset>0</wp:posOffset>
                  </wp:positionH>
                  <wp:positionV relativeFrom="paragraph">
                    <wp:posOffset>0</wp:posOffset>
                  </wp:positionV>
                  <wp:extent cx="123825" cy="123825"/>
                  <wp:effectExtent l="0" t="0" r="9525" b="9525"/>
                  <wp:wrapNone/>
                  <wp:docPr id="257" name="Obrázok 257" descr="9D4GQ34QB727H10MA3SSAR2R9" hidden="1"/>
                  <wp:cNvGraphicFramePr/>
                  <a:graphic xmlns:a="http://schemas.openxmlformats.org/drawingml/2006/main">
                    <a:graphicData uri="http://schemas.openxmlformats.org/drawingml/2006/picture">
                      <pic:pic xmlns:pic="http://schemas.openxmlformats.org/drawingml/2006/picture">
                        <pic:nvPicPr>
                          <pic:cNvPr id="25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2400" behindDoc="0" locked="0" layoutInCell="1" allowOverlap="1" wp14:anchorId="2591D99D" wp14:editId="6F204318">
                  <wp:simplePos x="0" y="0"/>
                  <wp:positionH relativeFrom="column">
                    <wp:posOffset>0</wp:posOffset>
                  </wp:positionH>
                  <wp:positionV relativeFrom="paragraph">
                    <wp:posOffset>0</wp:posOffset>
                  </wp:positionV>
                  <wp:extent cx="123825" cy="123825"/>
                  <wp:effectExtent l="0" t="0" r="9525" b="9525"/>
                  <wp:wrapNone/>
                  <wp:docPr id="258" name="Obrázok 258" descr="MEW27CPIFG44B7E7HEQUUF5QF" hidden="1"/>
                  <wp:cNvGraphicFramePr/>
                  <a:graphic xmlns:a="http://schemas.openxmlformats.org/drawingml/2006/main">
                    <a:graphicData uri="http://schemas.openxmlformats.org/drawingml/2006/picture">
                      <pic:pic xmlns:pic="http://schemas.openxmlformats.org/drawingml/2006/picture">
                        <pic:nvPicPr>
                          <pic:cNvPr id="25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3424" behindDoc="0" locked="0" layoutInCell="1" allowOverlap="1" wp14:anchorId="67562863" wp14:editId="51D8B4B3">
                  <wp:simplePos x="0" y="0"/>
                  <wp:positionH relativeFrom="column">
                    <wp:posOffset>0</wp:posOffset>
                  </wp:positionH>
                  <wp:positionV relativeFrom="paragraph">
                    <wp:posOffset>0</wp:posOffset>
                  </wp:positionV>
                  <wp:extent cx="123825" cy="123825"/>
                  <wp:effectExtent l="0" t="0" r="9525" b="9525"/>
                  <wp:wrapNone/>
                  <wp:docPr id="259" name="Obrázok 259" descr="9D4GQ34QB727H10MA3SSAR2R9" hidden="1"/>
                  <wp:cNvGraphicFramePr/>
                  <a:graphic xmlns:a="http://schemas.openxmlformats.org/drawingml/2006/main">
                    <a:graphicData uri="http://schemas.openxmlformats.org/drawingml/2006/picture">
                      <pic:pic xmlns:pic="http://schemas.openxmlformats.org/drawingml/2006/picture">
                        <pic:nvPicPr>
                          <pic:cNvPr id="25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4448" behindDoc="0" locked="0" layoutInCell="1" allowOverlap="1" wp14:anchorId="6F583B53" wp14:editId="568D1405">
                  <wp:simplePos x="0" y="0"/>
                  <wp:positionH relativeFrom="column">
                    <wp:posOffset>0</wp:posOffset>
                  </wp:positionH>
                  <wp:positionV relativeFrom="paragraph">
                    <wp:posOffset>0</wp:posOffset>
                  </wp:positionV>
                  <wp:extent cx="123825" cy="123825"/>
                  <wp:effectExtent l="0" t="0" r="9525" b="9525"/>
                  <wp:wrapNone/>
                  <wp:docPr id="260" name="Obrázok 260" descr="MEW27CPIFG44B7E7HEQUUF5QF" hidden="1"/>
                  <wp:cNvGraphicFramePr/>
                  <a:graphic xmlns:a="http://schemas.openxmlformats.org/drawingml/2006/main">
                    <a:graphicData uri="http://schemas.openxmlformats.org/drawingml/2006/picture">
                      <pic:pic xmlns:pic="http://schemas.openxmlformats.org/drawingml/2006/picture">
                        <pic:nvPicPr>
                          <pic:cNvPr id="26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sz w:val="18"/>
                <w:szCs w:val="18"/>
                <w:lang w:eastAsia="sk-SK"/>
              </w:rPr>
              <w:t>0</w:t>
            </w:r>
          </w:p>
        </w:tc>
      </w:tr>
      <w:tr w:rsidR="00FA1620" w:rsidRPr="001B4DEC" w14:paraId="49BCF2DB"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5DEF089A" w14:textId="77777777" w:rsidR="00FA1620" w:rsidRPr="001B4DEC" w:rsidRDefault="00FA1620" w:rsidP="00CA4C99">
            <w:pPr>
              <w:spacing w:after="0" w:line="240" w:lineRule="auto"/>
              <w:rPr>
                <w:color w:val="FF0000"/>
                <w:sz w:val="18"/>
                <w:szCs w:val="18"/>
                <w:lang w:eastAsia="sk-SK"/>
              </w:rPr>
            </w:pPr>
            <w:r>
              <w:rPr>
                <w:sz w:val="18"/>
                <w:szCs w:val="18"/>
                <w:lang w:eastAsia="sk-SK"/>
              </w:rPr>
              <w:t xml:space="preserve">Vodohospodárska výstavba, </w:t>
            </w:r>
            <w:proofErr w:type="spellStart"/>
            <w:r>
              <w:rPr>
                <w:sz w:val="18"/>
                <w:szCs w:val="18"/>
                <w:lang w:eastAsia="sk-SK"/>
              </w:rPr>
              <w:t>š.p</w:t>
            </w:r>
            <w:proofErr w:type="spellEnd"/>
            <w:r>
              <w:rPr>
                <w:sz w:val="18"/>
                <w:szCs w:val="18"/>
                <w:lang w:eastAsia="sk-SK"/>
              </w:rPr>
              <w:t>.</w:t>
            </w:r>
          </w:p>
        </w:tc>
        <w:tc>
          <w:tcPr>
            <w:tcW w:w="615" w:type="pct"/>
            <w:gridSpan w:val="2"/>
            <w:tcBorders>
              <w:top w:val="nil"/>
              <w:left w:val="nil"/>
              <w:bottom w:val="nil"/>
              <w:right w:val="nil"/>
            </w:tcBorders>
            <w:shd w:val="clear" w:color="auto" w:fill="auto"/>
            <w:noWrap/>
            <w:vAlign w:val="bottom"/>
          </w:tcPr>
          <w:p w14:paraId="3629F39B"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82 824</w:t>
            </w:r>
          </w:p>
        </w:tc>
        <w:tc>
          <w:tcPr>
            <w:tcW w:w="692" w:type="pct"/>
            <w:gridSpan w:val="2"/>
            <w:tcBorders>
              <w:top w:val="nil"/>
              <w:left w:val="nil"/>
              <w:bottom w:val="nil"/>
              <w:right w:val="nil"/>
            </w:tcBorders>
            <w:shd w:val="clear" w:color="auto" w:fill="auto"/>
            <w:noWrap/>
            <w:vAlign w:val="bottom"/>
          </w:tcPr>
          <w:p w14:paraId="02735E39"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113 150</w:t>
            </w:r>
          </w:p>
        </w:tc>
        <w:tc>
          <w:tcPr>
            <w:tcW w:w="537" w:type="pct"/>
            <w:gridSpan w:val="2"/>
            <w:tcBorders>
              <w:top w:val="nil"/>
              <w:left w:val="nil"/>
              <w:bottom w:val="nil"/>
              <w:right w:val="nil"/>
            </w:tcBorders>
            <w:shd w:val="clear" w:color="auto" w:fill="auto"/>
            <w:noWrap/>
            <w:vAlign w:val="bottom"/>
          </w:tcPr>
          <w:p w14:paraId="1EF26D2D"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-2 984</w:t>
            </w:r>
          </w:p>
        </w:tc>
        <w:tc>
          <w:tcPr>
            <w:tcW w:w="539" w:type="pct"/>
            <w:gridSpan w:val="2"/>
            <w:tcBorders>
              <w:top w:val="nil"/>
              <w:left w:val="nil"/>
              <w:bottom w:val="nil"/>
              <w:right w:val="nil"/>
            </w:tcBorders>
            <w:shd w:val="clear" w:color="auto" w:fill="auto"/>
            <w:noWrap/>
            <w:vAlign w:val="bottom"/>
          </w:tcPr>
          <w:p w14:paraId="5553213A"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1 021</w:t>
            </w:r>
          </w:p>
        </w:tc>
        <w:tc>
          <w:tcPr>
            <w:tcW w:w="615" w:type="pct"/>
            <w:gridSpan w:val="3"/>
            <w:tcBorders>
              <w:top w:val="nil"/>
              <w:left w:val="nil"/>
              <w:bottom w:val="nil"/>
              <w:right w:val="nil"/>
            </w:tcBorders>
            <w:shd w:val="clear" w:color="auto" w:fill="auto"/>
            <w:noWrap/>
            <w:vAlign w:val="bottom"/>
          </w:tcPr>
          <w:p w14:paraId="712EA2A8"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0</w:t>
            </w:r>
          </w:p>
        </w:tc>
        <w:tc>
          <w:tcPr>
            <w:tcW w:w="461" w:type="pct"/>
            <w:tcBorders>
              <w:top w:val="nil"/>
              <w:left w:val="nil"/>
              <w:bottom w:val="nil"/>
              <w:right w:val="nil"/>
            </w:tcBorders>
            <w:shd w:val="clear" w:color="auto" w:fill="auto"/>
            <w:noWrap/>
            <w:vAlign w:val="bottom"/>
          </w:tcPr>
          <w:p w14:paraId="2522F926" w14:textId="0C8EAF7C" w:rsidR="00FA1620" w:rsidRPr="00AF167D"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25472" behindDoc="0" locked="0" layoutInCell="1" allowOverlap="1" wp14:anchorId="26E8C56E" wp14:editId="27A553DB">
                  <wp:simplePos x="0" y="0"/>
                  <wp:positionH relativeFrom="column">
                    <wp:posOffset>0</wp:posOffset>
                  </wp:positionH>
                  <wp:positionV relativeFrom="paragraph">
                    <wp:posOffset>0</wp:posOffset>
                  </wp:positionV>
                  <wp:extent cx="123825" cy="123825"/>
                  <wp:effectExtent l="0" t="0" r="9525" b="9525"/>
                  <wp:wrapNone/>
                  <wp:docPr id="373" name="Obrázok 373" descr="9D4GQ34QB727H10MA3SSAR2R9" hidden="1"/>
                  <wp:cNvGraphicFramePr/>
                  <a:graphic xmlns:a="http://schemas.openxmlformats.org/drawingml/2006/main">
                    <a:graphicData uri="http://schemas.openxmlformats.org/drawingml/2006/picture">
                      <pic:pic xmlns:pic="http://schemas.openxmlformats.org/drawingml/2006/picture">
                        <pic:nvPicPr>
                          <pic:cNvPr id="37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6496" behindDoc="0" locked="0" layoutInCell="1" allowOverlap="1" wp14:anchorId="4AEAE48D" wp14:editId="4BC6E007">
                  <wp:simplePos x="0" y="0"/>
                  <wp:positionH relativeFrom="column">
                    <wp:posOffset>0</wp:posOffset>
                  </wp:positionH>
                  <wp:positionV relativeFrom="paragraph">
                    <wp:posOffset>0</wp:posOffset>
                  </wp:positionV>
                  <wp:extent cx="123825" cy="123825"/>
                  <wp:effectExtent l="0" t="0" r="9525" b="9525"/>
                  <wp:wrapNone/>
                  <wp:docPr id="374" name="Obrázok 374" descr="MEW27CPIFG44B7E7HEQUUF5QF" hidden="1"/>
                  <wp:cNvGraphicFramePr/>
                  <a:graphic xmlns:a="http://schemas.openxmlformats.org/drawingml/2006/main">
                    <a:graphicData uri="http://schemas.openxmlformats.org/drawingml/2006/picture">
                      <pic:pic xmlns:pic="http://schemas.openxmlformats.org/drawingml/2006/picture">
                        <pic:nvPicPr>
                          <pic:cNvPr id="37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7520" behindDoc="0" locked="0" layoutInCell="1" allowOverlap="1" wp14:anchorId="304EDC07" wp14:editId="4B7C2386">
                  <wp:simplePos x="0" y="0"/>
                  <wp:positionH relativeFrom="column">
                    <wp:posOffset>0</wp:posOffset>
                  </wp:positionH>
                  <wp:positionV relativeFrom="paragraph">
                    <wp:posOffset>0</wp:posOffset>
                  </wp:positionV>
                  <wp:extent cx="123825" cy="123825"/>
                  <wp:effectExtent l="0" t="0" r="9525" b="9525"/>
                  <wp:wrapNone/>
                  <wp:docPr id="375" name="Obrázok 375" descr="9D4GQ34QB727H10MA3SSAR2R9" hidden="1"/>
                  <wp:cNvGraphicFramePr/>
                  <a:graphic xmlns:a="http://schemas.openxmlformats.org/drawingml/2006/main">
                    <a:graphicData uri="http://schemas.openxmlformats.org/drawingml/2006/picture">
                      <pic:pic xmlns:pic="http://schemas.openxmlformats.org/drawingml/2006/picture">
                        <pic:nvPicPr>
                          <pic:cNvPr id="37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28544" behindDoc="0" locked="0" layoutInCell="1" allowOverlap="1" wp14:anchorId="5C5BB41C" wp14:editId="101809AE">
                  <wp:simplePos x="0" y="0"/>
                  <wp:positionH relativeFrom="column">
                    <wp:posOffset>0</wp:posOffset>
                  </wp:positionH>
                  <wp:positionV relativeFrom="paragraph">
                    <wp:posOffset>0</wp:posOffset>
                  </wp:positionV>
                  <wp:extent cx="123825" cy="123825"/>
                  <wp:effectExtent l="0" t="0" r="9525" b="9525"/>
                  <wp:wrapNone/>
                  <wp:docPr id="376" name="Obrázok 376" descr="MEW27CPIFG44B7E7HEQUUF5QF" hidden="1"/>
                  <wp:cNvGraphicFramePr/>
                  <a:graphic xmlns:a="http://schemas.openxmlformats.org/drawingml/2006/main">
                    <a:graphicData uri="http://schemas.openxmlformats.org/drawingml/2006/picture">
                      <pic:pic xmlns:pic="http://schemas.openxmlformats.org/drawingml/2006/picture">
                        <pic:nvPicPr>
                          <pic:cNvPr id="37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AF167D">
              <w:rPr>
                <w:sz w:val="18"/>
                <w:szCs w:val="18"/>
                <w:lang w:eastAsia="sk-SK"/>
              </w:rPr>
              <w:t>-28 363</w:t>
            </w:r>
          </w:p>
        </w:tc>
      </w:tr>
      <w:tr w:rsidR="00FA1620" w:rsidRPr="001B4DEC" w14:paraId="2EB7E631"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70BDA368" w14:textId="77777777" w:rsidR="00FA1620" w:rsidRDefault="00FA1620" w:rsidP="00CA4C99">
            <w:pPr>
              <w:spacing w:after="0" w:line="240" w:lineRule="auto"/>
              <w:rPr>
                <w:sz w:val="18"/>
                <w:szCs w:val="18"/>
                <w:lang w:eastAsia="sk-SK"/>
              </w:rPr>
            </w:pPr>
            <w:r>
              <w:rPr>
                <w:sz w:val="18"/>
                <w:szCs w:val="18"/>
                <w:lang w:eastAsia="sk-SK"/>
              </w:rPr>
              <w:t xml:space="preserve">MH Manažment, </w:t>
            </w:r>
            <w:proofErr w:type="spellStart"/>
            <w:r>
              <w:rPr>
                <w:sz w:val="18"/>
                <w:szCs w:val="18"/>
                <w:lang w:eastAsia="sk-SK"/>
              </w:rPr>
              <w:t>a.s</w:t>
            </w:r>
            <w:proofErr w:type="spellEnd"/>
            <w:r>
              <w:rPr>
                <w:sz w:val="18"/>
                <w:szCs w:val="18"/>
                <w:lang w:eastAsia="sk-SK"/>
              </w:rPr>
              <w:t>.</w:t>
            </w:r>
          </w:p>
        </w:tc>
        <w:tc>
          <w:tcPr>
            <w:tcW w:w="615" w:type="pct"/>
            <w:gridSpan w:val="2"/>
            <w:tcBorders>
              <w:top w:val="nil"/>
              <w:left w:val="nil"/>
              <w:bottom w:val="nil"/>
              <w:right w:val="nil"/>
            </w:tcBorders>
            <w:shd w:val="clear" w:color="auto" w:fill="auto"/>
            <w:noWrap/>
            <w:vAlign w:val="bottom"/>
          </w:tcPr>
          <w:p w14:paraId="3632C38B" w14:textId="77777777" w:rsidR="00FA1620" w:rsidRPr="00AF167D" w:rsidRDefault="00FA1620" w:rsidP="00CA4C99">
            <w:pPr>
              <w:spacing w:after="0" w:line="240" w:lineRule="auto"/>
              <w:jc w:val="right"/>
              <w:rPr>
                <w:sz w:val="18"/>
                <w:szCs w:val="18"/>
                <w:lang w:eastAsia="sk-SK"/>
              </w:rPr>
            </w:pPr>
            <w:r>
              <w:rPr>
                <w:sz w:val="18"/>
                <w:szCs w:val="18"/>
                <w:lang w:eastAsia="sk-SK"/>
              </w:rPr>
              <w:t>57 624</w:t>
            </w:r>
          </w:p>
        </w:tc>
        <w:tc>
          <w:tcPr>
            <w:tcW w:w="692" w:type="pct"/>
            <w:gridSpan w:val="2"/>
            <w:tcBorders>
              <w:top w:val="nil"/>
              <w:left w:val="nil"/>
              <w:bottom w:val="nil"/>
              <w:right w:val="nil"/>
            </w:tcBorders>
            <w:shd w:val="clear" w:color="auto" w:fill="auto"/>
            <w:noWrap/>
            <w:vAlign w:val="bottom"/>
          </w:tcPr>
          <w:p w14:paraId="54848196" w14:textId="77777777" w:rsidR="00FA1620" w:rsidRPr="00AF167D" w:rsidRDefault="00FA1620" w:rsidP="00CA4C99">
            <w:pPr>
              <w:spacing w:after="0" w:line="240" w:lineRule="auto"/>
              <w:jc w:val="right"/>
              <w:rPr>
                <w:sz w:val="18"/>
                <w:szCs w:val="18"/>
                <w:lang w:eastAsia="sk-SK"/>
              </w:rPr>
            </w:pPr>
            <w:r>
              <w:rPr>
                <w:sz w:val="18"/>
                <w:szCs w:val="18"/>
                <w:lang w:eastAsia="sk-SK"/>
              </w:rPr>
              <w:t>-65 250</w:t>
            </w:r>
          </w:p>
        </w:tc>
        <w:tc>
          <w:tcPr>
            <w:tcW w:w="537" w:type="pct"/>
            <w:gridSpan w:val="2"/>
            <w:tcBorders>
              <w:top w:val="nil"/>
              <w:left w:val="nil"/>
              <w:bottom w:val="nil"/>
              <w:right w:val="nil"/>
            </w:tcBorders>
            <w:shd w:val="clear" w:color="auto" w:fill="auto"/>
            <w:noWrap/>
            <w:vAlign w:val="bottom"/>
          </w:tcPr>
          <w:p w14:paraId="7A6C4C61" w14:textId="77777777" w:rsidR="00FA1620" w:rsidRPr="00AF167D" w:rsidRDefault="00FA1620" w:rsidP="00CA4C99">
            <w:pPr>
              <w:spacing w:after="0" w:line="240" w:lineRule="auto"/>
              <w:jc w:val="right"/>
              <w:rPr>
                <w:sz w:val="18"/>
                <w:szCs w:val="18"/>
                <w:lang w:eastAsia="sk-SK"/>
              </w:rPr>
            </w:pPr>
            <w:r>
              <w:rPr>
                <w:sz w:val="18"/>
                <w:szCs w:val="18"/>
                <w:lang w:eastAsia="sk-SK"/>
              </w:rPr>
              <w:t>0</w:t>
            </w:r>
          </w:p>
        </w:tc>
        <w:tc>
          <w:tcPr>
            <w:tcW w:w="539" w:type="pct"/>
            <w:gridSpan w:val="2"/>
            <w:tcBorders>
              <w:top w:val="nil"/>
              <w:left w:val="nil"/>
              <w:bottom w:val="nil"/>
              <w:right w:val="nil"/>
            </w:tcBorders>
            <w:shd w:val="clear" w:color="auto" w:fill="auto"/>
            <w:noWrap/>
            <w:vAlign w:val="bottom"/>
          </w:tcPr>
          <w:p w14:paraId="27BB0CDE" w14:textId="77777777" w:rsidR="00FA1620" w:rsidRPr="00AF167D" w:rsidRDefault="00FA1620" w:rsidP="00CA4C99">
            <w:pPr>
              <w:spacing w:after="0" w:line="240" w:lineRule="auto"/>
              <w:jc w:val="right"/>
              <w:rPr>
                <w:sz w:val="18"/>
                <w:szCs w:val="18"/>
                <w:lang w:eastAsia="sk-SK"/>
              </w:rPr>
            </w:pPr>
            <w:r>
              <w:rPr>
                <w:sz w:val="18"/>
                <w:szCs w:val="18"/>
                <w:lang w:eastAsia="sk-SK"/>
              </w:rPr>
              <w:t>115 876</w:t>
            </w:r>
          </w:p>
        </w:tc>
        <w:tc>
          <w:tcPr>
            <w:tcW w:w="615" w:type="pct"/>
            <w:gridSpan w:val="3"/>
            <w:tcBorders>
              <w:top w:val="nil"/>
              <w:left w:val="nil"/>
              <w:bottom w:val="nil"/>
              <w:right w:val="nil"/>
            </w:tcBorders>
            <w:shd w:val="clear" w:color="auto" w:fill="auto"/>
            <w:noWrap/>
            <w:vAlign w:val="bottom"/>
          </w:tcPr>
          <w:p w14:paraId="4DE95C37" w14:textId="77777777" w:rsidR="00FA1620" w:rsidRPr="00AF167D" w:rsidRDefault="00FA1620" w:rsidP="00CA4C99">
            <w:pPr>
              <w:spacing w:after="0" w:line="240" w:lineRule="auto"/>
              <w:jc w:val="right"/>
              <w:rPr>
                <w:sz w:val="18"/>
                <w:szCs w:val="18"/>
                <w:lang w:eastAsia="sk-SK"/>
              </w:rPr>
            </w:pPr>
            <w:r>
              <w:rPr>
                <w:sz w:val="18"/>
                <w:szCs w:val="18"/>
                <w:lang w:eastAsia="sk-SK"/>
              </w:rPr>
              <w:t>6 998</w:t>
            </w:r>
          </w:p>
        </w:tc>
        <w:tc>
          <w:tcPr>
            <w:tcW w:w="461" w:type="pct"/>
            <w:tcBorders>
              <w:top w:val="nil"/>
              <w:left w:val="nil"/>
              <w:bottom w:val="nil"/>
              <w:right w:val="nil"/>
            </w:tcBorders>
            <w:shd w:val="clear" w:color="auto" w:fill="auto"/>
            <w:noWrap/>
            <w:vAlign w:val="bottom"/>
          </w:tcPr>
          <w:p w14:paraId="0C839355" w14:textId="77777777" w:rsidR="00FA1620" w:rsidRDefault="00FA1620" w:rsidP="00CA4C99">
            <w:pPr>
              <w:spacing w:after="0" w:line="240" w:lineRule="auto"/>
              <w:jc w:val="right"/>
              <w:rPr>
                <w:sz w:val="18"/>
                <w:szCs w:val="18"/>
                <w:lang w:eastAsia="sk-SK"/>
              </w:rPr>
            </w:pPr>
            <w:r>
              <w:rPr>
                <w:sz w:val="18"/>
                <w:szCs w:val="18"/>
                <w:lang w:eastAsia="sk-SK"/>
              </w:rPr>
              <w:t>0</w:t>
            </w:r>
          </w:p>
        </w:tc>
      </w:tr>
      <w:tr w:rsidR="00FA1620" w:rsidRPr="001B4DEC" w14:paraId="12A93B26"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6006B61F" w14:textId="77777777" w:rsidR="00FA1620" w:rsidRPr="00AF167D" w:rsidRDefault="00FA1620" w:rsidP="00CA4C99">
            <w:pPr>
              <w:spacing w:after="0" w:line="240" w:lineRule="auto"/>
              <w:rPr>
                <w:sz w:val="18"/>
                <w:szCs w:val="18"/>
                <w:lang w:eastAsia="sk-SK"/>
              </w:rPr>
            </w:pPr>
            <w:r>
              <w:rPr>
                <w:sz w:val="18"/>
                <w:szCs w:val="18"/>
                <w:lang w:eastAsia="sk-SK"/>
              </w:rPr>
              <w:t xml:space="preserve">MH Teplárenský holding, </w:t>
            </w:r>
            <w:proofErr w:type="spellStart"/>
            <w:r>
              <w:rPr>
                <w:sz w:val="18"/>
                <w:szCs w:val="18"/>
                <w:lang w:eastAsia="sk-SK"/>
              </w:rPr>
              <w:t>a.s</w:t>
            </w:r>
            <w:proofErr w:type="spellEnd"/>
            <w:r>
              <w:rPr>
                <w:sz w:val="18"/>
                <w:szCs w:val="18"/>
                <w:lang w:eastAsia="sk-SK"/>
              </w:rPr>
              <w:t>.</w:t>
            </w:r>
            <w:r>
              <w:rPr>
                <w:rStyle w:val="Odkaznapoznmkupodiarou"/>
                <w:sz w:val="18"/>
                <w:szCs w:val="18"/>
                <w:lang w:eastAsia="sk-SK"/>
              </w:rPr>
              <w:footnoteReference w:id="28"/>
            </w:r>
          </w:p>
        </w:tc>
        <w:tc>
          <w:tcPr>
            <w:tcW w:w="615" w:type="pct"/>
            <w:gridSpan w:val="2"/>
            <w:tcBorders>
              <w:top w:val="nil"/>
              <w:left w:val="nil"/>
              <w:bottom w:val="nil"/>
              <w:right w:val="nil"/>
            </w:tcBorders>
            <w:shd w:val="clear" w:color="auto" w:fill="auto"/>
            <w:noWrap/>
            <w:vAlign w:val="bottom"/>
          </w:tcPr>
          <w:p w14:paraId="7C85B8AC"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57 137</w:t>
            </w:r>
          </w:p>
        </w:tc>
        <w:tc>
          <w:tcPr>
            <w:tcW w:w="692" w:type="pct"/>
            <w:gridSpan w:val="2"/>
            <w:tcBorders>
              <w:top w:val="nil"/>
              <w:left w:val="nil"/>
              <w:bottom w:val="nil"/>
              <w:right w:val="nil"/>
            </w:tcBorders>
            <w:shd w:val="clear" w:color="auto" w:fill="auto"/>
            <w:noWrap/>
            <w:vAlign w:val="center"/>
          </w:tcPr>
          <w:p w14:paraId="310A9087"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58 686</w:t>
            </w:r>
          </w:p>
        </w:tc>
        <w:tc>
          <w:tcPr>
            <w:tcW w:w="537" w:type="pct"/>
            <w:gridSpan w:val="2"/>
            <w:tcBorders>
              <w:top w:val="nil"/>
              <w:left w:val="nil"/>
              <w:bottom w:val="nil"/>
              <w:right w:val="nil"/>
            </w:tcBorders>
            <w:shd w:val="clear" w:color="auto" w:fill="auto"/>
            <w:noWrap/>
            <w:vAlign w:val="bottom"/>
          </w:tcPr>
          <w:p w14:paraId="7D575033"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-300</w:t>
            </w:r>
          </w:p>
        </w:tc>
        <w:tc>
          <w:tcPr>
            <w:tcW w:w="539" w:type="pct"/>
            <w:gridSpan w:val="2"/>
            <w:tcBorders>
              <w:top w:val="nil"/>
              <w:left w:val="nil"/>
              <w:bottom w:val="nil"/>
              <w:right w:val="nil"/>
            </w:tcBorders>
            <w:shd w:val="clear" w:color="auto" w:fill="auto"/>
            <w:noWrap/>
            <w:vAlign w:val="bottom"/>
          </w:tcPr>
          <w:p w14:paraId="19ACA778" w14:textId="77777777" w:rsidR="00FA1620" w:rsidRPr="00AF167D" w:rsidRDefault="00FA1620" w:rsidP="00CA4C99">
            <w:pPr>
              <w:spacing w:after="0" w:line="240" w:lineRule="auto"/>
              <w:jc w:val="right"/>
              <w:rPr>
                <w:sz w:val="18"/>
                <w:szCs w:val="18"/>
                <w:lang w:eastAsia="sk-SK"/>
              </w:rPr>
            </w:pPr>
            <w:r w:rsidRPr="00AF167D">
              <w:rPr>
                <w:sz w:val="18"/>
                <w:szCs w:val="18"/>
                <w:lang w:eastAsia="sk-SK"/>
              </w:rPr>
              <w:t>-1 649</w:t>
            </w:r>
          </w:p>
        </w:tc>
        <w:tc>
          <w:tcPr>
            <w:tcW w:w="615" w:type="pct"/>
            <w:gridSpan w:val="3"/>
            <w:tcBorders>
              <w:top w:val="nil"/>
              <w:left w:val="nil"/>
              <w:bottom w:val="nil"/>
              <w:right w:val="nil"/>
            </w:tcBorders>
            <w:shd w:val="clear" w:color="auto" w:fill="auto"/>
            <w:noWrap/>
            <w:vAlign w:val="bottom"/>
          </w:tcPr>
          <w:p w14:paraId="0FA172A6" w14:textId="77777777" w:rsidR="00FA1620" w:rsidRPr="00AF167D" w:rsidRDefault="00FA1620" w:rsidP="00CA4C99">
            <w:pPr>
              <w:spacing w:after="0" w:line="240" w:lineRule="auto"/>
              <w:jc w:val="right"/>
              <w:rPr>
                <w:sz w:val="18"/>
                <w:szCs w:val="18"/>
                <w:lang w:eastAsia="sk-SK"/>
              </w:rPr>
            </w:pPr>
            <w:r>
              <w:rPr>
                <w:sz w:val="18"/>
                <w:szCs w:val="18"/>
                <w:lang w:eastAsia="sk-SK"/>
              </w:rPr>
              <w:t>40</w:t>
            </w:r>
            <w:r w:rsidRPr="00AF167D">
              <w:rPr>
                <w:sz w:val="18"/>
                <w:szCs w:val="18"/>
                <w:lang w:eastAsia="sk-SK"/>
              </w:rPr>
              <w:t>0</w:t>
            </w:r>
          </w:p>
        </w:tc>
        <w:tc>
          <w:tcPr>
            <w:tcW w:w="461" w:type="pct"/>
            <w:tcBorders>
              <w:top w:val="nil"/>
              <w:left w:val="nil"/>
              <w:bottom w:val="nil"/>
              <w:right w:val="nil"/>
            </w:tcBorders>
            <w:shd w:val="clear" w:color="auto" w:fill="auto"/>
            <w:noWrap/>
            <w:vAlign w:val="bottom"/>
          </w:tcPr>
          <w:p w14:paraId="3FB80BCB" w14:textId="77777777" w:rsidR="00FA1620" w:rsidRPr="00AF167D" w:rsidRDefault="00FA1620" w:rsidP="00CA4C99">
            <w:pPr>
              <w:spacing w:after="0" w:line="240" w:lineRule="auto"/>
              <w:jc w:val="right"/>
              <w:rPr>
                <w:sz w:val="18"/>
                <w:szCs w:val="18"/>
                <w:lang w:eastAsia="sk-SK"/>
              </w:rPr>
            </w:pPr>
            <w:r>
              <w:rPr>
                <w:sz w:val="18"/>
                <w:szCs w:val="18"/>
                <w:lang w:eastAsia="sk-SK"/>
              </w:rPr>
              <w:t>0</w:t>
            </w:r>
          </w:p>
        </w:tc>
      </w:tr>
      <w:tr w:rsidR="00FA1620" w:rsidRPr="001B4DEC" w14:paraId="76EB13B0"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014ED077" w14:textId="77777777" w:rsidR="00FA1620" w:rsidRPr="001B4DEC" w:rsidRDefault="00FA1620" w:rsidP="00CA4C99">
            <w:pPr>
              <w:spacing w:after="0" w:line="240" w:lineRule="auto"/>
              <w:rPr>
                <w:color w:val="FF0000"/>
                <w:sz w:val="18"/>
                <w:szCs w:val="18"/>
                <w:lang w:eastAsia="sk-SK"/>
              </w:rPr>
            </w:pPr>
            <w:r w:rsidRPr="007145EE">
              <w:rPr>
                <w:sz w:val="18"/>
                <w:szCs w:val="18"/>
                <w:lang w:eastAsia="sk-SK"/>
              </w:rPr>
              <w:t xml:space="preserve">Národná diaľničná spoločnosť,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47A0066C"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19 140</w:t>
            </w:r>
          </w:p>
        </w:tc>
        <w:tc>
          <w:tcPr>
            <w:tcW w:w="692" w:type="pct"/>
            <w:gridSpan w:val="2"/>
            <w:tcBorders>
              <w:top w:val="nil"/>
              <w:left w:val="nil"/>
              <w:bottom w:val="nil"/>
              <w:right w:val="nil"/>
            </w:tcBorders>
            <w:shd w:val="clear" w:color="auto" w:fill="auto"/>
            <w:noWrap/>
            <w:vAlign w:val="bottom"/>
          </w:tcPr>
          <w:p w14:paraId="612348FB"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17 935</w:t>
            </w:r>
          </w:p>
        </w:tc>
        <w:tc>
          <w:tcPr>
            <w:tcW w:w="537" w:type="pct"/>
            <w:gridSpan w:val="2"/>
            <w:tcBorders>
              <w:top w:val="nil"/>
              <w:left w:val="nil"/>
              <w:bottom w:val="nil"/>
              <w:right w:val="nil"/>
            </w:tcBorders>
            <w:shd w:val="clear" w:color="auto" w:fill="auto"/>
            <w:noWrap/>
            <w:vAlign w:val="bottom"/>
          </w:tcPr>
          <w:p w14:paraId="21B3B222"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05C579E1"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1 335</w:t>
            </w:r>
          </w:p>
        </w:tc>
        <w:tc>
          <w:tcPr>
            <w:tcW w:w="615" w:type="pct"/>
            <w:gridSpan w:val="3"/>
            <w:tcBorders>
              <w:top w:val="nil"/>
              <w:left w:val="nil"/>
              <w:bottom w:val="nil"/>
              <w:right w:val="nil"/>
            </w:tcBorders>
            <w:shd w:val="clear" w:color="auto" w:fill="auto"/>
            <w:noWrap/>
            <w:vAlign w:val="bottom"/>
          </w:tcPr>
          <w:p w14:paraId="03E150B5"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461" w:type="pct"/>
            <w:tcBorders>
              <w:top w:val="nil"/>
              <w:left w:val="nil"/>
              <w:bottom w:val="nil"/>
              <w:right w:val="nil"/>
            </w:tcBorders>
            <w:shd w:val="clear" w:color="auto" w:fill="auto"/>
            <w:noWrap/>
            <w:vAlign w:val="bottom"/>
          </w:tcPr>
          <w:p w14:paraId="75E1EA6B" w14:textId="5489FA33"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29568" behindDoc="0" locked="0" layoutInCell="1" allowOverlap="1" wp14:anchorId="45197F85" wp14:editId="6D00D8CC">
                  <wp:simplePos x="0" y="0"/>
                  <wp:positionH relativeFrom="column">
                    <wp:posOffset>0</wp:posOffset>
                  </wp:positionH>
                  <wp:positionV relativeFrom="paragraph">
                    <wp:posOffset>0</wp:posOffset>
                  </wp:positionV>
                  <wp:extent cx="123825" cy="123825"/>
                  <wp:effectExtent l="0" t="0" r="9525" b="9525"/>
                  <wp:wrapNone/>
                  <wp:docPr id="83" name="Obrázok 83" descr="9D4GQ34QB727H10MA3SSAR2R9" hidden="1"/>
                  <wp:cNvGraphicFramePr/>
                  <a:graphic xmlns:a="http://schemas.openxmlformats.org/drawingml/2006/main">
                    <a:graphicData uri="http://schemas.openxmlformats.org/drawingml/2006/picture">
                      <pic:pic xmlns:pic="http://schemas.openxmlformats.org/drawingml/2006/picture">
                        <pic:nvPicPr>
                          <pic:cNvPr id="8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0592" behindDoc="0" locked="0" layoutInCell="1" allowOverlap="1" wp14:anchorId="7E3DF9FD" wp14:editId="41AF5D85">
                  <wp:simplePos x="0" y="0"/>
                  <wp:positionH relativeFrom="column">
                    <wp:posOffset>0</wp:posOffset>
                  </wp:positionH>
                  <wp:positionV relativeFrom="paragraph">
                    <wp:posOffset>0</wp:posOffset>
                  </wp:positionV>
                  <wp:extent cx="123825" cy="123825"/>
                  <wp:effectExtent l="0" t="0" r="9525" b="9525"/>
                  <wp:wrapNone/>
                  <wp:docPr id="84" name="Obrázok 84" descr="MEW27CPIFG44B7E7HEQUUF5QF" hidden="1"/>
                  <wp:cNvGraphicFramePr/>
                  <a:graphic xmlns:a="http://schemas.openxmlformats.org/drawingml/2006/main">
                    <a:graphicData uri="http://schemas.openxmlformats.org/drawingml/2006/picture">
                      <pic:pic xmlns:pic="http://schemas.openxmlformats.org/drawingml/2006/picture">
                        <pic:nvPicPr>
                          <pic:cNvPr id="8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1616" behindDoc="0" locked="0" layoutInCell="1" allowOverlap="1" wp14:anchorId="2AAC5599" wp14:editId="7AC43E13">
                  <wp:simplePos x="0" y="0"/>
                  <wp:positionH relativeFrom="column">
                    <wp:posOffset>0</wp:posOffset>
                  </wp:positionH>
                  <wp:positionV relativeFrom="paragraph">
                    <wp:posOffset>0</wp:posOffset>
                  </wp:positionV>
                  <wp:extent cx="123825" cy="123825"/>
                  <wp:effectExtent l="0" t="0" r="9525" b="9525"/>
                  <wp:wrapNone/>
                  <wp:docPr id="85" name="Obrázok 85" descr="9D4GQ34QB727H10MA3SSAR2R9" hidden="1"/>
                  <wp:cNvGraphicFramePr/>
                  <a:graphic xmlns:a="http://schemas.openxmlformats.org/drawingml/2006/main">
                    <a:graphicData uri="http://schemas.openxmlformats.org/drawingml/2006/picture">
                      <pic:pic xmlns:pic="http://schemas.openxmlformats.org/drawingml/2006/picture">
                        <pic:nvPicPr>
                          <pic:cNvPr id="8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2640" behindDoc="0" locked="0" layoutInCell="1" allowOverlap="1" wp14:anchorId="305C9DA2" wp14:editId="3E82A829">
                  <wp:simplePos x="0" y="0"/>
                  <wp:positionH relativeFrom="column">
                    <wp:posOffset>0</wp:posOffset>
                  </wp:positionH>
                  <wp:positionV relativeFrom="paragraph">
                    <wp:posOffset>0</wp:posOffset>
                  </wp:positionV>
                  <wp:extent cx="123825" cy="123825"/>
                  <wp:effectExtent l="0" t="0" r="9525" b="9525"/>
                  <wp:wrapNone/>
                  <wp:docPr id="86" name="Obrázok 86" descr="MEW27CPIFG44B7E7HEQUUF5QF" hidden="1"/>
                  <wp:cNvGraphicFramePr/>
                  <a:graphic xmlns:a="http://schemas.openxmlformats.org/drawingml/2006/main">
                    <a:graphicData uri="http://schemas.openxmlformats.org/drawingml/2006/picture">
                      <pic:pic xmlns:pic="http://schemas.openxmlformats.org/drawingml/2006/picture">
                        <pic:nvPicPr>
                          <pic:cNvPr id="8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3664" behindDoc="0" locked="0" layoutInCell="1" allowOverlap="1" wp14:anchorId="6C181B87" wp14:editId="247933F1">
                  <wp:simplePos x="0" y="0"/>
                  <wp:positionH relativeFrom="column">
                    <wp:posOffset>0</wp:posOffset>
                  </wp:positionH>
                  <wp:positionV relativeFrom="paragraph">
                    <wp:posOffset>0</wp:posOffset>
                  </wp:positionV>
                  <wp:extent cx="123825" cy="123825"/>
                  <wp:effectExtent l="0" t="0" r="9525" b="9525"/>
                  <wp:wrapNone/>
                  <wp:docPr id="87" name="Obrázok 87" descr="9D4GQ34QB727H10MA3SSAR2R9" hidden="1"/>
                  <wp:cNvGraphicFramePr/>
                  <a:graphic xmlns:a="http://schemas.openxmlformats.org/drawingml/2006/main">
                    <a:graphicData uri="http://schemas.openxmlformats.org/drawingml/2006/picture">
                      <pic:pic xmlns:pic="http://schemas.openxmlformats.org/drawingml/2006/picture">
                        <pic:nvPicPr>
                          <pic:cNvPr id="8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4688" behindDoc="0" locked="0" layoutInCell="1" allowOverlap="1" wp14:anchorId="73E4F56A" wp14:editId="7C49C9A3">
                  <wp:simplePos x="0" y="0"/>
                  <wp:positionH relativeFrom="column">
                    <wp:posOffset>0</wp:posOffset>
                  </wp:positionH>
                  <wp:positionV relativeFrom="paragraph">
                    <wp:posOffset>0</wp:posOffset>
                  </wp:positionV>
                  <wp:extent cx="123825" cy="123825"/>
                  <wp:effectExtent l="0" t="0" r="9525" b="9525"/>
                  <wp:wrapNone/>
                  <wp:docPr id="88" name="Obrázok 88" descr="MEW27CPIFG44B7E7HEQUUF5QF" hidden="1"/>
                  <wp:cNvGraphicFramePr/>
                  <a:graphic xmlns:a="http://schemas.openxmlformats.org/drawingml/2006/main">
                    <a:graphicData uri="http://schemas.openxmlformats.org/drawingml/2006/picture">
                      <pic:pic xmlns:pic="http://schemas.openxmlformats.org/drawingml/2006/picture">
                        <pic:nvPicPr>
                          <pic:cNvPr id="8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5712" behindDoc="0" locked="0" layoutInCell="1" allowOverlap="1" wp14:anchorId="31A7C896" wp14:editId="132D3DC6">
                  <wp:simplePos x="0" y="0"/>
                  <wp:positionH relativeFrom="column">
                    <wp:posOffset>0</wp:posOffset>
                  </wp:positionH>
                  <wp:positionV relativeFrom="paragraph">
                    <wp:posOffset>0</wp:posOffset>
                  </wp:positionV>
                  <wp:extent cx="123825" cy="123825"/>
                  <wp:effectExtent l="0" t="0" r="9525" b="9525"/>
                  <wp:wrapNone/>
                  <wp:docPr id="89" name="Obrázok 89" descr="9D4GQ34QB727H10MA3SSAR2R9" hidden="1"/>
                  <wp:cNvGraphicFramePr/>
                  <a:graphic xmlns:a="http://schemas.openxmlformats.org/drawingml/2006/main">
                    <a:graphicData uri="http://schemas.openxmlformats.org/drawingml/2006/picture">
                      <pic:pic xmlns:pic="http://schemas.openxmlformats.org/drawingml/2006/picture">
                        <pic:nvPicPr>
                          <pic:cNvPr id="8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6736" behindDoc="0" locked="0" layoutInCell="1" allowOverlap="1" wp14:anchorId="0CC6FDAF" wp14:editId="7E3EFE96">
                  <wp:simplePos x="0" y="0"/>
                  <wp:positionH relativeFrom="column">
                    <wp:posOffset>0</wp:posOffset>
                  </wp:positionH>
                  <wp:positionV relativeFrom="paragraph">
                    <wp:posOffset>0</wp:posOffset>
                  </wp:positionV>
                  <wp:extent cx="123825" cy="123825"/>
                  <wp:effectExtent l="0" t="0" r="9525" b="9525"/>
                  <wp:wrapNone/>
                  <wp:docPr id="90" name="Obrázok 90" descr="MEW27CPIFG44B7E7HEQUUF5QF" hidden="1"/>
                  <wp:cNvGraphicFramePr/>
                  <a:graphic xmlns:a="http://schemas.openxmlformats.org/drawingml/2006/main">
                    <a:graphicData uri="http://schemas.openxmlformats.org/drawingml/2006/picture">
                      <pic:pic xmlns:pic="http://schemas.openxmlformats.org/drawingml/2006/picture">
                        <pic:nvPicPr>
                          <pic:cNvPr id="9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7760" behindDoc="0" locked="0" layoutInCell="1" allowOverlap="1" wp14:anchorId="48FED839" wp14:editId="45298268">
                  <wp:simplePos x="0" y="0"/>
                  <wp:positionH relativeFrom="column">
                    <wp:posOffset>0</wp:posOffset>
                  </wp:positionH>
                  <wp:positionV relativeFrom="paragraph">
                    <wp:posOffset>0</wp:posOffset>
                  </wp:positionV>
                  <wp:extent cx="123825" cy="123825"/>
                  <wp:effectExtent l="0" t="0" r="9525" b="9525"/>
                  <wp:wrapNone/>
                  <wp:docPr id="141" name="Obrázok 141" descr="9D4GQ34QB727H10MA3SSAR2R9" hidden="1"/>
                  <wp:cNvGraphicFramePr/>
                  <a:graphic xmlns:a="http://schemas.openxmlformats.org/drawingml/2006/main">
                    <a:graphicData uri="http://schemas.openxmlformats.org/drawingml/2006/picture">
                      <pic:pic xmlns:pic="http://schemas.openxmlformats.org/drawingml/2006/picture">
                        <pic:nvPicPr>
                          <pic:cNvPr id="14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8784" behindDoc="0" locked="0" layoutInCell="1" allowOverlap="1" wp14:anchorId="73B9DEA4" wp14:editId="6C5C15A6">
                  <wp:simplePos x="0" y="0"/>
                  <wp:positionH relativeFrom="column">
                    <wp:posOffset>0</wp:posOffset>
                  </wp:positionH>
                  <wp:positionV relativeFrom="paragraph">
                    <wp:posOffset>0</wp:posOffset>
                  </wp:positionV>
                  <wp:extent cx="123825" cy="123825"/>
                  <wp:effectExtent l="0" t="0" r="9525" b="9525"/>
                  <wp:wrapNone/>
                  <wp:docPr id="142" name="Obrázok 142" descr="MEW27CPIFG44B7E7HEQUUF5QF" hidden="1"/>
                  <wp:cNvGraphicFramePr/>
                  <a:graphic xmlns:a="http://schemas.openxmlformats.org/drawingml/2006/main">
                    <a:graphicData uri="http://schemas.openxmlformats.org/drawingml/2006/picture">
                      <pic:pic xmlns:pic="http://schemas.openxmlformats.org/drawingml/2006/picture">
                        <pic:nvPicPr>
                          <pic:cNvPr id="14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39808" behindDoc="0" locked="0" layoutInCell="1" allowOverlap="1" wp14:anchorId="3C9F34E9" wp14:editId="3D3C9B5B">
                  <wp:simplePos x="0" y="0"/>
                  <wp:positionH relativeFrom="column">
                    <wp:posOffset>0</wp:posOffset>
                  </wp:positionH>
                  <wp:positionV relativeFrom="paragraph">
                    <wp:posOffset>0</wp:posOffset>
                  </wp:positionV>
                  <wp:extent cx="123825" cy="123825"/>
                  <wp:effectExtent l="0" t="0" r="9525" b="9525"/>
                  <wp:wrapNone/>
                  <wp:docPr id="143" name="Obrázok 143" descr="9D4GQ34QB727H10MA3SSAR2R9" hidden="1"/>
                  <wp:cNvGraphicFramePr/>
                  <a:graphic xmlns:a="http://schemas.openxmlformats.org/drawingml/2006/main">
                    <a:graphicData uri="http://schemas.openxmlformats.org/drawingml/2006/picture">
                      <pic:pic xmlns:pic="http://schemas.openxmlformats.org/drawingml/2006/picture">
                        <pic:nvPicPr>
                          <pic:cNvPr id="14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0832" behindDoc="0" locked="0" layoutInCell="1" allowOverlap="1" wp14:anchorId="42BDA7E2" wp14:editId="1C1D856D">
                  <wp:simplePos x="0" y="0"/>
                  <wp:positionH relativeFrom="column">
                    <wp:posOffset>0</wp:posOffset>
                  </wp:positionH>
                  <wp:positionV relativeFrom="paragraph">
                    <wp:posOffset>0</wp:posOffset>
                  </wp:positionV>
                  <wp:extent cx="123825" cy="123825"/>
                  <wp:effectExtent l="0" t="0" r="9525" b="9525"/>
                  <wp:wrapNone/>
                  <wp:docPr id="144" name="Obrázok 144" descr="MEW27CPIFG44B7E7HEQUUF5QF" hidden="1"/>
                  <wp:cNvGraphicFramePr/>
                  <a:graphic xmlns:a="http://schemas.openxmlformats.org/drawingml/2006/main">
                    <a:graphicData uri="http://schemas.openxmlformats.org/drawingml/2006/picture">
                      <pic:pic xmlns:pic="http://schemas.openxmlformats.org/drawingml/2006/picture">
                        <pic:nvPicPr>
                          <pic:cNvPr id="14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1856" behindDoc="0" locked="0" layoutInCell="1" allowOverlap="1" wp14:anchorId="00DE6FC2" wp14:editId="0A2DA250">
                  <wp:simplePos x="0" y="0"/>
                  <wp:positionH relativeFrom="column">
                    <wp:posOffset>0</wp:posOffset>
                  </wp:positionH>
                  <wp:positionV relativeFrom="paragraph">
                    <wp:posOffset>0</wp:posOffset>
                  </wp:positionV>
                  <wp:extent cx="123825" cy="123825"/>
                  <wp:effectExtent l="0" t="0" r="9525" b="9525"/>
                  <wp:wrapNone/>
                  <wp:docPr id="145" name="Obrázok 145" descr="9D4GQ34QB727H10MA3SSAR2R9" hidden="1"/>
                  <wp:cNvGraphicFramePr/>
                  <a:graphic xmlns:a="http://schemas.openxmlformats.org/drawingml/2006/main">
                    <a:graphicData uri="http://schemas.openxmlformats.org/drawingml/2006/picture">
                      <pic:pic xmlns:pic="http://schemas.openxmlformats.org/drawingml/2006/picture">
                        <pic:nvPicPr>
                          <pic:cNvPr id="14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2880" behindDoc="0" locked="0" layoutInCell="1" allowOverlap="1" wp14:anchorId="7072131B" wp14:editId="1FF0BF85">
                  <wp:simplePos x="0" y="0"/>
                  <wp:positionH relativeFrom="column">
                    <wp:posOffset>0</wp:posOffset>
                  </wp:positionH>
                  <wp:positionV relativeFrom="paragraph">
                    <wp:posOffset>0</wp:posOffset>
                  </wp:positionV>
                  <wp:extent cx="123825" cy="123825"/>
                  <wp:effectExtent l="0" t="0" r="9525" b="9525"/>
                  <wp:wrapNone/>
                  <wp:docPr id="146" name="Obrázok 146" descr="MEW27CPIFG44B7E7HEQUUF5QF" hidden="1"/>
                  <wp:cNvGraphicFramePr/>
                  <a:graphic xmlns:a="http://schemas.openxmlformats.org/drawingml/2006/main">
                    <a:graphicData uri="http://schemas.openxmlformats.org/drawingml/2006/picture">
                      <pic:pic xmlns:pic="http://schemas.openxmlformats.org/drawingml/2006/picture">
                        <pic:nvPicPr>
                          <pic:cNvPr id="14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3904" behindDoc="0" locked="0" layoutInCell="1" allowOverlap="1" wp14:anchorId="6353E466" wp14:editId="0267C62E">
                  <wp:simplePos x="0" y="0"/>
                  <wp:positionH relativeFrom="column">
                    <wp:posOffset>0</wp:posOffset>
                  </wp:positionH>
                  <wp:positionV relativeFrom="paragraph">
                    <wp:posOffset>0</wp:posOffset>
                  </wp:positionV>
                  <wp:extent cx="123825" cy="123825"/>
                  <wp:effectExtent l="0" t="0" r="9525" b="9525"/>
                  <wp:wrapNone/>
                  <wp:docPr id="147" name="Obrázok 147" descr="9D4GQ34QB727H10MA3SSAR2R9" hidden="1"/>
                  <wp:cNvGraphicFramePr/>
                  <a:graphic xmlns:a="http://schemas.openxmlformats.org/drawingml/2006/main">
                    <a:graphicData uri="http://schemas.openxmlformats.org/drawingml/2006/picture">
                      <pic:pic xmlns:pic="http://schemas.openxmlformats.org/drawingml/2006/picture">
                        <pic:nvPicPr>
                          <pic:cNvPr id="14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4928" behindDoc="0" locked="0" layoutInCell="1" allowOverlap="1" wp14:anchorId="246E1085" wp14:editId="14AAAB8C">
                  <wp:simplePos x="0" y="0"/>
                  <wp:positionH relativeFrom="column">
                    <wp:posOffset>0</wp:posOffset>
                  </wp:positionH>
                  <wp:positionV relativeFrom="paragraph">
                    <wp:posOffset>0</wp:posOffset>
                  </wp:positionV>
                  <wp:extent cx="123825" cy="123825"/>
                  <wp:effectExtent l="0" t="0" r="9525" b="9525"/>
                  <wp:wrapNone/>
                  <wp:docPr id="148" name="Obrázok 148" descr="MEW27CPIFG44B7E7HEQUUF5QF" hidden="1"/>
                  <wp:cNvGraphicFramePr/>
                  <a:graphic xmlns:a="http://schemas.openxmlformats.org/drawingml/2006/main">
                    <a:graphicData uri="http://schemas.openxmlformats.org/drawingml/2006/picture">
                      <pic:pic xmlns:pic="http://schemas.openxmlformats.org/drawingml/2006/picture">
                        <pic:nvPicPr>
                          <pic:cNvPr id="14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-130</w:t>
            </w:r>
          </w:p>
        </w:tc>
      </w:tr>
      <w:tr w:rsidR="00FA1620" w:rsidRPr="001B4DEC" w14:paraId="32BF23A1"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335F3ADA" w14:textId="77777777" w:rsidR="00FA1620" w:rsidRPr="001B4DEC" w:rsidRDefault="00FA1620" w:rsidP="00CA4C99">
            <w:pPr>
              <w:spacing w:after="0" w:line="240" w:lineRule="auto"/>
              <w:rPr>
                <w:color w:val="FF0000"/>
                <w:sz w:val="18"/>
                <w:szCs w:val="18"/>
                <w:lang w:eastAsia="sk-SK"/>
              </w:rPr>
            </w:pPr>
            <w:r w:rsidRPr="007145EE">
              <w:rPr>
                <w:sz w:val="18"/>
                <w:szCs w:val="18"/>
                <w:lang w:eastAsia="sk-SK"/>
              </w:rPr>
              <w:t xml:space="preserve">Tipos, </w:t>
            </w:r>
            <w:proofErr w:type="spellStart"/>
            <w:r w:rsidRPr="007145EE">
              <w:rPr>
                <w:sz w:val="18"/>
                <w:szCs w:val="18"/>
                <w:lang w:eastAsia="sk-SK"/>
              </w:rPr>
              <w:t>nár.lotériová</w:t>
            </w:r>
            <w:proofErr w:type="spellEnd"/>
            <w:r w:rsidRPr="007145EE">
              <w:rPr>
                <w:sz w:val="18"/>
                <w:szCs w:val="18"/>
                <w:lang w:eastAsia="sk-SK"/>
              </w:rPr>
              <w:t xml:space="preserve"> spol.,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67619708"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17 500</w:t>
            </w:r>
          </w:p>
        </w:tc>
        <w:tc>
          <w:tcPr>
            <w:tcW w:w="692" w:type="pct"/>
            <w:gridSpan w:val="2"/>
            <w:tcBorders>
              <w:top w:val="nil"/>
              <w:left w:val="nil"/>
              <w:bottom w:val="nil"/>
              <w:right w:val="nil"/>
            </w:tcBorders>
            <w:shd w:val="clear" w:color="auto" w:fill="auto"/>
            <w:noWrap/>
            <w:vAlign w:val="bottom"/>
          </w:tcPr>
          <w:p w14:paraId="25EC05F1"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24 053</w:t>
            </w:r>
          </w:p>
        </w:tc>
        <w:tc>
          <w:tcPr>
            <w:tcW w:w="537" w:type="pct"/>
            <w:gridSpan w:val="2"/>
            <w:tcBorders>
              <w:top w:val="nil"/>
              <w:left w:val="nil"/>
              <w:bottom w:val="nil"/>
              <w:right w:val="nil"/>
            </w:tcBorders>
            <w:shd w:val="clear" w:color="auto" w:fill="auto"/>
            <w:noWrap/>
            <w:vAlign w:val="bottom"/>
          </w:tcPr>
          <w:p w14:paraId="6AACC7F0"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w:t>
            </w:r>
            <w:r>
              <w:rPr>
                <w:sz w:val="18"/>
                <w:szCs w:val="18"/>
                <w:lang w:eastAsia="sk-SK"/>
              </w:rPr>
              <w:t>6</w:t>
            </w:r>
            <w:r w:rsidRPr="007145EE">
              <w:rPr>
                <w:sz w:val="18"/>
                <w:szCs w:val="18"/>
                <w:lang w:eastAsia="sk-SK"/>
              </w:rPr>
              <w:t xml:space="preserve"> </w:t>
            </w:r>
            <w:r>
              <w:rPr>
                <w:sz w:val="18"/>
                <w:szCs w:val="18"/>
                <w:lang w:eastAsia="sk-SK"/>
              </w:rPr>
              <w:t>063</w:t>
            </w:r>
          </w:p>
        </w:tc>
        <w:tc>
          <w:tcPr>
            <w:tcW w:w="539" w:type="pct"/>
            <w:gridSpan w:val="2"/>
            <w:tcBorders>
              <w:top w:val="nil"/>
              <w:left w:val="nil"/>
              <w:bottom w:val="nil"/>
              <w:right w:val="nil"/>
            </w:tcBorders>
            <w:shd w:val="clear" w:color="auto" w:fill="auto"/>
            <w:noWrap/>
            <w:vAlign w:val="bottom"/>
          </w:tcPr>
          <w:p w14:paraId="017F36C8"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615" w:type="pct"/>
            <w:gridSpan w:val="3"/>
            <w:tcBorders>
              <w:top w:val="nil"/>
              <w:left w:val="nil"/>
              <w:bottom w:val="nil"/>
              <w:right w:val="nil"/>
            </w:tcBorders>
            <w:shd w:val="clear" w:color="auto" w:fill="auto"/>
            <w:noWrap/>
            <w:vAlign w:val="bottom"/>
          </w:tcPr>
          <w:p w14:paraId="08653C0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461" w:type="pct"/>
            <w:tcBorders>
              <w:top w:val="nil"/>
              <w:left w:val="nil"/>
              <w:bottom w:val="nil"/>
              <w:right w:val="nil"/>
            </w:tcBorders>
            <w:shd w:val="clear" w:color="auto" w:fill="auto"/>
            <w:noWrap/>
            <w:vAlign w:val="bottom"/>
          </w:tcPr>
          <w:p w14:paraId="2EBD6457" w14:textId="456132D3"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45952" behindDoc="0" locked="0" layoutInCell="1" allowOverlap="1" wp14:anchorId="2D7C94A3" wp14:editId="3F8DFE4A">
                  <wp:simplePos x="0" y="0"/>
                  <wp:positionH relativeFrom="column">
                    <wp:posOffset>0</wp:posOffset>
                  </wp:positionH>
                  <wp:positionV relativeFrom="paragraph">
                    <wp:posOffset>0</wp:posOffset>
                  </wp:positionV>
                  <wp:extent cx="123825" cy="123825"/>
                  <wp:effectExtent l="0" t="0" r="9525" b="9525"/>
                  <wp:wrapNone/>
                  <wp:docPr id="249" name="Obrázok 249" descr="9D4GQ34QB727H10MA3SSAR2R9" hidden="1"/>
                  <wp:cNvGraphicFramePr/>
                  <a:graphic xmlns:a="http://schemas.openxmlformats.org/drawingml/2006/main">
                    <a:graphicData uri="http://schemas.openxmlformats.org/drawingml/2006/picture">
                      <pic:pic xmlns:pic="http://schemas.openxmlformats.org/drawingml/2006/picture">
                        <pic:nvPicPr>
                          <pic:cNvPr id="24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6976" behindDoc="0" locked="0" layoutInCell="1" allowOverlap="1" wp14:anchorId="1F5EEE49" wp14:editId="7E09201C">
                  <wp:simplePos x="0" y="0"/>
                  <wp:positionH relativeFrom="column">
                    <wp:posOffset>0</wp:posOffset>
                  </wp:positionH>
                  <wp:positionV relativeFrom="paragraph">
                    <wp:posOffset>0</wp:posOffset>
                  </wp:positionV>
                  <wp:extent cx="123825" cy="123825"/>
                  <wp:effectExtent l="0" t="0" r="9525" b="9525"/>
                  <wp:wrapNone/>
                  <wp:docPr id="250" name="Obrázok 250" descr="MEW27CPIFG44B7E7HEQUUF5QF" hidden="1"/>
                  <wp:cNvGraphicFramePr/>
                  <a:graphic xmlns:a="http://schemas.openxmlformats.org/drawingml/2006/main">
                    <a:graphicData uri="http://schemas.openxmlformats.org/drawingml/2006/picture">
                      <pic:pic xmlns:pic="http://schemas.openxmlformats.org/drawingml/2006/picture">
                        <pic:nvPicPr>
                          <pic:cNvPr id="25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8000" behindDoc="0" locked="0" layoutInCell="1" allowOverlap="1" wp14:anchorId="17E81B6C" wp14:editId="6D4C2D81">
                  <wp:simplePos x="0" y="0"/>
                  <wp:positionH relativeFrom="column">
                    <wp:posOffset>0</wp:posOffset>
                  </wp:positionH>
                  <wp:positionV relativeFrom="paragraph">
                    <wp:posOffset>0</wp:posOffset>
                  </wp:positionV>
                  <wp:extent cx="123825" cy="123825"/>
                  <wp:effectExtent l="0" t="0" r="9525" b="9525"/>
                  <wp:wrapNone/>
                  <wp:docPr id="251" name="Obrázok 251" descr="9D4GQ34QB727H10MA3SSAR2R9" hidden="1"/>
                  <wp:cNvGraphicFramePr/>
                  <a:graphic xmlns:a="http://schemas.openxmlformats.org/drawingml/2006/main">
                    <a:graphicData uri="http://schemas.openxmlformats.org/drawingml/2006/picture">
                      <pic:pic xmlns:pic="http://schemas.openxmlformats.org/drawingml/2006/picture">
                        <pic:nvPicPr>
                          <pic:cNvPr id="25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49024" behindDoc="0" locked="0" layoutInCell="1" allowOverlap="1" wp14:anchorId="3E70BADA" wp14:editId="26FD1919">
                  <wp:simplePos x="0" y="0"/>
                  <wp:positionH relativeFrom="column">
                    <wp:posOffset>0</wp:posOffset>
                  </wp:positionH>
                  <wp:positionV relativeFrom="paragraph">
                    <wp:posOffset>0</wp:posOffset>
                  </wp:positionV>
                  <wp:extent cx="123825" cy="123825"/>
                  <wp:effectExtent l="0" t="0" r="9525" b="9525"/>
                  <wp:wrapNone/>
                  <wp:docPr id="252" name="Obrázok 252" descr="MEW27CPIFG44B7E7HEQUUF5QF" hidden="1"/>
                  <wp:cNvGraphicFramePr/>
                  <a:graphic xmlns:a="http://schemas.openxmlformats.org/drawingml/2006/main">
                    <a:graphicData uri="http://schemas.openxmlformats.org/drawingml/2006/picture">
                      <pic:pic xmlns:pic="http://schemas.openxmlformats.org/drawingml/2006/picture">
                        <pic:nvPicPr>
                          <pic:cNvPr id="25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w:t>
            </w:r>
            <w:r>
              <w:rPr>
                <w:sz w:val="18"/>
                <w:szCs w:val="18"/>
                <w:lang w:eastAsia="sk-SK"/>
              </w:rPr>
              <w:t>490</w:t>
            </w:r>
          </w:p>
        </w:tc>
      </w:tr>
      <w:tr w:rsidR="00FA1620" w:rsidRPr="001B4DEC" w14:paraId="1EB91F31"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69C6944A" w14:textId="77777777" w:rsidR="00FA1620" w:rsidRPr="007145EE" w:rsidRDefault="00FA1620" w:rsidP="00CA4C99">
            <w:pPr>
              <w:spacing w:after="0" w:line="240" w:lineRule="auto"/>
              <w:rPr>
                <w:sz w:val="18"/>
                <w:szCs w:val="18"/>
                <w:lang w:eastAsia="sk-SK"/>
              </w:rPr>
            </w:pPr>
            <w:r w:rsidRPr="007145EE">
              <w:rPr>
                <w:sz w:val="18"/>
                <w:szCs w:val="18"/>
                <w:lang w:eastAsia="sk-SK"/>
              </w:rPr>
              <w:t xml:space="preserve">Letové prevádzkové služby SR, </w:t>
            </w:r>
            <w:proofErr w:type="spellStart"/>
            <w:r w:rsidRPr="007145EE">
              <w:rPr>
                <w:sz w:val="18"/>
                <w:szCs w:val="18"/>
                <w:lang w:eastAsia="sk-SK"/>
              </w:rPr>
              <w:t>š.p</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0233D74E"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14 612</w:t>
            </w:r>
          </w:p>
        </w:tc>
        <w:tc>
          <w:tcPr>
            <w:tcW w:w="692" w:type="pct"/>
            <w:gridSpan w:val="2"/>
            <w:tcBorders>
              <w:top w:val="nil"/>
              <w:left w:val="nil"/>
              <w:bottom w:val="nil"/>
              <w:right w:val="nil"/>
            </w:tcBorders>
            <w:shd w:val="clear" w:color="auto" w:fill="auto"/>
            <w:noWrap/>
            <w:vAlign w:val="bottom"/>
          </w:tcPr>
          <w:p w14:paraId="19D7833C"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10 166</w:t>
            </w:r>
          </w:p>
        </w:tc>
        <w:tc>
          <w:tcPr>
            <w:tcW w:w="537" w:type="pct"/>
            <w:gridSpan w:val="2"/>
            <w:tcBorders>
              <w:top w:val="nil"/>
              <w:left w:val="nil"/>
              <w:bottom w:val="nil"/>
              <w:right w:val="nil"/>
            </w:tcBorders>
            <w:shd w:val="clear" w:color="auto" w:fill="auto"/>
            <w:noWrap/>
            <w:vAlign w:val="bottom"/>
          </w:tcPr>
          <w:p w14:paraId="7BD25B9A"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50112CB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615" w:type="pct"/>
            <w:gridSpan w:val="3"/>
            <w:tcBorders>
              <w:top w:val="nil"/>
              <w:left w:val="nil"/>
              <w:bottom w:val="nil"/>
              <w:right w:val="nil"/>
            </w:tcBorders>
            <w:shd w:val="clear" w:color="auto" w:fill="auto"/>
            <w:noWrap/>
            <w:vAlign w:val="bottom"/>
          </w:tcPr>
          <w:p w14:paraId="3DEE2A00"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4 446</w:t>
            </w:r>
          </w:p>
        </w:tc>
        <w:tc>
          <w:tcPr>
            <w:tcW w:w="461" w:type="pct"/>
            <w:tcBorders>
              <w:top w:val="nil"/>
              <w:left w:val="nil"/>
              <w:bottom w:val="nil"/>
              <w:right w:val="nil"/>
            </w:tcBorders>
            <w:shd w:val="clear" w:color="auto" w:fill="auto"/>
            <w:noWrap/>
            <w:vAlign w:val="bottom"/>
          </w:tcPr>
          <w:p w14:paraId="74CE0595" w14:textId="46C9AD91"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50048" behindDoc="0" locked="0" layoutInCell="1" allowOverlap="1" wp14:anchorId="05BD1504" wp14:editId="79BF9BD2">
                  <wp:simplePos x="0" y="0"/>
                  <wp:positionH relativeFrom="column">
                    <wp:posOffset>0</wp:posOffset>
                  </wp:positionH>
                  <wp:positionV relativeFrom="paragraph">
                    <wp:posOffset>0</wp:posOffset>
                  </wp:positionV>
                  <wp:extent cx="123825" cy="123825"/>
                  <wp:effectExtent l="0" t="0" r="9525" b="9525"/>
                  <wp:wrapNone/>
                  <wp:docPr id="99" name="Obrázok 99" descr="9D4GQ34QB727H10MA3SSAR2R9" hidden="1"/>
                  <wp:cNvGraphicFramePr/>
                  <a:graphic xmlns:a="http://schemas.openxmlformats.org/drawingml/2006/main">
                    <a:graphicData uri="http://schemas.openxmlformats.org/drawingml/2006/picture">
                      <pic:pic xmlns:pic="http://schemas.openxmlformats.org/drawingml/2006/picture">
                        <pic:nvPicPr>
                          <pic:cNvPr id="9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1072" behindDoc="0" locked="0" layoutInCell="1" allowOverlap="1" wp14:anchorId="41DBE96F" wp14:editId="03652D16">
                  <wp:simplePos x="0" y="0"/>
                  <wp:positionH relativeFrom="column">
                    <wp:posOffset>0</wp:posOffset>
                  </wp:positionH>
                  <wp:positionV relativeFrom="paragraph">
                    <wp:posOffset>0</wp:posOffset>
                  </wp:positionV>
                  <wp:extent cx="123825" cy="123825"/>
                  <wp:effectExtent l="0" t="0" r="9525" b="9525"/>
                  <wp:wrapNone/>
                  <wp:docPr id="100" name="Obrázok 100" descr="MEW27CPIFG44B7E7HEQUUF5QF" hidden="1"/>
                  <wp:cNvGraphicFramePr/>
                  <a:graphic xmlns:a="http://schemas.openxmlformats.org/drawingml/2006/main">
                    <a:graphicData uri="http://schemas.openxmlformats.org/drawingml/2006/picture">
                      <pic:pic xmlns:pic="http://schemas.openxmlformats.org/drawingml/2006/picture">
                        <pic:nvPicPr>
                          <pic:cNvPr id="10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2096" behindDoc="0" locked="0" layoutInCell="1" allowOverlap="1" wp14:anchorId="2C971CE5" wp14:editId="7BE73BD1">
                  <wp:simplePos x="0" y="0"/>
                  <wp:positionH relativeFrom="column">
                    <wp:posOffset>0</wp:posOffset>
                  </wp:positionH>
                  <wp:positionV relativeFrom="paragraph">
                    <wp:posOffset>0</wp:posOffset>
                  </wp:positionV>
                  <wp:extent cx="123825" cy="123825"/>
                  <wp:effectExtent l="0" t="0" r="9525" b="9525"/>
                  <wp:wrapNone/>
                  <wp:docPr id="101" name="Obrázok 101" descr="9D4GQ34QB727H10MA3SSAR2R9" hidden="1"/>
                  <wp:cNvGraphicFramePr/>
                  <a:graphic xmlns:a="http://schemas.openxmlformats.org/drawingml/2006/main">
                    <a:graphicData uri="http://schemas.openxmlformats.org/drawingml/2006/picture">
                      <pic:pic xmlns:pic="http://schemas.openxmlformats.org/drawingml/2006/picture">
                        <pic:nvPicPr>
                          <pic:cNvPr id="10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3120" behindDoc="0" locked="0" layoutInCell="1" allowOverlap="1" wp14:anchorId="3C3C414D" wp14:editId="0A46842C">
                  <wp:simplePos x="0" y="0"/>
                  <wp:positionH relativeFrom="column">
                    <wp:posOffset>0</wp:posOffset>
                  </wp:positionH>
                  <wp:positionV relativeFrom="paragraph">
                    <wp:posOffset>0</wp:posOffset>
                  </wp:positionV>
                  <wp:extent cx="123825" cy="123825"/>
                  <wp:effectExtent l="0" t="0" r="9525" b="9525"/>
                  <wp:wrapNone/>
                  <wp:docPr id="102" name="Obrázok 102" descr="MEW27CPIFG44B7E7HEQUUF5QF" hidden="1"/>
                  <wp:cNvGraphicFramePr/>
                  <a:graphic xmlns:a="http://schemas.openxmlformats.org/drawingml/2006/main">
                    <a:graphicData uri="http://schemas.openxmlformats.org/drawingml/2006/picture">
                      <pic:pic xmlns:pic="http://schemas.openxmlformats.org/drawingml/2006/picture">
                        <pic:nvPicPr>
                          <pic:cNvPr id="10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4144" behindDoc="0" locked="0" layoutInCell="1" allowOverlap="1" wp14:anchorId="6EA20514" wp14:editId="3ECEA4A2">
                  <wp:simplePos x="0" y="0"/>
                  <wp:positionH relativeFrom="column">
                    <wp:posOffset>0</wp:posOffset>
                  </wp:positionH>
                  <wp:positionV relativeFrom="paragraph">
                    <wp:posOffset>0</wp:posOffset>
                  </wp:positionV>
                  <wp:extent cx="123825" cy="123825"/>
                  <wp:effectExtent l="0" t="0" r="9525" b="9525"/>
                  <wp:wrapNone/>
                  <wp:docPr id="157" name="Obrázok 157" descr="9D4GQ34QB727H10MA3SSAR2R9" hidden="1"/>
                  <wp:cNvGraphicFramePr/>
                  <a:graphic xmlns:a="http://schemas.openxmlformats.org/drawingml/2006/main">
                    <a:graphicData uri="http://schemas.openxmlformats.org/drawingml/2006/picture">
                      <pic:pic xmlns:pic="http://schemas.openxmlformats.org/drawingml/2006/picture">
                        <pic:nvPicPr>
                          <pic:cNvPr id="15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5168" behindDoc="0" locked="0" layoutInCell="1" allowOverlap="1" wp14:anchorId="58A9D5DD" wp14:editId="2B4E72E4">
                  <wp:simplePos x="0" y="0"/>
                  <wp:positionH relativeFrom="column">
                    <wp:posOffset>0</wp:posOffset>
                  </wp:positionH>
                  <wp:positionV relativeFrom="paragraph">
                    <wp:posOffset>0</wp:posOffset>
                  </wp:positionV>
                  <wp:extent cx="123825" cy="123825"/>
                  <wp:effectExtent l="0" t="0" r="9525" b="9525"/>
                  <wp:wrapNone/>
                  <wp:docPr id="158" name="Obrázok 158" descr="MEW27CPIFG44B7E7HEQUUF5QF" hidden="1"/>
                  <wp:cNvGraphicFramePr/>
                  <a:graphic xmlns:a="http://schemas.openxmlformats.org/drawingml/2006/main">
                    <a:graphicData uri="http://schemas.openxmlformats.org/drawingml/2006/picture">
                      <pic:pic xmlns:pic="http://schemas.openxmlformats.org/drawingml/2006/picture">
                        <pic:nvPicPr>
                          <pic:cNvPr id="15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6192" behindDoc="0" locked="0" layoutInCell="1" allowOverlap="1" wp14:anchorId="067E5408" wp14:editId="51191CA6">
                  <wp:simplePos x="0" y="0"/>
                  <wp:positionH relativeFrom="column">
                    <wp:posOffset>0</wp:posOffset>
                  </wp:positionH>
                  <wp:positionV relativeFrom="paragraph">
                    <wp:posOffset>0</wp:posOffset>
                  </wp:positionV>
                  <wp:extent cx="123825" cy="123825"/>
                  <wp:effectExtent l="0" t="0" r="9525" b="9525"/>
                  <wp:wrapNone/>
                  <wp:docPr id="159" name="Obrázok 159" descr="9D4GQ34QB727H10MA3SSAR2R9" hidden="1"/>
                  <wp:cNvGraphicFramePr/>
                  <a:graphic xmlns:a="http://schemas.openxmlformats.org/drawingml/2006/main">
                    <a:graphicData uri="http://schemas.openxmlformats.org/drawingml/2006/picture">
                      <pic:pic xmlns:pic="http://schemas.openxmlformats.org/drawingml/2006/picture">
                        <pic:nvPicPr>
                          <pic:cNvPr id="15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7216" behindDoc="0" locked="0" layoutInCell="1" allowOverlap="1" wp14:anchorId="376A7B18" wp14:editId="61699A38">
                  <wp:simplePos x="0" y="0"/>
                  <wp:positionH relativeFrom="column">
                    <wp:posOffset>0</wp:posOffset>
                  </wp:positionH>
                  <wp:positionV relativeFrom="paragraph">
                    <wp:posOffset>0</wp:posOffset>
                  </wp:positionV>
                  <wp:extent cx="123825" cy="123825"/>
                  <wp:effectExtent l="0" t="0" r="9525" b="9525"/>
                  <wp:wrapNone/>
                  <wp:docPr id="160" name="Obrázok 160" descr="MEW27CPIFG44B7E7HEQUUF5QF" hidden="1"/>
                  <wp:cNvGraphicFramePr/>
                  <a:graphic xmlns:a="http://schemas.openxmlformats.org/drawingml/2006/main">
                    <a:graphicData uri="http://schemas.openxmlformats.org/drawingml/2006/picture">
                      <pic:pic xmlns:pic="http://schemas.openxmlformats.org/drawingml/2006/picture">
                        <pic:nvPicPr>
                          <pic:cNvPr id="16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0</w:t>
            </w:r>
          </w:p>
        </w:tc>
      </w:tr>
      <w:tr w:rsidR="00FA1620" w:rsidRPr="001B4DEC" w14:paraId="3AD60862"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3EEE4A3B" w14:textId="77777777" w:rsidR="00FA1620" w:rsidRPr="007145EE" w:rsidRDefault="00FA1620" w:rsidP="00CA4C99">
            <w:pPr>
              <w:spacing w:after="0" w:line="240" w:lineRule="auto"/>
              <w:rPr>
                <w:sz w:val="18"/>
                <w:szCs w:val="18"/>
                <w:lang w:eastAsia="sk-SK"/>
              </w:rPr>
            </w:pPr>
            <w:r w:rsidRPr="007145EE">
              <w:rPr>
                <w:sz w:val="18"/>
                <w:szCs w:val="18"/>
                <w:lang w:eastAsia="sk-SK"/>
              </w:rPr>
              <w:t xml:space="preserve">Železničná spol. Slovensko,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56A29273"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9 928</w:t>
            </w:r>
          </w:p>
        </w:tc>
        <w:tc>
          <w:tcPr>
            <w:tcW w:w="692" w:type="pct"/>
            <w:gridSpan w:val="2"/>
            <w:tcBorders>
              <w:top w:val="nil"/>
              <w:left w:val="nil"/>
              <w:bottom w:val="nil"/>
              <w:right w:val="nil"/>
            </w:tcBorders>
            <w:shd w:val="clear" w:color="auto" w:fill="auto"/>
            <w:noWrap/>
            <w:vAlign w:val="bottom"/>
          </w:tcPr>
          <w:p w14:paraId="35D91786"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6 823</w:t>
            </w:r>
          </w:p>
        </w:tc>
        <w:tc>
          <w:tcPr>
            <w:tcW w:w="537" w:type="pct"/>
            <w:gridSpan w:val="2"/>
            <w:tcBorders>
              <w:top w:val="nil"/>
              <w:left w:val="nil"/>
              <w:bottom w:val="nil"/>
              <w:right w:val="nil"/>
            </w:tcBorders>
            <w:shd w:val="clear" w:color="auto" w:fill="auto"/>
            <w:noWrap/>
            <w:vAlign w:val="bottom"/>
          </w:tcPr>
          <w:p w14:paraId="64685009"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10D359B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3 265</w:t>
            </w:r>
          </w:p>
        </w:tc>
        <w:tc>
          <w:tcPr>
            <w:tcW w:w="615" w:type="pct"/>
            <w:gridSpan w:val="3"/>
            <w:tcBorders>
              <w:top w:val="nil"/>
              <w:left w:val="nil"/>
              <w:bottom w:val="nil"/>
              <w:right w:val="nil"/>
            </w:tcBorders>
            <w:shd w:val="clear" w:color="auto" w:fill="auto"/>
            <w:noWrap/>
            <w:vAlign w:val="bottom"/>
          </w:tcPr>
          <w:p w14:paraId="172673CA"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461" w:type="pct"/>
            <w:tcBorders>
              <w:top w:val="nil"/>
              <w:left w:val="nil"/>
              <w:bottom w:val="nil"/>
              <w:right w:val="nil"/>
            </w:tcBorders>
            <w:shd w:val="clear" w:color="auto" w:fill="auto"/>
            <w:noWrap/>
            <w:vAlign w:val="bottom"/>
          </w:tcPr>
          <w:p w14:paraId="3934D4D7" w14:textId="70E9624A"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58240" behindDoc="0" locked="0" layoutInCell="1" allowOverlap="1" wp14:anchorId="0B010670" wp14:editId="6575BD3B">
                  <wp:simplePos x="0" y="0"/>
                  <wp:positionH relativeFrom="column">
                    <wp:posOffset>0</wp:posOffset>
                  </wp:positionH>
                  <wp:positionV relativeFrom="paragraph">
                    <wp:posOffset>0</wp:posOffset>
                  </wp:positionV>
                  <wp:extent cx="123825" cy="123825"/>
                  <wp:effectExtent l="0" t="0" r="9525" b="9525"/>
                  <wp:wrapNone/>
                  <wp:docPr id="39" name="Obrázok 39" descr="U084VZL15IMB1OFRRAY6GVKAE" hidden="1"/>
                  <wp:cNvGraphicFramePr/>
                  <a:graphic xmlns:a="http://schemas.openxmlformats.org/drawingml/2006/main">
                    <a:graphicData uri="http://schemas.openxmlformats.org/drawingml/2006/picture">
                      <pic:pic xmlns:pic="http://schemas.openxmlformats.org/drawingml/2006/picture">
                        <pic:nvPicPr>
                          <pic:cNvPr id="39" name="BExMF7LICJLPXSHM63A6EQ79YQKG" descr="U084VZL15IMB1OFRRAY6GVKAE"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59264" behindDoc="0" locked="0" layoutInCell="1" allowOverlap="1" wp14:anchorId="4160AB70" wp14:editId="14D5C2C0">
                  <wp:simplePos x="0" y="0"/>
                  <wp:positionH relativeFrom="column">
                    <wp:posOffset>0</wp:posOffset>
                  </wp:positionH>
                  <wp:positionV relativeFrom="paragraph">
                    <wp:posOffset>0</wp:posOffset>
                  </wp:positionV>
                  <wp:extent cx="123825" cy="123825"/>
                  <wp:effectExtent l="0" t="0" r="9525" b="9525"/>
                  <wp:wrapNone/>
                  <wp:docPr id="79" name="Obrázok 79" descr="9D4GQ34QB727H10MA3SSAR2R9" hidden="1"/>
                  <wp:cNvGraphicFramePr/>
                  <a:graphic xmlns:a="http://schemas.openxmlformats.org/drawingml/2006/main">
                    <a:graphicData uri="http://schemas.openxmlformats.org/drawingml/2006/picture">
                      <pic:pic xmlns:pic="http://schemas.openxmlformats.org/drawingml/2006/picture">
                        <pic:nvPicPr>
                          <pic:cNvPr id="7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0288" behindDoc="0" locked="0" layoutInCell="1" allowOverlap="1" wp14:anchorId="349DBCBB" wp14:editId="0EEDEF4E">
                  <wp:simplePos x="0" y="0"/>
                  <wp:positionH relativeFrom="column">
                    <wp:posOffset>0</wp:posOffset>
                  </wp:positionH>
                  <wp:positionV relativeFrom="paragraph">
                    <wp:posOffset>0</wp:posOffset>
                  </wp:positionV>
                  <wp:extent cx="123825" cy="123825"/>
                  <wp:effectExtent l="0" t="0" r="9525" b="9525"/>
                  <wp:wrapNone/>
                  <wp:docPr id="80" name="Obrázok 80" descr="MEW27CPIFG44B7E7HEQUUF5QF" hidden="1"/>
                  <wp:cNvGraphicFramePr/>
                  <a:graphic xmlns:a="http://schemas.openxmlformats.org/drawingml/2006/main">
                    <a:graphicData uri="http://schemas.openxmlformats.org/drawingml/2006/picture">
                      <pic:pic xmlns:pic="http://schemas.openxmlformats.org/drawingml/2006/picture">
                        <pic:nvPicPr>
                          <pic:cNvPr id="8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1312" behindDoc="0" locked="0" layoutInCell="1" allowOverlap="1" wp14:anchorId="225E31FE" wp14:editId="17D498E6">
                  <wp:simplePos x="0" y="0"/>
                  <wp:positionH relativeFrom="column">
                    <wp:posOffset>0</wp:posOffset>
                  </wp:positionH>
                  <wp:positionV relativeFrom="paragraph">
                    <wp:posOffset>0</wp:posOffset>
                  </wp:positionV>
                  <wp:extent cx="123825" cy="123825"/>
                  <wp:effectExtent l="0" t="0" r="9525" b="9525"/>
                  <wp:wrapNone/>
                  <wp:docPr id="81" name="Obrázok 81" descr="9D4GQ34QB727H10MA3SSAR2R9" hidden="1"/>
                  <wp:cNvGraphicFramePr/>
                  <a:graphic xmlns:a="http://schemas.openxmlformats.org/drawingml/2006/main">
                    <a:graphicData uri="http://schemas.openxmlformats.org/drawingml/2006/picture">
                      <pic:pic xmlns:pic="http://schemas.openxmlformats.org/drawingml/2006/picture">
                        <pic:nvPicPr>
                          <pic:cNvPr id="8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2336" behindDoc="0" locked="0" layoutInCell="1" allowOverlap="1" wp14:anchorId="12B0B1DF" wp14:editId="7A3388E7">
                  <wp:simplePos x="0" y="0"/>
                  <wp:positionH relativeFrom="column">
                    <wp:posOffset>0</wp:posOffset>
                  </wp:positionH>
                  <wp:positionV relativeFrom="paragraph">
                    <wp:posOffset>0</wp:posOffset>
                  </wp:positionV>
                  <wp:extent cx="123825" cy="123825"/>
                  <wp:effectExtent l="0" t="0" r="9525" b="9525"/>
                  <wp:wrapNone/>
                  <wp:docPr id="82" name="Obrázok 82" descr="MEW27CPIFG44B7E7HEQUUF5QF" hidden="1"/>
                  <wp:cNvGraphicFramePr/>
                  <a:graphic xmlns:a="http://schemas.openxmlformats.org/drawingml/2006/main">
                    <a:graphicData uri="http://schemas.openxmlformats.org/drawingml/2006/picture">
                      <pic:pic xmlns:pic="http://schemas.openxmlformats.org/drawingml/2006/picture">
                        <pic:nvPicPr>
                          <pic:cNvPr id="8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3360" behindDoc="0" locked="0" layoutInCell="1" allowOverlap="1" wp14:anchorId="1FA46E43" wp14:editId="2B5BA4AB">
                  <wp:simplePos x="0" y="0"/>
                  <wp:positionH relativeFrom="column">
                    <wp:posOffset>0</wp:posOffset>
                  </wp:positionH>
                  <wp:positionV relativeFrom="paragraph">
                    <wp:posOffset>0</wp:posOffset>
                  </wp:positionV>
                  <wp:extent cx="123825" cy="123825"/>
                  <wp:effectExtent l="0" t="0" r="9525" b="9525"/>
                  <wp:wrapNone/>
                  <wp:docPr id="137" name="Obrázok 137" descr="9D4GQ34QB727H10MA3SSAR2R9" hidden="1"/>
                  <wp:cNvGraphicFramePr/>
                  <a:graphic xmlns:a="http://schemas.openxmlformats.org/drawingml/2006/main">
                    <a:graphicData uri="http://schemas.openxmlformats.org/drawingml/2006/picture">
                      <pic:pic xmlns:pic="http://schemas.openxmlformats.org/drawingml/2006/picture">
                        <pic:nvPicPr>
                          <pic:cNvPr id="13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4384" behindDoc="0" locked="0" layoutInCell="1" allowOverlap="1" wp14:anchorId="0226C74D" wp14:editId="1ADDF669">
                  <wp:simplePos x="0" y="0"/>
                  <wp:positionH relativeFrom="column">
                    <wp:posOffset>0</wp:posOffset>
                  </wp:positionH>
                  <wp:positionV relativeFrom="paragraph">
                    <wp:posOffset>0</wp:posOffset>
                  </wp:positionV>
                  <wp:extent cx="123825" cy="123825"/>
                  <wp:effectExtent l="0" t="0" r="9525" b="9525"/>
                  <wp:wrapNone/>
                  <wp:docPr id="138" name="Obrázok 138" descr="MEW27CPIFG44B7E7HEQUUF5QF" hidden="1"/>
                  <wp:cNvGraphicFramePr/>
                  <a:graphic xmlns:a="http://schemas.openxmlformats.org/drawingml/2006/main">
                    <a:graphicData uri="http://schemas.openxmlformats.org/drawingml/2006/picture">
                      <pic:pic xmlns:pic="http://schemas.openxmlformats.org/drawingml/2006/picture">
                        <pic:nvPicPr>
                          <pic:cNvPr id="13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5408" behindDoc="0" locked="0" layoutInCell="1" allowOverlap="1" wp14:anchorId="24B888FA" wp14:editId="04B8EE11">
                  <wp:simplePos x="0" y="0"/>
                  <wp:positionH relativeFrom="column">
                    <wp:posOffset>0</wp:posOffset>
                  </wp:positionH>
                  <wp:positionV relativeFrom="paragraph">
                    <wp:posOffset>0</wp:posOffset>
                  </wp:positionV>
                  <wp:extent cx="123825" cy="123825"/>
                  <wp:effectExtent l="0" t="0" r="9525" b="9525"/>
                  <wp:wrapNone/>
                  <wp:docPr id="139" name="Obrázok 139" descr="9D4GQ34QB727H10MA3SSAR2R9" hidden="1"/>
                  <wp:cNvGraphicFramePr/>
                  <a:graphic xmlns:a="http://schemas.openxmlformats.org/drawingml/2006/main">
                    <a:graphicData uri="http://schemas.openxmlformats.org/drawingml/2006/picture">
                      <pic:pic xmlns:pic="http://schemas.openxmlformats.org/drawingml/2006/picture">
                        <pic:nvPicPr>
                          <pic:cNvPr id="13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6432" behindDoc="0" locked="0" layoutInCell="1" allowOverlap="1" wp14:anchorId="566B948C" wp14:editId="65CD1093">
                  <wp:simplePos x="0" y="0"/>
                  <wp:positionH relativeFrom="column">
                    <wp:posOffset>0</wp:posOffset>
                  </wp:positionH>
                  <wp:positionV relativeFrom="paragraph">
                    <wp:posOffset>0</wp:posOffset>
                  </wp:positionV>
                  <wp:extent cx="123825" cy="123825"/>
                  <wp:effectExtent l="0" t="0" r="9525" b="9525"/>
                  <wp:wrapNone/>
                  <wp:docPr id="140" name="Obrázok 140" descr="MEW27CPIFG44B7E7HEQUUF5QF" hidden="1"/>
                  <wp:cNvGraphicFramePr/>
                  <a:graphic xmlns:a="http://schemas.openxmlformats.org/drawingml/2006/main">
                    <a:graphicData uri="http://schemas.openxmlformats.org/drawingml/2006/picture">
                      <pic:pic xmlns:pic="http://schemas.openxmlformats.org/drawingml/2006/picture">
                        <pic:nvPicPr>
                          <pic:cNvPr id="14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-160</w:t>
            </w:r>
          </w:p>
        </w:tc>
      </w:tr>
      <w:tr w:rsidR="00FA1620" w:rsidRPr="001B4DEC" w14:paraId="46A64836"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400C6DFF" w14:textId="77777777" w:rsidR="00FA1620" w:rsidRPr="007145EE" w:rsidRDefault="00FA1620" w:rsidP="00CA4C99">
            <w:pPr>
              <w:spacing w:after="0" w:line="240" w:lineRule="auto"/>
              <w:rPr>
                <w:sz w:val="18"/>
                <w:szCs w:val="18"/>
                <w:lang w:eastAsia="sk-SK"/>
              </w:rPr>
            </w:pPr>
            <w:r w:rsidRPr="007145EE">
              <w:rPr>
                <w:sz w:val="18"/>
                <w:szCs w:val="18"/>
                <w:lang w:eastAsia="sk-SK"/>
              </w:rPr>
              <w:t xml:space="preserve">DMD Group,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37E493AC"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8 508</w:t>
            </w:r>
          </w:p>
        </w:tc>
        <w:tc>
          <w:tcPr>
            <w:tcW w:w="692" w:type="pct"/>
            <w:gridSpan w:val="2"/>
            <w:tcBorders>
              <w:top w:val="nil"/>
              <w:left w:val="nil"/>
              <w:bottom w:val="nil"/>
              <w:right w:val="nil"/>
            </w:tcBorders>
            <w:shd w:val="clear" w:color="auto" w:fill="auto"/>
            <w:noWrap/>
            <w:vAlign w:val="bottom"/>
          </w:tcPr>
          <w:p w14:paraId="570204A0"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81</w:t>
            </w:r>
          </w:p>
        </w:tc>
        <w:tc>
          <w:tcPr>
            <w:tcW w:w="537" w:type="pct"/>
            <w:gridSpan w:val="2"/>
            <w:tcBorders>
              <w:top w:val="nil"/>
              <w:left w:val="nil"/>
              <w:bottom w:val="nil"/>
              <w:right w:val="nil"/>
            </w:tcBorders>
            <w:shd w:val="clear" w:color="auto" w:fill="auto"/>
            <w:noWrap/>
            <w:vAlign w:val="bottom"/>
          </w:tcPr>
          <w:p w14:paraId="0378517C"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39DAAFFB"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1 428</w:t>
            </w:r>
          </w:p>
        </w:tc>
        <w:tc>
          <w:tcPr>
            <w:tcW w:w="615" w:type="pct"/>
            <w:gridSpan w:val="3"/>
            <w:tcBorders>
              <w:top w:val="nil"/>
              <w:left w:val="nil"/>
              <w:bottom w:val="nil"/>
              <w:right w:val="nil"/>
            </w:tcBorders>
            <w:shd w:val="clear" w:color="auto" w:fill="auto"/>
            <w:noWrap/>
            <w:vAlign w:val="bottom"/>
          </w:tcPr>
          <w:p w14:paraId="159DF0E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7 000</w:t>
            </w:r>
          </w:p>
        </w:tc>
        <w:tc>
          <w:tcPr>
            <w:tcW w:w="461" w:type="pct"/>
            <w:tcBorders>
              <w:top w:val="nil"/>
              <w:left w:val="nil"/>
              <w:bottom w:val="nil"/>
              <w:right w:val="nil"/>
            </w:tcBorders>
            <w:shd w:val="clear" w:color="auto" w:fill="auto"/>
            <w:noWrap/>
            <w:vAlign w:val="bottom"/>
          </w:tcPr>
          <w:p w14:paraId="6730652C" w14:textId="1677284A"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67456" behindDoc="0" locked="0" layoutInCell="1" allowOverlap="1" wp14:anchorId="782E9267" wp14:editId="74C7222E">
                  <wp:simplePos x="0" y="0"/>
                  <wp:positionH relativeFrom="column">
                    <wp:posOffset>0</wp:posOffset>
                  </wp:positionH>
                  <wp:positionV relativeFrom="paragraph">
                    <wp:posOffset>0</wp:posOffset>
                  </wp:positionV>
                  <wp:extent cx="123825" cy="123825"/>
                  <wp:effectExtent l="0" t="0" r="9525" b="9525"/>
                  <wp:wrapNone/>
                  <wp:docPr id="325" name="Obrázok 325" descr="9D4GQ34QB727H10MA3SSAR2R9" hidden="1"/>
                  <wp:cNvGraphicFramePr/>
                  <a:graphic xmlns:a="http://schemas.openxmlformats.org/drawingml/2006/main">
                    <a:graphicData uri="http://schemas.openxmlformats.org/drawingml/2006/picture">
                      <pic:pic xmlns:pic="http://schemas.openxmlformats.org/drawingml/2006/picture">
                        <pic:nvPicPr>
                          <pic:cNvPr id="32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8480" behindDoc="0" locked="0" layoutInCell="1" allowOverlap="1" wp14:anchorId="2DB36790" wp14:editId="156BAB75">
                  <wp:simplePos x="0" y="0"/>
                  <wp:positionH relativeFrom="column">
                    <wp:posOffset>0</wp:posOffset>
                  </wp:positionH>
                  <wp:positionV relativeFrom="paragraph">
                    <wp:posOffset>0</wp:posOffset>
                  </wp:positionV>
                  <wp:extent cx="123825" cy="123825"/>
                  <wp:effectExtent l="0" t="0" r="9525" b="9525"/>
                  <wp:wrapNone/>
                  <wp:docPr id="326" name="Obrázok 326" descr="MEW27CPIFG44B7E7HEQUUF5QF" hidden="1"/>
                  <wp:cNvGraphicFramePr/>
                  <a:graphic xmlns:a="http://schemas.openxmlformats.org/drawingml/2006/main">
                    <a:graphicData uri="http://schemas.openxmlformats.org/drawingml/2006/picture">
                      <pic:pic xmlns:pic="http://schemas.openxmlformats.org/drawingml/2006/picture">
                        <pic:nvPicPr>
                          <pic:cNvPr id="32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69504" behindDoc="0" locked="0" layoutInCell="1" allowOverlap="1" wp14:anchorId="5698D9C0" wp14:editId="01210025">
                  <wp:simplePos x="0" y="0"/>
                  <wp:positionH relativeFrom="column">
                    <wp:posOffset>0</wp:posOffset>
                  </wp:positionH>
                  <wp:positionV relativeFrom="paragraph">
                    <wp:posOffset>0</wp:posOffset>
                  </wp:positionV>
                  <wp:extent cx="123825" cy="123825"/>
                  <wp:effectExtent l="0" t="0" r="9525" b="9525"/>
                  <wp:wrapNone/>
                  <wp:docPr id="327" name="Obrázok 327" descr="9D4GQ34QB727H10MA3SSAR2R9" hidden="1"/>
                  <wp:cNvGraphicFramePr/>
                  <a:graphic xmlns:a="http://schemas.openxmlformats.org/drawingml/2006/main">
                    <a:graphicData uri="http://schemas.openxmlformats.org/drawingml/2006/picture">
                      <pic:pic xmlns:pic="http://schemas.openxmlformats.org/drawingml/2006/picture">
                        <pic:nvPicPr>
                          <pic:cNvPr id="32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0528" behindDoc="0" locked="0" layoutInCell="1" allowOverlap="1" wp14:anchorId="40E67DCE" wp14:editId="529C30A4">
                  <wp:simplePos x="0" y="0"/>
                  <wp:positionH relativeFrom="column">
                    <wp:posOffset>0</wp:posOffset>
                  </wp:positionH>
                  <wp:positionV relativeFrom="paragraph">
                    <wp:posOffset>0</wp:posOffset>
                  </wp:positionV>
                  <wp:extent cx="123825" cy="123825"/>
                  <wp:effectExtent l="0" t="0" r="9525" b="9525"/>
                  <wp:wrapNone/>
                  <wp:docPr id="328" name="Obrázok 328" descr="MEW27CPIFG44B7E7HEQUUF5QF" hidden="1"/>
                  <wp:cNvGraphicFramePr/>
                  <a:graphic xmlns:a="http://schemas.openxmlformats.org/drawingml/2006/main">
                    <a:graphicData uri="http://schemas.openxmlformats.org/drawingml/2006/picture">
                      <pic:pic xmlns:pic="http://schemas.openxmlformats.org/drawingml/2006/picture">
                        <pic:nvPicPr>
                          <pic:cNvPr id="32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-1</w:t>
            </w:r>
          </w:p>
        </w:tc>
      </w:tr>
      <w:tr w:rsidR="00FA1620" w:rsidRPr="001B4DEC" w14:paraId="2F57A03E"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742D29CA" w14:textId="77777777" w:rsidR="00FA1620" w:rsidRPr="007145EE" w:rsidRDefault="00FA1620" w:rsidP="00CA4C99">
            <w:pPr>
              <w:spacing w:after="0" w:line="240" w:lineRule="auto"/>
              <w:rPr>
                <w:sz w:val="18"/>
                <w:szCs w:val="18"/>
                <w:lang w:eastAsia="sk-SK"/>
              </w:rPr>
            </w:pPr>
            <w:r w:rsidRPr="007145EE">
              <w:rPr>
                <w:sz w:val="18"/>
                <w:szCs w:val="18"/>
                <w:lang w:eastAsia="sk-SK"/>
              </w:rPr>
              <w:t xml:space="preserve">Všeobecná zdravotná poisťovňa,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03A912F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6 300</w:t>
            </w:r>
          </w:p>
        </w:tc>
        <w:tc>
          <w:tcPr>
            <w:tcW w:w="692" w:type="pct"/>
            <w:gridSpan w:val="2"/>
            <w:tcBorders>
              <w:top w:val="nil"/>
              <w:left w:val="nil"/>
              <w:bottom w:val="nil"/>
              <w:right w:val="nil"/>
            </w:tcBorders>
            <w:shd w:val="clear" w:color="auto" w:fill="auto"/>
            <w:noWrap/>
            <w:vAlign w:val="bottom"/>
          </w:tcPr>
          <w:p w14:paraId="084A16E8"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-153 769</w:t>
            </w:r>
          </w:p>
        </w:tc>
        <w:tc>
          <w:tcPr>
            <w:tcW w:w="537" w:type="pct"/>
            <w:gridSpan w:val="2"/>
            <w:tcBorders>
              <w:top w:val="nil"/>
              <w:left w:val="nil"/>
              <w:bottom w:val="nil"/>
              <w:right w:val="nil"/>
            </w:tcBorders>
            <w:shd w:val="clear" w:color="auto" w:fill="auto"/>
            <w:noWrap/>
            <w:vAlign w:val="bottom"/>
          </w:tcPr>
          <w:p w14:paraId="1D5D6F17"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247B90A9"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69</w:t>
            </w:r>
          </w:p>
        </w:tc>
        <w:tc>
          <w:tcPr>
            <w:tcW w:w="615" w:type="pct"/>
            <w:gridSpan w:val="3"/>
            <w:tcBorders>
              <w:top w:val="nil"/>
              <w:left w:val="nil"/>
              <w:bottom w:val="nil"/>
              <w:right w:val="nil"/>
            </w:tcBorders>
            <w:shd w:val="clear" w:color="auto" w:fill="auto"/>
            <w:noWrap/>
            <w:vAlign w:val="bottom"/>
          </w:tcPr>
          <w:p w14:paraId="33696BE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160 000</w:t>
            </w:r>
          </w:p>
        </w:tc>
        <w:tc>
          <w:tcPr>
            <w:tcW w:w="461" w:type="pct"/>
            <w:tcBorders>
              <w:top w:val="nil"/>
              <w:left w:val="nil"/>
              <w:bottom w:val="nil"/>
              <w:right w:val="nil"/>
            </w:tcBorders>
            <w:shd w:val="clear" w:color="auto" w:fill="auto"/>
            <w:noWrap/>
            <w:vAlign w:val="bottom"/>
          </w:tcPr>
          <w:p w14:paraId="6E5E3657" w14:textId="2C21B1E3"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71552" behindDoc="0" locked="0" layoutInCell="1" allowOverlap="1" wp14:anchorId="6575269E" wp14:editId="0D3101E0">
                  <wp:simplePos x="0" y="0"/>
                  <wp:positionH relativeFrom="column">
                    <wp:posOffset>0</wp:posOffset>
                  </wp:positionH>
                  <wp:positionV relativeFrom="paragraph">
                    <wp:posOffset>0</wp:posOffset>
                  </wp:positionV>
                  <wp:extent cx="123825" cy="123825"/>
                  <wp:effectExtent l="0" t="0" r="9525" b="9525"/>
                  <wp:wrapNone/>
                  <wp:docPr id="197" name="Obrázok 197" descr="9D4GQ34QB727H10MA3SSAR2R9" hidden="1"/>
                  <wp:cNvGraphicFramePr/>
                  <a:graphic xmlns:a="http://schemas.openxmlformats.org/drawingml/2006/main">
                    <a:graphicData uri="http://schemas.openxmlformats.org/drawingml/2006/picture">
                      <pic:pic xmlns:pic="http://schemas.openxmlformats.org/drawingml/2006/picture">
                        <pic:nvPicPr>
                          <pic:cNvPr id="19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2576" behindDoc="0" locked="0" layoutInCell="1" allowOverlap="1" wp14:anchorId="5A5772FC" wp14:editId="6303C2A2">
                  <wp:simplePos x="0" y="0"/>
                  <wp:positionH relativeFrom="column">
                    <wp:posOffset>0</wp:posOffset>
                  </wp:positionH>
                  <wp:positionV relativeFrom="paragraph">
                    <wp:posOffset>0</wp:posOffset>
                  </wp:positionV>
                  <wp:extent cx="123825" cy="123825"/>
                  <wp:effectExtent l="0" t="0" r="9525" b="9525"/>
                  <wp:wrapNone/>
                  <wp:docPr id="198" name="Obrázok 198" descr="MEW27CPIFG44B7E7HEQUUF5QF" hidden="1"/>
                  <wp:cNvGraphicFramePr/>
                  <a:graphic xmlns:a="http://schemas.openxmlformats.org/drawingml/2006/main">
                    <a:graphicData uri="http://schemas.openxmlformats.org/drawingml/2006/picture">
                      <pic:pic xmlns:pic="http://schemas.openxmlformats.org/drawingml/2006/picture">
                        <pic:nvPicPr>
                          <pic:cNvPr id="19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0</w:t>
            </w:r>
          </w:p>
        </w:tc>
      </w:tr>
      <w:tr w:rsidR="00FA1620" w:rsidRPr="001B4DEC" w14:paraId="11D27D3F"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4FAB2F15" w14:textId="77777777" w:rsidR="00FA1620" w:rsidRPr="007145EE" w:rsidRDefault="00FA1620" w:rsidP="00CA4C99">
            <w:pPr>
              <w:spacing w:after="0" w:line="240" w:lineRule="auto"/>
              <w:rPr>
                <w:sz w:val="18"/>
                <w:szCs w:val="18"/>
                <w:lang w:eastAsia="sk-SK"/>
              </w:rPr>
            </w:pPr>
            <w:r w:rsidRPr="007145EE">
              <w:rPr>
                <w:sz w:val="18"/>
                <w:szCs w:val="18"/>
                <w:lang w:eastAsia="sk-SK"/>
              </w:rPr>
              <w:t xml:space="preserve">Národ. ústav </w:t>
            </w:r>
            <w:proofErr w:type="spellStart"/>
            <w:r w:rsidRPr="007145EE">
              <w:rPr>
                <w:sz w:val="18"/>
                <w:szCs w:val="18"/>
                <w:lang w:eastAsia="sk-SK"/>
              </w:rPr>
              <w:t>srdc.a</w:t>
            </w:r>
            <w:proofErr w:type="spellEnd"/>
            <w:r w:rsidRPr="007145EE">
              <w:rPr>
                <w:sz w:val="18"/>
                <w:szCs w:val="18"/>
                <w:lang w:eastAsia="sk-SK"/>
              </w:rPr>
              <w:t xml:space="preserve"> </w:t>
            </w:r>
            <w:proofErr w:type="spellStart"/>
            <w:r w:rsidRPr="007145EE">
              <w:rPr>
                <w:sz w:val="18"/>
                <w:szCs w:val="18"/>
                <w:lang w:eastAsia="sk-SK"/>
              </w:rPr>
              <w:t>ciev.chorôb</w:t>
            </w:r>
            <w:proofErr w:type="spellEnd"/>
            <w:r w:rsidRPr="007145EE">
              <w:rPr>
                <w:sz w:val="18"/>
                <w:szCs w:val="18"/>
                <w:lang w:eastAsia="sk-SK"/>
              </w:rPr>
              <w:t xml:space="preserve">, </w:t>
            </w:r>
            <w:proofErr w:type="spellStart"/>
            <w:r w:rsidRPr="007145EE">
              <w:rPr>
                <w:sz w:val="18"/>
                <w:szCs w:val="18"/>
                <w:lang w:eastAsia="sk-SK"/>
              </w:rPr>
              <w:t>a.s</w:t>
            </w:r>
            <w:proofErr w:type="spellEnd"/>
          </w:p>
        </w:tc>
        <w:tc>
          <w:tcPr>
            <w:tcW w:w="615" w:type="pct"/>
            <w:gridSpan w:val="2"/>
            <w:tcBorders>
              <w:top w:val="nil"/>
              <w:left w:val="nil"/>
              <w:bottom w:val="nil"/>
              <w:right w:val="nil"/>
            </w:tcBorders>
            <w:shd w:val="clear" w:color="auto" w:fill="auto"/>
            <w:noWrap/>
            <w:vAlign w:val="center"/>
          </w:tcPr>
          <w:p w14:paraId="753A1A2F"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-8 134</w:t>
            </w:r>
          </w:p>
        </w:tc>
        <w:tc>
          <w:tcPr>
            <w:tcW w:w="692" w:type="pct"/>
            <w:gridSpan w:val="2"/>
            <w:tcBorders>
              <w:top w:val="nil"/>
              <w:left w:val="nil"/>
              <w:bottom w:val="nil"/>
              <w:right w:val="nil"/>
            </w:tcBorders>
            <w:shd w:val="clear" w:color="auto" w:fill="auto"/>
            <w:noWrap/>
            <w:vAlign w:val="center"/>
          </w:tcPr>
          <w:p w14:paraId="510B69F2"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-8 134</w:t>
            </w:r>
          </w:p>
        </w:tc>
        <w:tc>
          <w:tcPr>
            <w:tcW w:w="537" w:type="pct"/>
            <w:gridSpan w:val="2"/>
            <w:tcBorders>
              <w:top w:val="nil"/>
              <w:left w:val="nil"/>
              <w:bottom w:val="nil"/>
              <w:right w:val="nil"/>
            </w:tcBorders>
            <w:shd w:val="clear" w:color="auto" w:fill="auto"/>
            <w:noWrap/>
            <w:vAlign w:val="center"/>
          </w:tcPr>
          <w:p w14:paraId="3DEC3FE8"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center"/>
          </w:tcPr>
          <w:p w14:paraId="2B5C7CB3"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615" w:type="pct"/>
            <w:gridSpan w:val="3"/>
            <w:tcBorders>
              <w:top w:val="nil"/>
              <w:left w:val="nil"/>
              <w:bottom w:val="nil"/>
              <w:right w:val="nil"/>
            </w:tcBorders>
            <w:shd w:val="clear" w:color="auto" w:fill="auto"/>
            <w:noWrap/>
            <w:vAlign w:val="center"/>
          </w:tcPr>
          <w:p w14:paraId="1628BB91"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461" w:type="pct"/>
            <w:tcBorders>
              <w:top w:val="nil"/>
              <w:left w:val="nil"/>
              <w:bottom w:val="nil"/>
              <w:right w:val="nil"/>
            </w:tcBorders>
            <w:shd w:val="clear" w:color="auto" w:fill="auto"/>
            <w:noWrap/>
            <w:vAlign w:val="center"/>
          </w:tcPr>
          <w:p w14:paraId="33B069AA" w14:textId="05654A91"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73600" behindDoc="0" locked="0" layoutInCell="1" allowOverlap="1" wp14:anchorId="67E3037D" wp14:editId="009F96B5">
                  <wp:simplePos x="0" y="0"/>
                  <wp:positionH relativeFrom="column">
                    <wp:posOffset>0</wp:posOffset>
                  </wp:positionH>
                  <wp:positionV relativeFrom="paragraph">
                    <wp:posOffset>0</wp:posOffset>
                  </wp:positionV>
                  <wp:extent cx="123825" cy="123825"/>
                  <wp:effectExtent l="0" t="0" r="9525" b="9525"/>
                  <wp:wrapNone/>
                  <wp:docPr id="44" name="Obrázok 44" descr="D6ZNRZJ7EX4GZT9RO8LE0C905" hidden="1"/>
                  <wp:cNvGraphicFramePr/>
                  <a:graphic xmlns:a="http://schemas.openxmlformats.org/drawingml/2006/main">
                    <a:graphicData uri="http://schemas.openxmlformats.org/drawingml/2006/picture">
                      <pic:pic xmlns:pic="http://schemas.openxmlformats.org/drawingml/2006/picture">
                        <pic:nvPicPr>
                          <pic:cNvPr id="44" name="BExQEGJP61DL2NZY6LMBHBZ0J5YT" descr="D6ZNRZJ7EX4GZT9RO8LE0C905"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4624" behindDoc="0" locked="0" layoutInCell="1" allowOverlap="1" wp14:anchorId="0B09B95D" wp14:editId="2D2A434D">
                  <wp:simplePos x="0" y="0"/>
                  <wp:positionH relativeFrom="column">
                    <wp:posOffset>0</wp:posOffset>
                  </wp:positionH>
                  <wp:positionV relativeFrom="paragraph">
                    <wp:posOffset>0</wp:posOffset>
                  </wp:positionV>
                  <wp:extent cx="123825" cy="123825"/>
                  <wp:effectExtent l="0" t="0" r="9525" b="9525"/>
                  <wp:wrapNone/>
                  <wp:docPr id="211" name="Obrázok 211" descr="9D4GQ34QB727H10MA3SSAR2R9" hidden="1"/>
                  <wp:cNvGraphicFramePr/>
                  <a:graphic xmlns:a="http://schemas.openxmlformats.org/drawingml/2006/main">
                    <a:graphicData uri="http://schemas.openxmlformats.org/drawingml/2006/picture">
                      <pic:pic xmlns:pic="http://schemas.openxmlformats.org/drawingml/2006/picture">
                        <pic:nvPicPr>
                          <pic:cNvPr id="21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5648" behindDoc="0" locked="0" layoutInCell="1" allowOverlap="1" wp14:anchorId="0F18EE4B" wp14:editId="0DB2C9C3">
                  <wp:simplePos x="0" y="0"/>
                  <wp:positionH relativeFrom="column">
                    <wp:posOffset>0</wp:posOffset>
                  </wp:positionH>
                  <wp:positionV relativeFrom="paragraph">
                    <wp:posOffset>0</wp:posOffset>
                  </wp:positionV>
                  <wp:extent cx="123825" cy="123825"/>
                  <wp:effectExtent l="0" t="0" r="9525" b="9525"/>
                  <wp:wrapNone/>
                  <wp:docPr id="212" name="Obrázok 212" descr="MEW27CPIFG44B7E7HEQUUF5QF" hidden="1"/>
                  <wp:cNvGraphicFramePr/>
                  <a:graphic xmlns:a="http://schemas.openxmlformats.org/drawingml/2006/main">
                    <a:graphicData uri="http://schemas.openxmlformats.org/drawingml/2006/picture">
                      <pic:pic xmlns:pic="http://schemas.openxmlformats.org/drawingml/2006/picture">
                        <pic:nvPicPr>
                          <pic:cNvPr id="21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6672" behindDoc="0" locked="0" layoutInCell="1" allowOverlap="1" wp14:anchorId="4A7A6DFD" wp14:editId="62F0DBCD">
                  <wp:simplePos x="0" y="0"/>
                  <wp:positionH relativeFrom="column">
                    <wp:posOffset>0</wp:posOffset>
                  </wp:positionH>
                  <wp:positionV relativeFrom="paragraph">
                    <wp:posOffset>0</wp:posOffset>
                  </wp:positionV>
                  <wp:extent cx="123825" cy="123825"/>
                  <wp:effectExtent l="0" t="0" r="9525" b="9525"/>
                  <wp:wrapNone/>
                  <wp:docPr id="213" name="Obrázok 213" descr="9D4GQ34QB727H10MA3SSAR2R9" hidden="1"/>
                  <wp:cNvGraphicFramePr/>
                  <a:graphic xmlns:a="http://schemas.openxmlformats.org/drawingml/2006/main">
                    <a:graphicData uri="http://schemas.openxmlformats.org/drawingml/2006/picture">
                      <pic:pic xmlns:pic="http://schemas.openxmlformats.org/drawingml/2006/picture">
                        <pic:nvPicPr>
                          <pic:cNvPr id="21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7696" behindDoc="0" locked="0" layoutInCell="1" allowOverlap="1" wp14:anchorId="55DA6C55" wp14:editId="3DAD4CF3">
                  <wp:simplePos x="0" y="0"/>
                  <wp:positionH relativeFrom="column">
                    <wp:posOffset>0</wp:posOffset>
                  </wp:positionH>
                  <wp:positionV relativeFrom="paragraph">
                    <wp:posOffset>0</wp:posOffset>
                  </wp:positionV>
                  <wp:extent cx="123825" cy="123825"/>
                  <wp:effectExtent l="0" t="0" r="9525" b="9525"/>
                  <wp:wrapNone/>
                  <wp:docPr id="214" name="Obrázok 214" descr="MEW27CPIFG44B7E7HEQUUF5QF" hidden="1"/>
                  <wp:cNvGraphicFramePr/>
                  <a:graphic xmlns:a="http://schemas.openxmlformats.org/drawingml/2006/main">
                    <a:graphicData uri="http://schemas.openxmlformats.org/drawingml/2006/picture">
                      <pic:pic xmlns:pic="http://schemas.openxmlformats.org/drawingml/2006/picture">
                        <pic:nvPicPr>
                          <pic:cNvPr id="21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0</w:t>
            </w:r>
          </w:p>
        </w:tc>
      </w:tr>
      <w:tr w:rsidR="00FA1620" w:rsidRPr="001B4DEC" w14:paraId="1726AC51"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531B8F3C" w14:textId="77777777" w:rsidR="00FA1620" w:rsidRPr="001B4DEC" w:rsidRDefault="00FA1620" w:rsidP="00CA4C99">
            <w:pPr>
              <w:spacing w:after="0" w:line="240" w:lineRule="auto"/>
              <w:rPr>
                <w:color w:val="FF0000"/>
                <w:sz w:val="18"/>
                <w:szCs w:val="18"/>
                <w:lang w:eastAsia="sk-SK"/>
              </w:rPr>
            </w:pPr>
            <w:r w:rsidRPr="007145EE">
              <w:rPr>
                <w:sz w:val="18"/>
                <w:szCs w:val="18"/>
                <w:lang w:eastAsia="sk-SK"/>
              </w:rPr>
              <w:t xml:space="preserve">Slovenská pošta, </w:t>
            </w:r>
            <w:proofErr w:type="spellStart"/>
            <w:r w:rsidRPr="007145EE">
              <w:rPr>
                <w:sz w:val="18"/>
                <w:szCs w:val="18"/>
                <w:lang w:eastAsia="sk-SK"/>
              </w:rPr>
              <w:t>a.s</w:t>
            </w:r>
            <w:proofErr w:type="spellEnd"/>
            <w:r w:rsidRPr="007145EE">
              <w:rPr>
                <w:sz w:val="18"/>
                <w:szCs w:val="18"/>
                <w:lang w:eastAsia="sk-SK"/>
              </w:rPr>
              <w:t>.</w:t>
            </w:r>
          </w:p>
        </w:tc>
        <w:tc>
          <w:tcPr>
            <w:tcW w:w="615" w:type="pct"/>
            <w:gridSpan w:val="2"/>
            <w:tcBorders>
              <w:top w:val="nil"/>
              <w:left w:val="nil"/>
              <w:bottom w:val="nil"/>
              <w:right w:val="nil"/>
            </w:tcBorders>
            <w:shd w:val="clear" w:color="auto" w:fill="auto"/>
            <w:noWrap/>
            <w:vAlign w:val="bottom"/>
          </w:tcPr>
          <w:p w14:paraId="6352D739"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-8 205</w:t>
            </w:r>
          </w:p>
        </w:tc>
        <w:tc>
          <w:tcPr>
            <w:tcW w:w="692" w:type="pct"/>
            <w:gridSpan w:val="2"/>
            <w:tcBorders>
              <w:top w:val="nil"/>
              <w:left w:val="nil"/>
              <w:bottom w:val="nil"/>
              <w:right w:val="nil"/>
            </w:tcBorders>
            <w:shd w:val="clear" w:color="auto" w:fill="auto"/>
            <w:noWrap/>
            <w:vAlign w:val="bottom"/>
          </w:tcPr>
          <w:p w14:paraId="7C178B28"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-7 854</w:t>
            </w:r>
          </w:p>
        </w:tc>
        <w:tc>
          <w:tcPr>
            <w:tcW w:w="537" w:type="pct"/>
            <w:gridSpan w:val="2"/>
            <w:tcBorders>
              <w:top w:val="nil"/>
              <w:left w:val="nil"/>
              <w:bottom w:val="nil"/>
              <w:right w:val="nil"/>
            </w:tcBorders>
            <w:shd w:val="clear" w:color="auto" w:fill="auto"/>
            <w:noWrap/>
            <w:vAlign w:val="bottom"/>
          </w:tcPr>
          <w:p w14:paraId="2E427B7D"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539" w:type="pct"/>
            <w:gridSpan w:val="2"/>
            <w:tcBorders>
              <w:top w:val="nil"/>
              <w:left w:val="nil"/>
              <w:bottom w:val="nil"/>
              <w:right w:val="nil"/>
            </w:tcBorders>
            <w:shd w:val="clear" w:color="auto" w:fill="auto"/>
            <w:noWrap/>
            <w:vAlign w:val="bottom"/>
          </w:tcPr>
          <w:p w14:paraId="47882AEC"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-351</w:t>
            </w:r>
          </w:p>
        </w:tc>
        <w:tc>
          <w:tcPr>
            <w:tcW w:w="615" w:type="pct"/>
            <w:gridSpan w:val="3"/>
            <w:tcBorders>
              <w:top w:val="nil"/>
              <w:left w:val="nil"/>
              <w:bottom w:val="nil"/>
              <w:right w:val="nil"/>
            </w:tcBorders>
            <w:shd w:val="clear" w:color="auto" w:fill="auto"/>
            <w:noWrap/>
            <w:vAlign w:val="bottom"/>
          </w:tcPr>
          <w:p w14:paraId="4DE388A2" w14:textId="77777777" w:rsidR="00FA1620" w:rsidRPr="007145EE" w:rsidRDefault="00FA1620" w:rsidP="00CA4C99">
            <w:pPr>
              <w:spacing w:after="0" w:line="240" w:lineRule="auto"/>
              <w:jc w:val="right"/>
              <w:rPr>
                <w:sz w:val="18"/>
                <w:szCs w:val="18"/>
                <w:lang w:eastAsia="sk-SK"/>
              </w:rPr>
            </w:pPr>
            <w:r w:rsidRPr="007145EE">
              <w:rPr>
                <w:sz w:val="18"/>
                <w:szCs w:val="18"/>
                <w:lang w:eastAsia="sk-SK"/>
              </w:rPr>
              <w:t>0</w:t>
            </w:r>
          </w:p>
        </w:tc>
        <w:tc>
          <w:tcPr>
            <w:tcW w:w="461" w:type="pct"/>
            <w:tcBorders>
              <w:top w:val="nil"/>
              <w:left w:val="nil"/>
              <w:bottom w:val="nil"/>
              <w:right w:val="nil"/>
            </w:tcBorders>
            <w:shd w:val="clear" w:color="auto" w:fill="auto"/>
            <w:noWrap/>
            <w:vAlign w:val="bottom"/>
          </w:tcPr>
          <w:p w14:paraId="2CFD9415" w14:textId="6CAB1FE8" w:rsidR="00FA1620" w:rsidRPr="007145E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78720" behindDoc="0" locked="0" layoutInCell="1" allowOverlap="1" wp14:anchorId="377AE886" wp14:editId="117911C3">
                  <wp:simplePos x="0" y="0"/>
                  <wp:positionH relativeFrom="column">
                    <wp:posOffset>0</wp:posOffset>
                  </wp:positionH>
                  <wp:positionV relativeFrom="paragraph">
                    <wp:posOffset>0</wp:posOffset>
                  </wp:positionV>
                  <wp:extent cx="123825" cy="123825"/>
                  <wp:effectExtent l="0" t="0" r="9525" b="9525"/>
                  <wp:wrapNone/>
                  <wp:docPr id="91" name="Obrázok 91" descr="9D4GQ34QB727H10MA3SSAR2R9" hidden="1"/>
                  <wp:cNvGraphicFramePr/>
                  <a:graphic xmlns:a="http://schemas.openxmlformats.org/drawingml/2006/main">
                    <a:graphicData uri="http://schemas.openxmlformats.org/drawingml/2006/picture">
                      <pic:pic xmlns:pic="http://schemas.openxmlformats.org/drawingml/2006/picture">
                        <pic:nvPicPr>
                          <pic:cNvPr id="9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79744" behindDoc="0" locked="0" layoutInCell="1" allowOverlap="1" wp14:anchorId="013728E3" wp14:editId="2CF498C0">
                  <wp:simplePos x="0" y="0"/>
                  <wp:positionH relativeFrom="column">
                    <wp:posOffset>0</wp:posOffset>
                  </wp:positionH>
                  <wp:positionV relativeFrom="paragraph">
                    <wp:posOffset>0</wp:posOffset>
                  </wp:positionV>
                  <wp:extent cx="123825" cy="123825"/>
                  <wp:effectExtent l="0" t="0" r="9525" b="9525"/>
                  <wp:wrapNone/>
                  <wp:docPr id="92" name="Obrázok 92" descr="MEW27CPIFG44B7E7HEQUUF5QF" hidden="1"/>
                  <wp:cNvGraphicFramePr/>
                  <a:graphic xmlns:a="http://schemas.openxmlformats.org/drawingml/2006/main">
                    <a:graphicData uri="http://schemas.openxmlformats.org/drawingml/2006/picture">
                      <pic:pic xmlns:pic="http://schemas.openxmlformats.org/drawingml/2006/picture">
                        <pic:nvPicPr>
                          <pic:cNvPr id="9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0768" behindDoc="0" locked="0" layoutInCell="1" allowOverlap="1" wp14:anchorId="3C283587" wp14:editId="3842EA76">
                  <wp:simplePos x="0" y="0"/>
                  <wp:positionH relativeFrom="column">
                    <wp:posOffset>0</wp:posOffset>
                  </wp:positionH>
                  <wp:positionV relativeFrom="paragraph">
                    <wp:posOffset>0</wp:posOffset>
                  </wp:positionV>
                  <wp:extent cx="123825" cy="123825"/>
                  <wp:effectExtent l="0" t="0" r="9525" b="9525"/>
                  <wp:wrapNone/>
                  <wp:docPr id="93" name="Obrázok 93" descr="9D4GQ34QB727H10MA3SSAR2R9" hidden="1"/>
                  <wp:cNvGraphicFramePr/>
                  <a:graphic xmlns:a="http://schemas.openxmlformats.org/drawingml/2006/main">
                    <a:graphicData uri="http://schemas.openxmlformats.org/drawingml/2006/picture">
                      <pic:pic xmlns:pic="http://schemas.openxmlformats.org/drawingml/2006/picture">
                        <pic:nvPicPr>
                          <pic:cNvPr id="9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1792" behindDoc="0" locked="0" layoutInCell="1" allowOverlap="1" wp14:anchorId="6D9A4433" wp14:editId="2EC37011">
                  <wp:simplePos x="0" y="0"/>
                  <wp:positionH relativeFrom="column">
                    <wp:posOffset>0</wp:posOffset>
                  </wp:positionH>
                  <wp:positionV relativeFrom="paragraph">
                    <wp:posOffset>0</wp:posOffset>
                  </wp:positionV>
                  <wp:extent cx="123825" cy="123825"/>
                  <wp:effectExtent l="0" t="0" r="9525" b="9525"/>
                  <wp:wrapNone/>
                  <wp:docPr id="94" name="Obrázok 94" descr="MEW27CPIFG44B7E7HEQUUF5QF" hidden="1"/>
                  <wp:cNvGraphicFramePr/>
                  <a:graphic xmlns:a="http://schemas.openxmlformats.org/drawingml/2006/main">
                    <a:graphicData uri="http://schemas.openxmlformats.org/drawingml/2006/picture">
                      <pic:pic xmlns:pic="http://schemas.openxmlformats.org/drawingml/2006/picture">
                        <pic:nvPicPr>
                          <pic:cNvPr id="9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2816" behindDoc="0" locked="0" layoutInCell="1" allowOverlap="1" wp14:anchorId="52373AC2" wp14:editId="0AA0696D">
                  <wp:simplePos x="0" y="0"/>
                  <wp:positionH relativeFrom="column">
                    <wp:posOffset>0</wp:posOffset>
                  </wp:positionH>
                  <wp:positionV relativeFrom="paragraph">
                    <wp:posOffset>0</wp:posOffset>
                  </wp:positionV>
                  <wp:extent cx="123825" cy="123825"/>
                  <wp:effectExtent l="0" t="0" r="9525" b="9525"/>
                  <wp:wrapNone/>
                  <wp:docPr id="149" name="Obrázok 149" descr="9D4GQ34QB727H10MA3SSAR2R9" hidden="1"/>
                  <wp:cNvGraphicFramePr/>
                  <a:graphic xmlns:a="http://schemas.openxmlformats.org/drawingml/2006/main">
                    <a:graphicData uri="http://schemas.openxmlformats.org/drawingml/2006/picture">
                      <pic:pic xmlns:pic="http://schemas.openxmlformats.org/drawingml/2006/picture">
                        <pic:nvPicPr>
                          <pic:cNvPr id="14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3840" behindDoc="0" locked="0" layoutInCell="1" allowOverlap="1" wp14:anchorId="2BD6036A" wp14:editId="5F0E78C3">
                  <wp:simplePos x="0" y="0"/>
                  <wp:positionH relativeFrom="column">
                    <wp:posOffset>0</wp:posOffset>
                  </wp:positionH>
                  <wp:positionV relativeFrom="paragraph">
                    <wp:posOffset>0</wp:posOffset>
                  </wp:positionV>
                  <wp:extent cx="123825" cy="123825"/>
                  <wp:effectExtent l="0" t="0" r="9525" b="9525"/>
                  <wp:wrapNone/>
                  <wp:docPr id="150" name="Obrázok 150" descr="MEW27CPIFG44B7E7HEQUUF5QF" hidden="1"/>
                  <wp:cNvGraphicFramePr/>
                  <a:graphic xmlns:a="http://schemas.openxmlformats.org/drawingml/2006/main">
                    <a:graphicData uri="http://schemas.openxmlformats.org/drawingml/2006/picture">
                      <pic:pic xmlns:pic="http://schemas.openxmlformats.org/drawingml/2006/picture">
                        <pic:nvPicPr>
                          <pic:cNvPr id="15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4864" behindDoc="0" locked="0" layoutInCell="1" allowOverlap="1" wp14:anchorId="4C4DB24E" wp14:editId="2171A521">
                  <wp:simplePos x="0" y="0"/>
                  <wp:positionH relativeFrom="column">
                    <wp:posOffset>0</wp:posOffset>
                  </wp:positionH>
                  <wp:positionV relativeFrom="paragraph">
                    <wp:posOffset>0</wp:posOffset>
                  </wp:positionV>
                  <wp:extent cx="123825" cy="123825"/>
                  <wp:effectExtent l="0" t="0" r="9525" b="9525"/>
                  <wp:wrapNone/>
                  <wp:docPr id="151" name="Obrázok 151" descr="9D4GQ34QB727H10MA3SSAR2R9" hidden="1"/>
                  <wp:cNvGraphicFramePr/>
                  <a:graphic xmlns:a="http://schemas.openxmlformats.org/drawingml/2006/main">
                    <a:graphicData uri="http://schemas.openxmlformats.org/drawingml/2006/picture">
                      <pic:pic xmlns:pic="http://schemas.openxmlformats.org/drawingml/2006/picture">
                        <pic:nvPicPr>
                          <pic:cNvPr id="15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5888" behindDoc="0" locked="0" layoutInCell="1" allowOverlap="1" wp14:anchorId="5BBE2809" wp14:editId="25D9C021">
                  <wp:simplePos x="0" y="0"/>
                  <wp:positionH relativeFrom="column">
                    <wp:posOffset>0</wp:posOffset>
                  </wp:positionH>
                  <wp:positionV relativeFrom="paragraph">
                    <wp:posOffset>0</wp:posOffset>
                  </wp:positionV>
                  <wp:extent cx="123825" cy="123825"/>
                  <wp:effectExtent l="0" t="0" r="9525" b="9525"/>
                  <wp:wrapNone/>
                  <wp:docPr id="152" name="Obrázok 152" descr="MEW27CPIFG44B7E7HEQUUF5QF" hidden="1"/>
                  <wp:cNvGraphicFramePr/>
                  <a:graphic xmlns:a="http://schemas.openxmlformats.org/drawingml/2006/main">
                    <a:graphicData uri="http://schemas.openxmlformats.org/drawingml/2006/picture">
                      <pic:pic xmlns:pic="http://schemas.openxmlformats.org/drawingml/2006/picture">
                        <pic:nvPicPr>
                          <pic:cNvPr id="15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145EE">
              <w:rPr>
                <w:sz w:val="18"/>
                <w:szCs w:val="18"/>
                <w:lang w:eastAsia="sk-SK"/>
              </w:rPr>
              <w:t>0</w:t>
            </w:r>
          </w:p>
        </w:tc>
      </w:tr>
      <w:tr w:rsidR="00FA1620" w:rsidRPr="001B4DEC" w14:paraId="46EF935D"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41AD6C3A" w14:textId="77777777" w:rsidR="00FA1620" w:rsidRPr="007651E2" w:rsidRDefault="00FA1620" w:rsidP="00CA4C99">
            <w:pPr>
              <w:spacing w:after="0" w:line="240" w:lineRule="auto"/>
              <w:rPr>
                <w:sz w:val="18"/>
                <w:szCs w:val="18"/>
                <w:lang w:eastAsia="sk-SK"/>
              </w:rPr>
            </w:pPr>
            <w:r w:rsidRPr="007651E2">
              <w:rPr>
                <w:sz w:val="18"/>
                <w:szCs w:val="18"/>
                <w:lang w:eastAsia="sk-SK"/>
              </w:rPr>
              <w:t xml:space="preserve">Lesy SR, </w:t>
            </w:r>
            <w:proofErr w:type="spellStart"/>
            <w:r w:rsidRPr="007651E2">
              <w:rPr>
                <w:sz w:val="18"/>
                <w:szCs w:val="18"/>
                <w:lang w:eastAsia="sk-SK"/>
              </w:rPr>
              <w:t>š.p</w:t>
            </w:r>
            <w:proofErr w:type="spellEnd"/>
            <w:r w:rsidRPr="007651E2">
              <w:rPr>
                <w:sz w:val="18"/>
                <w:szCs w:val="18"/>
                <w:lang w:eastAsia="sk-SK"/>
              </w:rPr>
              <w:t>.</w:t>
            </w:r>
          </w:p>
        </w:tc>
        <w:tc>
          <w:tcPr>
            <w:tcW w:w="615" w:type="pct"/>
            <w:gridSpan w:val="2"/>
            <w:tcBorders>
              <w:top w:val="nil"/>
              <w:left w:val="nil"/>
              <w:bottom w:val="nil"/>
              <w:right w:val="nil"/>
            </w:tcBorders>
            <w:shd w:val="clear" w:color="auto" w:fill="auto"/>
            <w:noWrap/>
            <w:vAlign w:val="bottom"/>
          </w:tcPr>
          <w:p w14:paraId="351DCDE1"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-12 658</w:t>
            </w:r>
          </w:p>
        </w:tc>
        <w:tc>
          <w:tcPr>
            <w:tcW w:w="692" w:type="pct"/>
            <w:gridSpan w:val="2"/>
            <w:tcBorders>
              <w:top w:val="nil"/>
              <w:left w:val="nil"/>
              <w:bottom w:val="nil"/>
              <w:right w:val="nil"/>
            </w:tcBorders>
            <w:shd w:val="clear" w:color="auto" w:fill="auto"/>
            <w:noWrap/>
            <w:vAlign w:val="bottom"/>
          </w:tcPr>
          <w:p w14:paraId="536FFE4A"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16 413</w:t>
            </w:r>
          </w:p>
        </w:tc>
        <w:tc>
          <w:tcPr>
            <w:tcW w:w="537" w:type="pct"/>
            <w:gridSpan w:val="2"/>
            <w:tcBorders>
              <w:top w:val="nil"/>
              <w:left w:val="nil"/>
              <w:bottom w:val="nil"/>
              <w:right w:val="nil"/>
            </w:tcBorders>
            <w:shd w:val="clear" w:color="auto" w:fill="auto"/>
            <w:noWrap/>
            <w:vAlign w:val="bottom"/>
          </w:tcPr>
          <w:p w14:paraId="0A7B36A7"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0</w:t>
            </w:r>
          </w:p>
        </w:tc>
        <w:tc>
          <w:tcPr>
            <w:tcW w:w="539" w:type="pct"/>
            <w:gridSpan w:val="2"/>
            <w:tcBorders>
              <w:top w:val="nil"/>
              <w:left w:val="nil"/>
              <w:bottom w:val="nil"/>
              <w:right w:val="nil"/>
            </w:tcBorders>
            <w:shd w:val="clear" w:color="auto" w:fill="auto"/>
            <w:noWrap/>
            <w:vAlign w:val="bottom"/>
          </w:tcPr>
          <w:p w14:paraId="33EC4902"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0</w:t>
            </w:r>
          </w:p>
        </w:tc>
        <w:tc>
          <w:tcPr>
            <w:tcW w:w="615" w:type="pct"/>
            <w:gridSpan w:val="3"/>
            <w:tcBorders>
              <w:top w:val="nil"/>
              <w:left w:val="nil"/>
              <w:bottom w:val="nil"/>
              <w:right w:val="nil"/>
            </w:tcBorders>
            <w:shd w:val="clear" w:color="auto" w:fill="auto"/>
            <w:noWrap/>
            <w:vAlign w:val="bottom"/>
          </w:tcPr>
          <w:p w14:paraId="0AB9AF3E"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-18 938</w:t>
            </w:r>
          </w:p>
        </w:tc>
        <w:tc>
          <w:tcPr>
            <w:tcW w:w="461" w:type="pct"/>
            <w:tcBorders>
              <w:top w:val="nil"/>
              <w:left w:val="nil"/>
              <w:bottom w:val="nil"/>
              <w:right w:val="nil"/>
            </w:tcBorders>
            <w:shd w:val="clear" w:color="auto" w:fill="auto"/>
            <w:noWrap/>
            <w:vAlign w:val="bottom"/>
          </w:tcPr>
          <w:p w14:paraId="10848504" w14:textId="67FA380C" w:rsidR="00FA1620" w:rsidRPr="007651E2"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86912" behindDoc="0" locked="0" layoutInCell="1" allowOverlap="1" wp14:anchorId="2912C8F9" wp14:editId="412FF5EC">
                  <wp:simplePos x="0" y="0"/>
                  <wp:positionH relativeFrom="column">
                    <wp:posOffset>0</wp:posOffset>
                  </wp:positionH>
                  <wp:positionV relativeFrom="paragraph">
                    <wp:posOffset>0</wp:posOffset>
                  </wp:positionV>
                  <wp:extent cx="123825" cy="123825"/>
                  <wp:effectExtent l="0" t="0" r="9525" b="9525"/>
                  <wp:wrapNone/>
                  <wp:docPr id="381" name="Obrázok 381" descr="9D4GQ34QB727H10MA3SSAR2R9" hidden="1"/>
                  <wp:cNvGraphicFramePr/>
                  <a:graphic xmlns:a="http://schemas.openxmlformats.org/drawingml/2006/main">
                    <a:graphicData uri="http://schemas.openxmlformats.org/drawingml/2006/picture">
                      <pic:pic xmlns:pic="http://schemas.openxmlformats.org/drawingml/2006/picture">
                        <pic:nvPicPr>
                          <pic:cNvPr id="38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7936" behindDoc="0" locked="0" layoutInCell="1" allowOverlap="1" wp14:anchorId="50B4BAEB" wp14:editId="48290D8A">
                  <wp:simplePos x="0" y="0"/>
                  <wp:positionH relativeFrom="column">
                    <wp:posOffset>0</wp:posOffset>
                  </wp:positionH>
                  <wp:positionV relativeFrom="paragraph">
                    <wp:posOffset>0</wp:posOffset>
                  </wp:positionV>
                  <wp:extent cx="123825" cy="123825"/>
                  <wp:effectExtent l="0" t="0" r="9525" b="9525"/>
                  <wp:wrapNone/>
                  <wp:docPr id="382" name="Obrázok 382" descr="MEW27CPIFG44B7E7HEQUUF5QF" hidden="1"/>
                  <wp:cNvGraphicFramePr/>
                  <a:graphic xmlns:a="http://schemas.openxmlformats.org/drawingml/2006/main">
                    <a:graphicData uri="http://schemas.openxmlformats.org/drawingml/2006/picture">
                      <pic:pic xmlns:pic="http://schemas.openxmlformats.org/drawingml/2006/picture">
                        <pic:nvPicPr>
                          <pic:cNvPr id="38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651E2">
              <w:rPr>
                <w:sz w:val="18"/>
                <w:szCs w:val="18"/>
                <w:lang w:eastAsia="sk-SK"/>
              </w:rPr>
              <w:t>-10 133</w:t>
            </w:r>
          </w:p>
        </w:tc>
      </w:tr>
      <w:tr w:rsidR="00FA1620" w:rsidRPr="001B4DEC" w14:paraId="0D29F605"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6FF5375D" w14:textId="77777777" w:rsidR="00FA1620" w:rsidRPr="007651E2" w:rsidRDefault="00FA1620" w:rsidP="00CA4C99">
            <w:pPr>
              <w:spacing w:after="0" w:line="240" w:lineRule="auto"/>
              <w:rPr>
                <w:sz w:val="18"/>
                <w:szCs w:val="18"/>
                <w:lang w:eastAsia="sk-SK"/>
              </w:rPr>
            </w:pPr>
            <w:r w:rsidRPr="007651E2">
              <w:rPr>
                <w:sz w:val="18"/>
                <w:szCs w:val="18"/>
                <w:lang w:eastAsia="sk-SK"/>
              </w:rPr>
              <w:t xml:space="preserve">Západoslovenská energetika, </w:t>
            </w:r>
            <w:proofErr w:type="spellStart"/>
            <w:r w:rsidRPr="007651E2">
              <w:rPr>
                <w:sz w:val="18"/>
                <w:szCs w:val="18"/>
                <w:lang w:eastAsia="sk-SK"/>
              </w:rPr>
              <w:t>a.s</w:t>
            </w:r>
            <w:proofErr w:type="spellEnd"/>
            <w:r w:rsidRPr="007651E2">
              <w:rPr>
                <w:sz w:val="18"/>
                <w:szCs w:val="18"/>
                <w:lang w:eastAsia="sk-SK"/>
              </w:rPr>
              <w:t>.</w:t>
            </w:r>
          </w:p>
        </w:tc>
        <w:tc>
          <w:tcPr>
            <w:tcW w:w="615" w:type="pct"/>
            <w:gridSpan w:val="2"/>
            <w:tcBorders>
              <w:top w:val="nil"/>
              <w:left w:val="nil"/>
              <w:bottom w:val="nil"/>
              <w:right w:val="nil"/>
            </w:tcBorders>
            <w:shd w:val="clear" w:color="auto" w:fill="auto"/>
            <w:noWrap/>
            <w:vAlign w:val="bottom"/>
          </w:tcPr>
          <w:p w14:paraId="2D59F029"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-14 969</w:t>
            </w:r>
          </w:p>
        </w:tc>
        <w:tc>
          <w:tcPr>
            <w:tcW w:w="692" w:type="pct"/>
            <w:gridSpan w:val="2"/>
            <w:tcBorders>
              <w:top w:val="nil"/>
              <w:left w:val="nil"/>
              <w:bottom w:val="nil"/>
              <w:right w:val="nil"/>
            </w:tcBorders>
            <w:shd w:val="clear" w:color="auto" w:fill="auto"/>
            <w:noWrap/>
            <w:vAlign w:val="bottom"/>
          </w:tcPr>
          <w:p w14:paraId="6E5F14A8"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72 861</w:t>
            </w:r>
          </w:p>
        </w:tc>
        <w:tc>
          <w:tcPr>
            <w:tcW w:w="537" w:type="pct"/>
            <w:gridSpan w:val="2"/>
            <w:tcBorders>
              <w:top w:val="nil"/>
              <w:left w:val="nil"/>
              <w:bottom w:val="nil"/>
              <w:right w:val="nil"/>
            </w:tcBorders>
            <w:shd w:val="clear" w:color="auto" w:fill="auto"/>
            <w:noWrap/>
            <w:vAlign w:val="bottom"/>
          </w:tcPr>
          <w:p w14:paraId="50A860F9"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-87 919</w:t>
            </w:r>
          </w:p>
        </w:tc>
        <w:tc>
          <w:tcPr>
            <w:tcW w:w="539" w:type="pct"/>
            <w:gridSpan w:val="2"/>
            <w:tcBorders>
              <w:top w:val="nil"/>
              <w:left w:val="nil"/>
              <w:bottom w:val="nil"/>
              <w:right w:val="nil"/>
            </w:tcBorders>
            <w:shd w:val="clear" w:color="auto" w:fill="auto"/>
            <w:noWrap/>
            <w:vAlign w:val="bottom"/>
          </w:tcPr>
          <w:p w14:paraId="669D18AE"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89</w:t>
            </w:r>
          </w:p>
        </w:tc>
        <w:tc>
          <w:tcPr>
            <w:tcW w:w="615" w:type="pct"/>
            <w:gridSpan w:val="3"/>
            <w:tcBorders>
              <w:top w:val="nil"/>
              <w:left w:val="nil"/>
              <w:bottom w:val="nil"/>
              <w:right w:val="nil"/>
            </w:tcBorders>
            <w:shd w:val="clear" w:color="auto" w:fill="auto"/>
            <w:noWrap/>
            <w:vAlign w:val="bottom"/>
          </w:tcPr>
          <w:p w14:paraId="33C8BE74"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0</w:t>
            </w:r>
          </w:p>
        </w:tc>
        <w:tc>
          <w:tcPr>
            <w:tcW w:w="461" w:type="pct"/>
            <w:tcBorders>
              <w:top w:val="nil"/>
              <w:left w:val="nil"/>
              <w:bottom w:val="nil"/>
              <w:right w:val="nil"/>
            </w:tcBorders>
            <w:shd w:val="clear" w:color="auto" w:fill="auto"/>
            <w:noWrap/>
            <w:vAlign w:val="bottom"/>
          </w:tcPr>
          <w:p w14:paraId="373F298E" w14:textId="5051DDAA" w:rsidR="00FA1620" w:rsidRPr="007651E2"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88960" behindDoc="0" locked="0" layoutInCell="1" allowOverlap="1" wp14:anchorId="4073A7A2" wp14:editId="697F3645">
                  <wp:simplePos x="0" y="0"/>
                  <wp:positionH relativeFrom="column">
                    <wp:posOffset>0</wp:posOffset>
                  </wp:positionH>
                  <wp:positionV relativeFrom="paragraph">
                    <wp:posOffset>0</wp:posOffset>
                  </wp:positionV>
                  <wp:extent cx="123825" cy="123825"/>
                  <wp:effectExtent l="0" t="0" r="9525" b="9525"/>
                  <wp:wrapNone/>
                  <wp:docPr id="275" name="Obrázok 275" descr="9D4GQ34QB727H10MA3SSAR2R9" hidden="1"/>
                  <wp:cNvGraphicFramePr/>
                  <a:graphic xmlns:a="http://schemas.openxmlformats.org/drawingml/2006/main">
                    <a:graphicData uri="http://schemas.openxmlformats.org/drawingml/2006/picture">
                      <pic:pic xmlns:pic="http://schemas.openxmlformats.org/drawingml/2006/picture">
                        <pic:nvPicPr>
                          <pic:cNvPr id="27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89984" behindDoc="0" locked="0" layoutInCell="1" allowOverlap="1" wp14:anchorId="2FF2B8A9" wp14:editId="36B47B82">
                  <wp:simplePos x="0" y="0"/>
                  <wp:positionH relativeFrom="column">
                    <wp:posOffset>0</wp:posOffset>
                  </wp:positionH>
                  <wp:positionV relativeFrom="paragraph">
                    <wp:posOffset>0</wp:posOffset>
                  </wp:positionV>
                  <wp:extent cx="123825" cy="123825"/>
                  <wp:effectExtent l="0" t="0" r="9525" b="9525"/>
                  <wp:wrapNone/>
                  <wp:docPr id="276" name="Obrázok 276" descr="MEW27CPIFG44B7E7HEQUUF5QF" hidden="1"/>
                  <wp:cNvGraphicFramePr/>
                  <a:graphic xmlns:a="http://schemas.openxmlformats.org/drawingml/2006/main">
                    <a:graphicData uri="http://schemas.openxmlformats.org/drawingml/2006/picture">
                      <pic:pic xmlns:pic="http://schemas.openxmlformats.org/drawingml/2006/picture">
                        <pic:nvPicPr>
                          <pic:cNvPr id="27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1008" behindDoc="0" locked="0" layoutInCell="1" allowOverlap="1" wp14:anchorId="0DA2F7D3" wp14:editId="6B2F7C2A">
                  <wp:simplePos x="0" y="0"/>
                  <wp:positionH relativeFrom="column">
                    <wp:posOffset>0</wp:posOffset>
                  </wp:positionH>
                  <wp:positionV relativeFrom="paragraph">
                    <wp:posOffset>0</wp:posOffset>
                  </wp:positionV>
                  <wp:extent cx="123825" cy="123825"/>
                  <wp:effectExtent l="0" t="0" r="9525" b="9525"/>
                  <wp:wrapNone/>
                  <wp:docPr id="277" name="Obrázok 277" descr="9D4GQ34QB727H10MA3SSAR2R9" hidden="1"/>
                  <wp:cNvGraphicFramePr/>
                  <a:graphic xmlns:a="http://schemas.openxmlformats.org/drawingml/2006/main">
                    <a:graphicData uri="http://schemas.openxmlformats.org/drawingml/2006/picture">
                      <pic:pic xmlns:pic="http://schemas.openxmlformats.org/drawingml/2006/picture">
                        <pic:nvPicPr>
                          <pic:cNvPr id="277"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2032" behindDoc="0" locked="0" layoutInCell="1" allowOverlap="1" wp14:anchorId="400A179E" wp14:editId="38AE141C">
                  <wp:simplePos x="0" y="0"/>
                  <wp:positionH relativeFrom="column">
                    <wp:posOffset>0</wp:posOffset>
                  </wp:positionH>
                  <wp:positionV relativeFrom="paragraph">
                    <wp:posOffset>0</wp:posOffset>
                  </wp:positionV>
                  <wp:extent cx="123825" cy="123825"/>
                  <wp:effectExtent l="0" t="0" r="9525" b="9525"/>
                  <wp:wrapNone/>
                  <wp:docPr id="278" name="Obrázok 278" descr="MEW27CPIFG44B7E7HEQUUF5QF" hidden="1"/>
                  <wp:cNvGraphicFramePr/>
                  <a:graphic xmlns:a="http://schemas.openxmlformats.org/drawingml/2006/main">
                    <a:graphicData uri="http://schemas.openxmlformats.org/drawingml/2006/picture">
                      <pic:pic xmlns:pic="http://schemas.openxmlformats.org/drawingml/2006/picture">
                        <pic:nvPicPr>
                          <pic:cNvPr id="278"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651E2">
              <w:rPr>
                <w:sz w:val="18"/>
                <w:szCs w:val="18"/>
                <w:lang w:eastAsia="sk-SK"/>
              </w:rPr>
              <w:t>0</w:t>
            </w:r>
          </w:p>
        </w:tc>
      </w:tr>
      <w:tr w:rsidR="00FA1620" w:rsidRPr="007651E2" w14:paraId="00C22DB1"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1DCFD198" w14:textId="77777777" w:rsidR="00FA1620" w:rsidRPr="007651E2" w:rsidRDefault="00FA1620" w:rsidP="00CA4C99">
            <w:pPr>
              <w:spacing w:after="0" w:line="240" w:lineRule="auto"/>
              <w:rPr>
                <w:sz w:val="18"/>
                <w:szCs w:val="18"/>
                <w:lang w:eastAsia="sk-SK"/>
              </w:rPr>
            </w:pPr>
            <w:proofErr w:type="spellStart"/>
            <w:r w:rsidRPr="007651E2">
              <w:rPr>
                <w:sz w:val="18"/>
                <w:szCs w:val="18"/>
                <w:lang w:eastAsia="sk-SK"/>
              </w:rPr>
              <w:lastRenderedPageBreak/>
              <w:t>Vých.energetika</w:t>
            </w:r>
            <w:proofErr w:type="spellEnd"/>
            <w:r w:rsidRPr="007651E2">
              <w:rPr>
                <w:sz w:val="18"/>
                <w:szCs w:val="18"/>
                <w:lang w:eastAsia="sk-SK"/>
              </w:rPr>
              <w:t xml:space="preserve"> Holding, </w:t>
            </w:r>
            <w:proofErr w:type="spellStart"/>
            <w:r w:rsidRPr="007651E2">
              <w:rPr>
                <w:sz w:val="18"/>
                <w:szCs w:val="18"/>
                <w:lang w:eastAsia="sk-SK"/>
              </w:rPr>
              <w:t>a.s</w:t>
            </w:r>
            <w:proofErr w:type="spellEnd"/>
            <w:r w:rsidRPr="007651E2">
              <w:rPr>
                <w:sz w:val="18"/>
                <w:szCs w:val="18"/>
                <w:lang w:eastAsia="sk-SK"/>
              </w:rPr>
              <w:t>.</w:t>
            </w:r>
          </w:p>
        </w:tc>
        <w:tc>
          <w:tcPr>
            <w:tcW w:w="615" w:type="pct"/>
            <w:gridSpan w:val="2"/>
            <w:tcBorders>
              <w:top w:val="nil"/>
              <w:left w:val="nil"/>
              <w:bottom w:val="nil"/>
              <w:right w:val="nil"/>
            </w:tcBorders>
            <w:shd w:val="clear" w:color="auto" w:fill="auto"/>
            <w:noWrap/>
            <w:vAlign w:val="bottom"/>
          </w:tcPr>
          <w:p w14:paraId="48A87B67"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-15 064</w:t>
            </w:r>
          </w:p>
        </w:tc>
        <w:tc>
          <w:tcPr>
            <w:tcW w:w="692" w:type="pct"/>
            <w:gridSpan w:val="2"/>
            <w:tcBorders>
              <w:top w:val="nil"/>
              <w:left w:val="nil"/>
              <w:bottom w:val="nil"/>
              <w:right w:val="nil"/>
            </w:tcBorders>
            <w:shd w:val="clear" w:color="auto" w:fill="auto"/>
            <w:noWrap/>
            <w:vAlign w:val="bottom"/>
          </w:tcPr>
          <w:p w14:paraId="0292E754"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41 871</w:t>
            </w:r>
          </w:p>
        </w:tc>
        <w:tc>
          <w:tcPr>
            <w:tcW w:w="537" w:type="pct"/>
            <w:gridSpan w:val="2"/>
            <w:tcBorders>
              <w:top w:val="nil"/>
              <w:left w:val="nil"/>
              <w:bottom w:val="nil"/>
              <w:right w:val="nil"/>
            </w:tcBorders>
            <w:shd w:val="clear" w:color="auto" w:fill="auto"/>
            <w:noWrap/>
            <w:vAlign w:val="bottom"/>
          </w:tcPr>
          <w:p w14:paraId="58C12AE0"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-57 000</w:t>
            </w:r>
          </w:p>
        </w:tc>
        <w:tc>
          <w:tcPr>
            <w:tcW w:w="539" w:type="pct"/>
            <w:gridSpan w:val="2"/>
            <w:tcBorders>
              <w:top w:val="nil"/>
              <w:left w:val="nil"/>
              <w:bottom w:val="nil"/>
              <w:right w:val="nil"/>
            </w:tcBorders>
            <w:shd w:val="clear" w:color="auto" w:fill="auto"/>
            <w:noWrap/>
            <w:vAlign w:val="bottom"/>
          </w:tcPr>
          <w:p w14:paraId="0596B769"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65</w:t>
            </w:r>
          </w:p>
        </w:tc>
        <w:tc>
          <w:tcPr>
            <w:tcW w:w="615" w:type="pct"/>
            <w:gridSpan w:val="3"/>
            <w:tcBorders>
              <w:top w:val="nil"/>
              <w:left w:val="nil"/>
              <w:bottom w:val="nil"/>
              <w:right w:val="nil"/>
            </w:tcBorders>
            <w:shd w:val="clear" w:color="auto" w:fill="auto"/>
            <w:noWrap/>
            <w:vAlign w:val="bottom"/>
          </w:tcPr>
          <w:p w14:paraId="0206EE12" w14:textId="77777777" w:rsidR="00FA1620" w:rsidRPr="007651E2" w:rsidRDefault="00FA1620" w:rsidP="00CA4C99">
            <w:pPr>
              <w:spacing w:after="0" w:line="240" w:lineRule="auto"/>
              <w:jc w:val="right"/>
              <w:rPr>
                <w:sz w:val="18"/>
                <w:szCs w:val="18"/>
                <w:lang w:eastAsia="sk-SK"/>
              </w:rPr>
            </w:pPr>
            <w:r w:rsidRPr="007651E2">
              <w:rPr>
                <w:sz w:val="18"/>
                <w:szCs w:val="18"/>
                <w:lang w:eastAsia="sk-SK"/>
              </w:rPr>
              <w:t>0</w:t>
            </w:r>
          </w:p>
        </w:tc>
        <w:tc>
          <w:tcPr>
            <w:tcW w:w="461" w:type="pct"/>
            <w:tcBorders>
              <w:top w:val="nil"/>
              <w:left w:val="nil"/>
              <w:bottom w:val="nil"/>
              <w:right w:val="nil"/>
            </w:tcBorders>
            <w:shd w:val="clear" w:color="auto" w:fill="auto"/>
            <w:noWrap/>
            <w:vAlign w:val="bottom"/>
          </w:tcPr>
          <w:p w14:paraId="5EE7E17C" w14:textId="6CEC0B1A" w:rsidR="00FA1620" w:rsidRPr="007651E2"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93056" behindDoc="0" locked="0" layoutInCell="1" allowOverlap="1" wp14:anchorId="5E38EA8E" wp14:editId="63E1EA72">
                  <wp:simplePos x="0" y="0"/>
                  <wp:positionH relativeFrom="column">
                    <wp:posOffset>0</wp:posOffset>
                  </wp:positionH>
                  <wp:positionV relativeFrom="paragraph">
                    <wp:posOffset>0</wp:posOffset>
                  </wp:positionV>
                  <wp:extent cx="123825" cy="123825"/>
                  <wp:effectExtent l="0" t="0" r="9525" b="9525"/>
                  <wp:wrapNone/>
                  <wp:docPr id="283" name="Obrázok 283" descr="9D4GQ34QB727H10MA3SSAR2R9" hidden="1"/>
                  <wp:cNvGraphicFramePr/>
                  <a:graphic xmlns:a="http://schemas.openxmlformats.org/drawingml/2006/main">
                    <a:graphicData uri="http://schemas.openxmlformats.org/drawingml/2006/picture">
                      <pic:pic xmlns:pic="http://schemas.openxmlformats.org/drawingml/2006/picture">
                        <pic:nvPicPr>
                          <pic:cNvPr id="283"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4080" behindDoc="0" locked="0" layoutInCell="1" allowOverlap="1" wp14:anchorId="488B217A" wp14:editId="37D13A05">
                  <wp:simplePos x="0" y="0"/>
                  <wp:positionH relativeFrom="column">
                    <wp:posOffset>0</wp:posOffset>
                  </wp:positionH>
                  <wp:positionV relativeFrom="paragraph">
                    <wp:posOffset>0</wp:posOffset>
                  </wp:positionV>
                  <wp:extent cx="123825" cy="123825"/>
                  <wp:effectExtent l="0" t="0" r="9525" b="9525"/>
                  <wp:wrapNone/>
                  <wp:docPr id="284" name="Obrázok 284" descr="MEW27CPIFG44B7E7HEQUUF5QF" hidden="1"/>
                  <wp:cNvGraphicFramePr/>
                  <a:graphic xmlns:a="http://schemas.openxmlformats.org/drawingml/2006/main">
                    <a:graphicData uri="http://schemas.openxmlformats.org/drawingml/2006/picture">
                      <pic:pic xmlns:pic="http://schemas.openxmlformats.org/drawingml/2006/picture">
                        <pic:nvPicPr>
                          <pic:cNvPr id="284"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5104" behindDoc="0" locked="0" layoutInCell="1" allowOverlap="1" wp14:anchorId="1C9021A2" wp14:editId="22995194">
                  <wp:simplePos x="0" y="0"/>
                  <wp:positionH relativeFrom="column">
                    <wp:posOffset>0</wp:posOffset>
                  </wp:positionH>
                  <wp:positionV relativeFrom="paragraph">
                    <wp:posOffset>0</wp:posOffset>
                  </wp:positionV>
                  <wp:extent cx="123825" cy="123825"/>
                  <wp:effectExtent l="0" t="0" r="9525" b="9525"/>
                  <wp:wrapNone/>
                  <wp:docPr id="285" name="Obrázok 285" descr="9D4GQ34QB727H10MA3SSAR2R9" hidden="1"/>
                  <wp:cNvGraphicFramePr/>
                  <a:graphic xmlns:a="http://schemas.openxmlformats.org/drawingml/2006/main">
                    <a:graphicData uri="http://schemas.openxmlformats.org/drawingml/2006/picture">
                      <pic:pic xmlns:pic="http://schemas.openxmlformats.org/drawingml/2006/picture">
                        <pic:nvPicPr>
                          <pic:cNvPr id="285"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6128" behindDoc="0" locked="0" layoutInCell="1" allowOverlap="1" wp14:anchorId="6067154C" wp14:editId="23C23211">
                  <wp:simplePos x="0" y="0"/>
                  <wp:positionH relativeFrom="column">
                    <wp:posOffset>0</wp:posOffset>
                  </wp:positionH>
                  <wp:positionV relativeFrom="paragraph">
                    <wp:posOffset>0</wp:posOffset>
                  </wp:positionV>
                  <wp:extent cx="123825" cy="123825"/>
                  <wp:effectExtent l="0" t="0" r="9525" b="9525"/>
                  <wp:wrapNone/>
                  <wp:docPr id="286" name="Obrázok 286" descr="MEW27CPIFG44B7E7HEQUUF5QF" hidden="1"/>
                  <wp:cNvGraphicFramePr/>
                  <a:graphic xmlns:a="http://schemas.openxmlformats.org/drawingml/2006/main">
                    <a:graphicData uri="http://schemas.openxmlformats.org/drawingml/2006/picture">
                      <pic:pic xmlns:pic="http://schemas.openxmlformats.org/drawingml/2006/picture">
                        <pic:nvPicPr>
                          <pic:cNvPr id="286"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7651E2">
              <w:rPr>
                <w:sz w:val="18"/>
                <w:szCs w:val="18"/>
                <w:lang w:eastAsia="sk-SK"/>
              </w:rPr>
              <w:t>0</w:t>
            </w:r>
          </w:p>
        </w:tc>
      </w:tr>
      <w:tr w:rsidR="00FA1620" w:rsidRPr="001B4DEC" w14:paraId="353E5A8D"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345F8909" w14:textId="77777777" w:rsidR="00FA1620" w:rsidRPr="00003E06" w:rsidRDefault="00FA1620" w:rsidP="00CA4C99">
            <w:pPr>
              <w:spacing w:after="0" w:line="240" w:lineRule="auto"/>
              <w:rPr>
                <w:sz w:val="18"/>
                <w:szCs w:val="18"/>
                <w:lang w:eastAsia="sk-SK"/>
              </w:rPr>
            </w:pPr>
            <w:proofErr w:type="spellStart"/>
            <w:r w:rsidRPr="00003E06">
              <w:rPr>
                <w:sz w:val="18"/>
                <w:szCs w:val="18"/>
                <w:lang w:eastAsia="sk-SK"/>
              </w:rPr>
              <w:t>Slov.vodohosp</w:t>
            </w:r>
            <w:proofErr w:type="spellEnd"/>
            <w:r w:rsidRPr="00003E06">
              <w:rPr>
                <w:sz w:val="18"/>
                <w:szCs w:val="18"/>
                <w:lang w:eastAsia="sk-SK"/>
              </w:rPr>
              <w:t xml:space="preserve">. podnik, </w:t>
            </w:r>
            <w:proofErr w:type="spellStart"/>
            <w:r w:rsidRPr="00003E06">
              <w:rPr>
                <w:sz w:val="18"/>
                <w:szCs w:val="18"/>
                <w:lang w:eastAsia="sk-SK"/>
              </w:rPr>
              <w:t>š.p</w:t>
            </w:r>
            <w:proofErr w:type="spellEnd"/>
            <w:r w:rsidRPr="00003E06">
              <w:rPr>
                <w:sz w:val="18"/>
                <w:szCs w:val="18"/>
                <w:lang w:eastAsia="sk-SK"/>
              </w:rPr>
              <w:t>.</w:t>
            </w:r>
          </w:p>
        </w:tc>
        <w:tc>
          <w:tcPr>
            <w:tcW w:w="615" w:type="pct"/>
            <w:gridSpan w:val="2"/>
            <w:tcBorders>
              <w:top w:val="nil"/>
              <w:left w:val="nil"/>
              <w:bottom w:val="nil"/>
              <w:right w:val="nil"/>
            </w:tcBorders>
            <w:shd w:val="clear" w:color="auto" w:fill="auto"/>
            <w:noWrap/>
            <w:vAlign w:val="bottom"/>
          </w:tcPr>
          <w:p w14:paraId="5018FEC7" w14:textId="77777777" w:rsidR="00FA1620" w:rsidRPr="00003E06" w:rsidRDefault="00FA1620" w:rsidP="00CA4C99">
            <w:pPr>
              <w:spacing w:after="0" w:line="240" w:lineRule="auto"/>
              <w:jc w:val="right"/>
              <w:rPr>
                <w:sz w:val="18"/>
                <w:szCs w:val="18"/>
                <w:lang w:eastAsia="sk-SK"/>
              </w:rPr>
            </w:pPr>
            <w:r w:rsidRPr="00003E06">
              <w:rPr>
                <w:sz w:val="18"/>
                <w:szCs w:val="18"/>
                <w:lang w:eastAsia="sk-SK"/>
              </w:rPr>
              <w:t>-28 394</w:t>
            </w:r>
          </w:p>
        </w:tc>
        <w:tc>
          <w:tcPr>
            <w:tcW w:w="692" w:type="pct"/>
            <w:gridSpan w:val="2"/>
            <w:tcBorders>
              <w:top w:val="nil"/>
              <w:left w:val="nil"/>
              <w:bottom w:val="nil"/>
              <w:right w:val="nil"/>
            </w:tcBorders>
            <w:shd w:val="clear" w:color="auto" w:fill="auto"/>
            <w:noWrap/>
            <w:vAlign w:val="bottom"/>
          </w:tcPr>
          <w:p w14:paraId="69F2FBD5" w14:textId="77777777" w:rsidR="00FA1620" w:rsidRPr="00003E06" w:rsidRDefault="00FA1620" w:rsidP="00CA4C99">
            <w:pPr>
              <w:spacing w:after="0" w:line="240" w:lineRule="auto"/>
              <w:jc w:val="right"/>
              <w:rPr>
                <w:sz w:val="18"/>
                <w:szCs w:val="18"/>
                <w:lang w:eastAsia="sk-SK"/>
              </w:rPr>
            </w:pPr>
            <w:r w:rsidRPr="00003E06">
              <w:rPr>
                <w:sz w:val="18"/>
                <w:szCs w:val="18"/>
                <w:lang w:eastAsia="sk-SK"/>
              </w:rPr>
              <w:t>-33 100</w:t>
            </w:r>
          </w:p>
        </w:tc>
        <w:tc>
          <w:tcPr>
            <w:tcW w:w="537" w:type="pct"/>
            <w:gridSpan w:val="2"/>
            <w:tcBorders>
              <w:top w:val="nil"/>
              <w:left w:val="nil"/>
              <w:bottom w:val="nil"/>
              <w:right w:val="nil"/>
            </w:tcBorders>
            <w:shd w:val="clear" w:color="auto" w:fill="auto"/>
            <w:noWrap/>
            <w:vAlign w:val="bottom"/>
          </w:tcPr>
          <w:p w14:paraId="29B41351" w14:textId="77777777" w:rsidR="00FA1620" w:rsidRPr="00003E06" w:rsidRDefault="00FA1620" w:rsidP="00CA4C99">
            <w:pPr>
              <w:spacing w:after="0" w:line="240" w:lineRule="auto"/>
              <w:jc w:val="right"/>
              <w:rPr>
                <w:sz w:val="18"/>
                <w:szCs w:val="18"/>
                <w:lang w:eastAsia="sk-SK"/>
              </w:rPr>
            </w:pPr>
            <w:r w:rsidRPr="00003E06">
              <w:rPr>
                <w:sz w:val="18"/>
                <w:szCs w:val="18"/>
                <w:lang w:eastAsia="sk-SK"/>
              </w:rPr>
              <w:t>0</w:t>
            </w:r>
          </w:p>
        </w:tc>
        <w:tc>
          <w:tcPr>
            <w:tcW w:w="539" w:type="pct"/>
            <w:gridSpan w:val="2"/>
            <w:tcBorders>
              <w:top w:val="nil"/>
              <w:left w:val="nil"/>
              <w:bottom w:val="nil"/>
              <w:right w:val="nil"/>
            </w:tcBorders>
            <w:shd w:val="clear" w:color="auto" w:fill="auto"/>
            <w:noWrap/>
            <w:vAlign w:val="bottom"/>
          </w:tcPr>
          <w:p w14:paraId="7C55C458" w14:textId="77777777" w:rsidR="00FA1620" w:rsidRPr="00003E06" w:rsidRDefault="00FA1620" w:rsidP="00CA4C99">
            <w:pPr>
              <w:spacing w:after="0" w:line="240" w:lineRule="auto"/>
              <w:jc w:val="right"/>
              <w:rPr>
                <w:sz w:val="18"/>
                <w:szCs w:val="18"/>
                <w:lang w:eastAsia="sk-SK"/>
              </w:rPr>
            </w:pPr>
            <w:r w:rsidRPr="00003E06">
              <w:rPr>
                <w:sz w:val="18"/>
                <w:szCs w:val="18"/>
                <w:lang w:eastAsia="sk-SK"/>
              </w:rPr>
              <w:t>0</w:t>
            </w:r>
          </w:p>
        </w:tc>
        <w:tc>
          <w:tcPr>
            <w:tcW w:w="615" w:type="pct"/>
            <w:gridSpan w:val="3"/>
            <w:tcBorders>
              <w:top w:val="nil"/>
              <w:left w:val="nil"/>
              <w:bottom w:val="nil"/>
              <w:right w:val="nil"/>
            </w:tcBorders>
            <w:shd w:val="clear" w:color="auto" w:fill="auto"/>
            <w:noWrap/>
            <w:vAlign w:val="bottom"/>
          </w:tcPr>
          <w:p w14:paraId="015A4D79" w14:textId="77777777" w:rsidR="00FA1620" w:rsidRPr="00003E06" w:rsidRDefault="00FA1620" w:rsidP="00CA4C99">
            <w:pPr>
              <w:spacing w:after="0" w:line="240" w:lineRule="auto"/>
              <w:jc w:val="right"/>
              <w:rPr>
                <w:sz w:val="18"/>
                <w:szCs w:val="18"/>
                <w:lang w:eastAsia="sk-SK"/>
              </w:rPr>
            </w:pPr>
            <w:r w:rsidRPr="00003E06">
              <w:rPr>
                <w:sz w:val="18"/>
                <w:szCs w:val="18"/>
                <w:lang w:eastAsia="sk-SK"/>
              </w:rPr>
              <w:t>4 706</w:t>
            </w:r>
          </w:p>
        </w:tc>
        <w:tc>
          <w:tcPr>
            <w:tcW w:w="461" w:type="pct"/>
            <w:tcBorders>
              <w:top w:val="nil"/>
              <w:left w:val="nil"/>
              <w:bottom w:val="nil"/>
              <w:right w:val="nil"/>
            </w:tcBorders>
            <w:shd w:val="clear" w:color="auto" w:fill="auto"/>
            <w:noWrap/>
            <w:vAlign w:val="bottom"/>
          </w:tcPr>
          <w:p w14:paraId="005AC4D9" w14:textId="6248F2CC" w:rsidR="00FA1620" w:rsidRPr="00003E06"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97152" behindDoc="0" locked="0" layoutInCell="1" allowOverlap="1" wp14:anchorId="6DA8EF74" wp14:editId="6A65E682">
                  <wp:simplePos x="0" y="0"/>
                  <wp:positionH relativeFrom="column">
                    <wp:posOffset>0</wp:posOffset>
                  </wp:positionH>
                  <wp:positionV relativeFrom="paragraph">
                    <wp:posOffset>0</wp:posOffset>
                  </wp:positionV>
                  <wp:extent cx="123825" cy="123825"/>
                  <wp:effectExtent l="0" t="0" r="9525" b="9525"/>
                  <wp:wrapNone/>
                  <wp:docPr id="371" name="Obrázok 371" descr="9D4GQ34QB727H10MA3SSAR2R9" hidden="1"/>
                  <wp:cNvGraphicFramePr/>
                  <a:graphic xmlns:a="http://schemas.openxmlformats.org/drawingml/2006/main">
                    <a:graphicData uri="http://schemas.openxmlformats.org/drawingml/2006/picture">
                      <pic:pic xmlns:pic="http://schemas.openxmlformats.org/drawingml/2006/picture">
                        <pic:nvPicPr>
                          <pic:cNvPr id="37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698176" behindDoc="0" locked="0" layoutInCell="1" allowOverlap="1" wp14:anchorId="04F73619" wp14:editId="398504F2">
                  <wp:simplePos x="0" y="0"/>
                  <wp:positionH relativeFrom="column">
                    <wp:posOffset>0</wp:posOffset>
                  </wp:positionH>
                  <wp:positionV relativeFrom="paragraph">
                    <wp:posOffset>0</wp:posOffset>
                  </wp:positionV>
                  <wp:extent cx="123825" cy="123825"/>
                  <wp:effectExtent l="0" t="0" r="9525" b="9525"/>
                  <wp:wrapNone/>
                  <wp:docPr id="372" name="Obrázok 372" descr="MEW27CPIFG44B7E7HEQUUF5QF" hidden="1"/>
                  <wp:cNvGraphicFramePr/>
                  <a:graphic xmlns:a="http://schemas.openxmlformats.org/drawingml/2006/main">
                    <a:graphicData uri="http://schemas.openxmlformats.org/drawingml/2006/picture">
                      <pic:pic xmlns:pic="http://schemas.openxmlformats.org/drawingml/2006/picture">
                        <pic:nvPicPr>
                          <pic:cNvPr id="37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003E06">
              <w:rPr>
                <w:sz w:val="18"/>
                <w:szCs w:val="18"/>
                <w:lang w:eastAsia="sk-SK"/>
              </w:rPr>
              <w:t>0</w:t>
            </w:r>
          </w:p>
        </w:tc>
      </w:tr>
      <w:tr w:rsidR="00FA1620" w:rsidRPr="001B4DEC" w14:paraId="780A20FB" w14:textId="77777777" w:rsidTr="00CA4C99">
        <w:trPr>
          <w:gridAfter w:val="1"/>
          <w:wAfter w:w="4" w:type="pct"/>
          <w:trHeight w:val="232"/>
        </w:trPr>
        <w:tc>
          <w:tcPr>
            <w:tcW w:w="1536" w:type="pct"/>
            <w:tcBorders>
              <w:top w:val="nil"/>
              <w:left w:val="nil"/>
              <w:bottom w:val="nil"/>
              <w:right w:val="nil"/>
            </w:tcBorders>
            <w:shd w:val="clear" w:color="auto" w:fill="auto"/>
            <w:noWrap/>
            <w:vAlign w:val="bottom"/>
          </w:tcPr>
          <w:p w14:paraId="3424AE86" w14:textId="77777777" w:rsidR="00FA1620" w:rsidRPr="001B4DEC" w:rsidRDefault="00FA1620" w:rsidP="00CA4C99">
            <w:pPr>
              <w:spacing w:after="0" w:line="240" w:lineRule="auto"/>
              <w:rPr>
                <w:color w:val="FF0000"/>
                <w:sz w:val="18"/>
                <w:szCs w:val="18"/>
                <w:lang w:eastAsia="sk-SK"/>
              </w:rPr>
            </w:pPr>
            <w:proofErr w:type="spellStart"/>
            <w:r w:rsidRPr="00B205DE">
              <w:rPr>
                <w:sz w:val="18"/>
                <w:szCs w:val="18"/>
                <w:lang w:eastAsia="sk-SK"/>
              </w:rPr>
              <w:t>Stredoslov.ener.Holding</w:t>
            </w:r>
            <w:proofErr w:type="spellEnd"/>
            <w:r w:rsidRPr="00B205DE">
              <w:rPr>
                <w:sz w:val="18"/>
                <w:szCs w:val="18"/>
                <w:lang w:eastAsia="sk-SK"/>
              </w:rPr>
              <w:t xml:space="preserve">, </w:t>
            </w:r>
            <w:proofErr w:type="spellStart"/>
            <w:r w:rsidRPr="00B205DE">
              <w:rPr>
                <w:sz w:val="18"/>
                <w:szCs w:val="18"/>
                <w:lang w:eastAsia="sk-SK"/>
              </w:rPr>
              <w:t>a.s</w:t>
            </w:r>
            <w:proofErr w:type="spellEnd"/>
            <w:r w:rsidRPr="00B205DE">
              <w:rPr>
                <w:sz w:val="18"/>
                <w:szCs w:val="18"/>
                <w:lang w:eastAsia="sk-SK"/>
              </w:rPr>
              <w:t>.</w:t>
            </w:r>
          </w:p>
        </w:tc>
        <w:tc>
          <w:tcPr>
            <w:tcW w:w="615" w:type="pct"/>
            <w:gridSpan w:val="2"/>
            <w:tcBorders>
              <w:top w:val="nil"/>
              <w:left w:val="nil"/>
              <w:bottom w:val="nil"/>
              <w:right w:val="nil"/>
            </w:tcBorders>
            <w:shd w:val="clear" w:color="auto" w:fill="auto"/>
            <w:noWrap/>
            <w:vAlign w:val="bottom"/>
          </w:tcPr>
          <w:p w14:paraId="7E4809D7" w14:textId="77777777" w:rsidR="00FA1620" w:rsidRPr="00B205DE" w:rsidRDefault="00FA1620" w:rsidP="00CA4C99">
            <w:pPr>
              <w:spacing w:after="0" w:line="240" w:lineRule="auto"/>
              <w:jc w:val="right"/>
              <w:rPr>
                <w:sz w:val="18"/>
                <w:szCs w:val="18"/>
                <w:lang w:eastAsia="sk-SK"/>
              </w:rPr>
            </w:pPr>
            <w:r w:rsidRPr="00B205DE">
              <w:rPr>
                <w:sz w:val="18"/>
                <w:szCs w:val="18"/>
                <w:lang w:eastAsia="sk-SK"/>
              </w:rPr>
              <w:t>-70 574</w:t>
            </w:r>
          </w:p>
        </w:tc>
        <w:tc>
          <w:tcPr>
            <w:tcW w:w="692" w:type="pct"/>
            <w:gridSpan w:val="2"/>
            <w:tcBorders>
              <w:top w:val="nil"/>
              <w:left w:val="nil"/>
              <w:bottom w:val="nil"/>
              <w:right w:val="nil"/>
            </w:tcBorders>
            <w:shd w:val="clear" w:color="auto" w:fill="auto"/>
            <w:noWrap/>
            <w:vAlign w:val="bottom"/>
          </w:tcPr>
          <w:p w14:paraId="2CAE8208" w14:textId="77777777" w:rsidR="00FA1620" w:rsidRPr="00B205DE" w:rsidRDefault="00FA1620" w:rsidP="00CA4C99">
            <w:pPr>
              <w:spacing w:after="0" w:line="240" w:lineRule="auto"/>
              <w:jc w:val="right"/>
              <w:rPr>
                <w:sz w:val="18"/>
                <w:szCs w:val="18"/>
                <w:lang w:eastAsia="sk-SK"/>
              </w:rPr>
            </w:pPr>
            <w:r w:rsidRPr="00B205DE">
              <w:rPr>
                <w:sz w:val="18"/>
                <w:szCs w:val="18"/>
                <w:lang w:eastAsia="sk-SK"/>
              </w:rPr>
              <w:t>76 047</w:t>
            </w:r>
          </w:p>
        </w:tc>
        <w:tc>
          <w:tcPr>
            <w:tcW w:w="537" w:type="pct"/>
            <w:gridSpan w:val="2"/>
            <w:tcBorders>
              <w:top w:val="nil"/>
              <w:left w:val="nil"/>
              <w:bottom w:val="nil"/>
              <w:right w:val="nil"/>
            </w:tcBorders>
            <w:shd w:val="clear" w:color="auto" w:fill="auto"/>
            <w:noWrap/>
            <w:vAlign w:val="bottom"/>
          </w:tcPr>
          <w:p w14:paraId="3DBF2960" w14:textId="77777777" w:rsidR="00FA1620" w:rsidRPr="00B205DE" w:rsidRDefault="00FA1620" w:rsidP="00CA4C99">
            <w:pPr>
              <w:spacing w:after="0" w:line="240" w:lineRule="auto"/>
              <w:jc w:val="right"/>
              <w:rPr>
                <w:sz w:val="18"/>
                <w:szCs w:val="18"/>
                <w:lang w:eastAsia="sk-SK"/>
              </w:rPr>
            </w:pPr>
            <w:r w:rsidRPr="00B205DE">
              <w:rPr>
                <w:sz w:val="18"/>
                <w:szCs w:val="18"/>
                <w:lang w:eastAsia="sk-SK"/>
              </w:rPr>
              <w:t>-146 622</w:t>
            </w:r>
          </w:p>
        </w:tc>
        <w:tc>
          <w:tcPr>
            <w:tcW w:w="539" w:type="pct"/>
            <w:gridSpan w:val="2"/>
            <w:tcBorders>
              <w:top w:val="nil"/>
              <w:left w:val="nil"/>
              <w:bottom w:val="nil"/>
              <w:right w:val="nil"/>
            </w:tcBorders>
            <w:shd w:val="clear" w:color="auto" w:fill="auto"/>
            <w:noWrap/>
            <w:vAlign w:val="bottom"/>
          </w:tcPr>
          <w:p w14:paraId="69A311C1" w14:textId="77777777" w:rsidR="00FA1620" w:rsidRPr="00B205DE" w:rsidRDefault="00FA1620" w:rsidP="00CA4C99">
            <w:pPr>
              <w:spacing w:after="0" w:line="240" w:lineRule="auto"/>
              <w:jc w:val="right"/>
              <w:rPr>
                <w:sz w:val="18"/>
                <w:szCs w:val="18"/>
                <w:lang w:eastAsia="sk-SK"/>
              </w:rPr>
            </w:pPr>
            <w:r w:rsidRPr="00B205DE">
              <w:rPr>
                <w:sz w:val="18"/>
                <w:szCs w:val="18"/>
                <w:lang w:eastAsia="sk-SK"/>
              </w:rPr>
              <w:t>0</w:t>
            </w:r>
          </w:p>
        </w:tc>
        <w:tc>
          <w:tcPr>
            <w:tcW w:w="615" w:type="pct"/>
            <w:gridSpan w:val="3"/>
            <w:tcBorders>
              <w:top w:val="nil"/>
              <w:left w:val="nil"/>
              <w:bottom w:val="nil"/>
              <w:right w:val="nil"/>
            </w:tcBorders>
            <w:shd w:val="clear" w:color="auto" w:fill="auto"/>
            <w:noWrap/>
            <w:vAlign w:val="bottom"/>
          </w:tcPr>
          <w:p w14:paraId="2FECF6B3" w14:textId="77777777" w:rsidR="00FA1620" w:rsidRPr="00B205DE" w:rsidRDefault="00FA1620" w:rsidP="00CA4C99">
            <w:pPr>
              <w:spacing w:after="0" w:line="240" w:lineRule="auto"/>
              <w:jc w:val="right"/>
              <w:rPr>
                <w:sz w:val="18"/>
                <w:szCs w:val="18"/>
                <w:lang w:eastAsia="sk-SK"/>
              </w:rPr>
            </w:pPr>
            <w:r w:rsidRPr="00B205DE">
              <w:rPr>
                <w:sz w:val="18"/>
                <w:szCs w:val="18"/>
                <w:lang w:eastAsia="sk-SK"/>
              </w:rPr>
              <w:t>0</w:t>
            </w:r>
          </w:p>
        </w:tc>
        <w:tc>
          <w:tcPr>
            <w:tcW w:w="461" w:type="pct"/>
            <w:tcBorders>
              <w:top w:val="nil"/>
              <w:left w:val="nil"/>
              <w:bottom w:val="nil"/>
              <w:right w:val="nil"/>
            </w:tcBorders>
            <w:shd w:val="clear" w:color="auto" w:fill="auto"/>
            <w:noWrap/>
            <w:vAlign w:val="bottom"/>
          </w:tcPr>
          <w:p w14:paraId="30C105D9" w14:textId="36467A86" w:rsidR="00FA1620" w:rsidRPr="00B205DE"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699200" behindDoc="0" locked="0" layoutInCell="1" allowOverlap="1" wp14:anchorId="1AE3016D" wp14:editId="70563545">
                  <wp:simplePos x="0" y="0"/>
                  <wp:positionH relativeFrom="column">
                    <wp:posOffset>0</wp:posOffset>
                  </wp:positionH>
                  <wp:positionV relativeFrom="paragraph">
                    <wp:posOffset>0</wp:posOffset>
                  </wp:positionV>
                  <wp:extent cx="123825" cy="123825"/>
                  <wp:effectExtent l="0" t="0" r="9525" b="9525"/>
                  <wp:wrapNone/>
                  <wp:docPr id="279" name="Obrázok 279" descr="9D4GQ34QB727H10MA3SSAR2R9" hidden="1"/>
                  <wp:cNvGraphicFramePr/>
                  <a:graphic xmlns:a="http://schemas.openxmlformats.org/drawingml/2006/main">
                    <a:graphicData uri="http://schemas.openxmlformats.org/drawingml/2006/picture">
                      <pic:pic xmlns:pic="http://schemas.openxmlformats.org/drawingml/2006/picture">
                        <pic:nvPicPr>
                          <pic:cNvPr id="279"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700224" behindDoc="0" locked="0" layoutInCell="1" allowOverlap="1" wp14:anchorId="11BA69BF" wp14:editId="23C4F95E">
                  <wp:simplePos x="0" y="0"/>
                  <wp:positionH relativeFrom="column">
                    <wp:posOffset>0</wp:posOffset>
                  </wp:positionH>
                  <wp:positionV relativeFrom="paragraph">
                    <wp:posOffset>0</wp:posOffset>
                  </wp:positionV>
                  <wp:extent cx="123825" cy="123825"/>
                  <wp:effectExtent l="0" t="0" r="9525" b="9525"/>
                  <wp:wrapNone/>
                  <wp:docPr id="280" name="Obrázok 280" descr="MEW27CPIFG44B7E7HEQUUF5QF" hidden="1"/>
                  <wp:cNvGraphicFramePr/>
                  <a:graphic xmlns:a="http://schemas.openxmlformats.org/drawingml/2006/main">
                    <a:graphicData uri="http://schemas.openxmlformats.org/drawingml/2006/picture">
                      <pic:pic xmlns:pic="http://schemas.openxmlformats.org/drawingml/2006/picture">
                        <pic:nvPicPr>
                          <pic:cNvPr id="280"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701248" behindDoc="0" locked="0" layoutInCell="1" allowOverlap="1" wp14:anchorId="3777923D" wp14:editId="6C81A35C">
                  <wp:simplePos x="0" y="0"/>
                  <wp:positionH relativeFrom="column">
                    <wp:posOffset>0</wp:posOffset>
                  </wp:positionH>
                  <wp:positionV relativeFrom="paragraph">
                    <wp:posOffset>0</wp:posOffset>
                  </wp:positionV>
                  <wp:extent cx="123825" cy="123825"/>
                  <wp:effectExtent l="0" t="0" r="9525" b="9525"/>
                  <wp:wrapNone/>
                  <wp:docPr id="281" name="Obrázok 281" descr="9D4GQ34QB727H10MA3SSAR2R9" hidden="1"/>
                  <wp:cNvGraphicFramePr/>
                  <a:graphic xmlns:a="http://schemas.openxmlformats.org/drawingml/2006/main">
                    <a:graphicData uri="http://schemas.openxmlformats.org/drawingml/2006/picture">
                      <pic:pic xmlns:pic="http://schemas.openxmlformats.org/drawingml/2006/picture">
                        <pic:nvPicPr>
                          <pic:cNvPr id="281"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702272" behindDoc="0" locked="0" layoutInCell="1" allowOverlap="1" wp14:anchorId="0131FD70" wp14:editId="6B9FF636">
                  <wp:simplePos x="0" y="0"/>
                  <wp:positionH relativeFrom="column">
                    <wp:posOffset>0</wp:posOffset>
                  </wp:positionH>
                  <wp:positionV relativeFrom="paragraph">
                    <wp:posOffset>0</wp:posOffset>
                  </wp:positionV>
                  <wp:extent cx="123825" cy="123825"/>
                  <wp:effectExtent l="0" t="0" r="9525" b="9525"/>
                  <wp:wrapNone/>
                  <wp:docPr id="282" name="Obrázok 282" descr="MEW27CPIFG44B7E7HEQUUF5QF" hidden="1"/>
                  <wp:cNvGraphicFramePr/>
                  <a:graphic xmlns:a="http://schemas.openxmlformats.org/drawingml/2006/main">
                    <a:graphicData uri="http://schemas.openxmlformats.org/drawingml/2006/picture">
                      <pic:pic xmlns:pic="http://schemas.openxmlformats.org/drawingml/2006/picture">
                        <pic:nvPicPr>
                          <pic:cNvPr id="282"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B205DE">
              <w:rPr>
                <w:sz w:val="18"/>
                <w:szCs w:val="18"/>
                <w:lang w:eastAsia="sk-SK"/>
              </w:rPr>
              <w:t>1</w:t>
            </w:r>
          </w:p>
        </w:tc>
      </w:tr>
      <w:tr w:rsidR="00FA1620" w:rsidRPr="001B4DEC" w14:paraId="2C1429A0" w14:textId="77777777" w:rsidTr="00CA4C99">
        <w:trPr>
          <w:gridAfter w:val="1"/>
          <w:wAfter w:w="4" w:type="pct"/>
          <w:trHeight w:val="232"/>
        </w:trPr>
        <w:tc>
          <w:tcPr>
            <w:tcW w:w="1536" w:type="pct"/>
            <w:tcBorders>
              <w:left w:val="nil"/>
              <w:bottom w:val="single" w:sz="4" w:space="0" w:color="auto"/>
              <w:right w:val="nil"/>
            </w:tcBorders>
            <w:shd w:val="clear" w:color="auto" w:fill="auto"/>
            <w:noWrap/>
            <w:vAlign w:val="bottom"/>
          </w:tcPr>
          <w:p w14:paraId="37A04481" w14:textId="77777777" w:rsidR="00FA1620" w:rsidRPr="001B4DEC" w:rsidRDefault="00FA1620" w:rsidP="00CA4C99">
            <w:pPr>
              <w:spacing w:after="0" w:line="240" w:lineRule="auto"/>
              <w:rPr>
                <w:color w:val="FF0000"/>
                <w:sz w:val="18"/>
                <w:szCs w:val="18"/>
                <w:lang w:eastAsia="sk-SK"/>
              </w:rPr>
            </w:pPr>
            <w:r w:rsidRPr="004E1BA5">
              <w:rPr>
                <w:sz w:val="18"/>
                <w:szCs w:val="18"/>
                <w:lang w:eastAsia="sk-SK"/>
              </w:rPr>
              <w:t>Železnice Slovenskej republiky</w:t>
            </w:r>
          </w:p>
        </w:tc>
        <w:tc>
          <w:tcPr>
            <w:tcW w:w="615" w:type="pct"/>
            <w:gridSpan w:val="2"/>
            <w:tcBorders>
              <w:left w:val="nil"/>
              <w:bottom w:val="single" w:sz="4" w:space="0" w:color="auto"/>
              <w:right w:val="nil"/>
            </w:tcBorders>
            <w:shd w:val="clear" w:color="auto" w:fill="auto"/>
            <w:noWrap/>
            <w:vAlign w:val="bottom"/>
          </w:tcPr>
          <w:p w14:paraId="1A70E481" w14:textId="77777777" w:rsidR="00FA1620" w:rsidRPr="004E1BA5" w:rsidRDefault="00FA1620" w:rsidP="00CA4C99">
            <w:pPr>
              <w:spacing w:after="0" w:line="240" w:lineRule="auto"/>
              <w:jc w:val="right"/>
              <w:rPr>
                <w:sz w:val="18"/>
                <w:szCs w:val="18"/>
                <w:lang w:eastAsia="sk-SK"/>
              </w:rPr>
            </w:pPr>
            <w:r w:rsidRPr="004E1BA5">
              <w:rPr>
                <w:sz w:val="18"/>
                <w:szCs w:val="18"/>
                <w:lang w:eastAsia="sk-SK"/>
              </w:rPr>
              <w:t>-79 031</w:t>
            </w:r>
          </w:p>
        </w:tc>
        <w:tc>
          <w:tcPr>
            <w:tcW w:w="692" w:type="pct"/>
            <w:gridSpan w:val="2"/>
            <w:tcBorders>
              <w:left w:val="nil"/>
              <w:bottom w:val="single" w:sz="4" w:space="0" w:color="auto"/>
              <w:right w:val="nil"/>
            </w:tcBorders>
            <w:shd w:val="clear" w:color="auto" w:fill="auto"/>
            <w:noWrap/>
            <w:vAlign w:val="bottom"/>
          </w:tcPr>
          <w:p w14:paraId="77FAE1F5" w14:textId="77777777" w:rsidR="00FA1620" w:rsidRPr="004E1BA5" w:rsidRDefault="00FA1620" w:rsidP="00CA4C99">
            <w:pPr>
              <w:spacing w:after="0" w:line="240" w:lineRule="auto"/>
              <w:jc w:val="right"/>
              <w:rPr>
                <w:sz w:val="18"/>
                <w:szCs w:val="18"/>
                <w:lang w:eastAsia="sk-SK"/>
              </w:rPr>
            </w:pPr>
            <w:r w:rsidRPr="004E1BA5">
              <w:rPr>
                <w:sz w:val="18"/>
                <w:szCs w:val="18"/>
                <w:lang w:eastAsia="sk-SK"/>
              </w:rPr>
              <w:t>-78 173</w:t>
            </w:r>
          </w:p>
        </w:tc>
        <w:tc>
          <w:tcPr>
            <w:tcW w:w="537" w:type="pct"/>
            <w:gridSpan w:val="2"/>
            <w:tcBorders>
              <w:left w:val="nil"/>
              <w:bottom w:val="single" w:sz="4" w:space="0" w:color="auto"/>
              <w:right w:val="nil"/>
            </w:tcBorders>
            <w:shd w:val="clear" w:color="auto" w:fill="auto"/>
            <w:noWrap/>
            <w:vAlign w:val="bottom"/>
          </w:tcPr>
          <w:p w14:paraId="6EBB5D93" w14:textId="77777777" w:rsidR="00FA1620" w:rsidRPr="004E1BA5" w:rsidRDefault="00FA1620" w:rsidP="00CA4C99">
            <w:pPr>
              <w:spacing w:after="0" w:line="240" w:lineRule="auto"/>
              <w:jc w:val="right"/>
              <w:rPr>
                <w:sz w:val="18"/>
                <w:szCs w:val="18"/>
                <w:lang w:eastAsia="sk-SK"/>
              </w:rPr>
            </w:pPr>
            <w:r w:rsidRPr="004E1BA5">
              <w:rPr>
                <w:sz w:val="18"/>
                <w:szCs w:val="18"/>
                <w:lang w:eastAsia="sk-SK"/>
              </w:rPr>
              <w:t>0</w:t>
            </w:r>
          </w:p>
        </w:tc>
        <w:tc>
          <w:tcPr>
            <w:tcW w:w="539" w:type="pct"/>
            <w:gridSpan w:val="2"/>
            <w:tcBorders>
              <w:left w:val="nil"/>
              <w:bottom w:val="single" w:sz="4" w:space="0" w:color="auto"/>
              <w:right w:val="nil"/>
            </w:tcBorders>
            <w:shd w:val="clear" w:color="auto" w:fill="auto"/>
            <w:noWrap/>
            <w:vAlign w:val="bottom"/>
          </w:tcPr>
          <w:p w14:paraId="2501CE0F" w14:textId="77777777" w:rsidR="00FA1620" w:rsidRPr="004E1BA5" w:rsidRDefault="00FA1620" w:rsidP="00CA4C99">
            <w:pPr>
              <w:spacing w:after="0" w:line="240" w:lineRule="auto"/>
              <w:jc w:val="right"/>
              <w:rPr>
                <w:sz w:val="18"/>
                <w:szCs w:val="18"/>
                <w:lang w:eastAsia="sk-SK"/>
              </w:rPr>
            </w:pPr>
            <w:r w:rsidRPr="004E1BA5">
              <w:rPr>
                <w:sz w:val="18"/>
                <w:szCs w:val="18"/>
                <w:lang w:eastAsia="sk-SK"/>
              </w:rPr>
              <w:t>4 330</w:t>
            </w:r>
          </w:p>
        </w:tc>
        <w:tc>
          <w:tcPr>
            <w:tcW w:w="615" w:type="pct"/>
            <w:gridSpan w:val="3"/>
            <w:tcBorders>
              <w:left w:val="nil"/>
              <w:bottom w:val="single" w:sz="4" w:space="0" w:color="auto"/>
              <w:right w:val="nil"/>
            </w:tcBorders>
            <w:shd w:val="clear" w:color="auto" w:fill="auto"/>
            <w:noWrap/>
            <w:vAlign w:val="bottom"/>
          </w:tcPr>
          <w:p w14:paraId="514AE074" w14:textId="77777777" w:rsidR="00FA1620" w:rsidRPr="004E1BA5" w:rsidRDefault="00FA1620" w:rsidP="00CA4C99">
            <w:pPr>
              <w:spacing w:after="0" w:line="240" w:lineRule="auto"/>
              <w:jc w:val="right"/>
              <w:rPr>
                <w:sz w:val="18"/>
                <w:szCs w:val="18"/>
                <w:lang w:eastAsia="sk-SK"/>
              </w:rPr>
            </w:pPr>
            <w:r w:rsidRPr="004E1BA5">
              <w:rPr>
                <w:sz w:val="18"/>
                <w:szCs w:val="18"/>
                <w:lang w:eastAsia="sk-SK"/>
              </w:rPr>
              <w:t>-5 188</w:t>
            </w:r>
          </w:p>
        </w:tc>
        <w:tc>
          <w:tcPr>
            <w:tcW w:w="461" w:type="pct"/>
            <w:tcBorders>
              <w:left w:val="nil"/>
              <w:bottom w:val="single" w:sz="4" w:space="0" w:color="auto"/>
              <w:right w:val="nil"/>
            </w:tcBorders>
            <w:shd w:val="clear" w:color="auto" w:fill="auto"/>
            <w:noWrap/>
            <w:vAlign w:val="bottom"/>
          </w:tcPr>
          <w:p w14:paraId="40919529" w14:textId="5914FF63" w:rsidR="00FA1620" w:rsidRPr="004E1BA5" w:rsidRDefault="00FA1620" w:rsidP="00CA4C99">
            <w:pPr>
              <w:spacing w:after="0" w:line="240" w:lineRule="auto"/>
              <w:jc w:val="right"/>
              <w:rPr>
                <w:sz w:val="18"/>
                <w:szCs w:val="18"/>
                <w:lang w:eastAsia="sk-SK"/>
              </w:rPr>
            </w:pPr>
            <w:r>
              <w:rPr>
                <w:noProof/>
                <w:sz w:val="18"/>
                <w:szCs w:val="18"/>
                <w:lang w:eastAsia="sk-SK"/>
              </w:rPr>
              <w:drawing>
                <wp:anchor distT="0" distB="0" distL="114300" distR="114300" simplePos="0" relativeHeight="251703296" behindDoc="0" locked="0" layoutInCell="1" allowOverlap="1" wp14:anchorId="75D46BE7" wp14:editId="2137145D">
                  <wp:simplePos x="0" y="0"/>
                  <wp:positionH relativeFrom="column">
                    <wp:posOffset>0</wp:posOffset>
                  </wp:positionH>
                  <wp:positionV relativeFrom="paragraph">
                    <wp:posOffset>0</wp:posOffset>
                  </wp:positionV>
                  <wp:extent cx="123825" cy="123825"/>
                  <wp:effectExtent l="0" t="0" r="9525" b="9525"/>
                  <wp:wrapNone/>
                  <wp:docPr id="42" name="Obrázok 42" descr="9D4GQ34QB727H10MA3SSAR2R9" hidden="1"/>
                  <wp:cNvGraphicFramePr/>
                  <a:graphic xmlns:a="http://schemas.openxmlformats.org/drawingml/2006/main">
                    <a:graphicData uri="http://schemas.openxmlformats.org/drawingml/2006/picture">
                      <pic:pic xmlns:pic="http://schemas.openxmlformats.org/drawingml/2006/picture">
                        <pic:nvPicPr>
                          <pic:cNvPr id="42" name="BExRZO0PLWWMCLGRH7EH6UXYWGAJ" descr="9D4GQ34QB727H10MA3SSAR2R9"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18"/>
                <w:szCs w:val="18"/>
                <w:lang w:eastAsia="sk-SK"/>
              </w:rPr>
              <w:drawing>
                <wp:anchor distT="0" distB="0" distL="114300" distR="114300" simplePos="0" relativeHeight="251704320" behindDoc="0" locked="0" layoutInCell="1" allowOverlap="1" wp14:anchorId="713C824A" wp14:editId="1347E6CE">
                  <wp:simplePos x="0" y="0"/>
                  <wp:positionH relativeFrom="column">
                    <wp:posOffset>0</wp:posOffset>
                  </wp:positionH>
                  <wp:positionV relativeFrom="paragraph">
                    <wp:posOffset>0</wp:posOffset>
                  </wp:positionV>
                  <wp:extent cx="123825" cy="123825"/>
                  <wp:effectExtent l="0" t="0" r="9525" b="9525"/>
                  <wp:wrapNone/>
                  <wp:docPr id="43" name="Obrázok 43" descr="MEW27CPIFG44B7E7HEQUUF5QF" hidden="1"/>
                  <wp:cNvGraphicFramePr/>
                  <a:graphic xmlns:a="http://schemas.openxmlformats.org/drawingml/2006/main">
                    <a:graphicData uri="http://schemas.openxmlformats.org/drawingml/2006/picture">
                      <pic:pic xmlns:pic="http://schemas.openxmlformats.org/drawingml/2006/picture">
                        <pic:nvPicPr>
                          <pic:cNvPr id="43" name="BEx1QZGQZBAWJ8591VXEIPUOVS7X" descr="MEW27CPIFG44B7E7HEQUUF5QF" hidden="1"/>
                          <pic:cNvPicPr>
                            <a:picLocks noChangeAspect="1" noChangeArrowheads="1"/>
                          </pic:cNvPicPr>
                        </pic:nvPicPr>
                        <pic:blipFill>
                          <a:blip r:embed="rId17" cstate="print"/>
                          <a:srcRect/>
                          <a:stretch>
                            <a:fillRect/>
                          </a:stretch>
                        </pic:blipFill>
                        <pic:spPr bwMode="auto">
                          <a:xfrm>
                            <a:off x="0" y="0"/>
                            <a:ext cx="123825" cy="1238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4E1BA5">
              <w:rPr>
                <w:sz w:val="18"/>
                <w:szCs w:val="18"/>
                <w:lang w:eastAsia="sk-SK"/>
              </w:rPr>
              <w:t>0</w:t>
            </w:r>
          </w:p>
        </w:tc>
      </w:tr>
      <w:tr w:rsidR="00FA1620" w:rsidRPr="00E11226" w14:paraId="02A1DD0E" w14:textId="77777777" w:rsidTr="00D33788">
        <w:trPr>
          <w:trHeight w:val="170"/>
        </w:trPr>
        <w:tc>
          <w:tcPr>
            <w:tcW w:w="1" w:type="pct"/>
            <w:gridSpan w:val="14"/>
            <w:tcBorders>
              <w:top w:val="nil"/>
              <w:left w:val="nil"/>
              <w:bottom w:val="nil"/>
              <w:right w:val="nil"/>
            </w:tcBorders>
            <w:shd w:val="clear" w:color="auto" w:fill="auto"/>
            <w:noWrap/>
            <w:vAlign w:val="bottom"/>
            <w:hideMark/>
          </w:tcPr>
          <w:p w14:paraId="1C8DAFE6" w14:textId="5E910A5A" w:rsidR="00FA1620" w:rsidRPr="00E11226" w:rsidRDefault="00D33788" w:rsidP="00CA4C99">
            <w:pPr>
              <w:spacing w:after="0" w:line="240" w:lineRule="auto"/>
              <w:ind w:firstLine="5879"/>
              <w:rPr>
                <w:i/>
                <w:iCs/>
                <w:sz w:val="16"/>
                <w:szCs w:val="16"/>
                <w:lang w:eastAsia="sk-SK"/>
              </w:rPr>
            </w:pPr>
            <w:r>
              <w:rPr>
                <w:i/>
                <w:iCs/>
                <w:sz w:val="16"/>
                <w:szCs w:val="16"/>
                <w:lang w:eastAsia="sk-SK"/>
              </w:rPr>
              <w:t xml:space="preserve">    </w:t>
            </w:r>
            <w:r w:rsidR="00D21DEA">
              <w:rPr>
                <w:i/>
                <w:iCs/>
                <w:sz w:val="16"/>
                <w:szCs w:val="16"/>
                <w:lang w:eastAsia="sk-SK"/>
              </w:rPr>
              <w:t xml:space="preserve">    </w:t>
            </w:r>
            <w:r w:rsidR="00FA1620" w:rsidRPr="00E11226">
              <w:rPr>
                <w:i/>
                <w:iCs/>
                <w:sz w:val="16"/>
                <w:szCs w:val="16"/>
                <w:lang w:eastAsia="sk-SK"/>
              </w:rPr>
              <w:t xml:space="preserve">Zdroj: </w:t>
            </w:r>
            <w:r w:rsidR="00FA1620">
              <w:rPr>
                <w:i/>
                <w:iCs/>
                <w:sz w:val="16"/>
                <w:szCs w:val="16"/>
                <w:lang w:eastAsia="sk-SK"/>
              </w:rPr>
              <w:t>Individuálne účtovné závierky spoločností</w:t>
            </w:r>
          </w:p>
        </w:tc>
      </w:tr>
      <w:tr w:rsidR="00FA1620" w:rsidRPr="00E11226" w14:paraId="4FBFE41C" w14:textId="77777777" w:rsidTr="00CA4C99">
        <w:trPr>
          <w:trHeight w:val="232"/>
        </w:trPr>
        <w:tc>
          <w:tcPr>
            <w:tcW w:w="1726" w:type="pct"/>
            <w:gridSpan w:val="2"/>
            <w:tcBorders>
              <w:top w:val="nil"/>
              <w:left w:val="nil"/>
              <w:bottom w:val="nil"/>
              <w:right w:val="nil"/>
            </w:tcBorders>
            <w:shd w:val="clear" w:color="auto" w:fill="auto"/>
            <w:noWrap/>
            <w:vAlign w:val="bottom"/>
          </w:tcPr>
          <w:p w14:paraId="16AA150A" w14:textId="77777777" w:rsidR="00FA1620" w:rsidRPr="00E11226" w:rsidRDefault="00FA1620" w:rsidP="00CA4C99">
            <w:pPr>
              <w:spacing w:after="0" w:line="240" w:lineRule="auto"/>
              <w:jc w:val="right"/>
              <w:rPr>
                <w:sz w:val="20"/>
                <w:szCs w:val="20"/>
                <w:lang w:eastAsia="sk-SK"/>
              </w:rPr>
            </w:pPr>
          </w:p>
        </w:tc>
        <w:tc>
          <w:tcPr>
            <w:tcW w:w="547" w:type="pct"/>
            <w:gridSpan w:val="2"/>
            <w:tcBorders>
              <w:top w:val="nil"/>
              <w:left w:val="nil"/>
              <w:bottom w:val="nil"/>
              <w:right w:val="nil"/>
            </w:tcBorders>
            <w:shd w:val="clear" w:color="auto" w:fill="auto"/>
            <w:noWrap/>
            <w:vAlign w:val="bottom"/>
          </w:tcPr>
          <w:p w14:paraId="15F5E7E5" w14:textId="77777777" w:rsidR="00FA1620" w:rsidRPr="00E11226" w:rsidRDefault="00FA1620" w:rsidP="00CA4C99">
            <w:pPr>
              <w:spacing w:after="0" w:line="240" w:lineRule="auto"/>
              <w:rPr>
                <w:sz w:val="20"/>
                <w:szCs w:val="20"/>
                <w:lang w:eastAsia="sk-SK"/>
              </w:rPr>
            </w:pPr>
          </w:p>
        </w:tc>
        <w:tc>
          <w:tcPr>
            <w:tcW w:w="636" w:type="pct"/>
            <w:gridSpan w:val="2"/>
            <w:tcBorders>
              <w:top w:val="nil"/>
              <w:left w:val="nil"/>
              <w:bottom w:val="nil"/>
              <w:right w:val="nil"/>
            </w:tcBorders>
            <w:shd w:val="clear" w:color="auto" w:fill="auto"/>
            <w:noWrap/>
            <w:vAlign w:val="bottom"/>
          </w:tcPr>
          <w:p w14:paraId="15CDFCB5" w14:textId="77777777" w:rsidR="00FA1620" w:rsidRPr="00E11226" w:rsidRDefault="00FA1620" w:rsidP="00CA4C99">
            <w:pPr>
              <w:spacing w:after="0" w:line="240" w:lineRule="auto"/>
              <w:rPr>
                <w:sz w:val="20"/>
                <w:szCs w:val="20"/>
                <w:lang w:eastAsia="sk-SK"/>
              </w:rPr>
            </w:pPr>
          </w:p>
        </w:tc>
        <w:tc>
          <w:tcPr>
            <w:tcW w:w="502" w:type="pct"/>
            <w:gridSpan w:val="2"/>
            <w:tcBorders>
              <w:top w:val="nil"/>
              <w:left w:val="nil"/>
              <w:bottom w:val="nil"/>
              <w:right w:val="nil"/>
            </w:tcBorders>
            <w:shd w:val="clear" w:color="auto" w:fill="auto"/>
            <w:noWrap/>
            <w:vAlign w:val="bottom"/>
          </w:tcPr>
          <w:p w14:paraId="1A646E4B" w14:textId="77777777" w:rsidR="00FA1620" w:rsidRPr="00E11226" w:rsidRDefault="00FA1620" w:rsidP="00CA4C99">
            <w:pPr>
              <w:spacing w:after="0" w:line="240" w:lineRule="auto"/>
              <w:rPr>
                <w:sz w:val="20"/>
                <w:szCs w:val="20"/>
                <w:lang w:eastAsia="sk-SK"/>
              </w:rPr>
            </w:pPr>
          </w:p>
        </w:tc>
        <w:tc>
          <w:tcPr>
            <w:tcW w:w="590" w:type="pct"/>
            <w:gridSpan w:val="2"/>
            <w:tcBorders>
              <w:top w:val="nil"/>
              <w:left w:val="nil"/>
              <w:bottom w:val="nil"/>
              <w:right w:val="nil"/>
            </w:tcBorders>
            <w:shd w:val="clear" w:color="auto" w:fill="auto"/>
            <w:noWrap/>
            <w:vAlign w:val="bottom"/>
          </w:tcPr>
          <w:p w14:paraId="19E7F21D" w14:textId="77777777" w:rsidR="00FA1620" w:rsidRPr="00E11226" w:rsidRDefault="00FA1620" w:rsidP="00CA4C99">
            <w:pPr>
              <w:spacing w:after="0" w:line="240" w:lineRule="auto"/>
              <w:rPr>
                <w:sz w:val="20"/>
                <w:szCs w:val="20"/>
                <w:lang w:eastAsia="sk-SK"/>
              </w:rPr>
            </w:pPr>
          </w:p>
        </w:tc>
        <w:tc>
          <w:tcPr>
            <w:tcW w:w="466" w:type="pct"/>
            <w:tcBorders>
              <w:top w:val="nil"/>
              <w:left w:val="nil"/>
              <w:bottom w:val="nil"/>
              <w:right w:val="nil"/>
            </w:tcBorders>
            <w:shd w:val="clear" w:color="auto" w:fill="auto"/>
            <w:noWrap/>
            <w:vAlign w:val="bottom"/>
          </w:tcPr>
          <w:p w14:paraId="72400538" w14:textId="77777777" w:rsidR="00FA1620" w:rsidRPr="00E11226" w:rsidRDefault="00FA1620" w:rsidP="00CA4C99">
            <w:pPr>
              <w:spacing w:after="0" w:line="240" w:lineRule="auto"/>
              <w:rPr>
                <w:sz w:val="20"/>
                <w:szCs w:val="20"/>
                <w:lang w:eastAsia="sk-SK"/>
              </w:rPr>
            </w:pPr>
          </w:p>
        </w:tc>
        <w:tc>
          <w:tcPr>
            <w:tcW w:w="533" w:type="pct"/>
            <w:gridSpan w:val="3"/>
            <w:tcBorders>
              <w:top w:val="nil"/>
              <w:left w:val="nil"/>
              <w:bottom w:val="nil"/>
              <w:right w:val="nil"/>
            </w:tcBorders>
            <w:shd w:val="clear" w:color="auto" w:fill="auto"/>
            <w:noWrap/>
            <w:vAlign w:val="center"/>
          </w:tcPr>
          <w:p w14:paraId="1D152883" w14:textId="77777777" w:rsidR="00FA1620" w:rsidRPr="00E11226" w:rsidRDefault="00FA1620" w:rsidP="00CA4C99">
            <w:pPr>
              <w:spacing w:after="0" w:line="240" w:lineRule="auto"/>
              <w:jc w:val="right"/>
              <w:rPr>
                <w:i/>
                <w:iCs/>
                <w:sz w:val="16"/>
                <w:szCs w:val="16"/>
                <w:lang w:eastAsia="sk-SK"/>
              </w:rPr>
            </w:pPr>
          </w:p>
        </w:tc>
      </w:tr>
    </w:tbl>
    <w:p w14:paraId="0F9EDAB2" w14:textId="77777777" w:rsidR="00FA1620" w:rsidRPr="00E11226" w:rsidRDefault="00FA1620" w:rsidP="00886720">
      <w:pPr>
        <w:spacing w:after="120" w:line="240" w:lineRule="auto"/>
        <w:jc w:val="both"/>
        <w:rPr>
          <w:szCs w:val="22"/>
        </w:rPr>
      </w:pPr>
      <w:r w:rsidRPr="00E11226">
        <w:rPr>
          <w:szCs w:val="22"/>
        </w:rPr>
        <w:t>V nasledujúcom texte uvádzame podrobnejšie hodnotenie medziročnej zmeny vlastného imania vybraných štátnych podnikov a  individuálne grafické zobrazenie vývoja ich  vlastného imania na trojročnom horizonte 2020 - 2022. Analýza bola vykonaná na základe verejne dostupných údajov z účtovných závierok a výročných správ.</w:t>
      </w:r>
    </w:p>
    <w:p w14:paraId="5C388DF1" w14:textId="77777777" w:rsidR="00FA1620" w:rsidRPr="00E11226" w:rsidRDefault="00FA1620" w:rsidP="00886720">
      <w:pPr>
        <w:spacing w:after="120" w:line="240" w:lineRule="auto"/>
        <w:jc w:val="both"/>
        <w:rPr>
          <w:szCs w:val="22"/>
        </w:rPr>
      </w:pPr>
      <w:r w:rsidRPr="00E11226">
        <w:rPr>
          <w:szCs w:val="22"/>
        </w:rPr>
        <w:t xml:space="preserve">Modrou farbou v grafoch sú označené stavy vlastného imania ku koncu príslušného roka, červenou farbou sa označujú negatívne vplyvy (resp. vplyvy znižujúce hodnotu vlastného imania) a zelenou farbou sa označujú pozitívne vplyvy (resp. vplyvy zvyšujúce stav vlastného imania). </w:t>
      </w:r>
    </w:p>
    <w:p w14:paraId="00AA47FF" w14:textId="77777777" w:rsidR="00FA1620" w:rsidRPr="00F31245" w:rsidRDefault="00FA1620" w:rsidP="00FA1620">
      <w:pPr>
        <w:spacing w:after="120" w:line="336" w:lineRule="auto"/>
        <w:jc w:val="both"/>
        <w:rPr>
          <w:b/>
          <w:szCs w:val="22"/>
        </w:rPr>
      </w:pPr>
      <w:r w:rsidRPr="00F31245">
        <w:rPr>
          <w:b/>
          <w:szCs w:val="22"/>
        </w:rPr>
        <w:t xml:space="preserve">Slovenské elektrárne, </w:t>
      </w:r>
      <w:proofErr w:type="spellStart"/>
      <w:r w:rsidRPr="00F31245">
        <w:rPr>
          <w:b/>
          <w:szCs w:val="22"/>
        </w:rPr>
        <w:t>a.s</w:t>
      </w:r>
      <w:proofErr w:type="spellEnd"/>
      <w:r w:rsidRPr="00F31245">
        <w:rPr>
          <w:b/>
          <w:szCs w:val="22"/>
        </w:rPr>
        <w:t>. (ďalej „SE“)</w:t>
      </w:r>
    </w:p>
    <w:p w14:paraId="1F98B544" w14:textId="10DB2A1E" w:rsidR="00FA1620" w:rsidRDefault="00FA1620" w:rsidP="00886720">
      <w:pPr>
        <w:spacing w:after="120" w:line="240" w:lineRule="auto"/>
        <w:jc w:val="both"/>
        <w:rPr>
          <w:szCs w:val="22"/>
        </w:rPr>
      </w:pPr>
      <w:r w:rsidRPr="00C96A70">
        <w:rPr>
          <w:szCs w:val="22"/>
        </w:rPr>
        <w:t>Štruktúra zmien vlastného imania sa vyvíjala počas sledovaného obdobia rôznorodo. Kým do roku 2021 bola významným prvkom s negatívnym vplyvom na vývoj zmeny stavu vlastného imania  položka precenenie, od roku 2022 sa jej vplyv zmenil na pozitívny.  V rokoch 2020 a 2021 malo negatívny vplyv  na vlastné imanie precenenie zabezpečenia peňažných tokov</w:t>
      </w:r>
      <w:r w:rsidRPr="00886720">
        <w:rPr>
          <w:szCs w:val="22"/>
        </w:rPr>
        <w:footnoteReference w:id="29"/>
      </w:r>
      <w:r w:rsidRPr="00C96A70">
        <w:rPr>
          <w:szCs w:val="22"/>
        </w:rPr>
        <w:t xml:space="preserve"> a aktualizácia stavu rezerv na vyraďovanie </w:t>
      </w:r>
      <w:r>
        <w:rPr>
          <w:szCs w:val="22"/>
        </w:rPr>
        <w:t>a likvidáciu jadrovoenergetických zariadení</w:t>
      </w:r>
      <w:r w:rsidRPr="00C96A70">
        <w:rPr>
          <w:szCs w:val="22"/>
        </w:rPr>
        <w:t xml:space="preserve"> a tepelných elektrárn</w:t>
      </w:r>
      <w:r>
        <w:rPr>
          <w:szCs w:val="22"/>
        </w:rPr>
        <w:t>í</w:t>
      </w:r>
      <w:r w:rsidRPr="00C96A70">
        <w:rPr>
          <w:szCs w:val="22"/>
        </w:rPr>
        <w:t>, ktorých zmiernenie negatívneho vplyvu počas rokov 2020 a 2021 zaisťoval výsledok hospodárenia za bežné obdobie, generovaný vo forme zisku. Počas roka 2022 sa situácia zmenila na opačnú</w:t>
      </w:r>
      <w:r>
        <w:rPr>
          <w:szCs w:val="22"/>
        </w:rPr>
        <w:t>.</w:t>
      </w:r>
      <w:r w:rsidRPr="00C96A70">
        <w:rPr>
          <w:szCs w:val="22"/>
        </w:rPr>
        <w:t xml:space="preserve"> </w:t>
      </w:r>
      <w:r>
        <w:rPr>
          <w:szCs w:val="22"/>
        </w:rPr>
        <w:t>P</w:t>
      </w:r>
      <w:r w:rsidRPr="00C96A70">
        <w:rPr>
          <w:szCs w:val="22"/>
        </w:rPr>
        <w:t xml:space="preserve">recenenie zabezpečenia peňažných tokov a aktualizácia stavu rezerv na vyraďovanie </w:t>
      </w:r>
      <w:r>
        <w:rPr>
          <w:szCs w:val="22"/>
        </w:rPr>
        <w:t xml:space="preserve">a likvidáciu jadrovoenergetických zariadení </w:t>
      </w:r>
      <w:r w:rsidRPr="00C96A70">
        <w:rPr>
          <w:szCs w:val="22"/>
        </w:rPr>
        <w:t>a tepelných elektrárn</w:t>
      </w:r>
      <w:r>
        <w:rPr>
          <w:szCs w:val="22"/>
        </w:rPr>
        <w:t>í</w:t>
      </w:r>
      <w:r w:rsidRPr="00C96A70">
        <w:rPr>
          <w:szCs w:val="22"/>
        </w:rPr>
        <w:t xml:space="preserve"> vykázali pozitívny vplyv na vlastné imanie</w:t>
      </w:r>
      <w:r>
        <w:rPr>
          <w:szCs w:val="22"/>
        </w:rPr>
        <w:t>,</w:t>
      </w:r>
      <w:r w:rsidRPr="00C96A70">
        <w:rPr>
          <w:szCs w:val="22"/>
        </w:rPr>
        <w:t xml:space="preserve"> výsledok hospodárenia generovaný vo forme straty spôsobil zníženie konečného stavu vlastného imania. Vplyv ostatných položiek vzhľadom na veľkosť ich vplyvu možno považovať počas sledovaného obdobia za nevýznamný.</w:t>
      </w:r>
    </w:p>
    <w:p w14:paraId="42EB713A" w14:textId="26865244" w:rsidR="00D21DEA" w:rsidRPr="001B4DEC" w:rsidRDefault="0016158F" w:rsidP="00886720">
      <w:pPr>
        <w:spacing w:after="120" w:line="240" w:lineRule="auto"/>
        <w:jc w:val="both"/>
        <w:rPr>
          <w:b/>
          <w:color w:val="FF0000"/>
          <w:szCs w:val="22"/>
        </w:rPr>
      </w:pPr>
      <w:r>
        <w:rPr>
          <w:b/>
          <w:bCs/>
          <w:color w:val="4F81BD"/>
          <w:sz w:val="20"/>
          <w:szCs w:val="20"/>
          <w:lang w:eastAsia="sk-SK"/>
        </w:rPr>
        <w:t>Graf 8</w:t>
      </w:r>
      <w:r w:rsidRPr="002104CA">
        <w:rPr>
          <w:b/>
          <w:bCs/>
          <w:color w:val="4F81BD"/>
          <w:sz w:val="20"/>
          <w:szCs w:val="20"/>
          <w:lang w:eastAsia="sk-SK"/>
        </w:rPr>
        <w:t xml:space="preserve"> </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Vývoj zmien imania SE, a. s.</w:t>
      </w:r>
    </w:p>
    <w:p w14:paraId="406EAAF3" w14:textId="77777777" w:rsidR="00FA1620" w:rsidRPr="001B4DEC" w:rsidRDefault="00FA1620" w:rsidP="00FA1620">
      <w:pPr>
        <w:spacing w:after="120" w:line="336" w:lineRule="auto"/>
        <w:jc w:val="center"/>
        <w:rPr>
          <w:b/>
          <w:color w:val="FF0000"/>
          <w:szCs w:val="22"/>
        </w:rPr>
      </w:pPr>
      <w:r>
        <w:rPr>
          <w:b/>
          <w:noProof/>
          <w:color w:val="FF0000"/>
          <w:szCs w:val="22"/>
          <w:lang w:eastAsia="sk-SK"/>
        </w:rPr>
        <w:drawing>
          <wp:inline distT="0" distB="0" distL="0" distR="0" wp14:anchorId="2DD19A1D" wp14:editId="5D12184F">
            <wp:extent cx="5690926" cy="3333727"/>
            <wp:effectExtent l="0" t="0" r="5080" b="63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117" cy="3339697"/>
                    </a:xfrm>
                    <a:prstGeom prst="rect">
                      <a:avLst/>
                    </a:prstGeom>
                    <a:noFill/>
                  </pic:spPr>
                </pic:pic>
              </a:graphicData>
            </a:graphic>
          </wp:inline>
        </w:drawing>
      </w:r>
    </w:p>
    <w:p w14:paraId="70A108EC" w14:textId="731D75CD" w:rsidR="00FA1620" w:rsidRPr="00EC636C" w:rsidRDefault="00FA1620" w:rsidP="00886720">
      <w:pPr>
        <w:spacing w:after="120" w:line="240" w:lineRule="auto"/>
        <w:jc w:val="both"/>
        <w:rPr>
          <w:szCs w:val="22"/>
        </w:rPr>
      </w:pPr>
      <w:r w:rsidRPr="00EC636C">
        <w:rPr>
          <w:szCs w:val="22"/>
        </w:rPr>
        <w:t>Vlastné imanie SE sa v roku 2022 zvýšilo opr</w:t>
      </w:r>
      <w:r w:rsidR="00957E78">
        <w:rPr>
          <w:szCs w:val="22"/>
        </w:rPr>
        <w:t>oti predchádzajúcemu roku o 368 758 </w:t>
      </w:r>
      <w:r w:rsidRPr="00EC636C">
        <w:rPr>
          <w:szCs w:val="22"/>
        </w:rPr>
        <w:t>tis. eur najmä vplyvom čistej zmeny zabezpečenia peňažných tokov</w:t>
      </w:r>
      <w:r w:rsidR="00957E78">
        <w:rPr>
          <w:szCs w:val="22"/>
        </w:rPr>
        <w:t xml:space="preserve"> vo výške 556 175 tis. </w:t>
      </w:r>
      <w:r w:rsidRPr="00EC636C">
        <w:rPr>
          <w:szCs w:val="22"/>
        </w:rPr>
        <w:t>eur a aktualizácie stavu rezervy na</w:t>
      </w:r>
      <w:r w:rsidRPr="00E84B77">
        <w:rPr>
          <w:szCs w:val="22"/>
        </w:rPr>
        <w:t xml:space="preserve"> </w:t>
      </w:r>
      <w:r w:rsidRPr="00C96A70">
        <w:rPr>
          <w:szCs w:val="22"/>
        </w:rPr>
        <w:t>vyraďovanie</w:t>
      </w:r>
      <w:r>
        <w:rPr>
          <w:szCs w:val="22"/>
        </w:rPr>
        <w:t xml:space="preserve"> a</w:t>
      </w:r>
      <w:r w:rsidRPr="00EC636C">
        <w:rPr>
          <w:szCs w:val="22"/>
        </w:rPr>
        <w:t xml:space="preserve"> </w:t>
      </w:r>
      <w:r>
        <w:rPr>
          <w:szCs w:val="22"/>
        </w:rPr>
        <w:t xml:space="preserve">likvidáciu jadrovoenergetických zariadení a </w:t>
      </w:r>
      <w:r w:rsidRPr="00EC636C">
        <w:rPr>
          <w:szCs w:val="22"/>
        </w:rPr>
        <w:t>tepel</w:t>
      </w:r>
      <w:r w:rsidR="00957E78">
        <w:rPr>
          <w:szCs w:val="22"/>
        </w:rPr>
        <w:t>ných elektrární vo výške 30 967 tis. </w:t>
      </w:r>
      <w:r w:rsidRPr="00EC636C">
        <w:rPr>
          <w:szCs w:val="22"/>
        </w:rPr>
        <w:t xml:space="preserve">eur, </w:t>
      </w:r>
      <w:r w:rsidRPr="00EC636C">
        <w:rPr>
          <w:szCs w:val="22"/>
        </w:rPr>
        <w:lastRenderedPageBreak/>
        <w:t>ktorých pozitívny vplyv čiastočne zmiernil negatívny vplyv precenenia zamestnaneckých požitkov a dlhodobého majetku vo výške 2 211 tis. eur. Negatívny vplyv zaznamenal aj výsledok hospodárenia za bežné obdobie generova</w:t>
      </w:r>
      <w:r w:rsidR="00957E78">
        <w:rPr>
          <w:szCs w:val="22"/>
        </w:rPr>
        <w:t>ný vo forme straty vo výške 216 860 tis. </w:t>
      </w:r>
      <w:r w:rsidRPr="00EC636C">
        <w:rPr>
          <w:szCs w:val="22"/>
        </w:rPr>
        <w:t xml:space="preserve">eur. </w:t>
      </w:r>
    </w:p>
    <w:p w14:paraId="6CE049C1" w14:textId="072C7AE0" w:rsidR="00FA1620" w:rsidRPr="003D12AA" w:rsidRDefault="00FA1620" w:rsidP="00886720">
      <w:pPr>
        <w:spacing w:after="120" w:line="240" w:lineRule="auto"/>
        <w:jc w:val="both"/>
        <w:rPr>
          <w:szCs w:val="22"/>
        </w:rPr>
      </w:pPr>
      <w:r w:rsidRPr="00EC636C">
        <w:rPr>
          <w:szCs w:val="22"/>
        </w:rPr>
        <w:t>Čist</w:t>
      </w:r>
      <w:r>
        <w:rPr>
          <w:szCs w:val="22"/>
        </w:rPr>
        <w:t>á zmena</w:t>
      </w:r>
      <w:r w:rsidRPr="00EC636C">
        <w:rPr>
          <w:szCs w:val="22"/>
        </w:rPr>
        <w:t xml:space="preserve"> zabezpečenia peňažných tokov, ktor</w:t>
      </w:r>
      <w:r>
        <w:rPr>
          <w:szCs w:val="22"/>
        </w:rPr>
        <w:t>á</w:t>
      </w:r>
      <w:r w:rsidRPr="00EC636C">
        <w:rPr>
          <w:szCs w:val="22"/>
        </w:rPr>
        <w:t xml:space="preserve"> v rámci zmeny stavu vlastného imania zaznamenala </w:t>
      </w:r>
      <w:r>
        <w:rPr>
          <w:szCs w:val="22"/>
        </w:rPr>
        <w:t>pozitívny vplyv vo výške</w:t>
      </w:r>
      <w:r w:rsidR="00957E78">
        <w:rPr>
          <w:szCs w:val="22"/>
        </w:rPr>
        <w:t> 556 175 tis. </w:t>
      </w:r>
      <w:r w:rsidRPr="00EC636C">
        <w:rPr>
          <w:szCs w:val="22"/>
        </w:rPr>
        <w:t>eur</w:t>
      </w:r>
      <w:r>
        <w:rPr>
          <w:szCs w:val="22"/>
        </w:rPr>
        <w:t>,</w:t>
      </w:r>
      <w:r w:rsidRPr="00EC636C">
        <w:rPr>
          <w:szCs w:val="22"/>
        </w:rPr>
        <w:t xml:space="preserve"> </w:t>
      </w:r>
      <w:r>
        <w:rPr>
          <w:szCs w:val="22"/>
        </w:rPr>
        <w:t>bola</w:t>
      </w:r>
      <w:r w:rsidRPr="003D12AA">
        <w:rPr>
          <w:szCs w:val="22"/>
        </w:rPr>
        <w:t xml:space="preserve"> dôsled</w:t>
      </w:r>
      <w:r>
        <w:rPr>
          <w:szCs w:val="22"/>
        </w:rPr>
        <w:t>kom</w:t>
      </w:r>
      <w:r w:rsidRPr="003D12AA">
        <w:rPr>
          <w:szCs w:val="22"/>
        </w:rPr>
        <w:t xml:space="preserve"> preceneni</w:t>
      </w:r>
      <w:r>
        <w:rPr>
          <w:szCs w:val="22"/>
        </w:rPr>
        <w:t>a</w:t>
      </w:r>
      <w:r w:rsidRPr="003D12AA">
        <w:rPr>
          <w:szCs w:val="22"/>
        </w:rPr>
        <w:t xml:space="preserve"> forwardov na elektrinu</w:t>
      </w:r>
      <w:r w:rsidRPr="00886720">
        <w:rPr>
          <w:vertAlign w:val="superscript"/>
        </w:rPr>
        <w:footnoteReference w:id="30"/>
      </w:r>
      <w:r w:rsidRPr="003D12AA">
        <w:rPr>
          <w:szCs w:val="22"/>
        </w:rPr>
        <w:t xml:space="preserve"> (rast</w:t>
      </w:r>
      <w:r>
        <w:rPr>
          <w:szCs w:val="22"/>
        </w:rPr>
        <w:t xml:space="preserve"> </w:t>
      </w:r>
      <w:r>
        <w:rPr>
          <w:szCs w:val="22"/>
        </w:rPr>
        <w:br/>
      </w:r>
      <w:r w:rsidRPr="003D12AA">
        <w:rPr>
          <w:szCs w:val="22"/>
        </w:rPr>
        <w:t>z</w:t>
      </w:r>
      <w:r>
        <w:rPr>
          <w:szCs w:val="22"/>
        </w:rPr>
        <w:t>  -</w:t>
      </w:r>
      <w:r w:rsidR="00957E78">
        <w:rPr>
          <w:szCs w:val="22"/>
        </w:rPr>
        <w:t>2 615 363 tis. </w:t>
      </w:r>
      <w:r w:rsidRPr="003D12AA">
        <w:rPr>
          <w:szCs w:val="22"/>
        </w:rPr>
        <w:t>eur v roku 2021 na</w:t>
      </w:r>
      <w:r w:rsidR="00957E78">
        <w:rPr>
          <w:szCs w:val="22"/>
        </w:rPr>
        <w:t xml:space="preserve"> 613 740 tis. </w:t>
      </w:r>
      <w:r>
        <w:rPr>
          <w:szCs w:val="22"/>
        </w:rPr>
        <w:t>eur v roku 2022</w:t>
      </w:r>
      <w:r w:rsidRPr="003D12AA">
        <w:rPr>
          <w:szCs w:val="22"/>
        </w:rPr>
        <w:t xml:space="preserve">).  </w:t>
      </w:r>
    </w:p>
    <w:p w14:paraId="737A7369" w14:textId="33EB4B98" w:rsidR="00FA1620" w:rsidRDefault="00FA1620" w:rsidP="00886720">
      <w:pPr>
        <w:spacing w:after="120" w:line="240" w:lineRule="auto"/>
        <w:jc w:val="both"/>
        <w:rPr>
          <w:szCs w:val="22"/>
        </w:rPr>
      </w:pPr>
      <w:r w:rsidRPr="008A3CB9">
        <w:rPr>
          <w:szCs w:val="22"/>
        </w:rPr>
        <w:t>Medziročne sa zmenil výsledok hospod</w:t>
      </w:r>
      <w:r w:rsidR="00957E78">
        <w:rPr>
          <w:szCs w:val="22"/>
        </w:rPr>
        <w:t>árenia zo zisku vo výške 32 827 </w:t>
      </w:r>
      <w:r w:rsidRPr="008A3CB9">
        <w:rPr>
          <w:szCs w:val="22"/>
        </w:rPr>
        <w:t>tis</w:t>
      </w:r>
      <w:r w:rsidR="00957E78">
        <w:rPr>
          <w:szCs w:val="22"/>
        </w:rPr>
        <w:t>. </w:t>
      </w:r>
      <w:r w:rsidRPr="008A3CB9">
        <w:rPr>
          <w:szCs w:val="22"/>
        </w:rPr>
        <w:t>eur (r</w:t>
      </w:r>
      <w:r w:rsidR="00957E78">
        <w:rPr>
          <w:szCs w:val="22"/>
        </w:rPr>
        <w:t xml:space="preserve">ok 2021) na stratu vo výške 216 860 tis. eur </w:t>
      </w:r>
      <w:r w:rsidRPr="008A3CB9">
        <w:rPr>
          <w:szCs w:val="22"/>
        </w:rPr>
        <w:t xml:space="preserve">(rok 2022).  </w:t>
      </w:r>
      <w:r>
        <w:rPr>
          <w:szCs w:val="22"/>
        </w:rPr>
        <w:t>Negatívnu me</w:t>
      </w:r>
      <w:r w:rsidR="00957E78">
        <w:rPr>
          <w:szCs w:val="22"/>
        </w:rPr>
        <w:t>dziročnú zmenu vo výške 249 687 tis. </w:t>
      </w:r>
      <w:r>
        <w:rPr>
          <w:szCs w:val="22"/>
        </w:rPr>
        <w:t xml:space="preserve">eur spôsobil najmä rast nákladov na nákup elektrickej energie určenej na predaj. Náklady medziročne vzrástli o 169,7 % vplyvom zníženého objemu výroby v elektrárni Nováky, neplánovaných odstávok v elektrárni Vojany a Bohunice, vplyvom časového posunu v spúšťaní nového bloku jadrovej elektrárne Mochovce ako aj zníženého objemu výroby elektriny vo vodných elektrárňach v dôsledku nepriaznivej hydrologickej situácie. Všetky uvedené dôvody mali za následok potrebu dokupovania elektrickej energie na trhu za enormne vysoké ceny, ktoré so sebou priniesla energetická kríza vyvolaná vojnou na Ukrajine. Negatívny vplyv posilnila aj nemožnosť </w:t>
      </w:r>
      <w:proofErr w:type="spellStart"/>
      <w:r>
        <w:rPr>
          <w:szCs w:val="22"/>
        </w:rPr>
        <w:t>swapovať</w:t>
      </w:r>
      <w:proofErr w:type="spellEnd"/>
      <w:r>
        <w:rPr>
          <w:szCs w:val="22"/>
        </w:rPr>
        <w:t xml:space="preserve"> obchodnú pozíciu z dôvodu uzavretia memoranda so štátom o dodávke elektriny pre domácnosti na rok 2023 a 2024 za zvýhodnených podmienok.</w:t>
      </w:r>
    </w:p>
    <w:p w14:paraId="3BAA7E8D" w14:textId="77777777" w:rsidR="00FA1620" w:rsidRDefault="00FA1620" w:rsidP="00886720">
      <w:pPr>
        <w:spacing w:after="120" w:line="240" w:lineRule="auto"/>
        <w:jc w:val="both"/>
        <w:rPr>
          <w:szCs w:val="22"/>
        </w:rPr>
      </w:pPr>
      <w:r>
        <w:rPr>
          <w:szCs w:val="22"/>
        </w:rPr>
        <w:t>Negatívny vplyv vysokých nákupných cien elektrickej energie iba čiastočne zmiernilo zvýšenie výnosov z predaja elektrickej energie, ktoré vzrástli o 78,0 % (pričom 95,0 % dodanej elektriny do sústavy bola elektrina vyrobená bez skleníkových efektov).</w:t>
      </w:r>
    </w:p>
    <w:p w14:paraId="16C5C75C" w14:textId="77777777" w:rsidR="00FA1620" w:rsidRPr="00886720" w:rsidRDefault="00FA1620" w:rsidP="00886720">
      <w:pPr>
        <w:spacing w:after="120" w:line="240" w:lineRule="auto"/>
        <w:jc w:val="both"/>
        <w:rPr>
          <w:szCs w:val="22"/>
        </w:rPr>
      </w:pPr>
      <w:r w:rsidRPr="003D3B2C">
        <w:rPr>
          <w:szCs w:val="22"/>
        </w:rPr>
        <w:t xml:space="preserve">Negatívny vplyv trhových cien elektrickej energie zmiernili aj výnosy </w:t>
      </w:r>
      <w:r>
        <w:rPr>
          <w:szCs w:val="22"/>
        </w:rPr>
        <w:t>z</w:t>
      </w:r>
      <w:r w:rsidRPr="003D3B2C">
        <w:rPr>
          <w:szCs w:val="22"/>
        </w:rPr>
        <w:t> komoditných derivátov</w:t>
      </w:r>
      <w:r>
        <w:rPr>
          <w:szCs w:val="22"/>
        </w:rPr>
        <w:t xml:space="preserve"> uzatváraných za účelom ekonomického zabezpečenia voči </w:t>
      </w:r>
      <w:proofErr w:type="spellStart"/>
      <w:r>
        <w:rPr>
          <w:szCs w:val="22"/>
        </w:rPr>
        <w:t>volatilite</w:t>
      </w:r>
      <w:proofErr w:type="spellEnd"/>
      <w:r>
        <w:rPr>
          <w:szCs w:val="22"/>
        </w:rPr>
        <w:t xml:space="preserve"> cien obchodovaných komodít a pozitívny vplyv vykázala aj aktualizácia stavu rezervy na skladovanie a ukladanie vyhoretého jadrového paliva.</w:t>
      </w:r>
      <w:r w:rsidRPr="00886720">
        <w:rPr>
          <w:szCs w:val="22"/>
        </w:rPr>
        <w:t xml:space="preserve"> </w:t>
      </w:r>
    </w:p>
    <w:p w14:paraId="3C7DC99F" w14:textId="77777777" w:rsidR="00FA1620" w:rsidRPr="00A13306" w:rsidRDefault="00FA1620" w:rsidP="00886720">
      <w:pPr>
        <w:spacing w:after="120" w:line="240" w:lineRule="auto"/>
        <w:jc w:val="both"/>
        <w:rPr>
          <w:szCs w:val="22"/>
        </w:rPr>
      </w:pPr>
      <w:r w:rsidRPr="00A13306">
        <w:rPr>
          <w:szCs w:val="22"/>
        </w:rPr>
        <w:t>Práce na dostavb</w:t>
      </w:r>
      <w:r>
        <w:rPr>
          <w:szCs w:val="22"/>
        </w:rPr>
        <w:t>e</w:t>
      </w:r>
      <w:r w:rsidRPr="00A13306">
        <w:rPr>
          <w:szCs w:val="22"/>
        </w:rPr>
        <w:t xml:space="preserve"> 3. a 4. bloku jadrovej elektrárne Mochovce sa počas roka 2022 zintenzívnili. 3. blok po získaní povolenia pre uvádzanie jadrového zariadenia do prevádzky a zavezení paliva, prešiel do fázy fyzikálneho </w:t>
      </w:r>
      <w:r>
        <w:rPr>
          <w:szCs w:val="22"/>
        </w:rPr>
        <w:t>spúšťania. Dňa 10. februára 2023 bola na 3. bloku ukončená fáza energetického spúšťania (pri výkone 20 %) a zvýšil sa výkon na 35 %, k 17. júlu 2023 prešiel 3. blok do fázy pri 75 % výkone</w:t>
      </w:r>
      <w:r w:rsidRPr="00A13306">
        <w:rPr>
          <w:szCs w:val="22"/>
        </w:rPr>
        <w:t xml:space="preserve">. Súčasne s tým boli na 4. bloku postúpené práce na úroveň 91,2 %. </w:t>
      </w:r>
    </w:p>
    <w:p w14:paraId="40ACB141" w14:textId="37046B61" w:rsidR="00FA1620" w:rsidRDefault="00FA1620" w:rsidP="00886720">
      <w:pPr>
        <w:spacing w:after="120" w:line="240" w:lineRule="auto"/>
        <w:jc w:val="both"/>
        <w:rPr>
          <w:szCs w:val="22"/>
        </w:rPr>
      </w:pPr>
      <w:r w:rsidRPr="003D3B2C">
        <w:rPr>
          <w:szCs w:val="22"/>
        </w:rPr>
        <w:t xml:space="preserve">Dňa 16. februára 2022 uzavreli Ministerstvo hospodárstva SR, Ministerstvo financií SR a majoritný akcionár SE Slovak </w:t>
      </w:r>
      <w:proofErr w:type="spellStart"/>
      <w:r w:rsidRPr="003D3B2C">
        <w:rPr>
          <w:szCs w:val="22"/>
        </w:rPr>
        <w:t>Power</w:t>
      </w:r>
      <w:proofErr w:type="spellEnd"/>
      <w:r w:rsidRPr="003D3B2C">
        <w:rPr>
          <w:szCs w:val="22"/>
        </w:rPr>
        <w:t xml:space="preserve"> Holding B.V. Memorandum o</w:t>
      </w:r>
      <w:r>
        <w:rPr>
          <w:szCs w:val="22"/>
        </w:rPr>
        <w:t> </w:t>
      </w:r>
      <w:r w:rsidRPr="003D3B2C">
        <w:rPr>
          <w:szCs w:val="22"/>
        </w:rPr>
        <w:t>porozumení</w:t>
      </w:r>
      <w:r>
        <w:rPr>
          <w:szCs w:val="22"/>
        </w:rPr>
        <w:t>,</w:t>
      </w:r>
      <w:r w:rsidRPr="003D3B2C">
        <w:rPr>
          <w:szCs w:val="22"/>
        </w:rPr>
        <w:t xml:space="preserve"> o implementácii mimoriadnych opatrení na elimináciu dopadu rastu cien elektrickej energie na vybrané skupiny odberateľov. Na základe Memoranda sa predpokladá, že SE dodá elektrinu vybraným skupinám odb</w:t>
      </w:r>
      <w:r w:rsidR="00957E78">
        <w:rPr>
          <w:szCs w:val="22"/>
        </w:rPr>
        <w:t>erateľom v úhrnom množstve 6,15 </w:t>
      </w:r>
      <w:proofErr w:type="spellStart"/>
      <w:r w:rsidRPr="003D3B2C">
        <w:rPr>
          <w:szCs w:val="22"/>
        </w:rPr>
        <w:t>TWh</w:t>
      </w:r>
      <w:proofErr w:type="spellEnd"/>
      <w:r w:rsidRPr="003D3B2C">
        <w:rPr>
          <w:szCs w:val="22"/>
        </w:rPr>
        <w:t xml:space="preserve"> v  rokoch 2023 – </w:t>
      </w:r>
      <w:r>
        <w:rPr>
          <w:szCs w:val="22"/>
        </w:rPr>
        <w:t>20</w:t>
      </w:r>
      <w:r w:rsidRPr="003D3B2C">
        <w:rPr>
          <w:szCs w:val="22"/>
        </w:rPr>
        <w:t xml:space="preserve">24 za fixnú cenu 61,2077 za MWh v produkte </w:t>
      </w:r>
      <w:proofErr w:type="spellStart"/>
      <w:r w:rsidRPr="003D3B2C">
        <w:rPr>
          <w:szCs w:val="22"/>
        </w:rPr>
        <w:t>baseload</w:t>
      </w:r>
      <w:proofErr w:type="spellEnd"/>
      <w:r w:rsidR="001947F5">
        <w:rPr>
          <w:rStyle w:val="Odkaznapoznmkupodiarou"/>
          <w:szCs w:val="22"/>
        </w:rPr>
        <w:footnoteReference w:id="31"/>
      </w:r>
      <w:r w:rsidRPr="003D3B2C">
        <w:rPr>
          <w:szCs w:val="22"/>
        </w:rPr>
        <w:t>.</w:t>
      </w:r>
      <w:r>
        <w:rPr>
          <w:szCs w:val="22"/>
        </w:rPr>
        <w:t xml:space="preserve"> Začiatkom roka 2023 bol medzi zúčastnenými stranami, podpísaný Dodatok k spomenutému memorandu, ktorý rozširuje obdobie poskytovania elektriny za zvýhodnených podmienok vybraným skupinám obyvateľov na dlhšie obdobie. Na základe požiadavky Ministerstva hospo</w:t>
      </w:r>
      <w:r w:rsidRPr="003D3B2C">
        <w:rPr>
          <w:szCs w:val="22"/>
        </w:rPr>
        <w:t>dárstva SR</w:t>
      </w:r>
      <w:r>
        <w:rPr>
          <w:szCs w:val="22"/>
        </w:rPr>
        <w:t xml:space="preserve"> sa poskytne elektrina v produkte </w:t>
      </w:r>
      <w:proofErr w:type="spellStart"/>
      <w:r>
        <w:rPr>
          <w:szCs w:val="22"/>
        </w:rPr>
        <w:t>baseload</w:t>
      </w:r>
      <w:proofErr w:type="spellEnd"/>
      <w:r>
        <w:rPr>
          <w:szCs w:val="22"/>
        </w:rPr>
        <w:t xml:space="preserve"> v objeme 5,5 </w:t>
      </w:r>
      <w:proofErr w:type="spellStart"/>
      <w:r>
        <w:rPr>
          <w:szCs w:val="22"/>
        </w:rPr>
        <w:t>TWh</w:t>
      </w:r>
      <w:proofErr w:type="spellEnd"/>
      <w:r>
        <w:rPr>
          <w:szCs w:val="22"/>
        </w:rPr>
        <w:t xml:space="preserve"> za nasledovné ceny</w:t>
      </w:r>
      <w:r w:rsidR="00957E78">
        <w:rPr>
          <w:szCs w:val="22"/>
        </w:rPr>
        <w:t xml:space="preserve"> v jednotlivých rokoch: 66,7 </w:t>
      </w:r>
      <w:r w:rsidRPr="006F11D0">
        <w:rPr>
          <w:szCs w:val="22"/>
        </w:rPr>
        <w:t>EUR/MWh v</w:t>
      </w:r>
      <w:r w:rsidR="00957E78">
        <w:rPr>
          <w:szCs w:val="22"/>
        </w:rPr>
        <w:t xml:space="preserve"> roku 2025, 72,7 EUR/MWh v roku 2026 a 79,3 </w:t>
      </w:r>
      <w:r w:rsidRPr="006F11D0">
        <w:rPr>
          <w:szCs w:val="22"/>
        </w:rPr>
        <w:t>EUR/MWh v roku 2027.</w:t>
      </w:r>
    </w:p>
    <w:p w14:paraId="3C18D1F2" w14:textId="77777777" w:rsidR="00FA1620" w:rsidRPr="00F31245" w:rsidRDefault="00FA1620" w:rsidP="00FA1620">
      <w:pPr>
        <w:spacing w:after="120" w:line="336" w:lineRule="auto"/>
        <w:jc w:val="both"/>
        <w:rPr>
          <w:szCs w:val="22"/>
        </w:rPr>
      </w:pPr>
      <w:r w:rsidRPr="00F31245">
        <w:rPr>
          <w:b/>
          <w:szCs w:val="22"/>
        </w:rPr>
        <w:t xml:space="preserve">Slovenský plynárenský priemysel, </w:t>
      </w:r>
      <w:proofErr w:type="spellStart"/>
      <w:r w:rsidRPr="00F31245">
        <w:rPr>
          <w:b/>
          <w:szCs w:val="22"/>
        </w:rPr>
        <w:t>a.s</w:t>
      </w:r>
      <w:proofErr w:type="spellEnd"/>
      <w:r w:rsidRPr="00F31245">
        <w:rPr>
          <w:b/>
          <w:szCs w:val="22"/>
        </w:rPr>
        <w:t xml:space="preserve">. </w:t>
      </w:r>
      <w:r w:rsidRPr="00F31245">
        <w:rPr>
          <w:szCs w:val="22"/>
        </w:rPr>
        <w:t>(ďalej „SPP“)</w:t>
      </w:r>
    </w:p>
    <w:p w14:paraId="1F3B07C2" w14:textId="77777777" w:rsidR="00FA1620" w:rsidRDefault="00FA1620" w:rsidP="00886720">
      <w:pPr>
        <w:spacing w:after="120" w:line="240" w:lineRule="auto"/>
        <w:jc w:val="both"/>
        <w:rPr>
          <w:szCs w:val="22"/>
        </w:rPr>
      </w:pPr>
      <w:r w:rsidRPr="008C753C">
        <w:rPr>
          <w:szCs w:val="22"/>
        </w:rPr>
        <w:t>Štruktúra zmien vlastného imania sa počas rokov 2020 -21  vyvíjala stabilne, výsledok bežného obdobia a vplyv precenenia ako pozitívna zmena stavu a výplata dividend s negatívnym dopadom na stav vlastného imania. Hlavným zdrojom tvorby výsledku bežného obdobia generovaného počas rokov 2020-21 vo forme zisku, boli výnosy z prijatých dividend od spoločných a pridružených podnikov. Zisk pritom nezostáva</w:t>
      </w:r>
      <w:r>
        <w:rPr>
          <w:szCs w:val="22"/>
        </w:rPr>
        <w:t>l</w:t>
      </w:r>
      <w:r w:rsidRPr="008C753C">
        <w:rPr>
          <w:szCs w:val="22"/>
        </w:rPr>
        <w:t xml:space="preserve"> ponechaný v skupine SPP, ale </w:t>
      </w:r>
      <w:r>
        <w:rPr>
          <w:szCs w:val="22"/>
        </w:rPr>
        <w:t>bol</w:t>
      </w:r>
      <w:r w:rsidRPr="008C753C">
        <w:rPr>
          <w:szCs w:val="22"/>
        </w:rPr>
        <w:t xml:space="preserve"> použitý na výplatu dividend pre akcionárov. </w:t>
      </w:r>
      <w:r>
        <w:rPr>
          <w:szCs w:val="22"/>
        </w:rPr>
        <w:t xml:space="preserve">Počas roku 2022 sa však situácia, vplyvom vojny na Ukrajine, energetickej krízy ako aj vplyvom inflácie, zmenila. Pozitívny vplyv zisku a precenenia zostali zachované, ako aj negatívny vplyv priznaných dividend akcionárovi, no vplyvom vývoja na trhu s energiami možno pozorovať výrazný pokles výšky dosiahnutého zisku. Zdrojom </w:t>
      </w:r>
      <w:r>
        <w:rPr>
          <w:szCs w:val="22"/>
        </w:rPr>
        <w:lastRenderedPageBreak/>
        <w:t>generovaného zisku už neboli výnosy z prijatých dividend (z dôvodu vysokej nestability trhu z energiami), ale samotná prevádzková činnosť SPP. Z dôvodu vysokej nestability trhu z energiami, ktorú vnímal aj samotný akcionár SPP bolo zo strany akcionára zrealizované počas roku 2022 posilnenie finančnej pozície SPP formou príspevku akcionára do kapitálového fondu tvoreného príspevkami akcionára pre riešenie potencionálnych kritických situácií na trhu s energiami počas zimných mesiacov.</w:t>
      </w:r>
    </w:p>
    <w:p w14:paraId="504365D4" w14:textId="77777777" w:rsidR="0016158F" w:rsidRDefault="00FA1620" w:rsidP="0016158F">
      <w:pPr>
        <w:spacing w:after="120" w:line="240" w:lineRule="auto"/>
        <w:jc w:val="both"/>
        <w:rPr>
          <w:szCs w:val="22"/>
        </w:rPr>
      </w:pPr>
      <w:r w:rsidRPr="008C753C">
        <w:rPr>
          <w:szCs w:val="22"/>
        </w:rPr>
        <w:t>Zastúpenie ostatných položiek v rámci štruktúry je možné počas sledovaného obdobia považovať, vzhľadom na veľkosť ich vplyvu, za nevýznamné.</w:t>
      </w:r>
    </w:p>
    <w:p w14:paraId="021EEFC9" w14:textId="49BF7048" w:rsidR="00FA1620" w:rsidRPr="001B4DEC" w:rsidRDefault="0016158F" w:rsidP="0016158F">
      <w:pPr>
        <w:spacing w:after="0" w:line="240" w:lineRule="auto"/>
        <w:rPr>
          <w:b/>
          <w:color w:val="FF0000"/>
          <w:szCs w:val="22"/>
        </w:rPr>
      </w:pPr>
      <w:r>
        <w:rPr>
          <w:b/>
          <w:bCs/>
          <w:color w:val="4F81BD"/>
          <w:sz w:val="20"/>
          <w:szCs w:val="20"/>
          <w:lang w:eastAsia="sk-SK"/>
        </w:rPr>
        <w:t>Graf 9</w:t>
      </w:r>
      <w:r w:rsidRPr="002104CA">
        <w:rPr>
          <w:b/>
          <w:bCs/>
          <w:color w:val="4F81BD"/>
          <w:sz w:val="20"/>
          <w:szCs w:val="20"/>
          <w:lang w:eastAsia="sk-SK"/>
        </w:rPr>
        <w:t xml:space="preserve"> </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Vývoj zmien imania SPP, a. s.</w:t>
      </w:r>
      <w:r w:rsidR="00FA1620">
        <w:rPr>
          <w:b/>
          <w:noProof/>
          <w:color w:val="FF0000"/>
          <w:szCs w:val="22"/>
          <w:lang w:eastAsia="sk-SK"/>
        </w:rPr>
        <w:drawing>
          <wp:inline distT="0" distB="0" distL="0" distR="0" wp14:anchorId="1A3B7D5F" wp14:editId="089B1169">
            <wp:extent cx="5851282" cy="3236181"/>
            <wp:effectExtent l="0" t="0" r="0" b="254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17115" cy="3272591"/>
                    </a:xfrm>
                    <a:prstGeom prst="rect">
                      <a:avLst/>
                    </a:prstGeom>
                    <a:noFill/>
                  </pic:spPr>
                </pic:pic>
              </a:graphicData>
            </a:graphic>
          </wp:inline>
        </w:drawing>
      </w:r>
    </w:p>
    <w:p w14:paraId="77E1B142" w14:textId="381DB7F1" w:rsidR="00FA1620" w:rsidRPr="00391EA8" w:rsidRDefault="0016158F" w:rsidP="00886720">
      <w:pPr>
        <w:spacing w:after="120" w:line="240" w:lineRule="auto"/>
        <w:jc w:val="both"/>
        <w:rPr>
          <w:szCs w:val="22"/>
        </w:rPr>
      </w:pPr>
      <w:r>
        <w:rPr>
          <w:szCs w:val="22"/>
        </w:rPr>
        <w:t>V</w:t>
      </w:r>
      <w:r w:rsidR="00FA1620" w:rsidRPr="00391EA8">
        <w:rPr>
          <w:szCs w:val="22"/>
        </w:rPr>
        <w:t>lastné imanie S</w:t>
      </w:r>
      <w:r w:rsidR="00957E78">
        <w:rPr>
          <w:szCs w:val="22"/>
        </w:rPr>
        <w:t>PP sa v roku 2022 zvýšilo o 365 325 tis. </w:t>
      </w:r>
      <w:r w:rsidR="00FA1620" w:rsidRPr="00391EA8">
        <w:rPr>
          <w:szCs w:val="22"/>
        </w:rPr>
        <w:t>eur najmä vplyvom príspevku akcionára do kapitálového fondu vo výške 500</w:t>
      </w:r>
      <w:r w:rsidR="00FA1620">
        <w:rPr>
          <w:szCs w:val="22"/>
        </w:rPr>
        <w:t xml:space="preserve"> 000 tis. </w:t>
      </w:r>
      <w:r w:rsidR="00FA1620" w:rsidRPr="00391EA8">
        <w:rPr>
          <w:szCs w:val="22"/>
        </w:rPr>
        <w:t>eur, precenenia</w:t>
      </w:r>
      <w:r w:rsidR="001947F5">
        <w:rPr>
          <w:rStyle w:val="Odkaznapoznmkupodiarou"/>
          <w:szCs w:val="22"/>
        </w:rPr>
        <w:footnoteReference w:id="32"/>
      </w:r>
      <w:r w:rsidR="00957E78">
        <w:rPr>
          <w:szCs w:val="22"/>
        </w:rPr>
        <w:t xml:space="preserve"> vo výške 64 083 tis. </w:t>
      </w:r>
      <w:r w:rsidR="00FA1620" w:rsidRPr="00391EA8">
        <w:rPr>
          <w:szCs w:val="22"/>
        </w:rPr>
        <w:t xml:space="preserve">eur a vplyvom dosiahnutého zisku </w:t>
      </w:r>
      <w:r w:rsidR="00957E78">
        <w:rPr>
          <w:szCs w:val="22"/>
        </w:rPr>
        <w:t>bežného obdobia vo výške 24 978 tis. </w:t>
      </w:r>
      <w:r w:rsidR="00FA1620" w:rsidRPr="00391EA8">
        <w:rPr>
          <w:szCs w:val="22"/>
        </w:rPr>
        <w:t>eur. Výšku pozitívnej medziročnej zmeny stavu vlastného imania negatívne ovplyvnilo priznanie dividend vo výške 2</w:t>
      </w:r>
      <w:r w:rsidR="00FA1620">
        <w:rPr>
          <w:szCs w:val="22"/>
        </w:rPr>
        <w:t>20</w:t>
      </w:r>
      <w:r w:rsidR="00FA1620" w:rsidRPr="00391EA8">
        <w:rPr>
          <w:szCs w:val="22"/>
        </w:rPr>
        <w:t> </w:t>
      </w:r>
      <w:r w:rsidR="00FA1620">
        <w:rPr>
          <w:szCs w:val="22"/>
        </w:rPr>
        <w:t>0</w:t>
      </w:r>
      <w:r w:rsidR="00FA1620" w:rsidRPr="00391EA8">
        <w:rPr>
          <w:szCs w:val="22"/>
        </w:rPr>
        <w:t>00 tis. eur</w:t>
      </w:r>
      <w:r w:rsidR="001947F5">
        <w:rPr>
          <w:rStyle w:val="Odkaznapoznmkupodiarou"/>
          <w:szCs w:val="22"/>
        </w:rPr>
        <w:footnoteReference w:id="33"/>
      </w:r>
      <w:r w:rsidR="00FA1620" w:rsidRPr="00391EA8">
        <w:rPr>
          <w:szCs w:val="22"/>
        </w:rPr>
        <w:t xml:space="preserve">. </w:t>
      </w:r>
    </w:p>
    <w:p w14:paraId="285A1682" w14:textId="4F18FF14" w:rsidR="00FA1620" w:rsidRPr="00391EA8" w:rsidRDefault="00FA1620" w:rsidP="00886720">
      <w:pPr>
        <w:spacing w:after="120" w:line="240" w:lineRule="auto"/>
        <w:jc w:val="both"/>
        <w:rPr>
          <w:szCs w:val="22"/>
        </w:rPr>
      </w:pPr>
      <w:r w:rsidRPr="00391EA8">
        <w:rPr>
          <w:szCs w:val="22"/>
        </w:rPr>
        <w:t>Zisk bežného obdobia klesol z úrovne 234 449 tis. eur</w:t>
      </w:r>
      <w:r w:rsidR="00957E78">
        <w:rPr>
          <w:szCs w:val="22"/>
        </w:rPr>
        <w:t xml:space="preserve"> (za rok 2021) na úroveň 24 978 tis. </w:t>
      </w:r>
      <w:r w:rsidRPr="00391EA8">
        <w:rPr>
          <w:szCs w:val="22"/>
        </w:rPr>
        <w:t>eur (za rok 2022) vplyvom nepriznania dividend zo spoločností skupiny SPP (</w:t>
      </w:r>
      <w:r>
        <w:rPr>
          <w:szCs w:val="22"/>
        </w:rPr>
        <w:t>valné zhromaždenie SPP </w:t>
      </w:r>
      <w:proofErr w:type="spellStart"/>
      <w:r>
        <w:rPr>
          <w:szCs w:val="22"/>
        </w:rPr>
        <w:t>Infrastructure</w:t>
      </w:r>
      <w:proofErr w:type="spellEnd"/>
      <w:r>
        <w:rPr>
          <w:szCs w:val="22"/>
        </w:rPr>
        <w:t xml:space="preserve">, </w:t>
      </w:r>
      <w:proofErr w:type="spellStart"/>
      <w:r>
        <w:rPr>
          <w:szCs w:val="22"/>
        </w:rPr>
        <w:t>a.s</w:t>
      </w:r>
      <w:proofErr w:type="spellEnd"/>
      <w:r>
        <w:rPr>
          <w:szCs w:val="22"/>
        </w:rPr>
        <w:t>. do konca roka 2022 nerozhodlo o použití zisku za obdobie končiace 30.09.2022</w:t>
      </w:r>
      <w:r w:rsidRPr="00391EA8">
        <w:rPr>
          <w:szCs w:val="22"/>
        </w:rPr>
        <w:t>).</w:t>
      </w:r>
    </w:p>
    <w:p w14:paraId="231E486E" w14:textId="10F9E3D7" w:rsidR="00FA1620" w:rsidRPr="00886720" w:rsidRDefault="00FA1620" w:rsidP="00886720">
      <w:pPr>
        <w:spacing w:after="120" w:line="240" w:lineRule="auto"/>
        <w:jc w:val="both"/>
        <w:rPr>
          <w:szCs w:val="22"/>
        </w:rPr>
      </w:pPr>
      <w:r w:rsidRPr="00106F4D">
        <w:rPr>
          <w:szCs w:val="22"/>
        </w:rPr>
        <w:t>K negatívnemu vplyvu nižších výnosov z prijatých dividend prispel svojím negatívnym vplyvom aj medziročný pokles prevádzkového výsledku hospodárenia, ktorý klesol o 17,0 %. Zisk z prevádzkovej činnosti bol negatívne ovplyvnený najmä výsledkom z obchodovania s energiami, ktorý medziro</w:t>
      </w:r>
      <w:r w:rsidR="00957E78">
        <w:rPr>
          <w:szCs w:val="22"/>
        </w:rPr>
        <w:t>čne klesol o viac ako 1 000 000 tis. </w:t>
      </w:r>
      <w:r w:rsidRPr="00106F4D">
        <w:rPr>
          <w:szCs w:val="22"/>
        </w:rPr>
        <w:t xml:space="preserve">eur.  </w:t>
      </w:r>
      <w:r>
        <w:rPr>
          <w:szCs w:val="22"/>
        </w:rPr>
        <w:t>Výsledok bol tvorený výnosmi z predaja plynu a elektriny, ktoré napriek medziročnému poklesu spotreby plynu na Slovensku (o 23,9 % vplyv úsporných opatrení odberateľov vyvolaných enormným rastom trhových cien energií) vzrástli o 105,8 % vplyvom medziročných zmien vo výške predajných cien plynu. N</w:t>
      </w:r>
      <w:r w:rsidRPr="00106F4D">
        <w:rPr>
          <w:szCs w:val="22"/>
        </w:rPr>
        <w:t xml:space="preserve">áklady na nákup energií medziročne vzrástli takmer </w:t>
      </w:r>
      <w:r>
        <w:rPr>
          <w:szCs w:val="22"/>
        </w:rPr>
        <w:t>dvoj</w:t>
      </w:r>
      <w:r w:rsidRPr="00106F4D">
        <w:rPr>
          <w:szCs w:val="22"/>
        </w:rPr>
        <w:t>násobne (vplyvom pokračujúcej vojny na Ukrajine, energetickej kríz</w:t>
      </w:r>
      <w:r>
        <w:rPr>
          <w:szCs w:val="22"/>
        </w:rPr>
        <w:t>y</w:t>
      </w:r>
      <w:r w:rsidRPr="00106F4D">
        <w:rPr>
          <w:szCs w:val="22"/>
        </w:rPr>
        <w:t>, rastúcej inflácie a potrebe rýchlej diverzifikácie zdrojov obstarania energií, najmä plynu)</w:t>
      </w:r>
      <w:r>
        <w:rPr>
          <w:szCs w:val="22"/>
        </w:rPr>
        <w:t>. V dôsledku nestabilných dodávok plynu zo strany dodávateľa Gazprom export LLC, SPP pristúpilo k vytvoreniu vysokého objemu zásob z </w:t>
      </w:r>
      <w:r w:rsidRPr="00CE284E">
        <w:rPr>
          <w:szCs w:val="22"/>
        </w:rPr>
        <w:t>diverzifikovaných zdrojov. Vysoká úroveň zásob, ktorá sa pohybuje na historických maximách, sa prejavila aj rastom nákladov na skladovanie a ostatných služieb (medziročný rast o 51,8</w:t>
      </w:r>
      <w:r>
        <w:rPr>
          <w:szCs w:val="22"/>
        </w:rPr>
        <w:t xml:space="preserve">  %</w:t>
      </w:r>
      <w:r w:rsidRPr="00CE284E">
        <w:rPr>
          <w:szCs w:val="22"/>
        </w:rPr>
        <w:t xml:space="preserve">). </w:t>
      </w:r>
      <w:r>
        <w:rPr>
          <w:szCs w:val="22"/>
        </w:rPr>
        <w:t xml:space="preserve"> Negatívny vplyv obchodovania s plynom SPP čiastočne eliminovalo využitím vývoja komoditných trhov. </w:t>
      </w:r>
      <w:proofErr w:type="spellStart"/>
      <w:r>
        <w:rPr>
          <w:szCs w:val="22"/>
        </w:rPr>
        <w:t>Reklasifikáciou</w:t>
      </w:r>
      <w:proofErr w:type="spellEnd"/>
      <w:r>
        <w:rPr>
          <w:szCs w:val="22"/>
        </w:rPr>
        <w:t xml:space="preserve"> časti zabezpečovaných derivátov </w:t>
      </w:r>
      <w:r>
        <w:rPr>
          <w:szCs w:val="22"/>
        </w:rPr>
        <w:lastRenderedPageBreak/>
        <w:t>z vlastného imania na nezabezpečené bol vykázaný zisk z derivátových operácii vo výške 1 004</w:t>
      </w:r>
      <w:r w:rsidR="00957E78">
        <w:rPr>
          <w:szCs w:val="22"/>
        </w:rPr>
        <w:t> </w:t>
      </w:r>
      <w:r>
        <w:rPr>
          <w:szCs w:val="22"/>
        </w:rPr>
        <w:t>557</w:t>
      </w:r>
      <w:r w:rsidR="00957E78">
        <w:rPr>
          <w:szCs w:val="22"/>
        </w:rPr>
        <w:t> tis. </w:t>
      </w:r>
      <w:r>
        <w:rPr>
          <w:szCs w:val="22"/>
        </w:rPr>
        <w:t xml:space="preserve">eur. </w:t>
      </w:r>
    </w:p>
    <w:p w14:paraId="5BCD5736" w14:textId="77777777" w:rsidR="00FA1620" w:rsidRPr="001872D4" w:rsidRDefault="00FA1620" w:rsidP="00886720">
      <w:pPr>
        <w:spacing w:after="120" w:line="240" w:lineRule="auto"/>
        <w:jc w:val="both"/>
        <w:rPr>
          <w:szCs w:val="22"/>
        </w:rPr>
      </w:pPr>
      <w:r>
        <w:rPr>
          <w:szCs w:val="22"/>
        </w:rPr>
        <w:t xml:space="preserve">Neistota na trhu s energiami, ktorú vníma SPP, sa negatívne prejavila aj vo forme vyššej tvorby rezerv na nevýhodné zmluvy (tvorba rezervy medziročne vzrástla viac ako 2,5 násobne). </w:t>
      </w:r>
    </w:p>
    <w:p w14:paraId="6F9795BF" w14:textId="77777777" w:rsidR="00FA1620" w:rsidRDefault="00FA1620" w:rsidP="00886720">
      <w:pPr>
        <w:spacing w:after="120" w:line="240" w:lineRule="auto"/>
        <w:jc w:val="both"/>
        <w:rPr>
          <w:szCs w:val="22"/>
        </w:rPr>
      </w:pPr>
      <w:r w:rsidRPr="00293923">
        <w:rPr>
          <w:szCs w:val="22"/>
        </w:rPr>
        <w:t>SPP ako dodávateľ energií s tradíciou nezostáva</w:t>
      </w:r>
      <w:r>
        <w:rPr>
          <w:szCs w:val="22"/>
        </w:rPr>
        <w:t>l</w:t>
      </w:r>
      <w:r w:rsidRPr="00293923">
        <w:rPr>
          <w:szCs w:val="22"/>
        </w:rPr>
        <w:t xml:space="preserve"> pozadu. Počas roku 2022 pôsobil ako úspešný výkupca elektriny vyrobenej  z obnoviteľných zdrojov. V súvislosti s tým, ponúka SPP svojim </w:t>
      </w:r>
      <w:r>
        <w:rPr>
          <w:szCs w:val="22"/>
        </w:rPr>
        <w:t>zákazníkom možnosť výberu zdroja</w:t>
      </w:r>
      <w:r w:rsidRPr="00293923">
        <w:rPr>
          <w:szCs w:val="22"/>
        </w:rPr>
        <w:t xml:space="preserve">, z ktorého je dodaná elektrina vyrobená. Pričom základy úspechu do budúcna vidí v nových príležitostiach nielen v oblasti vykupovania energie vyrobenej z obnoviteľných zdrojov vrátane </w:t>
      </w:r>
      <w:proofErr w:type="spellStart"/>
      <w:r w:rsidRPr="00293923">
        <w:rPr>
          <w:szCs w:val="22"/>
        </w:rPr>
        <w:t>fotovoltiky</w:t>
      </w:r>
      <w:proofErr w:type="spellEnd"/>
      <w:r w:rsidRPr="00293923">
        <w:rPr>
          <w:szCs w:val="22"/>
        </w:rPr>
        <w:t>, ale aj v podpore rozvoja mobility</w:t>
      </w:r>
      <w:r>
        <w:rPr>
          <w:szCs w:val="22"/>
        </w:rPr>
        <w:t xml:space="preserve"> (rozširujúca sa sieť </w:t>
      </w:r>
      <w:proofErr w:type="spellStart"/>
      <w:r>
        <w:rPr>
          <w:szCs w:val="22"/>
        </w:rPr>
        <w:t>elektronabíjacích</w:t>
      </w:r>
      <w:proofErr w:type="spellEnd"/>
      <w:r>
        <w:rPr>
          <w:szCs w:val="22"/>
        </w:rPr>
        <w:t xml:space="preserve"> staníc a čerpacích staníc CNG a LNG)</w:t>
      </w:r>
      <w:r w:rsidRPr="00293923">
        <w:rPr>
          <w:szCs w:val="22"/>
        </w:rPr>
        <w:t xml:space="preserve">, energetickej efektívnosti, či v skúmaní možností využitia vodíka (prvá vodíková čerpacia stanica bola pripravená do prevádzky v Košiciach). </w:t>
      </w:r>
    </w:p>
    <w:p w14:paraId="2558A624" w14:textId="77777777" w:rsidR="00FA1620" w:rsidRPr="00F31245" w:rsidRDefault="00FA1620" w:rsidP="00FA1620">
      <w:pPr>
        <w:spacing w:after="120" w:line="336" w:lineRule="auto"/>
        <w:jc w:val="both"/>
        <w:rPr>
          <w:b/>
          <w:szCs w:val="22"/>
        </w:rPr>
      </w:pPr>
      <w:r w:rsidRPr="00F31245">
        <w:rPr>
          <w:b/>
          <w:szCs w:val="22"/>
        </w:rPr>
        <w:t xml:space="preserve">Slovenská elektrizačná prenosová sústava, </w:t>
      </w:r>
      <w:proofErr w:type="spellStart"/>
      <w:r w:rsidRPr="00F31245">
        <w:rPr>
          <w:b/>
          <w:szCs w:val="22"/>
        </w:rPr>
        <w:t>a.s</w:t>
      </w:r>
      <w:proofErr w:type="spellEnd"/>
      <w:r w:rsidRPr="00F31245">
        <w:rPr>
          <w:b/>
          <w:szCs w:val="22"/>
        </w:rPr>
        <w:t xml:space="preserve">. </w:t>
      </w:r>
      <w:r w:rsidRPr="00F31245">
        <w:rPr>
          <w:szCs w:val="22"/>
        </w:rPr>
        <w:t>(ďalej „SEPS“)</w:t>
      </w:r>
      <w:r w:rsidRPr="00F31245">
        <w:rPr>
          <w:b/>
          <w:szCs w:val="22"/>
        </w:rPr>
        <w:t xml:space="preserve">  </w:t>
      </w:r>
    </w:p>
    <w:p w14:paraId="279A2DB1" w14:textId="0A045A8C" w:rsidR="0016158F" w:rsidRDefault="00FA1620" w:rsidP="00886720">
      <w:pPr>
        <w:spacing w:after="120" w:line="240" w:lineRule="auto"/>
        <w:jc w:val="both"/>
        <w:rPr>
          <w:b/>
          <w:bCs/>
          <w:color w:val="4F81BD"/>
          <w:sz w:val="20"/>
          <w:szCs w:val="20"/>
          <w:lang w:eastAsia="sk-SK"/>
        </w:rPr>
      </w:pPr>
      <w:r w:rsidRPr="00AB1183">
        <w:rPr>
          <w:szCs w:val="22"/>
        </w:rPr>
        <w:t>Vývoj štruktúry zmien vlastného imania bol počas sledovaného obdobia pomerne stabilný. Výsledok bežného obdobia (zisk) zaisťoval pozitívnu zmenu stavu a výplata dividend negatívnu zmenu stavu vlastného imania. Zdrojom tvorby zisku bol hlavne rozdiel výnosov a nákladov za prenos elektrickej energie, ktorý významne ovplyvňoval vývoj cezhraničného prenosu</w:t>
      </w:r>
      <w:r>
        <w:rPr>
          <w:szCs w:val="22"/>
        </w:rPr>
        <w:t xml:space="preserve"> s výnimkou roka 2022, kedy hlavným zdrojom generovania zisku boli výnosy z prijatých dividend</w:t>
      </w:r>
      <w:r w:rsidRPr="00AB1183">
        <w:rPr>
          <w:szCs w:val="22"/>
        </w:rPr>
        <w:t>. Výsledok bežného obdobia dosiahnutý za rok 2020 sa využil na výplatu dividend pre akcionára. Zisk za rok 2019 a rok 2021 bol ponechaný v spoločnosti v plnej výške. Pozitívny vplyv na stav vlastného imania mal aj p</w:t>
      </w:r>
      <w:r w:rsidR="001947F5">
        <w:rPr>
          <w:szCs w:val="22"/>
        </w:rPr>
        <w:t>ríspevok akcionára vo výške 130 mil. </w:t>
      </w:r>
      <w:r w:rsidRPr="00AB1183">
        <w:rPr>
          <w:szCs w:val="22"/>
        </w:rPr>
        <w:t>eur zrealizovaný počas roka 2020.</w:t>
      </w:r>
      <w:r w:rsidR="0016158F" w:rsidRPr="0016158F">
        <w:rPr>
          <w:b/>
          <w:bCs/>
          <w:color w:val="4F81BD"/>
          <w:sz w:val="20"/>
          <w:szCs w:val="20"/>
          <w:lang w:eastAsia="sk-SK"/>
        </w:rPr>
        <w:t xml:space="preserve"> </w:t>
      </w:r>
    </w:p>
    <w:p w14:paraId="54EA8054" w14:textId="09A2E788" w:rsidR="00FA1620" w:rsidRPr="00886720" w:rsidRDefault="0016158F" w:rsidP="0016158F">
      <w:pPr>
        <w:spacing w:after="0" w:line="240" w:lineRule="auto"/>
        <w:jc w:val="both"/>
        <w:rPr>
          <w:szCs w:val="22"/>
        </w:rPr>
      </w:pPr>
      <w:r>
        <w:rPr>
          <w:b/>
          <w:bCs/>
          <w:color w:val="4F81BD"/>
          <w:sz w:val="20"/>
          <w:szCs w:val="20"/>
          <w:lang w:eastAsia="sk-SK"/>
        </w:rPr>
        <w:t>Graf 10</w:t>
      </w:r>
      <w:r w:rsidRPr="002104CA">
        <w:rPr>
          <w:b/>
          <w:bCs/>
          <w:color w:val="4F81BD"/>
          <w:sz w:val="20"/>
          <w:szCs w:val="20"/>
          <w:lang w:eastAsia="sk-SK"/>
        </w:rPr>
        <w:t xml:space="preserve"> </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Vývoj zmien imania SEPS, a. s.</w:t>
      </w:r>
    </w:p>
    <w:p w14:paraId="4349FAC5" w14:textId="77777777" w:rsidR="00FA1620" w:rsidRDefault="00FA1620" w:rsidP="00FA1620">
      <w:pPr>
        <w:spacing w:after="120" w:line="336" w:lineRule="auto"/>
        <w:jc w:val="center"/>
        <w:rPr>
          <w:b/>
          <w:color w:val="FF0000"/>
          <w:szCs w:val="22"/>
        </w:rPr>
      </w:pPr>
      <w:r>
        <w:rPr>
          <w:b/>
          <w:noProof/>
          <w:color w:val="FF0000"/>
          <w:szCs w:val="22"/>
          <w:lang w:eastAsia="sk-SK"/>
        </w:rPr>
        <w:drawing>
          <wp:inline distT="0" distB="0" distL="0" distR="0" wp14:anchorId="3C1480D5" wp14:editId="799F2EBC">
            <wp:extent cx="5727940" cy="4223922"/>
            <wp:effectExtent l="0" t="0" r="6350" b="571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8209" cy="4231495"/>
                    </a:xfrm>
                    <a:prstGeom prst="rect">
                      <a:avLst/>
                    </a:prstGeom>
                    <a:noFill/>
                  </pic:spPr>
                </pic:pic>
              </a:graphicData>
            </a:graphic>
          </wp:inline>
        </w:drawing>
      </w:r>
    </w:p>
    <w:p w14:paraId="082632C2" w14:textId="1012DCE7" w:rsidR="00FA1620" w:rsidRPr="00AB1183" w:rsidRDefault="00FA1620" w:rsidP="00886720">
      <w:pPr>
        <w:spacing w:after="120" w:line="240" w:lineRule="auto"/>
        <w:jc w:val="both"/>
        <w:rPr>
          <w:szCs w:val="22"/>
        </w:rPr>
      </w:pPr>
      <w:r w:rsidRPr="00AB1183">
        <w:rPr>
          <w:szCs w:val="22"/>
        </w:rPr>
        <w:t>Vlastné imanie SEPS sa v roku 2022 zvýšilo oproti predchádzajúcemu ro</w:t>
      </w:r>
      <w:r w:rsidR="00921698">
        <w:rPr>
          <w:szCs w:val="22"/>
        </w:rPr>
        <w:t>ku o 103 831 tis. </w:t>
      </w:r>
      <w:r w:rsidRPr="00AB1183">
        <w:rPr>
          <w:szCs w:val="22"/>
        </w:rPr>
        <w:t>eur vplyvom   dosiahnutého zisku za bežné obdobie vo výške 105 142 tis. eur. Pozitívny vplyv zisku čiastočne zmiernil negatívny vplyv precenenia vo výške 1 311 tis. eur (precenenie derivátov).</w:t>
      </w:r>
    </w:p>
    <w:p w14:paraId="3C75F220" w14:textId="7D3AC66B" w:rsidR="00FA1620" w:rsidRPr="00886720" w:rsidRDefault="00FA1620" w:rsidP="00886720">
      <w:pPr>
        <w:spacing w:after="120" w:line="240" w:lineRule="auto"/>
        <w:jc w:val="both"/>
        <w:rPr>
          <w:szCs w:val="22"/>
        </w:rPr>
      </w:pPr>
      <w:r w:rsidRPr="00AB1183">
        <w:rPr>
          <w:szCs w:val="22"/>
        </w:rPr>
        <w:lastRenderedPageBreak/>
        <w:t>Čistý zisk vzrástol oproti predchádzajúcemu roku z úrovne 18 339 tis. eur (za rok 2021) na úroveň 105</w:t>
      </w:r>
      <w:r w:rsidR="001947F5">
        <w:rPr>
          <w:szCs w:val="22"/>
        </w:rPr>
        <w:t> </w:t>
      </w:r>
      <w:r w:rsidRPr="00AB1183">
        <w:rPr>
          <w:szCs w:val="22"/>
        </w:rPr>
        <w:t>142</w:t>
      </w:r>
      <w:r w:rsidR="001947F5">
        <w:rPr>
          <w:szCs w:val="22"/>
        </w:rPr>
        <w:t> tis. </w:t>
      </w:r>
      <w:r w:rsidRPr="00AB1183">
        <w:rPr>
          <w:szCs w:val="22"/>
        </w:rPr>
        <w:t xml:space="preserve">eur (za rok 2022). Hlavným zdrojom generovania zisku boli finančné operácie a to najmä </w:t>
      </w:r>
      <w:r w:rsidRPr="00C654E6">
        <w:rPr>
          <w:szCs w:val="22"/>
        </w:rPr>
        <w:t xml:space="preserve">výnosy z dividend prijatých od dcérskej spoločnosti OKTE, </w:t>
      </w:r>
      <w:proofErr w:type="spellStart"/>
      <w:r w:rsidRPr="00C654E6">
        <w:rPr>
          <w:szCs w:val="22"/>
        </w:rPr>
        <w:t>a.s</w:t>
      </w:r>
      <w:proofErr w:type="spellEnd"/>
      <w:r w:rsidRPr="00C654E6">
        <w:rPr>
          <w:szCs w:val="22"/>
        </w:rPr>
        <w:t>. vo výške 58 790 tis. eur, ktoré sú považované za dividendové príjmy aj v súlade s metodikou ESA 2010. Pozitívny vplyv vykázala aj absencia opravnej položky k finančnej investícii zúčtovan</w:t>
      </w:r>
      <w:r>
        <w:rPr>
          <w:szCs w:val="22"/>
        </w:rPr>
        <w:t>ej</w:t>
      </w:r>
      <w:r w:rsidRPr="00C654E6">
        <w:rPr>
          <w:szCs w:val="22"/>
        </w:rPr>
        <w:t xml:space="preserve"> do nákladov </w:t>
      </w:r>
      <w:r>
        <w:rPr>
          <w:szCs w:val="22"/>
        </w:rPr>
        <w:t>v</w:t>
      </w:r>
      <w:r w:rsidRPr="00C654E6">
        <w:rPr>
          <w:szCs w:val="22"/>
        </w:rPr>
        <w:t xml:space="preserve"> roku 2021 (</w:t>
      </w:r>
      <w:r>
        <w:rPr>
          <w:szCs w:val="22"/>
        </w:rPr>
        <w:t>vo výške 90</w:t>
      </w:r>
      <w:r w:rsidR="001947F5">
        <w:rPr>
          <w:szCs w:val="22"/>
        </w:rPr>
        <w:t> </w:t>
      </w:r>
      <w:r>
        <w:rPr>
          <w:szCs w:val="22"/>
        </w:rPr>
        <w:t>946</w:t>
      </w:r>
      <w:r w:rsidR="001947F5">
        <w:rPr>
          <w:szCs w:val="22"/>
        </w:rPr>
        <w:t> </w:t>
      </w:r>
      <w:r>
        <w:rPr>
          <w:szCs w:val="22"/>
        </w:rPr>
        <w:t>tis.</w:t>
      </w:r>
      <w:r w:rsidR="001947F5">
        <w:rPr>
          <w:szCs w:val="22"/>
        </w:rPr>
        <w:t> </w:t>
      </w:r>
      <w:r>
        <w:rPr>
          <w:szCs w:val="22"/>
        </w:rPr>
        <w:t xml:space="preserve">eur,  </w:t>
      </w:r>
      <w:r w:rsidRPr="00C654E6">
        <w:rPr>
          <w:szCs w:val="22"/>
        </w:rPr>
        <w:t xml:space="preserve">z dôvodu vysporiadania straty zo strany akcionára v spoločnosti OKTE, </w:t>
      </w:r>
      <w:proofErr w:type="spellStart"/>
      <w:r w:rsidRPr="00C654E6">
        <w:rPr>
          <w:szCs w:val="22"/>
        </w:rPr>
        <w:t>a.s</w:t>
      </w:r>
      <w:proofErr w:type="spellEnd"/>
      <w:r w:rsidRPr="00C654E6">
        <w:rPr>
          <w:szCs w:val="22"/>
        </w:rPr>
        <w:t>. formou vzdania sa práva vyplatiť si príspevok akcionára z ostatných kapitálových fondov).</w:t>
      </w:r>
    </w:p>
    <w:p w14:paraId="13D69191" w14:textId="382518F6" w:rsidR="00FA1620" w:rsidRPr="00886720" w:rsidRDefault="00FA1620" w:rsidP="00886720">
      <w:pPr>
        <w:spacing w:after="120" w:line="240" w:lineRule="auto"/>
        <w:jc w:val="both"/>
        <w:rPr>
          <w:szCs w:val="22"/>
        </w:rPr>
      </w:pPr>
      <w:r w:rsidRPr="00C654E6">
        <w:rPr>
          <w:szCs w:val="22"/>
        </w:rPr>
        <w:t xml:space="preserve">Pozitívny vplyv výsledku z finančných činností čiastočne eliminoval prevádzkový zisk, ktorý medziročne klesol o 54,5 % z dôvodu rastu nákladov na spotrebovaný materiál a služby (o 27,4 %) a súčasný pokles tržieb z prenosu a tranzitu elektrickej energie (o 7,5 %).  </w:t>
      </w:r>
      <w:r>
        <w:rPr>
          <w:szCs w:val="22"/>
        </w:rPr>
        <w:t>Náklady na spotrebovaný materiál a služby vzrástli z dôvodu nielen vyšších cien energií, ale aj vyššieho objemu elektriny prenesenú cez prenosovú sústavu (rast o 2,2 %), pričom rast objemu bol krytý zvýšeným importom elektriny z dôvodu poklesu výroby elektriny na vstupe do prenosovej sústavy (pokles o 10,6 %). Tieto skutočnosti sa prejavili vo vyšších nákladoch na nákup podporných služieb, vyšších nákladoch na nákup elektrickej energie na krytie strát (nákup vyššieho množstva elektrickej energie za súčasne vyššie ceny) a v nákladoch na cezhraničné prenosy. Pokles výnosov sa prejavil najvýraznejšie na položke výnosov za prístup do prenosovej sústavy (pokles o 8,6 %), pričom výšku tarify určuje Úrad pre reguláciu sieťových odvetví SR prostredníctvom výnosu. Dobré hospodárenie SEPS už počas roka 2022 vytvorilo pre SEPS možnosť prispenia k nižším cenám elektriny pre domácnosti a firmy. Po dohode SEPS a MF SR bola zaistená výška tarify za straty v prenose na úrovni minulého roka, napriek zvýšeným cenám na trhu s elektrinou. K zmierneniu dopadov rastúcich cien elektriny na trhoch prispel aj výsledok z úspešnej cezhr</w:t>
      </w:r>
      <w:r w:rsidR="001947F5">
        <w:rPr>
          <w:szCs w:val="22"/>
        </w:rPr>
        <w:t>aničnej prevádzky (vo výške 153 mil. </w:t>
      </w:r>
      <w:r>
        <w:rPr>
          <w:szCs w:val="22"/>
        </w:rPr>
        <w:t>eur), ktorým SEPS zabránilo niekoľkonásobnému zvýšeniu spomínanej ta</w:t>
      </w:r>
      <w:r w:rsidR="001947F5">
        <w:rPr>
          <w:szCs w:val="22"/>
        </w:rPr>
        <w:t>rify (mala byť na úrovni 8,6564 </w:t>
      </w:r>
      <w:r>
        <w:rPr>
          <w:szCs w:val="22"/>
        </w:rPr>
        <w:t>eur/M</w:t>
      </w:r>
      <w:r w:rsidR="001947F5">
        <w:rPr>
          <w:szCs w:val="22"/>
        </w:rPr>
        <w:t xml:space="preserve">Wh, no zostala na úrovni 1,7169 </w:t>
      </w:r>
      <w:r>
        <w:rPr>
          <w:szCs w:val="22"/>
        </w:rPr>
        <w:t>eur/MWh).</w:t>
      </w:r>
    </w:p>
    <w:p w14:paraId="299B1648" w14:textId="50B8F4C7" w:rsidR="00FA1620" w:rsidRDefault="00FA1620" w:rsidP="00886720">
      <w:pPr>
        <w:spacing w:after="120" w:line="240" w:lineRule="auto"/>
        <w:jc w:val="both"/>
        <w:rPr>
          <w:szCs w:val="22"/>
        </w:rPr>
      </w:pPr>
      <w:r w:rsidRPr="00740A0A">
        <w:rPr>
          <w:szCs w:val="22"/>
        </w:rPr>
        <w:t>SEPS počas roku 2022 bol ukončený objemovo najvýznamnejší projekt výmeny vodičov a </w:t>
      </w:r>
      <w:proofErr w:type="spellStart"/>
      <w:r w:rsidRPr="00740A0A">
        <w:rPr>
          <w:szCs w:val="22"/>
        </w:rPr>
        <w:t>preizolácie</w:t>
      </w:r>
      <w:proofErr w:type="spellEnd"/>
      <w:r w:rsidRPr="00740A0A">
        <w:rPr>
          <w:szCs w:val="22"/>
        </w:rPr>
        <w:t xml:space="preserve"> </w:t>
      </w:r>
      <w:r w:rsidRPr="00E65A2D">
        <w:rPr>
          <w:szCs w:val="22"/>
        </w:rPr>
        <w:t>na</w:t>
      </w:r>
      <w:r w:rsidR="001947F5">
        <w:rPr>
          <w:szCs w:val="22"/>
        </w:rPr>
        <w:t> </w:t>
      </w:r>
      <w:r w:rsidRPr="00E65A2D">
        <w:rPr>
          <w:szCs w:val="22"/>
        </w:rPr>
        <w:t xml:space="preserve">vedení V424 </w:t>
      </w:r>
      <w:proofErr w:type="spellStart"/>
      <w:r w:rsidRPr="00E65A2D">
        <w:rPr>
          <w:szCs w:val="22"/>
        </w:rPr>
        <w:t>Sokolnice</w:t>
      </w:r>
      <w:proofErr w:type="spellEnd"/>
      <w:r w:rsidRPr="00E65A2D">
        <w:rPr>
          <w:szCs w:val="22"/>
        </w:rPr>
        <w:t xml:space="preserve"> –Križovan</w:t>
      </w:r>
      <w:r>
        <w:rPr>
          <w:szCs w:val="22"/>
        </w:rPr>
        <w:t>y</w:t>
      </w:r>
      <w:r w:rsidRPr="00E65A2D">
        <w:rPr>
          <w:szCs w:val="22"/>
        </w:rPr>
        <w:t xml:space="preserve">, ktoré je jedno z najdôležitejších cezhraničných vedení. Okrem toho sa zrealizovali významné investičné projekty orientované na modernizáciu siete a to projekty na vedení V428 Moldava – Kapušany a V429 Podunajské Biskupice - Gabčíkovo. Výška investovaných prostriedkov v roku 2022 dosiahla úroveň </w:t>
      </w:r>
      <w:r w:rsidR="001947F5">
        <w:rPr>
          <w:szCs w:val="22"/>
        </w:rPr>
        <w:t>52 </w:t>
      </w:r>
      <w:r w:rsidRPr="00E65A2D">
        <w:rPr>
          <w:szCs w:val="22"/>
        </w:rPr>
        <w:t>1</w:t>
      </w:r>
      <w:r>
        <w:rPr>
          <w:szCs w:val="22"/>
        </w:rPr>
        <w:t>43</w:t>
      </w:r>
      <w:r w:rsidR="001947F5">
        <w:rPr>
          <w:szCs w:val="22"/>
        </w:rPr>
        <w:t> </w:t>
      </w:r>
      <w:r>
        <w:rPr>
          <w:szCs w:val="22"/>
        </w:rPr>
        <w:t>tis</w:t>
      </w:r>
      <w:r w:rsidR="001947F5">
        <w:rPr>
          <w:szCs w:val="22"/>
        </w:rPr>
        <w:t>. </w:t>
      </w:r>
      <w:r w:rsidRPr="00E65A2D">
        <w:rPr>
          <w:szCs w:val="22"/>
        </w:rPr>
        <w:t xml:space="preserve">eur. </w:t>
      </w:r>
    </w:p>
    <w:p w14:paraId="3DB2A13F" w14:textId="77777777" w:rsidR="00FA1620" w:rsidRPr="00C2712D" w:rsidRDefault="00FA1620" w:rsidP="00FA1620">
      <w:pPr>
        <w:spacing w:after="120" w:line="336" w:lineRule="auto"/>
        <w:jc w:val="both"/>
        <w:rPr>
          <w:b/>
          <w:szCs w:val="22"/>
        </w:rPr>
      </w:pPr>
      <w:r w:rsidRPr="00C2712D">
        <w:rPr>
          <w:b/>
          <w:szCs w:val="22"/>
        </w:rPr>
        <w:t xml:space="preserve">Vodohospodárska výstavba, </w:t>
      </w:r>
      <w:proofErr w:type="spellStart"/>
      <w:r w:rsidRPr="00C2712D">
        <w:rPr>
          <w:b/>
          <w:szCs w:val="22"/>
        </w:rPr>
        <w:t>š.p</w:t>
      </w:r>
      <w:proofErr w:type="spellEnd"/>
      <w:r w:rsidRPr="00C2712D">
        <w:rPr>
          <w:b/>
          <w:szCs w:val="22"/>
        </w:rPr>
        <w:t xml:space="preserve">.  </w:t>
      </w:r>
      <w:r w:rsidRPr="00C2712D">
        <w:rPr>
          <w:szCs w:val="22"/>
        </w:rPr>
        <w:t>(ďalej „VHV“)</w:t>
      </w:r>
    </w:p>
    <w:p w14:paraId="08E0C69B" w14:textId="3C77FC84" w:rsidR="00FA1620" w:rsidRDefault="00FA1620" w:rsidP="00886720">
      <w:pPr>
        <w:spacing w:after="120" w:line="240" w:lineRule="auto"/>
        <w:jc w:val="both"/>
        <w:rPr>
          <w:szCs w:val="22"/>
        </w:rPr>
      </w:pPr>
      <w:r w:rsidRPr="00CE6FA4">
        <w:rPr>
          <w:szCs w:val="22"/>
        </w:rPr>
        <w:t xml:space="preserve">Vývoj štruktúry zmien vlastného imania bol počas sledovaného obdobia pomerne stabilný. Výsledok bežného obdobia (zisk) zaisťoval pozitívnu zmenu stavu a oprava chýb v účtovníctve minulých období negatívnu zmenu stavu </w:t>
      </w:r>
      <w:r w:rsidRPr="00983147">
        <w:rPr>
          <w:szCs w:val="22"/>
        </w:rPr>
        <w:t xml:space="preserve">vlastného imania. Zdrojom tvorby zisku bol hlavne rozdiel výnosov a nákladov súvisiaci s výrobou elektrickej energie </w:t>
      </w:r>
      <w:r>
        <w:rPr>
          <w:szCs w:val="22"/>
        </w:rPr>
        <w:t>vo</w:t>
      </w:r>
      <w:r w:rsidRPr="00983147">
        <w:rPr>
          <w:szCs w:val="22"/>
        </w:rPr>
        <w:t> vodných elektrár</w:t>
      </w:r>
      <w:r>
        <w:rPr>
          <w:szCs w:val="22"/>
        </w:rPr>
        <w:t>ňach</w:t>
      </w:r>
      <w:r w:rsidRPr="00983147">
        <w:rPr>
          <w:szCs w:val="22"/>
        </w:rPr>
        <w:t>. Už na výsledku bežného obdobia generovaného za rok 2021 bol zaznamenaný enormný vplyv externého prostredia, ktorý sa prejavil medziročným rastom výnos</w:t>
      </w:r>
      <w:r>
        <w:rPr>
          <w:szCs w:val="22"/>
        </w:rPr>
        <w:t>ov</w:t>
      </w:r>
      <w:r w:rsidRPr="00983147">
        <w:rPr>
          <w:szCs w:val="22"/>
        </w:rPr>
        <w:t xml:space="preserve"> z vyrobenej elektriny v</w:t>
      </w:r>
      <w:r>
        <w:rPr>
          <w:szCs w:val="22"/>
        </w:rPr>
        <w:t>iac ako</w:t>
      </w:r>
      <w:r w:rsidRPr="00983147">
        <w:rPr>
          <w:szCs w:val="22"/>
        </w:rPr>
        <w:t xml:space="preserve"> </w:t>
      </w:r>
      <w:r>
        <w:rPr>
          <w:szCs w:val="22"/>
        </w:rPr>
        <w:t>1,</w:t>
      </w:r>
      <w:r w:rsidRPr="00983147">
        <w:rPr>
          <w:szCs w:val="22"/>
        </w:rPr>
        <w:t>5</w:t>
      </w:r>
      <w:r>
        <w:rPr>
          <w:szCs w:val="22"/>
        </w:rPr>
        <w:t xml:space="preserve"> násobne,</w:t>
      </w:r>
      <w:r w:rsidRPr="00983147">
        <w:rPr>
          <w:szCs w:val="22"/>
        </w:rPr>
        <w:t xml:space="preserve"> vplyvom rastu cien na trhoch s elektrickou energiou. V tomto roku bol výrazný rast výnosov čiastočne eliminovaný tvorbou rezervy na odstraňovanie sedimentov zo zdrže Hrušov. </w:t>
      </w:r>
      <w:r>
        <w:rPr>
          <w:szCs w:val="22"/>
        </w:rPr>
        <w:t xml:space="preserve">V roku 2022 bol zaznamenaný pozitívny vplyv externého prostredia na zisk v ešte vyššej miere. </w:t>
      </w:r>
    </w:p>
    <w:p w14:paraId="0DEE6A6D" w14:textId="77777777" w:rsidR="00FD652C" w:rsidRDefault="00FD652C">
      <w:pPr>
        <w:rPr>
          <w:b/>
          <w:bCs/>
          <w:color w:val="4F81BD"/>
          <w:sz w:val="20"/>
          <w:szCs w:val="20"/>
          <w:lang w:eastAsia="sk-SK"/>
        </w:rPr>
      </w:pPr>
      <w:r>
        <w:rPr>
          <w:b/>
          <w:bCs/>
          <w:color w:val="4F81BD"/>
          <w:sz w:val="20"/>
          <w:szCs w:val="20"/>
          <w:lang w:eastAsia="sk-SK"/>
        </w:rPr>
        <w:br w:type="page"/>
      </w:r>
    </w:p>
    <w:p w14:paraId="621F33A3" w14:textId="5D8D39C7" w:rsidR="0016158F" w:rsidRPr="00886720" w:rsidRDefault="0016158F" w:rsidP="0016158F">
      <w:pPr>
        <w:spacing w:after="0" w:line="240" w:lineRule="auto"/>
        <w:jc w:val="both"/>
        <w:rPr>
          <w:szCs w:val="22"/>
        </w:rPr>
      </w:pPr>
      <w:r>
        <w:rPr>
          <w:b/>
          <w:bCs/>
          <w:color w:val="4F81BD"/>
          <w:sz w:val="20"/>
          <w:szCs w:val="20"/>
          <w:lang w:eastAsia="sk-SK"/>
        </w:rPr>
        <w:lastRenderedPageBreak/>
        <w:t>Graf 11</w:t>
      </w:r>
      <w:r w:rsidRPr="002104CA">
        <w:rPr>
          <w:b/>
          <w:bCs/>
          <w:color w:val="4F81BD"/>
          <w:sz w:val="20"/>
          <w:szCs w:val="20"/>
          <w:lang w:eastAsia="sk-SK"/>
        </w:rPr>
        <w:t xml:space="preserve"> </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 xml:space="preserve">Vývoj zmien imania VHV, </w:t>
      </w:r>
      <w:proofErr w:type="spellStart"/>
      <w:r>
        <w:rPr>
          <w:b/>
          <w:bCs/>
          <w:color w:val="4F81BD"/>
          <w:sz w:val="20"/>
          <w:szCs w:val="20"/>
          <w:lang w:eastAsia="sk-SK"/>
        </w:rPr>
        <w:t>š.p</w:t>
      </w:r>
      <w:proofErr w:type="spellEnd"/>
      <w:r>
        <w:rPr>
          <w:b/>
          <w:bCs/>
          <w:color w:val="4F81BD"/>
          <w:sz w:val="20"/>
          <w:szCs w:val="20"/>
          <w:lang w:eastAsia="sk-SK"/>
        </w:rPr>
        <w:t>.</w:t>
      </w:r>
    </w:p>
    <w:p w14:paraId="322FDE2F" w14:textId="77777777" w:rsidR="00FA1620" w:rsidRPr="001B4DEC" w:rsidRDefault="00FA1620" w:rsidP="00FA1620">
      <w:pPr>
        <w:spacing w:after="120" w:line="336" w:lineRule="auto"/>
        <w:jc w:val="center"/>
        <w:rPr>
          <w:b/>
          <w:color w:val="FF0000"/>
          <w:szCs w:val="22"/>
        </w:rPr>
      </w:pPr>
      <w:r>
        <w:rPr>
          <w:b/>
          <w:noProof/>
          <w:color w:val="FF0000"/>
          <w:szCs w:val="22"/>
          <w:lang w:eastAsia="sk-SK"/>
        </w:rPr>
        <w:drawing>
          <wp:inline distT="0" distB="0" distL="0" distR="0" wp14:anchorId="6AD0EDD0" wp14:editId="6C4026CB">
            <wp:extent cx="5316220" cy="320675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16220" cy="3206750"/>
                    </a:xfrm>
                    <a:prstGeom prst="rect">
                      <a:avLst/>
                    </a:prstGeom>
                    <a:noFill/>
                  </pic:spPr>
                </pic:pic>
              </a:graphicData>
            </a:graphic>
          </wp:inline>
        </w:drawing>
      </w:r>
    </w:p>
    <w:p w14:paraId="716B7B8D" w14:textId="73D8B0A8" w:rsidR="00FA1620" w:rsidRPr="00986012" w:rsidRDefault="00FA1620" w:rsidP="00886720">
      <w:pPr>
        <w:spacing w:after="120" w:line="240" w:lineRule="auto"/>
        <w:jc w:val="both"/>
        <w:rPr>
          <w:szCs w:val="22"/>
        </w:rPr>
      </w:pPr>
      <w:r w:rsidRPr="00986012">
        <w:rPr>
          <w:szCs w:val="22"/>
        </w:rPr>
        <w:t>Vlastné imanie VHV sa v roku 2022 zvýšilo op</w:t>
      </w:r>
      <w:r w:rsidR="001947F5">
        <w:rPr>
          <w:szCs w:val="22"/>
        </w:rPr>
        <w:t>roti predchádzajúcemu roku o 82 825 tis. </w:t>
      </w:r>
      <w:r w:rsidRPr="00986012">
        <w:rPr>
          <w:szCs w:val="22"/>
        </w:rPr>
        <w:t>eur vplyvom  dosiahnutého zisku za bežné obdobie vo výške 113 150 tis. eur. Pozitívny vplyv zisku čiastočne zmiernil negatívny vplyv opravy chýb v účtovníctve minulých období vo výške 30 634 tis. eur (</w:t>
      </w:r>
      <w:r>
        <w:rPr>
          <w:szCs w:val="22"/>
        </w:rPr>
        <w:t xml:space="preserve">hlavne </w:t>
      </w:r>
      <w:r w:rsidRPr="00986012">
        <w:rPr>
          <w:szCs w:val="22"/>
        </w:rPr>
        <w:t>vplyv dotvorenia opravnej položky k nedokončenému majetku).</w:t>
      </w:r>
    </w:p>
    <w:p w14:paraId="436FBF31" w14:textId="77777777" w:rsidR="00FA1620" w:rsidRDefault="00FA1620" w:rsidP="00886720">
      <w:pPr>
        <w:spacing w:after="120" w:line="240" w:lineRule="auto"/>
        <w:jc w:val="both"/>
        <w:rPr>
          <w:szCs w:val="22"/>
        </w:rPr>
      </w:pPr>
      <w:r w:rsidRPr="00B07B55">
        <w:rPr>
          <w:szCs w:val="22"/>
        </w:rPr>
        <w:t xml:space="preserve">Čistý zisk sa medziročne zvýšil z úrovne 4 364 tis. eur (rok 2021) na úroveň 113 150 tis. eur (rok 2022). </w:t>
      </w:r>
    </w:p>
    <w:p w14:paraId="31069517" w14:textId="77777777" w:rsidR="00FA1620" w:rsidRDefault="00FA1620" w:rsidP="00886720">
      <w:pPr>
        <w:spacing w:after="120" w:line="240" w:lineRule="auto"/>
        <w:jc w:val="both"/>
        <w:rPr>
          <w:szCs w:val="22"/>
        </w:rPr>
      </w:pPr>
      <w:r>
        <w:rPr>
          <w:szCs w:val="22"/>
        </w:rPr>
        <w:t>Hlavným zdrojom generovania zisku bol prevádzkový výsledok hospodárenia, ktorý vďaka rýchlejšiemu rastu výnosov z prevádzky (91,9 %) ako rastu nákladov na prevádzku (12,4 %) dosiahol enormné medziročné zvýšenie (z 5 028 tis. eur na 146 062 tis. eur).  Výrazný rast prevádzkových výnosov zaistil rast výnosov z hlavnej podnikateľskej činnosti, čiže výnosy súvisiace s výrobou elektrickej energie (medziročné zvýšenie o 98,0 %, najmä silovej energie, regulačnej energie a podporných služieb), z dôvodu pokračujúceho rastu trhových cien elektrickej energie. Pričom 1,9 % z tržieb predstavoval predaj elektrickej energie do Českej republiky.</w:t>
      </w:r>
    </w:p>
    <w:p w14:paraId="64926879" w14:textId="77777777" w:rsidR="00FA1620" w:rsidRPr="00504FFD" w:rsidRDefault="00FA1620" w:rsidP="00886720">
      <w:pPr>
        <w:spacing w:after="120" w:line="240" w:lineRule="auto"/>
        <w:jc w:val="both"/>
        <w:rPr>
          <w:szCs w:val="22"/>
        </w:rPr>
      </w:pPr>
      <w:r>
        <w:rPr>
          <w:szCs w:val="22"/>
        </w:rPr>
        <w:t xml:space="preserve">Pozitívny vplyv externých podmienok čiastočne eliminoval rast prevádzkových nákladov, najmä vplyv </w:t>
      </w:r>
      <w:r w:rsidRPr="00504FFD">
        <w:rPr>
          <w:szCs w:val="22"/>
        </w:rPr>
        <w:t xml:space="preserve">vyššej tvorby rezervy na odstraňovanie sedimentov zo zdrže Hrušov (o 16,9 %  z dôvodu zabezpečenia prevedenia zvýšených prietokov cez objekty </w:t>
      </w:r>
      <w:r>
        <w:rPr>
          <w:szCs w:val="22"/>
        </w:rPr>
        <w:t>Čun</w:t>
      </w:r>
      <w:r w:rsidRPr="00504FFD">
        <w:rPr>
          <w:szCs w:val="22"/>
        </w:rPr>
        <w:t>ova a Gabčíkova) a zvýšenie nákladov na opravy a udržiavanie (o 79,4 %) najmä na opravu budov a stavieb vodného diela G – N.</w:t>
      </w:r>
    </w:p>
    <w:p w14:paraId="5FBED0FB" w14:textId="77777777" w:rsidR="00FA1620" w:rsidRPr="00504FFD" w:rsidRDefault="00FA1620" w:rsidP="00886720">
      <w:pPr>
        <w:spacing w:after="120" w:line="240" w:lineRule="auto"/>
        <w:jc w:val="both"/>
        <w:rPr>
          <w:szCs w:val="22"/>
        </w:rPr>
      </w:pPr>
      <w:r>
        <w:rPr>
          <w:szCs w:val="22"/>
        </w:rPr>
        <w:t>Do konca</w:t>
      </w:r>
      <w:r w:rsidRPr="00504FFD">
        <w:rPr>
          <w:szCs w:val="22"/>
        </w:rPr>
        <w:t xml:space="preserve"> rok</w:t>
      </w:r>
      <w:r>
        <w:rPr>
          <w:szCs w:val="22"/>
        </w:rPr>
        <w:t>a</w:t>
      </w:r>
      <w:r w:rsidRPr="00504FFD">
        <w:rPr>
          <w:szCs w:val="22"/>
        </w:rPr>
        <w:t xml:space="preserve"> 2023 odvedie VHV finančné prostriedky vo forme osobitného odvodu zo zisku do štátneho rozpočtu vo výške 100 mil. eur za rok 2022 a 50 mil. eur za rok 2023.</w:t>
      </w:r>
    </w:p>
    <w:p w14:paraId="36642405" w14:textId="77777777" w:rsidR="00FA1620" w:rsidRPr="00C2712D" w:rsidRDefault="00FA1620" w:rsidP="00FA1620">
      <w:pPr>
        <w:spacing w:after="120" w:line="336" w:lineRule="auto"/>
        <w:jc w:val="both"/>
        <w:rPr>
          <w:b/>
          <w:szCs w:val="22"/>
          <w:lang w:eastAsia="sk-SK"/>
        </w:rPr>
      </w:pPr>
      <w:r w:rsidRPr="00C2712D">
        <w:rPr>
          <w:b/>
          <w:szCs w:val="22"/>
          <w:lang w:eastAsia="sk-SK"/>
        </w:rPr>
        <w:t xml:space="preserve">Stredoslovenská energetika Holding, </w:t>
      </w:r>
      <w:proofErr w:type="spellStart"/>
      <w:r w:rsidRPr="00C2712D">
        <w:rPr>
          <w:b/>
          <w:szCs w:val="22"/>
          <w:lang w:eastAsia="sk-SK"/>
        </w:rPr>
        <w:t>a.s</w:t>
      </w:r>
      <w:proofErr w:type="spellEnd"/>
      <w:r w:rsidRPr="00C2712D">
        <w:rPr>
          <w:b/>
          <w:szCs w:val="22"/>
          <w:lang w:eastAsia="sk-SK"/>
        </w:rPr>
        <w:t xml:space="preserve">.  </w:t>
      </w:r>
      <w:r w:rsidRPr="00504FFD">
        <w:rPr>
          <w:b/>
          <w:szCs w:val="22"/>
          <w:lang w:eastAsia="sk-SK"/>
        </w:rPr>
        <w:t>(ďalej „SSEH“)</w:t>
      </w:r>
    </w:p>
    <w:p w14:paraId="3AC6B0CE" w14:textId="62EA084B" w:rsidR="00FA1620" w:rsidRDefault="00FA1620" w:rsidP="00886720">
      <w:pPr>
        <w:spacing w:after="120" w:line="240" w:lineRule="auto"/>
        <w:jc w:val="both"/>
        <w:rPr>
          <w:szCs w:val="22"/>
        </w:rPr>
      </w:pPr>
      <w:r w:rsidRPr="00504FFD">
        <w:rPr>
          <w:szCs w:val="22"/>
        </w:rPr>
        <w:t>Vývoj štruktúry zmien vlastného imania bol počas sledovaného obdobia pomerne stabilný</w:t>
      </w:r>
      <w:r w:rsidRPr="006C22A4">
        <w:rPr>
          <w:szCs w:val="22"/>
        </w:rPr>
        <w:t>. Výsledok bežného obdobia (zisk) zaisťoval pozitívnu zmenu stavu a výplata dividend negatívnu zmenu stavu vlastného imania. Zdrojom tvorby zisku boli, po zrealizovaní transformácie na holdingovú spoločnosť, hlavne výnosy z prijatých dividend od spoločností skupiny SSEH. Výsledok bežného obdobia sa počas sledovaného obdobia využíval na výplatu dividend pre akcionár</w:t>
      </w:r>
      <w:r>
        <w:rPr>
          <w:szCs w:val="22"/>
        </w:rPr>
        <w:t>ov</w:t>
      </w:r>
      <w:r w:rsidRPr="006C22A4">
        <w:rPr>
          <w:szCs w:val="22"/>
        </w:rPr>
        <w:t xml:space="preserve">. </w:t>
      </w:r>
    </w:p>
    <w:p w14:paraId="246350C1" w14:textId="77777777" w:rsidR="00FD652C" w:rsidRDefault="00FD652C">
      <w:pPr>
        <w:rPr>
          <w:b/>
          <w:bCs/>
          <w:color w:val="4F81BD"/>
          <w:sz w:val="20"/>
          <w:szCs w:val="20"/>
          <w:lang w:eastAsia="sk-SK"/>
        </w:rPr>
      </w:pPr>
      <w:r>
        <w:rPr>
          <w:b/>
          <w:bCs/>
          <w:color w:val="4F81BD"/>
          <w:sz w:val="20"/>
          <w:szCs w:val="20"/>
          <w:lang w:eastAsia="sk-SK"/>
        </w:rPr>
        <w:br w:type="page"/>
      </w:r>
    </w:p>
    <w:p w14:paraId="474D175D" w14:textId="00324A91" w:rsidR="0016158F" w:rsidRPr="00886720" w:rsidRDefault="0016158F" w:rsidP="00886720">
      <w:pPr>
        <w:spacing w:after="120" w:line="240" w:lineRule="auto"/>
        <w:jc w:val="both"/>
        <w:rPr>
          <w:szCs w:val="22"/>
        </w:rPr>
      </w:pPr>
      <w:r>
        <w:rPr>
          <w:b/>
          <w:bCs/>
          <w:color w:val="4F81BD"/>
          <w:sz w:val="20"/>
          <w:szCs w:val="20"/>
          <w:lang w:eastAsia="sk-SK"/>
        </w:rPr>
        <w:lastRenderedPageBreak/>
        <w:t>Graf 12</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 xml:space="preserve">Vývoj zmien imania SSEH, </w:t>
      </w:r>
      <w:proofErr w:type="spellStart"/>
      <w:r>
        <w:rPr>
          <w:b/>
          <w:bCs/>
          <w:color w:val="4F81BD"/>
          <w:sz w:val="20"/>
          <w:szCs w:val="20"/>
          <w:lang w:eastAsia="sk-SK"/>
        </w:rPr>
        <w:t>a.s</w:t>
      </w:r>
      <w:proofErr w:type="spellEnd"/>
      <w:r>
        <w:rPr>
          <w:b/>
          <w:bCs/>
          <w:color w:val="4F81BD"/>
          <w:sz w:val="20"/>
          <w:szCs w:val="20"/>
          <w:lang w:eastAsia="sk-SK"/>
        </w:rPr>
        <w:t>.</w:t>
      </w:r>
    </w:p>
    <w:p w14:paraId="73799245" w14:textId="77777777" w:rsidR="00FA1620" w:rsidRPr="001B4DEC" w:rsidRDefault="00FA1620" w:rsidP="00FA1620">
      <w:pPr>
        <w:spacing w:after="120" w:line="336" w:lineRule="auto"/>
        <w:jc w:val="center"/>
        <w:rPr>
          <w:b/>
          <w:color w:val="FF0000"/>
          <w:szCs w:val="22"/>
        </w:rPr>
      </w:pPr>
      <w:r>
        <w:rPr>
          <w:b/>
          <w:noProof/>
          <w:color w:val="FF0000"/>
          <w:szCs w:val="22"/>
          <w:lang w:eastAsia="sk-SK"/>
        </w:rPr>
        <w:drawing>
          <wp:inline distT="0" distB="0" distL="0" distR="0" wp14:anchorId="741D18AD" wp14:editId="1B48AA73">
            <wp:extent cx="5316220" cy="3188335"/>
            <wp:effectExtent l="0" t="0" r="0"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16220" cy="3188335"/>
                    </a:xfrm>
                    <a:prstGeom prst="rect">
                      <a:avLst/>
                    </a:prstGeom>
                    <a:noFill/>
                  </pic:spPr>
                </pic:pic>
              </a:graphicData>
            </a:graphic>
          </wp:inline>
        </w:drawing>
      </w:r>
    </w:p>
    <w:p w14:paraId="19ED4D31" w14:textId="77777777" w:rsidR="00FA1620" w:rsidRPr="006C22A4" w:rsidRDefault="00FA1620" w:rsidP="00886720">
      <w:pPr>
        <w:spacing w:after="120" w:line="240" w:lineRule="auto"/>
        <w:jc w:val="both"/>
        <w:rPr>
          <w:szCs w:val="22"/>
        </w:rPr>
      </w:pPr>
      <w:r w:rsidRPr="006C22A4">
        <w:rPr>
          <w:szCs w:val="22"/>
        </w:rPr>
        <w:t>Vlastné imanie SSEH sa v roku 2022 znížilo oproti predchádzajúcemu roku o 70 574 tis. eur vplyvom  vyplatených dividend vo výške 146 622 tis. eur (dividenda pripadajúca na majetkový podiel štátu vo výške 74 777 tis. eur bola považovaná za dividendu v plnej výške aj z hľadiska metodiky ESA 2010).</w:t>
      </w:r>
      <w:r>
        <w:rPr>
          <w:szCs w:val="22"/>
        </w:rPr>
        <w:t xml:space="preserve"> Negatívny vplyv výplaty dividend čiastočne zmiernil výsledok hospodárenia generovaný za rok 2022 vo forme zisku na úrovni 76 047 tis. eur.</w:t>
      </w:r>
    </w:p>
    <w:p w14:paraId="3FB70879" w14:textId="76012195" w:rsidR="00FA1620" w:rsidRDefault="00FA1620" w:rsidP="00886720">
      <w:pPr>
        <w:spacing w:after="120" w:line="240" w:lineRule="auto"/>
        <w:jc w:val="both"/>
        <w:rPr>
          <w:szCs w:val="22"/>
        </w:rPr>
      </w:pPr>
      <w:r w:rsidRPr="00D14089">
        <w:rPr>
          <w:szCs w:val="22"/>
        </w:rPr>
        <w:t xml:space="preserve">Čistý zisk klesol oproti predchádzajúcemu roku o 66,6 % vplyvom nižších výnosov z prijatých dividend, ktoré medziročne klesli o 66,3 % (z dôvodu nižších dividend vyplatených dcérskou spoločnosťou  Stredoslovenská distribučná, </w:t>
      </w:r>
      <w:proofErr w:type="spellStart"/>
      <w:r w:rsidRPr="00D14089">
        <w:rPr>
          <w:szCs w:val="22"/>
        </w:rPr>
        <w:t>a.s</w:t>
      </w:r>
      <w:proofErr w:type="spellEnd"/>
      <w:r w:rsidRPr="00D14089">
        <w:rPr>
          <w:szCs w:val="22"/>
        </w:rPr>
        <w:t>., vyplatenie nižšieho objemu dividend bol spôsobený absenciou výplaty dividend zo zisku minulých období, ako aj medziročným pokleso</w:t>
      </w:r>
      <w:r w:rsidR="00BA6551">
        <w:rPr>
          <w:szCs w:val="22"/>
        </w:rPr>
        <w:t xml:space="preserve">m zisku za bežné obdobie o 48,4 % </w:t>
      </w:r>
      <w:r>
        <w:rPr>
          <w:szCs w:val="22"/>
        </w:rPr>
        <w:t>z</w:t>
      </w:r>
      <w:r w:rsidR="00BA6551">
        <w:rPr>
          <w:szCs w:val="22"/>
        </w:rPr>
        <w:t> </w:t>
      </w:r>
      <w:r>
        <w:rPr>
          <w:szCs w:val="22"/>
        </w:rPr>
        <w:t>dôvodu</w:t>
      </w:r>
      <w:r w:rsidRPr="00D14089">
        <w:rPr>
          <w:szCs w:val="22"/>
        </w:rPr>
        <w:t xml:space="preserve"> zmeny korekcie výnosov z TPS z pozitívneho vplyvu vo výške 74 307 tis. eur v roku 2020 na negatívny vplyv vo výške 68 098 tis. eur v roku 2021).</w:t>
      </w:r>
      <w:r>
        <w:rPr>
          <w:szCs w:val="22"/>
        </w:rPr>
        <w:t xml:space="preserve"> Negatívny vplyv výnosov z prijatých dividend umocnil aj negatívny vplyv ostatných prevádzkových výnosov, vplyvom absencie zrušenia opravnej položky k úveru poskytnutému dcérskej spoločnosti SSE-PD zúčtovanej v minulom roku.</w:t>
      </w:r>
    </w:p>
    <w:p w14:paraId="6BCCE238" w14:textId="77777777" w:rsidR="00FA1620" w:rsidRDefault="00FA1620" w:rsidP="00886720">
      <w:pPr>
        <w:spacing w:after="120" w:line="240" w:lineRule="auto"/>
        <w:jc w:val="both"/>
        <w:rPr>
          <w:szCs w:val="22"/>
        </w:rPr>
      </w:pPr>
      <w:r>
        <w:rPr>
          <w:szCs w:val="22"/>
        </w:rPr>
        <w:t>Negatívny vplyv uvedených položiek čiastočne eliminoval pozitívny vplyv ostatných finančných výnosov z dôvodu zrušenia opravnej položky k finančnej investície (zánik rizika zníženej návratnosti hodnoty investície).</w:t>
      </w:r>
    </w:p>
    <w:p w14:paraId="2E0F7D80" w14:textId="77777777" w:rsidR="00FA1620" w:rsidRDefault="00FA1620" w:rsidP="00886720">
      <w:pPr>
        <w:spacing w:after="120" w:line="240" w:lineRule="auto"/>
        <w:jc w:val="both"/>
        <w:rPr>
          <w:szCs w:val="22"/>
        </w:rPr>
      </w:pPr>
      <w:r>
        <w:rPr>
          <w:szCs w:val="22"/>
        </w:rPr>
        <w:t xml:space="preserve">V apríli 2022 nadobudla SSEH majetkový podiel (51,0 %) v spoločnosti PW </w:t>
      </w:r>
      <w:proofErr w:type="spellStart"/>
      <w:r>
        <w:rPr>
          <w:szCs w:val="22"/>
        </w:rPr>
        <w:t>geoenergy</w:t>
      </w:r>
      <w:proofErr w:type="spellEnd"/>
      <w:r>
        <w:rPr>
          <w:szCs w:val="22"/>
        </w:rPr>
        <w:t xml:space="preserve">, </w:t>
      </w:r>
      <w:proofErr w:type="spellStart"/>
      <w:r>
        <w:rPr>
          <w:szCs w:val="22"/>
        </w:rPr>
        <w:t>a.s</w:t>
      </w:r>
      <w:proofErr w:type="spellEnd"/>
      <w:r>
        <w:rPr>
          <w:szCs w:val="22"/>
        </w:rPr>
        <w:t xml:space="preserve">., ktorá vznikla za účelom realizácie projektu geotermálnej elektrárne v okrese Žiar nad Hronom. Celkový predpokladaný inštalovaný výkon bude 20 </w:t>
      </w:r>
      <w:proofErr w:type="spellStart"/>
      <w:r>
        <w:rPr>
          <w:szCs w:val="22"/>
        </w:rPr>
        <w:t>MWe</w:t>
      </w:r>
      <w:proofErr w:type="spellEnd"/>
      <w:r>
        <w:rPr>
          <w:szCs w:val="22"/>
        </w:rPr>
        <w:t xml:space="preserve"> v troch strediskách, prípadne využitie tepla z geotermálneho zdroja.</w:t>
      </w:r>
    </w:p>
    <w:p w14:paraId="3D7FB34E" w14:textId="77777777" w:rsidR="00FD652C" w:rsidRDefault="00FD652C">
      <w:pPr>
        <w:rPr>
          <w:b/>
          <w:szCs w:val="22"/>
          <w:lang w:eastAsia="sk-SK"/>
        </w:rPr>
      </w:pPr>
      <w:r>
        <w:rPr>
          <w:b/>
          <w:szCs w:val="22"/>
          <w:lang w:eastAsia="sk-SK"/>
        </w:rPr>
        <w:br w:type="page"/>
      </w:r>
    </w:p>
    <w:p w14:paraId="234E546B" w14:textId="2310259D" w:rsidR="00FA1620" w:rsidRPr="00504FFD" w:rsidRDefault="00FA1620" w:rsidP="00FA1620">
      <w:pPr>
        <w:spacing w:after="120" w:line="336" w:lineRule="auto"/>
        <w:jc w:val="both"/>
        <w:rPr>
          <w:b/>
          <w:szCs w:val="22"/>
          <w:lang w:eastAsia="sk-SK"/>
        </w:rPr>
      </w:pPr>
      <w:r w:rsidRPr="00504FFD">
        <w:rPr>
          <w:b/>
          <w:szCs w:val="22"/>
          <w:lang w:eastAsia="sk-SK"/>
        </w:rPr>
        <w:lastRenderedPageBreak/>
        <w:t>Železnice Slovenskej Republiky (ďalej „ŽSR“)</w:t>
      </w:r>
    </w:p>
    <w:p w14:paraId="0F095A33" w14:textId="34D58CAE" w:rsidR="00FA1620" w:rsidRDefault="00FA1620" w:rsidP="00886720">
      <w:pPr>
        <w:spacing w:after="120" w:line="240" w:lineRule="auto"/>
        <w:jc w:val="both"/>
        <w:rPr>
          <w:szCs w:val="22"/>
        </w:rPr>
      </w:pPr>
      <w:r w:rsidRPr="00504FFD">
        <w:rPr>
          <w:szCs w:val="22"/>
        </w:rPr>
        <w:t>Štruktúra zmien vlastného imania sa vyvíjala pomerne stabilne. Významným prvkom s vplyvom na vývoj</w:t>
      </w:r>
      <w:r w:rsidRPr="00504FFD">
        <w:rPr>
          <w:szCs w:val="22"/>
          <w:lang w:eastAsia="sk-SK"/>
        </w:rPr>
        <w:t xml:space="preserve"> zmeny stavu vlastného imania bol výsledok bežného obdobia (</w:t>
      </w:r>
      <w:r w:rsidRPr="001C5C5D">
        <w:rPr>
          <w:szCs w:val="22"/>
        </w:rPr>
        <w:t>generovaný vo forme straty) s negatívnym vplyvom na zmenu stavu vlastného imania. Počas sledovaného obdobia bol zdrojom pozitívneho vplyvu na zmenu stavu vlastného imania nepeňažný vklad</w:t>
      </w:r>
      <w:r>
        <w:rPr>
          <w:szCs w:val="22"/>
        </w:rPr>
        <w:t>,</w:t>
      </w:r>
      <w:r w:rsidRPr="001C5C5D">
        <w:rPr>
          <w:szCs w:val="22"/>
        </w:rPr>
        <w:t xml:space="preserve"> s výnimkou roka 2022 (skúmanie právneho nároku na pozemky spravované spoločnosťou a následná korekcia administratívnych hodnôt majetku). </w:t>
      </w:r>
      <w:r>
        <w:rPr>
          <w:szCs w:val="22"/>
        </w:rPr>
        <w:t>Pozitívny vplyv aktualizácie hodnoty zamestnaneckých požitkov bol zaznamenaný počas roka 2022.</w:t>
      </w:r>
    </w:p>
    <w:p w14:paraId="7F82C6CC" w14:textId="042E719E" w:rsidR="0016158F" w:rsidRDefault="0016158F" w:rsidP="00886720">
      <w:pPr>
        <w:spacing w:after="120" w:line="240" w:lineRule="auto"/>
        <w:jc w:val="both"/>
        <w:rPr>
          <w:szCs w:val="22"/>
        </w:rPr>
      </w:pPr>
      <w:r>
        <w:rPr>
          <w:b/>
          <w:bCs/>
          <w:color w:val="4F81BD"/>
          <w:sz w:val="20"/>
          <w:szCs w:val="20"/>
          <w:lang w:eastAsia="sk-SK"/>
        </w:rPr>
        <w:t>Graf 13</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Vývoj zmien imania ŽSR</w:t>
      </w:r>
    </w:p>
    <w:p w14:paraId="74D61B62" w14:textId="77777777" w:rsidR="00FA1620" w:rsidRPr="001B4DEC" w:rsidRDefault="00FA1620" w:rsidP="00FA1620">
      <w:pPr>
        <w:spacing w:after="120" w:line="336" w:lineRule="auto"/>
        <w:rPr>
          <w:color w:val="FF0000"/>
          <w:szCs w:val="22"/>
          <w:lang w:eastAsia="sk-SK"/>
        </w:rPr>
      </w:pPr>
      <w:r>
        <w:rPr>
          <w:noProof/>
          <w:lang w:eastAsia="sk-SK"/>
        </w:rPr>
        <w:drawing>
          <wp:inline distT="0" distB="0" distL="0" distR="0" wp14:anchorId="4DBFAC28" wp14:editId="4D3C6514">
            <wp:extent cx="5760085" cy="3173730"/>
            <wp:effectExtent l="0" t="0" r="0" b="7620"/>
            <wp:docPr id="1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pic:cNvPicPr>
                      <a:picLocks noChangeAspect="1"/>
                    </pic:cNvPicPr>
                  </pic:nvPicPr>
                  <pic:blipFill>
                    <a:blip r:embed="rId23"/>
                    <a:stretch>
                      <a:fillRect/>
                    </a:stretch>
                  </pic:blipFill>
                  <pic:spPr>
                    <a:xfrm>
                      <a:off x="0" y="0"/>
                      <a:ext cx="5760085" cy="3173730"/>
                    </a:xfrm>
                    <a:prstGeom prst="rect">
                      <a:avLst/>
                    </a:prstGeom>
                  </pic:spPr>
                </pic:pic>
              </a:graphicData>
            </a:graphic>
          </wp:inline>
        </w:drawing>
      </w:r>
    </w:p>
    <w:p w14:paraId="54E57C08" w14:textId="77777777" w:rsidR="00FA1620" w:rsidRPr="001C5C5D" w:rsidRDefault="00FA1620" w:rsidP="00886720">
      <w:pPr>
        <w:spacing w:after="120" w:line="240" w:lineRule="auto"/>
        <w:jc w:val="both"/>
        <w:rPr>
          <w:szCs w:val="22"/>
          <w:lang w:eastAsia="sk-SK"/>
        </w:rPr>
      </w:pPr>
      <w:r w:rsidRPr="001C5C5D">
        <w:rPr>
          <w:szCs w:val="22"/>
          <w:lang w:eastAsia="sk-SK"/>
        </w:rPr>
        <w:t>Vlastné imanie ŽSR sa v roku 2022 znížilo oproti predchádzajúcemu roku o 79 031 tis. eur  najmä vplyvom výsledku hospodárenia za bežné obdobie generovaného vo forme straty vo výške 78 173 tis. eur.</w:t>
      </w:r>
    </w:p>
    <w:p w14:paraId="02D41B72" w14:textId="77777777" w:rsidR="00FA1620" w:rsidRDefault="00FA1620" w:rsidP="00886720">
      <w:pPr>
        <w:spacing w:after="120" w:line="240" w:lineRule="auto"/>
        <w:jc w:val="both"/>
        <w:rPr>
          <w:szCs w:val="22"/>
          <w:lang w:eastAsia="sk-SK"/>
        </w:rPr>
      </w:pPr>
      <w:r>
        <w:rPr>
          <w:szCs w:val="22"/>
        </w:rPr>
        <w:t>P</w:t>
      </w:r>
      <w:r w:rsidRPr="00192A43">
        <w:rPr>
          <w:szCs w:val="22"/>
        </w:rPr>
        <w:t>rehlbujúca</w:t>
      </w:r>
      <w:r w:rsidRPr="00192A43">
        <w:rPr>
          <w:szCs w:val="22"/>
          <w:lang w:eastAsia="sk-SK"/>
        </w:rPr>
        <w:t xml:space="preserve"> sa strata medziročne vykázala trojnásobnú zmenu z dôvodu rýchlejšieho rastu prevádzkových nákladov (o 31,1 %) ako  výnosov (o 17,1 %). Hlavný vplyv na rast prevádzkových </w:t>
      </w:r>
      <w:r w:rsidRPr="000B3E11">
        <w:rPr>
          <w:szCs w:val="22"/>
          <w:lang w:eastAsia="sk-SK"/>
        </w:rPr>
        <w:t>nákladov mali vyššie náklady na energie o 113,5 % (najmä zvýše</w:t>
      </w:r>
      <w:r>
        <w:rPr>
          <w:szCs w:val="22"/>
          <w:lang w:eastAsia="sk-SK"/>
        </w:rPr>
        <w:t>né</w:t>
      </w:r>
      <w:r w:rsidRPr="000B3E11">
        <w:rPr>
          <w:szCs w:val="22"/>
          <w:lang w:eastAsia="sk-SK"/>
        </w:rPr>
        <w:t xml:space="preserve"> náklady na elektrickú energiu z dôvodu vyšších nákupných cien), ostatn</w:t>
      </w:r>
      <w:r>
        <w:rPr>
          <w:szCs w:val="22"/>
          <w:lang w:eastAsia="sk-SK"/>
        </w:rPr>
        <w:t>é</w:t>
      </w:r>
      <w:r w:rsidRPr="000B3E11">
        <w:rPr>
          <w:szCs w:val="22"/>
          <w:lang w:eastAsia="sk-SK"/>
        </w:rPr>
        <w:t xml:space="preserve"> prevádzkov</w:t>
      </w:r>
      <w:r>
        <w:rPr>
          <w:szCs w:val="22"/>
          <w:lang w:eastAsia="sk-SK"/>
        </w:rPr>
        <w:t>é náklady</w:t>
      </w:r>
      <w:r w:rsidRPr="000B3E11">
        <w:rPr>
          <w:szCs w:val="22"/>
          <w:lang w:eastAsia="sk-SK"/>
        </w:rPr>
        <w:t xml:space="preserve"> vyšš</w:t>
      </w:r>
      <w:r>
        <w:rPr>
          <w:szCs w:val="22"/>
          <w:lang w:eastAsia="sk-SK"/>
        </w:rPr>
        <w:t>ie</w:t>
      </w:r>
      <w:r w:rsidRPr="000B3E11">
        <w:rPr>
          <w:szCs w:val="22"/>
          <w:lang w:eastAsia="sk-SK"/>
        </w:rPr>
        <w:t xml:space="preserve"> 6 násobne (vplyv tvorby opravných položiek k pohľadávkam a zvýšenie stavu rezervy na environmentálnu záťaž) a osobné </w:t>
      </w:r>
      <w:r w:rsidRPr="00E66D45">
        <w:rPr>
          <w:szCs w:val="22"/>
          <w:lang w:eastAsia="sk-SK"/>
        </w:rPr>
        <w:t xml:space="preserve">náklady vyššie o 6,6 % (vplyvom rastu </w:t>
      </w:r>
      <w:r>
        <w:rPr>
          <w:szCs w:val="22"/>
          <w:lang w:eastAsia="sk-SK"/>
        </w:rPr>
        <w:t xml:space="preserve">mzdovej </w:t>
      </w:r>
      <w:r w:rsidRPr="00E66D45">
        <w:rPr>
          <w:szCs w:val="22"/>
          <w:lang w:eastAsia="sk-SK"/>
        </w:rPr>
        <w:t xml:space="preserve">tarify o sumu 45 eur mesačne s účinnosťou od 1. apríla 2022 na základe Dodatku č. 4 ku Kolektívnej zmluve ŽSR 2021 - 2023). </w:t>
      </w:r>
    </w:p>
    <w:p w14:paraId="1E2DA468" w14:textId="77777777" w:rsidR="00FA1620" w:rsidRPr="006D2552" w:rsidRDefault="00FA1620" w:rsidP="00886720">
      <w:pPr>
        <w:spacing w:after="120" w:line="240" w:lineRule="auto"/>
        <w:jc w:val="both"/>
        <w:rPr>
          <w:szCs w:val="22"/>
        </w:rPr>
      </w:pPr>
      <w:r w:rsidRPr="00E66D45">
        <w:rPr>
          <w:szCs w:val="22"/>
          <w:lang w:eastAsia="sk-SK"/>
        </w:rPr>
        <w:t xml:space="preserve">V roku </w:t>
      </w:r>
      <w:r w:rsidRPr="00E66D45">
        <w:rPr>
          <w:szCs w:val="22"/>
        </w:rPr>
        <w:t>2022</w:t>
      </w:r>
      <w:r w:rsidRPr="00E66D45">
        <w:rPr>
          <w:szCs w:val="22"/>
          <w:lang w:eastAsia="sk-SK"/>
        </w:rPr>
        <w:t xml:space="preserve"> bol  zaznamenaný  rast tržieb z prevádzkovania železničnej </w:t>
      </w:r>
      <w:r w:rsidRPr="00E225CB">
        <w:rPr>
          <w:szCs w:val="22"/>
          <w:lang w:eastAsia="sk-SK"/>
        </w:rPr>
        <w:t xml:space="preserve">infraštruktúry vďaka zvýšenia výnosov za prístup železničnej infraštruktúry pre nákladnú dopravu (o 26,5 %). Zvýšený objem výkonov bol pritom zaznamenaný v oblasti osobnej dopravy zo strany Železničnej spoločnosti Slovensko, </w:t>
      </w:r>
      <w:proofErr w:type="spellStart"/>
      <w:r w:rsidRPr="00E225CB">
        <w:rPr>
          <w:szCs w:val="22"/>
          <w:lang w:eastAsia="sk-SK"/>
        </w:rPr>
        <w:t>a.s</w:t>
      </w:r>
      <w:proofErr w:type="spellEnd"/>
      <w:r w:rsidRPr="00E225CB">
        <w:rPr>
          <w:szCs w:val="22"/>
          <w:lang w:eastAsia="sk-SK"/>
        </w:rPr>
        <w:t xml:space="preserve">., ktorý </w:t>
      </w:r>
      <w:r w:rsidRPr="00E225CB">
        <w:rPr>
          <w:szCs w:val="22"/>
        </w:rPr>
        <w:t xml:space="preserve">sa prejavil rastom výnosov z dotácii na prevádzkovanie železničnej </w:t>
      </w:r>
      <w:r>
        <w:rPr>
          <w:szCs w:val="22"/>
        </w:rPr>
        <w:t xml:space="preserve">infraštruktúry o 15,0 % (záverečné hodnotenie plnenia za rok 2022 bude protokolárne vyhodnotené do konca roka 2023). Rast </w:t>
      </w:r>
      <w:r w:rsidRPr="006D2552">
        <w:rPr>
          <w:szCs w:val="22"/>
        </w:rPr>
        <w:t xml:space="preserve">prevádzkových výnosov bol zaznamenaný aj vďaka rastu výnosov z predaja trakčnej elektrickej energie o 38,1 % z dôvodu vyšších </w:t>
      </w:r>
      <w:proofErr w:type="spellStart"/>
      <w:r w:rsidRPr="006D2552">
        <w:rPr>
          <w:szCs w:val="22"/>
        </w:rPr>
        <w:t>zazmluvnených</w:t>
      </w:r>
      <w:proofErr w:type="spellEnd"/>
      <w:r w:rsidRPr="006D2552">
        <w:rPr>
          <w:szCs w:val="22"/>
        </w:rPr>
        <w:t xml:space="preserve"> cien pre dopravcov.</w:t>
      </w:r>
    </w:p>
    <w:p w14:paraId="5808E1E7" w14:textId="77777777" w:rsidR="00FA1620" w:rsidRPr="00886720" w:rsidRDefault="00FA1620" w:rsidP="00886720">
      <w:pPr>
        <w:spacing w:after="120" w:line="240" w:lineRule="auto"/>
        <w:jc w:val="both"/>
        <w:rPr>
          <w:szCs w:val="22"/>
        </w:rPr>
      </w:pPr>
      <w:r w:rsidRPr="006D2552">
        <w:rPr>
          <w:szCs w:val="22"/>
        </w:rPr>
        <w:t xml:space="preserve">Počas roka </w:t>
      </w:r>
      <w:r w:rsidRPr="00522120">
        <w:rPr>
          <w:szCs w:val="22"/>
        </w:rPr>
        <w:t xml:space="preserve">2022  ŽSR pokračovala v modernizovaní a rekonštrukcii železničnej infraštruktúry. Celkom </w:t>
      </w:r>
      <w:r>
        <w:rPr>
          <w:szCs w:val="22"/>
        </w:rPr>
        <w:t xml:space="preserve">bolo </w:t>
      </w:r>
      <w:r w:rsidRPr="00522120">
        <w:rPr>
          <w:szCs w:val="22"/>
        </w:rPr>
        <w:t>preinvestova</w:t>
      </w:r>
      <w:r>
        <w:rPr>
          <w:szCs w:val="22"/>
        </w:rPr>
        <w:t>ných</w:t>
      </w:r>
      <w:r w:rsidRPr="00522120">
        <w:rPr>
          <w:szCs w:val="22"/>
        </w:rPr>
        <w:t xml:space="preserve"> 235 386 tis. eur financovaných na 85,2 % z kapitálových dotáci</w:t>
      </w:r>
      <w:r>
        <w:rPr>
          <w:szCs w:val="22"/>
        </w:rPr>
        <w:t>í</w:t>
      </w:r>
      <w:r w:rsidRPr="00522120">
        <w:rPr>
          <w:szCs w:val="22"/>
        </w:rPr>
        <w:t>. Zároveň boli spracované štúdie realizovateľnosti pre</w:t>
      </w:r>
      <w:r>
        <w:rPr>
          <w:szCs w:val="22"/>
        </w:rPr>
        <w:t xml:space="preserve"> projekty</w:t>
      </w:r>
      <w:r w:rsidRPr="00522120">
        <w:rPr>
          <w:szCs w:val="22"/>
        </w:rPr>
        <w:t xml:space="preserve"> </w:t>
      </w:r>
      <w:proofErr w:type="spellStart"/>
      <w:r w:rsidRPr="00522120">
        <w:rPr>
          <w:szCs w:val="22"/>
        </w:rPr>
        <w:t>Zdvojkoľajnenie</w:t>
      </w:r>
      <w:proofErr w:type="spellEnd"/>
      <w:r w:rsidRPr="00522120">
        <w:rPr>
          <w:szCs w:val="22"/>
        </w:rPr>
        <w:t xml:space="preserve"> tr</w:t>
      </w:r>
      <w:r>
        <w:rPr>
          <w:szCs w:val="22"/>
        </w:rPr>
        <w:t>a</w:t>
      </w:r>
      <w:r w:rsidRPr="00522120">
        <w:rPr>
          <w:szCs w:val="22"/>
        </w:rPr>
        <w:t xml:space="preserve">te Devínska Nová Ves – </w:t>
      </w:r>
      <w:proofErr w:type="spellStart"/>
      <w:r w:rsidRPr="00522120">
        <w:rPr>
          <w:szCs w:val="22"/>
        </w:rPr>
        <w:t>Marchegg</w:t>
      </w:r>
      <w:proofErr w:type="spellEnd"/>
      <w:r w:rsidRPr="00522120">
        <w:rPr>
          <w:szCs w:val="22"/>
        </w:rPr>
        <w:t xml:space="preserve"> štátna hranica a </w:t>
      </w:r>
      <w:r>
        <w:rPr>
          <w:szCs w:val="22"/>
        </w:rPr>
        <w:t>O</w:t>
      </w:r>
      <w:r w:rsidRPr="00522120">
        <w:rPr>
          <w:szCs w:val="22"/>
        </w:rPr>
        <w:t>ptimalizácia trate Jelšovce – Prievidza. Súčasne bol ukončený aj proces prípravy a hodnotenia projektov zaradených do Plánu obnovy a odolnosti.</w:t>
      </w:r>
    </w:p>
    <w:p w14:paraId="2FFEBBD4" w14:textId="77777777" w:rsidR="00FD652C" w:rsidRDefault="00FD652C">
      <w:pPr>
        <w:rPr>
          <w:b/>
          <w:szCs w:val="22"/>
          <w:lang w:eastAsia="sk-SK"/>
        </w:rPr>
      </w:pPr>
      <w:r>
        <w:rPr>
          <w:b/>
          <w:szCs w:val="22"/>
          <w:lang w:eastAsia="sk-SK"/>
        </w:rPr>
        <w:br w:type="page"/>
      </w:r>
    </w:p>
    <w:p w14:paraId="67CF4DA2" w14:textId="4C9CA1F9" w:rsidR="00FA1620" w:rsidRPr="00504FFD" w:rsidRDefault="00FA1620" w:rsidP="00FA1620">
      <w:pPr>
        <w:spacing w:after="120" w:line="336" w:lineRule="auto"/>
        <w:jc w:val="both"/>
        <w:rPr>
          <w:b/>
          <w:szCs w:val="22"/>
          <w:lang w:eastAsia="sk-SK"/>
        </w:rPr>
      </w:pPr>
      <w:r>
        <w:rPr>
          <w:b/>
          <w:szCs w:val="22"/>
          <w:lang w:eastAsia="sk-SK"/>
        </w:rPr>
        <w:lastRenderedPageBreak/>
        <w:t xml:space="preserve">Všeobecná zdravotná poisťovňa, </w:t>
      </w:r>
      <w:proofErr w:type="spellStart"/>
      <w:r>
        <w:rPr>
          <w:b/>
          <w:szCs w:val="22"/>
          <w:lang w:eastAsia="sk-SK"/>
        </w:rPr>
        <w:t>a.s</w:t>
      </w:r>
      <w:proofErr w:type="spellEnd"/>
      <w:r>
        <w:rPr>
          <w:b/>
          <w:szCs w:val="22"/>
          <w:lang w:eastAsia="sk-SK"/>
        </w:rPr>
        <w:t>.</w:t>
      </w:r>
      <w:r w:rsidRPr="00504FFD">
        <w:rPr>
          <w:b/>
          <w:szCs w:val="22"/>
          <w:lang w:eastAsia="sk-SK"/>
        </w:rPr>
        <w:t xml:space="preserve"> (ďalej „</w:t>
      </w:r>
      <w:proofErr w:type="spellStart"/>
      <w:r>
        <w:rPr>
          <w:b/>
          <w:szCs w:val="22"/>
          <w:lang w:eastAsia="sk-SK"/>
        </w:rPr>
        <w:t>VšZP</w:t>
      </w:r>
      <w:proofErr w:type="spellEnd"/>
      <w:r w:rsidRPr="00504FFD">
        <w:rPr>
          <w:b/>
          <w:szCs w:val="22"/>
          <w:lang w:eastAsia="sk-SK"/>
        </w:rPr>
        <w:t>“)</w:t>
      </w:r>
    </w:p>
    <w:p w14:paraId="16E21D37" w14:textId="4B89CEBE" w:rsidR="00FA1620" w:rsidRDefault="00FA1620" w:rsidP="00886720">
      <w:pPr>
        <w:spacing w:after="120" w:line="240" w:lineRule="auto"/>
        <w:jc w:val="both"/>
        <w:rPr>
          <w:szCs w:val="22"/>
        </w:rPr>
      </w:pPr>
      <w:r w:rsidRPr="00D120DE">
        <w:rPr>
          <w:szCs w:val="22"/>
        </w:rPr>
        <w:t xml:space="preserve">Počas sledovaného obdobia bol výsledok hospodárenia bežného obdobia </w:t>
      </w:r>
      <w:proofErr w:type="spellStart"/>
      <w:r w:rsidRPr="00D120DE">
        <w:rPr>
          <w:szCs w:val="22"/>
        </w:rPr>
        <w:t>VšZP</w:t>
      </w:r>
      <w:proofErr w:type="spellEnd"/>
      <w:r w:rsidRPr="00D120DE">
        <w:rPr>
          <w:szCs w:val="22"/>
        </w:rPr>
        <w:t xml:space="preserve"> položkou s významne negatívnym vplyvom na zmenu stavu vlastného imania. Na zmiernenie celkového efektu vývoja a posilnenie finančnej stability </w:t>
      </w:r>
      <w:proofErr w:type="spellStart"/>
      <w:r w:rsidRPr="00D120DE">
        <w:rPr>
          <w:szCs w:val="22"/>
        </w:rPr>
        <w:t>VšZP</w:t>
      </w:r>
      <w:proofErr w:type="spellEnd"/>
      <w:r w:rsidRPr="00D120DE">
        <w:rPr>
          <w:szCs w:val="22"/>
        </w:rPr>
        <w:t xml:space="preserve"> zrealizoval akcionár počas roka 2020 a</w:t>
      </w:r>
      <w:r>
        <w:rPr>
          <w:szCs w:val="22"/>
        </w:rPr>
        <w:t xml:space="preserve"> 2022 vklad do imania.  Ocenenie</w:t>
      </w:r>
      <w:r w:rsidRPr="00D120DE">
        <w:rPr>
          <w:szCs w:val="22"/>
        </w:rPr>
        <w:t xml:space="preserve"> vzhľadom na veľkosť vplyvu možno považovať na nevýznamné.</w:t>
      </w:r>
    </w:p>
    <w:p w14:paraId="00CD3574" w14:textId="13299A09" w:rsidR="00EF2678" w:rsidRPr="00D120DE" w:rsidRDefault="00EF2678" w:rsidP="00886720">
      <w:pPr>
        <w:spacing w:after="120" w:line="240" w:lineRule="auto"/>
        <w:jc w:val="both"/>
        <w:rPr>
          <w:szCs w:val="22"/>
        </w:rPr>
      </w:pPr>
      <w:r>
        <w:rPr>
          <w:b/>
          <w:bCs/>
          <w:color w:val="4F81BD"/>
          <w:sz w:val="20"/>
          <w:szCs w:val="20"/>
          <w:lang w:eastAsia="sk-SK"/>
        </w:rPr>
        <w:t>Graf 14</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 xml:space="preserve">Vývoj zmien imania </w:t>
      </w:r>
      <w:proofErr w:type="spellStart"/>
      <w:r>
        <w:rPr>
          <w:b/>
          <w:bCs/>
          <w:color w:val="4F81BD"/>
          <w:sz w:val="20"/>
          <w:szCs w:val="20"/>
          <w:lang w:eastAsia="sk-SK"/>
        </w:rPr>
        <w:t>VšZP</w:t>
      </w:r>
      <w:proofErr w:type="spellEnd"/>
      <w:r>
        <w:rPr>
          <w:b/>
          <w:bCs/>
          <w:color w:val="4F81BD"/>
          <w:sz w:val="20"/>
          <w:szCs w:val="20"/>
          <w:lang w:eastAsia="sk-SK"/>
        </w:rPr>
        <w:t xml:space="preserve">, </w:t>
      </w:r>
      <w:proofErr w:type="spellStart"/>
      <w:r>
        <w:rPr>
          <w:b/>
          <w:bCs/>
          <w:color w:val="4F81BD"/>
          <w:sz w:val="20"/>
          <w:szCs w:val="20"/>
          <w:lang w:eastAsia="sk-SK"/>
        </w:rPr>
        <w:t>a.s</w:t>
      </w:r>
      <w:proofErr w:type="spellEnd"/>
      <w:r>
        <w:rPr>
          <w:b/>
          <w:bCs/>
          <w:color w:val="4F81BD"/>
          <w:sz w:val="20"/>
          <w:szCs w:val="20"/>
          <w:lang w:eastAsia="sk-SK"/>
        </w:rPr>
        <w:t>.</w:t>
      </w:r>
    </w:p>
    <w:p w14:paraId="7B8786E4" w14:textId="77777777" w:rsidR="00FA1620" w:rsidRPr="00D120DE" w:rsidRDefault="00FA1620" w:rsidP="00FA1620">
      <w:pPr>
        <w:jc w:val="center"/>
        <w:rPr>
          <w:color w:val="FF0000"/>
          <w:szCs w:val="22"/>
        </w:rPr>
      </w:pPr>
      <w:r>
        <w:rPr>
          <w:noProof/>
          <w:color w:val="FF0000"/>
          <w:szCs w:val="22"/>
          <w:lang w:eastAsia="sk-SK"/>
        </w:rPr>
        <w:drawing>
          <wp:inline distT="0" distB="0" distL="0" distR="0" wp14:anchorId="20FE9559" wp14:editId="61B42C14">
            <wp:extent cx="5745192" cy="3348999"/>
            <wp:effectExtent l="0" t="0" r="8255" b="381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222" cy="3357177"/>
                    </a:xfrm>
                    <a:prstGeom prst="rect">
                      <a:avLst/>
                    </a:prstGeom>
                    <a:noFill/>
                  </pic:spPr>
                </pic:pic>
              </a:graphicData>
            </a:graphic>
          </wp:inline>
        </w:drawing>
      </w:r>
    </w:p>
    <w:p w14:paraId="194ED6B6" w14:textId="77777777" w:rsidR="00FA1620" w:rsidRPr="00080977" w:rsidRDefault="00FA1620" w:rsidP="00886720">
      <w:pPr>
        <w:spacing w:after="120" w:line="240" w:lineRule="auto"/>
        <w:jc w:val="both"/>
        <w:rPr>
          <w:szCs w:val="22"/>
        </w:rPr>
      </w:pPr>
      <w:r w:rsidRPr="00293B6D">
        <w:rPr>
          <w:szCs w:val="22"/>
        </w:rPr>
        <w:t xml:space="preserve">Vlastné imanie </w:t>
      </w:r>
      <w:proofErr w:type="spellStart"/>
      <w:r w:rsidRPr="00293B6D">
        <w:rPr>
          <w:szCs w:val="22"/>
        </w:rPr>
        <w:t>VšZP</w:t>
      </w:r>
      <w:proofErr w:type="spellEnd"/>
      <w:r w:rsidRPr="00293B6D">
        <w:rPr>
          <w:szCs w:val="22"/>
        </w:rPr>
        <w:t xml:space="preserve"> sa v roku 2022 zvýšilo o 6 30</w:t>
      </w:r>
      <w:r>
        <w:rPr>
          <w:szCs w:val="22"/>
        </w:rPr>
        <w:t>0</w:t>
      </w:r>
      <w:r w:rsidRPr="00293B6D">
        <w:rPr>
          <w:szCs w:val="22"/>
        </w:rPr>
        <w:t xml:space="preserve"> tis. eur vplyvom vkladu do základného imania zrealizovaného akcionárom vo výške 160 000 tis. eur. Pozitívny vplyv vkladu bol čiastočne eliminovaný </w:t>
      </w:r>
      <w:r w:rsidRPr="00080977">
        <w:rPr>
          <w:szCs w:val="22"/>
        </w:rPr>
        <w:t>negatívnym vplyvom vygenerovanej strata za bežné obdobie vo výške 153 769 tis. eur.</w:t>
      </w:r>
    </w:p>
    <w:p w14:paraId="008FBD97" w14:textId="77777777" w:rsidR="00FA1620" w:rsidRDefault="00FA1620" w:rsidP="00886720">
      <w:pPr>
        <w:spacing w:after="120" w:line="240" w:lineRule="auto"/>
        <w:jc w:val="both"/>
        <w:rPr>
          <w:szCs w:val="22"/>
        </w:rPr>
      </w:pPr>
      <w:r w:rsidRPr="00080977">
        <w:rPr>
          <w:szCs w:val="22"/>
        </w:rPr>
        <w:t>Strata generovaná za bežné obdobie sa medziročne prehĺbila o 77,3 % (z úrovne 86 750 tis. eur za rok 2021 na </w:t>
      </w:r>
      <w:r w:rsidRPr="0044743D">
        <w:rPr>
          <w:szCs w:val="22"/>
        </w:rPr>
        <w:t xml:space="preserve">153 769 tis. eur za rok 2022), najmä vplyvom výsledku zo zdravotného poistenia. Výnosy z prijatého poistného rástli pomalšie  (o </w:t>
      </w:r>
      <w:r>
        <w:rPr>
          <w:szCs w:val="22"/>
        </w:rPr>
        <w:t>4,8</w:t>
      </w:r>
      <w:r w:rsidRPr="0044743D">
        <w:rPr>
          <w:szCs w:val="22"/>
        </w:rPr>
        <w:t xml:space="preserve"> </w:t>
      </w:r>
      <w:r w:rsidRPr="008F2BCD">
        <w:rPr>
          <w:szCs w:val="22"/>
        </w:rPr>
        <w:t>%) ako náklady na zdravotnú starostlivosť (o 7,5 %).  Medziročný rast výnosov z poistného bol dôsledkom vyšších výnosov z predpísaného poistné od zamestnávateľov (rast o 5,7 %) a od samostatne zárobkovo činných osôb (rast o </w:t>
      </w:r>
      <w:r>
        <w:rPr>
          <w:szCs w:val="22"/>
        </w:rPr>
        <w:t>7</w:t>
      </w:r>
      <w:r w:rsidRPr="008F2BCD">
        <w:rPr>
          <w:szCs w:val="22"/>
        </w:rPr>
        <w:t>,</w:t>
      </w:r>
      <w:r>
        <w:rPr>
          <w:szCs w:val="22"/>
        </w:rPr>
        <w:t>3</w:t>
      </w:r>
      <w:r w:rsidRPr="008F2BCD">
        <w:rPr>
          <w:szCs w:val="22"/>
        </w:rPr>
        <w:t xml:space="preserve"> %)</w:t>
      </w:r>
      <w:r>
        <w:rPr>
          <w:szCs w:val="22"/>
        </w:rPr>
        <w:t xml:space="preserve">, vplyvom priaznivého </w:t>
      </w:r>
      <w:r w:rsidRPr="005F34F6">
        <w:rPr>
          <w:szCs w:val="22"/>
        </w:rPr>
        <w:t xml:space="preserve">ekonomického vývoja v národnom hospodárstve. Náklady </w:t>
      </w:r>
      <w:r w:rsidRPr="008F2BCD">
        <w:rPr>
          <w:szCs w:val="22"/>
        </w:rPr>
        <w:t>na zdra</w:t>
      </w:r>
      <w:r>
        <w:rPr>
          <w:szCs w:val="22"/>
        </w:rPr>
        <w:t xml:space="preserve">votnú starostlivosť </w:t>
      </w:r>
      <w:r w:rsidRPr="008F2BCD">
        <w:rPr>
          <w:szCs w:val="22"/>
        </w:rPr>
        <w:t xml:space="preserve">medziročne </w:t>
      </w:r>
      <w:r>
        <w:rPr>
          <w:szCs w:val="22"/>
        </w:rPr>
        <w:t>vz</w:t>
      </w:r>
      <w:r w:rsidRPr="008F2BCD">
        <w:rPr>
          <w:szCs w:val="22"/>
        </w:rPr>
        <w:t>r</w:t>
      </w:r>
      <w:r>
        <w:rPr>
          <w:szCs w:val="22"/>
        </w:rPr>
        <w:t>á</w:t>
      </w:r>
      <w:r w:rsidRPr="008F2BCD">
        <w:rPr>
          <w:szCs w:val="22"/>
        </w:rPr>
        <w:t>st</w:t>
      </w:r>
      <w:r>
        <w:rPr>
          <w:szCs w:val="22"/>
        </w:rPr>
        <w:t>li</w:t>
      </w:r>
      <w:r w:rsidRPr="008F2BCD">
        <w:rPr>
          <w:szCs w:val="22"/>
        </w:rPr>
        <w:t xml:space="preserve"> o 7,5 %  vplyvom rastu nákladov na výkony zariadení ústavnej starostlivosti a sociálnych služieb o 5,</w:t>
      </w:r>
      <w:r>
        <w:rPr>
          <w:szCs w:val="22"/>
        </w:rPr>
        <w:t>5 %, na centrálny nákup liekov o 12,3 %</w:t>
      </w:r>
      <w:r w:rsidRPr="008F2BCD">
        <w:rPr>
          <w:szCs w:val="22"/>
        </w:rPr>
        <w:t xml:space="preserve"> a na zariadenia ambulantnej starostlivosti </w:t>
      </w:r>
      <w:r>
        <w:rPr>
          <w:szCs w:val="22"/>
        </w:rPr>
        <w:t>5</w:t>
      </w:r>
      <w:r w:rsidRPr="008F2BCD">
        <w:rPr>
          <w:szCs w:val="22"/>
        </w:rPr>
        <w:t>,</w:t>
      </w:r>
      <w:r>
        <w:rPr>
          <w:szCs w:val="22"/>
        </w:rPr>
        <w:t>2</w:t>
      </w:r>
      <w:r w:rsidRPr="008F2BCD">
        <w:rPr>
          <w:szCs w:val="22"/>
        </w:rPr>
        <w:t xml:space="preserve"> </w:t>
      </w:r>
      <w:r w:rsidRPr="00926B36">
        <w:rPr>
          <w:szCs w:val="22"/>
        </w:rPr>
        <w:t xml:space="preserve">% (vplyv </w:t>
      </w:r>
      <w:r w:rsidRPr="005F34F6">
        <w:rPr>
          <w:szCs w:val="22"/>
        </w:rPr>
        <w:t xml:space="preserve">navýšenia ceny </w:t>
      </w:r>
      <w:proofErr w:type="spellStart"/>
      <w:r w:rsidRPr="005F34F6">
        <w:rPr>
          <w:szCs w:val="22"/>
        </w:rPr>
        <w:t>kapitácie</w:t>
      </w:r>
      <w:proofErr w:type="spellEnd"/>
      <w:r w:rsidRPr="005F34F6">
        <w:rPr>
          <w:szCs w:val="22"/>
        </w:rPr>
        <w:t>,  navýšené úhrady za väčší počet preventívnych prehliadok</w:t>
      </w:r>
      <w:r>
        <w:rPr>
          <w:szCs w:val="22"/>
        </w:rPr>
        <w:t>,</w:t>
      </w:r>
      <w:r w:rsidRPr="005F34F6">
        <w:rPr>
          <w:szCs w:val="22"/>
        </w:rPr>
        <w:t xml:space="preserve"> vplyv valorizácie miezd zdravotníckych zamestnancov</w:t>
      </w:r>
      <w:r>
        <w:rPr>
          <w:szCs w:val="22"/>
        </w:rPr>
        <w:t xml:space="preserve"> a zvýšených nákladov na energie</w:t>
      </w:r>
      <w:r w:rsidRPr="005F34F6">
        <w:rPr>
          <w:szCs w:val="22"/>
        </w:rPr>
        <w:t xml:space="preserve">). </w:t>
      </w:r>
      <w:r>
        <w:rPr>
          <w:szCs w:val="22"/>
        </w:rPr>
        <w:t xml:space="preserve">Rast nákladov na zdravotnú starostlivosť bol spôsobený aj zvýšenými výkonmi pri liečbe pacientov, ktoré boli odložené z dôvodu pandémie COVID-19. </w:t>
      </w:r>
      <w:r w:rsidRPr="005F34F6">
        <w:rPr>
          <w:szCs w:val="22"/>
        </w:rPr>
        <w:t xml:space="preserve"> </w:t>
      </w:r>
    </w:p>
    <w:p w14:paraId="2569098C" w14:textId="77777777" w:rsidR="00FA1620" w:rsidRPr="00886720" w:rsidRDefault="00FA1620" w:rsidP="00886720">
      <w:pPr>
        <w:spacing w:after="120" w:line="240" w:lineRule="auto"/>
        <w:jc w:val="both"/>
        <w:rPr>
          <w:szCs w:val="22"/>
        </w:rPr>
      </w:pPr>
      <w:r w:rsidRPr="008F2BCD">
        <w:rPr>
          <w:szCs w:val="22"/>
        </w:rPr>
        <w:t xml:space="preserve">Pozitívny dopad na zmiernenie straty bol zaznamenaný na položkách ostatných </w:t>
      </w:r>
      <w:r>
        <w:rPr>
          <w:szCs w:val="22"/>
        </w:rPr>
        <w:t>technických</w:t>
      </w:r>
      <w:r w:rsidRPr="008F2BCD">
        <w:rPr>
          <w:szCs w:val="22"/>
        </w:rPr>
        <w:t xml:space="preserve"> nákladov a výnosov (vo výške 65 054 tis. eur) najmä vplyvom nižších nákladov na odpis pohľadávok (o </w:t>
      </w:r>
      <w:r>
        <w:rPr>
          <w:szCs w:val="22"/>
        </w:rPr>
        <w:t>44</w:t>
      </w:r>
      <w:r w:rsidRPr="008F2BCD">
        <w:rPr>
          <w:szCs w:val="22"/>
        </w:rPr>
        <w:t>,</w:t>
      </w:r>
      <w:r>
        <w:rPr>
          <w:szCs w:val="22"/>
        </w:rPr>
        <w:t>9</w:t>
      </w:r>
      <w:r w:rsidRPr="008F2BCD">
        <w:rPr>
          <w:szCs w:val="22"/>
        </w:rPr>
        <w:t xml:space="preserve"> %)</w:t>
      </w:r>
      <w:r>
        <w:rPr>
          <w:szCs w:val="22"/>
        </w:rPr>
        <w:t xml:space="preserve"> a vyšších výnosov z prerozdelenia poistného voči iným poisťovniam (o 15,9 % vplyvom spresnenia odhadov). </w:t>
      </w:r>
      <w:r w:rsidRPr="00886720">
        <w:rPr>
          <w:szCs w:val="22"/>
        </w:rPr>
        <w:t xml:space="preserve"> </w:t>
      </w:r>
    </w:p>
    <w:p w14:paraId="49A00279" w14:textId="77777777" w:rsidR="00FA1620" w:rsidRPr="00886720" w:rsidRDefault="00FA1620" w:rsidP="00886720">
      <w:pPr>
        <w:spacing w:after="120" w:line="240" w:lineRule="auto"/>
        <w:jc w:val="both"/>
        <w:rPr>
          <w:szCs w:val="22"/>
        </w:rPr>
      </w:pPr>
      <w:r w:rsidRPr="00AC2035">
        <w:rPr>
          <w:szCs w:val="22"/>
        </w:rPr>
        <w:t xml:space="preserve">Poistný kmeň </w:t>
      </w:r>
      <w:proofErr w:type="spellStart"/>
      <w:r w:rsidRPr="00AC2035">
        <w:rPr>
          <w:szCs w:val="22"/>
        </w:rPr>
        <w:t>VšZP</w:t>
      </w:r>
      <w:proofErr w:type="spellEnd"/>
      <w:r w:rsidRPr="00AC2035">
        <w:rPr>
          <w:szCs w:val="22"/>
        </w:rPr>
        <w:t xml:space="preserve"> sa v roku 2022 zmenšil – priemerne evidovaný počet poistencov v roku 2022 bol 2 883 972, čo v porovnaní s minulým rokom bolo menej o 9 226 osôb, pričom z uvedeného poistného kmeňa tvorili 55,9 % poistenci štátu; 44,1 % ekonomicky aktívni poistenci.  </w:t>
      </w:r>
    </w:p>
    <w:p w14:paraId="1A8BAD4B" w14:textId="77777777" w:rsidR="00FA1620" w:rsidRPr="00D4675C" w:rsidRDefault="00FA1620" w:rsidP="00886720">
      <w:pPr>
        <w:spacing w:after="120" w:line="240" w:lineRule="auto"/>
        <w:jc w:val="both"/>
        <w:rPr>
          <w:szCs w:val="22"/>
        </w:rPr>
      </w:pPr>
      <w:r w:rsidRPr="00D4675C">
        <w:rPr>
          <w:szCs w:val="22"/>
        </w:rPr>
        <w:lastRenderedPageBreak/>
        <w:t xml:space="preserve">Objem príjmov </w:t>
      </w:r>
      <w:proofErr w:type="spellStart"/>
      <w:r w:rsidRPr="00D4675C">
        <w:rPr>
          <w:szCs w:val="22"/>
        </w:rPr>
        <w:t>VšZP</w:t>
      </w:r>
      <w:proofErr w:type="spellEnd"/>
      <w:r w:rsidRPr="00D4675C">
        <w:rPr>
          <w:szCs w:val="22"/>
        </w:rPr>
        <w:t>, ktorý v roku 2022 dosiahol výšku 3 990 800 tis. eur, sa medziročne zvýšil o 10,8 %. V roku 2022 bola medziročná</w:t>
      </w:r>
      <w:r>
        <w:rPr>
          <w:szCs w:val="22"/>
        </w:rPr>
        <w:t xml:space="preserve"> percentuálna</w:t>
      </w:r>
      <w:r w:rsidRPr="00D4675C">
        <w:rPr>
          <w:szCs w:val="22"/>
        </w:rPr>
        <w:t xml:space="preserve"> zmena p</w:t>
      </w:r>
      <w:r>
        <w:rPr>
          <w:szCs w:val="22"/>
        </w:rPr>
        <w:t>ríjmov najvýraznejšia na položke</w:t>
      </w:r>
      <w:r w:rsidRPr="00D4675C">
        <w:rPr>
          <w:szCs w:val="22"/>
        </w:rPr>
        <w:t xml:space="preserve"> príjmových finančných operácii, ktoré vzrástli z úrovne 900 tis. eur (v roku 2021) na 161 400 tis. eur (z dôvodu  vkladu akcionára vo výške 160 000 tis. eur</w:t>
      </w:r>
      <w:r>
        <w:rPr>
          <w:szCs w:val="22"/>
        </w:rPr>
        <w:t xml:space="preserve"> </w:t>
      </w:r>
      <w:r w:rsidRPr="00D4675C">
        <w:rPr>
          <w:szCs w:val="22"/>
        </w:rPr>
        <w:t xml:space="preserve"> zrealizovan</w:t>
      </w:r>
      <w:r>
        <w:rPr>
          <w:szCs w:val="22"/>
        </w:rPr>
        <w:t>ého</w:t>
      </w:r>
      <w:r w:rsidRPr="00D4675C">
        <w:rPr>
          <w:szCs w:val="22"/>
        </w:rPr>
        <w:t xml:space="preserve"> </w:t>
      </w:r>
      <w:r>
        <w:rPr>
          <w:szCs w:val="22"/>
        </w:rPr>
        <w:t>počas</w:t>
      </w:r>
      <w:r w:rsidRPr="00D4675C">
        <w:rPr>
          <w:szCs w:val="22"/>
        </w:rPr>
        <w:t> roku 2022). Príjmy</w:t>
      </w:r>
      <w:r>
        <w:rPr>
          <w:szCs w:val="22"/>
        </w:rPr>
        <w:t xml:space="preserve"> z</w:t>
      </w:r>
      <w:r w:rsidRPr="00D4675C">
        <w:rPr>
          <w:szCs w:val="22"/>
        </w:rPr>
        <w:t xml:space="preserve"> poistného od ekonomicky aktívnych poistencov, od poistencov štátu a príjmy z prerozdelenia poistného od iných zdravotných poisťovní vzrástli o 6,6 %. </w:t>
      </w:r>
    </w:p>
    <w:p w14:paraId="33F5EE48" w14:textId="77777777" w:rsidR="00FA1620" w:rsidRDefault="00FA1620" w:rsidP="00FA1620">
      <w:pPr>
        <w:spacing w:after="120" w:line="336" w:lineRule="auto"/>
        <w:jc w:val="both"/>
        <w:rPr>
          <w:color w:val="FF0000"/>
          <w:szCs w:val="22"/>
        </w:rPr>
      </w:pPr>
    </w:p>
    <w:p w14:paraId="7CC309F5" w14:textId="77777777" w:rsidR="00FA1620" w:rsidRPr="00865689" w:rsidRDefault="00FA1620" w:rsidP="00FA1620">
      <w:pPr>
        <w:pStyle w:val="Nadpis3"/>
        <w:ind w:left="993" w:hanging="709"/>
      </w:pPr>
      <w:bookmarkStart w:id="65" w:name="_Toc465258494"/>
      <w:bookmarkStart w:id="66" w:name="_Toc148704481"/>
      <w:r w:rsidRPr="00865689">
        <w:rPr>
          <w:rFonts w:eastAsiaTheme="minorHAnsi"/>
        </w:rPr>
        <w:t>Vlastné imanie Národnej banky Slovenska</w:t>
      </w:r>
      <w:bookmarkEnd w:id="65"/>
      <w:bookmarkEnd w:id="66"/>
    </w:p>
    <w:p w14:paraId="6161F8FC" w14:textId="77777777" w:rsidR="00FA1620" w:rsidRDefault="00FA1620" w:rsidP="00886720">
      <w:pPr>
        <w:spacing w:after="120" w:line="240" w:lineRule="auto"/>
        <w:jc w:val="both"/>
        <w:rPr>
          <w:szCs w:val="22"/>
        </w:rPr>
      </w:pPr>
      <w:r w:rsidRPr="00865689">
        <w:rPr>
          <w:szCs w:val="22"/>
        </w:rPr>
        <w:t>Národná banka Slovenska (ďalej „NBS“)</w:t>
      </w:r>
      <w:r>
        <w:rPr>
          <w:szCs w:val="22"/>
        </w:rPr>
        <w:t xml:space="preserve"> fungovala aj počas</w:t>
      </w:r>
      <w:r w:rsidRPr="00865689">
        <w:rPr>
          <w:szCs w:val="22"/>
        </w:rPr>
        <w:t xml:space="preserve"> roku 2022</w:t>
      </w:r>
      <w:r>
        <w:rPr>
          <w:szCs w:val="22"/>
        </w:rPr>
        <w:t xml:space="preserve"> v neľahkých podmienkach.</w:t>
      </w:r>
      <w:r w:rsidRPr="00886720">
        <w:rPr>
          <w:szCs w:val="22"/>
        </w:rPr>
        <w:t xml:space="preserve"> </w:t>
      </w:r>
      <w:r w:rsidRPr="00267216">
        <w:rPr>
          <w:szCs w:val="22"/>
        </w:rPr>
        <w:t>Pokračujúca vojna na Ukrajine</w:t>
      </w:r>
      <w:r>
        <w:rPr>
          <w:szCs w:val="22"/>
        </w:rPr>
        <w:t xml:space="preserve"> mala negatívny vplyv na vývoj cien energií a komodít ako aj na mieru inflácie v celom európskom menovom priestore. Z tohto dôvodu pristúpila ECB k prísnejšiemu nastaveniu menovej politiky menovej únie s cieľom prinavrátenia rovnováhy, ozdravenia ekonomiky a zlepšenia </w:t>
      </w:r>
      <w:r w:rsidRPr="005279BE">
        <w:rPr>
          <w:szCs w:val="22"/>
        </w:rPr>
        <w:t xml:space="preserve">životnej úrovne. </w:t>
      </w:r>
    </w:p>
    <w:p w14:paraId="0699B47E" w14:textId="1CF3FB9D" w:rsidR="00FA1620" w:rsidRDefault="00FA1620" w:rsidP="00886720">
      <w:pPr>
        <w:spacing w:after="120" w:line="240" w:lineRule="auto"/>
        <w:jc w:val="both"/>
        <w:rPr>
          <w:szCs w:val="22"/>
        </w:rPr>
      </w:pPr>
      <w:r w:rsidRPr="005279BE">
        <w:rPr>
          <w:szCs w:val="22"/>
        </w:rPr>
        <w:t>Dôsledkom zásahov ECB bolo zvyšovanie úrokových sadzieb, čo sa prejavilo aj v  podmienkach Slovenska</w:t>
      </w:r>
      <w:r>
        <w:rPr>
          <w:szCs w:val="22"/>
        </w:rPr>
        <w:t xml:space="preserve"> v podobe drahších pôžičiek</w:t>
      </w:r>
      <w:r w:rsidRPr="005279BE">
        <w:rPr>
          <w:szCs w:val="22"/>
        </w:rPr>
        <w:t xml:space="preserve">. </w:t>
      </w:r>
      <w:r>
        <w:rPr>
          <w:szCs w:val="22"/>
        </w:rPr>
        <w:t xml:space="preserve">Napriek negatívnym vplyvom inflácie, rastu cien energií, potravín a rastom úrokových mier, slovenskú ekonomiku ťahala počas roka 2022 súkromná spotreba. Časť úspor z obdobia </w:t>
      </w:r>
      <w:proofErr w:type="spellStart"/>
      <w:r>
        <w:rPr>
          <w:szCs w:val="22"/>
        </w:rPr>
        <w:t>lockdownu</w:t>
      </w:r>
      <w:proofErr w:type="spellEnd"/>
      <w:r>
        <w:rPr>
          <w:szCs w:val="22"/>
        </w:rPr>
        <w:t xml:space="preserve"> bola spotrebovaná aj ako reakcia na rastúcu infláciu, ktorá úspory znehodnocovala. V dôsledku uvedených trendov Slovensko za rok 2022 vykázalo rast domácej spotreby vyšší o 5,1 %, zvýšenie zamestnanosti o 1,8 % a rast spotrebiteľských cien na úrovni 12,8 %</w:t>
      </w:r>
      <w:r w:rsidRPr="00BA6551">
        <w:rPr>
          <w:vertAlign w:val="superscript"/>
        </w:rPr>
        <w:footnoteReference w:id="34"/>
      </w:r>
      <w:r>
        <w:rPr>
          <w:szCs w:val="22"/>
        </w:rPr>
        <w:t xml:space="preserve">. </w:t>
      </w:r>
    </w:p>
    <w:p w14:paraId="5708690F" w14:textId="77777777" w:rsidR="00EF2678" w:rsidRPr="00886720" w:rsidRDefault="00EF2678" w:rsidP="00886720">
      <w:pPr>
        <w:spacing w:after="120" w:line="240" w:lineRule="auto"/>
        <w:jc w:val="both"/>
        <w:rPr>
          <w:szCs w:val="22"/>
        </w:rPr>
      </w:pPr>
    </w:p>
    <w:p w14:paraId="51ADEA30" w14:textId="5BFF08C5" w:rsidR="00FA1620" w:rsidRDefault="00EF2678" w:rsidP="00EF2678">
      <w:pPr>
        <w:spacing w:after="120" w:line="336" w:lineRule="auto"/>
        <w:rPr>
          <w:color w:val="FF0000"/>
          <w:szCs w:val="22"/>
        </w:rPr>
      </w:pPr>
      <w:r>
        <w:rPr>
          <w:b/>
          <w:bCs/>
          <w:color w:val="4F81BD"/>
          <w:sz w:val="20"/>
          <w:szCs w:val="20"/>
          <w:lang w:eastAsia="sk-SK"/>
        </w:rPr>
        <w:t>Graf 15</w:t>
      </w:r>
      <w:r w:rsidRPr="002104CA">
        <w:rPr>
          <w:bCs/>
          <w:color w:val="4F81BD"/>
          <w:sz w:val="20"/>
          <w:szCs w:val="20"/>
          <w:lang w:eastAsia="sk-SK"/>
        </w:rPr>
        <w:t>–</w:t>
      </w:r>
      <w:r w:rsidRPr="002104CA">
        <w:rPr>
          <w:b/>
          <w:bCs/>
          <w:color w:val="4F81BD"/>
          <w:sz w:val="20"/>
          <w:szCs w:val="20"/>
          <w:lang w:eastAsia="sk-SK"/>
        </w:rPr>
        <w:t xml:space="preserve"> </w:t>
      </w:r>
      <w:r>
        <w:rPr>
          <w:b/>
          <w:bCs/>
          <w:color w:val="4F81BD"/>
          <w:sz w:val="20"/>
          <w:szCs w:val="20"/>
          <w:lang w:eastAsia="sk-SK"/>
        </w:rPr>
        <w:t>Vývoj zmien imania NBS</w:t>
      </w:r>
      <w:r w:rsidR="00FA1620">
        <w:rPr>
          <w:noProof/>
          <w:lang w:eastAsia="sk-SK"/>
        </w:rPr>
        <w:drawing>
          <wp:inline distT="0" distB="0" distL="0" distR="0" wp14:anchorId="580BF6AC" wp14:editId="5E03048A">
            <wp:extent cx="5602710" cy="4273666"/>
            <wp:effectExtent l="0" t="0" r="0" b="0"/>
            <wp:docPr id="6"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5"/>
                    <pic:cNvPicPr>
                      <a:picLocks noChangeAspect="1"/>
                    </pic:cNvPicPr>
                  </pic:nvPicPr>
                  <pic:blipFill>
                    <a:blip r:embed="rId25"/>
                    <a:stretch>
                      <a:fillRect/>
                    </a:stretch>
                  </pic:blipFill>
                  <pic:spPr>
                    <a:xfrm>
                      <a:off x="0" y="0"/>
                      <a:ext cx="5602710" cy="4273666"/>
                    </a:xfrm>
                    <a:prstGeom prst="rect">
                      <a:avLst/>
                    </a:prstGeom>
                  </pic:spPr>
                </pic:pic>
              </a:graphicData>
            </a:graphic>
          </wp:inline>
        </w:drawing>
      </w:r>
    </w:p>
    <w:p w14:paraId="09E85C1B" w14:textId="77777777" w:rsidR="00FA1620" w:rsidRPr="00A63BA9" w:rsidRDefault="00FA1620" w:rsidP="00886720">
      <w:pPr>
        <w:spacing w:after="120" w:line="240" w:lineRule="auto"/>
        <w:jc w:val="both"/>
        <w:rPr>
          <w:szCs w:val="22"/>
        </w:rPr>
      </w:pPr>
      <w:r w:rsidRPr="00865689">
        <w:rPr>
          <w:szCs w:val="22"/>
        </w:rPr>
        <w:lastRenderedPageBreak/>
        <w:t xml:space="preserve">Štruktúra zmien vlastného imania vykázala v poslednom roku odlišný vývoj. Výsledok </w:t>
      </w:r>
      <w:r>
        <w:rPr>
          <w:szCs w:val="22"/>
        </w:rPr>
        <w:t xml:space="preserve">hospodárenia </w:t>
      </w:r>
      <w:r w:rsidRPr="00865689">
        <w:rPr>
          <w:szCs w:val="22"/>
        </w:rPr>
        <w:t>bežného obdobia ako negatívn</w:t>
      </w:r>
      <w:r>
        <w:rPr>
          <w:szCs w:val="22"/>
        </w:rPr>
        <w:t>a</w:t>
      </w:r>
      <w:r w:rsidRPr="00865689">
        <w:rPr>
          <w:szCs w:val="22"/>
        </w:rPr>
        <w:t xml:space="preserve"> zmena stavu a vplyv precenenia s pozitívnym dopadom na zmenu stavu vlastného imania. Hlavným zdrojom generovania straty ako výsledku bežného obdobia počas posledného roka sledovaného obdobia, bola strata z finančných operácii. Vývoj výsledku z finančných operácií závisí podobne ako veľkosť vplyvu precenenia, od vývoja podmienok v domácej ako aj globálnej ekonomike. S vývojom externých podmienok súvisí aj vývoj stavu rezervy na finančné riziká. Zastúpenie ostatných položiek v rámci štruktúry možno považovať, vzhľadom na veľkosť ich vplyvu, za nevýznamné.</w:t>
      </w:r>
    </w:p>
    <w:p w14:paraId="32222118" w14:textId="77777777" w:rsidR="00FA1620" w:rsidRPr="00A63BA9" w:rsidRDefault="00FA1620" w:rsidP="00886720">
      <w:pPr>
        <w:spacing w:after="120" w:line="240" w:lineRule="auto"/>
        <w:jc w:val="both"/>
        <w:rPr>
          <w:szCs w:val="22"/>
        </w:rPr>
      </w:pPr>
      <w:r w:rsidRPr="00865689">
        <w:rPr>
          <w:szCs w:val="22"/>
        </w:rPr>
        <w:t xml:space="preserve">Vlastné imanie NBS sa v roku 2022 zvýšilo o 45 478 tis. eur  </w:t>
      </w:r>
      <w:r w:rsidRPr="0085397B">
        <w:rPr>
          <w:szCs w:val="22"/>
        </w:rPr>
        <w:t>vplyvom zvýšeni</w:t>
      </w:r>
      <w:r>
        <w:rPr>
          <w:szCs w:val="22"/>
        </w:rPr>
        <w:t>a</w:t>
      </w:r>
      <w:r w:rsidRPr="0085397B">
        <w:rPr>
          <w:szCs w:val="22"/>
        </w:rPr>
        <w:t xml:space="preserve"> stavu účtov precenenia o 200 540 tis. eur, ktorého pozitívny vplyv čiastočne eliminoval výsledok bežného obdobia, generovaného vo forme straty  (156 448 tis. eur).</w:t>
      </w:r>
    </w:p>
    <w:p w14:paraId="625C72C7" w14:textId="77777777" w:rsidR="00FA1620" w:rsidRPr="00EC184B" w:rsidRDefault="00FA1620" w:rsidP="00886720">
      <w:pPr>
        <w:spacing w:after="120" w:line="240" w:lineRule="auto"/>
        <w:jc w:val="both"/>
        <w:rPr>
          <w:szCs w:val="22"/>
        </w:rPr>
      </w:pPr>
      <w:r w:rsidRPr="00EC184B">
        <w:rPr>
          <w:szCs w:val="22"/>
        </w:rPr>
        <w:t>Výsledok bežného obdobia sa prepadol z pôvodného zisku za rok 2021 (63 004 tis. eur) na stratu za rok 2022 (-156 448 tis. eur), najmä vplyvom výsledku z finančných operácií. Výsledok z finančných operácii ako hlavn</w:t>
      </w:r>
      <w:r>
        <w:rPr>
          <w:szCs w:val="22"/>
        </w:rPr>
        <w:t>ého</w:t>
      </w:r>
      <w:r w:rsidRPr="00EC184B">
        <w:rPr>
          <w:szCs w:val="22"/>
        </w:rPr>
        <w:t xml:space="preserve"> zdroj</w:t>
      </w:r>
      <w:r>
        <w:rPr>
          <w:szCs w:val="22"/>
        </w:rPr>
        <w:t>a</w:t>
      </w:r>
      <w:r w:rsidRPr="00EC184B">
        <w:rPr>
          <w:szCs w:val="22"/>
        </w:rPr>
        <w:t xml:space="preserve"> generovania straty z činnosti NBS ovplyvnil najmä rast úrokových sadzieb, ktorého dopad sa prejavil tak vo forme rastu nákladov</w:t>
      </w:r>
      <w:r>
        <w:rPr>
          <w:szCs w:val="22"/>
        </w:rPr>
        <w:t>ých</w:t>
      </w:r>
      <w:r w:rsidRPr="00EC184B">
        <w:rPr>
          <w:szCs w:val="22"/>
        </w:rPr>
        <w:t xml:space="preserve"> </w:t>
      </w:r>
      <w:r>
        <w:rPr>
          <w:szCs w:val="22"/>
        </w:rPr>
        <w:t>úrokov (najmä z </w:t>
      </w:r>
      <w:proofErr w:type="spellStart"/>
      <w:r>
        <w:rPr>
          <w:szCs w:val="22"/>
        </w:rPr>
        <w:t>remunerácie</w:t>
      </w:r>
      <w:proofErr w:type="spellEnd"/>
      <w:r>
        <w:rPr>
          <w:szCs w:val="22"/>
        </w:rPr>
        <w:t xml:space="preserve"> eurobankoviek a pozícií NBS v platobnom systéme TARGET2)</w:t>
      </w:r>
      <w:r w:rsidRPr="00EC184B">
        <w:rPr>
          <w:szCs w:val="22"/>
        </w:rPr>
        <w:t>, ako aj vo forme poklesu trhových cien finančných aktív</w:t>
      </w:r>
      <w:r>
        <w:rPr>
          <w:szCs w:val="22"/>
        </w:rPr>
        <w:t xml:space="preserve"> (dopad prostredníctvom straty z predaja cenných papierov a precenenia na nižšiu trhovú hodnotu finančných inštrumentov k 31.12.2022 ako reakcia na očakávané ďalšie zvyšovanie úrokovej sadzby v nasledujúcom období)</w:t>
      </w:r>
      <w:r w:rsidRPr="00EC184B">
        <w:rPr>
          <w:szCs w:val="22"/>
        </w:rPr>
        <w:t>.</w:t>
      </w:r>
    </w:p>
    <w:p w14:paraId="0FAC2D10" w14:textId="5DACF9E1" w:rsidR="00FA1620" w:rsidRPr="00886720" w:rsidRDefault="00FA1620" w:rsidP="00886720">
      <w:pPr>
        <w:spacing w:after="120" w:line="240" w:lineRule="auto"/>
        <w:jc w:val="both"/>
        <w:rPr>
          <w:szCs w:val="22"/>
        </w:rPr>
      </w:pPr>
      <w:r w:rsidRPr="004F1963">
        <w:rPr>
          <w:szCs w:val="22"/>
        </w:rPr>
        <w:t xml:space="preserve">Medziročne negatívny vplyv </w:t>
      </w:r>
      <w:r>
        <w:rPr>
          <w:szCs w:val="22"/>
        </w:rPr>
        <w:t>spôsobil</w:t>
      </w:r>
      <w:r w:rsidRPr="004F1963">
        <w:rPr>
          <w:szCs w:val="22"/>
        </w:rPr>
        <w:t xml:space="preserve"> </w:t>
      </w:r>
      <w:r>
        <w:rPr>
          <w:szCs w:val="22"/>
        </w:rPr>
        <w:t xml:space="preserve">aj </w:t>
      </w:r>
      <w:r w:rsidRPr="004F1963">
        <w:rPr>
          <w:szCs w:val="22"/>
        </w:rPr>
        <w:t>nižší výnos NBS z podielu na predbežnom prerozdelení zisku za bežné obdobie ECB vrátane vplyvu podielu na zisku z minulého obdobia  (pokles o 34,1 %)</w:t>
      </w:r>
      <w:r>
        <w:rPr>
          <w:szCs w:val="22"/>
        </w:rPr>
        <w:t>. Negatívny trend vývoja bola zaznamenaný aj na položke nákladov na emisiu bankoviek a mincí, ktoré medziročne vzrástli takmer</w:t>
      </w:r>
      <w:r w:rsidRPr="007441D7">
        <w:rPr>
          <w:szCs w:val="22"/>
        </w:rPr>
        <w:t xml:space="preserve"> dvojnásobn</w:t>
      </w:r>
      <w:r>
        <w:rPr>
          <w:szCs w:val="22"/>
        </w:rPr>
        <w:t xml:space="preserve">e </w:t>
      </w:r>
      <w:r w:rsidRPr="00886720">
        <w:rPr>
          <w:szCs w:val="22"/>
        </w:rPr>
        <w:t xml:space="preserve">(vplyv medziročne vyššieho objem emisie eurobankoviek o 23,9 % v dôsledku rastu dopytu po hotovosti ako reakcie na pokračujúcu vojnu na Ukrajine). </w:t>
      </w:r>
    </w:p>
    <w:p w14:paraId="5B498073" w14:textId="77777777" w:rsidR="00FA1620" w:rsidRPr="00886720" w:rsidRDefault="00FA1620" w:rsidP="00886720">
      <w:pPr>
        <w:spacing w:after="120" w:line="240" w:lineRule="auto"/>
        <w:jc w:val="both"/>
        <w:rPr>
          <w:szCs w:val="22"/>
        </w:rPr>
      </w:pPr>
      <w:r w:rsidRPr="004F1963">
        <w:rPr>
          <w:szCs w:val="22"/>
        </w:rPr>
        <w:t>Negatívny vplyv uvedených položiek zmiernil</w:t>
      </w:r>
      <w:r>
        <w:rPr>
          <w:szCs w:val="22"/>
        </w:rPr>
        <w:t>o</w:t>
      </w:r>
      <w:r w:rsidRPr="004F1963">
        <w:rPr>
          <w:szCs w:val="22"/>
        </w:rPr>
        <w:t xml:space="preserve"> medziročné zvýšenie čistého výsledku z ESCB, ktorý plynul z plnenia úloh v oblasti </w:t>
      </w:r>
      <w:proofErr w:type="spellStart"/>
      <w:r w:rsidRPr="004F1963">
        <w:rPr>
          <w:szCs w:val="22"/>
        </w:rPr>
        <w:t>menovopolitických</w:t>
      </w:r>
      <w:proofErr w:type="spellEnd"/>
      <w:r w:rsidRPr="004F1963">
        <w:rPr>
          <w:szCs w:val="22"/>
        </w:rPr>
        <w:t xml:space="preserve"> operácií (zvýšenie čistého zisku bol</w:t>
      </w:r>
      <w:r>
        <w:rPr>
          <w:szCs w:val="22"/>
        </w:rPr>
        <w:t>o</w:t>
      </w:r>
      <w:r w:rsidRPr="004F1963">
        <w:rPr>
          <w:szCs w:val="22"/>
        </w:rPr>
        <w:t xml:space="preserve"> takmer </w:t>
      </w:r>
      <w:r>
        <w:rPr>
          <w:szCs w:val="22"/>
        </w:rPr>
        <w:t>štvornásobné</w:t>
      </w:r>
      <w:r w:rsidRPr="004F1963">
        <w:rPr>
          <w:szCs w:val="22"/>
        </w:rPr>
        <w:t xml:space="preserve">). </w:t>
      </w:r>
      <w:r w:rsidRPr="00886720">
        <w:rPr>
          <w:szCs w:val="22"/>
        </w:rPr>
        <w:t>K zmierneniu konečnej úrovne straty prispela aj medziročná úspora nákladov na prevádzku (o 5,0 %) z dôvodu poklesu osobných nákladov (nižšie náklady na tvorbu dlhodobej rezervy na odchodné zamestnancov a náklady na zdravotnú starostlivosť o zamestnancov spojených s pandémiou).</w:t>
      </w:r>
    </w:p>
    <w:p w14:paraId="64A81223" w14:textId="77777777" w:rsidR="009E169A" w:rsidRPr="00DF0EC5" w:rsidRDefault="009E169A" w:rsidP="008C5AC4">
      <w:pPr>
        <w:spacing w:after="120" w:line="240" w:lineRule="auto"/>
        <w:jc w:val="both"/>
        <w:rPr>
          <w:bCs/>
          <w:szCs w:val="22"/>
          <w:highlight w:val="yellow"/>
        </w:rPr>
      </w:pPr>
    </w:p>
    <w:p w14:paraId="5BE1009B" w14:textId="4E351E89" w:rsidR="008117A9" w:rsidRPr="003A450D" w:rsidRDefault="008117A9" w:rsidP="004D00EB">
      <w:pPr>
        <w:pStyle w:val="Nadpis3"/>
        <w:spacing w:before="120"/>
        <w:ind w:left="1797"/>
      </w:pPr>
      <w:bookmarkStart w:id="67" w:name="_Toc495990498"/>
      <w:bookmarkStart w:id="68" w:name="_Toc148704482"/>
      <w:r w:rsidRPr="003A450D">
        <w:t>Implicitné záväzky</w:t>
      </w:r>
      <w:bookmarkEnd w:id="67"/>
      <w:bookmarkEnd w:id="68"/>
    </w:p>
    <w:p w14:paraId="2F7B9EE6" w14:textId="77777777" w:rsidR="00DD0DA5" w:rsidRDefault="00DD0DA5" w:rsidP="00DD0DA5">
      <w:pPr>
        <w:spacing w:after="120" w:line="240" w:lineRule="auto"/>
        <w:jc w:val="both"/>
        <w:rPr>
          <w:szCs w:val="22"/>
        </w:rPr>
      </w:pPr>
      <w:r w:rsidRPr="00DD0DA5">
        <w:rPr>
          <w:b/>
          <w:szCs w:val="22"/>
        </w:rPr>
        <w:t>Ústavný zákon o rozpočtovej zodpovednosti definuje implicitné záväzky ako rozdiel medzi očakávanými budúcimi výdavkami a očakávanými budúcimi príjmami subjektov verejnej správy</w:t>
      </w:r>
      <w:r w:rsidRPr="00DD0DA5">
        <w:rPr>
          <w:szCs w:val="22"/>
        </w:rPr>
        <w:t xml:space="preserve">. </w:t>
      </w:r>
      <w:r w:rsidRPr="00046146">
        <w:rPr>
          <w:szCs w:val="22"/>
        </w:rPr>
        <w:t>Implicitné záväzky vznikajú ako finančné nároky spôsobené budúcim uplatňovaním práv a povinností vyplývajúcim z legislatívy, ak tieto nie sú súčasťou dlhu verejnej správy. Z dôvodu ich problematického oceňovania a absencie vykazovania v súvahe subjektov verejnej správy dochádza k ich odhadu pomocou analytického postupu určenia súčasnej hodnoty budúcich záväzkov. Od roku 2020 sa medzi implicitné záväzky zaradila aj projekcia zvýšených platieb do rozpočtu EÚ súvisiacich so sp</w:t>
      </w:r>
      <w:r>
        <w:rPr>
          <w:szCs w:val="22"/>
        </w:rPr>
        <w:t>lácaním grantov získaných z Plánu obnovy, keďže o spôsobe ich splátok zatiaľ nie je v EÚ definitívne rozhodnuté.</w:t>
      </w:r>
    </w:p>
    <w:p w14:paraId="348BB5E5" w14:textId="77777777" w:rsidR="00DD0DA5" w:rsidRPr="00DD0DA5" w:rsidRDefault="00DD0DA5" w:rsidP="00DD0DA5">
      <w:pPr>
        <w:spacing w:after="120" w:line="240" w:lineRule="auto"/>
        <w:jc w:val="both"/>
        <w:rPr>
          <w:szCs w:val="22"/>
        </w:rPr>
      </w:pPr>
      <w:r w:rsidRPr="00DD0DA5">
        <w:rPr>
          <w:b/>
          <w:szCs w:val="22"/>
        </w:rPr>
        <w:t>Implicitné záväzky v minulom roku medziročne poklesli po prvýkrát od 2016.</w:t>
      </w:r>
      <w:r w:rsidRPr="00DD0DA5">
        <w:rPr>
          <w:szCs w:val="22"/>
        </w:rPr>
        <w:t xml:space="preserve"> Najväčšími prispievateľmi k výške implicitných záväzkov patria dlhodobo projekcie súvisiace s dôchodkovým systémom a zdravotníctvom. Po zmenách prijatých v roku 2022 v rámci penzijného systému došlo po piatich rokoch prvýkrát k zníženiu dlhodobých záväzkov súvisiacich so starnutím populácie. </w:t>
      </w:r>
    </w:p>
    <w:p w14:paraId="069DB3FC" w14:textId="77777777" w:rsidR="00FD652C" w:rsidRDefault="00FD652C">
      <w:pPr>
        <w:rPr>
          <w:rFonts w:eastAsia="Arial Narrow"/>
          <w:b/>
          <w:bCs/>
          <w:noProof/>
          <w:color w:val="4F81BD" w:themeColor="accent1"/>
          <w:sz w:val="20"/>
          <w:szCs w:val="20"/>
          <w:lang w:eastAsia="sk-SK"/>
        </w:rPr>
      </w:pPr>
      <w:r>
        <w:br w:type="page"/>
      </w:r>
    </w:p>
    <w:p w14:paraId="6ECDF1F2" w14:textId="479051C4" w:rsidR="00DD0DA5" w:rsidRPr="00EF2678" w:rsidRDefault="00EF2678" w:rsidP="00EF2678">
      <w:pPr>
        <w:pStyle w:val="Graf"/>
        <w:rPr>
          <w:rFonts w:eastAsia="Calibri"/>
        </w:rPr>
      </w:pPr>
      <w:r w:rsidRPr="00EF2678">
        <w:lastRenderedPageBreak/>
        <w:t>Graf</w:t>
      </w:r>
      <w:r w:rsidR="00DD0DA5" w:rsidRPr="00EF2678">
        <w:t xml:space="preserve"> </w:t>
      </w:r>
      <w:r w:rsidRPr="00EF2678">
        <w:t>16</w:t>
      </w:r>
      <w:r w:rsidR="00DD0DA5" w:rsidRPr="00EF2678">
        <w:t xml:space="preserve"> – Vývoj a štruktúra implicitných záväzkov na konečnom horizonte (% HDP)</w:t>
      </w:r>
    </w:p>
    <w:p w14:paraId="4640E5C4" w14:textId="77777777" w:rsidR="00D33788" w:rsidRDefault="00DD0DA5" w:rsidP="00D33788">
      <w:pPr>
        <w:spacing w:after="0"/>
        <w:jc w:val="both"/>
        <w:rPr>
          <w:rFonts w:eastAsia="Calibri"/>
          <w:i/>
          <w:sz w:val="14"/>
          <w:szCs w:val="22"/>
        </w:rPr>
      </w:pPr>
      <w:r>
        <w:rPr>
          <w:noProof/>
          <w:lang w:eastAsia="sk-SK"/>
        </w:rPr>
        <w:drawing>
          <wp:inline distT="0" distB="0" distL="0" distR="0" wp14:anchorId="22293FED" wp14:editId="1FA0D696">
            <wp:extent cx="5907819" cy="1876508"/>
            <wp:effectExtent l="0" t="0" r="0" b="0"/>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eastAsia="Calibri"/>
          <w:i/>
          <w:sz w:val="14"/>
          <w:szCs w:val="22"/>
        </w:rPr>
        <w:t xml:space="preserve">Pozn.: </w:t>
      </w:r>
      <w:r w:rsidRPr="00BF4CF1">
        <w:rPr>
          <w:rFonts w:eastAsia="Calibri"/>
          <w:i/>
          <w:sz w:val="14"/>
          <w:szCs w:val="22"/>
        </w:rPr>
        <w:t>Nárast implicitných záväzkov predovšetkým zo starnutia populácie v roku 2020 oproti 2019 je spôsobený zmenou diskontovania pod vplyvom</w:t>
      </w:r>
    </w:p>
    <w:p w14:paraId="6DC7D65C" w14:textId="2D0F8BF1" w:rsidR="00DD0DA5" w:rsidRPr="00D33788" w:rsidRDefault="00DD0DA5" w:rsidP="00D33788">
      <w:pPr>
        <w:spacing w:after="0"/>
        <w:jc w:val="both"/>
        <w:rPr>
          <w:rFonts w:eastAsia="Calibri"/>
          <w:i/>
          <w:sz w:val="14"/>
          <w:szCs w:val="22"/>
        </w:rPr>
      </w:pPr>
      <w:r w:rsidRPr="00BF4CF1">
        <w:rPr>
          <w:rFonts w:eastAsia="Calibri"/>
          <w:i/>
          <w:sz w:val="14"/>
          <w:szCs w:val="22"/>
        </w:rPr>
        <w:t>zníženia nominálnych úro</w:t>
      </w:r>
      <w:r>
        <w:rPr>
          <w:rFonts w:eastAsia="Calibri"/>
          <w:i/>
          <w:sz w:val="14"/>
          <w:szCs w:val="22"/>
        </w:rPr>
        <w:t>kových mier v projekcii AWG 2021</w:t>
      </w:r>
      <w:r w:rsidRPr="00BF4CF1">
        <w:rPr>
          <w:rFonts w:eastAsia="Calibri"/>
          <w:i/>
          <w:sz w:val="14"/>
          <w:szCs w:val="22"/>
        </w:rPr>
        <w:t>.</w:t>
      </w:r>
      <w:r>
        <w:rPr>
          <w:rFonts w:eastAsia="Calibri"/>
          <w:i/>
          <w:sz w:val="14"/>
          <w:szCs w:val="22"/>
        </w:rPr>
        <w:t xml:space="preserve">                                                                                                                                           Zdroj: MF SR</w:t>
      </w:r>
    </w:p>
    <w:p w14:paraId="0C185A08" w14:textId="72142AAE" w:rsidR="00D33788" w:rsidRDefault="00DD0DA5" w:rsidP="0066019A">
      <w:pPr>
        <w:spacing w:after="120" w:line="240" w:lineRule="auto"/>
        <w:jc w:val="both"/>
        <w:rPr>
          <w:szCs w:val="22"/>
        </w:rPr>
      </w:pPr>
      <w:r w:rsidRPr="00DD0DA5">
        <w:rPr>
          <w:b/>
          <w:szCs w:val="22"/>
        </w:rPr>
        <w:t>Celkové implicitné záväzky verejnej správy ku koncu roka 2022</w:t>
      </w:r>
      <w:r w:rsidRPr="00BA6551">
        <w:rPr>
          <w:szCs w:val="22"/>
          <w:vertAlign w:val="superscript"/>
        </w:rPr>
        <w:footnoteReference w:id="35"/>
      </w:r>
      <w:r w:rsidRPr="00DD0DA5">
        <w:rPr>
          <w:b/>
          <w:szCs w:val="22"/>
        </w:rPr>
        <w:t>, kvantifikované do roku 2066, klesli medziročne na 366 % HDP</w:t>
      </w:r>
      <w:r w:rsidRPr="00BA6551">
        <w:rPr>
          <w:szCs w:val="22"/>
          <w:vertAlign w:val="superscript"/>
        </w:rPr>
        <w:footnoteReference w:id="36"/>
      </w:r>
      <w:r w:rsidRPr="00DD0DA5">
        <w:rPr>
          <w:b/>
          <w:szCs w:val="22"/>
        </w:rPr>
        <w:t>.</w:t>
      </w:r>
      <w:r w:rsidRPr="00DD0DA5">
        <w:rPr>
          <w:szCs w:val="22"/>
        </w:rPr>
        <w:t xml:space="preserve"> Oproti roku 2021 sa implicitné záväzky SR znížili o takmer 70 p. b., takmer výlučne v rámci zmien v záväzkoch zo starnutia populácie. PPP projekty, Národný jadrový fond a záväzky z Plánu obnovy kumulatívne prispeli k zníženiu záväzkov len minimálne o 0,3 p. b., a to na celom horizonte do roku 2066.</w:t>
      </w:r>
    </w:p>
    <w:tbl>
      <w:tblPr>
        <w:tblW w:w="9266" w:type="dxa"/>
        <w:tblCellMar>
          <w:left w:w="70" w:type="dxa"/>
          <w:right w:w="70" w:type="dxa"/>
        </w:tblCellMar>
        <w:tblLook w:val="04A0" w:firstRow="1" w:lastRow="0" w:firstColumn="1" w:lastColumn="0" w:noHBand="0" w:noVBand="1"/>
      </w:tblPr>
      <w:tblGrid>
        <w:gridCol w:w="2751"/>
        <w:gridCol w:w="67"/>
        <w:gridCol w:w="946"/>
        <w:gridCol w:w="1207"/>
        <w:gridCol w:w="938"/>
        <w:gridCol w:w="1209"/>
        <w:gridCol w:w="989"/>
        <w:gridCol w:w="1159"/>
      </w:tblGrid>
      <w:tr w:rsidR="00DD0DA5" w:rsidRPr="001007C4" w14:paraId="2F54F924" w14:textId="77777777" w:rsidTr="00CD0CF1">
        <w:trPr>
          <w:trHeight w:val="365"/>
          <w:tblHeader/>
        </w:trPr>
        <w:tc>
          <w:tcPr>
            <w:tcW w:w="9266" w:type="dxa"/>
            <w:gridSpan w:val="8"/>
            <w:tcBorders>
              <w:top w:val="nil"/>
              <w:left w:val="nil"/>
              <w:bottom w:val="single" w:sz="4" w:space="0" w:color="auto"/>
              <w:right w:val="nil"/>
            </w:tcBorders>
            <w:shd w:val="clear" w:color="auto" w:fill="auto"/>
            <w:noWrap/>
            <w:vAlign w:val="center"/>
            <w:hideMark/>
          </w:tcPr>
          <w:p w14:paraId="4FC0B7B8" w14:textId="0DF9895F" w:rsidR="00DD0DA5" w:rsidRPr="000B1F5C" w:rsidRDefault="00DD0DA5" w:rsidP="000B1F5C">
            <w:pPr>
              <w:spacing w:after="0" w:line="240" w:lineRule="auto"/>
              <w:jc w:val="both"/>
              <w:rPr>
                <w:rFonts w:eastAsia="Calibri"/>
                <w:b/>
                <w:color w:val="2C9ADC"/>
                <w:sz w:val="20"/>
                <w:szCs w:val="20"/>
              </w:rPr>
            </w:pPr>
            <w:r w:rsidRPr="000B1F5C">
              <w:rPr>
                <w:rFonts w:eastAsia="Calibri"/>
                <w:b/>
                <w:color w:val="4F81BD" w:themeColor="accent1"/>
                <w:sz w:val="20"/>
                <w:szCs w:val="20"/>
              </w:rPr>
              <w:t xml:space="preserve">Tabuľka </w:t>
            </w:r>
            <w:r w:rsidR="000B1F5C" w:rsidRPr="000B1F5C">
              <w:rPr>
                <w:rFonts w:eastAsia="Calibri"/>
                <w:b/>
                <w:color w:val="4F81BD" w:themeColor="accent1"/>
                <w:sz w:val="20"/>
                <w:szCs w:val="20"/>
              </w:rPr>
              <w:t>17</w:t>
            </w:r>
            <w:r w:rsidRPr="000B1F5C">
              <w:rPr>
                <w:rFonts w:eastAsia="Calibri"/>
                <w:b/>
                <w:color w:val="4F81BD" w:themeColor="accent1"/>
                <w:sz w:val="20"/>
                <w:szCs w:val="20"/>
              </w:rPr>
              <w:t xml:space="preserve"> – Odhad implicitných záväzkov za rok 2022</w:t>
            </w:r>
          </w:p>
        </w:tc>
      </w:tr>
      <w:tr w:rsidR="00DD0DA5" w:rsidRPr="00221198" w14:paraId="561FDB37" w14:textId="77777777" w:rsidTr="00CD0CF1">
        <w:trPr>
          <w:trHeight w:val="265"/>
          <w:tblHeader/>
        </w:trPr>
        <w:tc>
          <w:tcPr>
            <w:tcW w:w="2818" w:type="dxa"/>
            <w:gridSpan w:val="2"/>
            <w:tcBorders>
              <w:top w:val="single" w:sz="4" w:space="0" w:color="auto"/>
              <w:left w:val="nil"/>
            </w:tcBorders>
            <w:shd w:val="clear" w:color="auto" w:fill="auto"/>
            <w:noWrap/>
            <w:vAlign w:val="center"/>
            <w:hideMark/>
          </w:tcPr>
          <w:p w14:paraId="69E6B81C" w14:textId="77777777" w:rsidR="00DD0DA5" w:rsidRPr="00221198" w:rsidRDefault="00DD0DA5" w:rsidP="00CA4C99">
            <w:pPr>
              <w:spacing w:after="0" w:line="240" w:lineRule="auto"/>
              <w:rPr>
                <w:color w:val="000000"/>
                <w:sz w:val="18"/>
                <w:szCs w:val="16"/>
                <w:lang w:eastAsia="sk-SK"/>
              </w:rPr>
            </w:pPr>
            <w:r w:rsidRPr="00221198">
              <w:rPr>
                <w:color w:val="000000"/>
                <w:sz w:val="18"/>
                <w:szCs w:val="16"/>
                <w:lang w:eastAsia="sk-SK"/>
              </w:rPr>
              <w:t> </w:t>
            </w:r>
          </w:p>
        </w:tc>
        <w:tc>
          <w:tcPr>
            <w:tcW w:w="2153" w:type="dxa"/>
            <w:gridSpan w:val="2"/>
            <w:tcBorders>
              <w:top w:val="single" w:sz="4" w:space="0" w:color="auto"/>
            </w:tcBorders>
            <w:shd w:val="clear" w:color="auto" w:fill="auto"/>
            <w:noWrap/>
            <w:vAlign w:val="center"/>
            <w:hideMark/>
          </w:tcPr>
          <w:p w14:paraId="533208CD" w14:textId="77777777" w:rsidR="00DD0DA5" w:rsidRPr="00221198" w:rsidRDefault="00DD0DA5" w:rsidP="00CA4C99">
            <w:pPr>
              <w:spacing w:after="0" w:line="240" w:lineRule="auto"/>
              <w:jc w:val="center"/>
              <w:rPr>
                <w:b/>
                <w:bCs/>
                <w:color w:val="000000"/>
                <w:sz w:val="18"/>
                <w:szCs w:val="16"/>
                <w:lang w:eastAsia="sk-SK"/>
              </w:rPr>
            </w:pPr>
            <w:r w:rsidRPr="00221198">
              <w:rPr>
                <w:b/>
                <w:bCs/>
                <w:color w:val="000000"/>
                <w:sz w:val="18"/>
                <w:szCs w:val="16"/>
                <w:lang w:eastAsia="sk-SK"/>
              </w:rPr>
              <w:t>Hodnota k 31.12.2022 </w:t>
            </w:r>
          </w:p>
        </w:tc>
        <w:tc>
          <w:tcPr>
            <w:tcW w:w="2147" w:type="dxa"/>
            <w:gridSpan w:val="2"/>
            <w:tcBorders>
              <w:top w:val="single" w:sz="4" w:space="0" w:color="auto"/>
            </w:tcBorders>
            <w:shd w:val="clear" w:color="auto" w:fill="auto"/>
            <w:noWrap/>
            <w:vAlign w:val="center"/>
            <w:hideMark/>
          </w:tcPr>
          <w:p w14:paraId="41887943" w14:textId="77777777" w:rsidR="00DD0DA5" w:rsidRPr="00221198" w:rsidRDefault="00DD0DA5" w:rsidP="00CA4C99">
            <w:pPr>
              <w:spacing w:after="0" w:line="240" w:lineRule="auto"/>
              <w:jc w:val="center"/>
              <w:rPr>
                <w:b/>
                <w:bCs/>
                <w:color w:val="000000"/>
                <w:sz w:val="18"/>
                <w:szCs w:val="16"/>
                <w:lang w:eastAsia="sk-SK"/>
              </w:rPr>
            </w:pPr>
            <w:r w:rsidRPr="00221198">
              <w:rPr>
                <w:b/>
                <w:bCs/>
                <w:color w:val="000000"/>
                <w:sz w:val="18"/>
                <w:szCs w:val="16"/>
                <w:lang w:eastAsia="sk-SK"/>
              </w:rPr>
              <w:t>Hodnota k 31.12.2021</w:t>
            </w:r>
          </w:p>
        </w:tc>
        <w:tc>
          <w:tcPr>
            <w:tcW w:w="2148" w:type="dxa"/>
            <w:gridSpan w:val="2"/>
            <w:tcBorders>
              <w:top w:val="single" w:sz="4" w:space="0" w:color="auto"/>
              <w:right w:val="nil"/>
            </w:tcBorders>
            <w:shd w:val="clear" w:color="auto" w:fill="auto"/>
            <w:noWrap/>
            <w:vAlign w:val="center"/>
            <w:hideMark/>
          </w:tcPr>
          <w:p w14:paraId="2BA0E28C" w14:textId="77777777" w:rsidR="00DD0DA5" w:rsidRPr="00221198" w:rsidRDefault="00DD0DA5" w:rsidP="00CA4C99">
            <w:pPr>
              <w:spacing w:after="0" w:line="240" w:lineRule="auto"/>
              <w:jc w:val="center"/>
              <w:rPr>
                <w:b/>
                <w:bCs/>
                <w:color w:val="000000"/>
                <w:sz w:val="18"/>
                <w:szCs w:val="16"/>
                <w:lang w:eastAsia="sk-SK"/>
              </w:rPr>
            </w:pPr>
            <w:r w:rsidRPr="000F08DA">
              <w:rPr>
                <w:b/>
                <w:bCs/>
                <w:color w:val="000000"/>
                <w:sz w:val="18"/>
                <w:szCs w:val="16"/>
                <w:lang w:eastAsia="sk-SK"/>
              </w:rPr>
              <w:t xml:space="preserve">Δ </w:t>
            </w:r>
            <w:r w:rsidRPr="00221198">
              <w:rPr>
                <w:b/>
                <w:bCs/>
                <w:color w:val="000000"/>
                <w:sz w:val="18"/>
                <w:szCs w:val="16"/>
                <w:lang w:eastAsia="sk-SK"/>
              </w:rPr>
              <w:t>2022-2021 </w:t>
            </w:r>
          </w:p>
        </w:tc>
      </w:tr>
      <w:tr w:rsidR="00DD0DA5" w:rsidRPr="001007C4" w14:paraId="7468878F" w14:textId="77777777" w:rsidTr="00D33788">
        <w:trPr>
          <w:trHeight w:val="265"/>
          <w:tblHeader/>
        </w:trPr>
        <w:tc>
          <w:tcPr>
            <w:tcW w:w="2818" w:type="dxa"/>
            <w:gridSpan w:val="2"/>
            <w:tcBorders>
              <w:left w:val="nil"/>
              <w:bottom w:val="single" w:sz="4" w:space="0" w:color="auto"/>
              <w:right w:val="nil"/>
            </w:tcBorders>
            <w:shd w:val="clear" w:color="auto" w:fill="auto"/>
            <w:noWrap/>
            <w:vAlign w:val="center"/>
            <w:hideMark/>
          </w:tcPr>
          <w:p w14:paraId="1F29BC54" w14:textId="77777777" w:rsidR="00DD0DA5" w:rsidRPr="001007C4" w:rsidRDefault="00DD0DA5" w:rsidP="00CA4C99">
            <w:pPr>
              <w:spacing w:after="0" w:line="240" w:lineRule="auto"/>
              <w:jc w:val="center"/>
              <w:rPr>
                <w:color w:val="000000"/>
                <w:sz w:val="16"/>
                <w:szCs w:val="16"/>
                <w:lang w:eastAsia="sk-SK"/>
              </w:rPr>
            </w:pPr>
          </w:p>
        </w:tc>
        <w:tc>
          <w:tcPr>
            <w:tcW w:w="946" w:type="dxa"/>
            <w:tcBorders>
              <w:left w:val="nil"/>
              <w:bottom w:val="single" w:sz="4" w:space="0" w:color="auto"/>
              <w:right w:val="nil"/>
            </w:tcBorders>
            <w:shd w:val="clear" w:color="auto" w:fill="auto"/>
            <w:noWrap/>
            <w:vAlign w:val="center"/>
            <w:hideMark/>
          </w:tcPr>
          <w:p w14:paraId="1F2A92D9" w14:textId="6FBC9AD8" w:rsidR="00DD0DA5" w:rsidRPr="001007C4" w:rsidRDefault="00CD0CF1" w:rsidP="00CA4C99">
            <w:pPr>
              <w:spacing w:after="0" w:line="240" w:lineRule="auto"/>
              <w:jc w:val="center"/>
              <w:rPr>
                <w:b/>
                <w:bCs/>
                <w:color w:val="000000"/>
                <w:sz w:val="16"/>
                <w:szCs w:val="16"/>
                <w:lang w:eastAsia="sk-SK"/>
              </w:rPr>
            </w:pPr>
            <w:r>
              <w:rPr>
                <w:b/>
                <w:bCs/>
                <w:color w:val="000000"/>
                <w:sz w:val="16"/>
                <w:szCs w:val="16"/>
                <w:lang w:eastAsia="sk-SK"/>
              </w:rPr>
              <w:t xml:space="preserve">   </w:t>
            </w:r>
            <w:r w:rsidR="00DD0DA5" w:rsidRPr="001007C4">
              <w:rPr>
                <w:b/>
                <w:bCs/>
                <w:color w:val="000000"/>
                <w:sz w:val="16"/>
                <w:szCs w:val="16"/>
                <w:lang w:eastAsia="sk-SK"/>
              </w:rPr>
              <w:t>% HDP</w:t>
            </w:r>
          </w:p>
        </w:tc>
        <w:tc>
          <w:tcPr>
            <w:tcW w:w="1207" w:type="dxa"/>
            <w:tcBorders>
              <w:left w:val="nil"/>
              <w:bottom w:val="single" w:sz="4" w:space="0" w:color="auto"/>
              <w:right w:val="nil"/>
            </w:tcBorders>
            <w:shd w:val="clear" w:color="auto" w:fill="auto"/>
            <w:noWrap/>
            <w:vAlign w:val="center"/>
            <w:hideMark/>
          </w:tcPr>
          <w:p w14:paraId="3F504861" w14:textId="22D8FF48" w:rsidR="00DD0DA5" w:rsidRPr="001007C4" w:rsidRDefault="00CD0CF1" w:rsidP="00CA4C99">
            <w:pPr>
              <w:spacing w:after="0" w:line="240" w:lineRule="auto"/>
              <w:jc w:val="center"/>
              <w:rPr>
                <w:b/>
                <w:bCs/>
                <w:color w:val="000000"/>
                <w:sz w:val="16"/>
                <w:szCs w:val="16"/>
                <w:lang w:eastAsia="sk-SK"/>
              </w:rPr>
            </w:pPr>
            <w:r>
              <w:rPr>
                <w:b/>
                <w:bCs/>
                <w:color w:val="000000"/>
                <w:sz w:val="16"/>
                <w:szCs w:val="16"/>
                <w:lang w:eastAsia="sk-SK"/>
              </w:rPr>
              <w:t xml:space="preserve">   </w:t>
            </w:r>
            <w:r w:rsidR="00DD0DA5" w:rsidRPr="001007C4">
              <w:rPr>
                <w:b/>
                <w:bCs/>
                <w:color w:val="000000"/>
                <w:sz w:val="16"/>
                <w:szCs w:val="16"/>
                <w:lang w:eastAsia="sk-SK"/>
              </w:rPr>
              <w:t>tis. eur</w:t>
            </w:r>
          </w:p>
        </w:tc>
        <w:tc>
          <w:tcPr>
            <w:tcW w:w="938" w:type="dxa"/>
            <w:tcBorders>
              <w:left w:val="nil"/>
              <w:bottom w:val="single" w:sz="4" w:space="0" w:color="auto"/>
              <w:right w:val="nil"/>
            </w:tcBorders>
            <w:shd w:val="clear" w:color="auto" w:fill="auto"/>
            <w:noWrap/>
            <w:vAlign w:val="center"/>
            <w:hideMark/>
          </w:tcPr>
          <w:p w14:paraId="05F577E6" w14:textId="7755996D" w:rsidR="00DD0DA5" w:rsidRPr="001007C4" w:rsidRDefault="00CD0CF1" w:rsidP="00CA4C99">
            <w:pPr>
              <w:spacing w:after="0" w:line="240" w:lineRule="auto"/>
              <w:jc w:val="center"/>
              <w:rPr>
                <w:b/>
                <w:bCs/>
                <w:color w:val="000000"/>
                <w:sz w:val="16"/>
                <w:szCs w:val="16"/>
                <w:lang w:eastAsia="sk-SK"/>
              </w:rPr>
            </w:pPr>
            <w:r>
              <w:rPr>
                <w:b/>
                <w:bCs/>
                <w:color w:val="000000"/>
                <w:sz w:val="16"/>
                <w:szCs w:val="16"/>
                <w:lang w:eastAsia="sk-SK"/>
              </w:rPr>
              <w:t xml:space="preserve">   </w:t>
            </w:r>
            <w:r w:rsidR="00DD0DA5" w:rsidRPr="001007C4">
              <w:rPr>
                <w:b/>
                <w:bCs/>
                <w:color w:val="000000"/>
                <w:sz w:val="16"/>
                <w:szCs w:val="16"/>
                <w:lang w:eastAsia="sk-SK"/>
              </w:rPr>
              <w:t>% HDP</w:t>
            </w:r>
          </w:p>
        </w:tc>
        <w:tc>
          <w:tcPr>
            <w:tcW w:w="1209" w:type="dxa"/>
            <w:tcBorders>
              <w:left w:val="nil"/>
              <w:bottom w:val="single" w:sz="4" w:space="0" w:color="auto"/>
              <w:right w:val="single" w:sz="4" w:space="0" w:color="auto"/>
            </w:tcBorders>
            <w:shd w:val="clear" w:color="auto" w:fill="auto"/>
            <w:noWrap/>
            <w:vAlign w:val="center"/>
            <w:hideMark/>
          </w:tcPr>
          <w:p w14:paraId="3505710C" w14:textId="3BB96D6C" w:rsidR="00DD0DA5" w:rsidRPr="001007C4" w:rsidRDefault="00CD0CF1" w:rsidP="00CA4C99">
            <w:pPr>
              <w:spacing w:after="0" w:line="240" w:lineRule="auto"/>
              <w:jc w:val="center"/>
              <w:rPr>
                <w:b/>
                <w:bCs/>
                <w:color w:val="000000"/>
                <w:sz w:val="16"/>
                <w:szCs w:val="16"/>
                <w:lang w:eastAsia="sk-SK"/>
              </w:rPr>
            </w:pPr>
            <w:r>
              <w:rPr>
                <w:b/>
                <w:bCs/>
                <w:color w:val="000000"/>
                <w:sz w:val="16"/>
                <w:szCs w:val="16"/>
                <w:lang w:eastAsia="sk-SK"/>
              </w:rPr>
              <w:t xml:space="preserve">   </w:t>
            </w:r>
            <w:r w:rsidR="00DD0DA5" w:rsidRPr="001007C4">
              <w:rPr>
                <w:b/>
                <w:bCs/>
                <w:color w:val="000000"/>
                <w:sz w:val="16"/>
                <w:szCs w:val="16"/>
                <w:lang w:eastAsia="sk-SK"/>
              </w:rPr>
              <w:t>tis. eur</w:t>
            </w:r>
          </w:p>
        </w:tc>
        <w:tc>
          <w:tcPr>
            <w:tcW w:w="989" w:type="dxa"/>
            <w:tcBorders>
              <w:left w:val="single" w:sz="4" w:space="0" w:color="auto"/>
              <w:bottom w:val="single" w:sz="4" w:space="0" w:color="auto"/>
              <w:right w:val="nil"/>
            </w:tcBorders>
            <w:shd w:val="clear" w:color="auto" w:fill="auto"/>
            <w:noWrap/>
            <w:vAlign w:val="center"/>
            <w:hideMark/>
          </w:tcPr>
          <w:p w14:paraId="2CCE9F92" w14:textId="77777777" w:rsidR="00DD0DA5" w:rsidRPr="001007C4" w:rsidRDefault="00DD0DA5" w:rsidP="00CA4C99">
            <w:pPr>
              <w:spacing w:after="0" w:line="240" w:lineRule="auto"/>
              <w:jc w:val="center"/>
              <w:rPr>
                <w:b/>
                <w:bCs/>
                <w:color w:val="000000"/>
                <w:sz w:val="16"/>
                <w:szCs w:val="16"/>
                <w:lang w:eastAsia="sk-SK"/>
              </w:rPr>
            </w:pPr>
            <w:proofErr w:type="spellStart"/>
            <w:r w:rsidRPr="001007C4">
              <w:rPr>
                <w:b/>
                <w:bCs/>
                <w:color w:val="000000"/>
                <w:sz w:val="16"/>
                <w:szCs w:val="16"/>
                <w:lang w:eastAsia="sk-SK"/>
              </w:rPr>
              <w:t>p.b</w:t>
            </w:r>
            <w:proofErr w:type="spellEnd"/>
            <w:r w:rsidRPr="001007C4">
              <w:rPr>
                <w:b/>
                <w:bCs/>
                <w:color w:val="000000"/>
                <w:sz w:val="16"/>
                <w:szCs w:val="16"/>
                <w:lang w:eastAsia="sk-SK"/>
              </w:rPr>
              <w:t>.</w:t>
            </w:r>
          </w:p>
        </w:tc>
        <w:tc>
          <w:tcPr>
            <w:tcW w:w="1159" w:type="dxa"/>
            <w:tcBorders>
              <w:left w:val="nil"/>
              <w:bottom w:val="single" w:sz="4" w:space="0" w:color="auto"/>
              <w:right w:val="nil"/>
            </w:tcBorders>
            <w:shd w:val="clear" w:color="auto" w:fill="auto"/>
            <w:noWrap/>
            <w:vAlign w:val="center"/>
            <w:hideMark/>
          </w:tcPr>
          <w:p w14:paraId="0DCC5F16" w14:textId="3056AD2F" w:rsidR="00DD0DA5" w:rsidRPr="001007C4" w:rsidRDefault="00CD0CF1" w:rsidP="00CA4C99">
            <w:pPr>
              <w:spacing w:after="0" w:line="240" w:lineRule="auto"/>
              <w:jc w:val="center"/>
              <w:rPr>
                <w:b/>
                <w:bCs/>
                <w:color w:val="000000"/>
                <w:sz w:val="16"/>
                <w:szCs w:val="16"/>
                <w:lang w:eastAsia="sk-SK"/>
              </w:rPr>
            </w:pPr>
            <w:r>
              <w:rPr>
                <w:b/>
                <w:bCs/>
                <w:color w:val="000000"/>
                <w:sz w:val="16"/>
                <w:szCs w:val="16"/>
                <w:lang w:eastAsia="sk-SK"/>
              </w:rPr>
              <w:t xml:space="preserve">     </w:t>
            </w:r>
            <w:r w:rsidR="00DD0DA5" w:rsidRPr="001007C4">
              <w:rPr>
                <w:b/>
                <w:bCs/>
                <w:color w:val="000000"/>
                <w:sz w:val="16"/>
                <w:szCs w:val="16"/>
                <w:lang w:eastAsia="sk-SK"/>
              </w:rPr>
              <w:t>tis. eur</w:t>
            </w:r>
          </w:p>
        </w:tc>
      </w:tr>
      <w:tr w:rsidR="00DD0DA5" w:rsidRPr="001007C4" w14:paraId="24689C75" w14:textId="77777777" w:rsidTr="00D33788">
        <w:trPr>
          <w:trHeight w:val="265"/>
        </w:trPr>
        <w:tc>
          <w:tcPr>
            <w:tcW w:w="2751" w:type="dxa"/>
            <w:tcBorders>
              <w:top w:val="single" w:sz="4" w:space="0" w:color="auto"/>
              <w:left w:val="nil"/>
              <w:bottom w:val="nil"/>
              <w:right w:val="nil"/>
            </w:tcBorders>
            <w:shd w:val="clear" w:color="auto" w:fill="auto"/>
            <w:noWrap/>
            <w:vAlign w:val="center"/>
            <w:hideMark/>
          </w:tcPr>
          <w:p w14:paraId="69257E78" w14:textId="77777777" w:rsidR="00DD0DA5" w:rsidRPr="00E47468" w:rsidRDefault="00DD0DA5" w:rsidP="00CA4C99">
            <w:pPr>
              <w:spacing w:after="0" w:line="240" w:lineRule="auto"/>
              <w:rPr>
                <w:b/>
                <w:bCs/>
                <w:color w:val="000000"/>
                <w:sz w:val="18"/>
                <w:szCs w:val="18"/>
                <w:lang w:eastAsia="sk-SK"/>
              </w:rPr>
            </w:pPr>
            <w:r w:rsidRPr="00E47468">
              <w:rPr>
                <w:b/>
                <w:bCs/>
                <w:color w:val="000000"/>
                <w:sz w:val="18"/>
                <w:szCs w:val="18"/>
                <w:lang w:eastAsia="sk-SK"/>
              </w:rPr>
              <w:t>Starnutie obyvateľstva</w:t>
            </w:r>
          </w:p>
        </w:tc>
        <w:tc>
          <w:tcPr>
            <w:tcW w:w="1013" w:type="dxa"/>
            <w:gridSpan w:val="2"/>
            <w:tcBorders>
              <w:top w:val="single" w:sz="4" w:space="0" w:color="auto"/>
              <w:left w:val="nil"/>
              <w:bottom w:val="nil"/>
              <w:right w:val="nil"/>
            </w:tcBorders>
            <w:shd w:val="clear" w:color="auto" w:fill="auto"/>
            <w:noWrap/>
            <w:vAlign w:val="center"/>
          </w:tcPr>
          <w:p w14:paraId="5E71B5CE" w14:textId="77777777" w:rsidR="00DD0DA5" w:rsidRPr="007B40F1" w:rsidRDefault="00DD0DA5" w:rsidP="00CA4C99">
            <w:pPr>
              <w:spacing w:after="0" w:line="240" w:lineRule="auto"/>
              <w:jc w:val="right"/>
              <w:rPr>
                <w:b/>
                <w:sz w:val="18"/>
                <w:szCs w:val="18"/>
              </w:rPr>
            </w:pPr>
            <w:r w:rsidRPr="007B40F1">
              <w:rPr>
                <w:b/>
                <w:bCs/>
                <w:color w:val="000000"/>
                <w:sz w:val="18"/>
                <w:szCs w:val="18"/>
              </w:rPr>
              <w:t>-363,5%</w:t>
            </w:r>
          </w:p>
        </w:tc>
        <w:tc>
          <w:tcPr>
            <w:tcW w:w="1207" w:type="dxa"/>
            <w:tcBorders>
              <w:top w:val="single" w:sz="4" w:space="0" w:color="auto"/>
              <w:left w:val="nil"/>
              <w:bottom w:val="nil"/>
              <w:right w:val="nil"/>
            </w:tcBorders>
            <w:shd w:val="clear" w:color="auto" w:fill="auto"/>
            <w:noWrap/>
            <w:vAlign w:val="center"/>
          </w:tcPr>
          <w:p w14:paraId="4B589579" w14:textId="77777777" w:rsidR="00DD0DA5" w:rsidRPr="007B40F1" w:rsidRDefault="00DD0DA5" w:rsidP="00CA4C99">
            <w:pPr>
              <w:spacing w:after="0" w:line="240" w:lineRule="auto"/>
              <w:jc w:val="right"/>
              <w:rPr>
                <w:b/>
                <w:sz w:val="18"/>
                <w:szCs w:val="18"/>
              </w:rPr>
            </w:pPr>
            <w:r w:rsidRPr="007B40F1">
              <w:rPr>
                <w:b/>
                <w:bCs/>
                <w:color w:val="000000"/>
                <w:sz w:val="18"/>
                <w:szCs w:val="18"/>
              </w:rPr>
              <w:t>-398 555 583</w:t>
            </w:r>
          </w:p>
        </w:tc>
        <w:tc>
          <w:tcPr>
            <w:tcW w:w="938" w:type="dxa"/>
            <w:tcBorders>
              <w:top w:val="single" w:sz="4" w:space="0" w:color="auto"/>
              <w:left w:val="nil"/>
              <w:bottom w:val="nil"/>
              <w:right w:val="nil"/>
            </w:tcBorders>
            <w:shd w:val="clear" w:color="auto" w:fill="auto"/>
            <w:noWrap/>
            <w:vAlign w:val="center"/>
            <w:hideMark/>
          </w:tcPr>
          <w:p w14:paraId="206B238B" w14:textId="77777777" w:rsidR="00DD0DA5" w:rsidRPr="00504870" w:rsidRDefault="00DD0DA5" w:rsidP="00CA4C99">
            <w:pPr>
              <w:spacing w:after="0" w:line="240" w:lineRule="auto"/>
              <w:jc w:val="right"/>
              <w:rPr>
                <w:b/>
                <w:sz w:val="18"/>
                <w:szCs w:val="18"/>
              </w:rPr>
            </w:pPr>
            <w:r w:rsidRPr="00504870">
              <w:rPr>
                <w:b/>
                <w:bCs/>
                <w:color w:val="000000"/>
                <w:sz w:val="18"/>
                <w:szCs w:val="20"/>
              </w:rPr>
              <w:t>-430,7%</w:t>
            </w:r>
          </w:p>
        </w:tc>
        <w:tc>
          <w:tcPr>
            <w:tcW w:w="1209" w:type="dxa"/>
            <w:tcBorders>
              <w:top w:val="single" w:sz="4" w:space="0" w:color="auto"/>
              <w:left w:val="nil"/>
              <w:bottom w:val="nil"/>
              <w:right w:val="single" w:sz="4" w:space="0" w:color="auto"/>
            </w:tcBorders>
            <w:shd w:val="clear" w:color="auto" w:fill="auto"/>
            <w:noWrap/>
            <w:vAlign w:val="center"/>
            <w:hideMark/>
          </w:tcPr>
          <w:p w14:paraId="493F4424" w14:textId="77777777" w:rsidR="00DD0DA5" w:rsidRPr="00504870" w:rsidRDefault="00DD0DA5" w:rsidP="00CA4C99">
            <w:pPr>
              <w:spacing w:after="0" w:line="240" w:lineRule="auto"/>
              <w:jc w:val="right"/>
              <w:rPr>
                <w:b/>
                <w:sz w:val="18"/>
                <w:szCs w:val="18"/>
              </w:rPr>
            </w:pPr>
            <w:r w:rsidRPr="00504870">
              <w:rPr>
                <w:b/>
                <w:bCs/>
                <w:color w:val="000000"/>
                <w:sz w:val="18"/>
                <w:szCs w:val="20"/>
              </w:rPr>
              <w:t>-424 340 820</w:t>
            </w:r>
          </w:p>
        </w:tc>
        <w:tc>
          <w:tcPr>
            <w:tcW w:w="989" w:type="dxa"/>
            <w:tcBorders>
              <w:top w:val="single" w:sz="4" w:space="0" w:color="auto"/>
              <w:left w:val="single" w:sz="4" w:space="0" w:color="auto"/>
              <w:bottom w:val="nil"/>
              <w:right w:val="nil"/>
            </w:tcBorders>
            <w:shd w:val="clear" w:color="auto" w:fill="auto"/>
            <w:noWrap/>
            <w:vAlign w:val="center"/>
            <w:hideMark/>
          </w:tcPr>
          <w:p w14:paraId="1B25FF35" w14:textId="77777777" w:rsidR="00DD0DA5" w:rsidRPr="007B40F1" w:rsidRDefault="00DD0DA5" w:rsidP="00CA4C99">
            <w:pPr>
              <w:spacing w:after="0" w:line="240" w:lineRule="auto"/>
              <w:jc w:val="center"/>
              <w:rPr>
                <w:b/>
                <w:sz w:val="18"/>
                <w:szCs w:val="18"/>
              </w:rPr>
            </w:pPr>
            <w:r>
              <w:rPr>
                <w:b/>
                <w:bCs/>
                <w:color w:val="000000"/>
                <w:sz w:val="18"/>
                <w:szCs w:val="18"/>
              </w:rPr>
              <w:t>67,2</w:t>
            </w:r>
          </w:p>
        </w:tc>
        <w:tc>
          <w:tcPr>
            <w:tcW w:w="1159" w:type="dxa"/>
            <w:tcBorders>
              <w:top w:val="single" w:sz="4" w:space="0" w:color="auto"/>
              <w:left w:val="nil"/>
              <w:bottom w:val="nil"/>
              <w:right w:val="nil"/>
            </w:tcBorders>
            <w:shd w:val="clear" w:color="auto" w:fill="auto"/>
            <w:noWrap/>
            <w:vAlign w:val="center"/>
            <w:hideMark/>
          </w:tcPr>
          <w:p w14:paraId="1BBC5DD6" w14:textId="77777777" w:rsidR="00DD0DA5" w:rsidRPr="007B40F1" w:rsidRDefault="00DD0DA5" w:rsidP="00CA4C99">
            <w:pPr>
              <w:spacing w:after="0" w:line="240" w:lineRule="auto"/>
              <w:jc w:val="right"/>
              <w:rPr>
                <w:b/>
                <w:sz w:val="18"/>
                <w:szCs w:val="18"/>
              </w:rPr>
            </w:pPr>
            <w:r w:rsidRPr="007B40F1">
              <w:rPr>
                <w:b/>
                <w:bCs/>
                <w:color w:val="000000"/>
                <w:sz w:val="18"/>
                <w:szCs w:val="18"/>
              </w:rPr>
              <w:t>25 785 237</w:t>
            </w:r>
          </w:p>
        </w:tc>
      </w:tr>
      <w:tr w:rsidR="00DD0DA5" w:rsidRPr="001007C4" w14:paraId="5A38E31A"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5C46F371" w14:textId="77777777" w:rsidR="00DD0DA5" w:rsidRPr="007B40F1" w:rsidRDefault="00DD0DA5" w:rsidP="00CA4C99">
            <w:pPr>
              <w:spacing w:after="0" w:line="240" w:lineRule="auto"/>
              <w:ind w:firstLineChars="100" w:firstLine="180"/>
              <w:rPr>
                <w:color w:val="000000"/>
                <w:sz w:val="18"/>
                <w:szCs w:val="18"/>
                <w:lang w:eastAsia="sk-SK"/>
              </w:rPr>
            </w:pPr>
            <w:r w:rsidRPr="007B40F1">
              <w:rPr>
                <w:color w:val="000000"/>
                <w:sz w:val="18"/>
                <w:szCs w:val="18"/>
                <w:lang w:eastAsia="sk-SK"/>
              </w:rPr>
              <w:t xml:space="preserve"> - dôchodkový systém</w:t>
            </w:r>
          </w:p>
        </w:tc>
        <w:tc>
          <w:tcPr>
            <w:tcW w:w="946" w:type="dxa"/>
            <w:tcBorders>
              <w:top w:val="nil"/>
              <w:left w:val="nil"/>
              <w:bottom w:val="nil"/>
              <w:right w:val="nil"/>
            </w:tcBorders>
            <w:shd w:val="clear" w:color="auto" w:fill="auto"/>
            <w:noWrap/>
            <w:vAlign w:val="center"/>
          </w:tcPr>
          <w:p w14:paraId="28F62612" w14:textId="77777777" w:rsidR="00DD0DA5" w:rsidRPr="007B40F1" w:rsidRDefault="00DD0DA5" w:rsidP="00CA4C99">
            <w:pPr>
              <w:spacing w:after="0" w:line="240" w:lineRule="auto"/>
              <w:jc w:val="right"/>
              <w:rPr>
                <w:color w:val="000000"/>
                <w:sz w:val="18"/>
                <w:szCs w:val="18"/>
              </w:rPr>
            </w:pPr>
            <w:r w:rsidRPr="007B40F1">
              <w:rPr>
                <w:color w:val="000000"/>
                <w:sz w:val="18"/>
                <w:szCs w:val="18"/>
              </w:rPr>
              <w:t>-195,7%</w:t>
            </w:r>
          </w:p>
        </w:tc>
        <w:tc>
          <w:tcPr>
            <w:tcW w:w="1207" w:type="dxa"/>
            <w:tcBorders>
              <w:top w:val="nil"/>
              <w:left w:val="nil"/>
              <w:bottom w:val="nil"/>
              <w:right w:val="nil"/>
            </w:tcBorders>
            <w:shd w:val="clear" w:color="auto" w:fill="auto"/>
            <w:noWrap/>
            <w:vAlign w:val="center"/>
          </w:tcPr>
          <w:p w14:paraId="061F4939" w14:textId="77777777" w:rsidR="00DD0DA5" w:rsidRPr="007B40F1" w:rsidRDefault="00DD0DA5" w:rsidP="00CA4C99">
            <w:pPr>
              <w:spacing w:after="0" w:line="240" w:lineRule="auto"/>
              <w:jc w:val="right"/>
              <w:rPr>
                <w:color w:val="000000"/>
                <w:sz w:val="18"/>
                <w:szCs w:val="18"/>
              </w:rPr>
            </w:pPr>
            <w:r w:rsidRPr="007B40F1">
              <w:rPr>
                <w:color w:val="000000"/>
                <w:sz w:val="18"/>
                <w:szCs w:val="18"/>
              </w:rPr>
              <w:t>-214 635 681</w:t>
            </w:r>
          </w:p>
        </w:tc>
        <w:tc>
          <w:tcPr>
            <w:tcW w:w="938" w:type="dxa"/>
            <w:tcBorders>
              <w:top w:val="nil"/>
              <w:left w:val="nil"/>
              <w:bottom w:val="nil"/>
              <w:right w:val="nil"/>
            </w:tcBorders>
            <w:shd w:val="clear" w:color="auto" w:fill="auto"/>
            <w:noWrap/>
            <w:vAlign w:val="center"/>
            <w:hideMark/>
          </w:tcPr>
          <w:p w14:paraId="7948CA86" w14:textId="77777777" w:rsidR="00DD0DA5" w:rsidRPr="00504870" w:rsidRDefault="00DD0DA5" w:rsidP="00CA4C99">
            <w:pPr>
              <w:spacing w:after="0" w:line="240" w:lineRule="auto"/>
              <w:jc w:val="right"/>
              <w:rPr>
                <w:sz w:val="18"/>
                <w:szCs w:val="18"/>
              </w:rPr>
            </w:pPr>
            <w:r w:rsidRPr="00504870">
              <w:rPr>
                <w:color w:val="000000"/>
                <w:sz w:val="18"/>
                <w:szCs w:val="20"/>
              </w:rPr>
              <w:t>-225,1%</w:t>
            </w:r>
          </w:p>
        </w:tc>
        <w:tc>
          <w:tcPr>
            <w:tcW w:w="1209" w:type="dxa"/>
            <w:tcBorders>
              <w:top w:val="nil"/>
              <w:left w:val="nil"/>
              <w:bottom w:val="nil"/>
              <w:right w:val="single" w:sz="4" w:space="0" w:color="auto"/>
            </w:tcBorders>
            <w:shd w:val="clear" w:color="auto" w:fill="auto"/>
            <w:noWrap/>
            <w:vAlign w:val="center"/>
            <w:hideMark/>
          </w:tcPr>
          <w:p w14:paraId="788E6712" w14:textId="77777777" w:rsidR="00DD0DA5" w:rsidRPr="00504870" w:rsidRDefault="00DD0DA5" w:rsidP="00CA4C99">
            <w:pPr>
              <w:spacing w:after="0" w:line="240" w:lineRule="auto"/>
              <w:jc w:val="right"/>
              <w:rPr>
                <w:sz w:val="18"/>
                <w:szCs w:val="18"/>
              </w:rPr>
            </w:pPr>
            <w:r w:rsidRPr="00504870">
              <w:rPr>
                <w:color w:val="000000"/>
                <w:sz w:val="18"/>
                <w:szCs w:val="20"/>
              </w:rPr>
              <w:t>-221 816 699</w:t>
            </w:r>
          </w:p>
        </w:tc>
        <w:tc>
          <w:tcPr>
            <w:tcW w:w="989" w:type="dxa"/>
            <w:tcBorders>
              <w:top w:val="nil"/>
              <w:left w:val="single" w:sz="4" w:space="0" w:color="auto"/>
              <w:bottom w:val="nil"/>
              <w:right w:val="nil"/>
            </w:tcBorders>
            <w:shd w:val="clear" w:color="auto" w:fill="auto"/>
            <w:noWrap/>
            <w:vAlign w:val="center"/>
            <w:hideMark/>
          </w:tcPr>
          <w:p w14:paraId="0A150911" w14:textId="77777777" w:rsidR="00DD0DA5" w:rsidRPr="007B40F1" w:rsidRDefault="00DD0DA5" w:rsidP="00CA4C99">
            <w:pPr>
              <w:spacing w:after="0" w:line="240" w:lineRule="auto"/>
              <w:jc w:val="center"/>
              <w:rPr>
                <w:sz w:val="18"/>
                <w:szCs w:val="18"/>
              </w:rPr>
            </w:pPr>
            <w:r>
              <w:rPr>
                <w:color w:val="000000"/>
                <w:sz w:val="18"/>
                <w:szCs w:val="18"/>
              </w:rPr>
              <w:t>29,4</w:t>
            </w:r>
          </w:p>
        </w:tc>
        <w:tc>
          <w:tcPr>
            <w:tcW w:w="1159" w:type="dxa"/>
            <w:tcBorders>
              <w:top w:val="nil"/>
              <w:left w:val="nil"/>
              <w:bottom w:val="nil"/>
              <w:right w:val="nil"/>
            </w:tcBorders>
            <w:shd w:val="clear" w:color="auto" w:fill="auto"/>
            <w:noWrap/>
            <w:vAlign w:val="center"/>
            <w:hideMark/>
          </w:tcPr>
          <w:p w14:paraId="64097776" w14:textId="77777777" w:rsidR="00DD0DA5" w:rsidRPr="007B40F1" w:rsidRDefault="00DD0DA5" w:rsidP="00CA4C99">
            <w:pPr>
              <w:spacing w:after="0" w:line="240" w:lineRule="auto"/>
              <w:jc w:val="right"/>
              <w:rPr>
                <w:sz w:val="18"/>
                <w:szCs w:val="18"/>
              </w:rPr>
            </w:pPr>
            <w:r w:rsidRPr="007B40F1">
              <w:rPr>
                <w:color w:val="000000"/>
                <w:sz w:val="18"/>
                <w:szCs w:val="18"/>
              </w:rPr>
              <w:t>7 181 019</w:t>
            </w:r>
          </w:p>
        </w:tc>
      </w:tr>
      <w:tr w:rsidR="00DD0DA5" w:rsidRPr="001007C4" w14:paraId="65D7AE9F"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536D323D" w14:textId="77777777" w:rsidR="00DD0DA5" w:rsidRPr="007B40F1" w:rsidRDefault="00DD0DA5" w:rsidP="00CA4C99">
            <w:pPr>
              <w:spacing w:after="0" w:line="240" w:lineRule="auto"/>
              <w:ind w:firstLineChars="100" w:firstLine="180"/>
              <w:rPr>
                <w:color w:val="000000"/>
                <w:sz w:val="18"/>
                <w:szCs w:val="18"/>
                <w:lang w:eastAsia="sk-SK"/>
              </w:rPr>
            </w:pPr>
            <w:r w:rsidRPr="007B40F1">
              <w:rPr>
                <w:color w:val="000000"/>
                <w:sz w:val="18"/>
                <w:szCs w:val="18"/>
                <w:lang w:eastAsia="sk-SK"/>
              </w:rPr>
              <w:t xml:space="preserve"> - zdravotníctvo</w:t>
            </w:r>
          </w:p>
        </w:tc>
        <w:tc>
          <w:tcPr>
            <w:tcW w:w="946" w:type="dxa"/>
            <w:tcBorders>
              <w:top w:val="nil"/>
              <w:left w:val="nil"/>
              <w:bottom w:val="nil"/>
              <w:right w:val="nil"/>
            </w:tcBorders>
            <w:shd w:val="clear" w:color="auto" w:fill="auto"/>
            <w:noWrap/>
            <w:vAlign w:val="center"/>
          </w:tcPr>
          <w:p w14:paraId="1F2D272D" w14:textId="77777777" w:rsidR="00DD0DA5" w:rsidRPr="007B40F1" w:rsidRDefault="00DD0DA5" w:rsidP="00CA4C99">
            <w:pPr>
              <w:spacing w:after="0" w:line="240" w:lineRule="auto"/>
              <w:jc w:val="right"/>
              <w:rPr>
                <w:color w:val="000000"/>
                <w:sz w:val="18"/>
                <w:szCs w:val="18"/>
              </w:rPr>
            </w:pPr>
            <w:r w:rsidRPr="007B40F1">
              <w:rPr>
                <w:color w:val="000000"/>
                <w:sz w:val="18"/>
                <w:szCs w:val="18"/>
              </w:rPr>
              <w:t>-88,0%</w:t>
            </w:r>
          </w:p>
        </w:tc>
        <w:tc>
          <w:tcPr>
            <w:tcW w:w="1207" w:type="dxa"/>
            <w:tcBorders>
              <w:top w:val="nil"/>
              <w:left w:val="nil"/>
              <w:bottom w:val="nil"/>
              <w:right w:val="nil"/>
            </w:tcBorders>
            <w:shd w:val="clear" w:color="auto" w:fill="auto"/>
            <w:noWrap/>
            <w:vAlign w:val="center"/>
          </w:tcPr>
          <w:p w14:paraId="2244BB19" w14:textId="77777777" w:rsidR="00DD0DA5" w:rsidRPr="007B40F1" w:rsidRDefault="00DD0DA5" w:rsidP="00CA4C99">
            <w:pPr>
              <w:spacing w:after="0" w:line="240" w:lineRule="auto"/>
              <w:jc w:val="right"/>
              <w:rPr>
                <w:color w:val="000000"/>
                <w:sz w:val="18"/>
                <w:szCs w:val="18"/>
              </w:rPr>
            </w:pPr>
            <w:r w:rsidRPr="007B40F1">
              <w:rPr>
                <w:color w:val="000000"/>
                <w:sz w:val="18"/>
                <w:szCs w:val="18"/>
              </w:rPr>
              <w:t>-96 466 132</w:t>
            </w:r>
          </w:p>
        </w:tc>
        <w:tc>
          <w:tcPr>
            <w:tcW w:w="938" w:type="dxa"/>
            <w:tcBorders>
              <w:top w:val="nil"/>
              <w:left w:val="nil"/>
              <w:bottom w:val="nil"/>
              <w:right w:val="nil"/>
            </w:tcBorders>
            <w:shd w:val="clear" w:color="auto" w:fill="auto"/>
            <w:noWrap/>
            <w:vAlign w:val="center"/>
            <w:hideMark/>
          </w:tcPr>
          <w:p w14:paraId="41CA6814" w14:textId="77777777" w:rsidR="00DD0DA5" w:rsidRPr="00504870" w:rsidRDefault="00DD0DA5" w:rsidP="00CA4C99">
            <w:pPr>
              <w:spacing w:after="0" w:line="240" w:lineRule="auto"/>
              <w:jc w:val="right"/>
              <w:rPr>
                <w:sz w:val="18"/>
                <w:szCs w:val="18"/>
              </w:rPr>
            </w:pPr>
            <w:r w:rsidRPr="00504870">
              <w:rPr>
                <w:color w:val="000000"/>
                <w:sz w:val="18"/>
                <w:szCs w:val="20"/>
              </w:rPr>
              <w:t>-109,7%</w:t>
            </w:r>
          </w:p>
        </w:tc>
        <w:tc>
          <w:tcPr>
            <w:tcW w:w="1209" w:type="dxa"/>
            <w:tcBorders>
              <w:top w:val="nil"/>
              <w:left w:val="nil"/>
              <w:bottom w:val="nil"/>
              <w:right w:val="single" w:sz="4" w:space="0" w:color="auto"/>
            </w:tcBorders>
            <w:shd w:val="clear" w:color="auto" w:fill="auto"/>
            <w:noWrap/>
            <w:vAlign w:val="center"/>
            <w:hideMark/>
          </w:tcPr>
          <w:p w14:paraId="0D079160" w14:textId="77777777" w:rsidR="00DD0DA5" w:rsidRPr="00504870" w:rsidRDefault="00DD0DA5" w:rsidP="00CA4C99">
            <w:pPr>
              <w:spacing w:after="0" w:line="240" w:lineRule="auto"/>
              <w:jc w:val="right"/>
              <w:rPr>
                <w:sz w:val="18"/>
                <w:szCs w:val="18"/>
              </w:rPr>
            </w:pPr>
            <w:r w:rsidRPr="00504870">
              <w:rPr>
                <w:color w:val="000000"/>
                <w:sz w:val="18"/>
                <w:szCs w:val="20"/>
              </w:rPr>
              <w:t>-108 031 733</w:t>
            </w:r>
          </w:p>
        </w:tc>
        <w:tc>
          <w:tcPr>
            <w:tcW w:w="989" w:type="dxa"/>
            <w:tcBorders>
              <w:top w:val="nil"/>
              <w:left w:val="single" w:sz="4" w:space="0" w:color="auto"/>
              <w:bottom w:val="nil"/>
              <w:right w:val="nil"/>
            </w:tcBorders>
            <w:shd w:val="clear" w:color="auto" w:fill="auto"/>
            <w:noWrap/>
            <w:vAlign w:val="center"/>
            <w:hideMark/>
          </w:tcPr>
          <w:p w14:paraId="7660B5A3" w14:textId="77777777" w:rsidR="00DD0DA5" w:rsidRPr="007B40F1" w:rsidRDefault="00DD0DA5" w:rsidP="00CA4C99">
            <w:pPr>
              <w:spacing w:after="0" w:line="240" w:lineRule="auto"/>
              <w:jc w:val="center"/>
              <w:rPr>
                <w:sz w:val="18"/>
                <w:szCs w:val="18"/>
              </w:rPr>
            </w:pPr>
            <w:r>
              <w:rPr>
                <w:color w:val="000000"/>
                <w:sz w:val="18"/>
                <w:szCs w:val="18"/>
              </w:rPr>
              <w:t>21,7</w:t>
            </w:r>
          </w:p>
        </w:tc>
        <w:tc>
          <w:tcPr>
            <w:tcW w:w="1159" w:type="dxa"/>
            <w:tcBorders>
              <w:top w:val="nil"/>
              <w:left w:val="nil"/>
              <w:bottom w:val="nil"/>
              <w:right w:val="nil"/>
            </w:tcBorders>
            <w:shd w:val="clear" w:color="auto" w:fill="auto"/>
            <w:noWrap/>
            <w:vAlign w:val="center"/>
            <w:hideMark/>
          </w:tcPr>
          <w:p w14:paraId="77251D08" w14:textId="77777777" w:rsidR="00DD0DA5" w:rsidRPr="007B40F1" w:rsidRDefault="00DD0DA5" w:rsidP="00CA4C99">
            <w:pPr>
              <w:spacing w:after="0" w:line="240" w:lineRule="auto"/>
              <w:jc w:val="right"/>
              <w:rPr>
                <w:sz w:val="18"/>
                <w:szCs w:val="18"/>
              </w:rPr>
            </w:pPr>
            <w:r w:rsidRPr="007B40F1">
              <w:rPr>
                <w:color w:val="000000"/>
                <w:sz w:val="18"/>
                <w:szCs w:val="18"/>
              </w:rPr>
              <w:t>11 565 602</w:t>
            </w:r>
          </w:p>
        </w:tc>
      </w:tr>
      <w:tr w:rsidR="00DD0DA5" w:rsidRPr="001007C4" w14:paraId="7B8AA2B7"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1E52E733" w14:textId="77777777" w:rsidR="00DD0DA5" w:rsidRPr="007B40F1" w:rsidRDefault="00DD0DA5" w:rsidP="00CA4C99">
            <w:pPr>
              <w:spacing w:after="0" w:line="240" w:lineRule="auto"/>
              <w:ind w:firstLineChars="100" w:firstLine="180"/>
              <w:rPr>
                <w:color w:val="000000"/>
                <w:sz w:val="18"/>
                <w:szCs w:val="18"/>
                <w:lang w:eastAsia="sk-SK"/>
              </w:rPr>
            </w:pPr>
            <w:r w:rsidRPr="007B40F1">
              <w:rPr>
                <w:color w:val="000000"/>
                <w:sz w:val="18"/>
                <w:szCs w:val="18"/>
                <w:lang w:eastAsia="sk-SK"/>
              </w:rPr>
              <w:t xml:space="preserve"> - dlhodobá starostlivosť</w:t>
            </w:r>
          </w:p>
        </w:tc>
        <w:tc>
          <w:tcPr>
            <w:tcW w:w="946" w:type="dxa"/>
            <w:tcBorders>
              <w:top w:val="nil"/>
              <w:left w:val="nil"/>
              <w:bottom w:val="nil"/>
              <w:right w:val="nil"/>
            </w:tcBorders>
            <w:shd w:val="clear" w:color="auto" w:fill="auto"/>
            <w:noWrap/>
            <w:vAlign w:val="center"/>
          </w:tcPr>
          <w:p w14:paraId="6D7C5668" w14:textId="77777777" w:rsidR="00DD0DA5" w:rsidRPr="007B40F1" w:rsidRDefault="00DD0DA5" w:rsidP="00CA4C99">
            <w:pPr>
              <w:spacing w:after="0" w:line="240" w:lineRule="auto"/>
              <w:jc w:val="right"/>
              <w:rPr>
                <w:color w:val="000000"/>
                <w:sz w:val="18"/>
                <w:szCs w:val="18"/>
              </w:rPr>
            </w:pPr>
            <w:r w:rsidRPr="007B40F1">
              <w:rPr>
                <w:color w:val="000000"/>
                <w:sz w:val="18"/>
                <w:szCs w:val="18"/>
              </w:rPr>
              <w:t>-65,2%</w:t>
            </w:r>
          </w:p>
        </w:tc>
        <w:tc>
          <w:tcPr>
            <w:tcW w:w="1207" w:type="dxa"/>
            <w:tcBorders>
              <w:top w:val="nil"/>
              <w:left w:val="nil"/>
              <w:bottom w:val="nil"/>
              <w:right w:val="nil"/>
            </w:tcBorders>
            <w:shd w:val="clear" w:color="auto" w:fill="auto"/>
            <w:noWrap/>
            <w:vAlign w:val="center"/>
          </w:tcPr>
          <w:p w14:paraId="560BCD8A" w14:textId="77777777" w:rsidR="00DD0DA5" w:rsidRPr="007B40F1" w:rsidRDefault="00DD0DA5" w:rsidP="00CA4C99">
            <w:pPr>
              <w:spacing w:after="0" w:line="240" w:lineRule="auto"/>
              <w:jc w:val="right"/>
              <w:rPr>
                <w:color w:val="000000"/>
                <w:sz w:val="18"/>
                <w:szCs w:val="18"/>
              </w:rPr>
            </w:pPr>
            <w:r w:rsidRPr="007B40F1">
              <w:rPr>
                <w:color w:val="000000"/>
                <w:sz w:val="18"/>
                <w:szCs w:val="18"/>
              </w:rPr>
              <w:t>-71 503 739</w:t>
            </w:r>
          </w:p>
        </w:tc>
        <w:tc>
          <w:tcPr>
            <w:tcW w:w="938" w:type="dxa"/>
            <w:tcBorders>
              <w:top w:val="nil"/>
              <w:left w:val="nil"/>
              <w:bottom w:val="nil"/>
              <w:right w:val="nil"/>
            </w:tcBorders>
            <w:shd w:val="clear" w:color="auto" w:fill="auto"/>
            <w:noWrap/>
            <w:vAlign w:val="center"/>
            <w:hideMark/>
          </w:tcPr>
          <w:p w14:paraId="1DD9076B" w14:textId="77777777" w:rsidR="00DD0DA5" w:rsidRPr="00504870" w:rsidRDefault="00DD0DA5" w:rsidP="00CA4C99">
            <w:pPr>
              <w:spacing w:after="0" w:line="240" w:lineRule="auto"/>
              <w:jc w:val="right"/>
              <w:rPr>
                <w:sz w:val="18"/>
                <w:szCs w:val="18"/>
              </w:rPr>
            </w:pPr>
            <w:r w:rsidRPr="00504870">
              <w:rPr>
                <w:color w:val="000000"/>
                <w:sz w:val="18"/>
                <w:szCs w:val="20"/>
              </w:rPr>
              <w:t>-71,1%</w:t>
            </w:r>
          </w:p>
        </w:tc>
        <w:tc>
          <w:tcPr>
            <w:tcW w:w="1209" w:type="dxa"/>
            <w:tcBorders>
              <w:top w:val="nil"/>
              <w:left w:val="nil"/>
              <w:bottom w:val="nil"/>
              <w:right w:val="single" w:sz="4" w:space="0" w:color="auto"/>
            </w:tcBorders>
            <w:shd w:val="clear" w:color="auto" w:fill="auto"/>
            <w:noWrap/>
            <w:vAlign w:val="center"/>
            <w:hideMark/>
          </w:tcPr>
          <w:p w14:paraId="29FE5702" w14:textId="77777777" w:rsidR="00DD0DA5" w:rsidRPr="00504870" w:rsidRDefault="00DD0DA5" w:rsidP="00CA4C99">
            <w:pPr>
              <w:spacing w:after="0" w:line="240" w:lineRule="auto"/>
              <w:jc w:val="right"/>
              <w:rPr>
                <w:sz w:val="18"/>
                <w:szCs w:val="18"/>
              </w:rPr>
            </w:pPr>
            <w:r w:rsidRPr="00504870">
              <w:rPr>
                <w:color w:val="000000"/>
                <w:sz w:val="18"/>
                <w:szCs w:val="20"/>
              </w:rPr>
              <w:t>-70 080 032</w:t>
            </w:r>
          </w:p>
        </w:tc>
        <w:tc>
          <w:tcPr>
            <w:tcW w:w="989" w:type="dxa"/>
            <w:tcBorders>
              <w:top w:val="nil"/>
              <w:left w:val="single" w:sz="4" w:space="0" w:color="auto"/>
              <w:bottom w:val="nil"/>
              <w:right w:val="nil"/>
            </w:tcBorders>
            <w:shd w:val="clear" w:color="auto" w:fill="auto"/>
            <w:noWrap/>
            <w:vAlign w:val="center"/>
            <w:hideMark/>
          </w:tcPr>
          <w:p w14:paraId="1D5CB7FA" w14:textId="77777777" w:rsidR="00DD0DA5" w:rsidRPr="007B40F1" w:rsidRDefault="00DD0DA5" w:rsidP="00CA4C99">
            <w:pPr>
              <w:spacing w:after="0" w:line="240" w:lineRule="auto"/>
              <w:jc w:val="center"/>
              <w:rPr>
                <w:sz w:val="18"/>
                <w:szCs w:val="18"/>
              </w:rPr>
            </w:pPr>
            <w:r>
              <w:rPr>
                <w:color w:val="000000"/>
                <w:sz w:val="18"/>
                <w:szCs w:val="18"/>
              </w:rPr>
              <w:t>5,9</w:t>
            </w:r>
          </w:p>
        </w:tc>
        <w:tc>
          <w:tcPr>
            <w:tcW w:w="1159" w:type="dxa"/>
            <w:tcBorders>
              <w:top w:val="nil"/>
              <w:left w:val="nil"/>
              <w:bottom w:val="nil"/>
              <w:right w:val="nil"/>
            </w:tcBorders>
            <w:shd w:val="clear" w:color="auto" w:fill="auto"/>
            <w:noWrap/>
            <w:vAlign w:val="center"/>
            <w:hideMark/>
          </w:tcPr>
          <w:p w14:paraId="090AB9E8" w14:textId="77777777" w:rsidR="00DD0DA5" w:rsidRPr="007B40F1" w:rsidRDefault="00DD0DA5" w:rsidP="00CA4C99">
            <w:pPr>
              <w:spacing w:after="0" w:line="240" w:lineRule="auto"/>
              <w:jc w:val="right"/>
              <w:rPr>
                <w:sz w:val="18"/>
                <w:szCs w:val="18"/>
              </w:rPr>
            </w:pPr>
            <w:r w:rsidRPr="007B40F1">
              <w:rPr>
                <w:color w:val="000000"/>
                <w:sz w:val="18"/>
                <w:szCs w:val="18"/>
              </w:rPr>
              <w:t>-1 423 707</w:t>
            </w:r>
          </w:p>
        </w:tc>
      </w:tr>
      <w:tr w:rsidR="00DD0DA5" w:rsidRPr="001007C4" w14:paraId="6ED6D185"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1091317B" w14:textId="77777777" w:rsidR="00DD0DA5" w:rsidRPr="007B40F1" w:rsidRDefault="00DD0DA5" w:rsidP="00CA4C99">
            <w:pPr>
              <w:spacing w:after="0" w:line="240" w:lineRule="auto"/>
              <w:ind w:firstLineChars="100" w:firstLine="180"/>
              <w:rPr>
                <w:color w:val="000000"/>
                <w:sz w:val="18"/>
                <w:szCs w:val="18"/>
                <w:lang w:eastAsia="sk-SK"/>
              </w:rPr>
            </w:pPr>
            <w:r w:rsidRPr="007B40F1">
              <w:rPr>
                <w:color w:val="000000"/>
                <w:sz w:val="18"/>
                <w:szCs w:val="18"/>
                <w:lang w:eastAsia="sk-SK"/>
              </w:rPr>
              <w:t xml:space="preserve"> - poistenie v nezamestnanosti</w:t>
            </w:r>
          </w:p>
        </w:tc>
        <w:tc>
          <w:tcPr>
            <w:tcW w:w="946" w:type="dxa"/>
            <w:tcBorders>
              <w:top w:val="nil"/>
              <w:left w:val="nil"/>
              <w:bottom w:val="nil"/>
              <w:right w:val="nil"/>
            </w:tcBorders>
            <w:shd w:val="clear" w:color="auto" w:fill="auto"/>
            <w:noWrap/>
            <w:vAlign w:val="center"/>
          </w:tcPr>
          <w:p w14:paraId="2D23FDD9" w14:textId="77777777" w:rsidR="00DD0DA5" w:rsidRPr="007B40F1" w:rsidRDefault="00DD0DA5" w:rsidP="00CA4C99">
            <w:pPr>
              <w:spacing w:after="0" w:line="240" w:lineRule="auto"/>
              <w:jc w:val="right"/>
              <w:rPr>
                <w:color w:val="000000"/>
                <w:sz w:val="18"/>
                <w:szCs w:val="18"/>
              </w:rPr>
            </w:pPr>
            <w:r w:rsidRPr="007B40F1">
              <w:rPr>
                <w:color w:val="000000"/>
                <w:sz w:val="18"/>
                <w:szCs w:val="18"/>
              </w:rPr>
              <w:t>-1,3%</w:t>
            </w:r>
          </w:p>
        </w:tc>
        <w:tc>
          <w:tcPr>
            <w:tcW w:w="1207" w:type="dxa"/>
            <w:tcBorders>
              <w:top w:val="nil"/>
              <w:left w:val="nil"/>
              <w:bottom w:val="nil"/>
              <w:right w:val="nil"/>
            </w:tcBorders>
            <w:shd w:val="clear" w:color="auto" w:fill="auto"/>
            <w:noWrap/>
            <w:vAlign w:val="center"/>
          </w:tcPr>
          <w:p w14:paraId="58CE3038" w14:textId="77777777" w:rsidR="00DD0DA5" w:rsidRPr="007B40F1" w:rsidRDefault="00DD0DA5" w:rsidP="00CA4C99">
            <w:pPr>
              <w:spacing w:after="0" w:line="240" w:lineRule="auto"/>
              <w:jc w:val="right"/>
              <w:rPr>
                <w:color w:val="000000"/>
                <w:sz w:val="18"/>
                <w:szCs w:val="18"/>
              </w:rPr>
            </w:pPr>
            <w:r w:rsidRPr="007B40F1">
              <w:rPr>
                <w:color w:val="000000"/>
                <w:sz w:val="18"/>
                <w:szCs w:val="18"/>
              </w:rPr>
              <w:t>-1 385 332</w:t>
            </w:r>
          </w:p>
        </w:tc>
        <w:tc>
          <w:tcPr>
            <w:tcW w:w="938" w:type="dxa"/>
            <w:tcBorders>
              <w:top w:val="nil"/>
              <w:left w:val="nil"/>
              <w:bottom w:val="nil"/>
              <w:right w:val="nil"/>
            </w:tcBorders>
            <w:shd w:val="clear" w:color="auto" w:fill="auto"/>
            <w:noWrap/>
            <w:vAlign w:val="center"/>
            <w:hideMark/>
          </w:tcPr>
          <w:p w14:paraId="791CABA2" w14:textId="77777777" w:rsidR="00DD0DA5" w:rsidRPr="00504870" w:rsidRDefault="00DD0DA5" w:rsidP="00CA4C99">
            <w:pPr>
              <w:spacing w:after="0" w:line="240" w:lineRule="auto"/>
              <w:jc w:val="right"/>
              <w:rPr>
                <w:sz w:val="18"/>
                <w:szCs w:val="18"/>
              </w:rPr>
            </w:pPr>
            <w:r w:rsidRPr="00504870">
              <w:rPr>
                <w:color w:val="000000"/>
                <w:sz w:val="18"/>
                <w:szCs w:val="20"/>
              </w:rPr>
              <w:t>-1,1%</w:t>
            </w:r>
          </w:p>
        </w:tc>
        <w:tc>
          <w:tcPr>
            <w:tcW w:w="1209" w:type="dxa"/>
            <w:tcBorders>
              <w:top w:val="nil"/>
              <w:left w:val="nil"/>
              <w:bottom w:val="nil"/>
              <w:right w:val="single" w:sz="4" w:space="0" w:color="auto"/>
            </w:tcBorders>
            <w:shd w:val="clear" w:color="auto" w:fill="auto"/>
            <w:noWrap/>
            <w:vAlign w:val="center"/>
            <w:hideMark/>
          </w:tcPr>
          <w:p w14:paraId="5BF15724" w14:textId="77777777" w:rsidR="00DD0DA5" w:rsidRPr="00504870" w:rsidRDefault="00DD0DA5" w:rsidP="00CA4C99">
            <w:pPr>
              <w:spacing w:after="0" w:line="240" w:lineRule="auto"/>
              <w:jc w:val="right"/>
              <w:rPr>
                <w:sz w:val="18"/>
                <w:szCs w:val="18"/>
              </w:rPr>
            </w:pPr>
            <w:r w:rsidRPr="00504870">
              <w:rPr>
                <w:color w:val="000000"/>
                <w:sz w:val="18"/>
                <w:szCs w:val="20"/>
              </w:rPr>
              <w:t>-1 121 052</w:t>
            </w:r>
          </w:p>
        </w:tc>
        <w:tc>
          <w:tcPr>
            <w:tcW w:w="989" w:type="dxa"/>
            <w:tcBorders>
              <w:top w:val="nil"/>
              <w:left w:val="single" w:sz="4" w:space="0" w:color="auto"/>
              <w:bottom w:val="nil"/>
              <w:right w:val="nil"/>
            </w:tcBorders>
            <w:shd w:val="clear" w:color="auto" w:fill="auto"/>
            <w:noWrap/>
            <w:vAlign w:val="center"/>
            <w:hideMark/>
          </w:tcPr>
          <w:p w14:paraId="54A8F27E" w14:textId="77777777" w:rsidR="00DD0DA5" w:rsidRPr="007B40F1" w:rsidRDefault="00DD0DA5" w:rsidP="00CA4C99">
            <w:pPr>
              <w:spacing w:after="0" w:line="240" w:lineRule="auto"/>
              <w:jc w:val="center"/>
              <w:rPr>
                <w:sz w:val="18"/>
                <w:szCs w:val="18"/>
              </w:rPr>
            </w:pPr>
            <w:r>
              <w:rPr>
                <w:color w:val="000000"/>
                <w:sz w:val="18"/>
                <w:szCs w:val="18"/>
              </w:rPr>
              <w:t>-0,1</w:t>
            </w:r>
          </w:p>
        </w:tc>
        <w:tc>
          <w:tcPr>
            <w:tcW w:w="1159" w:type="dxa"/>
            <w:tcBorders>
              <w:top w:val="nil"/>
              <w:left w:val="nil"/>
              <w:bottom w:val="nil"/>
              <w:right w:val="nil"/>
            </w:tcBorders>
            <w:shd w:val="clear" w:color="auto" w:fill="auto"/>
            <w:noWrap/>
            <w:vAlign w:val="center"/>
            <w:hideMark/>
          </w:tcPr>
          <w:p w14:paraId="706BB39F" w14:textId="77777777" w:rsidR="00DD0DA5" w:rsidRPr="007B40F1" w:rsidRDefault="00DD0DA5" w:rsidP="00CA4C99">
            <w:pPr>
              <w:spacing w:after="0" w:line="240" w:lineRule="auto"/>
              <w:jc w:val="right"/>
              <w:rPr>
                <w:sz w:val="18"/>
                <w:szCs w:val="18"/>
              </w:rPr>
            </w:pPr>
            <w:r w:rsidRPr="007B40F1">
              <w:rPr>
                <w:color w:val="000000"/>
                <w:sz w:val="18"/>
                <w:szCs w:val="18"/>
              </w:rPr>
              <w:t>-264 280</w:t>
            </w:r>
          </w:p>
        </w:tc>
      </w:tr>
      <w:tr w:rsidR="00DD0DA5" w:rsidRPr="001007C4" w14:paraId="3D353451" w14:textId="77777777" w:rsidTr="00D33788">
        <w:trPr>
          <w:trHeight w:val="56"/>
        </w:trPr>
        <w:tc>
          <w:tcPr>
            <w:tcW w:w="2818" w:type="dxa"/>
            <w:gridSpan w:val="2"/>
            <w:tcBorders>
              <w:top w:val="nil"/>
              <w:left w:val="nil"/>
              <w:bottom w:val="nil"/>
              <w:right w:val="nil"/>
            </w:tcBorders>
            <w:shd w:val="clear" w:color="auto" w:fill="auto"/>
            <w:noWrap/>
            <w:vAlign w:val="center"/>
            <w:hideMark/>
          </w:tcPr>
          <w:p w14:paraId="4230D7C6" w14:textId="77777777" w:rsidR="00DD0DA5" w:rsidRPr="007B40F1" w:rsidRDefault="00DD0DA5" w:rsidP="00CA4C99">
            <w:pPr>
              <w:spacing w:after="0" w:line="240" w:lineRule="auto"/>
              <w:ind w:firstLineChars="100" w:firstLine="180"/>
              <w:rPr>
                <w:color w:val="000000"/>
                <w:sz w:val="18"/>
                <w:szCs w:val="18"/>
                <w:lang w:eastAsia="sk-SK"/>
              </w:rPr>
            </w:pPr>
            <w:r w:rsidRPr="007B40F1">
              <w:rPr>
                <w:color w:val="000000"/>
                <w:sz w:val="18"/>
                <w:szCs w:val="18"/>
                <w:lang w:eastAsia="sk-SK"/>
              </w:rPr>
              <w:t xml:space="preserve"> - školstvo</w:t>
            </w:r>
          </w:p>
        </w:tc>
        <w:tc>
          <w:tcPr>
            <w:tcW w:w="946" w:type="dxa"/>
            <w:tcBorders>
              <w:top w:val="nil"/>
              <w:left w:val="nil"/>
              <w:bottom w:val="nil"/>
              <w:right w:val="nil"/>
            </w:tcBorders>
            <w:shd w:val="clear" w:color="auto" w:fill="auto"/>
            <w:noWrap/>
            <w:vAlign w:val="center"/>
          </w:tcPr>
          <w:p w14:paraId="66D29587" w14:textId="77777777" w:rsidR="00DD0DA5" w:rsidRPr="007B40F1" w:rsidRDefault="00DD0DA5" w:rsidP="00CA4C99">
            <w:pPr>
              <w:spacing w:after="0" w:line="240" w:lineRule="auto"/>
              <w:jc w:val="right"/>
              <w:rPr>
                <w:color w:val="000000"/>
                <w:sz w:val="18"/>
                <w:szCs w:val="18"/>
              </w:rPr>
            </w:pPr>
            <w:r w:rsidRPr="007B40F1">
              <w:rPr>
                <w:color w:val="000000"/>
                <w:sz w:val="18"/>
                <w:szCs w:val="18"/>
              </w:rPr>
              <w:t>-13,3%</w:t>
            </w:r>
          </w:p>
        </w:tc>
        <w:tc>
          <w:tcPr>
            <w:tcW w:w="1207" w:type="dxa"/>
            <w:tcBorders>
              <w:top w:val="nil"/>
              <w:left w:val="nil"/>
              <w:bottom w:val="nil"/>
              <w:right w:val="nil"/>
            </w:tcBorders>
            <w:shd w:val="clear" w:color="auto" w:fill="auto"/>
            <w:noWrap/>
            <w:vAlign w:val="center"/>
          </w:tcPr>
          <w:p w14:paraId="37BF4AA3" w14:textId="77777777" w:rsidR="00DD0DA5" w:rsidRPr="007B40F1" w:rsidRDefault="00DD0DA5" w:rsidP="00CA4C99">
            <w:pPr>
              <w:spacing w:after="0" w:line="240" w:lineRule="auto"/>
              <w:jc w:val="right"/>
              <w:rPr>
                <w:color w:val="000000"/>
                <w:sz w:val="18"/>
                <w:szCs w:val="18"/>
              </w:rPr>
            </w:pPr>
            <w:r w:rsidRPr="007B40F1">
              <w:rPr>
                <w:color w:val="000000"/>
                <w:sz w:val="18"/>
                <w:szCs w:val="18"/>
              </w:rPr>
              <w:t>-14 564 700</w:t>
            </w:r>
          </w:p>
        </w:tc>
        <w:tc>
          <w:tcPr>
            <w:tcW w:w="938" w:type="dxa"/>
            <w:tcBorders>
              <w:top w:val="nil"/>
              <w:left w:val="nil"/>
              <w:bottom w:val="nil"/>
              <w:right w:val="nil"/>
            </w:tcBorders>
            <w:shd w:val="clear" w:color="auto" w:fill="auto"/>
            <w:noWrap/>
            <w:vAlign w:val="center"/>
            <w:hideMark/>
          </w:tcPr>
          <w:p w14:paraId="409F2CF3" w14:textId="77777777" w:rsidR="00DD0DA5" w:rsidRPr="00504870" w:rsidRDefault="00DD0DA5" w:rsidP="00CA4C99">
            <w:pPr>
              <w:spacing w:after="0" w:line="240" w:lineRule="auto"/>
              <w:jc w:val="right"/>
              <w:rPr>
                <w:sz w:val="18"/>
                <w:szCs w:val="18"/>
              </w:rPr>
            </w:pPr>
            <w:r w:rsidRPr="00504870">
              <w:rPr>
                <w:color w:val="000000"/>
                <w:sz w:val="18"/>
                <w:szCs w:val="20"/>
              </w:rPr>
              <w:t>-23,6%</w:t>
            </w:r>
          </w:p>
        </w:tc>
        <w:tc>
          <w:tcPr>
            <w:tcW w:w="1209" w:type="dxa"/>
            <w:tcBorders>
              <w:top w:val="nil"/>
              <w:left w:val="nil"/>
              <w:bottom w:val="nil"/>
              <w:right w:val="single" w:sz="4" w:space="0" w:color="auto"/>
            </w:tcBorders>
            <w:shd w:val="clear" w:color="auto" w:fill="auto"/>
            <w:noWrap/>
            <w:vAlign w:val="center"/>
            <w:hideMark/>
          </w:tcPr>
          <w:p w14:paraId="358C4909" w14:textId="77777777" w:rsidR="00DD0DA5" w:rsidRPr="00504870" w:rsidRDefault="00DD0DA5" w:rsidP="00CA4C99">
            <w:pPr>
              <w:spacing w:after="0" w:line="240" w:lineRule="auto"/>
              <w:jc w:val="right"/>
              <w:rPr>
                <w:sz w:val="18"/>
                <w:szCs w:val="18"/>
              </w:rPr>
            </w:pPr>
            <w:r w:rsidRPr="00504870">
              <w:rPr>
                <w:color w:val="000000"/>
                <w:sz w:val="18"/>
                <w:szCs w:val="20"/>
              </w:rPr>
              <w:t>-23 291 303</w:t>
            </w:r>
          </w:p>
        </w:tc>
        <w:tc>
          <w:tcPr>
            <w:tcW w:w="989" w:type="dxa"/>
            <w:tcBorders>
              <w:top w:val="nil"/>
              <w:left w:val="single" w:sz="4" w:space="0" w:color="auto"/>
              <w:bottom w:val="nil"/>
              <w:right w:val="nil"/>
            </w:tcBorders>
            <w:shd w:val="clear" w:color="auto" w:fill="auto"/>
            <w:noWrap/>
            <w:vAlign w:val="center"/>
            <w:hideMark/>
          </w:tcPr>
          <w:p w14:paraId="61DAA12E" w14:textId="77777777" w:rsidR="00DD0DA5" w:rsidRPr="007B40F1" w:rsidRDefault="00DD0DA5" w:rsidP="00CA4C99">
            <w:pPr>
              <w:spacing w:after="0" w:line="240" w:lineRule="auto"/>
              <w:jc w:val="center"/>
              <w:rPr>
                <w:sz w:val="18"/>
                <w:szCs w:val="18"/>
              </w:rPr>
            </w:pPr>
            <w:r>
              <w:rPr>
                <w:color w:val="000000"/>
                <w:sz w:val="18"/>
                <w:szCs w:val="18"/>
              </w:rPr>
              <w:t>10,4</w:t>
            </w:r>
          </w:p>
        </w:tc>
        <w:tc>
          <w:tcPr>
            <w:tcW w:w="1159" w:type="dxa"/>
            <w:tcBorders>
              <w:top w:val="nil"/>
              <w:left w:val="nil"/>
              <w:bottom w:val="nil"/>
              <w:right w:val="nil"/>
            </w:tcBorders>
            <w:shd w:val="clear" w:color="auto" w:fill="auto"/>
            <w:noWrap/>
            <w:vAlign w:val="center"/>
            <w:hideMark/>
          </w:tcPr>
          <w:p w14:paraId="1B66436C" w14:textId="77777777" w:rsidR="00DD0DA5" w:rsidRPr="007B40F1" w:rsidRDefault="00DD0DA5" w:rsidP="00CA4C99">
            <w:pPr>
              <w:spacing w:after="0" w:line="240" w:lineRule="auto"/>
              <w:jc w:val="right"/>
              <w:rPr>
                <w:sz w:val="18"/>
                <w:szCs w:val="18"/>
              </w:rPr>
            </w:pPr>
            <w:r w:rsidRPr="007B40F1">
              <w:rPr>
                <w:color w:val="000000"/>
                <w:sz w:val="18"/>
                <w:szCs w:val="18"/>
              </w:rPr>
              <w:t>8 726 603</w:t>
            </w:r>
          </w:p>
        </w:tc>
      </w:tr>
      <w:tr w:rsidR="00DD0DA5" w:rsidRPr="001007C4" w14:paraId="155AFE72"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3D24D61A" w14:textId="77777777" w:rsidR="00DD0DA5" w:rsidRPr="007B40F1" w:rsidRDefault="00DD0DA5" w:rsidP="00CA4C99">
            <w:pPr>
              <w:spacing w:after="0" w:line="240" w:lineRule="auto"/>
              <w:rPr>
                <w:b/>
                <w:bCs/>
                <w:color w:val="000000"/>
                <w:sz w:val="18"/>
                <w:szCs w:val="18"/>
                <w:lang w:eastAsia="sk-SK"/>
              </w:rPr>
            </w:pPr>
            <w:r w:rsidRPr="007B40F1">
              <w:rPr>
                <w:b/>
                <w:bCs/>
                <w:color w:val="000000"/>
                <w:sz w:val="18"/>
                <w:szCs w:val="18"/>
                <w:lang w:eastAsia="sk-SK"/>
              </w:rPr>
              <w:t>PPP projekty</w:t>
            </w:r>
          </w:p>
        </w:tc>
        <w:tc>
          <w:tcPr>
            <w:tcW w:w="946" w:type="dxa"/>
            <w:tcBorders>
              <w:top w:val="nil"/>
              <w:left w:val="nil"/>
              <w:bottom w:val="nil"/>
              <w:right w:val="nil"/>
            </w:tcBorders>
            <w:shd w:val="clear" w:color="auto" w:fill="auto"/>
            <w:noWrap/>
            <w:vAlign w:val="center"/>
          </w:tcPr>
          <w:p w14:paraId="493672A5"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-3,4%</w:t>
            </w:r>
          </w:p>
        </w:tc>
        <w:tc>
          <w:tcPr>
            <w:tcW w:w="1207" w:type="dxa"/>
            <w:tcBorders>
              <w:top w:val="nil"/>
              <w:left w:val="nil"/>
              <w:bottom w:val="nil"/>
              <w:right w:val="nil"/>
            </w:tcBorders>
            <w:shd w:val="clear" w:color="auto" w:fill="auto"/>
            <w:noWrap/>
            <w:vAlign w:val="center"/>
          </w:tcPr>
          <w:p w14:paraId="48D8FD8E"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-3 718 145</w:t>
            </w:r>
          </w:p>
        </w:tc>
        <w:tc>
          <w:tcPr>
            <w:tcW w:w="938" w:type="dxa"/>
            <w:tcBorders>
              <w:top w:val="nil"/>
              <w:left w:val="nil"/>
              <w:bottom w:val="nil"/>
              <w:right w:val="nil"/>
            </w:tcBorders>
            <w:shd w:val="clear" w:color="auto" w:fill="auto"/>
            <w:noWrap/>
            <w:vAlign w:val="center"/>
            <w:hideMark/>
          </w:tcPr>
          <w:p w14:paraId="478413B7" w14:textId="77777777" w:rsidR="00DD0DA5" w:rsidRPr="00504870" w:rsidRDefault="00DD0DA5" w:rsidP="00CA4C99">
            <w:pPr>
              <w:spacing w:after="0" w:line="240" w:lineRule="auto"/>
              <w:jc w:val="right"/>
              <w:rPr>
                <w:b/>
                <w:sz w:val="18"/>
                <w:szCs w:val="18"/>
              </w:rPr>
            </w:pPr>
            <w:r w:rsidRPr="00504870">
              <w:rPr>
                <w:b/>
                <w:bCs/>
                <w:color w:val="000000"/>
                <w:sz w:val="18"/>
                <w:szCs w:val="20"/>
              </w:rPr>
              <w:t>-3,9%</w:t>
            </w:r>
          </w:p>
        </w:tc>
        <w:tc>
          <w:tcPr>
            <w:tcW w:w="1209" w:type="dxa"/>
            <w:tcBorders>
              <w:top w:val="nil"/>
              <w:left w:val="nil"/>
              <w:bottom w:val="nil"/>
              <w:right w:val="single" w:sz="4" w:space="0" w:color="auto"/>
            </w:tcBorders>
            <w:shd w:val="clear" w:color="auto" w:fill="auto"/>
            <w:noWrap/>
            <w:vAlign w:val="center"/>
            <w:hideMark/>
          </w:tcPr>
          <w:p w14:paraId="30F5393C" w14:textId="77777777" w:rsidR="00DD0DA5" w:rsidRPr="00504870" w:rsidRDefault="00DD0DA5" w:rsidP="00CA4C99">
            <w:pPr>
              <w:spacing w:after="0" w:line="240" w:lineRule="auto"/>
              <w:jc w:val="right"/>
              <w:rPr>
                <w:b/>
                <w:sz w:val="18"/>
                <w:szCs w:val="18"/>
              </w:rPr>
            </w:pPr>
            <w:r w:rsidRPr="00504870">
              <w:rPr>
                <w:b/>
                <w:bCs/>
                <w:color w:val="000000"/>
                <w:sz w:val="18"/>
                <w:szCs w:val="20"/>
              </w:rPr>
              <w:t>-3 825 850</w:t>
            </w:r>
          </w:p>
        </w:tc>
        <w:tc>
          <w:tcPr>
            <w:tcW w:w="989" w:type="dxa"/>
            <w:tcBorders>
              <w:top w:val="nil"/>
              <w:left w:val="single" w:sz="4" w:space="0" w:color="auto"/>
              <w:bottom w:val="nil"/>
              <w:right w:val="nil"/>
            </w:tcBorders>
            <w:shd w:val="clear" w:color="auto" w:fill="auto"/>
            <w:noWrap/>
            <w:vAlign w:val="center"/>
            <w:hideMark/>
          </w:tcPr>
          <w:p w14:paraId="4AA17FE6" w14:textId="77777777" w:rsidR="00DD0DA5" w:rsidRPr="007B40F1" w:rsidRDefault="00DD0DA5" w:rsidP="00CA4C99">
            <w:pPr>
              <w:spacing w:after="0" w:line="240" w:lineRule="auto"/>
              <w:jc w:val="center"/>
              <w:rPr>
                <w:b/>
                <w:sz w:val="18"/>
                <w:szCs w:val="18"/>
              </w:rPr>
            </w:pPr>
            <w:r>
              <w:rPr>
                <w:b/>
                <w:bCs/>
                <w:color w:val="000000"/>
                <w:sz w:val="18"/>
                <w:szCs w:val="18"/>
              </w:rPr>
              <w:t>0,5</w:t>
            </w:r>
          </w:p>
        </w:tc>
        <w:tc>
          <w:tcPr>
            <w:tcW w:w="1159" w:type="dxa"/>
            <w:tcBorders>
              <w:top w:val="nil"/>
              <w:left w:val="nil"/>
              <w:bottom w:val="nil"/>
              <w:right w:val="nil"/>
            </w:tcBorders>
            <w:shd w:val="clear" w:color="auto" w:fill="auto"/>
            <w:noWrap/>
            <w:vAlign w:val="center"/>
            <w:hideMark/>
          </w:tcPr>
          <w:p w14:paraId="30B470E0" w14:textId="77777777" w:rsidR="00DD0DA5" w:rsidRPr="007B40F1" w:rsidRDefault="00DD0DA5" w:rsidP="00CA4C99">
            <w:pPr>
              <w:spacing w:after="0" w:line="240" w:lineRule="auto"/>
              <w:jc w:val="right"/>
              <w:rPr>
                <w:b/>
                <w:sz w:val="18"/>
                <w:szCs w:val="18"/>
              </w:rPr>
            </w:pPr>
            <w:r w:rsidRPr="007B40F1">
              <w:rPr>
                <w:b/>
                <w:bCs/>
                <w:color w:val="000000"/>
                <w:sz w:val="18"/>
                <w:szCs w:val="18"/>
              </w:rPr>
              <w:t>107 705</w:t>
            </w:r>
          </w:p>
        </w:tc>
      </w:tr>
      <w:tr w:rsidR="00DD0DA5" w:rsidRPr="001007C4" w14:paraId="40A651BE" w14:textId="77777777" w:rsidTr="00D33788">
        <w:trPr>
          <w:trHeight w:val="265"/>
        </w:trPr>
        <w:tc>
          <w:tcPr>
            <w:tcW w:w="2818" w:type="dxa"/>
            <w:gridSpan w:val="2"/>
            <w:tcBorders>
              <w:top w:val="nil"/>
              <w:left w:val="nil"/>
              <w:bottom w:val="nil"/>
              <w:right w:val="nil"/>
            </w:tcBorders>
            <w:shd w:val="clear" w:color="auto" w:fill="auto"/>
            <w:noWrap/>
            <w:vAlign w:val="center"/>
            <w:hideMark/>
          </w:tcPr>
          <w:p w14:paraId="5EE01050" w14:textId="77777777" w:rsidR="00DD0DA5" w:rsidRPr="007B40F1" w:rsidRDefault="00DD0DA5" w:rsidP="00CA4C99">
            <w:pPr>
              <w:spacing w:after="0" w:line="240" w:lineRule="auto"/>
              <w:rPr>
                <w:b/>
                <w:bCs/>
                <w:color w:val="000000"/>
                <w:sz w:val="18"/>
                <w:szCs w:val="18"/>
                <w:lang w:eastAsia="sk-SK"/>
              </w:rPr>
            </w:pPr>
            <w:r w:rsidRPr="007B40F1">
              <w:rPr>
                <w:b/>
                <w:bCs/>
                <w:color w:val="000000"/>
                <w:sz w:val="18"/>
                <w:szCs w:val="18"/>
                <w:lang w:eastAsia="sk-SK"/>
              </w:rPr>
              <w:t>Vplyv Národného jadrového fondu</w:t>
            </w:r>
          </w:p>
        </w:tc>
        <w:tc>
          <w:tcPr>
            <w:tcW w:w="946" w:type="dxa"/>
            <w:tcBorders>
              <w:top w:val="nil"/>
              <w:left w:val="nil"/>
              <w:bottom w:val="nil"/>
              <w:right w:val="nil"/>
            </w:tcBorders>
            <w:shd w:val="clear" w:color="auto" w:fill="auto"/>
            <w:noWrap/>
            <w:vAlign w:val="center"/>
          </w:tcPr>
          <w:p w14:paraId="54DEB00B"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4,3%</w:t>
            </w:r>
          </w:p>
        </w:tc>
        <w:tc>
          <w:tcPr>
            <w:tcW w:w="1207" w:type="dxa"/>
            <w:tcBorders>
              <w:top w:val="nil"/>
              <w:left w:val="nil"/>
              <w:bottom w:val="nil"/>
              <w:right w:val="nil"/>
            </w:tcBorders>
            <w:shd w:val="clear" w:color="auto" w:fill="auto"/>
            <w:noWrap/>
            <w:vAlign w:val="center"/>
          </w:tcPr>
          <w:p w14:paraId="7E146DCF"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4 734 861</w:t>
            </w:r>
          </w:p>
        </w:tc>
        <w:tc>
          <w:tcPr>
            <w:tcW w:w="938" w:type="dxa"/>
            <w:tcBorders>
              <w:top w:val="nil"/>
              <w:left w:val="nil"/>
              <w:bottom w:val="nil"/>
              <w:right w:val="nil"/>
            </w:tcBorders>
            <w:shd w:val="clear" w:color="auto" w:fill="auto"/>
            <w:noWrap/>
            <w:vAlign w:val="center"/>
            <w:hideMark/>
          </w:tcPr>
          <w:p w14:paraId="70C599E7" w14:textId="77777777" w:rsidR="00DD0DA5" w:rsidRPr="00504870" w:rsidRDefault="00DD0DA5" w:rsidP="00CA4C99">
            <w:pPr>
              <w:spacing w:after="0" w:line="240" w:lineRule="auto"/>
              <w:jc w:val="right"/>
              <w:rPr>
                <w:b/>
                <w:sz w:val="18"/>
                <w:szCs w:val="18"/>
              </w:rPr>
            </w:pPr>
            <w:r w:rsidRPr="00504870">
              <w:rPr>
                <w:b/>
                <w:bCs/>
                <w:color w:val="000000"/>
                <w:sz w:val="18"/>
                <w:szCs w:val="20"/>
              </w:rPr>
              <w:t>4,9%</w:t>
            </w:r>
          </w:p>
        </w:tc>
        <w:tc>
          <w:tcPr>
            <w:tcW w:w="1209" w:type="dxa"/>
            <w:tcBorders>
              <w:top w:val="nil"/>
              <w:left w:val="nil"/>
              <w:bottom w:val="nil"/>
              <w:right w:val="single" w:sz="4" w:space="0" w:color="auto"/>
            </w:tcBorders>
            <w:shd w:val="clear" w:color="auto" w:fill="auto"/>
            <w:noWrap/>
            <w:vAlign w:val="center"/>
            <w:hideMark/>
          </w:tcPr>
          <w:p w14:paraId="67AE2EEC" w14:textId="77777777" w:rsidR="00DD0DA5" w:rsidRPr="00504870" w:rsidRDefault="00DD0DA5" w:rsidP="00CA4C99">
            <w:pPr>
              <w:spacing w:after="0" w:line="240" w:lineRule="auto"/>
              <w:jc w:val="right"/>
              <w:rPr>
                <w:b/>
                <w:sz w:val="18"/>
                <w:szCs w:val="18"/>
              </w:rPr>
            </w:pPr>
            <w:r w:rsidRPr="00504870">
              <w:rPr>
                <w:b/>
                <w:bCs/>
                <w:color w:val="000000"/>
                <w:sz w:val="18"/>
                <w:szCs w:val="20"/>
              </w:rPr>
              <w:t>4 838 728</w:t>
            </w:r>
          </w:p>
        </w:tc>
        <w:tc>
          <w:tcPr>
            <w:tcW w:w="989" w:type="dxa"/>
            <w:tcBorders>
              <w:top w:val="nil"/>
              <w:left w:val="single" w:sz="4" w:space="0" w:color="auto"/>
              <w:bottom w:val="nil"/>
              <w:right w:val="nil"/>
            </w:tcBorders>
            <w:shd w:val="clear" w:color="auto" w:fill="auto"/>
            <w:noWrap/>
            <w:vAlign w:val="center"/>
            <w:hideMark/>
          </w:tcPr>
          <w:p w14:paraId="204B0541" w14:textId="77777777" w:rsidR="00DD0DA5" w:rsidRPr="007B40F1" w:rsidRDefault="00DD0DA5" w:rsidP="00CA4C99">
            <w:pPr>
              <w:spacing w:after="0" w:line="240" w:lineRule="auto"/>
              <w:jc w:val="center"/>
              <w:rPr>
                <w:b/>
                <w:sz w:val="18"/>
                <w:szCs w:val="18"/>
              </w:rPr>
            </w:pPr>
            <w:r>
              <w:rPr>
                <w:b/>
                <w:bCs/>
                <w:color w:val="000000"/>
                <w:sz w:val="18"/>
                <w:szCs w:val="18"/>
              </w:rPr>
              <w:t>-0,6</w:t>
            </w:r>
          </w:p>
        </w:tc>
        <w:tc>
          <w:tcPr>
            <w:tcW w:w="1159" w:type="dxa"/>
            <w:tcBorders>
              <w:top w:val="nil"/>
              <w:left w:val="nil"/>
              <w:bottom w:val="nil"/>
              <w:right w:val="nil"/>
            </w:tcBorders>
            <w:shd w:val="clear" w:color="auto" w:fill="auto"/>
            <w:noWrap/>
            <w:vAlign w:val="center"/>
            <w:hideMark/>
          </w:tcPr>
          <w:p w14:paraId="79154934" w14:textId="77777777" w:rsidR="00DD0DA5" w:rsidRPr="007B40F1" w:rsidRDefault="00DD0DA5" w:rsidP="00CA4C99">
            <w:pPr>
              <w:spacing w:after="0" w:line="240" w:lineRule="auto"/>
              <w:jc w:val="right"/>
              <w:rPr>
                <w:b/>
                <w:sz w:val="18"/>
                <w:szCs w:val="18"/>
              </w:rPr>
            </w:pPr>
            <w:r w:rsidRPr="007B40F1">
              <w:rPr>
                <w:b/>
                <w:bCs/>
                <w:color w:val="000000"/>
                <w:sz w:val="18"/>
                <w:szCs w:val="18"/>
              </w:rPr>
              <w:t>-103 867</w:t>
            </w:r>
          </w:p>
        </w:tc>
      </w:tr>
      <w:tr w:rsidR="00DD0DA5" w:rsidRPr="001007C4" w14:paraId="0D9ACFFF" w14:textId="77777777" w:rsidTr="00D33788">
        <w:trPr>
          <w:trHeight w:val="265"/>
        </w:trPr>
        <w:tc>
          <w:tcPr>
            <w:tcW w:w="2818" w:type="dxa"/>
            <w:gridSpan w:val="2"/>
            <w:tcBorders>
              <w:top w:val="nil"/>
              <w:left w:val="nil"/>
              <w:bottom w:val="nil"/>
              <w:right w:val="nil"/>
            </w:tcBorders>
            <w:shd w:val="clear" w:color="auto" w:fill="auto"/>
            <w:noWrap/>
            <w:vAlign w:val="center"/>
          </w:tcPr>
          <w:p w14:paraId="479AB79F" w14:textId="77777777" w:rsidR="00DD0DA5" w:rsidRPr="007B40F1" w:rsidRDefault="00DD0DA5" w:rsidP="00CA4C99">
            <w:pPr>
              <w:spacing w:after="0" w:line="240" w:lineRule="auto"/>
              <w:rPr>
                <w:b/>
                <w:bCs/>
                <w:color w:val="000000"/>
                <w:sz w:val="18"/>
                <w:szCs w:val="18"/>
                <w:lang w:eastAsia="sk-SK"/>
              </w:rPr>
            </w:pPr>
            <w:r w:rsidRPr="007B40F1">
              <w:rPr>
                <w:b/>
                <w:bCs/>
                <w:color w:val="000000"/>
                <w:sz w:val="18"/>
                <w:szCs w:val="18"/>
                <w:lang w:eastAsia="sk-SK"/>
              </w:rPr>
              <w:t>Vplyv NGEU</w:t>
            </w:r>
          </w:p>
        </w:tc>
        <w:tc>
          <w:tcPr>
            <w:tcW w:w="946" w:type="dxa"/>
            <w:tcBorders>
              <w:top w:val="nil"/>
              <w:left w:val="nil"/>
              <w:bottom w:val="nil"/>
              <w:right w:val="nil"/>
            </w:tcBorders>
            <w:shd w:val="clear" w:color="auto" w:fill="auto"/>
            <w:noWrap/>
            <w:vAlign w:val="center"/>
          </w:tcPr>
          <w:p w14:paraId="15832130"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-3,5%</w:t>
            </w:r>
          </w:p>
        </w:tc>
        <w:tc>
          <w:tcPr>
            <w:tcW w:w="1207" w:type="dxa"/>
            <w:tcBorders>
              <w:top w:val="nil"/>
              <w:left w:val="nil"/>
              <w:bottom w:val="nil"/>
              <w:right w:val="nil"/>
            </w:tcBorders>
            <w:shd w:val="clear" w:color="auto" w:fill="auto"/>
            <w:noWrap/>
            <w:vAlign w:val="center"/>
          </w:tcPr>
          <w:p w14:paraId="629CDA6B"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-3 820 255</w:t>
            </w:r>
          </w:p>
        </w:tc>
        <w:tc>
          <w:tcPr>
            <w:tcW w:w="938" w:type="dxa"/>
            <w:tcBorders>
              <w:top w:val="nil"/>
              <w:left w:val="nil"/>
              <w:bottom w:val="nil"/>
              <w:right w:val="nil"/>
            </w:tcBorders>
            <w:shd w:val="clear" w:color="auto" w:fill="auto"/>
            <w:noWrap/>
            <w:vAlign w:val="center"/>
          </w:tcPr>
          <w:p w14:paraId="36742C9D" w14:textId="77777777" w:rsidR="00DD0DA5" w:rsidRPr="00504870" w:rsidRDefault="00DD0DA5" w:rsidP="00CA4C99">
            <w:pPr>
              <w:spacing w:after="0" w:line="240" w:lineRule="auto"/>
              <w:jc w:val="right"/>
              <w:rPr>
                <w:b/>
                <w:sz w:val="18"/>
                <w:szCs w:val="18"/>
              </w:rPr>
            </w:pPr>
            <w:r w:rsidRPr="00504870">
              <w:rPr>
                <w:b/>
                <w:bCs/>
                <w:color w:val="000000"/>
                <w:sz w:val="18"/>
                <w:szCs w:val="20"/>
              </w:rPr>
              <w:t>-3,9%</w:t>
            </w:r>
          </w:p>
        </w:tc>
        <w:tc>
          <w:tcPr>
            <w:tcW w:w="1209" w:type="dxa"/>
            <w:tcBorders>
              <w:top w:val="nil"/>
              <w:left w:val="nil"/>
              <w:bottom w:val="nil"/>
              <w:right w:val="single" w:sz="4" w:space="0" w:color="auto"/>
            </w:tcBorders>
            <w:shd w:val="clear" w:color="auto" w:fill="auto"/>
            <w:noWrap/>
            <w:vAlign w:val="center"/>
          </w:tcPr>
          <w:p w14:paraId="21E05289" w14:textId="77777777" w:rsidR="00DD0DA5" w:rsidRPr="00504870" w:rsidRDefault="00DD0DA5" w:rsidP="00CA4C99">
            <w:pPr>
              <w:spacing w:after="0" w:line="240" w:lineRule="auto"/>
              <w:jc w:val="right"/>
              <w:rPr>
                <w:b/>
                <w:sz w:val="18"/>
                <w:szCs w:val="18"/>
              </w:rPr>
            </w:pPr>
            <w:r w:rsidRPr="00504870">
              <w:rPr>
                <w:b/>
                <w:bCs/>
                <w:color w:val="000000"/>
                <w:sz w:val="18"/>
                <w:szCs w:val="20"/>
              </w:rPr>
              <w:t>-3 803 104</w:t>
            </w:r>
          </w:p>
        </w:tc>
        <w:tc>
          <w:tcPr>
            <w:tcW w:w="989" w:type="dxa"/>
            <w:tcBorders>
              <w:top w:val="nil"/>
              <w:left w:val="single" w:sz="4" w:space="0" w:color="auto"/>
              <w:bottom w:val="nil"/>
              <w:right w:val="nil"/>
            </w:tcBorders>
            <w:shd w:val="clear" w:color="auto" w:fill="auto"/>
            <w:noWrap/>
            <w:vAlign w:val="center"/>
          </w:tcPr>
          <w:p w14:paraId="35CB20E5" w14:textId="77777777" w:rsidR="00DD0DA5" w:rsidRPr="007B40F1" w:rsidRDefault="00DD0DA5" w:rsidP="00CA4C99">
            <w:pPr>
              <w:spacing w:after="0" w:line="240" w:lineRule="auto"/>
              <w:jc w:val="center"/>
              <w:rPr>
                <w:b/>
                <w:sz w:val="18"/>
                <w:szCs w:val="18"/>
              </w:rPr>
            </w:pPr>
            <w:r>
              <w:rPr>
                <w:b/>
                <w:bCs/>
                <w:color w:val="000000"/>
                <w:sz w:val="18"/>
                <w:szCs w:val="18"/>
              </w:rPr>
              <w:t>0,4</w:t>
            </w:r>
          </w:p>
        </w:tc>
        <w:tc>
          <w:tcPr>
            <w:tcW w:w="1159" w:type="dxa"/>
            <w:tcBorders>
              <w:top w:val="nil"/>
              <w:left w:val="nil"/>
              <w:bottom w:val="nil"/>
              <w:right w:val="nil"/>
            </w:tcBorders>
            <w:shd w:val="clear" w:color="auto" w:fill="auto"/>
            <w:noWrap/>
            <w:vAlign w:val="center"/>
          </w:tcPr>
          <w:p w14:paraId="4CB9C3D6" w14:textId="77777777" w:rsidR="00DD0DA5" w:rsidRPr="007B40F1" w:rsidRDefault="00DD0DA5" w:rsidP="00CA4C99">
            <w:pPr>
              <w:spacing w:after="0" w:line="240" w:lineRule="auto"/>
              <w:jc w:val="right"/>
              <w:rPr>
                <w:b/>
                <w:sz w:val="18"/>
                <w:szCs w:val="18"/>
              </w:rPr>
            </w:pPr>
            <w:r w:rsidRPr="007B40F1">
              <w:rPr>
                <w:b/>
                <w:bCs/>
                <w:color w:val="000000"/>
                <w:sz w:val="18"/>
                <w:szCs w:val="18"/>
              </w:rPr>
              <w:t>-17 151</w:t>
            </w:r>
          </w:p>
        </w:tc>
      </w:tr>
      <w:tr w:rsidR="00DD0DA5" w:rsidRPr="0062130F" w14:paraId="50EF6150" w14:textId="77777777" w:rsidTr="00D33788">
        <w:trPr>
          <w:trHeight w:val="276"/>
        </w:trPr>
        <w:tc>
          <w:tcPr>
            <w:tcW w:w="2818" w:type="dxa"/>
            <w:gridSpan w:val="2"/>
            <w:tcBorders>
              <w:top w:val="single" w:sz="4" w:space="0" w:color="auto"/>
              <w:left w:val="nil"/>
              <w:bottom w:val="single" w:sz="8" w:space="0" w:color="auto"/>
              <w:right w:val="nil"/>
            </w:tcBorders>
            <w:shd w:val="clear" w:color="auto" w:fill="auto"/>
            <w:noWrap/>
            <w:vAlign w:val="center"/>
            <w:hideMark/>
          </w:tcPr>
          <w:p w14:paraId="072A28A8" w14:textId="77777777" w:rsidR="00DD0DA5" w:rsidRPr="007B40F1" w:rsidRDefault="00DD0DA5" w:rsidP="00CA4C99">
            <w:pPr>
              <w:spacing w:after="0" w:line="240" w:lineRule="auto"/>
              <w:rPr>
                <w:b/>
                <w:bCs/>
                <w:color w:val="000000"/>
                <w:sz w:val="18"/>
                <w:szCs w:val="18"/>
                <w:lang w:eastAsia="sk-SK"/>
              </w:rPr>
            </w:pPr>
            <w:r w:rsidRPr="007B40F1">
              <w:rPr>
                <w:b/>
                <w:bCs/>
                <w:color w:val="000000"/>
                <w:sz w:val="18"/>
                <w:szCs w:val="18"/>
                <w:lang w:eastAsia="sk-SK"/>
              </w:rPr>
              <w:t>Implicitné záväzky spolu</w:t>
            </w:r>
          </w:p>
        </w:tc>
        <w:tc>
          <w:tcPr>
            <w:tcW w:w="946" w:type="dxa"/>
            <w:tcBorders>
              <w:top w:val="single" w:sz="4" w:space="0" w:color="auto"/>
              <w:left w:val="nil"/>
              <w:bottom w:val="single" w:sz="8" w:space="0" w:color="auto"/>
              <w:right w:val="nil"/>
            </w:tcBorders>
            <w:shd w:val="clear" w:color="auto" w:fill="auto"/>
            <w:noWrap/>
            <w:vAlign w:val="center"/>
          </w:tcPr>
          <w:p w14:paraId="77665F4A"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-366,0%</w:t>
            </w:r>
          </w:p>
        </w:tc>
        <w:tc>
          <w:tcPr>
            <w:tcW w:w="1207" w:type="dxa"/>
            <w:tcBorders>
              <w:top w:val="single" w:sz="4" w:space="0" w:color="auto"/>
              <w:left w:val="nil"/>
              <w:bottom w:val="single" w:sz="8" w:space="0" w:color="auto"/>
              <w:right w:val="nil"/>
            </w:tcBorders>
            <w:shd w:val="clear" w:color="auto" w:fill="auto"/>
            <w:noWrap/>
            <w:vAlign w:val="center"/>
          </w:tcPr>
          <w:p w14:paraId="2D6284CF" w14:textId="77777777" w:rsidR="00DD0DA5" w:rsidRPr="007B40F1" w:rsidRDefault="00DD0DA5" w:rsidP="00CA4C99">
            <w:pPr>
              <w:spacing w:after="0" w:line="240" w:lineRule="auto"/>
              <w:jc w:val="right"/>
              <w:rPr>
                <w:b/>
                <w:color w:val="000000"/>
                <w:sz w:val="18"/>
                <w:szCs w:val="18"/>
              </w:rPr>
            </w:pPr>
            <w:r w:rsidRPr="007B40F1">
              <w:rPr>
                <w:b/>
                <w:bCs/>
                <w:color w:val="000000"/>
                <w:sz w:val="18"/>
                <w:szCs w:val="18"/>
              </w:rPr>
              <w:t>-401 359 121</w:t>
            </w:r>
          </w:p>
        </w:tc>
        <w:tc>
          <w:tcPr>
            <w:tcW w:w="938" w:type="dxa"/>
            <w:tcBorders>
              <w:top w:val="single" w:sz="4" w:space="0" w:color="auto"/>
              <w:left w:val="nil"/>
              <w:bottom w:val="single" w:sz="8" w:space="0" w:color="auto"/>
              <w:right w:val="nil"/>
            </w:tcBorders>
            <w:shd w:val="clear" w:color="auto" w:fill="auto"/>
            <w:noWrap/>
            <w:vAlign w:val="center"/>
            <w:hideMark/>
          </w:tcPr>
          <w:p w14:paraId="378DB478" w14:textId="77777777" w:rsidR="00DD0DA5" w:rsidRPr="00504870" w:rsidRDefault="00DD0DA5" w:rsidP="00CA4C99">
            <w:pPr>
              <w:spacing w:after="0" w:line="240" w:lineRule="auto"/>
              <w:jc w:val="right"/>
              <w:rPr>
                <w:b/>
                <w:sz w:val="18"/>
                <w:szCs w:val="18"/>
              </w:rPr>
            </w:pPr>
            <w:r w:rsidRPr="00504870">
              <w:rPr>
                <w:b/>
                <w:bCs/>
                <w:color w:val="000000"/>
                <w:sz w:val="18"/>
                <w:szCs w:val="20"/>
              </w:rPr>
              <w:t>-433,5%</w:t>
            </w:r>
          </w:p>
        </w:tc>
        <w:tc>
          <w:tcPr>
            <w:tcW w:w="1209" w:type="dxa"/>
            <w:tcBorders>
              <w:top w:val="single" w:sz="4" w:space="0" w:color="auto"/>
              <w:left w:val="nil"/>
              <w:bottom w:val="single" w:sz="8" w:space="0" w:color="auto"/>
              <w:right w:val="single" w:sz="4" w:space="0" w:color="auto"/>
            </w:tcBorders>
            <w:shd w:val="clear" w:color="auto" w:fill="auto"/>
            <w:noWrap/>
            <w:vAlign w:val="center"/>
            <w:hideMark/>
          </w:tcPr>
          <w:p w14:paraId="52512D12" w14:textId="77777777" w:rsidR="00DD0DA5" w:rsidRPr="00504870" w:rsidRDefault="00DD0DA5" w:rsidP="00CA4C99">
            <w:pPr>
              <w:spacing w:after="0" w:line="240" w:lineRule="auto"/>
              <w:jc w:val="right"/>
              <w:rPr>
                <w:b/>
                <w:sz w:val="18"/>
                <w:szCs w:val="18"/>
              </w:rPr>
            </w:pPr>
            <w:r w:rsidRPr="00504870">
              <w:rPr>
                <w:b/>
                <w:bCs/>
                <w:color w:val="000000"/>
                <w:sz w:val="18"/>
                <w:szCs w:val="20"/>
              </w:rPr>
              <w:t>-427 131 045</w:t>
            </w:r>
          </w:p>
        </w:tc>
        <w:tc>
          <w:tcPr>
            <w:tcW w:w="989" w:type="dxa"/>
            <w:tcBorders>
              <w:top w:val="single" w:sz="4" w:space="0" w:color="auto"/>
              <w:left w:val="single" w:sz="4" w:space="0" w:color="auto"/>
              <w:bottom w:val="single" w:sz="8" w:space="0" w:color="auto"/>
              <w:right w:val="nil"/>
            </w:tcBorders>
            <w:shd w:val="clear" w:color="auto" w:fill="auto"/>
            <w:noWrap/>
            <w:vAlign w:val="center"/>
            <w:hideMark/>
          </w:tcPr>
          <w:p w14:paraId="0F3ADE57" w14:textId="77777777" w:rsidR="00DD0DA5" w:rsidRPr="007B40F1" w:rsidRDefault="00DD0DA5" w:rsidP="00CA4C99">
            <w:pPr>
              <w:spacing w:after="0" w:line="240" w:lineRule="auto"/>
              <w:jc w:val="center"/>
              <w:rPr>
                <w:b/>
                <w:sz w:val="18"/>
                <w:szCs w:val="18"/>
              </w:rPr>
            </w:pPr>
            <w:r>
              <w:rPr>
                <w:b/>
                <w:bCs/>
                <w:color w:val="000000"/>
                <w:sz w:val="18"/>
                <w:szCs w:val="18"/>
              </w:rPr>
              <w:t>67,5</w:t>
            </w:r>
          </w:p>
        </w:tc>
        <w:tc>
          <w:tcPr>
            <w:tcW w:w="1159" w:type="dxa"/>
            <w:tcBorders>
              <w:top w:val="single" w:sz="4" w:space="0" w:color="auto"/>
              <w:left w:val="nil"/>
              <w:bottom w:val="single" w:sz="8" w:space="0" w:color="auto"/>
              <w:right w:val="nil"/>
            </w:tcBorders>
            <w:shd w:val="clear" w:color="auto" w:fill="auto"/>
            <w:noWrap/>
            <w:vAlign w:val="center"/>
            <w:hideMark/>
          </w:tcPr>
          <w:p w14:paraId="60705811" w14:textId="77777777" w:rsidR="00DD0DA5" w:rsidRPr="007B40F1" w:rsidRDefault="00DD0DA5" w:rsidP="00CA4C99">
            <w:pPr>
              <w:spacing w:after="0" w:line="240" w:lineRule="auto"/>
              <w:jc w:val="right"/>
              <w:rPr>
                <w:b/>
                <w:sz w:val="18"/>
                <w:szCs w:val="18"/>
              </w:rPr>
            </w:pPr>
            <w:r w:rsidRPr="007B40F1">
              <w:rPr>
                <w:b/>
                <w:bCs/>
                <w:color w:val="000000"/>
                <w:sz w:val="18"/>
                <w:szCs w:val="18"/>
              </w:rPr>
              <w:t>25 771 924</w:t>
            </w:r>
          </w:p>
        </w:tc>
      </w:tr>
    </w:tbl>
    <w:p w14:paraId="0A750B70" w14:textId="3D3EDE7B" w:rsidR="00DD0DA5" w:rsidRPr="00E11155" w:rsidRDefault="000B1F5C" w:rsidP="000B1F5C">
      <w:pPr>
        <w:spacing w:after="120" w:line="240" w:lineRule="auto"/>
        <w:jc w:val="center"/>
        <w:rPr>
          <w:i/>
          <w:sz w:val="16"/>
          <w:szCs w:val="16"/>
        </w:rPr>
      </w:pPr>
      <w:r>
        <w:rPr>
          <w:i/>
          <w:sz w:val="16"/>
          <w:szCs w:val="16"/>
        </w:rPr>
        <w:t xml:space="preserve">                                                                                                                               </w:t>
      </w:r>
      <w:r>
        <w:rPr>
          <w:i/>
          <w:sz w:val="16"/>
          <w:szCs w:val="16"/>
        </w:rPr>
        <w:tab/>
      </w:r>
      <w:r>
        <w:rPr>
          <w:i/>
          <w:sz w:val="16"/>
          <w:szCs w:val="16"/>
        </w:rPr>
        <w:tab/>
      </w:r>
      <w:r>
        <w:rPr>
          <w:i/>
          <w:sz w:val="16"/>
          <w:szCs w:val="16"/>
        </w:rPr>
        <w:tab/>
      </w:r>
      <w:r>
        <w:rPr>
          <w:i/>
          <w:sz w:val="16"/>
          <w:szCs w:val="16"/>
        </w:rPr>
        <w:tab/>
      </w:r>
      <w:r w:rsidR="008A488A">
        <w:rPr>
          <w:i/>
          <w:sz w:val="16"/>
          <w:szCs w:val="16"/>
        </w:rPr>
        <w:t xml:space="preserve">       </w:t>
      </w:r>
      <w:r w:rsidR="00DD0DA5" w:rsidRPr="00E11155">
        <w:rPr>
          <w:i/>
          <w:sz w:val="16"/>
          <w:szCs w:val="16"/>
        </w:rPr>
        <w:t>Zdroj: MF SR</w:t>
      </w:r>
    </w:p>
    <w:p w14:paraId="47448534" w14:textId="6F6C1507" w:rsidR="00DD0DA5" w:rsidRPr="00DD0DA5" w:rsidRDefault="00DD0DA5" w:rsidP="00DD0DA5">
      <w:pPr>
        <w:spacing w:after="120" w:line="240" w:lineRule="auto"/>
        <w:jc w:val="both"/>
        <w:rPr>
          <w:szCs w:val="22"/>
        </w:rPr>
      </w:pPr>
      <w:r w:rsidRPr="00DD0DA5">
        <w:rPr>
          <w:b/>
          <w:szCs w:val="22"/>
        </w:rPr>
        <w:t>Najvýznamnejší vplyv na pokles implicitných záväzkov mala reforma I. piliera penzijného systému (Graf X1)</w:t>
      </w:r>
      <w:r w:rsidRPr="001E15B5">
        <w:rPr>
          <w:b/>
          <w:szCs w:val="22"/>
          <w:vertAlign w:val="superscript"/>
        </w:rPr>
        <w:footnoteReference w:id="37"/>
      </w:r>
      <w:r w:rsidRPr="00DD0DA5">
        <w:rPr>
          <w:szCs w:val="22"/>
        </w:rPr>
        <w:t xml:space="preserve"> Všetky zmeny v I. pilieri dôchodkového systému prijaté na jeseň 2022 medziročne znížili implicitné záväzky do roku 2066 o vyše 70 p. b. Týkalo sa to opätovného naviazania dôchodkového veku na rast strednej dĺžky života, ale aj k spomalenia rastu aktuálnej dôchodkovej hodnoty (ADH). Balík schválených zmien obsahoval aj tzv. rodičovský dôchodok – pravidelné príspevky z hrubých miezd pracujúcich rodičom poberajúcim starobné, invalidné, resp. výsluhové dôchodky. Rodičovský dôchodok však spolu s možnosťou predčasného odchodu do dôchodku po odpracovaných 40 rokoch vytvárajú budúce vyššie náklady na penzijný systém a znižujú pozitívny efekt reformy na implicitné záväzky. </w:t>
      </w:r>
    </w:p>
    <w:p w14:paraId="2AB6FA9A" w14:textId="2D8383B0" w:rsidR="00DD0DA5" w:rsidRPr="00DD0DA5" w:rsidRDefault="00DD0DA5" w:rsidP="00DD0DA5">
      <w:pPr>
        <w:spacing w:after="120" w:line="240" w:lineRule="auto"/>
        <w:jc w:val="both"/>
        <w:rPr>
          <w:szCs w:val="22"/>
        </w:rPr>
      </w:pPr>
      <w:r w:rsidRPr="00DD0DA5">
        <w:rPr>
          <w:b/>
          <w:szCs w:val="22"/>
        </w:rPr>
        <w:t>Kompenzujúcim negatívnym faktorom na záväzky bola naopak prijatá reforma II. piliera, ktorá zaviedla automatický vstup sporiteľov do kapitalizačnej schémy penzijného systému.</w:t>
      </w:r>
      <w:r w:rsidRPr="00DD0DA5">
        <w:rPr>
          <w:szCs w:val="22"/>
        </w:rPr>
        <w:t xml:space="preserve"> Očakávaný pozitívny vplyv zmien v II. pilieri, v podobe úspor Sociálnej poisťovne na budúce vyplácané starobné </w:t>
      </w:r>
      <w:r w:rsidRPr="00DD0DA5">
        <w:rPr>
          <w:szCs w:val="22"/>
        </w:rPr>
        <w:lastRenderedPageBreak/>
        <w:t>dôchodky z I. piliera, sa prejavuje naplno až za horizontom kvantifikácie implicitných záväzkov</w:t>
      </w:r>
      <w:r w:rsidRPr="00BA6551">
        <w:rPr>
          <w:szCs w:val="22"/>
          <w:vertAlign w:val="superscript"/>
        </w:rPr>
        <w:footnoteReference w:id="38"/>
      </w:r>
      <w:r w:rsidR="00BA6551">
        <w:rPr>
          <w:szCs w:val="22"/>
        </w:rPr>
        <w:t>. Do </w:t>
      </w:r>
      <w:r w:rsidRPr="00DD0DA5">
        <w:rPr>
          <w:szCs w:val="22"/>
        </w:rPr>
        <w:t>2066 je vplyv na saldo z dôvodu nižších príjmov Sociálnej poisťovne negatívny a čiastočne tlmí príspevok zmien v I. pilieri na zníženie záväzkov.</w:t>
      </w:r>
    </w:p>
    <w:p w14:paraId="48B8B033" w14:textId="77777777" w:rsidR="00DD0DA5" w:rsidRPr="00DD0DA5" w:rsidRDefault="00DD0DA5" w:rsidP="00DD0DA5">
      <w:pPr>
        <w:spacing w:after="120" w:line="240" w:lineRule="auto"/>
        <w:jc w:val="both"/>
        <w:rPr>
          <w:szCs w:val="22"/>
        </w:rPr>
      </w:pPr>
      <w:r w:rsidRPr="00DD0DA5">
        <w:rPr>
          <w:szCs w:val="22"/>
        </w:rPr>
        <w:t>Dodatočným pozitívnym vplyvom na implicitné záväzky boli metodické zmeny v podobe posunu horizontu diskontovania a aktualizácia makroekonomických predpokladov</w:t>
      </w:r>
      <w:r w:rsidRPr="00BA6551">
        <w:rPr>
          <w:vertAlign w:val="superscript"/>
        </w:rPr>
        <w:footnoteReference w:id="39"/>
      </w:r>
      <w:r w:rsidRPr="00DD0DA5">
        <w:rPr>
          <w:szCs w:val="22"/>
        </w:rPr>
        <w:t xml:space="preserve">. </w:t>
      </w:r>
    </w:p>
    <w:tbl>
      <w:tblPr>
        <w:tblpPr w:leftFromText="141" w:rightFromText="141" w:vertAnchor="text" w:horzAnchor="margin" w:tblpY="61"/>
        <w:tblOverlap w:val="never"/>
        <w:tblW w:w="4987"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1E0" w:firstRow="1" w:lastRow="1" w:firstColumn="1" w:lastColumn="1" w:noHBand="0" w:noVBand="0"/>
      </w:tblPr>
      <w:tblGrid>
        <w:gridCol w:w="4362"/>
        <w:gridCol w:w="185"/>
        <w:gridCol w:w="4595"/>
        <w:gridCol w:w="183"/>
      </w:tblGrid>
      <w:tr w:rsidR="00DD0DA5" w:rsidRPr="00270CBE" w14:paraId="2746A3EB" w14:textId="77777777" w:rsidTr="00EF2678">
        <w:trPr>
          <w:trHeight w:val="227"/>
        </w:trPr>
        <w:tc>
          <w:tcPr>
            <w:tcW w:w="4902" w:type="pct"/>
            <w:gridSpan w:val="3"/>
            <w:tcBorders>
              <w:top w:val="nil"/>
              <w:left w:val="nil"/>
              <w:bottom w:val="single" w:sz="4" w:space="0" w:color="auto"/>
              <w:right w:val="nil"/>
            </w:tcBorders>
            <w:shd w:val="clear" w:color="auto" w:fill="auto"/>
            <w:vAlign w:val="center"/>
          </w:tcPr>
          <w:p w14:paraId="3F3B7D6F" w14:textId="5A18E444" w:rsidR="00DD0DA5" w:rsidRPr="00B81514" w:rsidRDefault="00DD0DA5" w:rsidP="00EF2678">
            <w:pPr>
              <w:spacing w:after="0" w:line="240" w:lineRule="auto"/>
              <w:jc w:val="both"/>
              <w:rPr>
                <w:rFonts w:eastAsia="Calibri"/>
                <w:b/>
                <w:color w:val="2C9ADC"/>
                <w:szCs w:val="22"/>
              </w:rPr>
            </w:pPr>
            <w:r w:rsidRPr="00EF2678">
              <w:rPr>
                <w:rFonts w:eastAsia="Calibri"/>
                <w:b/>
                <w:color w:val="4F81BD" w:themeColor="accent1"/>
                <w:sz w:val="20"/>
                <w:szCs w:val="20"/>
              </w:rPr>
              <w:t xml:space="preserve">Graf </w:t>
            </w:r>
            <w:r w:rsidR="00EF2678" w:rsidRPr="00EF2678">
              <w:rPr>
                <w:rFonts w:eastAsia="Calibri"/>
                <w:b/>
                <w:color w:val="4F81BD" w:themeColor="accent1"/>
                <w:sz w:val="20"/>
                <w:szCs w:val="20"/>
              </w:rPr>
              <w:t>17</w:t>
            </w:r>
            <w:r w:rsidRPr="00EF2678">
              <w:rPr>
                <w:rFonts w:eastAsia="Calibri"/>
                <w:b/>
                <w:color w:val="4F81BD" w:themeColor="accent1"/>
                <w:sz w:val="20"/>
                <w:szCs w:val="20"/>
              </w:rPr>
              <w:t xml:space="preserve"> – Aktualizácia implicitných záväzkov v 2022 súvisiacich so starnutím populácie (do 2066; % HDP)</w:t>
            </w:r>
          </w:p>
        </w:tc>
        <w:tc>
          <w:tcPr>
            <w:tcW w:w="98" w:type="pct"/>
            <w:vAlign w:val="center"/>
          </w:tcPr>
          <w:p w14:paraId="6847D86C" w14:textId="77777777" w:rsidR="00DD0DA5" w:rsidRPr="00270CBE" w:rsidRDefault="00DD0DA5" w:rsidP="00CA4C99">
            <w:pPr>
              <w:spacing w:after="160" w:line="259" w:lineRule="auto"/>
            </w:pPr>
          </w:p>
        </w:tc>
      </w:tr>
      <w:tr w:rsidR="00DD0DA5" w:rsidRPr="00270CBE" w14:paraId="338E42F4" w14:textId="77777777" w:rsidTr="00CA4C99">
        <w:trPr>
          <w:gridAfter w:val="1"/>
          <w:wAfter w:w="98" w:type="pct"/>
          <w:trHeight w:val="913"/>
        </w:trPr>
        <w:tc>
          <w:tcPr>
            <w:tcW w:w="4902" w:type="pct"/>
            <w:gridSpan w:val="3"/>
            <w:tcBorders>
              <w:top w:val="single" w:sz="4" w:space="0" w:color="auto"/>
              <w:left w:val="nil"/>
              <w:bottom w:val="single" w:sz="4" w:space="0" w:color="auto"/>
              <w:right w:val="nil"/>
            </w:tcBorders>
            <w:vAlign w:val="center"/>
          </w:tcPr>
          <w:p w14:paraId="5C0B2B70" w14:textId="77777777" w:rsidR="00DD0DA5" w:rsidRPr="00270CBE" w:rsidRDefault="00DD0DA5" w:rsidP="00CA4C99">
            <w:pPr>
              <w:spacing w:before="40" w:after="40"/>
              <w:jc w:val="center"/>
              <w:rPr>
                <w:rFonts w:ascii="Arial Narrow" w:hAnsi="Arial Narrow" w:cs="Arial"/>
                <w:b/>
                <w:sz w:val="20"/>
                <w:szCs w:val="20"/>
              </w:rPr>
            </w:pPr>
            <w:r>
              <w:rPr>
                <w:noProof/>
                <w:lang w:eastAsia="sk-SK"/>
              </w:rPr>
              <w:drawing>
                <wp:inline distT="0" distB="0" distL="0" distR="0" wp14:anchorId="6C543873" wp14:editId="7606818B">
                  <wp:extent cx="4443730" cy="1533645"/>
                  <wp:effectExtent l="0" t="0" r="13970" b="9525"/>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DD0DA5" w:rsidRPr="0062130F" w14:paraId="0E251AED" w14:textId="77777777" w:rsidTr="00CA4C99">
        <w:trPr>
          <w:gridAfter w:val="1"/>
          <w:wAfter w:w="98" w:type="pct"/>
          <w:trHeight w:val="114"/>
        </w:trPr>
        <w:tc>
          <w:tcPr>
            <w:tcW w:w="2339" w:type="pct"/>
            <w:tcBorders>
              <w:top w:val="single" w:sz="4" w:space="0" w:color="auto"/>
              <w:left w:val="nil"/>
              <w:bottom w:val="nil"/>
              <w:right w:val="nil"/>
            </w:tcBorders>
          </w:tcPr>
          <w:p w14:paraId="73AB4741" w14:textId="77777777" w:rsidR="00DD0DA5" w:rsidRPr="00A165DA" w:rsidRDefault="00DD0DA5" w:rsidP="00CA4C99">
            <w:pPr>
              <w:spacing w:before="40" w:after="40"/>
              <w:jc w:val="both"/>
              <w:rPr>
                <w:i/>
                <w:sz w:val="16"/>
                <w:szCs w:val="14"/>
              </w:rPr>
            </w:pPr>
            <w:proofErr w:type="spellStart"/>
            <w:r w:rsidRPr="00A165DA">
              <w:rPr>
                <w:i/>
                <w:sz w:val="16"/>
                <w:szCs w:val="14"/>
              </w:rPr>
              <w:t>Pozn</w:t>
            </w:r>
            <w:proofErr w:type="spellEnd"/>
            <w:r w:rsidRPr="00A165DA">
              <w:rPr>
                <w:i/>
                <w:sz w:val="16"/>
                <w:szCs w:val="14"/>
              </w:rPr>
              <w:t xml:space="preserve">:. </w:t>
            </w:r>
            <w:r>
              <w:rPr>
                <w:i/>
                <w:sz w:val="16"/>
                <w:szCs w:val="14"/>
              </w:rPr>
              <w:t xml:space="preserve">*Zmena diskontu </w:t>
            </w:r>
            <w:r w:rsidRPr="00A165DA">
              <w:rPr>
                <w:i/>
                <w:sz w:val="16"/>
                <w:szCs w:val="14"/>
              </w:rPr>
              <w:t xml:space="preserve">– posun horizontu o jeden rok.                                </w:t>
            </w:r>
          </w:p>
        </w:tc>
        <w:tc>
          <w:tcPr>
            <w:tcW w:w="99" w:type="pct"/>
            <w:tcBorders>
              <w:top w:val="nil"/>
              <w:left w:val="nil"/>
              <w:bottom w:val="nil"/>
              <w:right w:val="nil"/>
            </w:tcBorders>
          </w:tcPr>
          <w:p w14:paraId="0CD986CC" w14:textId="77777777" w:rsidR="00DD0DA5" w:rsidRPr="00A165DA" w:rsidRDefault="00DD0DA5" w:rsidP="00CA4C99">
            <w:pPr>
              <w:jc w:val="right"/>
              <w:rPr>
                <w:i/>
                <w:sz w:val="16"/>
                <w:szCs w:val="14"/>
              </w:rPr>
            </w:pPr>
          </w:p>
        </w:tc>
        <w:tc>
          <w:tcPr>
            <w:tcW w:w="2464" w:type="pct"/>
            <w:tcBorders>
              <w:top w:val="single" w:sz="4" w:space="0" w:color="auto"/>
              <w:left w:val="nil"/>
              <w:bottom w:val="nil"/>
              <w:right w:val="nil"/>
            </w:tcBorders>
          </w:tcPr>
          <w:p w14:paraId="1014EF18" w14:textId="77777777" w:rsidR="00DD0DA5" w:rsidRPr="00A165DA" w:rsidRDefault="00DD0DA5" w:rsidP="00CA4C99">
            <w:pPr>
              <w:spacing w:before="40" w:after="40"/>
              <w:jc w:val="right"/>
              <w:rPr>
                <w:i/>
                <w:sz w:val="16"/>
                <w:szCs w:val="14"/>
              </w:rPr>
            </w:pPr>
            <w:r w:rsidRPr="00A165DA">
              <w:rPr>
                <w:i/>
                <w:sz w:val="16"/>
                <w:szCs w:val="14"/>
              </w:rPr>
              <w:t xml:space="preserve">Zdroj: MF SR </w:t>
            </w:r>
          </w:p>
        </w:tc>
      </w:tr>
    </w:tbl>
    <w:p w14:paraId="209B35D8" w14:textId="7C02AFC4" w:rsidR="001E15B5" w:rsidRDefault="00DD0DA5" w:rsidP="000B1F5C">
      <w:pPr>
        <w:spacing w:after="120" w:line="240" w:lineRule="auto"/>
        <w:jc w:val="both"/>
        <w:rPr>
          <w:szCs w:val="22"/>
        </w:rPr>
      </w:pPr>
      <w:r w:rsidRPr="001E15B5">
        <w:rPr>
          <w:b/>
          <w:szCs w:val="22"/>
        </w:rPr>
        <w:t>Záväzky vyplývajúce z PPP projektov predstavovali ku koncu roka 2022 hodnotu 3,4 % HDP, medziročne klesli o 0,5 p. b. HDP</w:t>
      </w:r>
      <w:r w:rsidRPr="001E15B5">
        <w:rPr>
          <w:szCs w:val="22"/>
        </w:rPr>
        <w:t>. Záväzky sú kvantifikované na základe odhadu platieb štátu za</w:t>
      </w:r>
      <w:r w:rsidR="00BA6551">
        <w:rPr>
          <w:szCs w:val="22"/>
        </w:rPr>
        <w:t> </w:t>
      </w:r>
      <w:r w:rsidRPr="001E15B5">
        <w:rPr>
          <w:szCs w:val="22"/>
        </w:rPr>
        <w:t>dostupnosť počas ich celej doby trvania koncesie.</w:t>
      </w:r>
      <w:r w:rsidRPr="00BA6551">
        <w:rPr>
          <w:szCs w:val="22"/>
          <w:vertAlign w:val="superscript"/>
        </w:rPr>
        <w:footnoteReference w:id="40"/>
      </w:r>
      <w:r w:rsidRPr="001E15B5">
        <w:rPr>
          <w:szCs w:val="22"/>
        </w:rPr>
        <w:t xml:space="preserve"> Medziročné zníženie odhadovaných budúcich záväzkov o 0,5 p. b. vyplýva predovšetkým z aktualizácie mak</w:t>
      </w:r>
      <w:r w:rsidR="00BA6551">
        <w:rPr>
          <w:szCs w:val="22"/>
        </w:rPr>
        <w:t>roekonomických predpokladov pri </w:t>
      </w:r>
      <w:r w:rsidRPr="001E15B5">
        <w:rPr>
          <w:szCs w:val="22"/>
        </w:rPr>
        <w:t>objemovo najväčšom projekte rýchlostnej cesty R1.</w:t>
      </w:r>
    </w:p>
    <w:tbl>
      <w:tblPr>
        <w:tblW w:w="4886" w:type="pct"/>
        <w:tblCellMar>
          <w:left w:w="70" w:type="dxa"/>
          <w:right w:w="70" w:type="dxa"/>
        </w:tblCellMar>
        <w:tblLook w:val="04A0" w:firstRow="1" w:lastRow="0" w:firstColumn="1" w:lastColumn="0" w:noHBand="0" w:noVBand="1"/>
      </w:tblPr>
      <w:tblGrid>
        <w:gridCol w:w="3970"/>
        <w:gridCol w:w="1052"/>
        <w:gridCol w:w="1052"/>
        <w:gridCol w:w="38"/>
        <w:gridCol w:w="209"/>
        <w:gridCol w:w="812"/>
        <w:gridCol w:w="1049"/>
        <w:gridCol w:w="1172"/>
      </w:tblGrid>
      <w:tr w:rsidR="00DD0DA5" w:rsidRPr="00656038" w14:paraId="6F7E0C04" w14:textId="77777777" w:rsidTr="00D33788">
        <w:trPr>
          <w:trHeight w:val="332"/>
        </w:trPr>
        <w:tc>
          <w:tcPr>
            <w:tcW w:w="5000" w:type="pct"/>
            <w:gridSpan w:val="8"/>
            <w:tcBorders>
              <w:top w:val="nil"/>
              <w:left w:val="nil"/>
              <w:bottom w:val="single" w:sz="4" w:space="0" w:color="auto"/>
              <w:right w:val="nil"/>
            </w:tcBorders>
            <w:shd w:val="clear" w:color="auto" w:fill="auto"/>
            <w:noWrap/>
            <w:vAlign w:val="center"/>
            <w:hideMark/>
          </w:tcPr>
          <w:p w14:paraId="0BA2615E" w14:textId="0CFDE1BA" w:rsidR="00DD0DA5" w:rsidRPr="000B1F5C" w:rsidRDefault="00DD0DA5" w:rsidP="00D33788">
            <w:pPr>
              <w:spacing w:after="0" w:line="240" w:lineRule="auto"/>
              <w:jc w:val="both"/>
              <w:rPr>
                <w:rFonts w:eastAsia="Calibri"/>
                <w:b/>
                <w:color w:val="2C9ADC"/>
                <w:sz w:val="20"/>
                <w:szCs w:val="20"/>
              </w:rPr>
            </w:pPr>
            <w:r w:rsidRPr="000B1F5C">
              <w:rPr>
                <w:rFonts w:eastAsia="Calibri"/>
                <w:b/>
                <w:color w:val="4F81BD" w:themeColor="accent1"/>
                <w:sz w:val="20"/>
                <w:szCs w:val="20"/>
              </w:rPr>
              <w:t xml:space="preserve">Tabuľka </w:t>
            </w:r>
            <w:r w:rsidR="000B1F5C" w:rsidRPr="000B1F5C">
              <w:rPr>
                <w:rFonts w:eastAsia="Calibri"/>
                <w:b/>
                <w:color w:val="4F81BD" w:themeColor="accent1"/>
                <w:sz w:val="20"/>
                <w:szCs w:val="20"/>
              </w:rPr>
              <w:t>18</w:t>
            </w:r>
            <w:r w:rsidRPr="000B1F5C">
              <w:rPr>
                <w:rFonts w:eastAsia="Calibri"/>
                <w:b/>
                <w:color w:val="4F81BD" w:themeColor="accent1"/>
                <w:sz w:val="20"/>
                <w:szCs w:val="20"/>
              </w:rPr>
              <w:t xml:space="preserve"> – Vplyv PPP projektov</w:t>
            </w:r>
            <w:r w:rsidR="000B1F5C" w:rsidRP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sidRP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Pr>
                <w:rFonts w:eastAsia="Calibri"/>
                <w:b/>
                <w:color w:val="4F81BD" w:themeColor="accent1"/>
                <w:sz w:val="20"/>
                <w:szCs w:val="20"/>
              </w:rPr>
              <w:t xml:space="preserve">  </w:t>
            </w:r>
            <w:r w:rsidR="000B1F5C" w:rsidRPr="000B1F5C">
              <w:rPr>
                <w:rFonts w:eastAsia="Calibri"/>
                <w:b/>
                <w:color w:val="4F81BD" w:themeColor="accent1"/>
                <w:sz w:val="20"/>
                <w:szCs w:val="20"/>
              </w:rPr>
              <w:t xml:space="preserve">    </w:t>
            </w:r>
            <w:r w:rsidRPr="000B1F5C">
              <w:rPr>
                <w:rFonts w:eastAsia="Calibri"/>
                <w:b/>
                <w:color w:val="4F81BD" w:themeColor="accent1"/>
                <w:sz w:val="20"/>
                <w:szCs w:val="20"/>
              </w:rPr>
              <w:t xml:space="preserve"> </w:t>
            </w:r>
            <w:r w:rsidR="000B1F5C" w:rsidRPr="000B1F5C">
              <w:rPr>
                <w:rFonts w:eastAsia="Calibri"/>
                <w:b/>
                <w:color w:val="4F81BD" w:themeColor="accent1"/>
                <w:sz w:val="20"/>
                <w:szCs w:val="20"/>
              </w:rPr>
              <w:t>v</w:t>
            </w:r>
            <w:r w:rsidR="000B1F5C">
              <w:rPr>
                <w:rFonts w:eastAsia="Calibri"/>
                <w:b/>
                <w:color w:val="4F81BD" w:themeColor="accent1"/>
                <w:sz w:val="20"/>
                <w:szCs w:val="20"/>
              </w:rPr>
              <w:t> </w:t>
            </w:r>
            <w:r w:rsidR="000B1F5C" w:rsidRPr="000B1F5C">
              <w:rPr>
                <w:rFonts w:eastAsia="Calibri"/>
                <w:b/>
                <w:color w:val="4F81BD" w:themeColor="accent1"/>
                <w:sz w:val="20"/>
                <w:szCs w:val="20"/>
              </w:rPr>
              <w:t>%</w:t>
            </w:r>
            <w:r w:rsidR="000B1F5C">
              <w:rPr>
                <w:rFonts w:eastAsia="Calibri"/>
                <w:b/>
                <w:color w:val="4F81BD" w:themeColor="accent1"/>
                <w:sz w:val="20"/>
                <w:szCs w:val="20"/>
              </w:rPr>
              <w:t> </w:t>
            </w:r>
            <w:r w:rsidR="000B1F5C" w:rsidRPr="000B1F5C">
              <w:rPr>
                <w:rFonts w:eastAsia="Calibri"/>
                <w:b/>
                <w:color w:val="4F81BD" w:themeColor="accent1"/>
                <w:sz w:val="20"/>
                <w:szCs w:val="20"/>
              </w:rPr>
              <w:t>HDP</w:t>
            </w:r>
          </w:p>
        </w:tc>
      </w:tr>
      <w:tr w:rsidR="00DD0DA5" w:rsidRPr="00656038" w14:paraId="071FE137" w14:textId="77777777" w:rsidTr="00D33788">
        <w:trPr>
          <w:trHeight w:val="332"/>
        </w:trPr>
        <w:tc>
          <w:tcPr>
            <w:tcW w:w="2123" w:type="pct"/>
            <w:tcBorders>
              <w:top w:val="single" w:sz="4" w:space="0" w:color="auto"/>
              <w:left w:val="nil"/>
              <w:bottom w:val="single" w:sz="4" w:space="0" w:color="auto"/>
              <w:right w:val="nil"/>
            </w:tcBorders>
            <w:shd w:val="clear" w:color="auto" w:fill="auto"/>
            <w:noWrap/>
            <w:vAlign w:val="center"/>
            <w:hideMark/>
          </w:tcPr>
          <w:p w14:paraId="519FF07C" w14:textId="77777777" w:rsidR="00DD0DA5" w:rsidRPr="00656038" w:rsidRDefault="00DD0DA5" w:rsidP="00CA4C99">
            <w:pPr>
              <w:spacing w:after="0" w:line="240" w:lineRule="auto"/>
              <w:jc w:val="center"/>
              <w:rPr>
                <w:color w:val="000000"/>
                <w:sz w:val="18"/>
                <w:szCs w:val="18"/>
                <w:lang w:eastAsia="sk-SK"/>
              </w:rPr>
            </w:pPr>
            <w:r w:rsidRPr="00656038">
              <w:rPr>
                <w:color w:val="000000"/>
                <w:sz w:val="18"/>
                <w:szCs w:val="18"/>
                <w:lang w:eastAsia="sk-SK"/>
              </w:rPr>
              <w:t> </w:t>
            </w:r>
          </w:p>
        </w:tc>
        <w:tc>
          <w:tcPr>
            <w:tcW w:w="562" w:type="pct"/>
            <w:tcBorders>
              <w:top w:val="single" w:sz="4" w:space="0" w:color="auto"/>
              <w:left w:val="nil"/>
              <w:bottom w:val="single" w:sz="4" w:space="0" w:color="auto"/>
              <w:right w:val="nil"/>
            </w:tcBorders>
            <w:shd w:val="clear" w:color="auto" w:fill="auto"/>
            <w:noWrap/>
            <w:vAlign w:val="center"/>
            <w:hideMark/>
          </w:tcPr>
          <w:p w14:paraId="7FD9A8C6" w14:textId="77777777" w:rsidR="00DD0DA5" w:rsidRPr="00656038" w:rsidRDefault="00DD0DA5" w:rsidP="00CA4C99">
            <w:pPr>
              <w:spacing w:after="0" w:line="240" w:lineRule="auto"/>
              <w:jc w:val="center"/>
              <w:rPr>
                <w:b/>
                <w:bCs/>
                <w:color w:val="000000"/>
                <w:sz w:val="18"/>
                <w:szCs w:val="18"/>
                <w:lang w:eastAsia="sk-SK"/>
              </w:rPr>
            </w:pPr>
            <w:r>
              <w:rPr>
                <w:b/>
                <w:bCs/>
                <w:color w:val="000000"/>
                <w:sz w:val="18"/>
                <w:szCs w:val="18"/>
                <w:lang w:eastAsia="sk-SK"/>
              </w:rPr>
              <w:t>2022</w:t>
            </w:r>
          </w:p>
        </w:tc>
        <w:tc>
          <w:tcPr>
            <w:tcW w:w="562" w:type="pct"/>
            <w:tcBorders>
              <w:top w:val="single" w:sz="4" w:space="0" w:color="auto"/>
              <w:left w:val="nil"/>
              <w:bottom w:val="single" w:sz="4" w:space="0" w:color="auto"/>
              <w:right w:val="nil"/>
            </w:tcBorders>
            <w:shd w:val="clear" w:color="auto" w:fill="auto"/>
            <w:noWrap/>
            <w:vAlign w:val="center"/>
            <w:hideMark/>
          </w:tcPr>
          <w:p w14:paraId="5C2CAB10" w14:textId="77777777" w:rsidR="00DD0DA5" w:rsidRPr="00656038" w:rsidRDefault="00DD0DA5" w:rsidP="00CA4C99">
            <w:pPr>
              <w:spacing w:after="0" w:line="240" w:lineRule="auto"/>
              <w:jc w:val="center"/>
              <w:rPr>
                <w:b/>
                <w:bCs/>
                <w:color w:val="000000"/>
                <w:sz w:val="18"/>
                <w:szCs w:val="18"/>
                <w:lang w:eastAsia="sk-SK"/>
              </w:rPr>
            </w:pPr>
            <w:r w:rsidRPr="00656038">
              <w:rPr>
                <w:b/>
                <w:bCs/>
                <w:color w:val="000000"/>
                <w:sz w:val="18"/>
                <w:szCs w:val="18"/>
                <w:lang w:eastAsia="sk-SK"/>
              </w:rPr>
              <w:t>2030</w:t>
            </w:r>
          </w:p>
        </w:tc>
        <w:tc>
          <w:tcPr>
            <w:tcW w:w="563" w:type="pct"/>
            <w:gridSpan w:val="3"/>
            <w:tcBorders>
              <w:top w:val="single" w:sz="4" w:space="0" w:color="auto"/>
              <w:left w:val="nil"/>
              <w:bottom w:val="single" w:sz="4" w:space="0" w:color="auto"/>
              <w:right w:val="nil"/>
            </w:tcBorders>
            <w:shd w:val="clear" w:color="auto" w:fill="auto"/>
            <w:noWrap/>
            <w:vAlign w:val="center"/>
            <w:hideMark/>
          </w:tcPr>
          <w:p w14:paraId="38AB7DD3" w14:textId="77777777" w:rsidR="00DD0DA5" w:rsidRPr="00656038" w:rsidRDefault="00DD0DA5" w:rsidP="00CA4C99">
            <w:pPr>
              <w:spacing w:after="0" w:line="240" w:lineRule="auto"/>
              <w:jc w:val="center"/>
              <w:rPr>
                <w:b/>
                <w:bCs/>
                <w:color w:val="000000"/>
                <w:sz w:val="18"/>
                <w:szCs w:val="18"/>
                <w:lang w:eastAsia="sk-SK"/>
              </w:rPr>
            </w:pPr>
            <w:r w:rsidRPr="00656038">
              <w:rPr>
                <w:b/>
                <w:bCs/>
                <w:color w:val="000000"/>
                <w:sz w:val="18"/>
                <w:szCs w:val="18"/>
                <w:lang w:eastAsia="sk-SK"/>
              </w:rPr>
              <w:t>2040</w:t>
            </w:r>
          </w:p>
        </w:tc>
        <w:tc>
          <w:tcPr>
            <w:tcW w:w="561" w:type="pct"/>
            <w:tcBorders>
              <w:top w:val="single" w:sz="4" w:space="0" w:color="auto"/>
              <w:left w:val="nil"/>
              <w:bottom w:val="single" w:sz="4" w:space="0" w:color="auto"/>
            </w:tcBorders>
            <w:shd w:val="clear" w:color="auto" w:fill="auto"/>
            <w:vAlign w:val="center"/>
            <w:hideMark/>
          </w:tcPr>
          <w:p w14:paraId="2606C88B" w14:textId="77777777" w:rsidR="00DD0DA5" w:rsidRPr="00656038" w:rsidRDefault="00DD0DA5" w:rsidP="00CA4C99">
            <w:pPr>
              <w:spacing w:after="0" w:line="240" w:lineRule="auto"/>
              <w:jc w:val="center"/>
              <w:rPr>
                <w:b/>
                <w:bCs/>
                <w:color w:val="000000"/>
                <w:sz w:val="18"/>
                <w:szCs w:val="18"/>
                <w:lang w:eastAsia="sk-SK"/>
              </w:rPr>
            </w:pPr>
            <w:r w:rsidRPr="00656038">
              <w:rPr>
                <w:b/>
                <w:bCs/>
                <w:color w:val="000000"/>
                <w:sz w:val="18"/>
                <w:szCs w:val="18"/>
                <w:lang w:eastAsia="sk-SK"/>
              </w:rPr>
              <w:t>2050</w:t>
            </w:r>
          </w:p>
        </w:tc>
        <w:tc>
          <w:tcPr>
            <w:tcW w:w="627" w:type="pct"/>
            <w:tcBorders>
              <w:top w:val="single" w:sz="4" w:space="0" w:color="auto"/>
              <w:bottom w:val="single" w:sz="4" w:space="0" w:color="auto"/>
              <w:right w:val="nil"/>
            </w:tcBorders>
            <w:shd w:val="clear" w:color="auto" w:fill="auto"/>
            <w:noWrap/>
            <w:vAlign w:val="center"/>
            <w:hideMark/>
          </w:tcPr>
          <w:p w14:paraId="6D483B82" w14:textId="77777777" w:rsidR="00DD0DA5" w:rsidRPr="00656038" w:rsidRDefault="00DD0DA5" w:rsidP="00CA4C99">
            <w:pPr>
              <w:spacing w:after="0" w:line="240" w:lineRule="auto"/>
              <w:jc w:val="center"/>
              <w:rPr>
                <w:b/>
                <w:bCs/>
                <w:color w:val="000000"/>
                <w:sz w:val="18"/>
                <w:szCs w:val="18"/>
                <w:lang w:eastAsia="sk-SK"/>
              </w:rPr>
            </w:pPr>
            <w:r w:rsidRPr="00656038">
              <w:rPr>
                <w:b/>
                <w:bCs/>
                <w:color w:val="000000"/>
                <w:sz w:val="18"/>
                <w:szCs w:val="18"/>
                <w:lang w:eastAsia="sk-SK"/>
              </w:rPr>
              <w:t>Spolu</w:t>
            </w:r>
          </w:p>
        </w:tc>
      </w:tr>
      <w:tr w:rsidR="00DD0DA5" w:rsidRPr="00656038" w14:paraId="1AA2D380" w14:textId="77777777" w:rsidTr="00D33788">
        <w:trPr>
          <w:trHeight w:val="295"/>
        </w:trPr>
        <w:tc>
          <w:tcPr>
            <w:tcW w:w="2123" w:type="pct"/>
            <w:tcBorders>
              <w:top w:val="single" w:sz="4" w:space="0" w:color="auto"/>
              <w:left w:val="nil"/>
              <w:bottom w:val="nil"/>
              <w:right w:val="nil"/>
            </w:tcBorders>
            <w:shd w:val="clear" w:color="auto" w:fill="auto"/>
            <w:noWrap/>
            <w:vAlign w:val="center"/>
            <w:hideMark/>
          </w:tcPr>
          <w:p w14:paraId="6D0FBF8A" w14:textId="77777777" w:rsidR="00DD0DA5" w:rsidRPr="00656038" w:rsidRDefault="00DD0DA5" w:rsidP="00CA4C99">
            <w:pPr>
              <w:spacing w:after="0" w:line="240" w:lineRule="auto"/>
              <w:rPr>
                <w:color w:val="000000"/>
                <w:sz w:val="18"/>
                <w:szCs w:val="18"/>
                <w:lang w:eastAsia="sk-SK"/>
              </w:rPr>
            </w:pPr>
            <w:r w:rsidRPr="00656038">
              <w:rPr>
                <w:color w:val="000000"/>
                <w:sz w:val="18"/>
                <w:szCs w:val="18"/>
                <w:lang w:eastAsia="sk-SK"/>
              </w:rPr>
              <w:t>Platba za dostupnosť R1*</w:t>
            </w:r>
          </w:p>
        </w:tc>
        <w:tc>
          <w:tcPr>
            <w:tcW w:w="562" w:type="pct"/>
            <w:tcBorders>
              <w:top w:val="single" w:sz="4" w:space="0" w:color="auto"/>
              <w:left w:val="nil"/>
              <w:bottom w:val="nil"/>
              <w:right w:val="nil"/>
            </w:tcBorders>
            <w:shd w:val="clear" w:color="auto" w:fill="auto"/>
            <w:noWrap/>
            <w:vAlign w:val="center"/>
            <w:hideMark/>
          </w:tcPr>
          <w:p w14:paraId="1033F2B1" w14:textId="77777777" w:rsidR="00DD0DA5" w:rsidRPr="00656038" w:rsidRDefault="00DD0DA5" w:rsidP="00CA4C99">
            <w:pPr>
              <w:spacing w:after="0" w:line="240" w:lineRule="auto"/>
              <w:jc w:val="center"/>
              <w:rPr>
                <w:rFonts w:eastAsia="Calibri"/>
                <w:bCs/>
                <w:color w:val="000000"/>
                <w:sz w:val="18"/>
                <w:szCs w:val="18"/>
              </w:rPr>
            </w:pPr>
            <w:r>
              <w:rPr>
                <w:rFonts w:eastAsia="Calibri"/>
                <w:bCs/>
                <w:color w:val="000000"/>
                <w:sz w:val="18"/>
                <w:szCs w:val="18"/>
              </w:rPr>
              <w:t>0,11</w:t>
            </w:r>
          </w:p>
        </w:tc>
        <w:tc>
          <w:tcPr>
            <w:tcW w:w="562" w:type="pct"/>
            <w:tcBorders>
              <w:top w:val="single" w:sz="4" w:space="0" w:color="auto"/>
              <w:left w:val="nil"/>
              <w:bottom w:val="nil"/>
              <w:right w:val="nil"/>
            </w:tcBorders>
            <w:shd w:val="clear" w:color="auto" w:fill="auto"/>
            <w:noWrap/>
            <w:vAlign w:val="center"/>
            <w:hideMark/>
          </w:tcPr>
          <w:p w14:paraId="33F236F6" w14:textId="77777777" w:rsidR="00DD0DA5" w:rsidRPr="00656038" w:rsidRDefault="00DD0DA5" w:rsidP="00CA4C99">
            <w:pPr>
              <w:spacing w:after="0" w:line="240" w:lineRule="auto"/>
              <w:jc w:val="center"/>
              <w:rPr>
                <w:rFonts w:eastAsia="Calibri"/>
                <w:bCs/>
                <w:color w:val="000000"/>
                <w:sz w:val="18"/>
                <w:szCs w:val="18"/>
              </w:rPr>
            </w:pPr>
            <w:r>
              <w:rPr>
                <w:rFonts w:eastAsia="Calibri"/>
                <w:bCs/>
                <w:color w:val="000000"/>
                <w:sz w:val="18"/>
                <w:szCs w:val="18"/>
              </w:rPr>
              <w:t>0,10</w:t>
            </w:r>
          </w:p>
        </w:tc>
        <w:tc>
          <w:tcPr>
            <w:tcW w:w="563" w:type="pct"/>
            <w:gridSpan w:val="3"/>
            <w:tcBorders>
              <w:top w:val="single" w:sz="4" w:space="0" w:color="auto"/>
              <w:left w:val="nil"/>
              <w:bottom w:val="nil"/>
              <w:right w:val="nil"/>
            </w:tcBorders>
            <w:shd w:val="clear" w:color="auto" w:fill="auto"/>
            <w:noWrap/>
            <w:vAlign w:val="center"/>
            <w:hideMark/>
          </w:tcPr>
          <w:p w14:paraId="6E3339DB" w14:textId="77777777" w:rsidR="00DD0DA5" w:rsidRPr="00656038" w:rsidRDefault="00DD0DA5" w:rsidP="00CA4C99">
            <w:pPr>
              <w:spacing w:after="0" w:line="240" w:lineRule="auto"/>
              <w:jc w:val="center"/>
              <w:rPr>
                <w:rFonts w:eastAsia="Calibri"/>
                <w:bCs/>
                <w:color w:val="000000"/>
                <w:sz w:val="18"/>
                <w:szCs w:val="18"/>
              </w:rPr>
            </w:pPr>
            <w:r>
              <w:rPr>
                <w:rFonts w:eastAsia="Calibri"/>
                <w:bCs/>
                <w:color w:val="000000"/>
                <w:sz w:val="18"/>
                <w:szCs w:val="18"/>
              </w:rPr>
              <w:t>0,10</w:t>
            </w:r>
          </w:p>
        </w:tc>
        <w:tc>
          <w:tcPr>
            <w:tcW w:w="561" w:type="pct"/>
            <w:tcBorders>
              <w:top w:val="single" w:sz="4" w:space="0" w:color="auto"/>
              <w:left w:val="nil"/>
              <w:bottom w:val="nil"/>
            </w:tcBorders>
            <w:shd w:val="clear" w:color="auto" w:fill="auto"/>
            <w:vAlign w:val="center"/>
            <w:hideMark/>
          </w:tcPr>
          <w:p w14:paraId="3E3F7321" w14:textId="77777777" w:rsidR="00DD0DA5" w:rsidRPr="00656038" w:rsidRDefault="00DD0DA5" w:rsidP="00CA4C99">
            <w:pPr>
              <w:spacing w:after="0" w:line="240" w:lineRule="auto"/>
              <w:jc w:val="center"/>
              <w:rPr>
                <w:rFonts w:eastAsia="Calibri"/>
                <w:bCs/>
                <w:color w:val="000000"/>
                <w:sz w:val="18"/>
                <w:szCs w:val="18"/>
              </w:rPr>
            </w:pPr>
            <w:r w:rsidRPr="00656038">
              <w:rPr>
                <w:rFonts w:eastAsia="Calibri"/>
                <w:bCs/>
                <w:color w:val="000000"/>
                <w:sz w:val="18"/>
                <w:szCs w:val="18"/>
              </w:rPr>
              <w:t>-</w:t>
            </w:r>
          </w:p>
        </w:tc>
        <w:tc>
          <w:tcPr>
            <w:tcW w:w="627" w:type="pct"/>
            <w:tcBorders>
              <w:top w:val="single" w:sz="4" w:space="0" w:color="auto"/>
              <w:bottom w:val="nil"/>
              <w:right w:val="nil"/>
            </w:tcBorders>
            <w:shd w:val="clear" w:color="auto" w:fill="auto"/>
            <w:noWrap/>
            <w:vAlign w:val="center"/>
            <w:hideMark/>
          </w:tcPr>
          <w:p w14:paraId="23309A79" w14:textId="77777777" w:rsidR="00DD0DA5" w:rsidRPr="00656038" w:rsidRDefault="00DD0DA5" w:rsidP="00CA4C99">
            <w:pPr>
              <w:spacing w:after="0" w:line="240" w:lineRule="auto"/>
              <w:jc w:val="center"/>
              <w:rPr>
                <w:rFonts w:eastAsia="Calibri"/>
                <w:bCs/>
                <w:color w:val="000000"/>
                <w:sz w:val="18"/>
                <w:szCs w:val="18"/>
              </w:rPr>
            </w:pPr>
            <w:r>
              <w:rPr>
                <w:rFonts w:eastAsia="Calibri"/>
                <w:bCs/>
                <w:color w:val="000000"/>
                <w:sz w:val="18"/>
                <w:szCs w:val="18"/>
              </w:rPr>
              <w:t>2,0</w:t>
            </w:r>
          </w:p>
        </w:tc>
      </w:tr>
      <w:tr w:rsidR="00DD0DA5" w:rsidRPr="00656038" w14:paraId="057339DF" w14:textId="77777777" w:rsidTr="00D33788">
        <w:trPr>
          <w:trHeight w:val="295"/>
        </w:trPr>
        <w:tc>
          <w:tcPr>
            <w:tcW w:w="2123" w:type="pct"/>
            <w:tcBorders>
              <w:top w:val="nil"/>
              <w:left w:val="nil"/>
              <w:right w:val="nil"/>
            </w:tcBorders>
            <w:shd w:val="clear" w:color="auto" w:fill="auto"/>
            <w:noWrap/>
            <w:vAlign w:val="center"/>
            <w:hideMark/>
          </w:tcPr>
          <w:p w14:paraId="73988A2C" w14:textId="77777777" w:rsidR="00DD0DA5" w:rsidRPr="00656038" w:rsidRDefault="00DD0DA5" w:rsidP="00CA4C99">
            <w:pPr>
              <w:spacing w:after="0" w:line="240" w:lineRule="auto"/>
              <w:rPr>
                <w:color w:val="000000"/>
                <w:sz w:val="18"/>
                <w:szCs w:val="18"/>
                <w:lang w:eastAsia="sk-SK"/>
              </w:rPr>
            </w:pPr>
            <w:r w:rsidRPr="00656038">
              <w:rPr>
                <w:color w:val="000000"/>
                <w:sz w:val="18"/>
                <w:szCs w:val="18"/>
                <w:lang w:eastAsia="sk-SK"/>
              </w:rPr>
              <w:t>Platba za dostupnosť D4 a R7</w:t>
            </w:r>
          </w:p>
        </w:tc>
        <w:tc>
          <w:tcPr>
            <w:tcW w:w="562" w:type="pct"/>
            <w:tcBorders>
              <w:top w:val="nil"/>
              <w:left w:val="nil"/>
              <w:right w:val="nil"/>
            </w:tcBorders>
            <w:shd w:val="clear" w:color="auto" w:fill="auto"/>
            <w:noWrap/>
            <w:vAlign w:val="center"/>
            <w:hideMark/>
          </w:tcPr>
          <w:p w14:paraId="3DF9AE6C"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0,04</w:t>
            </w:r>
          </w:p>
        </w:tc>
        <w:tc>
          <w:tcPr>
            <w:tcW w:w="562" w:type="pct"/>
            <w:tcBorders>
              <w:top w:val="nil"/>
              <w:left w:val="nil"/>
              <w:right w:val="nil"/>
            </w:tcBorders>
            <w:shd w:val="clear" w:color="auto" w:fill="auto"/>
            <w:noWrap/>
            <w:vAlign w:val="center"/>
            <w:hideMark/>
          </w:tcPr>
          <w:p w14:paraId="2EA54991"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0,04</w:t>
            </w:r>
          </w:p>
        </w:tc>
        <w:tc>
          <w:tcPr>
            <w:tcW w:w="563" w:type="pct"/>
            <w:gridSpan w:val="3"/>
            <w:tcBorders>
              <w:top w:val="nil"/>
              <w:left w:val="nil"/>
              <w:right w:val="nil"/>
            </w:tcBorders>
            <w:shd w:val="clear" w:color="auto" w:fill="auto"/>
            <w:noWrap/>
            <w:vAlign w:val="center"/>
            <w:hideMark/>
          </w:tcPr>
          <w:p w14:paraId="1603FB79"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0,04</w:t>
            </w:r>
          </w:p>
        </w:tc>
        <w:tc>
          <w:tcPr>
            <w:tcW w:w="561" w:type="pct"/>
            <w:tcBorders>
              <w:top w:val="nil"/>
              <w:left w:val="nil"/>
            </w:tcBorders>
            <w:shd w:val="clear" w:color="auto" w:fill="auto"/>
            <w:vAlign w:val="center"/>
            <w:hideMark/>
          </w:tcPr>
          <w:p w14:paraId="31D3027C" w14:textId="77777777" w:rsidR="00DD0DA5" w:rsidRPr="00656038" w:rsidRDefault="00DD0DA5" w:rsidP="00CA4C99">
            <w:pPr>
              <w:spacing w:after="0" w:line="240" w:lineRule="auto"/>
              <w:jc w:val="center"/>
              <w:rPr>
                <w:color w:val="000000"/>
                <w:sz w:val="18"/>
                <w:szCs w:val="18"/>
                <w:lang w:eastAsia="sk-SK"/>
              </w:rPr>
            </w:pPr>
            <w:r w:rsidRPr="00656038">
              <w:rPr>
                <w:rFonts w:eastAsia="Calibri"/>
                <w:bCs/>
                <w:color w:val="000000"/>
                <w:sz w:val="18"/>
                <w:szCs w:val="18"/>
              </w:rPr>
              <w:t>0,02</w:t>
            </w:r>
          </w:p>
        </w:tc>
        <w:tc>
          <w:tcPr>
            <w:tcW w:w="627" w:type="pct"/>
            <w:tcBorders>
              <w:top w:val="nil"/>
              <w:right w:val="nil"/>
            </w:tcBorders>
            <w:shd w:val="clear" w:color="auto" w:fill="auto"/>
            <w:noWrap/>
            <w:vAlign w:val="center"/>
            <w:hideMark/>
          </w:tcPr>
          <w:p w14:paraId="07132B5D"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1,1</w:t>
            </w:r>
          </w:p>
        </w:tc>
      </w:tr>
      <w:tr w:rsidR="00DD0DA5" w:rsidRPr="00656038" w14:paraId="637BA296" w14:textId="77777777" w:rsidTr="00D33788">
        <w:trPr>
          <w:trHeight w:val="295"/>
        </w:trPr>
        <w:tc>
          <w:tcPr>
            <w:tcW w:w="2123" w:type="pct"/>
            <w:tcBorders>
              <w:top w:val="nil"/>
              <w:left w:val="nil"/>
              <w:bottom w:val="single" w:sz="4" w:space="0" w:color="auto"/>
              <w:right w:val="nil"/>
            </w:tcBorders>
            <w:shd w:val="clear" w:color="auto" w:fill="auto"/>
            <w:noWrap/>
            <w:vAlign w:val="center"/>
            <w:hideMark/>
          </w:tcPr>
          <w:p w14:paraId="307FE47F" w14:textId="77777777" w:rsidR="00DD0DA5" w:rsidRPr="00656038" w:rsidRDefault="00DD0DA5" w:rsidP="00CA4C99">
            <w:pPr>
              <w:spacing w:after="0" w:line="240" w:lineRule="auto"/>
              <w:rPr>
                <w:color w:val="000000"/>
                <w:sz w:val="18"/>
                <w:szCs w:val="18"/>
                <w:lang w:eastAsia="sk-SK"/>
              </w:rPr>
            </w:pPr>
            <w:r w:rsidRPr="00656038">
              <w:rPr>
                <w:color w:val="000000"/>
                <w:sz w:val="18"/>
                <w:szCs w:val="18"/>
                <w:lang w:eastAsia="sk-SK"/>
              </w:rPr>
              <w:t>Platba za dostupnosť - väznica Rimavská Sobota</w:t>
            </w:r>
          </w:p>
        </w:tc>
        <w:tc>
          <w:tcPr>
            <w:tcW w:w="562" w:type="pct"/>
            <w:tcBorders>
              <w:top w:val="nil"/>
              <w:left w:val="nil"/>
              <w:bottom w:val="single" w:sz="4" w:space="0" w:color="auto"/>
              <w:right w:val="nil"/>
            </w:tcBorders>
            <w:shd w:val="clear" w:color="auto" w:fill="auto"/>
            <w:noWrap/>
            <w:vAlign w:val="center"/>
            <w:hideMark/>
          </w:tcPr>
          <w:p w14:paraId="356DB6BA" w14:textId="77777777" w:rsidR="00DD0DA5" w:rsidRPr="00656038" w:rsidRDefault="00DD0DA5" w:rsidP="00CA4C99">
            <w:pPr>
              <w:spacing w:after="0" w:line="240" w:lineRule="auto"/>
              <w:jc w:val="center"/>
              <w:rPr>
                <w:color w:val="000000"/>
                <w:sz w:val="18"/>
                <w:szCs w:val="18"/>
                <w:lang w:eastAsia="sk-SK"/>
              </w:rPr>
            </w:pPr>
            <w:r w:rsidRPr="00656038">
              <w:rPr>
                <w:rFonts w:eastAsia="Calibri"/>
                <w:bCs/>
                <w:color w:val="000000"/>
                <w:sz w:val="18"/>
                <w:szCs w:val="18"/>
              </w:rPr>
              <w:t>0,00</w:t>
            </w:r>
          </w:p>
        </w:tc>
        <w:tc>
          <w:tcPr>
            <w:tcW w:w="562" w:type="pct"/>
            <w:tcBorders>
              <w:top w:val="nil"/>
              <w:left w:val="nil"/>
              <w:bottom w:val="single" w:sz="4" w:space="0" w:color="auto"/>
              <w:right w:val="nil"/>
            </w:tcBorders>
            <w:shd w:val="clear" w:color="auto" w:fill="auto"/>
            <w:noWrap/>
            <w:vAlign w:val="center"/>
            <w:hideMark/>
          </w:tcPr>
          <w:p w14:paraId="4D07C833"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0,01</w:t>
            </w:r>
          </w:p>
        </w:tc>
        <w:tc>
          <w:tcPr>
            <w:tcW w:w="563" w:type="pct"/>
            <w:gridSpan w:val="3"/>
            <w:tcBorders>
              <w:top w:val="nil"/>
              <w:left w:val="nil"/>
              <w:bottom w:val="single" w:sz="4" w:space="0" w:color="auto"/>
              <w:right w:val="nil"/>
            </w:tcBorders>
            <w:shd w:val="clear" w:color="auto" w:fill="auto"/>
            <w:noWrap/>
            <w:vAlign w:val="center"/>
            <w:hideMark/>
          </w:tcPr>
          <w:p w14:paraId="3E982312" w14:textId="77777777" w:rsidR="00DD0DA5" w:rsidRPr="00656038" w:rsidRDefault="00DD0DA5" w:rsidP="00CA4C99">
            <w:pPr>
              <w:spacing w:after="0" w:line="240" w:lineRule="auto"/>
              <w:jc w:val="center"/>
              <w:rPr>
                <w:color w:val="000000"/>
                <w:sz w:val="18"/>
                <w:szCs w:val="18"/>
                <w:lang w:eastAsia="sk-SK"/>
              </w:rPr>
            </w:pPr>
            <w:r w:rsidRPr="00656038">
              <w:rPr>
                <w:rFonts w:eastAsia="Calibri"/>
                <w:bCs/>
                <w:color w:val="000000"/>
                <w:sz w:val="18"/>
                <w:szCs w:val="18"/>
              </w:rPr>
              <w:t>0,02</w:t>
            </w:r>
          </w:p>
        </w:tc>
        <w:tc>
          <w:tcPr>
            <w:tcW w:w="561" w:type="pct"/>
            <w:tcBorders>
              <w:top w:val="nil"/>
              <w:left w:val="nil"/>
              <w:bottom w:val="single" w:sz="4" w:space="0" w:color="auto"/>
            </w:tcBorders>
            <w:shd w:val="clear" w:color="auto" w:fill="auto"/>
            <w:vAlign w:val="center"/>
            <w:hideMark/>
          </w:tcPr>
          <w:p w14:paraId="6D863B82" w14:textId="77777777" w:rsidR="00DD0DA5" w:rsidRPr="00656038" w:rsidRDefault="00DD0DA5" w:rsidP="00CA4C99">
            <w:pPr>
              <w:spacing w:after="0" w:line="240" w:lineRule="auto"/>
              <w:jc w:val="center"/>
              <w:rPr>
                <w:color w:val="000000"/>
                <w:sz w:val="18"/>
                <w:szCs w:val="18"/>
                <w:lang w:eastAsia="sk-SK"/>
              </w:rPr>
            </w:pPr>
            <w:r w:rsidRPr="00656038">
              <w:rPr>
                <w:rFonts w:eastAsia="Calibri"/>
                <w:color w:val="000000"/>
                <w:sz w:val="18"/>
                <w:szCs w:val="18"/>
              </w:rPr>
              <w:t>-</w:t>
            </w:r>
          </w:p>
        </w:tc>
        <w:tc>
          <w:tcPr>
            <w:tcW w:w="627" w:type="pct"/>
            <w:tcBorders>
              <w:top w:val="nil"/>
              <w:bottom w:val="single" w:sz="4" w:space="0" w:color="auto"/>
              <w:right w:val="nil"/>
            </w:tcBorders>
            <w:shd w:val="clear" w:color="auto" w:fill="auto"/>
            <w:noWrap/>
            <w:vAlign w:val="center"/>
            <w:hideMark/>
          </w:tcPr>
          <w:p w14:paraId="51A5DF7D" w14:textId="77777777" w:rsidR="00DD0DA5" w:rsidRPr="00656038" w:rsidRDefault="00DD0DA5" w:rsidP="00CA4C99">
            <w:pPr>
              <w:spacing w:after="0" w:line="240" w:lineRule="auto"/>
              <w:jc w:val="center"/>
              <w:rPr>
                <w:color w:val="000000"/>
                <w:sz w:val="18"/>
                <w:szCs w:val="18"/>
                <w:lang w:eastAsia="sk-SK"/>
              </w:rPr>
            </w:pPr>
            <w:r>
              <w:rPr>
                <w:rFonts w:eastAsia="Calibri"/>
                <w:bCs/>
                <w:color w:val="000000"/>
                <w:sz w:val="18"/>
                <w:szCs w:val="18"/>
              </w:rPr>
              <w:t>0,2</w:t>
            </w:r>
          </w:p>
        </w:tc>
      </w:tr>
      <w:tr w:rsidR="00DD0DA5" w:rsidRPr="00656038" w14:paraId="041B4287" w14:textId="77777777" w:rsidTr="00D33788">
        <w:trPr>
          <w:trHeight w:val="166"/>
        </w:trPr>
        <w:tc>
          <w:tcPr>
            <w:tcW w:w="2123" w:type="pct"/>
            <w:tcBorders>
              <w:top w:val="single" w:sz="4" w:space="0" w:color="auto"/>
              <w:left w:val="nil"/>
              <w:bottom w:val="single" w:sz="4" w:space="0" w:color="auto"/>
              <w:right w:val="nil"/>
            </w:tcBorders>
            <w:shd w:val="clear" w:color="auto" w:fill="auto"/>
            <w:noWrap/>
            <w:vAlign w:val="center"/>
            <w:hideMark/>
          </w:tcPr>
          <w:p w14:paraId="19194F14" w14:textId="77777777" w:rsidR="00DD0DA5" w:rsidRPr="00656038" w:rsidRDefault="00DD0DA5" w:rsidP="00CA4C99">
            <w:pPr>
              <w:spacing w:after="0" w:line="240" w:lineRule="auto"/>
              <w:rPr>
                <w:b/>
                <w:bCs/>
                <w:color w:val="000000"/>
                <w:sz w:val="18"/>
                <w:szCs w:val="18"/>
                <w:lang w:eastAsia="sk-SK"/>
              </w:rPr>
            </w:pPr>
            <w:r w:rsidRPr="00656038">
              <w:rPr>
                <w:b/>
                <w:bCs/>
                <w:color w:val="000000"/>
                <w:sz w:val="18"/>
                <w:szCs w:val="18"/>
                <w:lang w:eastAsia="sk-SK"/>
              </w:rPr>
              <w:t>Spolu</w:t>
            </w:r>
          </w:p>
        </w:tc>
        <w:tc>
          <w:tcPr>
            <w:tcW w:w="562" w:type="pct"/>
            <w:tcBorders>
              <w:top w:val="single" w:sz="4" w:space="0" w:color="auto"/>
              <w:left w:val="nil"/>
              <w:bottom w:val="single" w:sz="4" w:space="0" w:color="auto"/>
              <w:right w:val="nil"/>
            </w:tcBorders>
            <w:shd w:val="clear" w:color="auto" w:fill="auto"/>
            <w:noWrap/>
            <w:vAlign w:val="center"/>
            <w:hideMark/>
          </w:tcPr>
          <w:p w14:paraId="7AFB6C08" w14:textId="77777777" w:rsidR="00DD0DA5" w:rsidRPr="00656038" w:rsidRDefault="00DD0DA5" w:rsidP="00CA4C99">
            <w:pPr>
              <w:spacing w:after="0" w:line="240" w:lineRule="auto"/>
              <w:jc w:val="center"/>
              <w:rPr>
                <w:b/>
                <w:bCs/>
                <w:color w:val="000000"/>
                <w:sz w:val="18"/>
                <w:szCs w:val="18"/>
                <w:lang w:eastAsia="sk-SK"/>
              </w:rPr>
            </w:pPr>
          </w:p>
        </w:tc>
        <w:tc>
          <w:tcPr>
            <w:tcW w:w="562" w:type="pct"/>
            <w:tcBorders>
              <w:top w:val="single" w:sz="4" w:space="0" w:color="auto"/>
              <w:left w:val="nil"/>
              <w:bottom w:val="single" w:sz="4" w:space="0" w:color="auto"/>
              <w:right w:val="nil"/>
            </w:tcBorders>
            <w:shd w:val="clear" w:color="auto" w:fill="auto"/>
            <w:noWrap/>
            <w:vAlign w:val="center"/>
            <w:hideMark/>
          </w:tcPr>
          <w:p w14:paraId="1A6C70D6" w14:textId="77777777" w:rsidR="00DD0DA5" w:rsidRPr="00656038" w:rsidRDefault="00DD0DA5" w:rsidP="00CA4C99">
            <w:pPr>
              <w:spacing w:after="0" w:line="240" w:lineRule="auto"/>
              <w:jc w:val="center"/>
              <w:rPr>
                <w:b/>
                <w:bCs/>
                <w:color w:val="000000"/>
                <w:sz w:val="18"/>
                <w:szCs w:val="18"/>
                <w:lang w:eastAsia="sk-SK"/>
              </w:rPr>
            </w:pPr>
          </w:p>
        </w:tc>
        <w:tc>
          <w:tcPr>
            <w:tcW w:w="563" w:type="pct"/>
            <w:gridSpan w:val="3"/>
            <w:tcBorders>
              <w:top w:val="single" w:sz="4" w:space="0" w:color="auto"/>
              <w:left w:val="nil"/>
              <w:bottom w:val="single" w:sz="4" w:space="0" w:color="auto"/>
              <w:right w:val="nil"/>
            </w:tcBorders>
            <w:shd w:val="clear" w:color="auto" w:fill="auto"/>
            <w:noWrap/>
            <w:vAlign w:val="center"/>
            <w:hideMark/>
          </w:tcPr>
          <w:p w14:paraId="4D317405" w14:textId="77777777" w:rsidR="00DD0DA5" w:rsidRPr="00656038" w:rsidRDefault="00DD0DA5" w:rsidP="00CA4C99">
            <w:pPr>
              <w:spacing w:after="0" w:line="240" w:lineRule="auto"/>
              <w:jc w:val="center"/>
              <w:rPr>
                <w:b/>
                <w:bCs/>
                <w:color w:val="000000"/>
                <w:sz w:val="18"/>
                <w:szCs w:val="18"/>
                <w:lang w:eastAsia="sk-SK"/>
              </w:rPr>
            </w:pPr>
          </w:p>
        </w:tc>
        <w:tc>
          <w:tcPr>
            <w:tcW w:w="561" w:type="pct"/>
            <w:tcBorders>
              <w:top w:val="single" w:sz="4" w:space="0" w:color="auto"/>
              <w:left w:val="nil"/>
              <w:bottom w:val="single" w:sz="4" w:space="0" w:color="auto"/>
            </w:tcBorders>
            <w:shd w:val="clear" w:color="auto" w:fill="auto"/>
            <w:vAlign w:val="center"/>
            <w:hideMark/>
          </w:tcPr>
          <w:p w14:paraId="7D3CB915" w14:textId="77777777" w:rsidR="00DD0DA5" w:rsidRPr="00656038" w:rsidRDefault="00DD0DA5" w:rsidP="00CA4C99">
            <w:pPr>
              <w:spacing w:after="0" w:line="240" w:lineRule="auto"/>
              <w:jc w:val="center"/>
              <w:rPr>
                <w:b/>
                <w:bCs/>
                <w:color w:val="000000"/>
                <w:sz w:val="18"/>
                <w:szCs w:val="18"/>
                <w:lang w:eastAsia="sk-SK"/>
              </w:rPr>
            </w:pPr>
          </w:p>
        </w:tc>
        <w:tc>
          <w:tcPr>
            <w:tcW w:w="627" w:type="pct"/>
            <w:tcBorders>
              <w:top w:val="single" w:sz="4" w:space="0" w:color="auto"/>
              <w:bottom w:val="single" w:sz="4" w:space="0" w:color="auto"/>
              <w:right w:val="nil"/>
            </w:tcBorders>
            <w:shd w:val="clear" w:color="auto" w:fill="auto"/>
            <w:noWrap/>
            <w:vAlign w:val="center"/>
            <w:hideMark/>
          </w:tcPr>
          <w:p w14:paraId="1D954F98" w14:textId="77777777" w:rsidR="00DD0DA5" w:rsidRPr="00656038" w:rsidRDefault="00DD0DA5" w:rsidP="00CA4C99">
            <w:pPr>
              <w:spacing w:after="0" w:line="240" w:lineRule="auto"/>
              <w:jc w:val="center"/>
              <w:rPr>
                <w:b/>
                <w:bCs/>
                <w:color w:val="000000"/>
                <w:sz w:val="18"/>
                <w:szCs w:val="18"/>
                <w:lang w:eastAsia="sk-SK"/>
              </w:rPr>
            </w:pPr>
            <w:r>
              <w:rPr>
                <w:rFonts w:eastAsia="Calibri"/>
                <w:b/>
                <w:bCs/>
                <w:color w:val="000000"/>
                <w:sz w:val="18"/>
                <w:szCs w:val="18"/>
              </w:rPr>
              <w:t>3,4</w:t>
            </w:r>
          </w:p>
        </w:tc>
      </w:tr>
      <w:tr w:rsidR="00DD0DA5" w:rsidRPr="0062130F" w14:paraId="422A9D59" w14:textId="77777777" w:rsidTr="00D33788">
        <w:trPr>
          <w:trHeight w:val="344"/>
        </w:trPr>
        <w:tc>
          <w:tcPr>
            <w:tcW w:w="3267" w:type="pct"/>
            <w:gridSpan w:val="4"/>
            <w:tcBorders>
              <w:top w:val="single" w:sz="4" w:space="0" w:color="auto"/>
              <w:left w:val="nil"/>
              <w:bottom w:val="nil"/>
              <w:right w:val="nil"/>
            </w:tcBorders>
            <w:shd w:val="clear" w:color="auto" w:fill="auto"/>
            <w:noWrap/>
            <w:hideMark/>
          </w:tcPr>
          <w:p w14:paraId="24D3F363" w14:textId="77777777" w:rsidR="00DD0DA5" w:rsidRPr="00A165DA" w:rsidRDefault="00DD0DA5" w:rsidP="00CA4C99">
            <w:pPr>
              <w:spacing w:after="0" w:line="240" w:lineRule="auto"/>
              <w:rPr>
                <w:i/>
                <w:color w:val="000000"/>
                <w:sz w:val="16"/>
                <w:szCs w:val="18"/>
                <w:lang w:eastAsia="sk-SK"/>
              </w:rPr>
            </w:pPr>
            <w:r w:rsidRPr="00A165DA">
              <w:rPr>
                <w:i/>
                <w:color w:val="000000"/>
                <w:sz w:val="16"/>
                <w:szCs w:val="18"/>
                <w:lang w:eastAsia="sk-SK"/>
              </w:rPr>
              <w:t xml:space="preserve">* bez započítania DPH za služby; Pozn.: </w:t>
            </w:r>
            <w:r>
              <w:rPr>
                <w:i/>
                <w:color w:val="000000"/>
                <w:sz w:val="16"/>
                <w:szCs w:val="18"/>
                <w:lang w:eastAsia="sk-SK"/>
              </w:rPr>
              <w:t>D</w:t>
            </w:r>
            <w:r w:rsidRPr="00A165DA">
              <w:rPr>
                <w:i/>
                <w:color w:val="000000"/>
                <w:sz w:val="16"/>
                <w:szCs w:val="18"/>
                <w:lang w:eastAsia="sk-SK"/>
              </w:rPr>
              <w:t>iskontované k roku 2022</w:t>
            </w:r>
            <w:r>
              <w:rPr>
                <w:i/>
                <w:color w:val="000000"/>
                <w:sz w:val="16"/>
                <w:szCs w:val="18"/>
                <w:lang w:eastAsia="sk-SK"/>
              </w:rPr>
              <w:t>.</w:t>
            </w:r>
          </w:p>
          <w:p w14:paraId="722CD53C" w14:textId="77777777" w:rsidR="00DD0DA5" w:rsidRPr="00656038" w:rsidRDefault="00DD0DA5" w:rsidP="00CA4C99">
            <w:pPr>
              <w:spacing w:after="0" w:line="240" w:lineRule="auto"/>
              <w:rPr>
                <w:color w:val="000000"/>
                <w:sz w:val="16"/>
                <w:szCs w:val="18"/>
                <w:lang w:eastAsia="sk-SK"/>
              </w:rPr>
            </w:pPr>
          </w:p>
        </w:tc>
        <w:tc>
          <w:tcPr>
            <w:tcW w:w="111" w:type="pct"/>
            <w:tcBorders>
              <w:top w:val="single" w:sz="4" w:space="0" w:color="auto"/>
              <w:left w:val="nil"/>
              <w:bottom w:val="nil"/>
              <w:right w:val="nil"/>
            </w:tcBorders>
            <w:shd w:val="clear" w:color="auto" w:fill="auto"/>
            <w:noWrap/>
            <w:vAlign w:val="center"/>
            <w:hideMark/>
          </w:tcPr>
          <w:p w14:paraId="3CFD4872" w14:textId="77777777" w:rsidR="00DD0DA5" w:rsidRPr="00656038" w:rsidRDefault="00DD0DA5" w:rsidP="00CA4C99">
            <w:pPr>
              <w:spacing w:after="0" w:line="240" w:lineRule="auto"/>
              <w:rPr>
                <w:color w:val="000000"/>
                <w:sz w:val="16"/>
                <w:szCs w:val="18"/>
                <w:lang w:eastAsia="sk-SK"/>
              </w:rPr>
            </w:pPr>
            <w:r w:rsidRPr="00656038">
              <w:rPr>
                <w:color w:val="000000"/>
                <w:sz w:val="16"/>
                <w:szCs w:val="18"/>
                <w:lang w:eastAsia="sk-SK"/>
              </w:rPr>
              <w:t> </w:t>
            </w:r>
          </w:p>
        </w:tc>
        <w:tc>
          <w:tcPr>
            <w:tcW w:w="434" w:type="pct"/>
            <w:tcBorders>
              <w:top w:val="single" w:sz="4" w:space="0" w:color="auto"/>
              <w:left w:val="nil"/>
              <w:bottom w:val="nil"/>
              <w:right w:val="nil"/>
            </w:tcBorders>
            <w:shd w:val="clear" w:color="auto" w:fill="auto"/>
            <w:vAlign w:val="center"/>
            <w:hideMark/>
          </w:tcPr>
          <w:p w14:paraId="5BD11BBF" w14:textId="77777777" w:rsidR="00DD0DA5" w:rsidRPr="00656038" w:rsidRDefault="00DD0DA5" w:rsidP="00CA4C99">
            <w:pPr>
              <w:spacing w:after="0" w:line="240" w:lineRule="auto"/>
              <w:jc w:val="right"/>
              <w:rPr>
                <w:color w:val="000000"/>
                <w:sz w:val="16"/>
                <w:szCs w:val="18"/>
                <w:lang w:eastAsia="sk-SK"/>
              </w:rPr>
            </w:pPr>
            <w:r w:rsidRPr="00656038">
              <w:rPr>
                <w:color w:val="000000"/>
                <w:sz w:val="16"/>
                <w:szCs w:val="18"/>
                <w:lang w:eastAsia="sk-SK"/>
              </w:rPr>
              <w:t> </w:t>
            </w:r>
          </w:p>
        </w:tc>
        <w:tc>
          <w:tcPr>
            <w:tcW w:w="1188" w:type="pct"/>
            <w:gridSpan w:val="2"/>
            <w:tcBorders>
              <w:top w:val="single" w:sz="4" w:space="0" w:color="auto"/>
              <w:left w:val="nil"/>
              <w:bottom w:val="nil"/>
              <w:right w:val="nil"/>
            </w:tcBorders>
            <w:shd w:val="clear" w:color="auto" w:fill="auto"/>
            <w:hideMark/>
          </w:tcPr>
          <w:p w14:paraId="00226288" w14:textId="77777777" w:rsidR="00DD0DA5" w:rsidRPr="00656038" w:rsidRDefault="00DD0DA5" w:rsidP="00CA4C99">
            <w:pPr>
              <w:spacing w:after="0" w:line="240" w:lineRule="auto"/>
              <w:jc w:val="right"/>
              <w:rPr>
                <w:i/>
                <w:color w:val="000000"/>
                <w:sz w:val="16"/>
                <w:szCs w:val="18"/>
                <w:lang w:eastAsia="sk-SK"/>
              </w:rPr>
            </w:pPr>
            <w:r w:rsidRPr="00656038">
              <w:rPr>
                <w:i/>
                <w:color w:val="000000"/>
                <w:sz w:val="16"/>
                <w:szCs w:val="18"/>
                <w:lang w:eastAsia="sk-SK"/>
              </w:rPr>
              <w:t>Zdroj: MF SR</w:t>
            </w:r>
          </w:p>
        </w:tc>
      </w:tr>
    </w:tbl>
    <w:p w14:paraId="77E34409" w14:textId="77777777" w:rsidR="00DD0DA5" w:rsidRPr="003E67F4" w:rsidRDefault="00DD0DA5" w:rsidP="00DB7EF3">
      <w:pPr>
        <w:autoSpaceDE w:val="0"/>
        <w:autoSpaceDN w:val="0"/>
        <w:adjustRightInd w:val="0"/>
        <w:spacing w:before="120" w:after="120" w:line="240" w:lineRule="auto"/>
        <w:jc w:val="both"/>
        <w:rPr>
          <w:rFonts w:eastAsia="Calibri"/>
          <w:szCs w:val="22"/>
        </w:rPr>
      </w:pPr>
      <w:r>
        <w:rPr>
          <w:b/>
          <w:szCs w:val="22"/>
        </w:rPr>
        <w:t>Vplyv PPP projektov na celkových implicitných záväzkoch plne</w:t>
      </w:r>
      <w:r w:rsidRPr="00DB39B5">
        <w:rPr>
          <w:b/>
          <w:szCs w:val="22"/>
        </w:rPr>
        <w:t xml:space="preserve"> kompenz</w:t>
      </w:r>
      <w:r>
        <w:rPr>
          <w:b/>
          <w:szCs w:val="22"/>
        </w:rPr>
        <w:t>uje</w:t>
      </w:r>
      <w:r w:rsidRPr="00DB39B5">
        <w:rPr>
          <w:b/>
          <w:szCs w:val="22"/>
        </w:rPr>
        <w:t xml:space="preserve"> schéma vyraďovania jadrových zaradení</w:t>
      </w:r>
      <w:r>
        <w:rPr>
          <w:b/>
          <w:szCs w:val="22"/>
        </w:rPr>
        <w:t xml:space="preserve"> vo výške 4,3</w:t>
      </w:r>
      <w:r w:rsidRPr="00DB39B5">
        <w:rPr>
          <w:b/>
          <w:szCs w:val="22"/>
        </w:rPr>
        <w:t xml:space="preserve"> % HDP.</w:t>
      </w:r>
      <w:r w:rsidRPr="00DB39B5">
        <w:rPr>
          <w:rStyle w:val="Odkaznapoznmkupodiarou"/>
          <w:szCs w:val="22"/>
        </w:rPr>
        <w:footnoteReference w:id="41"/>
      </w:r>
      <w:r w:rsidRPr="00DB39B5">
        <w:rPr>
          <w:b/>
          <w:szCs w:val="22"/>
        </w:rPr>
        <w:t xml:space="preserve"> </w:t>
      </w:r>
      <w:r>
        <w:rPr>
          <w:szCs w:val="22"/>
        </w:rPr>
        <w:t>Medziročne došlo pri záväzkoch k zníženiu</w:t>
      </w:r>
      <w:r w:rsidRPr="00DB39B5">
        <w:rPr>
          <w:szCs w:val="22"/>
        </w:rPr>
        <w:t xml:space="preserve"> </w:t>
      </w:r>
      <w:r>
        <w:rPr>
          <w:szCs w:val="22"/>
        </w:rPr>
        <w:t xml:space="preserve">pozitívneho príspevku o 0,6 p. b. z dôvodov </w:t>
      </w:r>
      <w:r w:rsidRPr="00DB39B5">
        <w:rPr>
          <w:szCs w:val="22"/>
        </w:rPr>
        <w:t xml:space="preserve">aktualizácie schémy očakávaných príjmov a nákladov Národného jadrového fondu </w:t>
      </w:r>
      <w:r>
        <w:rPr>
          <w:szCs w:val="22"/>
        </w:rPr>
        <w:t>na strednodobom horizonte, aktualizácie makroekonomických predpokladov a pod vplyvom zmeny diskontovaného obdobia</w:t>
      </w:r>
      <w:r w:rsidRPr="003E67F4">
        <w:rPr>
          <w:rFonts w:eastAsia="Calibri"/>
          <w:szCs w:val="22"/>
        </w:rPr>
        <w:t>.</w:t>
      </w:r>
      <w:r w:rsidRPr="003E67F4">
        <w:rPr>
          <w:rFonts w:eastAsia="Calibri"/>
          <w:szCs w:val="22"/>
          <w:vertAlign w:val="superscript"/>
        </w:rPr>
        <w:footnoteReference w:id="42"/>
      </w:r>
    </w:p>
    <w:tbl>
      <w:tblPr>
        <w:tblW w:w="9327" w:type="dxa"/>
        <w:tblCellMar>
          <w:left w:w="70" w:type="dxa"/>
          <w:right w:w="70" w:type="dxa"/>
        </w:tblCellMar>
        <w:tblLook w:val="04A0" w:firstRow="1" w:lastRow="0" w:firstColumn="1" w:lastColumn="0" w:noHBand="0" w:noVBand="1"/>
      </w:tblPr>
      <w:tblGrid>
        <w:gridCol w:w="3744"/>
        <w:gridCol w:w="619"/>
        <w:gridCol w:w="1083"/>
        <w:gridCol w:w="1149"/>
        <w:gridCol w:w="1012"/>
        <w:gridCol w:w="857"/>
        <w:gridCol w:w="863"/>
      </w:tblGrid>
      <w:tr w:rsidR="000B1F5C" w:rsidRPr="000B1F5C" w14:paraId="344FCDD0" w14:textId="77777777" w:rsidTr="00D33788">
        <w:trPr>
          <w:trHeight w:val="316"/>
        </w:trPr>
        <w:tc>
          <w:tcPr>
            <w:tcW w:w="9327" w:type="dxa"/>
            <w:gridSpan w:val="7"/>
            <w:tcBorders>
              <w:top w:val="nil"/>
              <w:left w:val="nil"/>
              <w:bottom w:val="single" w:sz="4" w:space="0" w:color="auto"/>
              <w:right w:val="nil"/>
            </w:tcBorders>
            <w:shd w:val="clear" w:color="auto" w:fill="auto"/>
            <w:noWrap/>
            <w:vAlign w:val="center"/>
            <w:hideMark/>
          </w:tcPr>
          <w:p w14:paraId="64B5FA4A" w14:textId="1F442E85" w:rsidR="00DD0DA5" w:rsidRPr="000B1F5C" w:rsidRDefault="00DD0DA5" w:rsidP="00D33788">
            <w:pPr>
              <w:spacing w:after="0" w:line="240" w:lineRule="auto"/>
              <w:jc w:val="both"/>
              <w:rPr>
                <w:rFonts w:eastAsia="Calibri"/>
                <w:b/>
                <w:color w:val="4F81BD" w:themeColor="accent1"/>
                <w:sz w:val="20"/>
                <w:szCs w:val="20"/>
              </w:rPr>
            </w:pPr>
            <w:r w:rsidRPr="000B1F5C">
              <w:rPr>
                <w:rFonts w:eastAsia="Calibri"/>
                <w:b/>
                <w:color w:val="4F81BD" w:themeColor="accent1"/>
                <w:sz w:val="20"/>
                <w:szCs w:val="20"/>
              </w:rPr>
              <w:t xml:space="preserve">Tabuľka </w:t>
            </w:r>
            <w:r w:rsidR="000B1F5C" w:rsidRPr="000B1F5C">
              <w:rPr>
                <w:rFonts w:eastAsia="Calibri"/>
                <w:b/>
                <w:color w:val="4F81BD" w:themeColor="accent1"/>
                <w:sz w:val="20"/>
                <w:szCs w:val="20"/>
              </w:rPr>
              <w:t>19</w:t>
            </w:r>
            <w:r w:rsidRPr="000B1F5C">
              <w:rPr>
                <w:rFonts w:eastAsia="Calibri"/>
                <w:b/>
                <w:color w:val="4F81BD" w:themeColor="accent1"/>
                <w:sz w:val="20"/>
                <w:szCs w:val="20"/>
              </w:rPr>
              <w:t xml:space="preserve"> – Vplyv Národného jadrového fondu</w:t>
            </w:r>
            <w:r w:rsidR="000B1F5C" w:rsidRP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sidRP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sidRP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sidRPr="000B1F5C">
              <w:rPr>
                <w:rFonts w:eastAsia="Calibri"/>
                <w:b/>
                <w:color w:val="4F81BD" w:themeColor="accent1"/>
                <w:sz w:val="20"/>
                <w:szCs w:val="20"/>
              </w:rPr>
              <w:t xml:space="preserve">  </w:t>
            </w:r>
            <w:r w:rsidRPr="000B1F5C">
              <w:rPr>
                <w:rFonts w:eastAsia="Calibri"/>
                <w:b/>
                <w:color w:val="4F81BD" w:themeColor="accent1"/>
                <w:sz w:val="20"/>
                <w:szCs w:val="20"/>
              </w:rPr>
              <w:t xml:space="preserve"> </w:t>
            </w:r>
            <w:r w:rsidR="000B1F5C" w:rsidRPr="000B1F5C">
              <w:rPr>
                <w:rFonts w:eastAsia="Calibri"/>
                <w:b/>
                <w:color w:val="4F81BD" w:themeColor="accent1"/>
                <w:sz w:val="20"/>
                <w:szCs w:val="20"/>
              </w:rPr>
              <w:t>v</w:t>
            </w:r>
            <w:r w:rsidR="000B1F5C">
              <w:rPr>
                <w:rFonts w:eastAsia="Calibri"/>
                <w:b/>
                <w:color w:val="4F81BD" w:themeColor="accent1"/>
                <w:sz w:val="20"/>
                <w:szCs w:val="20"/>
              </w:rPr>
              <w:t> </w:t>
            </w:r>
            <w:r w:rsidR="000B1F5C" w:rsidRPr="000B1F5C">
              <w:rPr>
                <w:rFonts w:eastAsia="Calibri"/>
                <w:b/>
                <w:color w:val="4F81BD" w:themeColor="accent1"/>
                <w:sz w:val="20"/>
                <w:szCs w:val="20"/>
              </w:rPr>
              <w:t>%</w:t>
            </w:r>
            <w:r w:rsidR="000B1F5C">
              <w:rPr>
                <w:rFonts w:eastAsia="Calibri"/>
                <w:b/>
                <w:color w:val="4F81BD" w:themeColor="accent1"/>
                <w:sz w:val="20"/>
                <w:szCs w:val="20"/>
              </w:rPr>
              <w:t> </w:t>
            </w:r>
            <w:r w:rsidR="000B1F5C" w:rsidRPr="000B1F5C">
              <w:rPr>
                <w:rFonts w:eastAsia="Calibri"/>
                <w:b/>
                <w:color w:val="4F81BD" w:themeColor="accent1"/>
                <w:sz w:val="20"/>
                <w:szCs w:val="20"/>
              </w:rPr>
              <w:t>HDP</w:t>
            </w:r>
          </w:p>
        </w:tc>
      </w:tr>
      <w:tr w:rsidR="00DD0DA5" w:rsidRPr="005C4C6A" w14:paraId="1E902700" w14:textId="77777777" w:rsidTr="00D33788">
        <w:trPr>
          <w:trHeight w:val="316"/>
        </w:trPr>
        <w:tc>
          <w:tcPr>
            <w:tcW w:w="3744" w:type="dxa"/>
            <w:tcBorders>
              <w:top w:val="single" w:sz="4" w:space="0" w:color="auto"/>
              <w:left w:val="nil"/>
              <w:bottom w:val="single" w:sz="4" w:space="0" w:color="auto"/>
              <w:right w:val="nil"/>
            </w:tcBorders>
            <w:shd w:val="clear" w:color="auto" w:fill="auto"/>
            <w:noWrap/>
            <w:vAlign w:val="center"/>
            <w:hideMark/>
          </w:tcPr>
          <w:p w14:paraId="749771BC" w14:textId="77777777" w:rsidR="00DD0DA5" w:rsidRPr="005C4C6A" w:rsidRDefault="00DD0DA5" w:rsidP="00CA4C99">
            <w:pPr>
              <w:spacing w:after="0" w:line="240" w:lineRule="auto"/>
              <w:jc w:val="center"/>
              <w:rPr>
                <w:color w:val="000000"/>
                <w:sz w:val="18"/>
                <w:szCs w:val="18"/>
                <w:lang w:eastAsia="sk-SK"/>
              </w:rPr>
            </w:pPr>
            <w:r w:rsidRPr="005C4C6A">
              <w:rPr>
                <w:color w:val="000000"/>
                <w:sz w:val="18"/>
                <w:szCs w:val="18"/>
                <w:lang w:eastAsia="sk-SK"/>
              </w:rPr>
              <w:t> </w:t>
            </w:r>
          </w:p>
        </w:tc>
        <w:tc>
          <w:tcPr>
            <w:tcW w:w="619" w:type="dxa"/>
            <w:tcBorders>
              <w:top w:val="single" w:sz="4" w:space="0" w:color="auto"/>
              <w:left w:val="nil"/>
              <w:bottom w:val="single" w:sz="4" w:space="0" w:color="auto"/>
              <w:right w:val="nil"/>
            </w:tcBorders>
            <w:shd w:val="clear" w:color="auto" w:fill="auto"/>
            <w:noWrap/>
            <w:vAlign w:val="center"/>
          </w:tcPr>
          <w:p w14:paraId="70F33CF1" w14:textId="77777777" w:rsidR="00DD0DA5" w:rsidRPr="005C4C6A" w:rsidRDefault="00DD0DA5" w:rsidP="00CA4C99">
            <w:pPr>
              <w:spacing w:after="0" w:line="240" w:lineRule="auto"/>
              <w:jc w:val="center"/>
              <w:rPr>
                <w:b/>
                <w:bCs/>
                <w:color w:val="000000"/>
                <w:sz w:val="18"/>
                <w:szCs w:val="18"/>
                <w:lang w:eastAsia="sk-SK"/>
              </w:rPr>
            </w:pPr>
          </w:p>
        </w:tc>
        <w:tc>
          <w:tcPr>
            <w:tcW w:w="1083" w:type="dxa"/>
            <w:tcBorders>
              <w:top w:val="single" w:sz="4" w:space="0" w:color="auto"/>
              <w:left w:val="nil"/>
              <w:bottom w:val="single" w:sz="4" w:space="0" w:color="auto"/>
              <w:right w:val="nil"/>
            </w:tcBorders>
            <w:shd w:val="clear" w:color="auto" w:fill="auto"/>
            <w:noWrap/>
            <w:vAlign w:val="center"/>
            <w:hideMark/>
          </w:tcPr>
          <w:p w14:paraId="3E75EF4C" w14:textId="77777777" w:rsidR="00DD0DA5" w:rsidRPr="005C4C6A" w:rsidRDefault="00DD0DA5" w:rsidP="00CA4C99">
            <w:pPr>
              <w:spacing w:after="0" w:line="240" w:lineRule="auto"/>
              <w:jc w:val="center"/>
              <w:rPr>
                <w:b/>
                <w:bCs/>
                <w:color w:val="000000"/>
                <w:sz w:val="18"/>
                <w:szCs w:val="18"/>
                <w:lang w:eastAsia="sk-SK"/>
              </w:rPr>
            </w:pPr>
            <w:r w:rsidRPr="005C4C6A">
              <w:rPr>
                <w:b/>
                <w:bCs/>
                <w:color w:val="000000"/>
                <w:sz w:val="18"/>
                <w:szCs w:val="18"/>
                <w:lang w:eastAsia="sk-SK"/>
              </w:rPr>
              <w:t>202</w:t>
            </w:r>
            <w:r>
              <w:rPr>
                <w:b/>
                <w:bCs/>
                <w:color w:val="000000"/>
                <w:sz w:val="18"/>
                <w:szCs w:val="18"/>
                <w:lang w:eastAsia="sk-SK"/>
              </w:rPr>
              <w:t>2</w:t>
            </w:r>
          </w:p>
        </w:tc>
        <w:tc>
          <w:tcPr>
            <w:tcW w:w="1149" w:type="dxa"/>
            <w:tcBorders>
              <w:top w:val="single" w:sz="4" w:space="0" w:color="auto"/>
              <w:left w:val="nil"/>
              <w:bottom w:val="single" w:sz="4" w:space="0" w:color="auto"/>
              <w:right w:val="nil"/>
            </w:tcBorders>
            <w:shd w:val="clear" w:color="auto" w:fill="auto"/>
            <w:noWrap/>
            <w:vAlign w:val="center"/>
            <w:hideMark/>
          </w:tcPr>
          <w:p w14:paraId="4D6A194A" w14:textId="77777777" w:rsidR="00DD0DA5" w:rsidRPr="005C4C6A" w:rsidRDefault="00DD0DA5" w:rsidP="00CA4C99">
            <w:pPr>
              <w:spacing w:after="0" w:line="240" w:lineRule="auto"/>
              <w:jc w:val="center"/>
              <w:rPr>
                <w:b/>
                <w:bCs/>
                <w:color w:val="000000"/>
                <w:sz w:val="18"/>
                <w:szCs w:val="18"/>
                <w:lang w:eastAsia="sk-SK"/>
              </w:rPr>
            </w:pPr>
            <w:r w:rsidRPr="005C4C6A">
              <w:rPr>
                <w:b/>
                <w:bCs/>
                <w:color w:val="000000"/>
                <w:sz w:val="18"/>
                <w:szCs w:val="18"/>
                <w:lang w:eastAsia="sk-SK"/>
              </w:rPr>
              <w:t>2050</w:t>
            </w:r>
          </w:p>
        </w:tc>
        <w:tc>
          <w:tcPr>
            <w:tcW w:w="1012" w:type="dxa"/>
            <w:tcBorders>
              <w:top w:val="single" w:sz="4" w:space="0" w:color="auto"/>
              <w:left w:val="nil"/>
              <w:bottom w:val="single" w:sz="4" w:space="0" w:color="auto"/>
              <w:right w:val="nil"/>
            </w:tcBorders>
            <w:shd w:val="clear" w:color="auto" w:fill="auto"/>
            <w:noWrap/>
            <w:vAlign w:val="center"/>
            <w:hideMark/>
          </w:tcPr>
          <w:p w14:paraId="7A590E2F" w14:textId="77777777" w:rsidR="00DD0DA5" w:rsidRPr="005C4C6A" w:rsidRDefault="00DD0DA5" w:rsidP="00CA4C99">
            <w:pPr>
              <w:spacing w:after="0" w:line="240" w:lineRule="auto"/>
              <w:jc w:val="center"/>
              <w:rPr>
                <w:b/>
                <w:bCs/>
                <w:color w:val="000000"/>
                <w:sz w:val="18"/>
                <w:szCs w:val="18"/>
                <w:lang w:eastAsia="sk-SK"/>
              </w:rPr>
            </w:pPr>
            <w:r w:rsidRPr="005C4C6A">
              <w:rPr>
                <w:b/>
                <w:bCs/>
                <w:color w:val="000000"/>
                <w:sz w:val="18"/>
                <w:szCs w:val="18"/>
                <w:lang w:eastAsia="sk-SK"/>
              </w:rPr>
              <w:t>2100</w:t>
            </w:r>
          </w:p>
        </w:tc>
        <w:tc>
          <w:tcPr>
            <w:tcW w:w="857" w:type="dxa"/>
            <w:tcBorders>
              <w:top w:val="single" w:sz="4" w:space="0" w:color="auto"/>
              <w:left w:val="nil"/>
              <w:bottom w:val="single" w:sz="4" w:space="0" w:color="auto"/>
            </w:tcBorders>
            <w:shd w:val="clear" w:color="auto" w:fill="auto"/>
            <w:noWrap/>
            <w:vAlign w:val="center"/>
            <w:hideMark/>
          </w:tcPr>
          <w:p w14:paraId="45822D44" w14:textId="77777777" w:rsidR="00DD0DA5" w:rsidRPr="005C4C6A" w:rsidRDefault="00DD0DA5" w:rsidP="00CA4C99">
            <w:pPr>
              <w:spacing w:after="0" w:line="240" w:lineRule="auto"/>
              <w:jc w:val="center"/>
              <w:rPr>
                <w:b/>
                <w:bCs/>
                <w:color w:val="000000"/>
                <w:sz w:val="18"/>
                <w:szCs w:val="18"/>
                <w:lang w:eastAsia="sk-SK"/>
              </w:rPr>
            </w:pPr>
            <w:r w:rsidRPr="005C4C6A">
              <w:rPr>
                <w:b/>
                <w:bCs/>
                <w:color w:val="000000"/>
                <w:sz w:val="18"/>
                <w:szCs w:val="18"/>
                <w:lang w:eastAsia="sk-SK"/>
              </w:rPr>
              <w:t>2140</w:t>
            </w:r>
          </w:p>
        </w:tc>
        <w:tc>
          <w:tcPr>
            <w:tcW w:w="860" w:type="dxa"/>
            <w:tcBorders>
              <w:top w:val="single" w:sz="4" w:space="0" w:color="auto"/>
              <w:bottom w:val="single" w:sz="4" w:space="0" w:color="auto"/>
              <w:right w:val="nil"/>
            </w:tcBorders>
            <w:shd w:val="clear" w:color="auto" w:fill="auto"/>
            <w:noWrap/>
            <w:vAlign w:val="center"/>
            <w:hideMark/>
          </w:tcPr>
          <w:p w14:paraId="2E0F5DD9" w14:textId="77777777" w:rsidR="00DD0DA5" w:rsidRPr="005C4C6A" w:rsidRDefault="00DD0DA5" w:rsidP="00CA4C99">
            <w:pPr>
              <w:spacing w:after="0" w:line="240" w:lineRule="auto"/>
              <w:jc w:val="center"/>
              <w:rPr>
                <w:b/>
                <w:bCs/>
                <w:color w:val="000000"/>
                <w:sz w:val="18"/>
                <w:szCs w:val="18"/>
                <w:lang w:eastAsia="sk-SK"/>
              </w:rPr>
            </w:pPr>
            <w:r w:rsidRPr="005C4C6A">
              <w:rPr>
                <w:b/>
                <w:bCs/>
                <w:color w:val="000000"/>
                <w:sz w:val="18"/>
                <w:szCs w:val="18"/>
                <w:lang w:eastAsia="sk-SK"/>
              </w:rPr>
              <w:t>Spolu</w:t>
            </w:r>
          </w:p>
        </w:tc>
      </w:tr>
      <w:tr w:rsidR="00DD0DA5" w:rsidRPr="0062130F" w14:paraId="0BB4C36B" w14:textId="77777777" w:rsidTr="00D33788">
        <w:trPr>
          <w:trHeight w:val="316"/>
        </w:trPr>
        <w:tc>
          <w:tcPr>
            <w:tcW w:w="3744" w:type="dxa"/>
            <w:tcBorders>
              <w:top w:val="single" w:sz="4" w:space="0" w:color="auto"/>
              <w:left w:val="nil"/>
              <w:bottom w:val="single" w:sz="4" w:space="0" w:color="auto"/>
              <w:right w:val="nil"/>
            </w:tcBorders>
            <w:shd w:val="clear" w:color="auto" w:fill="auto"/>
            <w:noWrap/>
            <w:vAlign w:val="center"/>
            <w:hideMark/>
          </w:tcPr>
          <w:p w14:paraId="1B34E453" w14:textId="77777777" w:rsidR="00DD0DA5" w:rsidRPr="005C4C6A" w:rsidRDefault="00DD0DA5" w:rsidP="00CA4C99">
            <w:pPr>
              <w:spacing w:after="0" w:line="240" w:lineRule="auto"/>
              <w:rPr>
                <w:color w:val="000000"/>
                <w:sz w:val="18"/>
                <w:szCs w:val="18"/>
                <w:lang w:eastAsia="sk-SK"/>
              </w:rPr>
            </w:pPr>
            <w:r w:rsidRPr="005C4C6A">
              <w:rPr>
                <w:color w:val="000000"/>
                <w:sz w:val="18"/>
                <w:szCs w:val="18"/>
                <w:lang w:eastAsia="sk-SK"/>
              </w:rPr>
              <w:t>Vplyv NJF na saldo</w:t>
            </w:r>
          </w:p>
        </w:tc>
        <w:tc>
          <w:tcPr>
            <w:tcW w:w="619" w:type="dxa"/>
            <w:tcBorders>
              <w:top w:val="single" w:sz="4" w:space="0" w:color="auto"/>
              <w:left w:val="nil"/>
              <w:bottom w:val="single" w:sz="4" w:space="0" w:color="auto"/>
              <w:right w:val="nil"/>
            </w:tcBorders>
            <w:shd w:val="clear" w:color="auto" w:fill="auto"/>
            <w:noWrap/>
            <w:vAlign w:val="center"/>
          </w:tcPr>
          <w:p w14:paraId="5727F5E7" w14:textId="77777777" w:rsidR="00DD0DA5" w:rsidRPr="005C4C6A" w:rsidRDefault="00DD0DA5" w:rsidP="00CA4C99">
            <w:pPr>
              <w:spacing w:after="0" w:line="240" w:lineRule="auto"/>
              <w:rPr>
                <w:rFonts w:eastAsia="Calibri"/>
                <w:bCs/>
                <w:color w:val="000000"/>
                <w:sz w:val="18"/>
                <w:szCs w:val="18"/>
              </w:rPr>
            </w:pPr>
          </w:p>
        </w:tc>
        <w:tc>
          <w:tcPr>
            <w:tcW w:w="1083" w:type="dxa"/>
            <w:tcBorders>
              <w:top w:val="single" w:sz="4" w:space="0" w:color="auto"/>
              <w:left w:val="nil"/>
              <w:bottom w:val="single" w:sz="4" w:space="0" w:color="auto"/>
              <w:right w:val="nil"/>
            </w:tcBorders>
            <w:shd w:val="clear" w:color="auto" w:fill="auto"/>
            <w:noWrap/>
            <w:vAlign w:val="center"/>
            <w:hideMark/>
          </w:tcPr>
          <w:p w14:paraId="33119023" w14:textId="77777777" w:rsidR="00DD0DA5" w:rsidRPr="005C4C6A" w:rsidRDefault="00DD0DA5" w:rsidP="00CA4C99">
            <w:pPr>
              <w:spacing w:after="0" w:line="240" w:lineRule="auto"/>
              <w:jc w:val="center"/>
              <w:rPr>
                <w:rFonts w:eastAsia="Calibri"/>
                <w:bCs/>
                <w:color w:val="000000"/>
                <w:sz w:val="18"/>
                <w:szCs w:val="18"/>
              </w:rPr>
            </w:pPr>
            <w:r>
              <w:rPr>
                <w:rFonts w:eastAsia="Calibri"/>
                <w:bCs/>
                <w:color w:val="000000"/>
                <w:sz w:val="18"/>
                <w:szCs w:val="18"/>
              </w:rPr>
              <w:t>-0,01</w:t>
            </w:r>
          </w:p>
        </w:tc>
        <w:tc>
          <w:tcPr>
            <w:tcW w:w="1149" w:type="dxa"/>
            <w:tcBorders>
              <w:top w:val="single" w:sz="4" w:space="0" w:color="auto"/>
              <w:left w:val="nil"/>
              <w:bottom w:val="single" w:sz="4" w:space="0" w:color="auto"/>
              <w:right w:val="nil"/>
            </w:tcBorders>
            <w:shd w:val="clear" w:color="auto" w:fill="auto"/>
            <w:noWrap/>
            <w:vAlign w:val="center"/>
            <w:hideMark/>
          </w:tcPr>
          <w:p w14:paraId="43D353CC" w14:textId="77777777" w:rsidR="00DD0DA5" w:rsidRPr="005C4C6A" w:rsidRDefault="00DD0DA5" w:rsidP="00CA4C99">
            <w:pPr>
              <w:spacing w:after="0" w:line="240" w:lineRule="auto"/>
              <w:jc w:val="center"/>
              <w:rPr>
                <w:rFonts w:eastAsia="Calibri"/>
                <w:bCs/>
                <w:color w:val="000000"/>
                <w:sz w:val="18"/>
                <w:szCs w:val="18"/>
              </w:rPr>
            </w:pPr>
            <w:r w:rsidRPr="005C4C6A">
              <w:rPr>
                <w:rFonts w:eastAsia="Calibri"/>
                <w:bCs/>
                <w:color w:val="000000"/>
                <w:sz w:val="18"/>
                <w:szCs w:val="18"/>
              </w:rPr>
              <w:t>-</w:t>
            </w:r>
            <w:r>
              <w:rPr>
                <w:rFonts w:eastAsia="Calibri"/>
                <w:bCs/>
                <w:color w:val="000000"/>
                <w:sz w:val="18"/>
                <w:szCs w:val="18"/>
              </w:rPr>
              <w:t>0,11</w:t>
            </w:r>
          </w:p>
        </w:tc>
        <w:tc>
          <w:tcPr>
            <w:tcW w:w="1012" w:type="dxa"/>
            <w:tcBorders>
              <w:top w:val="single" w:sz="4" w:space="0" w:color="auto"/>
              <w:left w:val="nil"/>
              <w:bottom w:val="single" w:sz="4" w:space="0" w:color="auto"/>
              <w:right w:val="nil"/>
            </w:tcBorders>
            <w:shd w:val="clear" w:color="auto" w:fill="auto"/>
            <w:noWrap/>
            <w:vAlign w:val="center"/>
            <w:hideMark/>
          </w:tcPr>
          <w:p w14:paraId="1D42A515" w14:textId="77777777" w:rsidR="00DD0DA5" w:rsidRPr="005C4C6A" w:rsidRDefault="00DD0DA5" w:rsidP="00CA4C99">
            <w:pPr>
              <w:spacing w:after="0" w:line="240" w:lineRule="auto"/>
              <w:jc w:val="center"/>
              <w:rPr>
                <w:rFonts w:eastAsia="Calibri"/>
                <w:bCs/>
                <w:color w:val="000000"/>
                <w:sz w:val="18"/>
                <w:szCs w:val="18"/>
              </w:rPr>
            </w:pPr>
            <w:r>
              <w:rPr>
                <w:rFonts w:eastAsia="Calibri"/>
                <w:bCs/>
                <w:color w:val="000000"/>
                <w:sz w:val="18"/>
                <w:szCs w:val="18"/>
              </w:rPr>
              <w:t>0,02</w:t>
            </w:r>
          </w:p>
        </w:tc>
        <w:tc>
          <w:tcPr>
            <w:tcW w:w="857" w:type="dxa"/>
            <w:tcBorders>
              <w:top w:val="single" w:sz="4" w:space="0" w:color="auto"/>
              <w:left w:val="nil"/>
              <w:bottom w:val="single" w:sz="4" w:space="0" w:color="auto"/>
            </w:tcBorders>
            <w:shd w:val="clear" w:color="auto" w:fill="auto"/>
            <w:noWrap/>
            <w:vAlign w:val="center"/>
            <w:hideMark/>
          </w:tcPr>
          <w:p w14:paraId="20C3E6A8" w14:textId="77777777" w:rsidR="00DD0DA5" w:rsidRPr="005C4C6A" w:rsidRDefault="00DD0DA5" w:rsidP="00CA4C99">
            <w:pPr>
              <w:spacing w:after="0" w:line="240" w:lineRule="auto"/>
              <w:jc w:val="center"/>
              <w:rPr>
                <w:rFonts w:eastAsia="Calibri"/>
                <w:bCs/>
                <w:color w:val="000000"/>
                <w:sz w:val="18"/>
                <w:szCs w:val="18"/>
              </w:rPr>
            </w:pPr>
            <w:r w:rsidRPr="005C4C6A">
              <w:rPr>
                <w:rFonts w:eastAsia="Calibri"/>
                <w:bCs/>
                <w:color w:val="000000"/>
                <w:sz w:val="18"/>
                <w:szCs w:val="18"/>
              </w:rPr>
              <w:t>0,00</w:t>
            </w:r>
          </w:p>
        </w:tc>
        <w:tc>
          <w:tcPr>
            <w:tcW w:w="860" w:type="dxa"/>
            <w:tcBorders>
              <w:top w:val="single" w:sz="4" w:space="0" w:color="auto"/>
              <w:bottom w:val="single" w:sz="4" w:space="0" w:color="auto"/>
              <w:right w:val="nil"/>
            </w:tcBorders>
            <w:shd w:val="clear" w:color="auto" w:fill="auto"/>
            <w:noWrap/>
            <w:vAlign w:val="center"/>
            <w:hideMark/>
          </w:tcPr>
          <w:p w14:paraId="16746E36" w14:textId="77777777" w:rsidR="00DD0DA5" w:rsidRPr="005C4C6A" w:rsidRDefault="00DD0DA5" w:rsidP="00CA4C99">
            <w:pPr>
              <w:spacing w:after="0" w:line="240" w:lineRule="auto"/>
              <w:jc w:val="center"/>
              <w:rPr>
                <w:rFonts w:eastAsia="Calibri"/>
                <w:b/>
                <w:bCs/>
                <w:color w:val="000000"/>
                <w:sz w:val="18"/>
                <w:szCs w:val="18"/>
              </w:rPr>
            </w:pPr>
            <w:r>
              <w:rPr>
                <w:rFonts w:eastAsia="Calibri"/>
                <w:b/>
                <w:bCs/>
                <w:color w:val="000000"/>
                <w:sz w:val="18"/>
                <w:szCs w:val="18"/>
              </w:rPr>
              <w:t>-4,3</w:t>
            </w:r>
          </w:p>
        </w:tc>
      </w:tr>
    </w:tbl>
    <w:p w14:paraId="30B9A362" w14:textId="77777777" w:rsidR="00DD0DA5" w:rsidRPr="005C4C6A" w:rsidRDefault="00DD0DA5" w:rsidP="00DD0DA5">
      <w:pPr>
        <w:autoSpaceDE w:val="0"/>
        <w:autoSpaceDN w:val="0"/>
        <w:adjustRightInd w:val="0"/>
        <w:spacing w:after="0" w:line="288" w:lineRule="auto"/>
        <w:jc w:val="both"/>
        <w:rPr>
          <w:rFonts w:eastAsia="Calibri"/>
          <w:szCs w:val="22"/>
        </w:rPr>
      </w:pPr>
      <w:r>
        <w:rPr>
          <w:i/>
          <w:color w:val="000000"/>
          <w:sz w:val="16"/>
          <w:szCs w:val="18"/>
          <w:lang w:eastAsia="sk-SK"/>
        </w:rPr>
        <w:t>Pozn.: Diskontované k roku 2022.</w:t>
      </w:r>
      <w:r>
        <w:rPr>
          <w:color w:val="000000"/>
          <w:sz w:val="16"/>
          <w:szCs w:val="18"/>
          <w:lang w:eastAsia="sk-SK"/>
        </w:rPr>
        <w:tab/>
      </w:r>
      <w:r>
        <w:rPr>
          <w:color w:val="000000"/>
          <w:sz w:val="16"/>
          <w:szCs w:val="18"/>
          <w:lang w:eastAsia="sk-SK"/>
        </w:rPr>
        <w:tab/>
      </w:r>
      <w:r>
        <w:rPr>
          <w:color w:val="000000"/>
          <w:sz w:val="16"/>
          <w:szCs w:val="18"/>
          <w:lang w:eastAsia="sk-SK"/>
        </w:rPr>
        <w:tab/>
      </w:r>
      <w:r>
        <w:rPr>
          <w:color w:val="000000"/>
          <w:sz w:val="16"/>
          <w:szCs w:val="18"/>
          <w:lang w:eastAsia="sk-SK"/>
        </w:rPr>
        <w:tab/>
      </w:r>
      <w:r>
        <w:rPr>
          <w:color w:val="000000"/>
          <w:sz w:val="16"/>
          <w:szCs w:val="18"/>
          <w:lang w:eastAsia="sk-SK"/>
        </w:rPr>
        <w:tab/>
      </w:r>
      <w:r>
        <w:rPr>
          <w:color w:val="000000"/>
          <w:sz w:val="16"/>
          <w:szCs w:val="18"/>
          <w:lang w:eastAsia="sk-SK"/>
        </w:rPr>
        <w:tab/>
      </w:r>
      <w:r>
        <w:rPr>
          <w:color w:val="000000"/>
          <w:sz w:val="16"/>
          <w:szCs w:val="18"/>
          <w:lang w:eastAsia="sk-SK"/>
        </w:rPr>
        <w:tab/>
      </w:r>
      <w:r>
        <w:rPr>
          <w:color w:val="000000"/>
          <w:sz w:val="16"/>
          <w:szCs w:val="18"/>
          <w:lang w:eastAsia="sk-SK"/>
        </w:rPr>
        <w:tab/>
        <w:t xml:space="preserve">         </w:t>
      </w:r>
      <w:r w:rsidRPr="005C4C6A">
        <w:rPr>
          <w:i/>
          <w:color w:val="000000"/>
          <w:sz w:val="16"/>
          <w:szCs w:val="18"/>
          <w:lang w:eastAsia="sk-SK"/>
        </w:rPr>
        <w:t>Zdroj: MF SR</w:t>
      </w:r>
    </w:p>
    <w:p w14:paraId="5CBDB354" w14:textId="375CB833" w:rsidR="00DD0DA5" w:rsidRPr="003E67F4" w:rsidRDefault="00DD0DA5" w:rsidP="00DB7EF3">
      <w:pPr>
        <w:spacing w:before="120" w:after="120" w:line="240" w:lineRule="auto"/>
        <w:jc w:val="both"/>
      </w:pPr>
      <w:r>
        <w:rPr>
          <w:b/>
        </w:rPr>
        <w:lastRenderedPageBreak/>
        <w:t xml:space="preserve">Od roku 2020 medzi implicitné záväzky MF SR zaraďuje aj platby, </w:t>
      </w:r>
      <w:r w:rsidRPr="003E67F4">
        <w:rPr>
          <w:b/>
        </w:rPr>
        <w:t xml:space="preserve">ktoré SR odvedie do rozpočtu EÚ formou vyššieho odvodu za zdroje získane z nástroja </w:t>
      </w:r>
      <w:proofErr w:type="spellStart"/>
      <w:r w:rsidRPr="003E67F4">
        <w:rPr>
          <w:b/>
        </w:rPr>
        <w:t>Next</w:t>
      </w:r>
      <w:proofErr w:type="spellEnd"/>
      <w:r w:rsidRPr="003E67F4">
        <w:rPr>
          <w:b/>
        </w:rPr>
        <w:t xml:space="preserve"> </w:t>
      </w:r>
      <w:proofErr w:type="spellStart"/>
      <w:r w:rsidRPr="003E67F4">
        <w:rPr>
          <w:b/>
        </w:rPr>
        <w:t>Generation</w:t>
      </w:r>
      <w:proofErr w:type="spellEnd"/>
      <w:r w:rsidRPr="003E67F4">
        <w:rPr>
          <w:b/>
        </w:rPr>
        <w:t xml:space="preserve"> EU.</w:t>
      </w:r>
      <w:r w:rsidRPr="003E67F4">
        <w:t xml:space="preserve"> Balíkom sa v nasledujúcich rokoch podporia najmä investície do zelenej a digitálnej transformácie. Finančné prostriedky na zabezpečenie týchto grantov získa</w:t>
      </w:r>
      <w:r>
        <w:t>la</w:t>
      </w:r>
      <w:r w:rsidRPr="003E67F4">
        <w:t xml:space="preserve"> priamo EÚ. Dohoda predpokladá, že ich splácanie sa začne najskôr v roku 2028 a bude trvať maximálne do roku 2058. Splácanie istiny a úrokových platieb sa následne prejaví v budúcich príspevkoch členských štátov do rozpočtu EÚ</w:t>
      </w:r>
      <w:r>
        <w:t>. Ak by sa zdroje pre NGEU financovali zo zavedenia nových celoeurópskych daní</w:t>
      </w:r>
      <w:r>
        <w:rPr>
          <w:rStyle w:val="Odkaznapoznmkupodiarou"/>
        </w:rPr>
        <w:footnoteReference w:id="43"/>
      </w:r>
      <w:r>
        <w:t>, vplyv NGEU na implicitné záväzky by sa neutralizoval</w:t>
      </w:r>
      <w:r w:rsidRPr="003E67F4">
        <w:t xml:space="preserve">. Slovensko </w:t>
      </w:r>
      <w:r>
        <w:t xml:space="preserve">v aktuálnych predpokladoch </w:t>
      </w:r>
      <w:r w:rsidRPr="003E67F4">
        <w:t xml:space="preserve">rozpočtu </w:t>
      </w:r>
      <w:r>
        <w:t>očakáva</w:t>
      </w:r>
      <w:r w:rsidRPr="003E67F4">
        <w:t xml:space="preserve"> vyššie odvody, ktoré v súčasnom vyjadrení </w:t>
      </w:r>
      <w:r>
        <w:t>zvyšujú implicitné záväzky o 3,5</w:t>
      </w:r>
      <w:r w:rsidRPr="003E67F4">
        <w:t xml:space="preserve"> % HDP.</w:t>
      </w:r>
      <w:r>
        <w:t xml:space="preserve"> Oproti minulému roku s</w:t>
      </w:r>
      <w:r w:rsidR="00761D38">
        <w:t>a vplyv na záväzky znížil o 0,4 </w:t>
      </w:r>
      <w:r>
        <w:t>p. b. HDP pod výlučným vplyvom aktualizácie makroekonomických vstupov.</w:t>
      </w:r>
    </w:p>
    <w:tbl>
      <w:tblPr>
        <w:tblW w:w="9342" w:type="dxa"/>
        <w:tblLayout w:type="fixed"/>
        <w:tblLook w:val="04A0" w:firstRow="1" w:lastRow="0" w:firstColumn="1" w:lastColumn="0" w:noHBand="0" w:noVBand="1"/>
      </w:tblPr>
      <w:tblGrid>
        <w:gridCol w:w="3549"/>
        <w:gridCol w:w="893"/>
        <w:gridCol w:w="893"/>
        <w:gridCol w:w="893"/>
        <w:gridCol w:w="893"/>
        <w:gridCol w:w="893"/>
        <w:gridCol w:w="1328"/>
      </w:tblGrid>
      <w:tr w:rsidR="000B1F5C" w:rsidRPr="000B1F5C" w14:paraId="2510AFBB" w14:textId="77777777" w:rsidTr="00D33788">
        <w:trPr>
          <w:trHeight w:val="317"/>
        </w:trPr>
        <w:tc>
          <w:tcPr>
            <w:tcW w:w="9342" w:type="dxa"/>
            <w:gridSpan w:val="7"/>
            <w:tcBorders>
              <w:bottom w:val="single" w:sz="4" w:space="0" w:color="auto"/>
            </w:tcBorders>
            <w:shd w:val="clear" w:color="auto" w:fill="auto"/>
            <w:vAlign w:val="center"/>
          </w:tcPr>
          <w:p w14:paraId="7495775A" w14:textId="1058534E" w:rsidR="00DD0DA5" w:rsidRPr="000B1F5C" w:rsidRDefault="00DD0DA5" w:rsidP="00D33788">
            <w:pPr>
              <w:spacing w:after="0" w:line="240" w:lineRule="auto"/>
              <w:rPr>
                <w:rFonts w:eastAsia="Calibri"/>
                <w:b/>
                <w:color w:val="4F81BD" w:themeColor="accent1"/>
                <w:sz w:val="20"/>
                <w:szCs w:val="20"/>
              </w:rPr>
            </w:pPr>
            <w:r w:rsidRPr="000B1F5C">
              <w:rPr>
                <w:rFonts w:eastAsia="Calibri"/>
                <w:b/>
                <w:color w:val="4F81BD" w:themeColor="accent1"/>
                <w:sz w:val="20"/>
                <w:szCs w:val="20"/>
              </w:rPr>
              <w:t xml:space="preserve">Tabuľka </w:t>
            </w:r>
            <w:r w:rsidR="000B1F5C" w:rsidRPr="000B1F5C">
              <w:rPr>
                <w:rFonts w:eastAsia="Calibri"/>
                <w:b/>
                <w:color w:val="4F81BD" w:themeColor="accent1"/>
                <w:sz w:val="20"/>
                <w:szCs w:val="20"/>
              </w:rPr>
              <w:t>20</w:t>
            </w:r>
            <w:r w:rsidRPr="000B1F5C">
              <w:rPr>
                <w:rFonts w:eastAsia="Calibri"/>
                <w:b/>
                <w:color w:val="4F81BD" w:themeColor="accent1"/>
                <w:sz w:val="20"/>
                <w:szCs w:val="20"/>
              </w:rPr>
              <w:t xml:space="preserve"> – Vplyv Plánu obnovy</w:t>
            </w:r>
            <w:r w:rsidR="000B1F5C">
              <w:rPr>
                <w:rFonts w:eastAsia="Calibri"/>
                <w:b/>
                <w:color w:val="4F81BD" w:themeColor="accent1"/>
                <w:sz w:val="20"/>
                <w:szCs w:val="20"/>
              </w:rPr>
              <w:t xml:space="preserve">                                                                                         </w:t>
            </w:r>
            <w:r w:rsidR="00D33788">
              <w:rPr>
                <w:rFonts w:eastAsia="Calibri"/>
                <w:b/>
                <w:color w:val="4F81BD" w:themeColor="accent1"/>
                <w:sz w:val="20"/>
                <w:szCs w:val="20"/>
              </w:rPr>
              <w:t xml:space="preserve">       </w:t>
            </w:r>
            <w:r w:rsidR="000B1F5C">
              <w:rPr>
                <w:rFonts w:eastAsia="Calibri"/>
                <w:b/>
                <w:color w:val="4F81BD" w:themeColor="accent1"/>
                <w:sz w:val="20"/>
                <w:szCs w:val="20"/>
              </w:rPr>
              <w:t xml:space="preserve">       </w:t>
            </w:r>
            <w:r w:rsidRPr="000B1F5C">
              <w:rPr>
                <w:rFonts w:eastAsia="Calibri"/>
                <w:b/>
                <w:color w:val="4F81BD" w:themeColor="accent1"/>
                <w:sz w:val="20"/>
                <w:szCs w:val="20"/>
              </w:rPr>
              <w:t xml:space="preserve"> </w:t>
            </w:r>
            <w:r w:rsidR="000B1F5C">
              <w:rPr>
                <w:rFonts w:eastAsia="Calibri"/>
                <w:b/>
                <w:color w:val="4F81BD" w:themeColor="accent1"/>
                <w:sz w:val="20"/>
                <w:szCs w:val="20"/>
              </w:rPr>
              <w:t xml:space="preserve">   </w:t>
            </w:r>
            <w:r w:rsidRPr="000B1F5C">
              <w:rPr>
                <w:rFonts w:eastAsia="Calibri"/>
                <w:b/>
                <w:color w:val="4F81BD" w:themeColor="accent1"/>
                <w:sz w:val="20"/>
                <w:szCs w:val="20"/>
              </w:rPr>
              <w:t>v</w:t>
            </w:r>
            <w:r w:rsidR="000B1F5C">
              <w:rPr>
                <w:rFonts w:eastAsia="Calibri"/>
                <w:b/>
                <w:color w:val="4F81BD" w:themeColor="accent1"/>
                <w:sz w:val="20"/>
                <w:szCs w:val="20"/>
              </w:rPr>
              <w:t> </w:t>
            </w:r>
            <w:r w:rsidRPr="000B1F5C">
              <w:rPr>
                <w:rFonts w:eastAsia="Calibri"/>
                <w:b/>
                <w:color w:val="4F81BD" w:themeColor="accent1"/>
                <w:sz w:val="20"/>
                <w:szCs w:val="20"/>
              </w:rPr>
              <w:t>%</w:t>
            </w:r>
            <w:r w:rsidR="000B1F5C">
              <w:rPr>
                <w:rFonts w:eastAsia="Calibri"/>
                <w:b/>
                <w:color w:val="4F81BD" w:themeColor="accent1"/>
                <w:sz w:val="20"/>
                <w:szCs w:val="20"/>
              </w:rPr>
              <w:t> </w:t>
            </w:r>
            <w:r w:rsidRPr="000B1F5C">
              <w:rPr>
                <w:rFonts w:eastAsia="Calibri"/>
                <w:b/>
                <w:color w:val="4F81BD" w:themeColor="accent1"/>
                <w:sz w:val="20"/>
                <w:szCs w:val="20"/>
              </w:rPr>
              <w:t>HDP</w:t>
            </w:r>
          </w:p>
        </w:tc>
      </w:tr>
      <w:tr w:rsidR="00DD0DA5" w:rsidRPr="00DC1011" w14:paraId="583FFDF4" w14:textId="77777777" w:rsidTr="00D33788">
        <w:trPr>
          <w:trHeight w:val="177"/>
        </w:trPr>
        <w:tc>
          <w:tcPr>
            <w:tcW w:w="3549" w:type="dxa"/>
            <w:tcBorders>
              <w:top w:val="single" w:sz="4" w:space="0" w:color="auto"/>
              <w:bottom w:val="single" w:sz="4" w:space="0" w:color="auto"/>
            </w:tcBorders>
            <w:shd w:val="clear" w:color="auto" w:fill="auto"/>
            <w:noWrap/>
            <w:vAlign w:val="center"/>
            <w:hideMark/>
          </w:tcPr>
          <w:p w14:paraId="0C32727A" w14:textId="77777777" w:rsidR="00DD0DA5" w:rsidRPr="00DC1011" w:rsidRDefault="00DD0DA5" w:rsidP="00CA4C99">
            <w:pPr>
              <w:spacing w:after="0" w:line="240" w:lineRule="auto"/>
              <w:jc w:val="center"/>
              <w:rPr>
                <w:color w:val="000000"/>
                <w:sz w:val="18"/>
                <w:szCs w:val="20"/>
              </w:rPr>
            </w:pPr>
            <w:r w:rsidRPr="00DC1011">
              <w:rPr>
                <w:color w:val="000000"/>
                <w:sz w:val="18"/>
                <w:szCs w:val="20"/>
              </w:rPr>
              <w:t> </w:t>
            </w:r>
          </w:p>
        </w:tc>
        <w:tc>
          <w:tcPr>
            <w:tcW w:w="893" w:type="dxa"/>
            <w:tcBorders>
              <w:top w:val="single" w:sz="4" w:space="0" w:color="auto"/>
              <w:bottom w:val="single" w:sz="4" w:space="0" w:color="auto"/>
            </w:tcBorders>
            <w:shd w:val="clear" w:color="auto" w:fill="auto"/>
            <w:noWrap/>
            <w:vAlign w:val="center"/>
            <w:hideMark/>
          </w:tcPr>
          <w:p w14:paraId="065E681F" w14:textId="77777777" w:rsidR="00DD0DA5" w:rsidRPr="00DC1011" w:rsidRDefault="00DD0DA5" w:rsidP="00CA4C99">
            <w:pPr>
              <w:spacing w:after="0" w:line="240" w:lineRule="auto"/>
              <w:jc w:val="center"/>
              <w:rPr>
                <w:b/>
                <w:bCs/>
                <w:color w:val="000000"/>
                <w:sz w:val="18"/>
                <w:szCs w:val="20"/>
              </w:rPr>
            </w:pPr>
            <w:r>
              <w:rPr>
                <w:b/>
                <w:sz w:val="18"/>
                <w:szCs w:val="20"/>
              </w:rPr>
              <w:t>2022</w:t>
            </w:r>
          </w:p>
        </w:tc>
        <w:tc>
          <w:tcPr>
            <w:tcW w:w="893" w:type="dxa"/>
            <w:tcBorders>
              <w:top w:val="single" w:sz="4" w:space="0" w:color="auto"/>
              <w:bottom w:val="single" w:sz="4" w:space="0" w:color="auto"/>
            </w:tcBorders>
            <w:shd w:val="clear" w:color="auto" w:fill="auto"/>
            <w:noWrap/>
            <w:vAlign w:val="center"/>
            <w:hideMark/>
          </w:tcPr>
          <w:p w14:paraId="6ECD30C5" w14:textId="77777777" w:rsidR="00DD0DA5" w:rsidRPr="00DC1011" w:rsidRDefault="00DD0DA5" w:rsidP="00CA4C99">
            <w:pPr>
              <w:spacing w:after="0" w:line="240" w:lineRule="auto"/>
              <w:jc w:val="center"/>
              <w:rPr>
                <w:b/>
                <w:bCs/>
                <w:color w:val="000000"/>
                <w:sz w:val="18"/>
                <w:szCs w:val="20"/>
              </w:rPr>
            </w:pPr>
            <w:r w:rsidRPr="00DC1011">
              <w:rPr>
                <w:b/>
                <w:sz w:val="18"/>
                <w:szCs w:val="20"/>
              </w:rPr>
              <w:t>2030</w:t>
            </w:r>
          </w:p>
        </w:tc>
        <w:tc>
          <w:tcPr>
            <w:tcW w:w="893" w:type="dxa"/>
            <w:tcBorders>
              <w:top w:val="single" w:sz="4" w:space="0" w:color="auto"/>
              <w:bottom w:val="single" w:sz="4" w:space="0" w:color="auto"/>
            </w:tcBorders>
            <w:shd w:val="clear" w:color="auto" w:fill="auto"/>
            <w:noWrap/>
            <w:vAlign w:val="center"/>
            <w:hideMark/>
          </w:tcPr>
          <w:p w14:paraId="50D4E8A8" w14:textId="77777777" w:rsidR="00DD0DA5" w:rsidRPr="00DC1011" w:rsidRDefault="00DD0DA5" w:rsidP="00CA4C99">
            <w:pPr>
              <w:spacing w:after="0" w:line="240" w:lineRule="auto"/>
              <w:jc w:val="center"/>
              <w:rPr>
                <w:b/>
                <w:bCs/>
                <w:color w:val="000000"/>
                <w:sz w:val="18"/>
                <w:szCs w:val="20"/>
              </w:rPr>
            </w:pPr>
            <w:r w:rsidRPr="00DC1011">
              <w:rPr>
                <w:b/>
                <w:sz w:val="18"/>
                <w:szCs w:val="20"/>
              </w:rPr>
              <w:t>2040</w:t>
            </w:r>
          </w:p>
        </w:tc>
        <w:tc>
          <w:tcPr>
            <w:tcW w:w="893" w:type="dxa"/>
            <w:tcBorders>
              <w:top w:val="single" w:sz="4" w:space="0" w:color="auto"/>
              <w:bottom w:val="single" w:sz="4" w:space="0" w:color="auto"/>
            </w:tcBorders>
            <w:shd w:val="clear" w:color="auto" w:fill="auto"/>
            <w:noWrap/>
            <w:vAlign w:val="center"/>
            <w:hideMark/>
          </w:tcPr>
          <w:p w14:paraId="12EE4EE0" w14:textId="77777777" w:rsidR="00DD0DA5" w:rsidRPr="00DC1011" w:rsidRDefault="00DD0DA5" w:rsidP="00CA4C99">
            <w:pPr>
              <w:spacing w:after="0" w:line="240" w:lineRule="auto"/>
              <w:jc w:val="center"/>
              <w:rPr>
                <w:b/>
                <w:bCs/>
                <w:color w:val="000000"/>
                <w:sz w:val="18"/>
                <w:szCs w:val="20"/>
              </w:rPr>
            </w:pPr>
            <w:r w:rsidRPr="00DC1011">
              <w:rPr>
                <w:b/>
                <w:sz w:val="18"/>
                <w:szCs w:val="20"/>
              </w:rPr>
              <w:t>2050</w:t>
            </w:r>
          </w:p>
        </w:tc>
        <w:tc>
          <w:tcPr>
            <w:tcW w:w="893" w:type="dxa"/>
            <w:tcBorders>
              <w:top w:val="single" w:sz="4" w:space="0" w:color="auto"/>
              <w:bottom w:val="single" w:sz="4" w:space="0" w:color="auto"/>
            </w:tcBorders>
            <w:shd w:val="clear" w:color="auto" w:fill="auto"/>
          </w:tcPr>
          <w:p w14:paraId="5B5492AF" w14:textId="77777777" w:rsidR="00DD0DA5" w:rsidRPr="00DC1011" w:rsidRDefault="00DD0DA5" w:rsidP="00CA4C99">
            <w:pPr>
              <w:spacing w:after="0" w:line="240" w:lineRule="auto"/>
              <w:jc w:val="center"/>
              <w:rPr>
                <w:b/>
                <w:sz w:val="18"/>
                <w:szCs w:val="20"/>
              </w:rPr>
            </w:pPr>
            <w:r w:rsidRPr="00DC1011">
              <w:rPr>
                <w:b/>
                <w:sz w:val="18"/>
                <w:szCs w:val="20"/>
              </w:rPr>
              <w:t>2058</w:t>
            </w:r>
          </w:p>
        </w:tc>
        <w:tc>
          <w:tcPr>
            <w:tcW w:w="1326" w:type="dxa"/>
            <w:tcBorders>
              <w:top w:val="single" w:sz="4" w:space="0" w:color="auto"/>
              <w:bottom w:val="single" w:sz="4" w:space="0" w:color="auto"/>
            </w:tcBorders>
            <w:shd w:val="clear" w:color="auto" w:fill="auto"/>
            <w:noWrap/>
            <w:vAlign w:val="center"/>
          </w:tcPr>
          <w:p w14:paraId="568C1CF6" w14:textId="77777777" w:rsidR="00DD0DA5" w:rsidRPr="00DC1011" w:rsidRDefault="00DD0DA5" w:rsidP="00CA4C99">
            <w:pPr>
              <w:spacing w:after="0" w:line="240" w:lineRule="auto"/>
              <w:jc w:val="center"/>
              <w:rPr>
                <w:b/>
                <w:bCs/>
                <w:color w:val="000000"/>
                <w:sz w:val="18"/>
                <w:szCs w:val="20"/>
              </w:rPr>
            </w:pPr>
            <w:r w:rsidRPr="00DC1011">
              <w:rPr>
                <w:b/>
                <w:sz w:val="18"/>
                <w:szCs w:val="20"/>
              </w:rPr>
              <w:t>Spolu</w:t>
            </w:r>
          </w:p>
        </w:tc>
      </w:tr>
      <w:tr w:rsidR="00DD0DA5" w:rsidRPr="00DC1011" w14:paraId="37E6D695" w14:textId="77777777" w:rsidTr="00D33788">
        <w:trPr>
          <w:trHeight w:val="317"/>
        </w:trPr>
        <w:tc>
          <w:tcPr>
            <w:tcW w:w="3549" w:type="dxa"/>
            <w:tcBorders>
              <w:top w:val="single" w:sz="4" w:space="0" w:color="auto"/>
              <w:bottom w:val="single" w:sz="4" w:space="0" w:color="auto"/>
            </w:tcBorders>
            <w:shd w:val="clear" w:color="auto" w:fill="auto"/>
            <w:noWrap/>
            <w:vAlign w:val="center"/>
            <w:hideMark/>
          </w:tcPr>
          <w:p w14:paraId="29FE6BC2" w14:textId="77777777" w:rsidR="00DD0DA5" w:rsidRPr="00DC1011" w:rsidRDefault="00DD0DA5" w:rsidP="00CA4C99">
            <w:pPr>
              <w:spacing w:after="0" w:line="240" w:lineRule="auto"/>
              <w:rPr>
                <w:color w:val="000000"/>
                <w:sz w:val="18"/>
                <w:szCs w:val="20"/>
              </w:rPr>
            </w:pPr>
            <w:r w:rsidRPr="00DC1011">
              <w:rPr>
                <w:color w:val="000000"/>
                <w:sz w:val="18"/>
                <w:szCs w:val="20"/>
              </w:rPr>
              <w:t xml:space="preserve">Vplyv </w:t>
            </w:r>
            <w:r>
              <w:rPr>
                <w:color w:val="000000"/>
                <w:sz w:val="18"/>
                <w:szCs w:val="20"/>
              </w:rPr>
              <w:t xml:space="preserve">Plánu obnovy </w:t>
            </w:r>
            <w:r w:rsidRPr="00DC1011">
              <w:rPr>
                <w:color w:val="000000"/>
                <w:sz w:val="18"/>
                <w:szCs w:val="20"/>
              </w:rPr>
              <w:t>na saldo</w:t>
            </w:r>
          </w:p>
        </w:tc>
        <w:tc>
          <w:tcPr>
            <w:tcW w:w="893" w:type="dxa"/>
            <w:tcBorders>
              <w:top w:val="single" w:sz="4" w:space="0" w:color="auto"/>
              <w:bottom w:val="single" w:sz="4" w:space="0" w:color="auto"/>
            </w:tcBorders>
            <w:shd w:val="clear" w:color="auto" w:fill="auto"/>
            <w:noWrap/>
            <w:vAlign w:val="center"/>
            <w:hideMark/>
          </w:tcPr>
          <w:p w14:paraId="2078BD75" w14:textId="77777777" w:rsidR="00DD0DA5" w:rsidRPr="00DC1011" w:rsidRDefault="00DD0DA5" w:rsidP="00CA4C99">
            <w:pPr>
              <w:spacing w:after="0" w:line="240" w:lineRule="auto"/>
              <w:jc w:val="center"/>
              <w:rPr>
                <w:color w:val="000000"/>
                <w:sz w:val="18"/>
                <w:szCs w:val="20"/>
              </w:rPr>
            </w:pPr>
            <w:r w:rsidRPr="00DC1011">
              <w:rPr>
                <w:sz w:val="18"/>
                <w:szCs w:val="20"/>
              </w:rPr>
              <w:t>0,0</w:t>
            </w:r>
          </w:p>
        </w:tc>
        <w:tc>
          <w:tcPr>
            <w:tcW w:w="893" w:type="dxa"/>
            <w:tcBorders>
              <w:top w:val="single" w:sz="4" w:space="0" w:color="auto"/>
              <w:bottom w:val="single" w:sz="4" w:space="0" w:color="auto"/>
            </w:tcBorders>
            <w:shd w:val="clear" w:color="auto" w:fill="auto"/>
            <w:noWrap/>
            <w:vAlign w:val="center"/>
            <w:hideMark/>
          </w:tcPr>
          <w:p w14:paraId="5308EC06" w14:textId="77777777" w:rsidR="00DD0DA5" w:rsidRPr="00DC1011" w:rsidRDefault="00DD0DA5" w:rsidP="00CA4C99">
            <w:pPr>
              <w:spacing w:after="0" w:line="240" w:lineRule="auto"/>
              <w:jc w:val="center"/>
              <w:rPr>
                <w:color w:val="000000"/>
                <w:sz w:val="18"/>
                <w:szCs w:val="20"/>
              </w:rPr>
            </w:pPr>
            <w:r w:rsidRPr="00DC1011">
              <w:rPr>
                <w:sz w:val="18"/>
                <w:szCs w:val="20"/>
              </w:rPr>
              <w:t>0,1</w:t>
            </w:r>
          </w:p>
        </w:tc>
        <w:tc>
          <w:tcPr>
            <w:tcW w:w="893" w:type="dxa"/>
            <w:tcBorders>
              <w:top w:val="single" w:sz="4" w:space="0" w:color="auto"/>
              <w:bottom w:val="single" w:sz="4" w:space="0" w:color="auto"/>
            </w:tcBorders>
            <w:shd w:val="clear" w:color="auto" w:fill="auto"/>
            <w:noWrap/>
            <w:vAlign w:val="center"/>
            <w:hideMark/>
          </w:tcPr>
          <w:p w14:paraId="185376B4" w14:textId="77777777" w:rsidR="00DD0DA5" w:rsidRPr="00DC1011" w:rsidRDefault="00DD0DA5" w:rsidP="00CA4C99">
            <w:pPr>
              <w:spacing w:after="0" w:line="240" w:lineRule="auto"/>
              <w:jc w:val="center"/>
              <w:rPr>
                <w:color w:val="000000"/>
                <w:sz w:val="18"/>
                <w:szCs w:val="20"/>
              </w:rPr>
            </w:pPr>
            <w:r w:rsidRPr="00DC1011">
              <w:rPr>
                <w:sz w:val="18"/>
                <w:szCs w:val="20"/>
              </w:rPr>
              <w:t>0,1</w:t>
            </w:r>
          </w:p>
        </w:tc>
        <w:tc>
          <w:tcPr>
            <w:tcW w:w="893" w:type="dxa"/>
            <w:tcBorders>
              <w:top w:val="single" w:sz="4" w:space="0" w:color="auto"/>
              <w:bottom w:val="single" w:sz="4" w:space="0" w:color="auto"/>
            </w:tcBorders>
            <w:shd w:val="clear" w:color="auto" w:fill="auto"/>
            <w:noWrap/>
            <w:vAlign w:val="center"/>
            <w:hideMark/>
          </w:tcPr>
          <w:p w14:paraId="54FD86AB" w14:textId="77777777" w:rsidR="00DD0DA5" w:rsidRPr="00DC1011" w:rsidRDefault="00DD0DA5" w:rsidP="00CA4C99">
            <w:pPr>
              <w:spacing w:after="0" w:line="240" w:lineRule="auto"/>
              <w:jc w:val="center"/>
              <w:rPr>
                <w:color w:val="000000"/>
                <w:sz w:val="18"/>
                <w:szCs w:val="20"/>
              </w:rPr>
            </w:pPr>
            <w:r w:rsidRPr="00DC1011">
              <w:rPr>
                <w:sz w:val="18"/>
                <w:szCs w:val="20"/>
              </w:rPr>
              <w:t>0,1</w:t>
            </w:r>
          </w:p>
        </w:tc>
        <w:tc>
          <w:tcPr>
            <w:tcW w:w="893" w:type="dxa"/>
            <w:tcBorders>
              <w:top w:val="single" w:sz="4" w:space="0" w:color="auto"/>
              <w:bottom w:val="single" w:sz="4" w:space="0" w:color="auto"/>
            </w:tcBorders>
            <w:vAlign w:val="center"/>
          </w:tcPr>
          <w:p w14:paraId="1D243F91" w14:textId="77777777" w:rsidR="00DD0DA5" w:rsidRPr="00DC1011" w:rsidRDefault="00DD0DA5" w:rsidP="00CA4C99">
            <w:pPr>
              <w:spacing w:after="0" w:line="240" w:lineRule="auto"/>
              <w:jc w:val="center"/>
              <w:rPr>
                <w:sz w:val="18"/>
                <w:szCs w:val="20"/>
              </w:rPr>
            </w:pPr>
            <w:r>
              <w:rPr>
                <w:sz w:val="18"/>
                <w:szCs w:val="20"/>
              </w:rPr>
              <w:t>0,1</w:t>
            </w:r>
          </w:p>
        </w:tc>
        <w:tc>
          <w:tcPr>
            <w:tcW w:w="1326" w:type="dxa"/>
            <w:tcBorders>
              <w:top w:val="single" w:sz="4" w:space="0" w:color="auto"/>
              <w:bottom w:val="single" w:sz="4" w:space="0" w:color="auto"/>
            </w:tcBorders>
            <w:shd w:val="clear" w:color="auto" w:fill="auto"/>
            <w:noWrap/>
            <w:vAlign w:val="center"/>
          </w:tcPr>
          <w:p w14:paraId="12A7514E" w14:textId="77777777" w:rsidR="00DD0DA5" w:rsidRPr="00F62651" w:rsidRDefault="00DD0DA5" w:rsidP="00CA4C99">
            <w:pPr>
              <w:spacing w:after="0" w:line="240" w:lineRule="auto"/>
              <w:jc w:val="center"/>
              <w:rPr>
                <w:b/>
                <w:color w:val="000000"/>
                <w:sz w:val="18"/>
                <w:szCs w:val="20"/>
              </w:rPr>
            </w:pPr>
            <w:r w:rsidRPr="00F62651">
              <w:rPr>
                <w:b/>
                <w:sz w:val="18"/>
                <w:szCs w:val="20"/>
              </w:rPr>
              <w:t>3,5</w:t>
            </w:r>
          </w:p>
        </w:tc>
      </w:tr>
      <w:tr w:rsidR="00DD0DA5" w:rsidRPr="00910483" w14:paraId="2895E9C5" w14:textId="77777777" w:rsidTr="00D33788">
        <w:trPr>
          <w:trHeight w:val="254"/>
        </w:trPr>
        <w:tc>
          <w:tcPr>
            <w:tcW w:w="9342" w:type="dxa"/>
            <w:gridSpan w:val="7"/>
            <w:tcBorders>
              <w:top w:val="single" w:sz="4" w:space="0" w:color="auto"/>
              <w:left w:val="nil"/>
              <w:bottom w:val="nil"/>
              <w:right w:val="nil"/>
            </w:tcBorders>
          </w:tcPr>
          <w:p w14:paraId="2DC2E347" w14:textId="77777777" w:rsidR="00DD0DA5" w:rsidRPr="00910483" w:rsidRDefault="00DD0DA5" w:rsidP="00CA4C99">
            <w:pPr>
              <w:spacing w:after="0" w:line="240" w:lineRule="auto"/>
              <w:jc w:val="right"/>
              <w:rPr>
                <w:color w:val="000000"/>
                <w:sz w:val="14"/>
                <w:szCs w:val="14"/>
              </w:rPr>
            </w:pPr>
            <w:r>
              <w:rPr>
                <w:i/>
                <w:color w:val="000000"/>
                <w:sz w:val="16"/>
                <w:szCs w:val="18"/>
                <w:lang w:eastAsia="sk-SK"/>
              </w:rPr>
              <w:t xml:space="preserve">Pozn.: Diskontované k roku 2022.                                                                                                                                            </w:t>
            </w:r>
            <w:r w:rsidRPr="00DC1011">
              <w:rPr>
                <w:i/>
                <w:color w:val="000000"/>
                <w:sz w:val="14"/>
                <w:szCs w:val="14"/>
              </w:rPr>
              <w:t>Zdroj: MF SR</w:t>
            </w:r>
          </w:p>
        </w:tc>
      </w:tr>
    </w:tbl>
    <w:p w14:paraId="207CDC86" w14:textId="73FE2D24" w:rsidR="001E15B5" w:rsidRDefault="001E15B5">
      <w:pPr>
        <w:rPr>
          <w:highlight w:val="yellow"/>
        </w:rPr>
      </w:pPr>
    </w:p>
    <w:p w14:paraId="655A3E93" w14:textId="6D359EDB" w:rsidR="00DF0EC5" w:rsidRPr="005240D8" w:rsidRDefault="00DF0EC5" w:rsidP="00DF0EC5">
      <w:pPr>
        <w:pStyle w:val="Nadpis3"/>
        <w:numPr>
          <w:ilvl w:val="2"/>
          <w:numId w:val="15"/>
        </w:numPr>
        <w:spacing w:before="120"/>
      </w:pPr>
      <w:bookmarkStart w:id="69" w:name="_Toc495990499"/>
      <w:bookmarkStart w:id="70" w:name="_Toc148704483"/>
      <w:r w:rsidRPr="005240D8">
        <w:t>Podmienené záväzky</w:t>
      </w:r>
      <w:bookmarkEnd w:id="69"/>
      <w:bookmarkEnd w:id="70"/>
    </w:p>
    <w:p w14:paraId="237C0DEC" w14:textId="27CCF8E7" w:rsidR="001768B9" w:rsidRPr="005240D8" w:rsidRDefault="001768B9" w:rsidP="001768B9">
      <w:pPr>
        <w:spacing w:after="120" w:line="240" w:lineRule="auto"/>
        <w:jc w:val="both"/>
        <w:rPr>
          <w:bCs/>
        </w:rPr>
      </w:pPr>
      <w:r w:rsidRPr="005240D8">
        <w:rPr>
          <w:bCs/>
        </w:rPr>
        <w:t xml:space="preserve">Podmienené záväzky predstavujú položku iných pasív, ktoré za určitých okolností môžu negatívne ovplyvniť finančnú situáciu </w:t>
      </w:r>
      <w:r>
        <w:rPr>
          <w:bCs/>
        </w:rPr>
        <w:t xml:space="preserve">verejnej správy (konkrétne </w:t>
      </w:r>
      <w:r w:rsidRPr="005240D8">
        <w:rPr>
          <w:bCs/>
        </w:rPr>
        <w:t xml:space="preserve">štátu či územnej samosprávy). Tieto záväzky nie sú vykazované na súvahových položkách pasív, pretože nie sú splnené podmienky pre ich zaúčtovanie (výška takéhoto ,,neistého“ záväzku sa nedá spoľahlivo oceniť, obdobie, ku ktorému sa povinnosť viaže nie je určené alebo úbytok ekonomických úžitkov v budúcnosti nie je istý). Z tohto dôvodu nie je možné jednoznačne odhadnúť vplyv na verejné financie z pohľadu času a už vôbec nie je možné stotožňovať hodnotu vyčíslených podmienených záväzkov v danom roku s aktuálnou potrebou peňažných prostriedkov na plnenie takýchto </w:t>
      </w:r>
      <w:r>
        <w:rPr>
          <w:bCs/>
        </w:rPr>
        <w:t xml:space="preserve">neistých </w:t>
      </w:r>
      <w:r w:rsidRPr="005240D8">
        <w:rPr>
          <w:bCs/>
        </w:rPr>
        <w:t xml:space="preserve">povinností. </w:t>
      </w:r>
    </w:p>
    <w:p w14:paraId="692EEE2C" w14:textId="77777777" w:rsidR="001768B9" w:rsidRPr="005240D8" w:rsidRDefault="001768B9" w:rsidP="001768B9">
      <w:pPr>
        <w:spacing w:after="120" w:line="240" w:lineRule="auto"/>
        <w:jc w:val="both"/>
        <w:rPr>
          <w:bCs/>
        </w:rPr>
      </w:pPr>
      <w:r w:rsidRPr="005240D8">
        <w:rPr>
          <w:bCs/>
        </w:rPr>
        <w:t>Podľa ústavného zákona o rozpočtovej zodpovednosti sú podmienené záväzky súčasťou</w:t>
      </w:r>
      <w:r w:rsidRPr="005240D8">
        <w:rPr>
          <w:bCs/>
        </w:rPr>
        <w:br/>
        <w:t xml:space="preserve">Návrhu rozpočtu verejnej správy (v prílohe č. 4). Informácia v návrhu rozpočtu je smerodajná najmä pre účely hodnotenia dlhodobej udržateľnosti a výpočtu základného scenára zo strany Rady pre rozpočtovú zodpovednosť, ako aj transparentné zverejňovanie </w:t>
      </w:r>
      <w:proofErr w:type="spellStart"/>
      <w:r w:rsidRPr="005240D8">
        <w:rPr>
          <w:bCs/>
        </w:rPr>
        <w:t>mimobilančných</w:t>
      </w:r>
      <w:proofErr w:type="spellEnd"/>
      <w:r w:rsidRPr="005240D8">
        <w:rPr>
          <w:bCs/>
        </w:rPr>
        <w:t xml:space="preserve"> položiek s potenciálnym vplyvom na verejné financie.</w:t>
      </w:r>
    </w:p>
    <w:p w14:paraId="48740D36" w14:textId="5A32C598" w:rsidR="001768B9" w:rsidRPr="005240D8" w:rsidRDefault="001768B9" w:rsidP="001768B9">
      <w:pPr>
        <w:spacing w:after="120" w:line="240" w:lineRule="auto"/>
        <w:jc w:val="both"/>
        <w:rPr>
          <w:bCs/>
        </w:rPr>
      </w:pPr>
      <w:r w:rsidRPr="005240D8">
        <w:rPr>
          <w:bCs/>
        </w:rPr>
        <w:t>Požiadavku na zverejňovanie podmienených záväzkov obsahuje aj európska legislatíva, a to konkrétne smernica Rady 2011/85/EÚ o požiadavkách na rozpočtové rámce členský</w:t>
      </w:r>
      <w:r w:rsidR="00761D38">
        <w:rPr>
          <w:bCs/>
        </w:rPr>
        <w:t xml:space="preserve"> štátov. Podľa článku 14 ods. 3 </w:t>
      </w:r>
      <w:r w:rsidRPr="005240D8">
        <w:rPr>
          <w:bCs/>
        </w:rPr>
        <w:t xml:space="preserve">tejto smernice členské štáty za všetky subsektory verejnej správy ,,uverejnia príslušné informácie o podmienených záväzkoch s možným veľkým vplyvom na rozpočet verejnej správy vrátane štátnych záruk, problémových úverov a záväzkov vyplývajúcich z činnosti verejnoprávnych korporácií vrátane ich rozsahu“. Podľa tejto smernice sa pravidelne zverejňujú záväzky zo záruk, </w:t>
      </w:r>
      <w:proofErr w:type="spellStart"/>
      <w:r w:rsidRPr="005240D8">
        <w:rPr>
          <w:bCs/>
        </w:rPr>
        <w:t>mimobilančných</w:t>
      </w:r>
      <w:proofErr w:type="spellEnd"/>
      <w:r w:rsidRPr="005240D8">
        <w:rPr>
          <w:bCs/>
        </w:rPr>
        <w:t xml:space="preserve"> projektov PPP a nesplácané úvery. </w:t>
      </w:r>
    </w:p>
    <w:p w14:paraId="272BBACB" w14:textId="77777777" w:rsidR="001768B9" w:rsidRPr="005240D8" w:rsidRDefault="001768B9" w:rsidP="001768B9">
      <w:pPr>
        <w:spacing w:after="120" w:line="240" w:lineRule="auto"/>
        <w:jc w:val="both"/>
        <w:rPr>
          <w:bCs/>
        </w:rPr>
      </w:pPr>
      <w:r w:rsidRPr="005240D8">
        <w:rPr>
          <w:bCs/>
        </w:rPr>
        <w:t xml:space="preserve">Z uvedeného vyplýva, že aj pri podmienených záväzkoch existuje viacero metodických prístupov a na konkrétne podmienené záväzky je možné nazerať odlišne. V ekonomickej teórii, ale aj v legislatívnej praxi účtovného výkazníctva sa ako ostatné pasíva (širší pojem od podmienených záväzkov) spomínajú najčastejšie </w:t>
      </w:r>
      <w:r w:rsidRPr="005240D8">
        <w:rPr>
          <w:bCs/>
          <w:u w:val="single"/>
        </w:rPr>
        <w:t>pasíva</w:t>
      </w:r>
      <w:r w:rsidRPr="005240D8">
        <w:rPr>
          <w:bCs/>
        </w:rPr>
        <w:t xml:space="preserve"> z prebiehajúcich alebo hroziacich súdnych sporov, z poskytnutých záruk, zo všeobecne záväzných právnych predpisov alebo sú to </w:t>
      </w:r>
      <w:r w:rsidRPr="005240D8">
        <w:rPr>
          <w:bCs/>
          <w:u w:val="single"/>
        </w:rPr>
        <w:t>iné finančné povinnosti</w:t>
      </w:r>
      <w:r w:rsidRPr="005240D8">
        <w:rPr>
          <w:bCs/>
        </w:rPr>
        <w:t xml:space="preserve"> ako napríklad z devízových termínovaných obchodov, z opčných obchodov, zákonná alebo zmluvná povinnosť odobrať určité produkty, napríklad z dodávateľských zmlúv a odberateľských zmlúv, povinnosti z nájomných zmlúv, koncesionárskych a iných zmlúv. </w:t>
      </w:r>
    </w:p>
    <w:p w14:paraId="738747EB" w14:textId="53BF0848" w:rsidR="000B1F5C" w:rsidRDefault="001768B9" w:rsidP="0066019A">
      <w:pPr>
        <w:spacing w:after="120" w:line="240" w:lineRule="auto"/>
        <w:jc w:val="both"/>
        <w:rPr>
          <w:bCs/>
        </w:rPr>
      </w:pPr>
      <w:r w:rsidRPr="005240D8">
        <w:rPr>
          <w:bCs/>
        </w:rPr>
        <w:t xml:space="preserve">Subjekty verejnej správy majú z podstaty svojej činnosti často špecifické položky nielen na riadnych záväzkoch, ale aj v iných pasívach. Z pohľadu prezentácie údajov v účtovnej závierke často zverejňujú aj informácie, ktoré nemusia predstavovať podmienené záväzky, ale pre účely splnenia si povinnosti poskytnúť užívateľovi účtovnej závierky významné informácie, uvedú ich medzi </w:t>
      </w:r>
      <w:proofErr w:type="spellStart"/>
      <w:r w:rsidRPr="005240D8">
        <w:rPr>
          <w:bCs/>
        </w:rPr>
        <w:t>mimobilančné</w:t>
      </w:r>
      <w:proofErr w:type="spellEnd"/>
      <w:r w:rsidRPr="005240D8">
        <w:rPr>
          <w:bCs/>
        </w:rPr>
        <w:t xml:space="preserve"> položky. </w:t>
      </w:r>
      <w:r w:rsidRPr="005240D8">
        <w:rPr>
          <w:bCs/>
        </w:rPr>
        <w:lastRenderedPageBreak/>
        <w:t>V súhrnnej výročnej správe pre účely odhadu čistého bohatstva a jeho jednotlivých zložiek sú preto podmienené záväzky chápané podľa účtovnej definície (uvedenej v prvom odseku) a sú predmetom analytického skúmania ich vplyvu na zmenu čistého bohatstva</w:t>
      </w:r>
      <w:r w:rsidRPr="005240D8">
        <w:rPr>
          <w:rStyle w:val="Odkaznapoznmkupodiarou"/>
        </w:rPr>
        <w:footnoteReference w:id="44"/>
      </w:r>
      <w:r w:rsidRPr="005240D8">
        <w:rPr>
          <w:bCs/>
        </w:rPr>
        <w:t>.</w:t>
      </w:r>
    </w:p>
    <w:p w14:paraId="009E4418" w14:textId="0FB6C88A" w:rsidR="000B1F5C" w:rsidRDefault="001768B9" w:rsidP="001768B9">
      <w:pPr>
        <w:spacing w:after="120" w:line="240" w:lineRule="auto"/>
        <w:jc w:val="both"/>
        <w:rPr>
          <w:rFonts w:cs="Courier"/>
          <w:szCs w:val="22"/>
          <w:lang w:eastAsia="cs-CZ"/>
        </w:rPr>
      </w:pPr>
      <w:r w:rsidRPr="00A25B30">
        <w:rPr>
          <w:b/>
          <w:szCs w:val="22"/>
          <w:lang w:eastAsia="cs-CZ"/>
        </w:rPr>
        <w:t>Hodnota podmienených záväzkov k 31.12.202</w:t>
      </w:r>
      <w:r>
        <w:rPr>
          <w:b/>
          <w:szCs w:val="22"/>
          <w:lang w:eastAsia="cs-CZ"/>
        </w:rPr>
        <w:t>2</w:t>
      </w:r>
      <w:r w:rsidRPr="00A25B30">
        <w:rPr>
          <w:b/>
          <w:szCs w:val="22"/>
          <w:lang w:eastAsia="cs-CZ"/>
        </w:rPr>
        <w:t xml:space="preserve"> na nekons</w:t>
      </w:r>
      <w:r>
        <w:rPr>
          <w:b/>
          <w:szCs w:val="22"/>
          <w:lang w:eastAsia="cs-CZ"/>
        </w:rPr>
        <w:t>olidovanej báze dosiahla úhrnom  </w:t>
      </w:r>
      <w:r w:rsidRPr="00A25B30">
        <w:rPr>
          <w:b/>
          <w:szCs w:val="22"/>
          <w:lang w:eastAsia="cs-CZ"/>
        </w:rPr>
        <w:t>tis</w:t>
      </w:r>
      <w:r>
        <w:rPr>
          <w:b/>
          <w:szCs w:val="22"/>
          <w:lang w:eastAsia="cs-CZ"/>
        </w:rPr>
        <w:t>. </w:t>
      </w:r>
      <w:r w:rsidRPr="00A25B30">
        <w:rPr>
          <w:b/>
          <w:szCs w:val="22"/>
          <w:lang w:eastAsia="cs-CZ"/>
        </w:rPr>
        <w:t>eur</w:t>
      </w:r>
      <w:r w:rsidRPr="00A25B30">
        <w:rPr>
          <w:rFonts w:cs="Courier"/>
          <w:szCs w:val="22"/>
          <w:lang w:eastAsia="cs-CZ"/>
        </w:rPr>
        <w:t xml:space="preserve"> a ich členenie podľa jednotlivých skupín subjektov je nasledovné: </w:t>
      </w:r>
    </w:p>
    <w:p w14:paraId="52A6F1A8" w14:textId="649A424D" w:rsidR="001768B9" w:rsidRPr="00DF0EC5" w:rsidRDefault="00D33788" w:rsidP="001768B9">
      <w:pPr>
        <w:keepNext/>
        <w:spacing w:after="0" w:line="240" w:lineRule="auto"/>
        <w:rPr>
          <w:b/>
          <w:iCs/>
          <w:color w:val="4F81BD" w:themeColor="accent1"/>
          <w:sz w:val="20"/>
          <w:szCs w:val="20"/>
        </w:rPr>
      </w:pPr>
      <w:r>
        <w:rPr>
          <w:b/>
          <w:iCs/>
          <w:color w:val="4F81BD" w:themeColor="accent1"/>
          <w:sz w:val="20"/>
          <w:szCs w:val="20"/>
        </w:rPr>
        <w:t xml:space="preserve"> </w:t>
      </w:r>
      <w:r w:rsidR="001768B9" w:rsidRPr="00DF0EC5">
        <w:rPr>
          <w:b/>
          <w:iCs/>
          <w:color w:val="4F81BD" w:themeColor="accent1"/>
          <w:sz w:val="20"/>
          <w:szCs w:val="20"/>
        </w:rPr>
        <w:t xml:space="preserve">Tabuľka </w:t>
      </w:r>
      <w:r w:rsidR="000B1F5C">
        <w:rPr>
          <w:b/>
          <w:iCs/>
          <w:color w:val="4F81BD" w:themeColor="accent1"/>
          <w:sz w:val="20"/>
          <w:szCs w:val="20"/>
        </w:rPr>
        <w:t>21</w:t>
      </w:r>
      <w:r w:rsidR="001768B9" w:rsidRPr="00DF0EC5">
        <w:rPr>
          <w:b/>
          <w:iCs/>
          <w:color w:val="4F81BD" w:themeColor="accent1"/>
          <w:sz w:val="20"/>
          <w:szCs w:val="20"/>
        </w:rPr>
        <w:t xml:space="preserve"> – Podmienené záväzky </w:t>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5036FA">
        <w:rPr>
          <w:b/>
          <w:iCs/>
          <w:color w:val="4F81BD" w:themeColor="accent1"/>
          <w:sz w:val="20"/>
          <w:szCs w:val="20"/>
        </w:rPr>
        <w:tab/>
      </w:r>
      <w:r w:rsidR="000B1F5C" w:rsidRPr="000B1F5C">
        <w:rPr>
          <w:b/>
          <w:color w:val="4F81BD" w:themeColor="accent1"/>
          <w:sz w:val="20"/>
          <w:szCs w:val="20"/>
          <w:lang w:eastAsia="sk-SK"/>
        </w:rPr>
        <w:t>v tis. eur</w:t>
      </w:r>
    </w:p>
    <w:tbl>
      <w:tblPr>
        <w:tblW w:w="4896"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383"/>
        <w:gridCol w:w="233"/>
        <w:gridCol w:w="910"/>
        <w:gridCol w:w="178"/>
        <w:gridCol w:w="1048"/>
        <w:gridCol w:w="117"/>
        <w:gridCol w:w="1094"/>
        <w:gridCol w:w="1196"/>
      </w:tblGrid>
      <w:tr w:rsidR="002E1433" w:rsidRPr="00B51F18" w14:paraId="3E0C329E" w14:textId="77777777" w:rsidTr="002E1433">
        <w:trPr>
          <w:trHeight w:val="345"/>
          <w:jc w:val="center"/>
        </w:trPr>
        <w:tc>
          <w:tcPr>
            <w:tcW w:w="2393" w:type="pct"/>
            <w:tcBorders>
              <w:right w:val="nil"/>
            </w:tcBorders>
            <w:vAlign w:val="center"/>
            <w:hideMark/>
          </w:tcPr>
          <w:p w14:paraId="0B00F3EF" w14:textId="77777777" w:rsidR="002E1433" w:rsidRPr="00B51F18" w:rsidRDefault="002E1433" w:rsidP="001F43C8">
            <w:pPr>
              <w:spacing w:after="0" w:line="240" w:lineRule="auto"/>
              <w:rPr>
                <w:b/>
                <w:sz w:val="18"/>
                <w:szCs w:val="18"/>
                <w:lang w:eastAsia="sk-SK"/>
              </w:rPr>
            </w:pPr>
            <w:r w:rsidRPr="00B51F18">
              <w:rPr>
                <w:b/>
                <w:sz w:val="18"/>
                <w:szCs w:val="18"/>
                <w:lang w:eastAsia="sk-SK"/>
              </w:rPr>
              <w:t>Subjekty (v tis. eur)</w:t>
            </w:r>
          </w:p>
        </w:tc>
        <w:tc>
          <w:tcPr>
            <w:tcW w:w="624" w:type="pct"/>
            <w:gridSpan w:val="2"/>
            <w:tcBorders>
              <w:left w:val="nil"/>
              <w:right w:val="nil"/>
            </w:tcBorders>
            <w:vAlign w:val="center"/>
          </w:tcPr>
          <w:p w14:paraId="3E9ABE1D" w14:textId="77777777" w:rsidR="002E1433" w:rsidRPr="00B51F18" w:rsidRDefault="002E1433" w:rsidP="001F43C8">
            <w:pPr>
              <w:spacing w:after="0" w:line="240" w:lineRule="auto"/>
              <w:jc w:val="right"/>
              <w:rPr>
                <w:b/>
                <w:sz w:val="18"/>
                <w:szCs w:val="18"/>
                <w:lang w:eastAsia="sk-SK"/>
              </w:rPr>
            </w:pPr>
            <w:r w:rsidRPr="00B51F18">
              <w:rPr>
                <w:b/>
                <w:sz w:val="18"/>
                <w:szCs w:val="18"/>
                <w:lang w:eastAsia="sk-SK"/>
              </w:rPr>
              <w:t>2020</w:t>
            </w:r>
          </w:p>
        </w:tc>
        <w:tc>
          <w:tcPr>
            <w:tcW w:w="669" w:type="pct"/>
            <w:gridSpan w:val="2"/>
            <w:tcBorders>
              <w:left w:val="nil"/>
              <w:right w:val="nil"/>
            </w:tcBorders>
            <w:vAlign w:val="center"/>
          </w:tcPr>
          <w:p w14:paraId="517C3168" w14:textId="77777777" w:rsidR="002E1433" w:rsidRPr="00B51F18" w:rsidRDefault="002E1433" w:rsidP="001F43C8">
            <w:pPr>
              <w:spacing w:after="0" w:line="240" w:lineRule="auto"/>
              <w:jc w:val="right"/>
              <w:rPr>
                <w:b/>
                <w:sz w:val="18"/>
                <w:szCs w:val="18"/>
                <w:lang w:eastAsia="sk-SK"/>
              </w:rPr>
            </w:pPr>
            <w:r w:rsidRPr="00B51F18">
              <w:rPr>
                <w:b/>
                <w:sz w:val="18"/>
                <w:szCs w:val="18"/>
                <w:lang w:eastAsia="sk-SK"/>
              </w:rPr>
              <w:t>2021</w:t>
            </w:r>
          </w:p>
        </w:tc>
        <w:tc>
          <w:tcPr>
            <w:tcW w:w="661" w:type="pct"/>
            <w:gridSpan w:val="2"/>
            <w:tcBorders>
              <w:left w:val="nil"/>
              <w:right w:val="nil"/>
            </w:tcBorders>
            <w:vAlign w:val="center"/>
          </w:tcPr>
          <w:p w14:paraId="24803893" w14:textId="77777777" w:rsidR="002E1433" w:rsidRPr="00B51F18" w:rsidRDefault="002E1433" w:rsidP="001F43C8">
            <w:pPr>
              <w:spacing w:after="0" w:line="240" w:lineRule="auto"/>
              <w:jc w:val="right"/>
              <w:rPr>
                <w:b/>
                <w:sz w:val="18"/>
                <w:szCs w:val="18"/>
                <w:lang w:eastAsia="sk-SK"/>
              </w:rPr>
            </w:pPr>
            <w:r w:rsidRPr="00B51F18">
              <w:rPr>
                <w:b/>
                <w:sz w:val="18"/>
                <w:szCs w:val="18"/>
                <w:lang w:eastAsia="sk-SK"/>
              </w:rPr>
              <w:t>2022</w:t>
            </w:r>
          </w:p>
        </w:tc>
        <w:tc>
          <w:tcPr>
            <w:tcW w:w="653" w:type="pct"/>
            <w:tcBorders>
              <w:left w:val="nil"/>
            </w:tcBorders>
            <w:vAlign w:val="center"/>
          </w:tcPr>
          <w:p w14:paraId="6607386A" w14:textId="77777777" w:rsidR="002E1433" w:rsidRPr="00B51F18" w:rsidRDefault="002E1433" w:rsidP="001F43C8">
            <w:pPr>
              <w:spacing w:after="0" w:line="240" w:lineRule="auto"/>
              <w:jc w:val="right"/>
              <w:rPr>
                <w:b/>
                <w:bCs/>
                <w:sz w:val="18"/>
                <w:szCs w:val="18"/>
                <w:lang w:eastAsia="sk-SK"/>
              </w:rPr>
            </w:pPr>
            <w:r w:rsidRPr="00B51F18">
              <w:rPr>
                <w:b/>
                <w:sz w:val="18"/>
                <w:szCs w:val="18"/>
                <w:lang w:eastAsia="sk-SK"/>
              </w:rPr>
              <w:t>Δ 2022-2021</w:t>
            </w:r>
          </w:p>
        </w:tc>
      </w:tr>
      <w:tr w:rsidR="002E1433" w:rsidRPr="00B51F18" w14:paraId="38184D6F" w14:textId="77777777" w:rsidTr="002E1433">
        <w:trPr>
          <w:trHeight w:val="330"/>
          <w:jc w:val="center"/>
        </w:trPr>
        <w:tc>
          <w:tcPr>
            <w:tcW w:w="2393" w:type="pct"/>
            <w:tcBorders>
              <w:bottom w:val="nil"/>
              <w:right w:val="nil"/>
            </w:tcBorders>
            <w:vAlign w:val="bottom"/>
          </w:tcPr>
          <w:p w14:paraId="74FEB7C1" w14:textId="77777777" w:rsidR="002E1433" w:rsidRPr="00B51F18" w:rsidRDefault="002E1433" w:rsidP="001F43C8">
            <w:pPr>
              <w:spacing w:after="0" w:line="240" w:lineRule="auto"/>
              <w:rPr>
                <w:sz w:val="18"/>
                <w:szCs w:val="18"/>
                <w:lang w:eastAsia="sk-SK"/>
              </w:rPr>
            </w:pPr>
            <w:r w:rsidRPr="00B51F18">
              <w:rPr>
                <w:sz w:val="18"/>
                <w:szCs w:val="18"/>
                <w:lang w:eastAsia="sk-SK"/>
              </w:rPr>
              <w:t>Ústredná správa a podniky štátnej správy</w:t>
            </w:r>
          </w:p>
        </w:tc>
        <w:tc>
          <w:tcPr>
            <w:tcW w:w="624" w:type="pct"/>
            <w:gridSpan w:val="2"/>
            <w:tcBorders>
              <w:left w:val="nil"/>
              <w:bottom w:val="nil"/>
              <w:right w:val="nil"/>
            </w:tcBorders>
            <w:vAlign w:val="bottom"/>
          </w:tcPr>
          <w:p w14:paraId="6ADC5794" w14:textId="77777777" w:rsidR="002E1433" w:rsidRPr="00B51F18" w:rsidRDefault="002E1433" w:rsidP="001F43C8">
            <w:pPr>
              <w:spacing w:after="0" w:line="240" w:lineRule="auto"/>
              <w:jc w:val="right"/>
              <w:rPr>
                <w:sz w:val="18"/>
                <w:szCs w:val="18"/>
                <w:lang w:eastAsia="sk-SK"/>
              </w:rPr>
            </w:pPr>
            <w:r w:rsidRPr="00B51F18">
              <w:rPr>
                <w:sz w:val="18"/>
                <w:szCs w:val="18"/>
                <w:lang w:eastAsia="sk-SK"/>
              </w:rPr>
              <w:t>19 661 268</w:t>
            </w:r>
          </w:p>
        </w:tc>
        <w:tc>
          <w:tcPr>
            <w:tcW w:w="669" w:type="pct"/>
            <w:gridSpan w:val="2"/>
            <w:tcBorders>
              <w:left w:val="nil"/>
              <w:bottom w:val="nil"/>
              <w:right w:val="nil"/>
            </w:tcBorders>
            <w:vAlign w:val="bottom"/>
          </w:tcPr>
          <w:p w14:paraId="2218BB55" w14:textId="77777777" w:rsidR="002E1433" w:rsidRPr="00B51F18" w:rsidRDefault="002E1433" w:rsidP="001F43C8">
            <w:pPr>
              <w:spacing w:after="0" w:line="240" w:lineRule="auto"/>
              <w:jc w:val="right"/>
              <w:rPr>
                <w:sz w:val="18"/>
                <w:szCs w:val="18"/>
                <w:lang w:eastAsia="sk-SK"/>
              </w:rPr>
            </w:pPr>
            <w:r w:rsidRPr="00B51F18">
              <w:rPr>
                <w:sz w:val="18"/>
                <w:szCs w:val="18"/>
                <w:lang w:eastAsia="sk-SK"/>
              </w:rPr>
              <w:t>20 094 669</w:t>
            </w:r>
          </w:p>
        </w:tc>
        <w:tc>
          <w:tcPr>
            <w:tcW w:w="661" w:type="pct"/>
            <w:gridSpan w:val="2"/>
            <w:tcBorders>
              <w:left w:val="nil"/>
              <w:bottom w:val="nil"/>
              <w:right w:val="nil"/>
            </w:tcBorders>
            <w:vAlign w:val="bottom"/>
          </w:tcPr>
          <w:p w14:paraId="29D77B61" w14:textId="77777777" w:rsidR="002E1433" w:rsidRPr="00B51F18" w:rsidRDefault="002E1433" w:rsidP="001F43C8">
            <w:pPr>
              <w:spacing w:after="0" w:line="240" w:lineRule="auto"/>
              <w:jc w:val="right"/>
              <w:rPr>
                <w:sz w:val="18"/>
                <w:szCs w:val="18"/>
                <w:lang w:eastAsia="sk-SK"/>
              </w:rPr>
            </w:pPr>
            <w:r w:rsidRPr="00B51F18">
              <w:rPr>
                <w:sz w:val="18"/>
                <w:szCs w:val="18"/>
                <w:lang w:eastAsia="sk-SK"/>
              </w:rPr>
              <w:t>20 508 703</w:t>
            </w:r>
          </w:p>
        </w:tc>
        <w:tc>
          <w:tcPr>
            <w:tcW w:w="653" w:type="pct"/>
            <w:tcBorders>
              <w:left w:val="nil"/>
              <w:bottom w:val="nil"/>
            </w:tcBorders>
            <w:vAlign w:val="bottom"/>
          </w:tcPr>
          <w:p w14:paraId="4AA5075D" w14:textId="77777777" w:rsidR="002E1433" w:rsidRPr="00B51F18" w:rsidRDefault="002E1433" w:rsidP="001F43C8">
            <w:pPr>
              <w:spacing w:after="0" w:line="240" w:lineRule="auto"/>
              <w:jc w:val="right"/>
              <w:rPr>
                <w:sz w:val="18"/>
                <w:szCs w:val="18"/>
                <w:lang w:eastAsia="sk-SK"/>
              </w:rPr>
            </w:pPr>
            <w:r w:rsidRPr="00B51F18">
              <w:rPr>
                <w:sz w:val="18"/>
                <w:szCs w:val="18"/>
                <w:lang w:eastAsia="sk-SK"/>
              </w:rPr>
              <w:t>414 034</w:t>
            </w:r>
          </w:p>
        </w:tc>
      </w:tr>
      <w:tr w:rsidR="002E1433" w:rsidRPr="00B51F18" w14:paraId="3A501CEA" w14:textId="77777777" w:rsidTr="002E1433">
        <w:trPr>
          <w:trHeight w:val="330"/>
          <w:jc w:val="center"/>
        </w:trPr>
        <w:tc>
          <w:tcPr>
            <w:tcW w:w="2393" w:type="pct"/>
            <w:tcBorders>
              <w:top w:val="nil"/>
              <w:bottom w:val="nil"/>
              <w:right w:val="nil"/>
            </w:tcBorders>
            <w:vAlign w:val="bottom"/>
          </w:tcPr>
          <w:p w14:paraId="175F5C37" w14:textId="77777777" w:rsidR="002E1433" w:rsidRPr="00B51F18" w:rsidRDefault="002E1433" w:rsidP="001F43C8">
            <w:pPr>
              <w:spacing w:before="120" w:after="0" w:line="240" w:lineRule="auto"/>
              <w:rPr>
                <w:sz w:val="18"/>
                <w:szCs w:val="18"/>
                <w:lang w:eastAsia="sk-SK"/>
              </w:rPr>
            </w:pPr>
            <w:r w:rsidRPr="00B51F18">
              <w:rPr>
                <w:sz w:val="18"/>
                <w:szCs w:val="18"/>
                <w:lang w:eastAsia="sk-SK"/>
              </w:rPr>
              <w:t>Obce a ich rozpočtové a príspevkové organizácie a podniky územnej samosprávy</w:t>
            </w:r>
          </w:p>
        </w:tc>
        <w:tc>
          <w:tcPr>
            <w:tcW w:w="624" w:type="pct"/>
            <w:gridSpan w:val="2"/>
            <w:tcBorders>
              <w:top w:val="nil"/>
              <w:left w:val="nil"/>
              <w:bottom w:val="nil"/>
              <w:right w:val="nil"/>
            </w:tcBorders>
            <w:vAlign w:val="bottom"/>
          </w:tcPr>
          <w:p w14:paraId="406168FF"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67 691</w:t>
            </w:r>
          </w:p>
        </w:tc>
        <w:tc>
          <w:tcPr>
            <w:tcW w:w="669" w:type="pct"/>
            <w:gridSpan w:val="2"/>
            <w:tcBorders>
              <w:top w:val="nil"/>
              <w:left w:val="nil"/>
              <w:bottom w:val="nil"/>
              <w:right w:val="nil"/>
            </w:tcBorders>
            <w:vAlign w:val="bottom"/>
          </w:tcPr>
          <w:p w14:paraId="7405CF42"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113 245</w:t>
            </w:r>
          </w:p>
        </w:tc>
        <w:tc>
          <w:tcPr>
            <w:tcW w:w="661" w:type="pct"/>
            <w:gridSpan w:val="2"/>
            <w:tcBorders>
              <w:top w:val="nil"/>
              <w:left w:val="nil"/>
              <w:bottom w:val="nil"/>
              <w:right w:val="nil"/>
            </w:tcBorders>
            <w:vAlign w:val="bottom"/>
          </w:tcPr>
          <w:p w14:paraId="1DED01E7"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83 935</w:t>
            </w:r>
          </w:p>
        </w:tc>
        <w:tc>
          <w:tcPr>
            <w:tcW w:w="653" w:type="pct"/>
            <w:tcBorders>
              <w:top w:val="nil"/>
              <w:left w:val="nil"/>
              <w:bottom w:val="nil"/>
            </w:tcBorders>
            <w:vAlign w:val="bottom"/>
          </w:tcPr>
          <w:p w14:paraId="286EB630"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-29 310</w:t>
            </w:r>
          </w:p>
        </w:tc>
      </w:tr>
      <w:tr w:rsidR="002E1433" w:rsidRPr="00B51F18" w14:paraId="30B3E6B2" w14:textId="77777777" w:rsidTr="002E1433">
        <w:trPr>
          <w:trHeight w:val="330"/>
          <w:jc w:val="center"/>
        </w:trPr>
        <w:tc>
          <w:tcPr>
            <w:tcW w:w="2393" w:type="pct"/>
            <w:tcBorders>
              <w:top w:val="nil"/>
              <w:right w:val="nil"/>
            </w:tcBorders>
            <w:vAlign w:val="bottom"/>
          </w:tcPr>
          <w:p w14:paraId="2E720FCE" w14:textId="77777777" w:rsidR="002E1433" w:rsidRPr="00B51F18" w:rsidRDefault="002E1433" w:rsidP="001F43C8">
            <w:pPr>
              <w:spacing w:before="120" w:after="0" w:line="240" w:lineRule="auto"/>
              <w:rPr>
                <w:sz w:val="18"/>
                <w:szCs w:val="18"/>
                <w:lang w:eastAsia="sk-SK"/>
              </w:rPr>
            </w:pPr>
            <w:r w:rsidRPr="00B51F18">
              <w:rPr>
                <w:sz w:val="18"/>
                <w:szCs w:val="18"/>
                <w:lang w:eastAsia="sk-SK"/>
              </w:rPr>
              <w:t>Vyššie územné celky a ich rozpočtové a príspevkové organizácie a podniky územnej samosprávy</w:t>
            </w:r>
          </w:p>
        </w:tc>
        <w:tc>
          <w:tcPr>
            <w:tcW w:w="624" w:type="pct"/>
            <w:gridSpan w:val="2"/>
            <w:tcBorders>
              <w:top w:val="nil"/>
              <w:left w:val="nil"/>
              <w:right w:val="nil"/>
            </w:tcBorders>
            <w:vAlign w:val="bottom"/>
          </w:tcPr>
          <w:p w14:paraId="68D520A9"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529</w:t>
            </w:r>
          </w:p>
        </w:tc>
        <w:tc>
          <w:tcPr>
            <w:tcW w:w="669" w:type="pct"/>
            <w:gridSpan w:val="2"/>
            <w:tcBorders>
              <w:top w:val="nil"/>
              <w:left w:val="nil"/>
              <w:right w:val="nil"/>
            </w:tcBorders>
            <w:vAlign w:val="bottom"/>
          </w:tcPr>
          <w:p w14:paraId="5352D088"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1 151</w:t>
            </w:r>
          </w:p>
        </w:tc>
        <w:tc>
          <w:tcPr>
            <w:tcW w:w="661" w:type="pct"/>
            <w:gridSpan w:val="2"/>
            <w:tcBorders>
              <w:top w:val="nil"/>
              <w:left w:val="nil"/>
              <w:right w:val="nil"/>
            </w:tcBorders>
            <w:vAlign w:val="bottom"/>
          </w:tcPr>
          <w:p w14:paraId="2B16C2C8"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81</w:t>
            </w:r>
          </w:p>
        </w:tc>
        <w:tc>
          <w:tcPr>
            <w:tcW w:w="653" w:type="pct"/>
            <w:tcBorders>
              <w:top w:val="nil"/>
              <w:left w:val="nil"/>
            </w:tcBorders>
            <w:vAlign w:val="bottom"/>
          </w:tcPr>
          <w:p w14:paraId="233B302D" w14:textId="77777777" w:rsidR="002E1433" w:rsidRPr="00B51F18" w:rsidRDefault="002E1433" w:rsidP="001F43C8">
            <w:pPr>
              <w:spacing w:before="120" w:after="0" w:line="240" w:lineRule="auto"/>
              <w:jc w:val="right"/>
              <w:rPr>
                <w:sz w:val="18"/>
                <w:szCs w:val="18"/>
                <w:lang w:eastAsia="sk-SK"/>
              </w:rPr>
            </w:pPr>
            <w:r w:rsidRPr="00B51F18">
              <w:rPr>
                <w:sz w:val="18"/>
                <w:szCs w:val="18"/>
                <w:lang w:eastAsia="sk-SK"/>
              </w:rPr>
              <w:t>-1 070</w:t>
            </w:r>
          </w:p>
        </w:tc>
      </w:tr>
      <w:tr w:rsidR="002E1433" w:rsidRPr="00B51F18" w14:paraId="10656CF2" w14:textId="77777777" w:rsidTr="002E1433">
        <w:trPr>
          <w:trHeight w:hRule="exact" w:val="346"/>
          <w:jc w:val="center"/>
        </w:trPr>
        <w:tc>
          <w:tcPr>
            <w:tcW w:w="2520" w:type="pct"/>
            <w:gridSpan w:val="2"/>
            <w:tcBorders>
              <w:right w:val="nil"/>
            </w:tcBorders>
            <w:noWrap/>
            <w:vAlign w:val="center"/>
            <w:hideMark/>
          </w:tcPr>
          <w:p w14:paraId="00A604EC" w14:textId="77777777" w:rsidR="002E1433" w:rsidRPr="00B51F18" w:rsidRDefault="002E1433" w:rsidP="001F43C8">
            <w:pPr>
              <w:spacing w:after="0" w:line="240" w:lineRule="auto"/>
              <w:rPr>
                <w:b/>
                <w:bCs/>
                <w:sz w:val="18"/>
                <w:szCs w:val="18"/>
                <w:lang w:eastAsia="sk-SK"/>
              </w:rPr>
            </w:pPr>
            <w:r w:rsidRPr="00B51F18">
              <w:rPr>
                <w:b/>
                <w:bCs/>
                <w:sz w:val="18"/>
                <w:szCs w:val="18"/>
                <w:lang w:eastAsia="sk-SK"/>
              </w:rPr>
              <w:t>Spolu  (</w:t>
            </w:r>
            <w:r>
              <w:rPr>
                <w:b/>
                <w:bCs/>
                <w:sz w:val="18"/>
                <w:szCs w:val="18"/>
                <w:lang w:eastAsia="sk-SK"/>
              </w:rPr>
              <w:t>ne</w:t>
            </w:r>
            <w:r w:rsidRPr="00B51F18">
              <w:rPr>
                <w:b/>
                <w:bCs/>
                <w:sz w:val="18"/>
                <w:szCs w:val="18"/>
                <w:lang w:eastAsia="sk-SK"/>
              </w:rPr>
              <w:t>konsolidované)</w:t>
            </w:r>
          </w:p>
        </w:tc>
        <w:tc>
          <w:tcPr>
            <w:tcW w:w="594" w:type="pct"/>
            <w:gridSpan w:val="2"/>
            <w:tcBorders>
              <w:left w:val="nil"/>
              <w:right w:val="nil"/>
            </w:tcBorders>
            <w:vAlign w:val="center"/>
          </w:tcPr>
          <w:p w14:paraId="7C17856E" w14:textId="77777777" w:rsidR="002E1433" w:rsidRPr="00B51F18" w:rsidRDefault="002E1433" w:rsidP="001F43C8">
            <w:pPr>
              <w:spacing w:after="0" w:line="240" w:lineRule="auto"/>
              <w:ind w:left="-195" w:right="175"/>
              <w:jc w:val="right"/>
              <w:rPr>
                <w:b/>
                <w:bCs/>
                <w:sz w:val="18"/>
                <w:szCs w:val="18"/>
                <w:lang w:eastAsia="sk-SK"/>
              </w:rPr>
            </w:pPr>
            <w:r>
              <w:rPr>
                <w:b/>
                <w:bCs/>
                <w:sz w:val="18"/>
                <w:szCs w:val="18"/>
                <w:lang w:eastAsia="sk-SK"/>
              </w:rPr>
              <w:t>19 729 488</w:t>
            </w:r>
          </w:p>
        </w:tc>
        <w:tc>
          <w:tcPr>
            <w:tcW w:w="636" w:type="pct"/>
            <w:gridSpan w:val="2"/>
            <w:tcBorders>
              <w:left w:val="nil"/>
              <w:right w:val="nil"/>
            </w:tcBorders>
            <w:vAlign w:val="center"/>
          </w:tcPr>
          <w:p w14:paraId="2D66D9E7" w14:textId="77777777" w:rsidR="002E1433" w:rsidRPr="00B51F18" w:rsidRDefault="002E1433" w:rsidP="001F43C8">
            <w:pPr>
              <w:spacing w:after="0" w:line="240" w:lineRule="auto"/>
              <w:ind w:left="-111" w:right="171"/>
              <w:jc w:val="right"/>
              <w:rPr>
                <w:b/>
                <w:bCs/>
                <w:sz w:val="18"/>
                <w:szCs w:val="18"/>
                <w:lang w:eastAsia="sk-SK"/>
              </w:rPr>
            </w:pPr>
            <w:r>
              <w:rPr>
                <w:b/>
                <w:bCs/>
                <w:sz w:val="18"/>
                <w:szCs w:val="18"/>
                <w:lang w:eastAsia="sk-SK"/>
              </w:rPr>
              <w:t>20 209 065</w:t>
            </w:r>
          </w:p>
        </w:tc>
        <w:tc>
          <w:tcPr>
            <w:tcW w:w="597" w:type="pct"/>
            <w:tcBorders>
              <w:left w:val="nil"/>
              <w:right w:val="nil"/>
            </w:tcBorders>
            <w:vAlign w:val="center"/>
          </w:tcPr>
          <w:p w14:paraId="5DC24B8F" w14:textId="77777777" w:rsidR="002E1433" w:rsidRPr="00B51F18" w:rsidRDefault="002E1433" w:rsidP="001F43C8">
            <w:pPr>
              <w:spacing w:after="0" w:line="240" w:lineRule="auto"/>
              <w:jc w:val="right"/>
              <w:rPr>
                <w:b/>
                <w:bCs/>
                <w:sz w:val="18"/>
                <w:szCs w:val="18"/>
                <w:lang w:eastAsia="sk-SK"/>
              </w:rPr>
            </w:pPr>
            <w:r>
              <w:rPr>
                <w:b/>
                <w:bCs/>
                <w:sz w:val="18"/>
                <w:szCs w:val="18"/>
                <w:lang w:eastAsia="sk-SK"/>
              </w:rPr>
              <w:t>20 592 719</w:t>
            </w:r>
          </w:p>
        </w:tc>
        <w:tc>
          <w:tcPr>
            <w:tcW w:w="653" w:type="pct"/>
            <w:tcBorders>
              <w:left w:val="nil"/>
            </w:tcBorders>
            <w:vAlign w:val="center"/>
          </w:tcPr>
          <w:p w14:paraId="01D98239" w14:textId="77777777" w:rsidR="002E1433" w:rsidRPr="00B51F18" w:rsidRDefault="002E1433" w:rsidP="001F43C8">
            <w:pPr>
              <w:spacing w:after="0"/>
              <w:jc w:val="right"/>
              <w:rPr>
                <w:b/>
                <w:bCs/>
                <w:sz w:val="18"/>
                <w:szCs w:val="18"/>
                <w:lang w:eastAsia="sk-SK"/>
              </w:rPr>
            </w:pPr>
            <w:r>
              <w:rPr>
                <w:b/>
                <w:bCs/>
                <w:sz w:val="18"/>
                <w:szCs w:val="18"/>
                <w:lang w:eastAsia="sk-SK"/>
              </w:rPr>
              <w:t>383 654</w:t>
            </w:r>
          </w:p>
        </w:tc>
      </w:tr>
      <w:tr w:rsidR="002E1433" w:rsidRPr="00B51F18" w14:paraId="7086A3F2" w14:textId="77777777" w:rsidTr="002E1433">
        <w:trPr>
          <w:trHeight w:hRule="exact" w:val="346"/>
          <w:jc w:val="center"/>
        </w:trPr>
        <w:tc>
          <w:tcPr>
            <w:tcW w:w="2520" w:type="pct"/>
            <w:gridSpan w:val="2"/>
            <w:tcBorders>
              <w:right w:val="nil"/>
            </w:tcBorders>
            <w:noWrap/>
            <w:vAlign w:val="center"/>
          </w:tcPr>
          <w:p w14:paraId="1E114826" w14:textId="77777777" w:rsidR="002E1433" w:rsidRPr="00B51F18" w:rsidRDefault="002E1433" w:rsidP="001F43C8">
            <w:pPr>
              <w:spacing w:after="0" w:line="240" w:lineRule="auto"/>
              <w:rPr>
                <w:bCs/>
                <w:sz w:val="18"/>
                <w:szCs w:val="18"/>
                <w:lang w:eastAsia="sk-SK"/>
              </w:rPr>
            </w:pPr>
            <w:r w:rsidRPr="00B51F18">
              <w:rPr>
                <w:bCs/>
                <w:sz w:val="18"/>
                <w:szCs w:val="18"/>
                <w:lang w:eastAsia="sk-SK"/>
              </w:rPr>
              <w:t>Objem konsolidácie</w:t>
            </w:r>
          </w:p>
        </w:tc>
        <w:tc>
          <w:tcPr>
            <w:tcW w:w="594" w:type="pct"/>
            <w:gridSpan w:val="2"/>
            <w:tcBorders>
              <w:left w:val="nil"/>
              <w:right w:val="nil"/>
            </w:tcBorders>
            <w:vAlign w:val="center"/>
          </w:tcPr>
          <w:p w14:paraId="1809A82F" w14:textId="77777777" w:rsidR="002E1433" w:rsidRPr="00B51F18" w:rsidRDefault="002E1433" w:rsidP="001F43C8">
            <w:pPr>
              <w:spacing w:after="0" w:line="240" w:lineRule="auto"/>
              <w:ind w:left="-195" w:right="175"/>
              <w:jc w:val="right"/>
              <w:rPr>
                <w:bCs/>
                <w:sz w:val="18"/>
                <w:szCs w:val="18"/>
                <w:lang w:eastAsia="sk-SK"/>
              </w:rPr>
            </w:pPr>
            <w:r>
              <w:rPr>
                <w:bCs/>
                <w:sz w:val="18"/>
                <w:szCs w:val="18"/>
                <w:lang w:eastAsia="sk-SK"/>
              </w:rPr>
              <w:t>19 402</w:t>
            </w:r>
          </w:p>
        </w:tc>
        <w:tc>
          <w:tcPr>
            <w:tcW w:w="636" w:type="pct"/>
            <w:gridSpan w:val="2"/>
            <w:tcBorders>
              <w:left w:val="nil"/>
              <w:right w:val="nil"/>
            </w:tcBorders>
            <w:vAlign w:val="center"/>
          </w:tcPr>
          <w:p w14:paraId="4585C666" w14:textId="77777777" w:rsidR="002E1433" w:rsidRPr="00B51F18" w:rsidRDefault="002E1433" w:rsidP="001F43C8">
            <w:pPr>
              <w:spacing w:after="0" w:line="240" w:lineRule="auto"/>
              <w:ind w:left="-111" w:right="171"/>
              <w:jc w:val="right"/>
              <w:rPr>
                <w:bCs/>
                <w:sz w:val="18"/>
                <w:szCs w:val="18"/>
                <w:lang w:eastAsia="sk-SK"/>
              </w:rPr>
            </w:pPr>
            <w:r>
              <w:rPr>
                <w:bCs/>
                <w:sz w:val="18"/>
                <w:szCs w:val="18"/>
                <w:lang w:eastAsia="sk-SK"/>
              </w:rPr>
              <w:t>21 175</w:t>
            </w:r>
          </w:p>
        </w:tc>
        <w:tc>
          <w:tcPr>
            <w:tcW w:w="597" w:type="pct"/>
            <w:tcBorders>
              <w:left w:val="nil"/>
              <w:right w:val="nil"/>
            </w:tcBorders>
            <w:vAlign w:val="center"/>
          </w:tcPr>
          <w:p w14:paraId="38192127" w14:textId="77777777" w:rsidR="002E1433" w:rsidRPr="00B51F18" w:rsidRDefault="002E1433" w:rsidP="001F43C8">
            <w:pPr>
              <w:pStyle w:val="Odsekzoznamu"/>
              <w:ind w:left="139"/>
              <w:jc w:val="right"/>
              <w:rPr>
                <w:bCs/>
                <w:sz w:val="18"/>
                <w:szCs w:val="18"/>
              </w:rPr>
            </w:pPr>
            <w:r>
              <w:rPr>
                <w:bCs/>
                <w:sz w:val="18"/>
                <w:szCs w:val="18"/>
              </w:rPr>
              <w:t>347 134</w:t>
            </w:r>
          </w:p>
        </w:tc>
        <w:tc>
          <w:tcPr>
            <w:tcW w:w="653" w:type="pct"/>
            <w:tcBorders>
              <w:left w:val="nil"/>
            </w:tcBorders>
            <w:vAlign w:val="center"/>
          </w:tcPr>
          <w:p w14:paraId="3719B6CD" w14:textId="77777777" w:rsidR="002E1433" w:rsidRPr="00B51F18" w:rsidRDefault="002E1433" w:rsidP="001F43C8">
            <w:pPr>
              <w:spacing w:after="0"/>
              <w:jc w:val="right"/>
              <w:rPr>
                <w:bCs/>
                <w:sz w:val="18"/>
                <w:szCs w:val="18"/>
                <w:lang w:eastAsia="sk-SK"/>
              </w:rPr>
            </w:pPr>
            <w:r>
              <w:rPr>
                <w:bCs/>
                <w:sz w:val="18"/>
                <w:szCs w:val="18"/>
                <w:lang w:eastAsia="sk-SK"/>
              </w:rPr>
              <w:t>325 959</w:t>
            </w:r>
          </w:p>
        </w:tc>
      </w:tr>
      <w:tr w:rsidR="002E1433" w:rsidRPr="00B51F18" w14:paraId="27588E25" w14:textId="77777777" w:rsidTr="002E1433">
        <w:trPr>
          <w:trHeight w:val="273"/>
          <w:jc w:val="center"/>
        </w:trPr>
        <w:tc>
          <w:tcPr>
            <w:tcW w:w="2393" w:type="pct"/>
            <w:tcBorders>
              <w:right w:val="nil"/>
            </w:tcBorders>
            <w:noWrap/>
            <w:vAlign w:val="bottom"/>
            <w:hideMark/>
          </w:tcPr>
          <w:p w14:paraId="784C7412" w14:textId="77777777" w:rsidR="002E1433" w:rsidRPr="00B51F18" w:rsidRDefault="002E1433" w:rsidP="001F43C8">
            <w:pPr>
              <w:spacing w:after="0" w:line="240" w:lineRule="auto"/>
              <w:rPr>
                <w:b/>
                <w:bCs/>
                <w:sz w:val="18"/>
                <w:szCs w:val="18"/>
                <w:lang w:eastAsia="sk-SK"/>
              </w:rPr>
            </w:pPr>
            <w:r w:rsidRPr="00B51F18">
              <w:rPr>
                <w:b/>
                <w:bCs/>
                <w:sz w:val="18"/>
                <w:szCs w:val="18"/>
                <w:lang w:eastAsia="sk-SK"/>
              </w:rPr>
              <w:t xml:space="preserve">Spolu  </w:t>
            </w:r>
            <w:r>
              <w:rPr>
                <w:b/>
                <w:bCs/>
                <w:sz w:val="18"/>
                <w:szCs w:val="18"/>
                <w:lang w:eastAsia="sk-SK"/>
              </w:rPr>
              <w:t>(konsolidované)</w:t>
            </w:r>
          </w:p>
        </w:tc>
        <w:tc>
          <w:tcPr>
            <w:tcW w:w="624" w:type="pct"/>
            <w:gridSpan w:val="2"/>
            <w:tcBorders>
              <w:left w:val="nil"/>
              <w:right w:val="nil"/>
            </w:tcBorders>
            <w:vAlign w:val="bottom"/>
          </w:tcPr>
          <w:p w14:paraId="280DCBCE" w14:textId="77777777" w:rsidR="002E1433" w:rsidRPr="00B51F18" w:rsidRDefault="002E1433" w:rsidP="001F43C8">
            <w:pPr>
              <w:spacing w:after="0" w:line="240" w:lineRule="auto"/>
              <w:ind w:left="-107"/>
              <w:jc w:val="right"/>
              <w:rPr>
                <w:b/>
                <w:bCs/>
                <w:sz w:val="18"/>
                <w:szCs w:val="18"/>
                <w:lang w:eastAsia="sk-SK"/>
              </w:rPr>
            </w:pPr>
            <w:r>
              <w:rPr>
                <w:b/>
                <w:bCs/>
                <w:sz w:val="18"/>
                <w:szCs w:val="18"/>
                <w:lang w:eastAsia="sk-SK"/>
              </w:rPr>
              <w:t>19 710 086</w:t>
            </w:r>
          </w:p>
        </w:tc>
        <w:tc>
          <w:tcPr>
            <w:tcW w:w="669" w:type="pct"/>
            <w:gridSpan w:val="2"/>
            <w:tcBorders>
              <w:left w:val="nil"/>
              <w:right w:val="nil"/>
            </w:tcBorders>
            <w:vAlign w:val="bottom"/>
          </w:tcPr>
          <w:p w14:paraId="34505BA7" w14:textId="77777777" w:rsidR="002E1433" w:rsidRPr="00B51F18" w:rsidRDefault="002E1433" w:rsidP="001F43C8">
            <w:pPr>
              <w:spacing w:after="0" w:line="240" w:lineRule="auto"/>
              <w:jc w:val="right"/>
              <w:rPr>
                <w:b/>
                <w:bCs/>
                <w:sz w:val="18"/>
                <w:szCs w:val="18"/>
                <w:lang w:eastAsia="sk-SK"/>
              </w:rPr>
            </w:pPr>
            <w:r>
              <w:rPr>
                <w:b/>
                <w:bCs/>
                <w:sz w:val="18"/>
                <w:szCs w:val="18"/>
                <w:lang w:eastAsia="sk-SK"/>
              </w:rPr>
              <w:t>20 187 890</w:t>
            </w:r>
          </w:p>
        </w:tc>
        <w:tc>
          <w:tcPr>
            <w:tcW w:w="661" w:type="pct"/>
            <w:gridSpan w:val="2"/>
            <w:tcBorders>
              <w:left w:val="nil"/>
              <w:right w:val="nil"/>
            </w:tcBorders>
            <w:vAlign w:val="bottom"/>
          </w:tcPr>
          <w:p w14:paraId="09D8E9E4" w14:textId="77777777" w:rsidR="002E1433" w:rsidRPr="00B51F18" w:rsidRDefault="002E1433" w:rsidP="001F43C8">
            <w:pPr>
              <w:spacing w:after="0" w:line="240" w:lineRule="auto"/>
              <w:ind w:left="13"/>
              <w:jc w:val="right"/>
              <w:rPr>
                <w:b/>
                <w:bCs/>
                <w:sz w:val="18"/>
                <w:szCs w:val="18"/>
                <w:lang w:eastAsia="sk-SK"/>
              </w:rPr>
            </w:pPr>
            <w:r>
              <w:rPr>
                <w:b/>
                <w:bCs/>
                <w:sz w:val="18"/>
                <w:szCs w:val="18"/>
                <w:lang w:eastAsia="sk-SK"/>
              </w:rPr>
              <w:t>20 245 585</w:t>
            </w:r>
          </w:p>
        </w:tc>
        <w:tc>
          <w:tcPr>
            <w:tcW w:w="653" w:type="pct"/>
            <w:tcBorders>
              <w:left w:val="nil"/>
            </w:tcBorders>
            <w:vAlign w:val="bottom"/>
          </w:tcPr>
          <w:p w14:paraId="61918999" w14:textId="77777777" w:rsidR="002E1433" w:rsidRPr="00B51F18" w:rsidRDefault="002E1433" w:rsidP="001F43C8">
            <w:pPr>
              <w:spacing w:after="0" w:line="240" w:lineRule="auto"/>
              <w:jc w:val="right"/>
              <w:rPr>
                <w:b/>
                <w:bCs/>
                <w:sz w:val="18"/>
                <w:szCs w:val="18"/>
                <w:lang w:eastAsia="sk-SK"/>
              </w:rPr>
            </w:pPr>
            <w:r>
              <w:rPr>
                <w:b/>
                <w:bCs/>
                <w:sz w:val="18"/>
                <w:szCs w:val="18"/>
                <w:lang w:eastAsia="sk-SK"/>
              </w:rPr>
              <w:t>57 695</w:t>
            </w:r>
          </w:p>
        </w:tc>
      </w:tr>
    </w:tbl>
    <w:p w14:paraId="5370F9BF" w14:textId="77777777" w:rsidR="001768B9" w:rsidRPr="0057265E" w:rsidRDefault="001768B9" w:rsidP="001768B9">
      <w:pPr>
        <w:spacing w:after="0" w:line="240" w:lineRule="auto"/>
        <w:jc w:val="both"/>
        <w:rPr>
          <w:sz w:val="18"/>
          <w:szCs w:val="18"/>
          <w:lang w:eastAsia="cs-CZ"/>
        </w:rPr>
      </w:pPr>
    </w:p>
    <w:p w14:paraId="3029E95B" w14:textId="3CC1542F" w:rsidR="001768B9" w:rsidRPr="008F1F43" w:rsidRDefault="001768B9" w:rsidP="001768B9">
      <w:pPr>
        <w:spacing w:after="0" w:line="240" w:lineRule="auto"/>
        <w:jc w:val="both"/>
        <w:rPr>
          <w:szCs w:val="22"/>
          <w:lang w:eastAsia="cs-CZ"/>
        </w:rPr>
      </w:pPr>
      <w:r w:rsidRPr="008F1F43">
        <w:rPr>
          <w:szCs w:val="22"/>
          <w:lang w:eastAsia="cs-CZ"/>
        </w:rPr>
        <w:t xml:space="preserve">Keďže niektoré podmienené záväzky predstavujú vzťah medzi subjektmi verejnej správy, je vhodné prezentovať aj podmienené záväzky ako konsolidované. Hodnotu konsolidácie predstavujú napríklad potenciálne úhrady z konaní jedného subjektu verejnej správy voči inému subjektu verejnej správy, vzájomné súdne spory či poskytnuté záruky, z ktorý by plnenie predstavovalo len presun prostriedkov v rámci verejnej správy. </w:t>
      </w:r>
      <w:r w:rsidRPr="008F1F43">
        <w:rPr>
          <w:szCs w:val="22"/>
          <w:u w:val="single"/>
          <w:lang w:eastAsia="cs-CZ"/>
        </w:rPr>
        <w:t>Takto očistené podmienené záväzky verejnej správy predstavujú 20</w:t>
      </w:r>
      <w:r w:rsidR="009E169A">
        <w:rPr>
          <w:szCs w:val="22"/>
          <w:u w:val="single"/>
          <w:lang w:eastAsia="cs-CZ"/>
        </w:rPr>
        <w:t> </w:t>
      </w:r>
      <w:r w:rsidRPr="008F1F43">
        <w:rPr>
          <w:szCs w:val="22"/>
          <w:u w:val="single"/>
          <w:lang w:eastAsia="cs-CZ"/>
        </w:rPr>
        <w:t>245</w:t>
      </w:r>
      <w:r w:rsidR="009E169A">
        <w:rPr>
          <w:szCs w:val="22"/>
          <w:u w:val="single"/>
          <w:lang w:eastAsia="cs-CZ"/>
        </w:rPr>
        <w:t> </w:t>
      </w:r>
      <w:r w:rsidRPr="008F1F43">
        <w:rPr>
          <w:szCs w:val="22"/>
          <w:u w:val="single"/>
          <w:lang w:eastAsia="cs-CZ"/>
        </w:rPr>
        <w:t>585</w:t>
      </w:r>
      <w:r w:rsidR="009E169A">
        <w:rPr>
          <w:szCs w:val="22"/>
          <w:u w:val="single"/>
          <w:lang w:eastAsia="cs-CZ"/>
        </w:rPr>
        <w:t> </w:t>
      </w:r>
      <w:r w:rsidRPr="008F1F43">
        <w:rPr>
          <w:szCs w:val="22"/>
          <w:u w:val="single"/>
          <w:lang w:eastAsia="cs-CZ"/>
        </w:rPr>
        <w:t>tis.</w:t>
      </w:r>
      <w:r w:rsidR="009E169A">
        <w:rPr>
          <w:szCs w:val="22"/>
          <w:u w:val="single"/>
          <w:lang w:eastAsia="cs-CZ"/>
        </w:rPr>
        <w:t> </w:t>
      </w:r>
      <w:r w:rsidRPr="008F1F43">
        <w:rPr>
          <w:szCs w:val="22"/>
          <w:u w:val="single"/>
          <w:lang w:eastAsia="cs-CZ"/>
        </w:rPr>
        <w:t xml:space="preserve">eur. </w:t>
      </w:r>
    </w:p>
    <w:p w14:paraId="52EA2126" w14:textId="77777777" w:rsidR="001768B9" w:rsidRPr="008F1F43" w:rsidRDefault="001768B9" w:rsidP="001768B9">
      <w:pPr>
        <w:spacing w:after="0" w:line="240" w:lineRule="auto"/>
        <w:ind w:firstLine="567"/>
        <w:jc w:val="both"/>
        <w:rPr>
          <w:szCs w:val="22"/>
          <w:lang w:eastAsia="cs-CZ"/>
        </w:rPr>
      </w:pPr>
    </w:p>
    <w:p w14:paraId="7B068784" w14:textId="77777777" w:rsidR="001768B9" w:rsidRPr="008F1F43" w:rsidRDefault="001768B9" w:rsidP="001768B9">
      <w:pPr>
        <w:spacing w:after="0" w:line="240" w:lineRule="auto"/>
        <w:jc w:val="both"/>
        <w:rPr>
          <w:szCs w:val="22"/>
          <w:lang w:eastAsia="cs-CZ"/>
        </w:rPr>
      </w:pPr>
      <w:r w:rsidRPr="008F1F43">
        <w:rPr>
          <w:szCs w:val="22"/>
          <w:lang w:eastAsia="cs-CZ"/>
        </w:rPr>
        <w:t>Podľa údajov dostupných z účtovných závierok hodnotených subjektov dosiahli podmienené záväzky na nekonsolidovanej báze medziročne celkový nárast o 383 654 tis.</w:t>
      </w:r>
      <w:r w:rsidRPr="008F1F43">
        <w:rPr>
          <w:rFonts w:ascii="Courier" w:hAnsi="Courier" w:cs="Courier"/>
          <w:szCs w:val="22"/>
          <w:lang w:eastAsia="cs-CZ"/>
        </w:rPr>
        <w:t> </w:t>
      </w:r>
      <w:r w:rsidRPr="008F1F43">
        <w:rPr>
          <w:szCs w:val="22"/>
          <w:lang w:eastAsia="cs-CZ"/>
        </w:rPr>
        <w:t>eur (resp. 57 695 tis. eur po konsolidácii). Výsledný nárast je zložený z položiek, ktoré medziročne poklesli a z položiek, ktoré boli zachytené v prehľade prvý krát resp. zaznamenali medziročný nárast.</w:t>
      </w:r>
    </w:p>
    <w:p w14:paraId="4489D58E" w14:textId="77777777" w:rsidR="001768B9" w:rsidRPr="008F1F43" w:rsidRDefault="001768B9" w:rsidP="001768B9">
      <w:pPr>
        <w:spacing w:after="0" w:line="240" w:lineRule="auto"/>
        <w:jc w:val="both"/>
        <w:rPr>
          <w:szCs w:val="22"/>
          <w:lang w:eastAsia="cs-CZ"/>
        </w:rPr>
      </w:pPr>
    </w:p>
    <w:p w14:paraId="76D27323" w14:textId="77777777" w:rsidR="001768B9" w:rsidRPr="008F1F43" w:rsidRDefault="001768B9" w:rsidP="001768B9">
      <w:pPr>
        <w:spacing w:after="0" w:line="240" w:lineRule="auto"/>
        <w:jc w:val="both"/>
        <w:rPr>
          <w:szCs w:val="22"/>
          <w:lang w:eastAsia="cs-CZ"/>
        </w:rPr>
      </w:pPr>
      <w:r w:rsidRPr="008F1F43">
        <w:rPr>
          <w:szCs w:val="22"/>
          <w:lang w:eastAsia="cs-CZ"/>
        </w:rPr>
        <w:t xml:space="preserve">Úrad pre dohľad nad zdravotnou starostlivosťou vykázal hodnotu sporu so súkromnou spoločnosťou z dôvodu nezákonného rozhodnutia úradu pri registrácii novej súkromnej zdravotnej poisťovni, v ktorom spoločnosť požaduje zaplatiť 280 000 tis. eur. Úrad požaduje zamietnuť žalobu v celom rozsahu. Slovenský plynárenský priemysel, </w:t>
      </w:r>
      <w:proofErr w:type="spellStart"/>
      <w:r w:rsidRPr="008F1F43">
        <w:rPr>
          <w:szCs w:val="22"/>
          <w:lang w:eastAsia="cs-CZ"/>
        </w:rPr>
        <w:t>a.s</w:t>
      </w:r>
      <w:proofErr w:type="spellEnd"/>
      <w:r w:rsidRPr="008F1F43">
        <w:rPr>
          <w:szCs w:val="22"/>
          <w:lang w:eastAsia="cs-CZ"/>
        </w:rPr>
        <w:t xml:space="preserve">.  vykázal medziročne vyššie záruky poskytnuté v rámci skupiny v prospech tretích strán o 114 000 tis. eur, Agentúra pre núdzové zásoby ropy a ropných výrobkov zvýšila odhad záruk vystavených v prospech obchodných partnerov o 41 067 tis. eur a Ministerstvo financií SR zvýšilo podsúvahový záväzok z kapitálových vkladov na požiadanie v niektorých medzinárodných finančných inštitúciách o 69 430 tis. eur. Naopak k významnému poklesu došlo medziročne napr. u Kancelárie národnej rady z dôvodu prehodnotenia potenciálneho negatívneho vplyvu zo súdnych sporov vzniknutých v minulosti, o 179 340 tis. eur. </w:t>
      </w:r>
    </w:p>
    <w:p w14:paraId="0297FBA8" w14:textId="77777777" w:rsidR="001768B9" w:rsidRPr="008F1F43" w:rsidRDefault="001768B9" w:rsidP="001768B9">
      <w:pPr>
        <w:spacing w:after="0" w:line="240" w:lineRule="auto"/>
        <w:jc w:val="both"/>
        <w:rPr>
          <w:szCs w:val="22"/>
          <w:lang w:eastAsia="cs-CZ"/>
        </w:rPr>
      </w:pPr>
      <w:r w:rsidRPr="008F1F43">
        <w:rPr>
          <w:szCs w:val="22"/>
          <w:lang w:eastAsia="cs-CZ"/>
        </w:rPr>
        <w:t xml:space="preserve">   </w:t>
      </w:r>
    </w:p>
    <w:p w14:paraId="1B9E0BEA" w14:textId="77777777" w:rsidR="001768B9" w:rsidRPr="008F1F43" w:rsidRDefault="001768B9" w:rsidP="001768B9">
      <w:pPr>
        <w:spacing w:after="0" w:line="240" w:lineRule="auto"/>
        <w:jc w:val="both"/>
        <w:rPr>
          <w:szCs w:val="22"/>
          <w:lang w:eastAsia="cs-CZ"/>
        </w:rPr>
      </w:pPr>
      <w:r w:rsidRPr="008F1F43">
        <w:rPr>
          <w:szCs w:val="22"/>
          <w:lang w:eastAsia="cs-CZ"/>
        </w:rPr>
        <w:t xml:space="preserve">Medzi najvýznamnejšie podmienené záväzky patrí účasť SR na Európskom nástroji finančnej stability (EFSF) a Európskom mechanizme pre stabilitu (ESM). Ďalej sú to hroziace alebo už prebiehajúce súdne spory voči štátnym orgánom alebo podnikom štátnej správy, medzinárodné arbitráže, zabezpečovacie operácie Slovenského plynárenského priemyslu, záložné právo na majetok Slovenských elektrární a ďalšie. </w:t>
      </w:r>
    </w:p>
    <w:p w14:paraId="193BC61C" w14:textId="507E87AE" w:rsidR="00D33788" w:rsidRDefault="00D33788">
      <w:pPr>
        <w:rPr>
          <w:szCs w:val="22"/>
          <w:lang w:eastAsia="cs-CZ"/>
        </w:rPr>
      </w:pPr>
      <w:r>
        <w:rPr>
          <w:szCs w:val="22"/>
          <w:lang w:eastAsia="cs-CZ"/>
        </w:rPr>
        <w:br w:type="page"/>
      </w:r>
    </w:p>
    <w:p w14:paraId="252BF032" w14:textId="77777777" w:rsidR="001768B9" w:rsidRPr="00B82D40" w:rsidRDefault="001768B9" w:rsidP="00D33788">
      <w:pPr>
        <w:spacing w:after="0" w:line="240" w:lineRule="auto"/>
        <w:jc w:val="both"/>
        <w:rPr>
          <w:szCs w:val="22"/>
          <w:lang w:eastAsia="cs-CZ"/>
        </w:rPr>
      </w:pPr>
      <w:r w:rsidRPr="00B82D40">
        <w:rPr>
          <w:szCs w:val="22"/>
          <w:lang w:eastAsia="cs-CZ"/>
        </w:rPr>
        <w:lastRenderedPageBreak/>
        <w:t>Vybrané podmienené záväzky podľa subjektov na nekonsolidovanej báze sú uvedené v nasledovnom prehľade:</w:t>
      </w:r>
    </w:p>
    <w:p w14:paraId="2624E08E" w14:textId="00C4C89D" w:rsidR="001768B9" w:rsidRPr="00DF0EC5" w:rsidRDefault="001768B9" w:rsidP="00D33788">
      <w:pPr>
        <w:keepNext/>
        <w:spacing w:before="120" w:after="0" w:line="240" w:lineRule="auto"/>
        <w:rPr>
          <w:b/>
          <w:iCs/>
          <w:color w:val="4F81BD" w:themeColor="accent1"/>
          <w:sz w:val="20"/>
          <w:szCs w:val="20"/>
        </w:rPr>
      </w:pPr>
      <w:r w:rsidRPr="000B1F5C">
        <w:rPr>
          <w:b/>
          <w:iCs/>
          <w:color w:val="4F81BD" w:themeColor="accent1"/>
          <w:sz w:val="20"/>
          <w:szCs w:val="20"/>
        </w:rPr>
        <w:t xml:space="preserve">Tabuľka </w:t>
      </w:r>
      <w:r w:rsidR="000B1F5C" w:rsidRPr="000B1F5C">
        <w:rPr>
          <w:b/>
          <w:iCs/>
          <w:color w:val="4F81BD" w:themeColor="accent1"/>
          <w:sz w:val="20"/>
          <w:szCs w:val="20"/>
        </w:rPr>
        <w:t>22</w:t>
      </w:r>
      <w:r w:rsidRPr="000B1F5C">
        <w:rPr>
          <w:b/>
          <w:iCs/>
          <w:color w:val="4F81BD" w:themeColor="accent1"/>
          <w:sz w:val="20"/>
          <w:szCs w:val="20"/>
        </w:rPr>
        <w:t xml:space="preserve"> - Prehľad najväčších podmienených záväzkov na nekonsolidovanej báze</w:t>
      </w:r>
      <w:r w:rsidR="000B1F5C">
        <w:rPr>
          <w:b/>
          <w:iCs/>
          <w:color w:val="4F81BD" w:themeColor="accent1"/>
          <w:sz w:val="20"/>
          <w:szCs w:val="20"/>
        </w:rPr>
        <w:t xml:space="preserve">                           v tis. eur</w:t>
      </w:r>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1768B9" w:rsidRPr="0057265E" w14:paraId="3A26F0CC" w14:textId="77777777" w:rsidTr="001768B9">
        <w:trPr>
          <w:trHeight w:val="276"/>
          <w:jc w:val="center"/>
        </w:trPr>
        <w:tc>
          <w:tcPr>
            <w:tcW w:w="4840" w:type="dxa"/>
            <w:tcBorders>
              <w:right w:val="nil"/>
            </w:tcBorders>
            <w:vAlign w:val="center"/>
            <w:hideMark/>
          </w:tcPr>
          <w:p w14:paraId="6FC76B18" w14:textId="1AD93853" w:rsidR="001768B9" w:rsidRPr="0057265E" w:rsidRDefault="001768B9" w:rsidP="001768B9">
            <w:pPr>
              <w:spacing w:after="0" w:line="240" w:lineRule="auto"/>
              <w:rPr>
                <w:color w:val="000000"/>
                <w:sz w:val="16"/>
                <w:szCs w:val="16"/>
                <w:lang w:eastAsia="sk-SK"/>
              </w:rPr>
            </w:pPr>
          </w:p>
        </w:tc>
        <w:tc>
          <w:tcPr>
            <w:tcW w:w="1176" w:type="dxa"/>
            <w:tcBorders>
              <w:left w:val="nil"/>
              <w:right w:val="nil"/>
            </w:tcBorders>
            <w:vAlign w:val="bottom"/>
            <w:hideMark/>
          </w:tcPr>
          <w:p w14:paraId="50646ACF" w14:textId="77777777" w:rsidR="001768B9" w:rsidRPr="0057265E" w:rsidRDefault="001768B9" w:rsidP="001768B9">
            <w:pPr>
              <w:spacing w:after="0" w:line="240" w:lineRule="auto"/>
              <w:jc w:val="right"/>
              <w:rPr>
                <w:b/>
                <w:bCs/>
                <w:sz w:val="16"/>
                <w:szCs w:val="16"/>
                <w:lang w:eastAsia="sk-SK"/>
              </w:rPr>
            </w:pPr>
            <w:r w:rsidRPr="0057265E">
              <w:rPr>
                <w:b/>
                <w:bCs/>
                <w:sz w:val="16"/>
                <w:szCs w:val="16"/>
                <w:lang w:eastAsia="sk-SK"/>
              </w:rPr>
              <w:t>2020</w:t>
            </w:r>
          </w:p>
        </w:tc>
        <w:tc>
          <w:tcPr>
            <w:tcW w:w="1176" w:type="dxa"/>
            <w:tcBorders>
              <w:left w:val="nil"/>
              <w:right w:val="nil"/>
            </w:tcBorders>
            <w:vAlign w:val="bottom"/>
            <w:hideMark/>
          </w:tcPr>
          <w:p w14:paraId="3762610A" w14:textId="77777777" w:rsidR="001768B9" w:rsidRPr="0057265E" w:rsidRDefault="001768B9" w:rsidP="001768B9">
            <w:pPr>
              <w:spacing w:after="0" w:line="240" w:lineRule="auto"/>
              <w:jc w:val="right"/>
              <w:rPr>
                <w:b/>
                <w:bCs/>
                <w:sz w:val="16"/>
                <w:szCs w:val="16"/>
                <w:lang w:eastAsia="sk-SK"/>
              </w:rPr>
            </w:pPr>
            <w:r w:rsidRPr="0057265E">
              <w:rPr>
                <w:b/>
                <w:bCs/>
                <w:sz w:val="16"/>
                <w:szCs w:val="16"/>
                <w:lang w:eastAsia="sk-SK"/>
              </w:rPr>
              <w:t>2021</w:t>
            </w:r>
          </w:p>
        </w:tc>
        <w:tc>
          <w:tcPr>
            <w:tcW w:w="1176" w:type="dxa"/>
            <w:tcBorders>
              <w:left w:val="nil"/>
              <w:right w:val="nil"/>
            </w:tcBorders>
            <w:vAlign w:val="bottom"/>
            <w:hideMark/>
          </w:tcPr>
          <w:p w14:paraId="54318E4E" w14:textId="77777777" w:rsidR="001768B9" w:rsidRPr="0057265E" w:rsidRDefault="001768B9" w:rsidP="001768B9">
            <w:pPr>
              <w:spacing w:after="0" w:line="240" w:lineRule="auto"/>
              <w:jc w:val="right"/>
              <w:rPr>
                <w:b/>
                <w:bCs/>
                <w:sz w:val="16"/>
                <w:szCs w:val="16"/>
                <w:lang w:eastAsia="sk-SK"/>
              </w:rPr>
            </w:pPr>
            <w:r w:rsidRPr="0057265E">
              <w:rPr>
                <w:b/>
                <w:bCs/>
                <w:sz w:val="16"/>
                <w:szCs w:val="16"/>
                <w:lang w:eastAsia="sk-SK"/>
              </w:rPr>
              <w:t>202</w:t>
            </w:r>
            <w:r>
              <w:rPr>
                <w:b/>
                <w:bCs/>
                <w:sz w:val="16"/>
                <w:szCs w:val="16"/>
                <w:lang w:eastAsia="sk-SK"/>
              </w:rPr>
              <w:t>2</w:t>
            </w:r>
          </w:p>
        </w:tc>
        <w:tc>
          <w:tcPr>
            <w:tcW w:w="1236" w:type="dxa"/>
            <w:tcBorders>
              <w:left w:val="nil"/>
            </w:tcBorders>
            <w:vAlign w:val="bottom"/>
            <w:hideMark/>
          </w:tcPr>
          <w:p w14:paraId="0C2D1FBB" w14:textId="77777777" w:rsidR="001768B9" w:rsidRPr="0057265E" w:rsidRDefault="001768B9" w:rsidP="001768B9">
            <w:pPr>
              <w:spacing w:after="0" w:line="240" w:lineRule="auto"/>
              <w:jc w:val="right"/>
              <w:rPr>
                <w:b/>
                <w:bCs/>
                <w:sz w:val="16"/>
                <w:szCs w:val="16"/>
                <w:lang w:eastAsia="sk-SK"/>
              </w:rPr>
            </w:pPr>
            <w:r w:rsidRPr="0057265E">
              <w:rPr>
                <w:b/>
                <w:bCs/>
                <w:sz w:val="16"/>
                <w:szCs w:val="16"/>
                <w:lang w:eastAsia="sk-SK"/>
              </w:rPr>
              <w:t>Δ202</w:t>
            </w:r>
            <w:r>
              <w:rPr>
                <w:b/>
                <w:bCs/>
                <w:sz w:val="16"/>
                <w:szCs w:val="16"/>
                <w:lang w:eastAsia="sk-SK"/>
              </w:rPr>
              <w:t>2</w:t>
            </w:r>
            <w:r w:rsidRPr="0057265E">
              <w:rPr>
                <w:b/>
                <w:bCs/>
                <w:sz w:val="16"/>
                <w:szCs w:val="16"/>
                <w:lang w:eastAsia="sk-SK"/>
              </w:rPr>
              <w:t>-202</w:t>
            </w:r>
            <w:r>
              <w:rPr>
                <w:b/>
                <w:bCs/>
                <w:sz w:val="16"/>
                <w:szCs w:val="16"/>
                <w:lang w:eastAsia="sk-SK"/>
              </w:rPr>
              <w:t>1</w:t>
            </w:r>
          </w:p>
        </w:tc>
      </w:tr>
      <w:tr w:rsidR="001768B9" w:rsidRPr="0057265E" w14:paraId="2E8DC430" w14:textId="77777777" w:rsidTr="001768B9">
        <w:trPr>
          <w:trHeight w:val="276"/>
          <w:jc w:val="center"/>
        </w:trPr>
        <w:tc>
          <w:tcPr>
            <w:tcW w:w="4840" w:type="dxa"/>
            <w:tcBorders>
              <w:right w:val="nil"/>
            </w:tcBorders>
            <w:noWrap/>
            <w:vAlign w:val="bottom"/>
            <w:hideMark/>
          </w:tcPr>
          <w:p w14:paraId="02F08DDE"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 xml:space="preserve">Kapitál na požiadanie a záruky </w:t>
            </w:r>
          </w:p>
          <w:p w14:paraId="617F2343"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v medzinárodných finančných inštitúciách</w:t>
            </w:r>
          </w:p>
        </w:tc>
        <w:tc>
          <w:tcPr>
            <w:tcW w:w="1176" w:type="dxa"/>
            <w:tcBorders>
              <w:left w:val="nil"/>
              <w:right w:val="nil"/>
            </w:tcBorders>
            <w:vAlign w:val="center"/>
            <w:hideMark/>
          </w:tcPr>
          <w:p w14:paraId="6578A239"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9 775 515</w:t>
            </w:r>
          </w:p>
        </w:tc>
        <w:tc>
          <w:tcPr>
            <w:tcW w:w="1176" w:type="dxa"/>
            <w:tcBorders>
              <w:left w:val="nil"/>
              <w:right w:val="nil"/>
            </w:tcBorders>
            <w:vAlign w:val="center"/>
            <w:hideMark/>
          </w:tcPr>
          <w:p w14:paraId="5FF4503A"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9 810 129</w:t>
            </w:r>
          </w:p>
        </w:tc>
        <w:tc>
          <w:tcPr>
            <w:tcW w:w="1176" w:type="dxa"/>
            <w:tcBorders>
              <w:left w:val="nil"/>
              <w:right w:val="nil"/>
            </w:tcBorders>
            <w:vAlign w:val="center"/>
          </w:tcPr>
          <w:p w14:paraId="3AB6B403"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9 879 746</w:t>
            </w:r>
          </w:p>
        </w:tc>
        <w:tc>
          <w:tcPr>
            <w:tcW w:w="1236" w:type="dxa"/>
            <w:tcBorders>
              <w:left w:val="nil"/>
            </w:tcBorders>
            <w:vAlign w:val="center"/>
            <w:hideMark/>
          </w:tcPr>
          <w:p w14:paraId="0E24A2FF"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69 617</w:t>
            </w:r>
          </w:p>
        </w:tc>
      </w:tr>
      <w:tr w:rsidR="001768B9" w:rsidRPr="0057265E" w14:paraId="61287F4E" w14:textId="77777777" w:rsidTr="001768B9">
        <w:trPr>
          <w:trHeight w:val="276"/>
          <w:jc w:val="center"/>
        </w:trPr>
        <w:tc>
          <w:tcPr>
            <w:tcW w:w="4840" w:type="dxa"/>
            <w:tcBorders>
              <w:bottom w:val="nil"/>
              <w:right w:val="nil"/>
            </w:tcBorders>
            <w:vAlign w:val="center"/>
            <w:hideMark/>
          </w:tcPr>
          <w:p w14:paraId="0FAC3E15"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Európsky mechanizmus pre stabilitu (ESM)</w:t>
            </w:r>
          </w:p>
        </w:tc>
        <w:tc>
          <w:tcPr>
            <w:tcW w:w="1176" w:type="dxa"/>
            <w:tcBorders>
              <w:left w:val="nil"/>
              <w:bottom w:val="nil"/>
              <w:right w:val="nil"/>
            </w:tcBorders>
            <w:vAlign w:val="center"/>
            <w:hideMark/>
          </w:tcPr>
          <w:p w14:paraId="5DD65A8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6 148 450</w:t>
            </w:r>
          </w:p>
        </w:tc>
        <w:tc>
          <w:tcPr>
            <w:tcW w:w="1176" w:type="dxa"/>
            <w:tcBorders>
              <w:left w:val="nil"/>
              <w:bottom w:val="nil"/>
              <w:right w:val="nil"/>
            </w:tcBorders>
            <w:vAlign w:val="center"/>
            <w:hideMark/>
          </w:tcPr>
          <w:p w14:paraId="035C0860"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6 148 450</w:t>
            </w:r>
          </w:p>
        </w:tc>
        <w:tc>
          <w:tcPr>
            <w:tcW w:w="1176" w:type="dxa"/>
            <w:tcBorders>
              <w:left w:val="nil"/>
              <w:bottom w:val="nil"/>
              <w:right w:val="nil"/>
            </w:tcBorders>
            <w:vAlign w:val="center"/>
          </w:tcPr>
          <w:p w14:paraId="7CB9ECBD"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6 1448 450</w:t>
            </w:r>
          </w:p>
        </w:tc>
        <w:tc>
          <w:tcPr>
            <w:tcW w:w="1236" w:type="dxa"/>
            <w:tcBorders>
              <w:left w:val="nil"/>
              <w:bottom w:val="nil"/>
            </w:tcBorders>
            <w:vAlign w:val="center"/>
            <w:hideMark/>
          </w:tcPr>
          <w:p w14:paraId="03BC12C3"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3EB778B1" w14:textId="77777777" w:rsidTr="001768B9">
        <w:trPr>
          <w:trHeight w:val="276"/>
          <w:jc w:val="center"/>
        </w:trPr>
        <w:tc>
          <w:tcPr>
            <w:tcW w:w="4840" w:type="dxa"/>
            <w:tcBorders>
              <w:top w:val="nil"/>
              <w:bottom w:val="nil"/>
              <w:right w:val="nil"/>
            </w:tcBorders>
            <w:vAlign w:val="center"/>
            <w:hideMark/>
          </w:tcPr>
          <w:p w14:paraId="69A8C394"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Európsky nástroj finančnej stability (EFSF)</w:t>
            </w:r>
          </w:p>
        </w:tc>
        <w:tc>
          <w:tcPr>
            <w:tcW w:w="1176" w:type="dxa"/>
            <w:tcBorders>
              <w:top w:val="nil"/>
              <w:left w:val="nil"/>
              <w:bottom w:val="nil"/>
              <w:right w:val="nil"/>
            </w:tcBorders>
            <w:vAlign w:val="center"/>
            <w:hideMark/>
          </w:tcPr>
          <w:p w14:paraId="0A63E25B"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2 372 001</w:t>
            </w:r>
          </w:p>
        </w:tc>
        <w:tc>
          <w:tcPr>
            <w:tcW w:w="1176" w:type="dxa"/>
            <w:tcBorders>
              <w:top w:val="nil"/>
              <w:left w:val="nil"/>
              <w:bottom w:val="nil"/>
              <w:right w:val="nil"/>
            </w:tcBorders>
            <w:vAlign w:val="center"/>
            <w:hideMark/>
          </w:tcPr>
          <w:p w14:paraId="34EF6B84"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2 288 850</w:t>
            </w:r>
          </w:p>
        </w:tc>
        <w:tc>
          <w:tcPr>
            <w:tcW w:w="1176" w:type="dxa"/>
            <w:tcBorders>
              <w:top w:val="nil"/>
              <w:left w:val="nil"/>
              <w:bottom w:val="nil"/>
              <w:right w:val="nil"/>
            </w:tcBorders>
            <w:vAlign w:val="center"/>
          </w:tcPr>
          <w:p w14:paraId="5FFC721B"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2 316 757</w:t>
            </w:r>
          </w:p>
        </w:tc>
        <w:tc>
          <w:tcPr>
            <w:tcW w:w="1236" w:type="dxa"/>
            <w:tcBorders>
              <w:top w:val="nil"/>
              <w:left w:val="nil"/>
              <w:bottom w:val="nil"/>
            </w:tcBorders>
            <w:vAlign w:val="center"/>
            <w:hideMark/>
          </w:tcPr>
          <w:p w14:paraId="72B256C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27 907</w:t>
            </w:r>
          </w:p>
        </w:tc>
      </w:tr>
      <w:tr w:rsidR="001768B9" w:rsidRPr="0057265E" w14:paraId="555C5EA0" w14:textId="77777777" w:rsidTr="001768B9">
        <w:trPr>
          <w:trHeight w:val="276"/>
          <w:jc w:val="center"/>
        </w:trPr>
        <w:tc>
          <w:tcPr>
            <w:tcW w:w="4840" w:type="dxa"/>
            <w:tcBorders>
              <w:top w:val="nil"/>
              <w:bottom w:val="nil"/>
              <w:right w:val="nil"/>
            </w:tcBorders>
            <w:noWrap/>
            <w:vAlign w:val="bottom"/>
            <w:hideMark/>
          </w:tcPr>
          <w:p w14:paraId="1F9DEFE6"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Európska investičná banka </w:t>
            </w:r>
          </w:p>
        </w:tc>
        <w:tc>
          <w:tcPr>
            <w:tcW w:w="1176" w:type="dxa"/>
            <w:tcBorders>
              <w:top w:val="nil"/>
              <w:left w:val="nil"/>
              <w:bottom w:val="nil"/>
              <w:right w:val="nil"/>
            </w:tcBorders>
            <w:vAlign w:val="center"/>
            <w:hideMark/>
          </w:tcPr>
          <w:p w14:paraId="09091CFB"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684 231</w:t>
            </w:r>
          </w:p>
        </w:tc>
        <w:tc>
          <w:tcPr>
            <w:tcW w:w="1176" w:type="dxa"/>
            <w:tcBorders>
              <w:top w:val="nil"/>
              <w:left w:val="nil"/>
              <w:bottom w:val="nil"/>
              <w:right w:val="nil"/>
            </w:tcBorders>
            <w:vAlign w:val="center"/>
            <w:hideMark/>
          </w:tcPr>
          <w:p w14:paraId="3DA9752B"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684 231</w:t>
            </w:r>
          </w:p>
        </w:tc>
        <w:tc>
          <w:tcPr>
            <w:tcW w:w="1176" w:type="dxa"/>
            <w:tcBorders>
              <w:top w:val="nil"/>
              <w:left w:val="nil"/>
              <w:bottom w:val="nil"/>
              <w:right w:val="nil"/>
            </w:tcBorders>
            <w:vAlign w:val="center"/>
          </w:tcPr>
          <w:p w14:paraId="2900BE00"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684 231</w:t>
            </w:r>
          </w:p>
        </w:tc>
        <w:tc>
          <w:tcPr>
            <w:tcW w:w="1236" w:type="dxa"/>
            <w:tcBorders>
              <w:top w:val="nil"/>
              <w:left w:val="nil"/>
              <w:bottom w:val="nil"/>
            </w:tcBorders>
            <w:vAlign w:val="center"/>
            <w:hideMark/>
          </w:tcPr>
          <w:p w14:paraId="1C85D580"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650BABA7" w14:textId="77777777" w:rsidTr="001768B9">
        <w:trPr>
          <w:trHeight w:val="276"/>
          <w:jc w:val="center"/>
        </w:trPr>
        <w:tc>
          <w:tcPr>
            <w:tcW w:w="4840" w:type="dxa"/>
            <w:tcBorders>
              <w:top w:val="nil"/>
              <w:bottom w:val="nil"/>
              <w:right w:val="nil"/>
            </w:tcBorders>
            <w:vAlign w:val="center"/>
            <w:hideMark/>
          </w:tcPr>
          <w:p w14:paraId="53A6F2C5"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Medzinárodná banka pre obnovu a rozvoj </w:t>
            </w:r>
          </w:p>
        </w:tc>
        <w:tc>
          <w:tcPr>
            <w:tcW w:w="1176" w:type="dxa"/>
            <w:tcBorders>
              <w:top w:val="nil"/>
              <w:left w:val="nil"/>
              <w:bottom w:val="nil"/>
              <w:right w:val="nil"/>
            </w:tcBorders>
            <w:vAlign w:val="center"/>
            <w:hideMark/>
          </w:tcPr>
          <w:p w14:paraId="46BC56D1"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400 805</w:t>
            </w:r>
          </w:p>
        </w:tc>
        <w:tc>
          <w:tcPr>
            <w:tcW w:w="1176" w:type="dxa"/>
            <w:tcBorders>
              <w:top w:val="nil"/>
              <w:left w:val="nil"/>
              <w:bottom w:val="nil"/>
              <w:right w:val="nil"/>
            </w:tcBorders>
            <w:vAlign w:val="center"/>
            <w:hideMark/>
          </w:tcPr>
          <w:p w14:paraId="425B754E"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447 286</w:t>
            </w:r>
          </w:p>
        </w:tc>
        <w:tc>
          <w:tcPr>
            <w:tcW w:w="1176" w:type="dxa"/>
            <w:tcBorders>
              <w:top w:val="nil"/>
              <w:left w:val="nil"/>
              <w:bottom w:val="nil"/>
              <w:right w:val="nil"/>
            </w:tcBorders>
            <w:vAlign w:val="center"/>
          </w:tcPr>
          <w:p w14:paraId="49B001F5"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488 809</w:t>
            </w:r>
          </w:p>
        </w:tc>
        <w:tc>
          <w:tcPr>
            <w:tcW w:w="1236" w:type="dxa"/>
            <w:tcBorders>
              <w:top w:val="nil"/>
              <w:left w:val="nil"/>
              <w:bottom w:val="nil"/>
            </w:tcBorders>
            <w:vAlign w:val="center"/>
            <w:hideMark/>
          </w:tcPr>
          <w:p w14:paraId="0047FEEE"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w:t>
            </w:r>
            <w:r>
              <w:rPr>
                <w:color w:val="000000"/>
                <w:sz w:val="16"/>
                <w:szCs w:val="16"/>
                <w:lang w:eastAsia="sk-SK"/>
              </w:rPr>
              <w:t>1 523</w:t>
            </w:r>
          </w:p>
        </w:tc>
      </w:tr>
      <w:tr w:rsidR="001768B9" w:rsidRPr="0057265E" w14:paraId="68D3E170" w14:textId="77777777" w:rsidTr="001768B9">
        <w:trPr>
          <w:trHeight w:val="276"/>
          <w:jc w:val="center"/>
        </w:trPr>
        <w:tc>
          <w:tcPr>
            <w:tcW w:w="4840" w:type="dxa"/>
            <w:tcBorders>
              <w:top w:val="nil"/>
              <w:bottom w:val="nil"/>
              <w:right w:val="nil"/>
            </w:tcBorders>
            <w:vAlign w:val="center"/>
            <w:hideMark/>
          </w:tcPr>
          <w:p w14:paraId="0BC5128B"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Európska banka pre obnovu a rozvoj</w:t>
            </w:r>
          </w:p>
        </w:tc>
        <w:tc>
          <w:tcPr>
            <w:tcW w:w="1176" w:type="dxa"/>
            <w:tcBorders>
              <w:top w:val="nil"/>
              <w:left w:val="nil"/>
              <w:bottom w:val="nil"/>
              <w:right w:val="nil"/>
            </w:tcBorders>
            <w:vAlign w:val="center"/>
            <w:hideMark/>
          </w:tcPr>
          <w:p w14:paraId="22651D70"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101 359</w:t>
            </w:r>
          </w:p>
        </w:tc>
        <w:tc>
          <w:tcPr>
            <w:tcW w:w="1176" w:type="dxa"/>
            <w:tcBorders>
              <w:top w:val="nil"/>
              <w:left w:val="nil"/>
              <w:bottom w:val="nil"/>
              <w:right w:val="nil"/>
            </w:tcBorders>
            <w:vAlign w:val="center"/>
            <w:hideMark/>
          </w:tcPr>
          <w:p w14:paraId="1C271B5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101 359</w:t>
            </w:r>
          </w:p>
        </w:tc>
        <w:tc>
          <w:tcPr>
            <w:tcW w:w="1176" w:type="dxa"/>
            <w:tcBorders>
              <w:top w:val="nil"/>
              <w:left w:val="nil"/>
              <w:bottom w:val="nil"/>
              <w:right w:val="nil"/>
            </w:tcBorders>
            <w:vAlign w:val="center"/>
          </w:tcPr>
          <w:p w14:paraId="2350C7A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101 359</w:t>
            </w:r>
          </w:p>
        </w:tc>
        <w:tc>
          <w:tcPr>
            <w:tcW w:w="1236" w:type="dxa"/>
            <w:tcBorders>
              <w:top w:val="nil"/>
              <w:left w:val="nil"/>
              <w:bottom w:val="nil"/>
            </w:tcBorders>
            <w:vAlign w:val="center"/>
            <w:hideMark/>
          </w:tcPr>
          <w:p w14:paraId="6D080C7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6EF5A0CB" w14:textId="77777777" w:rsidTr="001768B9">
        <w:trPr>
          <w:trHeight w:val="276"/>
          <w:jc w:val="center"/>
        </w:trPr>
        <w:tc>
          <w:tcPr>
            <w:tcW w:w="4840" w:type="dxa"/>
            <w:tcBorders>
              <w:top w:val="nil"/>
              <w:bottom w:val="nil"/>
              <w:right w:val="nil"/>
            </w:tcBorders>
            <w:vAlign w:val="center"/>
            <w:hideMark/>
          </w:tcPr>
          <w:p w14:paraId="237C7136"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Rozvojová banka rady Európy</w:t>
            </w:r>
          </w:p>
        </w:tc>
        <w:tc>
          <w:tcPr>
            <w:tcW w:w="1176" w:type="dxa"/>
            <w:tcBorders>
              <w:top w:val="nil"/>
              <w:left w:val="nil"/>
              <w:bottom w:val="nil"/>
              <w:right w:val="nil"/>
            </w:tcBorders>
            <w:vAlign w:val="center"/>
            <w:hideMark/>
          </w:tcPr>
          <w:p w14:paraId="780FF131"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16 854</w:t>
            </w:r>
          </w:p>
        </w:tc>
        <w:tc>
          <w:tcPr>
            <w:tcW w:w="1176" w:type="dxa"/>
            <w:tcBorders>
              <w:top w:val="nil"/>
              <w:left w:val="nil"/>
              <w:bottom w:val="nil"/>
              <w:right w:val="nil"/>
            </w:tcBorders>
            <w:vAlign w:val="center"/>
            <w:hideMark/>
          </w:tcPr>
          <w:p w14:paraId="16A4D712"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16 854</w:t>
            </w:r>
          </w:p>
        </w:tc>
        <w:tc>
          <w:tcPr>
            <w:tcW w:w="1176" w:type="dxa"/>
            <w:tcBorders>
              <w:top w:val="nil"/>
              <w:left w:val="nil"/>
              <w:bottom w:val="nil"/>
              <w:right w:val="nil"/>
            </w:tcBorders>
            <w:vAlign w:val="center"/>
          </w:tcPr>
          <w:p w14:paraId="4CDB812A"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16 854</w:t>
            </w:r>
          </w:p>
        </w:tc>
        <w:tc>
          <w:tcPr>
            <w:tcW w:w="1236" w:type="dxa"/>
            <w:tcBorders>
              <w:top w:val="nil"/>
              <w:left w:val="nil"/>
              <w:bottom w:val="nil"/>
            </w:tcBorders>
            <w:vAlign w:val="center"/>
            <w:hideMark/>
          </w:tcPr>
          <w:p w14:paraId="1BF707DE"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0D54A226" w14:textId="77777777" w:rsidTr="001768B9">
        <w:trPr>
          <w:trHeight w:val="276"/>
          <w:jc w:val="center"/>
        </w:trPr>
        <w:tc>
          <w:tcPr>
            <w:tcW w:w="4840" w:type="dxa"/>
            <w:tcBorders>
              <w:top w:val="nil"/>
              <w:bottom w:val="nil"/>
              <w:right w:val="nil"/>
            </w:tcBorders>
            <w:vAlign w:val="center"/>
            <w:hideMark/>
          </w:tcPr>
          <w:p w14:paraId="60268115"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Medzinárodná banka pre hospodársku spoluprácu</w:t>
            </w:r>
          </w:p>
        </w:tc>
        <w:tc>
          <w:tcPr>
            <w:tcW w:w="1176" w:type="dxa"/>
            <w:tcBorders>
              <w:top w:val="nil"/>
              <w:left w:val="nil"/>
              <w:bottom w:val="nil"/>
              <w:right w:val="nil"/>
            </w:tcBorders>
            <w:noWrap/>
            <w:vAlign w:val="bottom"/>
            <w:hideMark/>
          </w:tcPr>
          <w:p w14:paraId="4032EDD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10 658</w:t>
            </w:r>
          </w:p>
        </w:tc>
        <w:tc>
          <w:tcPr>
            <w:tcW w:w="1176" w:type="dxa"/>
            <w:tcBorders>
              <w:top w:val="nil"/>
              <w:left w:val="nil"/>
              <w:bottom w:val="nil"/>
              <w:right w:val="nil"/>
            </w:tcBorders>
            <w:noWrap/>
            <w:vAlign w:val="center"/>
            <w:hideMark/>
          </w:tcPr>
          <w:p w14:paraId="7CDB9B42"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10 658</w:t>
            </w:r>
          </w:p>
        </w:tc>
        <w:tc>
          <w:tcPr>
            <w:tcW w:w="1176" w:type="dxa"/>
            <w:tcBorders>
              <w:top w:val="nil"/>
              <w:left w:val="nil"/>
              <w:bottom w:val="nil"/>
              <w:right w:val="nil"/>
            </w:tcBorders>
            <w:vAlign w:val="center"/>
          </w:tcPr>
          <w:p w14:paraId="0FE035BB"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10 658</w:t>
            </w:r>
          </w:p>
        </w:tc>
        <w:tc>
          <w:tcPr>
            <w:tcW w:w="1236" w:type="dxa"/>
            <w:tcBorders>
              <w:top w:val="nil"/>
              <w:left w:val="nil"/>
              <w:bottom w:val="nil"/>
            </w:tcBorders>
            <w:vAlign w:val="center"/>
            <w:hideMark/>
          </w:tcPr>
          <w:p w14:paraId="2779F910"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380EF2D6" w14:textId="77777777" w:rsidTr="001768B9">
        <w:trPr>
          <w:trHeight w:val="276"/>
          <w:jc w:val="center"/>
        </w:trPr>
        <w:tc>
          <w:tcPr>
            <w:tcW w:w="4840" w:type="dxa"/>
            <w:tcBorders>
              <w:top w:val="nil"/>
              <w:bottom w:val="nil"/>
              <w:right w:val="nil"/>
            </w:tcBorders>
            <w:noWrap/>
            <w:vAlign w:val="bottom"/>
            <w:hideMark/>
          </w:tcPr>
          <w:p w14:paraId="02DD3C4A"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Mnohostranná agentúra pre investičné záruky </w:t>
            </w:r>
          </w:p>
        </w:tc>
        <w:tc>
          <w:tcPr>
            <w:tcW w:w="1176" w:type="dxa"/>
            <w:tcBorders>
              <w:top w:val="nil"/>
              <w:left w:val="nil"/>
              <w:bottom w:val="nil"/>
              <w:right w:val="nil"/>
            </w:tcBorders>
            <w:vAlign w:val="center"/>
            <w:hideMark/>
          </w:tcPr>
          <w:p w14:paraId="7C5E83FF"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2 793</w:t>
            </w:r>
          </w:p>
        </w:tc>
        <w:tc>
          <w:tcPr>
            <w:tcW w:w="1176" w:type="dxa"/>
            <w:tcBorders>
              <w:top w:val="nil"/>
              <w:left w:val="nil"/>
              <w:bottom w:val="nil"/>
              <w:right w:val="nil"/>
            </w:tcBorders>
            <w:vAlign w:val="center"/>
            <w:hideMark/>
          </w:tcPr>
          <w:p w14:paraId="50FAD8C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3 026</w:t>
            </w:r>
          </w:p>
        </w:tc>
        <w:tc>
          <w:tcPr>
            <w:tcW w:w="1176" w:type="dxa"/>
            <w:tcBorders>
              <w:top w:val="nil"/>
              <w:left w:val="nil"/>
              <w:bottom w:val="nil"/>
              <w:right w:val="nil"/>
            </w:tcBorders>
            <w:vAlign w:val="center"/>
          </w:tcPr>
          <w:p w14:paraId="425B46E6"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3 213</w:t>
            </w:r>
          </w:p>
        </w:tc>
        <w:tc>
          <w:tcPr>
            <w:tcW w:w="1236" w:type="dxa"/>
            <w:tcBorders>
              <w:top w:val="nil"/>
              <w:left w:val="nil"/>
              <w:bottom w:val="nil"/>
            </w:tcBorders>
            <w:vAlign w:val="center"/>
            <w:hideMark/>
          </w:tcPr>
          <w:p w14:paraId="42BBC204"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187</w:t>
            </w:r>
          </w:p>
        </w:tc>
      </w:tr>
      <w:tr w:rsidR="001768B9" w:rsidRPr="0057265E" w14:paraId="660BAFFF" w14:textId="77777777" w:rsidTr="001768B9">
        <w:trPr>
          <w:trHeight w:val="276"/>
          <w:jc w:val="center"/>
        </w:trPr>
        <w:tc>
          <w:tcPr>
            <w:tcW w:w="4840" w:type="dxa"/>
            <w:tcBorders>
              <w:top w:val="nil"/>
              <w:bottom w:val="nil"/>
              <w:right w:val="nil"/>
            </w:tcBorders>
            <w:noWrap/>
            <w:vAlign w:val="bottom"/>
            <w:hideMark/>
          </w:tcPr>
          <w:p w14:paraId="3086DE59"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Medzinárodná investičná banka </w:t>
            </w:r>
          </w:p>
        </w:tc>
        <w:tc>
          <w:tcPr>
            <w:tcW w:w="1176" w:type="dxa"/>
            <w:tcBorders>
              <w:top w:val="nil"/>
              <w:left w:val="nil"/>
              <w:bottom w:val="nil"/>
              <w:right w:val="nil"/>
            </w:tcBorders>
            <w:vAlign w:val="center"/>
            <w:hideMark/>
          </w:tcPr>
          <w:p w14:paraId="410CD7AB"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38 364</w:t>
            </w:r>
          </w:p>
        </w:tc>
        <w:tc>
          <w:tcPr>
            <w:tcW w:w="1176" w:type="dxa"/>
            <w:tcBorders>
              <w:top w:val="nil"/>
              <w:left w:val="nil"/>
              <w:bottom w:val="nil"/>
              <w:right w:val="nil"/>
            </w:tcBorders>
            <w:vAlign w:val="center"/>
            <w:hideMark/>
          </w:tcPr>
          <w:p w14:paraId="24BAA512"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33 931</w:t>
            </w:r>
          </w:p>
        </w:tc>
        <w:tc>
          <w:tcPr>
            <w:tcW w:w="1176" w:type="dxa"/>
            <w:tcBorders>
              <w:top w:val="nil"/>
              <w:left w:val="nil"/>
              <w:bottom w:val="nil"/>
              <w:right w:val="nil"/>
            </w:tcBorders>
            <w:vAlign w:val="center"/>
          </w:tcPr>
          <w:p w14:paraId="275B773C"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33 931</w:t>
            </w:r>
          </w:p>
        </w:tc>
        <w:tc>
          <w:tcPr>
            <w:tcW w:w="1236" w:type="dxa"/>
            <w:tcBorders>
              <w:top w:val="nil"/>
              <w:left w:val="nil"/>
              <w:bottom w:val="nil"/>
            </w:tcBorders>
            <w:vAlign w:val="center"/>
            <w:hideMark/>
          </w:tcPr>
          <w:p w14:paraId="7AFA0E8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r>
      <w:tr w:rsidR="001768B9" w:rsidRPr="0057265E" w14:paraId="30BC1DEA" w14:textId="77777777" w:rsidTr="001768B9">
        <w:trPr>
          <w:trHeight w:val="276"/>
          <w:jc w:val="center"/>
        </w:trPr>
        <w:tc>
          <w:tcPr>
            <w:tcW w:w="4840" w:type="dxa"/>
            <w:tcBorders>
              <w:top w:val="nil"/>
              <w:bottom w:val="nil"/>
              <w:right w:val="nil"/>
            </w:tcBorders>
            <w:noWrap/>
            <w:vAlign w:val="bottom"/>
            <w:hideMark/>
          </w:tcPr>
          <w:p w14:paraId="696BC5F1"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Paneurópsky garančný fond</w:t>
            </w:r>
          </w:p>
        </w:tc>
        <w:tc>
          <w:tcPr>
            <w:tcW w:w="1176" w:type="dxa"/>
            <w:tcBorders>
              <w:top w:val="nil"/>
              <w:left w:val="nil"/>
              <w:bottom w:val="nil"/>
              <w:right w:val="nil"/>
            </w:tcBorders>
            <w:vAlign w:val="center"/>
            <w:hideMark/>
          </w:tcPr>
          <w:p w14:paraId="66959580"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c>
          <w:tcPr>
            <w:tcW w:w="1176" w:type="dxa"/>
            <w:tcBorders>
              <w:top w:val="nil"/>
              <w:left w:val="nil"/>
              <w:bottom w:val="nil"/>
              <w:right w:val="nil"/>
            </w:tcBorders>
            <w:vAlign w:val="center"/>
            <w:hideMark/>
          </w:tcPr>
          <w:p w14:paraId="13953F5F"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75 484</w:t>
            </w:r>
          </w:p>
        </w:tc>
        <w:tc>
          <w:tcPr>
            <w:tcW w:w="1176" w:type="dxa"/>
            <w:tcBorders>
              <w:top w:val="nil"/>
              <w:left w:val="nil"/>
              <w:bottom w:val="nil"/>
              <w:right w:val="nil"/>
            </w:tcBorders>
            <w:vAlign w:val="center"/>
          </w:tcPr>
          <w:p w14:paraId="5FACDA41"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75 484</w:t>
            </w:r>
          </w:p>
        </w:tc>
        <w:tc>
          <w:tcPr>
            <w:tcW w:w="1236" w:type="dxa"/>
            <w:tcBorders>
              <w:top w:val="nil"/>
              <w:left w:val="nil"/>
              <w:bottom w:val="nil"/>
            </w:tcBorders>
            <w:vAlign w:val="center"/>
            <w:hideMark/>
          </w:tcPr>
          <w:p w14:paraId="053DD90B"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r>
      <w:tr w:rsidR="001768B9" w:rsidRPr="0057265E" w14:paraId="23EEBFAC" w14:textId="77777777" w:rsidTr="001768B9">
        <w:trPr>
          <w:trHeight w:val="276"/>
          <w:jc w:val="center"/>
        </w:trPr>
        <w:tc>
          <w:tcPr>
            <w:tcW w:w="4840" w:type="dxa"/>
            <w:tcBorders>
              <w:top w:val="nil"/>
              <w:bottom w:val="nil"/>
              <w:right w:val="nil"/>
            </w:tcBorders>
            <w:vAlign w:val="center"/>
            <w:hideMark/>
          </w:tcPr>
          <w:p w14:paraId="3BD46636"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Medzinárodné investičné arbitráže</w:t>
            </w:r>
          </w:p>
        </w:tc>
        <w:tc>
          <w:tcPr>
            <w:tcW w:w="1176" w:type="dxa"/>
            <w:tcBorders>
              <w:top w:val="nil"/>
              <w:left w:val="nil"/>
              <w:bottom w:val="nil"/>
              <w:right w:val="nil"/>
            </w:tcBorders>
            <w:noWrap/>
            <w:vAlign w:val="bottom"/>
            <w:hideMark/>
          </w:tcPr>
          <w:p w14:paraId="5E61F50A"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28 692</w:t>
            </w:r>
          </w:p>
        </w:tc>
        <w:tc>
          <w:tcPr>
            <w:tcW w:w="1176" w:type="dxa"/>
            <w:tcBorders>
              <w:top w:val="nil"/>
              <w:left w:val="nil"/>
              <w:bottom w:val="nil"/>
              <w:right w:val="nil"/>
            </w:tcBorders>
            <w:noWrap/>
            <w:vAlign w:val="bottom"/>
            <w:hideMark/>
          </w:tcPr>
          <w:p w14:paraId="6F026F26"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28 692</w:t>
            </w:r>
          </w:p>
        </w:tc>
        <w:tc>
          <w:tcPr>
            <w:tcW w:w="1176" w:type="dxa"/>
            <w:tcBorders>
              <w:top w:val="nil"/>
              <w:left w:val="nil"/>
              <w:bottom w:val="nil"/>
              <w:right w:val="nil"/>
            </w:tcBorders>
            <w:noWrap/>
            <w:vAlign w:val="bottom"/>
          </w:tcPr>
          <w:p w14:paraId="4B6F01EF"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28 692</w:t>
            </w:r>
          </w:p>
        </w:tc>
        <w:tc>
          <w:tcPr>
            <w:tcW w:w="1236" w:type="dxa"/>
            <w:tcBorders>
              <w:top w:val="nil"/>
              <w:left w:val="nil"/>
              <w:bottom w:val="nil"/>
            </w:tcBorders>
            <w:noWrap/>
            <w:vAlign w:val="bottom"/>
            <w:hideMark/>
          </w:tcPr>
          <w:p w14:paraId="7CAA14D9"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0</w:t>
            </w:r>
          </w:p>
        </w:tc>
      </w:tr>
      <w:tr w:rsidR="001768B9" w:rsidRPr="0057265E" w14:paraId="46D3ACA1" w14:textId="77777777" w:rsidTr="001768B9">
        <w:trPr>
          <w:trHeight w:val="276"/>
          <w:jc w:val="center"/>
        </w:trPr>
        <w:tc>
          <w:tcPr>
            <w:tcW w:w="4840" w:type="dxa"/>
            <w:tcBorders>
              <w:top w:val="nil"/>
              <w:bottom w:val="nil"/>
              <w:right w:val="nil"/>
            </w:tcBorders>
            <w:vAlign w:val="center"/>
            <w:hideMark/>
          </w:tcPr>
          <w:p w14:paraId="193BE042"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Zdravotná poisťovňa </w:t>
            </w:r>
            <w:proofErr w:type="spellStart"/>
            <w:r w:rsidRPr="0057265E">
              <w:rPr>
                <w:color w:val="000000"/>
                <w:sz w:val="16"/>
                <w:szCs w:val="16"/>
                <w:lang w:eastAsia="sk-SK"/>
              </w:rPr>
              <w:t>Union</w:t>
            </w:r>
            <w:proofErr w:type="spellEnd"/>
            <w:r w:rsidRPr="0057265E">
              <w:rPr>
                <w:color w:val="000000"/>
                <w:sz w:val="16"/>
                <w:szCs w:val="16"/>
                <w:lang w:eastAsia="sk-SK"/>
              </w:rPr>
              <w:t xml:space="preserve">, </w:t>
            </w:r>
            <w:proofErr w:type="spellStart"/>
            <w:r w:rsidRPr="0057265E">
              <w:rPr>
                <w:color w:val="000000"/>
                <w:sz w:val="16"/>
                <w:szCs w:val="16"/>
                <w:lang w:eastAsia="sk-SK"/>
              </w:rPr>
              <w:t>a.s</w:t>
            </w:r>
            <w:proofErr w:type="spellEnd"/>
            <w:r w:rsidRPr="0057265E">
              <w:rPr>
                <w:color w:val="000000"/>
                <w:sz w:val="16"/>
                <w:szCs w:val="16"/>
                <w:lang w:eastAsia="sk-SK"/>
              </w:rPr>
              <w:t xml:space="preserve">. </w:t>
            </w:r>
          </w:p>
        </w:tc>
        <w:tc>
          <w:tcPr>
            <w:tcW w:w="1176" w:type="dxa"/>
            <w:tcBorders>
              <w:top w:val="nil"/>
              <w:left w:val="nil"/>
              <w:bottom w:val="nil"/>
              <w:right w:val="nil"/>
            </w:tcBorders>
            <w:vAlign w:val="center"/>
            <w:hideMark/>
          </w:tcPr>
          <w:p w14:paraId="2917155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28 692</w:t>
            </w:r>
          </w:p>
        </w:tc>
        <w:tc>
          <w:tcPr>
            <w:tcW w:w="1176" w:type="dxa"/>
            <w:tcBorders>
              <w:top w:val="nil"/>
              <w:left w:val="nil"/>
              <w:bottom w:val="nil"/>
              <w:right w:val="nil"/>
            </w:tcBorders>
            <w:vAlign w:val="center"/>
            <w:hideMark/>
          </w:tcPr>
          <w:p w14:paraId="759ADB35"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28 692</w:t>
            </w:r>
          </w:p>
        </w:tc>
        <w:tc>
          <w:tcPr>
            <w:tcW w:w="1176" w:type="dxa"/>
            <w:tcBorders>
              <w:top w:val="nil"/>
              <w:left w:val="nil"/>
              <w:bottom w:val="nil"/>
              <w:right w:val="nil"/>
            </w:tcBorders>
            <w:vAlign w:val="center"/>
          </w:tcPr>
          <w:p w14:paraId="50D8855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28 692</w:t>
            </w:r>
          </w:p>
        </w:tc>
        <w:tc>
          <w:tcPr>
            <w:tcW w:w="1236" w:type="dxa"/>
            <w:tcBorders>
              <w:top w:val="nil"/>
              <w:left w:val="nil"/>
              <w:bottom w:val="nil"/>
            </w:tcBorders>
            <w:noWrap/>
            <w:vAlign w:val="bottom"/>
            <w:hideMark/>
          </w:tcPr>
          <w:p w14:paraId="1D7FB1C6"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r>
      <w:tr w:rsidR="001768B9" w:rsidRPr="0057265E" w14:paraId="75D99EDD" w14:textId="77777777" w:rsidTr="001768B9">
        <w:trPr>
          <w:trHeight w:val="276"/>
          <w:jc w:val="center"/>
        </w:trPr>
        <w:tc>
          <w:tcPr>
            <w:tcW w:w="4840" w:type="dxa"/>
            <w:tcBorders>
              <w:top w:val="nil"/>
              <w:bottom w:val="nil"/>
              <w:right w:val="nil"/>
            </w:tcBorders>
            <w:vAlign w:val="center"/>
            <w:hideMark/>
          </w:tcPr>
          <w:p w14:paraId="41928311"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Hroziace alebo prebiehajúce súdne spory</w:t>
            </w:r>
          </w:p>
        </w:tc>
        <w:tc>
          <w:tcPr>
            <w:tcW w:w="1176" w:type="dxa"/>
            <w:tcBorders>
              <w:top w:val="nil"/>
              <w:left w:val="nil"/>
              <w:bottom w:val="nil"/>
              <w:right w:val="nil"/>
            </w:tcBorders>
            <w:vAlign w:val="center"/>
            <w:hideMark/>
          </w:tcPr>
          <w:p w14:paraId="2CBAF034"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4 153 954</w:t>
            </w:r>
          </w:p>
        </w:tc>
        <w:tc>
          <w:tcPr>
            <w:tcW w:w="1176" w:type="dxa"/>
            <w:tcBorders>
              <w:top w:val="nil"/>
              <w:left w:val="nil"/>
              <w:bottom w:val="nil"/>
              <w:right w:val="nil"/>
            </w:tcBorders>
            <w:vAlign w:val="center"/>
            <w:hideMark/>
          </w:tcPr>
          <w:p w14:paraId="1A9DCA3E"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4 009 975</w:t>
            </w:r>
          </w:p>
        </w:tc>
        <w:tc>
          <w:tcPr>
            <w:tcW w:w="1176" w:type="dxa"/>
            <w:tcBorders>
              <w:top w:val="nil"/>
              <w:left w:val="nil"/>
              <w:bottom w:val="nil"/>
              <w:right w:val="nil"/>
            </w:tcBorders>
            <w:vAlign w:val="center"/>
          </w:tcPr>
          <w:p w14:paraId="32646DB6"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4 040 590</w:t>
            </w:r>
          </w:p>
        </w:tc>
        <w:tc>
          <w:tcPr>
            <w:tcW w:w="1236" w:type="dxa"/>
            <w:tcBorders>
              <w:top w:val="nil"/>
              <w:left w:val="nil"/>
              <w:bottom w:val="nil"/>
            </w:tcBorders>
            <w:vAlign w:val="center"/>
            <w:hideMark/>
          </w:tcPr>
          <w:p w14:paraId="51D1BA01"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30 615</w:t>
            </w:r>
          </w:p>
        </w:tc>
      </w:tr>
      <w:tr w:rsidR="001768B9" w:rsidRPr="0057265E" w14:paraId="213440CC" w14:textId="77777777" w:rsidTr="001768B9">
        <w:trPr>
          <w:trHeight w:val="276"/>
          <w:jc w:val="center"/>
        </w:trPr>
        <w:tc>
          <w:tcPr>
            <w:tcW w:w="4840" w:type="dxa"/>
            <w:tcBorders>
              <w:top w:val="nil"/>
              <w:bottom w:val="nil"/>
              <w:right w:val="nil"/>
            </w:tcBorders>
            <w:vAlign w:val="center"/>
            <w:hideMark/>
          </w:tcPr>
          <w:p w14:paraId="38B070B5"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Ministerstvo financií SR</w:t>
            </w:r>
          </w:p>
        </w:tc>
        <w:tc>
          <w:tcPr>
            <w:tcW w:w="1176" w:type="dxa"/>
            <w:tcBorders>
              <w:top w:val="nil"/>
              <w:left w:val="nil"/>
              <w:bottom w:val="nil"/>
              <w:right w:val="nil"/>
            </w:tcBorders>
            <w:vAlign w:val="center"/>
            <w:hideMark/>
          </w:tcPr>
          <w:p w14:paraId="63E0A34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1 433 565</w:t>
            </w:r>
          </w:p>
        </w:tc>
        <w:tc>
          <w:tcPr>
            <w:tcW w:w="1176" w:type="dxa"/>
            <w:tcBorders>
              <w:top w:val="nil"/>
              <w:left w:val="nil"/>
              <w:bottom w:val="nil"/>
              <w:right w:val="nil"/>
            </w:tcBorders>
            <w:vAlign w:val="center"/>
            <w:hideMark/>
          </w:tcPr>
          <w:p w14:paraId="3BE588C1"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1 435 530</w:t>
            </w:r>
          </w:p>
        </w:tc>
        <w:tc>
          <w:tcPr>
            <w:tcW w:w="1176" w:type="dxa"/>
            <w:tcBorders>
              <w:top w:val="nil"/>
              <w:left w:val="nil"/>
              <w:bottom w:val="nil"/>
              <w:right w:val="nil"/>
            </w:tcBorders>
            <w:vAlign w:val="center"/>
          </w:tcPr>
          <w:p w14:paraId="6FBC2E66"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1 435 571</w:t>
            </w:r>
          </w:p>
        </w:tc>
        <w:tc>
          <w:tcPr>
            <w:tcW w:w="1236" w:type="dxa"/>
            <w:tcBorders>
              <w:top w:val="nil"/>
              <w:left w:val="nil"/>
              <w:bottom w:val="nil"/>
            </w:tcBorders>
            <w:vAlign w:val="center"/>
          </w:tcPr>
          <w:p w14:paraId="214CFA8A"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41</w:t>
            </w:r>
          </w:p>
        </w:tc>
      </w:tr>
      <w:tr w:rsidR="001768B9" w:rsidRPr="0057265E" w14:paraId="15773DDF" w14:textId="77777777" w:rsidTr="001768B9">
        <w:trPr>
          <w:trHeight w:val="276"/>
          <w:jc w:val="center"/>
        </w:trPr>
        <w:tc>
          <w:tcPr>
            <w:tcW w:w="4840" w:type="dxa"/>
            <w:tcBorders>
              <w:top w:val="nil"/>
              <w:bottom w:val="nil"/>
              <w:right w:val="nil"/>
            </w:tcBorders>
            <w:vAlign w:val="center"/>
            <w:hideMark/>
          </w:tcPr>
          <w:p w14:paraId="6CA6A294"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Ministerstvo vnútra SR</w:t>
            </w:r>
          </w:p>
        </w:tc>
        <w:tc>
          <w:tcPr>
            <w:tcW w:w="1176" w:type="dxa"/>
            <w:tcBorders>
              <w:top w:val="nil"/>
              <w:left w:val="nil"/>
              <w:bottom w:val="nil"/>
              <w:right w:val="nil"/>
            </w:tcBorders>
            <w:vAlign w:val="center"/>
            <w:hideMark/>
          </w:tcPr>
          <w:p w14:paraId="4FB80B1D"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1 140 340</w:t>
            </w:r>
          </w:p>
        </w:tc>
        <w:tc>
          <w:tcPr>
            <w:tcW w:w="1176" w:type="dxa"/>
            <w:tcBorders>
              <w:top w:val="nil"/>
              <w:left w:val="nil"/>
              <w:bottom w:val="nil"/>
              <w:right w:val="nil"/>
            </w:tcBorders>
            <w:vAlign w:val="center"/>
            <w:hideMark/>
          </w:tcPr>
          <w:p w14:paraId="628F416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1 140 308</w:t>
            </w:r>
          </w:p>
        </w:tc>
        <w:tc>
          <w:tcPr>
            <w:tcW w:w="1176" w:type="dxa"/>
            <w:tcBorders>
              <w:top w:val="nil"/>
              <w:left w:val="nil"/>
              <w:bottom w:val="nil"/>
              <w:right w:val="nil"/>
            </w:tcBorders>
            <w:vAlign w:val="center"/>
          </w:tcPr>
          <w:p w14:paraId="2CCD25DF"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1 095 485</w:t>
            </w:r>
          </w:p>
        </w:tc>
        <w:tc>
          <w:tcPr>
            <w:tcW w:w="1236" w:type="dxa"/>
            <w:tcBorders>
              <w:top w:val="nil"/>
              <w:left w:val="nil"/>
              <w:bottom w:val="nil"/>
            </w:tcBorders>
            <w:vAlign w:val="center"/>
          </w:tcPr>
          <w:p w14:paraId="5532B5DA"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-44 823</w:t>
            </w:r>
          </w:p>
        </w:tc>
      </w:tr>
      <w:tr w:rsidR="001768B9" w:rsidRPr="0057265E" w14:paraId="54375E5D" w14:textId="77777777" w:rsidTr="001768B9">
        <w:trPr>
          <w:trHeight w:val="276"/>
          <w:jc w:val="center"/>
        </w:trPr>
        <w:tc>
          <w:tcPr>
            <w:tcW w:w="4840" w:type="dxa"/>
            <w:tcBorders>
              <w:top w:val="nil"/>
              <w:bottom w:val="nil"/>
              <w:right w:val="nil"/>
            </w:tcBorders>
            <w:vAlign w:val="center"/>
            <w:hideMark/>
          </w:tcPr>
          <w:p w14:paraId="1A8D470A"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Ministerstvo práce, sociálnych vecí a rodiny SR</w:t>
            </w:r>
          </w:p>
        </w:tc>
        <w:tc>
          <w:tcPr>
            <w:tcW w:w="1176" w:type="dxa"/>
            <w:tcBorders>
              <w:top w:val="nil"/>
              <w:left w:val="nil"/>
              <w:bottom w:val="nil"/>
              <w:right w:val="nil"/>
            </w:tcBorders>
            <w:vAlign w:val="center"/>
            <w:hideMark/>
          </w:tcPr>
          <w:p w14:paraId="38EB18D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452 469</w:t>
            </w:r>
          </w:p>
        </w:tc>
        <w:tc>
          <w:tcPr>
            <w:tcW w:w="1176" w:type="dxa"/>
            <w:tcBorders>
              <w:top w:val="nil"/>
              <w:left w:val="nil"/>
              <w:bottom w:val="nil"/>
              <w:right w:val="nil"/>
            </w:tcBorders>
            <w:vAlign w:val="center"/>
            <w:hideMark/>
          </w:tcPr>
          <w:p w14:paraId="2E257BAD"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451 102</w:t>
            </w:r>
          </w:p>
        </w:tc>
        <w:tc>
          <w:tcPr>
            <w:tcW w:w="1176" w:type="dxa"/>
            <w:tcBorders>
              <w:top w:val="nil"/>
              <w:left w:val="nil"/>
              <w:bottom w:val="nil"/>
              <w:right w:val="nil"/>
            </w:tcBorders>
            <w:vAlign w:val="center"/>
          </w:tcPr>
          <w:p w14:paraId="6F0667D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450 804</w:t>
            </w:r>
          </w:p>
        </w:tc>
        <w:tc>
          <w:tcPr>
            <w:tcW w:w="1236" w:type="dxa"/>
            <w:tcBorders>
              <w:top w:val="nil"/>
              <w:left w:val="nil"/>
              <w:bottom w:val="nil"/>
            </w:tcBorders>
            <w:vAlign w:val="center"/>
          </w:tcPr>
          <w:p w14:paraId="63C9EA88"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-298</w:t>
            </w:r>
          </w:p>
        </w:tc>
      </w:tr>
      <w:tr w:rsidR="001768B9" w:rsidRPr="0057265E" w14:paraId="51D647DF" w14:textId="77777777" w:rsidTr="001768B9">
        <w:trPr>
          <w:trHeight w:val="276"/>
          <w:jc w:val="center"/>
        </w:trPr>
        <w:tc>
          <w:tcPr>
            <w:tcW w:w="4840" w:type="dxa"/>
            <w:tcBorders>
              <w:top w:val="nil"/>
              <w:bottom w:val="nil"/>
              <w:right w:val="nil"/>
            </w:tcBorders>
            <w:vAlign w:val="center"/>
          </w:tcPr>
          <w:p w14:paraId="6B2BF265" w14:textId="77777777" w:rsidR="001768B9" w:rsidRPr="0057265E" w:rsidRDefault="001768B9" w:rsidP="001768B9">
            <w:pPr>
              <w:spacing w:after="0" w:line="240" w:lineRule="auto"/>
              <w:ind w:firstLineChars="300" w:firstLine="480"/>
              <w:rPr>
                <w:color w:val="000000"/>
                <w:sz w:val="16"/>
                <w:szCs w:val="16"/>
                <w:lang w:eastAsia="sk-SK"/>
              </w:rPr>
            </w:pPr>
            <w:r>
              <w:rPr>
                <w:color w:val="000000"/>
                <w:sz w:val="16"/>
                <w:szCs w:val="16"/>
                <w:lang w:eastAsia="sk-SK"/>
              </w:rPr>
              <w:t>Úrad pre dohľad nad zdravotnou starostlivosťou SR</w:t>
            </w:r>
          </w:p>
        </w:tc>
        <w:tc>
          <w:tcPr>
            <w:tcW w:w="1176" w:type="dxa"/>
            <w:tcBorders>
              <w:top w:val="nil"/>
              <w:left w:val="nil"/>
              <w:bottom w:val="nil"/>
              <w:right w:val="nil"/>
            </w:tcBorders>
            <w:vAlign w:val="center"/>
          </w:tcPr>
          <w:p w14:paraId="0FFEFA04"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43CA1F8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3C286119" w14:textId="77777777" w:rsidR="001768B9" w:rsidRDefault="001768B9" w:rsidP="001768B9">
            <w:pPr>
              <w:spacing w:after="0" w:line="240" w:lineRule="auto"/>
              <w:jc w:val="right"/>
              <w:rPr>
                <w:color w:val="000000"/>
                <w:sz w:val="16"/>
                <w:szCs w:val="16"/>
                <w:lang w:eastAsia="sk-SK"/>
              </w:rPr>
            </w:pPr>
            <w:r>
              <w:rPr>
                <w:color w:val="000000"/>
                <w:sz w:val="16"/>
                <w:szCs w:val="16"/>
                <w:lang w:eastAsia="sk-SK"/>
              </w:rPr>
              <w:t>280 000</w:t>
            </w:r>
          </w:p>
        </w:tc>
        <w:tc>
          <w:tcPr>
            <w:tcW w:w="1236" w:type="dxa"/>
            <w:tcBorders>
              <w:top w:val="nil"/>
              <w:left w:val="nil"/>
              <w:bottom w:val="nil"/>
            </w:tcBorders>
            <w:vAlign w:val="center"/>
          </w:tcPr>
          <w:p w14:paraId="7421DADD" w14:textId="77777777" w:rsidR="001768B9" w:rsidRDefault="001768B9" w:rsidP="001768B9">
            <w:pPr>
              <w:spacing w:after="0" w:line="240" w:lineRule="auto"/>
              <w:jc w:val="right"/>
              <w:rPr>
                <w:color w:val="000000"/>
                <w:sz w:val="16"/>
                <w:szCs w:val="16"/>
                <w:lang w:eastAsia="sk-SK"/>
              </w:rPr>
            </w:pPr>
            <w:r>
              <w:rPr>
                <w:color w:val="000000"/>
                <w:sz w:val="16"/>
                <w:szCs w:val="16"/>
                <w:lang w:eastAsia="sk-SK"/>
              </w:rPr>
              <w:t>280 000</w:t>
            </w:r>
          </w:p>
        </w:tc>
      </w:tr>
      <w:tr w:rsidR="001768B9" w:rsidRPr="0057265E" w14:paraId="6DC522B0" w14:textId="77777777" w:rsidTr="001768B9">
        <w:trPr>
          <w:trHeight w:val="276"/>
          <w:jc w:val="center"/>
        </w:trPr>
        <w:tc>
          <w:tcPr>
            <w:tcW w:w="4840" w:type="dxa"/>
            <w:tcBorders>
              <w:top w:val="nil"/>
              <w:bottom w:val="nil"/>
              <w:right w:val="nil"/>
            </w:tcBorders>
            <w:vAlign w:val="center"/>
            <w:hideMark/>
          </w:tcPr>
          <w:p w14:paraId="24900BF5"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Kancelária národnej rady SR</w:t>
            </w:r>
          </w:p>
        </w:tc>
        <w:tc>
          <w:tcPr>
            <w:tcW w:w="1176" w:type="dxa"/>
            <w:tcBorders>
              <w:top w:val="nil"/>
              <w:left w:val="nil"/>
              <w:bottom w:val="nil"/>
              <w:right w:val="nil"/>
            </w:tcBorders>
            <w:vAlign w:val="center"/>
            <w:hideMark/>
          </w:tcPr>
          <w:p w14:paraId="4527769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615 625</w:t>
            </w:r>
          </w:p>
        </w:tc>
        <w:tc>
          <w:tcPr>
            <w:tcW w:w="1176" w:type="dxa"/>
            <w:tcBorders>
              <w:top w:val="nil"/>
              <w:left w:val="nil"/>
              <w:bottom w:val="nil"/>
              <w:right w:val="nil"/>
            </w:tcBorders>
            <w:vAlign w:val="center"/>
            <w:hideMark/>
          </w:tcPr>
          <w:p w14:paraId="15FD6EB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405 115</w:t>
            </w:r>
          </w:p>
        </w:tc>
        <w:tc>
          <w:tcPr>
            <w:tcW w:w="1176" w:type="dxa"/>
            <w:tcBorders>
              <w:top w:val="nil"/>
              <w:left w:val="nil"/>
              <w:bottom w:val="nil"/>
              <w:right w:val="nil"/>
            </w:tcBorders>
            <w:vAlign w:val="center"/>
          </w:tcPr>
          <w:p w14:paraId="368D9051"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225 775</w:t>
            </w:r>
          </w:p>
        </w:tc>
        <w:tc>
          <w:tcPr>
            <w:tcW w:w="1236" w:type="dxa"/>
            <w:tcBorders>
              <w:top w:val="nil"/>
              <w:left w:val="nil"/>
              <w:bottom w:val="nil"/>
            </w:tcBorders>
            <w:vAlign w:val="center"/>
          </w:tcPr>
          <w:p w14:paraId="6FE6367C"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-179 340</w:t>
            </w:r>
          </w:p>
        </w:tc>
      </w:tr>
      <w:tr w:rsidR="001768B9" w:rsidRPr="0057265E" w14:paraId="147C848C" w14:textId="77777777" w:rsidTr="001768B9">
        <w:trPr>
          <w:trHeight w:val="276"/>
          <w:jc w:val="center"/>
        </w:trPr>
        <w:tc>
          <w:tcPr>
            <w:tcW w:w="4840" w:type="dxa"/>
            <w:tcBorders>
              <w:top w:val="nil"/>
              <w:bottom w:val="nil"/>
              <w:right w:val="nil"/>
            </w:tcBorders>
            <w:vAlign w:val="center"/>
            <w:hideMark/>
          </w:tcPr>
          <w:p w14:paraId="3ED0ACA7"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MH Manažment,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667C601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191 563</w:t>
            </w:r>
          </w:p>
        </w:tc>
        <w:tc>
          <w:tcPr>
            <w:tcW w:w="1176" w:type="dxa"/>
            <w:tcBorders>
              <w:top w:val="nil"/>
              <w:left w:val="nil"/>
              <w:bottom w:val="nil"/>
              <w:right w:val="nil"/>
            </w:tcBorders>
            <w:vAlign w:val="center"/>
            <w:hideMark/>
          </w:tcPr>
          <w:p w14:paraId="4C7FB2B1"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202 232</w:t>
            </w:r>
          </w:p>
        </w:tc>
        <w:tc>
          <w:tcPr>
            <w:tcW w:w="1176" w:type="dxa"/>
            <w:tcBorders>
              <w:top w:val="nil"/>
              <w:left w:val="nil"/>
              <w:bottom w:val="nil"/>
              <w:right w:val="nil"/>
            </w:tcBorders>
            <w:vAlign w:val="center"/>
          </w:tcPr>
          <w:p w14:paraId="59F703B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168 185</w:t>
            </w:r>
          </w:p>
        </w:tc>
        <w:tc>
          <w:tcPr>
            <w:tcW w:w="1236" w:type="dxa"/>
            <w:tcBorders>
              <w:top w:val="nil"/>
              <w:left w:val="nil"/>
              <w:bottom w:val="nil"/>
            </w:tcBorders>
            <w:vAlign w:val="center"/>
          </w:tcPr>
          <w:p w14:paraId="7455A3DE"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-34 047</w:t>
            </w:r>
          </w:p>
        </w:tc>
      </w:tr>
      <w:tr w:rsidR="001768B9" w:rsidRPr="0057265E" w14:paraId="5CF1FF3F" w14:textId="77777777" w:rsidTr="001768B9">
        <w:trPr>
          <w:trHeight w:val="276"/>
          <w:jc w:val="center"/>
        </w:trPr>
        <w:tc>
          <w:tcPr>
            <w:tcW w:w="4840" w:type="dxa"/>
            <w:tcBorders>
              <w:top w:val="nil"/>
              <w:bottom w:val="nil"/>
              <w:right w:val="nil"/>
            </w:tcBorders>
            <w:vAlign w:val="center"/>
            <w:hideMark/>
          </w:tcPr>
          <w:p w14:paraId="07F59CF2"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Ministerstvo hospodárstva SR</w:t>
            </w:r>
          </w:p>
        </w:tc>
        <w:tc>
          <w:tcPr>
            <w:tcW w:w="1176" w:type="dxa"/>
            <w:tcBorders>
              <w:top w:val="nil"/>
              <w:left w:val="nil"/>
              <w:bottom w:val="nil"/>
              <w:right w:val="nil"/>
            </w:tcBorders>
            <w:vAlign w:val="center"/>
            <w:hideMark/>
          </w:tcPr>
          <w:p w14:paraId="74929839"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119 155</w:t>
            </w:r>
          </w:p>
        </w:tc>
        <w:tc>
          <w:tcPr>
            <w:tcW w:w="1176" w:type="dxa"/>
            <w:tcBorders>
              <w:top w:val="nil"/>
              <w:left w:val="nil"/>
              <w:bottom w:val="nil"/>
              <w:right w:val="nil"/>
            </w:tcBorders>
            <w:vAlign w:val="center"/>
            <w:hideMark/>
          </w:tcPr>
          <w:p w14:paraId="36E6B845"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83 935</w:t>
            </w:r>
          </w:p>
        </w:tc>
        <w:tc>
          <w:tcPr>
            <w:tcW w:w="1176" w:type="dxa"/>
            <w:tcBorders>
              <w:top w:val="nil"/>
              <w:left w:val="nil"/>
              <w:bottom w:val="nil"/>
              <w:right w:val="nil"/>
            </w:tcBorders>
            <w:vAlign w:val="center"/>
          </w:tcPr>
          <w:p w14:paraId="4C3808C1"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79 086</w:t>
            </w:r>
          </w:p>
        </w:tc>
        <w:tc>
          <w:tcPr>
            <w:tcW w:w="1236" w:type="dxa"/>
            <w:tcBorders>
              <w:top w:val="nil"/>
              <w:left w:val="nil"/>
              <w:bottom w:val="nil"/>
            </w:tcBorders>
            <w:vAlign w:val="center"/>
          </w:tcPr>
          <w:p w14:paraId="1CB4BE3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-4 849</w:t>
            </w:r>
          </w:p>
        </w:tc>
      </w:tr>
      <w:tr w:rsidR="001768B9" w:rsidRPr="0057265E" w14:paraId="24BD329C" w14:textId="77777777" w:rsidTr="001768B9">
        <w:trPr>
          <w:trHeight w:val="276"/>
          <w:jc w:val="center"/>
        </w:trPr>
        <w:tc>
          <w:tcPr>
            <w:tcW w:w="4840" w:type="dxa"/>
            <w:tcBorders>
              <w:top w:val="nil"/>
              <w:bottom w:val="nil"/>
              <w:right w:val="nil"/>
            </w:tcBorders>
            <w:vAlign w:val="center"/>
          </w:tcPr>
          <w:p w14:paraId="4ADA07BA" w14:textId="77777777" w:rsidR="001768B9" w:rsidRPr="001D4242" w:rsidRDefault="001768B9" w:rsidP="001768B9">
            <w:pPr>
              <w:spacing w:after="0" w:line="240" w:lineRule="auto"/>
              <w:ind w:firstLineChars="300" w:firstLine="480"/>
              <w:rPr>
                <w:color w:val="000000"/>
                <w:sz w:val="16"/>
                <w:szCs w:val="16"/>
                <w:lang w:eastAsia="sk-SK"/>
              </w:rPr>
            </w:pPr>
            <w:r w:rsidRPr="001D4242">
              <w:rPr>
                <w:color w:val="000000"/>
                <w:sz w:val="16"/>
                <w:szCs w:val="16"/>
                <w:lang w:eastAsia="sk-SK"/>
              </w:rPr>
              <w:t>Úrad geodézie, kartografie a katastra Slovenskej republiky</w:t>
            </w:r>
          </w:p>
        </w:tc>
        <w:tc>
          <w:tcPr>
            <w:tcW w:w="1176" w:type="dxa"/>
            <w:tcBorders>
              <w:top w:val="nil"/>
              <w:left w:val="nil"/>
              <w:bottom w:val="nil"/>
              <w:right w:val="nil"/>
            </w:tcBorders>
            <w:vAlign w:val="center"/>
          </w:tcPr>
          <w:p w14:paraId="29673D5E"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78AA0DF8"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49 032</w:t>
            </w:r>
          </w:p>
        </w:tc>
        <w:tc>
          <w:tcPr>
            <w:tcW w:w="1176" w:type="dxa"/>
            <w:tcBorders>
              <w:top w:val="nil"/>
              <w:left w:val="nil"/>
              <w:bottom w:val="nil"/>
              <w:right w:val="nil"/>
            </w:tcBorders>
            <w:vAlign w:val="center"/>
          </w:tcPr>
          <w:p w14:paraId="2EE6E698"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46 076</w:t>
            </w:r>
          </w:p>
        </w:tc>
        <w:tc>
          <w:tcPr>
            <w:tcW w:w="1236" w:type="dxa"/>
            <w:tcBorders>
              <w:top w:val="nil"/>
              <w:left w:val="nil"/>
              <w:bottom w:val="nil"/>
            </w:tcBorders>
            <w:vAlign w:val="center"/>
          </w:tcPr>
          <w:p w14:paraId="6B2926AA"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-2 956</w:t>
            </w:r>
          </w:p>
        </w:tc>
      </w:tr>
      <w:tr w:rsidR="001768B9" w:rsidRPr="0057265E" w14:paraId="02478924" w14:textId="77777777" w:rsidTr="001768B9">
        <w:trPr>
          <w:trHeight w:val="276"/>
          <w:jc w:val="center"/>
        </w:trPr>
        <w:tc>
          <w:tcPr>
            <w:tcW w:w="4840" w:type="dxa"/>
            <w:tcBorders>
              <w:top w:val="nil"/>
              <w:bottom w:val="nil"/>
              <w:right w:val="nil"/>
            </w:tcBorders>
            <w:vAlign w:val="center"/>
          </w:tcPr>
          <w:p w14:paraId="094B3F0D" w14:textId="77777777" w:rsidR="001768B9" w:rsidRPr="001D4242" w:rsidRDefault="001768B9" w:rsidP="001768B9">
            <w:pPr>
              <w:spacing w:after="0" w:line="240" w:lineRule="auto"/>
              <w:ind w:firstLineChars="300" w:firstLine="480"/>
              <w:rPr>
                <w:color w:val="000000"/>
                <w:sz w:val="16"/>
                <w:szCs w:val="16"/>
                <w:lang w:eastAsia="sk-SK"/>
              </w:rPr>
            </w:pPr>
            <w:r w:rsidRPr="001D4242">
              <w:rPr>
                <w:color w:val="000000"/>
                <w:sz w:val="16"/>
                <w:szCs w:val="16"/>
                <w:lang w:eastAsia="sk-SK"/>
              </w:rPr>
              <w:t>Ministerstvo životného prostredia Slovenskej republiky</w:t>
            </w:r>
          </w:p>
        </w:tc>
        <w:tc>
          <w:tcPr>
            <w:tcW w:w="1176" w:type="dxa"/>
            <w:tcBorders>
              <w:top w:val="nil"/>
              <w:left w:val="nil"/>
              <w:bottom w:val="nil"/>
              <w:right w:val="nil"/>
            </w:tcBorders>
            <w:vAlign w:val="center"/>
          </w:tcPr>
          <w:p w14:paraId="26BE87ED"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76715D65"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47 721</w:t>
            </w:r>
          </w:p>
        </w:tc>
        <w:tc>
          <w:tcPr>
            <w:tcW w:w="1176" w:type="dxa"/>
            <w:tcBorders>
              <w:top w:val="nil"/>
              <w:left w:val="nil"/>
              <w:bottom w:val="nil"/>
              <w:right w:val="nil"/>
            </w:tcBorders>
            <w:vAlign w:val="center"/>
          </w:tcPr>
          <w:p w14:paraId="7618E4C6"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43 131</w:t>
            </w:r>
          </w:p>
        </w:tc>
        <w:tc>
          <w:tcPr>
            <w:tcW w:w="1236" w:type="dxa"/>
            <w:tcBorders>
              <w:top w:val="nil"/>
              <w:left w:val="nil"/>
              <w:bottom w:val="nil"/>
            </w:tcBorders>
            <w:vAlign w:val="center"/>
          </w:tcPr>
          <w:p w14:paraId="340D6E26"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-4 590</w:t>
            </w:r>
          </w:p>
        </w:tc>
      </w:tr>
      <w:tr w:rsidR="001768B9" w:rsidRPr="0057265E" w14:paraId="4BC368F2" w14:textId="77777777" w:rsidTr="001768B9">
        <w:trPr>
          <w:trHeight w:val="276"/>
          <w:jc w:val="center"/>
        </w:trPr>
        <w:tc>
          <w:tcPr>
            <w:tcW w:w="4840" w:type="dxa"/>
            <w:tcBorders>
              <w:top w:val="nil"/>
              <w:bottom w:val="nil"/>
              <w:right w:val="nil"/>
            </w:tcBorders>
            <w:vAlign w:val="center"/>
          </w:tcPr>
          <w:p w14:paraId="0D64DBAF" w14:textId="77777777" w:rsidR="001768B9" w:rsidRPr="001D4242" w:rsidRDefault="001768B9" w:rsidP="001768B9">
            <w:pPr>
              <w:spacing w:after="0" w:line="240" w:lineRule="auto"/>
              <w:ind w:firstLineChars="300" w:firstLine="480"/>
              <w:rPr>
                <w:color w:val="000000"/>
                <w:sz w:val="16"/>
                <w:szCs w:val="16"/>
                <w:lang w:eastAsia="sk-SK"/>
              </w:rPr>
            </w:pPr>
            <w:r w:rsidRPr="001D4242">
              <w:rPr>
                <w:color w:val="000000"/>
                <w:sz w:val="16"/>
                <w:szCs w:val="16"/>
                <w:lang w:eastAsia="sk-SK"/>
              </w:rPr>
              <w:t>Úrad vlády Slovenskej republiky</w:t>
            </w:r>
          </w:p>
        </w:tc>
        <w:tc>
          <w:tcPr>
            <w:tcW w:w="1176" w:type="dxa"/>
            <w:tcBorders>
              <w:top w:val="nil"/>
              <w:left w:val="nil"/>
              <w:bottom w:val="nil"/>
              <w:right w:val="nil"/>
            </w:tcBorders>
            <w:vAlign w:val="center"/>
          </w:tcPr>
          <w:p w14:paraId="714C857E"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1FAA171B"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16 060</w:t>
            </w:r>
          </w:p>
        </w:tc>
        <w:tc>
          <w:tcPr>
            <w:tcW w:w="1176" w:type="dxa"/>
            <w:tcBorders>
              <w:top w:val="nil"/>
              <w:left w:val="nil"/>
              <w:bottom w:val="nil"/>
              <w:right w:val="nil"/>
            </w:tcBorders>
            <w:vAlign w:val="center"/>
          </w:tcPr>
          <w:p w14:paraId="5B4522AD"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15 985</w:t>
            </w:r>
          </w:p>
        </w:tc>
        <w:tc>
          <w:tcPr>
            <w:tcW w:w="1236" w:type="dxa"/>
            <w:tcBorders>
              <w:top w:val="nil"/>
              <w:left w:val="nil"/>
              <w:bottom w:val="nil"/>
            </w:tcBorders>
            <w:vAlign w:val="center"/>
          </w:tcPr>
          <w:p w14:paraId="065025B6"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-75</w:t>
            </w:r>
          </w:p>
        </w:tc>
      </w:tr>
      <w:tr w:rsidR="001768B9" w:rsidRPr="0057265E" w14:paraId="45B36DB1" w14:textId="77777777" w:rsidTr="001768B9">
        <w:trPr>
          <w:trHeight w:val="276"/>
          <w:jc w:val="center"/>
        </w:trPr>
        <w:tc>
          <w:tcPr>
            <w:tcW w:w="4840" w:type="dxa"/>
            <w:tcBorders>
              <w:top w:val="nil"/>
              <w:bottom w:val="nil"/>
              <w:right w:val="nil"/>
            </w:tcBorders>
            <w:vAlign w:val="center"/>
          </w:tcPr>
          <w:p w14:paraId="229DDDBD" w14:textId="77777777" w:rsidR="001768B9" w:rsidRPr="001D4242" w:rsidRDefault="001768B9" w:rsidP="001768B9">
            <w:pPr>
              <w:spacing w:after="0" w:line="240" w:lineRule="auto"/>
              <w:ind w:firstLineChars="300" w:firstLine="480"/>
              <w:rPr>
                <w:color w:val="000000"/>
                <w:sz w:val="16"/>
                <w:szCs w:val="16"/>
                <w:lang w:eastAsia="sk-SK"/>
              </w:rPr>
            </w:pPr>
            <w:r w:rsidRPr="001D4242">
              <w:rPr>
                <w:color w:val="000000"/>
                <w:sz w:val="16"/>
                <w:szCs w:val="16"/>
                <w:lang w:eastAsia="sk-SK"/>
              </w:rPr>
              <w:t>Geodetický a kartografický ústav Bratislava</w:t>
            </w:r>
          </w:p>
        </w:tc>
        <w:tc>
          <w:tcPr>
            <w:tcW w:w="1176" w:type="dxa"/>
            <w:tcBorders>
              <w:top w:val="nil"/>
              <w:left w:val="nil"/>
              <w:bottom w:val="nil"/>
              <w:right w:val="nil"/>
            </w:tcBorders>
            <w:vAlign w:val="center"/>
          </w:tcPr>
          <w:p w14:paraId="1D505CA0"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2EFE2C1C"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14 518</w:t>
            </w:r>
          </w:p>
        </w:tc>
        <w:tc>
          <w:tcPr>
            <w:tcW w:w="1176" w:type="dxa"/>
            <w:tcBorders>
              <w:top w:val="nil"/>
              <w:left w:val="nil"/>
              <w:bottom w:val="nil"/>
              <w:right w:val="nil"/>
            </w:tcBorders>
            <w:vAlign w:val="center"/>
          </w:tcPr>
          <w:p w14:paraId="67EEFAAC"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14 518</w:t>
            </w:r>
          </w:p>
        </w:tc>
        <w:tc>
          <w:tcPr>
            <w:tcW w:w="1236" w:type="dxa"/>
            <w:tcBorders>
              <w:top w:val="nil"/>
              <w:left w:val="nil"/>
              <w:bottom w:val="nil"/>
            </w:tcBorders>
            <w:vAlign w:val="center"/>
          </w:tcPr>
          <w:p w14:paraId="561383C8"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0</w:t>
            </w:r>
          </w:p>
        </w:tc>
      </w:tr>
      <w:tr w:rsidR="001768B9" w:rsidRPr="0057265E" w14:paraId="2F976E2C" w14:textId="77777777" w:rsidTr="001768B9">
        <w:trPr>
          <w:trHeight w:val="276"/>
          <w:jc w:val="center"/>
        </w:trPr>
        <w:tc>
          <w:tcPr>
            <w:tcW w:w="4840" w:type="dxa"/>
            <w:tcBorders>
              <w:top w:val="nil"/>
              <w:bottom w:val="nil"/>
              <w:right w:val="nil"/>
            </w:tcBorders>
            <w:vAlign w:val="center"/>
          </w:tcPr>
          <w:p w14:paraId="0F83F792" w14:textId="77777777" w:rsidR="001768B9" w:rsidRPr="001D4242" w:rsidRDefault="001768B9" w:rsidP="001768B9">
            <w:pPr>
              <w:spacing w:after="0" w:line="240" w:lineRule="auto"/>
              <w:ind w:firstLineChars="300" w:firstLine="480"/>
              <w:rPr>
                <w:color w:val="000000"/>
                <w:sz w:val="16"/>
                <w:szCs w:val="16"/>
                <w:lang w:eastAsia="sk-SK"/>
              </w:rPr>
            </w:pPr>
            <w:r w:rsidRPr="001D4242">
              <w:rPr>
                <w:color w:val="000000"/>
                <w:sz w:val="16"/>
                <w:szCs w:val="16"/>
                <w:lang w:eastAsia="sk-SK"/>
              </w:rPr>
              <w:t>Ministerstvo dopravy Slovenskej republiky</w:t>
            </w:r>
          </w:p>
        </w:tc>
        <w:tc>
          <w:tcPr>
            <w:tcW w:w="1176" w:type="dxa"/>
            <w:tcBorders>
              <w:top w:val="nil"/>
              <w:left w:val="nil"/>
              <w:bottom w:val="nil"/>
              <w:right w:val="nil"/>
            </w:tcBorders>
            <w:vAlign w:val="center"/>
          </w:tcPr>
          <w:p w14:paraId="54BD4E7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176" w:type="dxa"/>
            <w:tcBorders>
              <w:top w:val="nil"/>
              <w:left w:val="nil"/>
              <w:bottom w:val="nil"/>
              <w:right w:val="nil"/>
            </w:tcBorders>
            <w:vAlign w:val="center"/>
          </w:tcPr>
          <w:p w14:paraId="7D780E6F"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901</w:t>
            </w:r>
          </w:p>
        </w:tc>
        <w:tc>
          <w:tcPr>
            <w:tcW w:w="1176" w:type="dxa"/>
            <w:tcBorders>
              <w:top w:val="nil"/>
              <w:left w:val="nil"/>
              <w:bottom w:val="nil"/>
              <w:right w:val="nil"/>
            </w:tcBorders>
            <w:vAlign w:val="center"/>
          </w:tcPr>
          <w:p w14:paraId="01CEA50D"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10 518</w:t>
            </w:r>
          </w:p>
        </w:tc>
        <w:tc>
          <w:tcPr>
            <w:tcW w:w="1236" w:type="dxa"/>
            <w:tcBorders>
              <w:top w:val="nil"/>
              <w:left w:val="nil"/>
              <w:bottom w:val="nil"/>
            </w:tcBorders>
            <w:vAlign w:val="center"/>
          </w:tcPr>
          <w:p w14:paraId="6F9E8669" w14:textId="77777777" w:rsidR="001768B9" w:rsidRPr="001D4242" w:rsidRDefault="001768B9" w:rsidP="001768B9">
            <w:pPr>
              <w:spacing w:after="0" w:line="240" w:lineRule="auto"/>
              <w:jc w:val="right"/>
              <w:rPr>
                <w:color w:val="000000"/>
                <w:sz w:val="16"/>
                <w:szCs w:val="16"/>
                <w:lang w:eastAsia="sk-SK"/>
              </w:rPr>
            </w:pPr>
            <w:r>
              <w:rPr>
                <w:color w:val="000000"/>
                <w:sz w:val="16"/>
                <w:szCs w:val="16"/>
                <w:lang w:eastAsia="sk-SK"/>
              </w:rPr>
              <w:t>9 617</w:t>
            </w:r>
          </w:p>
        </w:tc>
      </w:tr>
      <w:tr w:rsidR="001768B9" w:rsidRPr="0057265E" w14:paraId="246C8200" w14:textId="77777777" w:rsidTr="001768B9">
        <w:trPr>
          <w:trHeight w:val="276"/>
          <w:jc w:val="center"/>
        </w:trPr>
        <w:tc>
          <w:tcPr>
            <w:tcW w:w="4840" w:type="dxa"/>
            <w:tcBorders>
              <w:top w:val="nil"/>
              <w:bottom w:val="nil"/>
              <w:right w:val="nil"/>
            </w:tcBorders>
            <w:vAlign w:val="center"/>
            <w:hideMark/>
          </w:tcPr>
          <w:p w14:paraId="5F6A5A7C"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Slovenský pozemkový fond</w:t>
            </w:r>
          </w:p>
        </w:tc>
        <w:tc>
          <w:tcPr>
            <w:tcW w:w="1176" w:type="dxa"/>
            <w:tcBorders>
              <w:top w:val="nil"/>
              <w:left w:val="nil"/>
              <w:bottom w:val="nil"/>
              <w:right w:val="nil"/>
            </w:tcBorders>
            <w:vAlign w:val="center"/>
            <w:hideMark/>
          </w:tcPr>
          <w:p w14:paraId="0E1E3259"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79 942</w:t>
            </w:r>
          </w:p>
        </w:tc>
        <w:tc>
          <w:tcPr>
            <w:tcW w:w="1176" w:type="dxa"/>
            <w:tcBorders>
              <w:top w:val="nil"/>
              <w:left w:val="nil"/>
              <w:bottom w:val="nil"/>
              <w:right w:val="nil"/>
            </w:tcBorders>
            <w:vAlign w:val="center"/>
            <w:hideMark/>
          </w:tcPr>
          <w:p w14:paraId="377E3801"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66 124</w:t>
            </w:r>
          </w:p>
        </w:tc>
        <w:tc>
          <w:tcPr>
            <w:tcW w:w="1176" w:type="dxa"/>
            <w:tcBorders>
              <w:top w:val="nil"/>
              <w:left w:val="nil"/>
              <w:bottom w:val="nil"/>
              <w:right w:val="nil"/>
            </w:tcBorders>
            <w:vAlign w:val="center"/>
          </w:tcPr>
          <w:p w14:paraId="003756A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64 448</w:t>
            </w:r>
          </w:p>
        </w:tc>
        <w:tc>
          <w:tcPr>
            <w:tcW w:w="1236" w:type="dxa"/>
            <w:tcBorders>
              <w:top w:val="nil"/>
              <w:left w:val="nil"/>
              <w:bottom w:val="nil"/>
            </w:tcBorders>
            <w:vAlign w:val="center"/>
          </w:tcPr>
          <w:p w14:paraId="6603374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-1 676</w:t>
            </w:r>
          </w:p>
        </w:tc>
      </w:tr>
      <w:tr w:rsidR="001768B9" w:rsidRPr="0057265E" w14:paraId="0D0511D2" w14:textId="77777777" w:rsidTr="001768B9">
        <w:trPr>
          <w:trHeight w:val="276"/>
          <w:jc w:val="center"/>
        </w:trPr>
        <w:tc>
          <w:tcPr>
            <w:tcW w:w="4840" w:type="dxa"/>
            <w:tcBorders>
              <w:top w:val="nil"/>
              <w:bottom w:val="nil"/>
              <w:right w:val="nil"/>
            </w:tcBorders>
            <w:vAlign w:val="center"/>
            <w:hideMark/>
          </w:tcPr>
          <w:p w14:paraId="71C40EBE"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Vodohospodárska výstavba, </w:t>
            </w:r>
            <w:proofErr w:type="spellStart"/>
            <w:r w:rsidRPr="0057265E">
              <w:rPr>
                <w:color w:val="000000"/>
                <w:sz w:val="16"/>
                <w:szCs w:val="16"/>
                <w:lang w:eastAsia="sk-SK"/>
              </w:rPr>
              <w:t>š.p</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09767993"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59 856</w:t>
            </w:r>
          </w:p>
        </w:tc>
        <w:tc>
          <w:tcPr>
            <w:tcW w:w="1176" w:type="dxa"/>
            <w:tcBorders>
              <w:top w:val="nil"/>
              <w:left w:val="nil"/>
              <w:bottom w:val="nil"/>
              <w:right w:val="nil"/>
            </w:tcBorders>
            <w:vAlign w:val="center"/>
            <w:hideMark/>
          </w:tcPr>
          <w:p w14:paraId="2122BB45"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27 809</w:t>
            </w:r>
          </w:p>
        </w:tc>
        <w:tc>
          <w:tcPr>
            <w:tcW w:w="1176" w:type="dxa"/>
            <w:tcBorders>
              <w:top w:val="nil"/>
              <w:left w:val="nil"/>
              <w:bottom w:val="nil"/>
              <w:right w:val="nil"/>
            </w:tcBorders>
            <w:vAlign w:val="center"/>
          </w:tcPr>
          <w:p w14:paraId="4C7708C1"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40 098</w:t>
            </w:r>
          </w:p>
        </w:tc>
        <w:tc>
          <w:tcPr>
            <w:tcW w:w="1236" w:type="dxa"/>
            <w:tcBorders>
              <w:top w:val="nil"/>
              <w:left w:val="nil"/>
              <w:bottom w:val="nil"/>
            </w:tcBorders>
            <w:vAlign w:val="center"/>
          </w:tcPr>
          <w:p w14:paraId="0D97A0EB"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12 289</w:t>
            </w:r>
          </w:p>
        </w:tc>
      </w:tr>
      <w:tr w:rsidR="001768B9" w:rsidRPr="0057265E" w14:paraId="4F6835CD" w14:textId="77777777" w:rsidTr="001768B9">
        <w:trPr>
          <w:trHeight w:val="276"/>
          <w:jc w:val="center"/>
        </w:trPr>
        <w:tc>
          <w:tcPr>
            <w:tcW w:w="4840" w:type="dxa"/>
            <w:tcBorders>
              <w:top w:val="nil"/>
              <w:bottom w:val="nil"/>
              <w:right w:val="nil"/>
            </w:tcBorders>
            <w:vAlign w:val="center"/>
            <w:hideMark/>
          </w:tcPr>
          <w:p w14:paraId="16894C7B"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Železnice SR</w:t>
            </w:r>
          </w:p>
        </w:tc>
        <w:tc>
          <w:tcPr>
            <w:tcW w:w="1176" w:type="dxa"/>
            <w:tcBorders>
              <w:top w:val="nil"/>
              <w:left w:val="nil"/>
              <w:bottom w:val="nil"/>
              <w:right w:val="nil"/>
            </w:tcBorders>
            <w:vAlign w:val="center"/>
            <w:hideMark/>
          </w:tcPr>
          <w:p w14:paraId="2C47BE16"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52 757</w:t>
            </w:r>
          </w:p>
        </w:tc>
        <w:tc>
          <w:tcPr>
            <w:tcW w:w="1176" w:type="dxa"/>
            <w:tcBorders>
              <w:top w:val="nil"/>
              <w:left w:val="nil"/>
              <w:bottom w:val="nil"/>
              <w:right w:val="nil"/>
            </w:tcBorders>
            <w:vAlign w:val="center"/>
            <w:hideMark/>
          </w:tcPr>
          <w:p w14:paraId="57541CB2"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53 166</w:t>
            </w:r>
          </w:p>
        </w:tc>
        <w:tc>
          <w:tcPr>
            <w:tcW w:w="1176" w:type="dxa"/>
            <w:tcBorders>
              <w:top w:val="nil"/>
              <w:left w:val="nil"/>
              <w:bottom w:val="nil"/>
              <w:right w:val="nil"/>
            </w:tcBorders>
            <w:vAlign w:val="center"/>
          </w:tcPr>
          <w:p w14:paraId="50DDB62D"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54 503</w:t>
            </w:r>
          </w:p>
        </w:tc>
        <w:tc>
          <w:tcPr>
            <w:tcW w:w="1236" w:type="dxa"/>
            <w:tcBorders>
              <w:top w:val="nil"/>
              <w:left w:val="nil"/>
              <w:bottom w:val="nil"/>
            </w:tcBorders>
            <w:vAlign w:val="center"/>
          </w:tcPr>
          <w:p w14:paraId="64A2AA3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1 337</w:t>
            </w:r>
          </w:p>
        </w:tc>
      </w:tr>
      <w:tr w:rsidR="001768B9" w:rsidRPr="0057265E" w14:paraId="2FBB9B64" w14:textId="77777777" w:rsidTr="001768B9">
        <w:trPr>
          <w:trHeight w:val="276"/>
          <w:jc w:val="center"/>
        </w:trPr>
        <w:tc>
          <w:tcPr>
            <w:tcW w:w="4840" w:type="dxa"/>
            <w:tcBorders>
              <w:top w:val="nil"/>
              <w:bottom w:val="nil"/>
              <w:right w:val="nil"/>
            </w:tcBorders>
            <w:vAlign w:val="center"/>
            <w:hideMark/>
          </w:tcPr>
          <w:p w14:paraId="6BE4DA0E"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Národná diaľničná spoločnosť,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458E2A1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8 682</w:t>
            </w:r>
          </w:p>
        </w:tc>
        <w:tc>
          <w:tcPr>
            <w:tcW w:w="1176" w:type="dxa"/>
            <w:tcBorders>
              <w:top w:val="nil"/>
              <w:left w:val="nil"/>
              <w:bottom w:val="nil"/>
              <w:right w:val="nil"/>
            </w:tcBorders>
            <w:vAlign w:val="center"/>
            <w:hideMark/>
          </w:tcPr>
          <w:p w14:paraId="79F1C0D8"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16 422</w:t>
            </w:r>
          </w:p>
        </w:tc>
        <w:tc>
          <w:tcPr>
            <w:tcW w:w="1176" w:type="dxa"/>
            <w:tcBorders>
              <w:top w:val="nil"/>
              <w:left w:val="nil"/>
              <w:bottom w:val="nil"/>
              <w:right w:val="nil"/>
            </w:tcBorders>
            <w:vAlign w:val="center"/>
          </w:tcPr>
          <w:p w14:paraId="4A800E69"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16 408</w:t>
            </w:r>
          </w:p>
        </w:tc>
        <w:tc>
          <w:tcPr>
            <w:tcW w:w="1236" w:type="dxa"/>
            <w:tcBorders>
              <w:top w:val="nil"/>
              <w:left w:val="nil"/>
              <w:bottom w:val="nil"/>
            </w:tcBorders>
            <w:vAlign w:val="center"/>
          </w:tcPr>
          <w:p w14:paraId="2DB5BA5F"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-14</w:t>
            </w:r>
          </w:p>
        </w:tc>
      </w:tr>
      <w:tr w:rsidR="001768B9" w:rsidRPr="0057265E" w14:paraId="4FABBE50" w14:textId="77777777" w:rsidTr="001768B9">
        <w:trPr>
          <w:trHeight w:val="276"/>
          <w:jc w:val="center"/>
        </w:trPr>
        <w:tc>
          <w:tcPr>
            <w:tcW w:w="4840" w:type="dxa"/>
            <w:tcBorders>
              <w:top w:val="nil"/>
              <w:bottom w:val="nil"/>
              <w:right w:val="nil"/>
            </w:tcBorders>
            <w:vAlign w:val="center"/>
          </w:tcPr>
          <w:p w14:paraId="4B450CBD" w14:textId="77777777" w:rsidR="001768B9" w:rsidRPr="0057265E" w:rsidRDefault="001768B9" w:rsidP="001768B9">
            <w:pPr>
              <w:spacing w:after="0" w:line="240" w:lineRule="auto"/>
              <w:ind w:firstLineChars="33" w:firstLine="53"/>
              <w:rPr>
                <w:color w:val="000000"/>
                <w:sz w:val="16"/>
                <w:szCs w:val="16"/>
                <w:lang w:eastAsia="sk-SK"/>
              </w:rPr>
            </w:pPr>
            <w:r>
              <w:rPr>
                <w:b/>
                <w:bCs/>
                <w:color w:val="000000"/>
                <w:sz w:val="16"/>
                <w:szCs w:val="16"/>
                <w:lang w:eastAsia="sk-SK"/>
              </w:rPr>
              <w:t>Vystavené alebo poskytnuté záruky</w:t>
            </w:r>
          </w:p>
        </w:tc>
        <w:tc>
          <w:tcPr>
            <w:tcW w:w="1176" w:type="dxa"/>
            <w:tcBorders>
              <w:top w:val="nil"/>
              <w:left w:val="nil"/>
              <w:bottom w:val="nil"/>
              <w:right w:val="nil"/>
            </w:tcBorders>
            <w:vAlign w:val="center"/>
          </w:tcPr>
          <w:p w14:paraId="33069E74" w14:textId="77777777" w:rsidR="001768B9" w:rsidRPr="00E61108" w:rsidRDefault="001768B9" w:rsidP="001768B9">
            <w:pPr>
              <w:spacing w:after="0" w:line="240" w:lineRule="auto"/>
              <w:jc w:val="right"/>
              <w:rPr>
                <w:b/>
                <w:color w:val="000000"/>
                <w:sz w:val="16"/>
                <w:szCs w:val="16"/>
                <w:lang w:eastAsia="sk-SK"/>
              </w:rPr>
            </w:pPr>
            <w:r w:rsidRPr="00E61108">
              <w:rPr>
                <w:b/>
                <w:color w:val="000000"/>
                <w:sz w:val="16"/>
                <w:szCs w:val="16"/>
                <w:lang w:eastAsia="sk-SK"/>
              </w:rPr>
              <w:t>722 115</w:t>
            </w:r>
          </w:p>
        </w:tc>
        <w:tc>
          <w:tcPr>
            <w:tcW w:w="1176" w:type="dxa"/>
            <w:tcBorders>
              <w:top w:val="nil"/>
              <w:left w:val="nil"/>
              <w:bottom w:val="nil"/>
              <w:right w:val="nil"/>
            </w:tcBorders>
            <w:vAlign w:val="center"/>
          </w:tcPr>
          <w:p w14:paraId="1FF9A248" w14:textId="77777777" w:rsidR="001768B9" w:rsidRPr="00E61108" w:rsidRDefault="001768B9" w:rsidP="001768B9">
            <w:pPr>
              <w:spacing w:after="0" w:line="240" w:lineRule="auto"/>
              <w:jc w:val="right"/>
              <w:rPr>
                <w:b/>
                <w:color w:val="000000"/>
                <w:sz w:val="16"/>
                <w:szCs w:val="16"/>
                <w:lang w:eastAsia="sk-SK"/>
              </w:rPr>
            </w:pPr>
            <w:r w:rsidRPr="00E61108">
              <w:rPr>
                <w:b/>
                <w:color w:val="000000"/>
                <w:sz w:val="16"/>
                <w:szCs w:val="16"/>
                <w:lang w:eastAsia="sk-SK"/>
              </w:rPr>
              <w:t>967 880</w:t>
            </w:r>
          </w:p>
        </w:tc>
        <w:tc>
          <w:tcPr>
            <w:tcW w:w="1176" w:type="dxa"/>
            <w:tcBorders>
              <w:top w:val="nil"/>
              <w:left w:val="nil"/>
              <w:bottom w:val="nil"/>
              <w:right w:val="nil"/>
            </w:tcBorders>
            <w:vAlign w:val="center"/>
          </w:tcPr>
          <w:p w14:paraId="46D36B57" w14:textId="77777777" w:rsidR="001768B9" w:rsidRPr="00E61108" w:rsidRDefault="001768B9" w:rsidP="001768B9">
            <w:pPr>
              <w:spacing w:after="0" w:line="240" w:lineRule="auto"/>
              <w:jc w:val="right"/>
              <w:rPr>
                <w:b/>
                <w:color w:val="000000"/>
                <w:sz w:val="16"/>
                <w:szCs w:val="16"/>
                <w:lang w:eastAsia="sk-SK"/>
              </w:rPr>
            </w:pPr>
            <w:r w:rsidRPr="00E61108">
              <w:rPr>
                <w:b/>
                <w:color w:val="000000"/>
                <w:sz w:val="16"/>
                <w:szCs w:val="16"/>
                <w:lang w:eastAsia="sk-SK"/>
              </w:rPr>
              <w:t>868 361</w:t>
            </w:r>
          </w:p>
        </w:tc>
        <w:tc>
          <w:tcPr>
            <w:tcW w:w="1236" w:type="dxa"/>
            <w:tcBorders>
              <w:top w:val="nil"/>
              <w:left w:val="nil"/>
              <w:bottom w:val="nil"/>
            </w:tcBorders>
            <w:vAlign w:val="center"/>
          </w:tcPr>
          <w:p w14:paraId="37C9B183" w14:textId="77777777" w:rsidR="001768B9" w:rsidRPr="00E61108" w:rsidRDefault="001768B9" w:rsidP="001768B9">
            <w:pPr>
              <w:spacing w:after="0" w:line="240" w:lineRule="auto"/>
              <w:jc w:val="right"/>
              <w:rPr>
                <w:b/>
                <w:color w:val="000000"/>
                <w:sz w:val="16"/>
                <w:szCs w:val="16"/>
                <w:lang w:eastAsia="sk-SK"/>
              </w:rPr>
            </w:pPr>
            <w:r w:rsidRPr="00E61108">
              <w:rPr>
                <w:b/>
                <w:color w:val="000000"/>
                <w:sz w:val="16"/>
                <w:szCs w:val="16"/>
                <w:lang w:eastAsia="sk-SK"/>
              </w:rPr>
              <w:t>-99 519</w:t>
            </w:r>
          </w:p>
        </w:tc>
      </w:tr>
      <w:tr w:rsidR="001768B9" w:rsidRPr="0057265E" w14:paraId="67A7A622" w14:textId="77777777" w:rsidTr="001768B9">
        <w:trPr>
          <w:trHeight w:val="276"/>
          <w:jc w:val="center"/>
        </w:trPr>
        <w:tc>
          <w:tcPr>
            <w:tcW w:w="4840" w:type="dxa"/>
            <w:tcBorders>
              <w:top w:val="nil"/>
              <w:bottom w:val="nil"/>
              <w:right w:val="nil"/>
            </w:tcBorders>
            <w:vAlign w:val="center"/>
          </w:tcPr>
          <w:p w14:paraId="0AB0E718" w14:textId="77777777" w:rsidR="001768B9" w:rsidRPr="00E61108" w:rsidRDefault="001768B9" w:rsidP="001768B9">
            <w:pPr>
              <w:spacing w:after="0" w:line="240" w:lineRule="auto"/>
              <w:ind w:firstLineChars="300" w:firstLine="480"/>
              <w:rPr>
                <w:color w:val="000000"/>
                <w:sz w:val="16"/>
                <w:szCs w:val="16"/>
                <w:lang w:eastAsia="sk-SK"/>
              </w:rPr>
            </w:pPr>
            <w:r w:rsidRPr="00E61108">
              <w:rPr>
                <w:color w:val="000000"/>
                <w:sz w:val="16"/>
                <w:szCs w:val="16"/>
                <w:lang w:eastAsia="sk-SK"/>
              </w:rPr>
              <w:t xml:space="preserve">National </w:t>
            </w:r>
            <w:proofErr w:type="spellStart"/>
            <w:r w:rsidRPr="00E61108">
              <w:rPr>
                <w:color w:val="000000"/>
                <w:sz w:val="16"/>
                <w:szCs w:val="16"/>
                <w:lang w:eastAsia="sk-SK"/>
              </w:rPr>
              <w:t>Development</w:t>
            </w:r>
            <w:proofErr w:type="spellEnd"/>
            <w:r w:rsidRPr="00E61108">
              <w:rPr>
                <w:color w:val="000000"/>
                <w:sz w:val="16"/>
                <w:szCs w:val="16"/>
                <w:lang w:eastAsia="sk-SK"/>
              </w:rPr>
              <w:t xml:space="preserve"> </w:t>
            </w:r>
            <w:proofErr w:type="spellStart"/>
            <w:r w:rsidRPr="00E61108">
              <w:rPr>
                <w:color w:val="000000"/>
                <w:sz w:val="16"/>
                <w:szCs w:val="16"/>
                <w:lang w:eastAsia="sk-SK"/>
              </w:rPr>
              <w:t>Fund</w:t>
            </w:r>
            <w:proofErr w:type="spellEnd"/>
            <w:r w:rsidRPr="00E61108">
              <w:rPr>
                <w:color w:val="000000"/>
                <w:sz w:val="16"/>
                <w:szCs w:val="16"/>
                <w:lang w:eastAsia="sk-SK"/>
              </w:rPr>
              <w:t xml:space="preserve"> II, </w:t>
            </w:r>
            <w:proofErr w:type="spellStart"/>
            <w:r w:rsidRPr="00E61108">
              <w:rPr>
                <w:color w:val="000000"/>
                <w:sz w:val="16"/>
                <w:szCs w:val="16"/>
                <w:lang w:eastAsia="sk-SK"/>
              </w:rPr>
              <w:t>a.s</w:t>
            </w:r>
            <w:proofErr w:type="spellEnd"/>
            <w:r w:rsidRPr="00E61108">
              <w:rPr>
                <w:color w:val="000000"/>
                <w:sz w:val="16"/>
                <w:szCs w:val="16"/>
                <w:lang w:eastAsia="sk-SK"/>
              </w:rPr>
              <w:t>.</w:t>
            </w:r>
          </w:p>
        </w:tc>
        <w:tc>
          <w:tcPr>
            <w:tcW w:w="1176" w:type="dxa"/>
            <w:tcBorders>
              <w:top w:val="nil"/>
              <w:left w:val="nil"/>
              <w:bottom w:val="nil"/>
              <w:right w:val="nil"/>
            </w:tcBorders>
            <w:vAlign w:val="center"/>
          </w:tcPr>
          <w:p w14:paraId="3F9E4A00"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310 683</w:t>
            </w:r>
          </w:p>
        </w:tc>
        <w:tc>
          <w:tcPr>
            <w:tcW w:w="1176" w:type="dxa"/>
            <w:tcBorders>
              <w:top w:val="nil"/>
              <w:left w:val="nil"/>
              <w:bottom w:val="nil"/>
              <w:right w:val="nil"/>
            </w:tcBorders>
            <w:vAlign w:val="center"/>
          </w:tcPr>
          <w:p w14:paraId="3689CA60"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381 410</w:t>
            </w:r>
          </w:p>
        </w:tc>
        <w:tc>
          <w:tcPr>
            <w:tcW w:w="1176" w:type="dxa"/>
            <w:tcBorders>
              <w:top w:val="nil"/>
              <w:left w:val="nil"/>
              <w:bottom w:val="nil"/>
              <w:right w:val="nil"/>
            </w:tcBorders>
            <w:vAlign w:val="center"/>
          </w:tcPr>
          <w:p w14:paraId="5F259FB0"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369 026</w:t>
            </w:r>
          </w:p>
        </w:tc>
        <w:tc>
          <w:tcPr>
            <w:tcW w:w="1236" w:type="dxa"/>
            <w:tcBorders>
              <w:top w:val="nil"/>
              <w:left w:val="nil"/>
              <w:bottom w:val="nil"/>
            </w:tcBorders>
            <w:vAlign w:val="center"/>
          </w:tcPr>
          <w:p w14:paraId="416C0279"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-12 384</w:t>
            </w:r>
          </w:p>
        </w:tc>
      </w:tr>
      <w:tr w:rsidR="001768B9" w:rsidRPr="0057265E" w14:paraId="15F4A8E4" w14:textId="77777777" w:rsidTr="001768B9">
        <w:trPr>
          <w:trHeight w:val="276"/>
          <w:jc w:val="center"/>
        </w:trPr>
        <w:tc>
          <w:tcPr>
            <w:tcW w:w="4840" w:type="dxa"/>
            <w:tcBorders>
              <w:top w:val="nil"/>
              <w:bottom w:val="nil"/>
              <w:right w:val="nil"/>
            </w:tcBorders>
            <w:vAlign w:val="center"/>
          </w:tcPr>
          <w:p w14:paraId="259D5FD0" w14:textId="77777777" w:rsidR="001768B9" w:rsidRPr="00E61108" w:rsidRDefault="001768B9" w:rsidP="001768B9">
            <w:pPr>
              <w:spacing w:after="0" w:line="240" w:lineRule="auto"/>
              <w:ind w:firstLineChars="300" w:firstLine="480"/>
              <w:rPr>
                <w:color w:val="000000"/>
                <w:sz w:val="16"/>
                <w:szCs w:val="16"/>
                <w:lang w:eastAsia="sk-SK"/>
              </w:rPr>
            </w:pPr>
            <w:r w:rsidRPr="00E61108">
              <w:rPr>
                <w:color w:val="000000"/>
                <w:sz w:val="16"/>
                <w:szCs w:val="16"/>
                <w:lang w:eastAsia="sk-SK"/>
              </w:rPr>
              <w:t>Záruky MF SR</w:t>
            </w:r>
          </w:p>
        </w:tc>
        <w:tc>
          <w:tcPr>
            <w:tcW w:w="1176" w:type="dxa"/>
            <w:tcBorders>
              <w:top w:val="nil"/>
              <w:left w:val="nil"/>
              <w:bottom w:val="nil"/>
              <w:right w:val="nil"/>
            </w:tcBorders>
            <w:vAlign w:val="center"/>
          </w:tcPr>
          <w:p w14:paraId="217172E6"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221 195</w:t>
            </w:r>
          </w:p>
        </w:tc>
        <w:tc>
          <w:tcPr>
            <w:tcW w:w="1176" w:type="dxa"/>
            <w:tcBorders>
              <w:top w:val="nil"/>
              <w:left w:val="nil"/>
              <w:bottom w:val="nil"/>
              <w:right w:val="nil"/>
            </w:tcBorders>
            <w:vAlign w:val="center"/>
          </w:tcPr>
          <w:p w14:paraId="1851AE36"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419 147</w:t>
            </w:r>
          </w:p>
        </w:tc>
        <w:tc>
          <w:tcPr>
            <w:tcW w:w="1176" w:type="dxa"/>
            <w:tcBorders>
              <w:top w:val="nil"/>
              <w:left w:val="nil"/>
              <w:bottom w:val="nil"/>
              <w:right w:val="nil"/>
            </w:tcBorders>
            <w:vAlign w:val="center"/>
          </w:tcPr>
          <w:p w14:paraId="1094FA21"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321 411</w:t>
            </w:r>
          </w:p>
        </w:tc>
        <w:tc>
          <w:tcPr>
            <w:tcW w:w="1236" w:type="dxa"/>
            <w:tcBorders>
              <w:top w:val="nil"/>
              <w:left w:val="nil"/>
              <w:bottom w:val="nil"/>
            </w:tcBorders>
            <w:vAlign w:val="center"/>
          </w:tcPr>
          <w:p w14:paraId="3E4C736B"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-97 736</w:t>
            </w:r>
          </w:p>
        </w:tc>
      </w:tr>
      <w:tr w:rsidR="001768B9" w:rsidRPr="0057265E" w14:paraId="04453953" w14:textId="77777777" w:rsidTr="001768B9">
        <w:trPr>
          <w:trHeight w:val="276"/>
          <w:jc w:val="center"/>
        </w:trPr>
        <w:tc>
          <w:tcPr>
            <w:tcW w:w="4840" w:type="dxa"/>
            <w:tcBorders>
              <w:top w:val="nil"/>
              <w:bottom w:val="nil"/>
              <w:right w:val="nil"/>
            </w:tcBorders>
            <w:vAlign w:val="center"/>
          </w:tcPr>
          <w:p w14:paraId="65FFDE36" w14:textId="77777777" w:rsidR="001768B9" w:rsidRPr="00E61108" w:rsidRDefault="001768B9" w:rsidP="001768B9">
            <w:pPr>
              <w:spacing w:after="0" w:line="240" w:lineRule="auto"/>
              <w:ind w:firstLineChars="300" w:firstLine="480"/>
              <w:rPr>
                <w:color w:val="000000"/>
                <w:sz w:val="16"/>
                <w:szCs w:val="16"/>
                <w:lang w:eastAsia="sk-SK"/>
              </w:rPr>
            </w:pPr>
            <w:r w:rsidRPr="00E61108">
              <w:rPr>
                <w:color w:val="000000"/>
                <w:sz w:val="16"/>
                <w:szCs w:val="16"/>
                <w:lang w:eastAsia="sk-SK"/>
              </w:rPr>
              <w:t>Exportno-importná banka Slovenska</w:t>
            </w:r>
          </w:p>
        </w:tc>
        <w:tc>
          <w:tcPr>
            <w:tcW w:w="1176" w:type="dxa"/>
            <w:tcBorders>
              <w:top w:val="nil"/>
              <w:left w:val="nil"/>
              <w:bottom w:val="nil"/>
              <w:right w:val="nil"/>
            </w:tcBorders>
            <w:vAlign w:val="center"/>
          </w:tcPr>
          <w:p w14:paraId="23FC9DFA"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190 237</w:t>
            </w:r>
          </w:p>
        </w:tc>
        <w:tc>
          <w:tcPr>
            <w:tcW w:w="1176" w:type="dxa"/>
            <w:tcBorders>
              <w:top w:val="nil"/>
              <w:left w:val="nil"/>
              <w:bottom w:val="nil"/>
              <w:right w:val="nil"/>
            </w:tcBorders>
            <w:vAlign w:val="center"/>
          </w:tcPr>
          <w:p w14:paraId="2D4549ED"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167 323</w:t>
            </w:r>
          </w:p>
        </w:tc>
        <w:tc>
          <w:tcPr>
            <w:tcW w:w="1176" w:type="dxa"/>
            <w:tcBorders>
              <w:top w:val="nil"/>
              <w:left w:val="nil"/>
              <w:bottom w:val="nil"/>
              <w:right w:val="nil"/>
            </w:tcBorders>
            <w:vAlign w:val="center"/>
          </w:tcPr>
          <w:p w14:paraId="5631D539"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177 924</w:t>
            </w:r>
          </w:p>
        </w:tc>
        <w:tc>
          <w:tcPr>
            <w:tcW w:w="1236" w:type="dxa"/>
            <w:tcBorders>
              <w:top w:val="nil"/>
              <w:left w:val="nil"/>
              <w:bottom w:val="nil"/>
            </w:tcBorders>
            <w:vAlign w:val="center"/>
          </w:tcPr>
          <w:p w14:paraId="50CDDA86" w14:textId="77777777" w:rsidR="001768B9" w:rsidRPr="00E61108" w:rsidRDefault="001768B9" w:rsidP="001768B9">
            <w:pPr>
              <w:spacing w:after="0" w:line="240" w:lineRule="auto"/>
              <w:jc w:val="right"/>
              <w:rPr>
                <w:color w:val="000000"/>
                <w:sz w:val="16"/>
                <w:szCs w:val="16"/>
                <w:lang w:eastAsia="sk-SK"/>
              </w:rPr>
            </w:pPr>
            <w:r w:rsidRPr="00E61108">
              <w:rPr>
                <w:color w:val="000000"/>
                <w:sz w:val="16"/>
                <w:szCs w:val="16"/>
                <w:lang w:eastAsia="sk-SK"/>
              </w:rPr>
              <w:t>10 601</w:t>
            </w:r>
          </w:p>
        </w:tc>
      </w:tr>
      <w:tr w:rsidR="001768B9" w:rsidRPr="0057265E" w14:paraId="45ECB85C" w14:textId="77777777" w:rsidTr="001768B9">
        <w:trPr>
          <w:trHeight w:val="276"/>
          <w:jc w:val="center"/>
        </w:trPr>
        <w:tc>
          <w:tcPr>
            <w:tcW w:w="4840" w:type="dxa"/>
            <w:tcBorders>
              <w:top w:val="nil"/>
              <w:bottom w:val="nil"/>
              <w:right w:val="nil"/>
            </w:tcBorders>
            <w:vAlign w:val="center"/>
            <w:hideMark/>
          </w:tcPr>
          <w:p w14:paraId="6EB4D52E"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Iné podmienené záväzky</w:t>
            </w:r>
          </w:p>
        </w:tc>
        <w:tc>
          <w:tcPr>
            <w:tcW w:w="1176" w:type="dxa"/>
            <w:tcBorders>
              <w:top w:val="nil"/>
              <w:left w:val="nil"/>
              <w:bottom w:val="nil"/>
              <w:right w:val="nil"/>
            </w:tcBorders>
            <w:vAlign w:val="center"/>
          </w:tcPr>
          <w:p w14:paraId="2A63301C"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4 792 356</w:t>
            </w:r>
          </w:p>
        </w:tc>
        <w:tc>
          <w:tcPr>
            <w:tcW w:w="1176" w:type="dxa"/>
            <w:tcBorders>
              <w:top w:val="nil"/>
              <w:left w:val="nil"/>
              <w:bottom w:val="nil"/>
              <w:right w:val="nil"/>
            </w:tcBorders>
            <w:vAlign w:val="center"/>
          </w:tcPr>
          <w:p w14:paraId="3A397950"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5 236 088</w:t>
            </w:r>
          </w:p>
        </w:tc>
        <w:tc>
          <w:tcPr>
            <w:tcW w:w="1176" w:type="dxa"/>
            <w:tcBorders>
              <w:top w:val="nil"/>
              <w:left w:val="nil"/>
              <w:bottom w:val="nil"/>
              <w:right w:val="nil"/>
            </w:tcBorders>
            <w:vAlign w:val="center"/>
          </w:tcPr>
          <w:p w14:paraId="49EFD56B"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5 306 135</w:t>
            </w:r>
          </w:p>
        </w:tc>
        <w:tc>
          <w:tcPr>
            <w:tcW w:w="1236" w:type="dxa"/>
            <w:tcBorders>
              <w:top w:val="nil"/>
              <w:left w:val="nil"/>
              <w:bottom w:val="nil"/>
            </w:tcBorders>
            <w:vAlign w:val="center"/>
            <w:hideMark/>
          </w:tcPr>
          <w:p w14:paraId="10DB3E2B"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70 047</w:t>
            </w:r>
          </w:p>
        </w:tc>
      </w:tr>
      <w:tr w:rsidR="001768B9" w:rsidRPr="0057265E" w14:paraId="3449E907" w14:textId="77777777" w:rsidTr="001768B9">
        <w:trPr>
          <w:trHeight w:val="276"/>
          <w:jc w:val="center"/>
        </w:trPr>
        <w:tc>
          <w:tcPr>
            <w:tcW w:w="4840" w:type="dxa"/>
            <w:tcBorders>
              <w:top w:val="nil"/>
              <w:bottom w:val="nil"/>
              <w:right w:val="nil"/>
            </w:tcBorders>
            <w:vAlign w:val="center"/>
            <w:hideMark/>
          </w:tcPr>
          <w:p w14:paraId="256978DD"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Slovenské elektrárne,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5A4E8F26"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3 177 596</w:t>
            </w:r>
          </w:p>
        </w:tc>
        <w:tc>
          <w:tcPr>
            <w:tcW w:w="1176" w:type="dxa"/>
            <w:tcBorders>
              <w:top w:val="nil"/>
              <w:left w:val="nil"/>
              <w:bottom w:val="nil"/>
              <w:right w:val="nil"/>
            </w:tcBorders>
            <w:vAlign w:val="center"/>
            <w:hideMark/>
          </w:tcPr>
          <w:p w14:paraId="12D68EFB"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3 246 429</w:t>
            </w:r>
          </w:p>
        </w:tc>
        <w:tc>
          <w:tcPr>
            <w:tcW w:w="1176" w:type="dxa"/>
            <w:tcBorders>
              <w:top w:val="nil"/>
              <w:left w:val="nil"/>
              <w:bottom w:val="nil"/>
              <w:right w:val="nil"/>
            </w:tcBorders>
            <w:vAlign w:val="center"/>
          </w:tcPr>
          <w:p w14:paraId="4C37F56B"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3 341 242</w:t>
            </w:r>
          </w:p>
        </w:tc>
        <w:tc>
          <w:tcPr>
            <w:tcW w:w="1236" w:type="dxa"/>
            <w:tcBorders>
              <w:top w:val="nil"/>
              <w:left w:val="nil"/>
              <w:bottom w:val="nil"/>
            </w:tcBorders>
            <w:vAlign w:val="center"/>
          </w:tcPr>
          <w:p w14:paraId="19CEF998"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94 813</w:t>
            </w:r>
          </w:p>
        </w:tc>
      </w:tr>
      <w:tr w:rsidR="001768B9" w:rsidRPr="0057265E" w14:paraId="5D55ACC5" w14:textId="77777777" w:rsidTr="001768B9">
        <w:trPr>
          <w:trHeight w:val="276"/>
          <w:jc w:val="center"/>
        </w:trPr>
        <w:tc>
          <w:tcPr>
            <w:tcW w:w="4840" w:type="dxa"/>
            <w:tcBorders>
              <w:top w:val="nil"/>
              <w:bottom w:val="nil"/>
              <w:right w:val="nil"/>
            </w:tcBorders>
            <w:vAlign w:val="center"/>
            <w:hideMark/>
          </w:tcPr>
          <w:p w14:paraId="127D7CD9"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MH Manažment, </w:t>
            </w:r>
            <w:proofErr w:type="spellStart"/>
            <w:r w:rsidRPr="0057265E">
              <w:rPr>
                <w:color w:val="000000"/>
                <w:sz w:val="16"/>
                <w:szCs w:val="16"/>
                <w:lang w:eastAsia="sk-SK"/>
              </w:rPr>
              <w:t>a.s</w:t>
            </w:r>
            <w:proofErr w:type="spellEnd"/>
            <w:r w:rsidRPr="0057265E">
              <w:rPr>
                <w:color w:val="000000"/>
                <w:sz w:val="16"/>
                <w:szCs w:val="16"/>
                <w:lang w:eastAsia="sk-SK"/>
              </w:rPr>
              <w:t xml:space="preserve">. </w:t>
            </w:r>
          </w:p>
        </w:tc>
        <w:tc>
          <w:tcPr>
            <w:tcW w:w="1176" w:type="dxa"/>
            <w:tcBorders>
              <w:top w:val="nil"/>
              <w:left w:val="nil"/>
              <w:bottom w:val="nil"/>
              <w:right w:val="nil"/>
            </w:tcBorders>
            <w:vAlign w:val="center"/>
            <w:hideMark/>
          </w:tcPr>
          <w:p w14:paraId="732B595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976 822</w:t>
            </w:r>
          </w:p>
        </w:tc>
        <w:tc>
          <w:tcPr>
            <w:tcW w:w="1176" w:type="dxa"/>
            <w:tcBorders>
              <w:top w:val="nil"/>
              <w:left w:val="nil"/>
              <w:bottom w:val="nil"/>
              <w:right w:val="nil"/>
            </w:tcBorders>
            <w:vAlign w:val="center"/>
            <w:hideMark/>
          </w:tcPr>
          <w:p w14:paraId="61101807"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976 822</w:t>
            </w:r>
          </w:p>
        </w:tc>
        <w:tc>
          <w:tcPr>
            <w:tcW w:w="1176" w:type="dxa"/>
            <w:tcBorders>
              <w:top w:val="nil"/>
              <w:left w:val="nil"/>
              <w:bottom w:val="nil"/>
              <w:right w:val="nil"/>
            </w:tcBorders>
            <w:vAlign w:val="center"/>
          </w:tcPr>
          <w:p w14:paraId="4176BD41"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970 650</w:t>
            </w:r>
          </w:p>
        </w:tc>
        <w:tc>
          <w:tcPr>
            <w:tcW w:w="1236" w:type="dxa"/>
            <w:tcBorders>
              <w:top w:val="nil"/>
              <w:left w:val="nil"/>
              <w:bottom w:val="nil"/>
            </w:tcBorders>
            <w:vAlign w:val="center"/>
          </w:tcPr>
          <w:p w14:paraId="034731FF"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-6 172</w:t>
            </w:r>
          </w:p>
        </w:tc>
      </w:tr>
      <w:tr w:rsidR="001768B9" w:rsidRPr="0057265E" w14:paraId="45BD2B0B" w14:textId="77777777" w:rsidTr="001768B9">
        <w:trPr>
          <w:trHeight w:val="276"/>
          <w:jc w:val="center"/>
        </w:trPr>
        <w:tc>
          <w:tcPr>
            <w:tcW w:w="4840" w:type="dxa"/>
            <w:tcBorders>
              <w:top w:val="nil"/>
              <w:bottom w:val="nil"/>
              <w:right w:val="nil"/>
            </w:tcBorders>
            <w:vAlign w:val="center"/>
            <w:hideMark/>
          </w:tcPr>
          <w:p w14:paraId="3AD1F70F"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Slovenský plynárenský priemysel,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23FFBDBD"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347 233</w:t>
            </w:r>
          </w:p>
        </w:tc>
        <w:tc>
          <w:tcPr>
            <w:tcW w:w="1176" w:type="dxa"/>
            <w:tcBorders>
              <w:top w:val="nil"/>
              <w:left w:val="nil"/>
              <w:bottom w:val="nil"/>
              <w:right w:val="nil"/>
            </w:tcBorders>
            <w:vAlign w:val="center"/>
            <w:hideMark/>
          </w:tcPr>
          <w:p w14:paraId="251EB37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803 347</w:t>
            </w:r>
          </w:p>
        </w:tc>
        <w:tc>
          <w:tcPr>
            <w:tcW w:w="1176" w:type="dxa"/>
            <w:tcBorders>
              <w:top w:val="nil"/>
              <w:left w:val="nil"/>
              <w:bottom w:val="nil"/>
              <w:right w:val="nil"/>
            </w:tcBorders>
            <w:vAlign w:val="center"/>
          </w:tcPr>
          <w:p w14:paraId="25D85BE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767 827</w:t>
            </w:r>
          </w:p>
        </w:tc>
        <w:tc>
          <w:tcPr>
            <w:tcW w:w="1236" w:type="dxa"/>
            <w:tcBorders>
              <w:top w:val="nil"/>
              <w:left w:val="nil"/>
              <w:bottom w:val="nil"/>
            </w:tcBorders>
            <w:vAlign w:val="center"/>
          </w:tcPr>
          <w:p w14:paraId="7849E40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-35 520</w:t>
            </w:r>
          </w:p>
        </w:tc>
      </w:tr>
      <w:tr w:rsidR="001768B9" w:rsidRPr="0057265E" w14:paraId="62707A27" w14:textId="77777777" w:rsidTr="001768B9">
        <w:trPr>
          <w:trHeight w:val="276"/>
          <w:jc w:val="center"/>
        </w:trPr>
        <w:tc>
          <w:tcPr>
            <w:tcW w:w="4840" w:type="dxa"/>
            <w:tcBorders>
              <w:top w:val="nil"/>
              <w:bottom w:val="nil"/>
              <w:right w:val="nil"/>
            </w:tcBorders>
            <w:vAlign w:val="center"/>
            <w:hideMark/>
          </w:tcPr>
          <w:p w14:paraId="05292AD4"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Východoslovenská energetika,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175CB4B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112 200</w:t>
            </w:r>
          </w:p>
        </w:tc>
        <w:tc>
          <w:tcPr>
            <w:tcW w:w="1176" w:type="dxa"/>
            <w:tcBorders>
              <w:top w:val="nil"/>
              <w:left w:val="nil"/>
              <w:bottom w:val="nil"/>
              <w:right w:val="nil"/>
            </w:tcBorders>
            <w:vAlign w:val="center"/>
            <w:hideMark/>
          </w:tcPr>
          <w:p w14:paraId="5A8DEF67"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134 609</w:t>
            </w:r>
          </w:p>
        </w:tc>
        <w:tc>
          <w:tcPr>
            <w:tcW w:w="1176" w:type="dxa"/>
            <w:tcBorders>
              <w:top w:val="nil"/>
              <w:left w:val="nil"/>
              <w:bottom w:val="nil"/>
              <w:right w:val="nil"/>
            </w:tcBorders>
            <w:vAlign w:val="center"/>
          </w:tcPr>
          <w:p w14:paraId="1226263A"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146 527</w:t>
            </w:r>
          </w:p>
        </w:tc>
        <w:tc>
          <w:tcPr>
            <w:tcW w:w="1236" w:type="dxa"/>
            <w:tcBorders>
              <w:top w:val="nil"/>
              <w:left w:val="nil"/>
              <w:bottom w:val="nil"/>
            </w:tcBorders>
            <w:vAlign w:val="center"/>
          </w:tcPr>
          <w:p w14:paraId="5C95307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11 918</w:t>
            </w:r>
          </w:p>
        </w:tc>
      </w:tr>
      <w:tr w:rsidR="001768B9" w:rsidRPr="0057265E" w14:paraId="790F9D0A" w14:textId="77777777" w:rsidTr="001768B9">
        <w:trPr>
          <w:trHeight w:val="276"/>
          <w:jc w:val="center"/>
        </w:trPr>
        <w:tc>
          <w:tcPr>
            <w:tcW w:w="4840" w:type="dxa"/>
            <w:tcBorders>
              <w:top w:val="nil"/>
              <w:bottom w:val="nil"/>
              <w:right w:val="nil"/>
            </w:tcBorders>
            <w:vAlign w:val="center"/>
            <w:hideMark/>
          </w:tcPr>
          <w:p w14:paraId="100B03DC"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Slovenská záručná a rozvojová banka,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119FD2A9"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89 215</w:t>
            </w:r>
          </w:p>
        </w:tc>
        <w:tc>
          <w:tcPr>
            <w:tcW w:w="1176" w:type="dxa"/>
            <w:tcBorders>
              <w:top w:val="nil"/>
              <w:left w:val="nil"/>
              <w:bottom w:val="nil"/>
              <w:right w:val="nil"/>
            </w:tcBorders>
            <w:vAlign w:val="center"/>
            <w:hideMark/>
          </w:tcPr>
          <w:p w14:paraId="3B6158AA"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59 095</w:t>
            </w:r>
          </w:p>
        </w:tc>
        <w:tc>
          <w:tcPr>
            <w:tcW w:w="1176" w:type="dxa"/>
            <w:tcBorders>
              <w:top w:val="nil"/>
              <w:left w:val="nil"/>
              <w:bottom w:val="nil"/>
              <w:right w:val="nil"/>
            </w:tcBorders>
            <w:vAlign w:val="center"/>
          </w:tcPr>
          <w:p w14:paraId="20933F3C"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59 754</w:t>
            </w:r>
          </w:p>
        </w:tc>
        <w:tc>
          <w:tcPr>
            <w:tcW w:w="1236" w:type="dxa"/>
            <w:tcBorders>
              <w:top w:val="nil"/>
              <w:left w:val="nil"/>
              <w:bottom w:val="nil"/>
            </w:tcBorders>
            <w:vAlign w:val="center"/>
          </w:tcPr>
          <w:p w14:paraId="4BEDB398"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659</w:t>
            </w:r>
          </w:p>
        </w:tc>
      </w:tr>
      <w:tr w:rsidR="001768B9" w:rsidRPr="0057265E" w14:paraId="54682260" w14:textId="77777777" w:rsidTr="001768B9">
        <w:trPr>
          <w:trHeight w:val="276"/>
          <w:jc w:val="center"/>
        </w:trPr>
        <w:tc>
          <w:tcPr>
            <w:tcW w:w="4840" w:type="dxa"/>
            <w:tcBorders>
              <w:top w:val="nil"/>
              <w:bottom w:val="nil"/>
              <w:right w:val="nil"/>
            </w:tcBorders>
            <w:vAlign w:val="center"/>
            <w:hideMark/>
          </w:tcPr>
          <w:p w14:paraId="67088C21"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Lesy SR, </w:t>
            </w:r>
            <w:proofErr w:type="spellStart"/>
            <w:r w:rsidRPr="0057265E">
              <w:rPr>
                <w:color w:val="000000"/>
                <w:sz w:val="16"/>
                <w:szCs w:val="16"/>
                <w:lang w:eastAsia="sk-SK"/>
              </w:rPr>
              <w:t>š.p</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4DF4C5C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15 486</w:t>
            </w:r>
          </w:p>
        </w:tc>
        <w:tc>
          <w:tcPr>
            <w:tcW w:w="1176" w:type="dxa"/>
            <w:tcBorders>
              <w:top w:val="nil"/>
              <w:left w:val="nil"/>
              <w:bottom w:val="nil"/>
              <w:right w:val="nil"/>
            </w:tcBorders>
            <w:vAlign w:val="center"/>
            <w:hideMark/>
          </w:tcPr>
          <w:p w14:paraId="42550DF5"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13 894</w:t>
            </w:r>
          </w:p>
        </w:tc>
        <w:tc>
          <w:tcPr>
            <w:tcW w:w="1176" w:type="dxa"/>
            <w:tcBorders>
              <w:top w:val="nil"/>
              <w:left w:val="nil"/>
              <w:bottom w:val="nil"/>
              <w:right w:val="nil"/>
            </w:tcBorders>
            <w:vAlign w:val="center"/>
          </w:tcPr>
          <w:p w14:paraId="54054A97"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13 894</w:t>
            </w:r>
          </w:p>
        </w:tc>
        <w:tc>
          <w:tcPr>
            <w:tcW w:w="1236" w:type="dxa"/>
            <w:tcBorders>
              <w:top w:val="nil"/>
              <w:left w:val="nil"/>
              <w:bottom w:val="nil"/>
            </w:tcBorders>
            <w:vAlign w:val="center"/>
          </w:tcPr>
          <w:p w14:paraId="6A0B73D8"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r>
      <w:tr w:rsidR="001768B9" w:rsidRPr="0057265E" w14:paraId="06D7E79F" w14:textId="77777777" w:rsidTr="001768B9">
        <w:trPr>
          <w:trHeight w:val="276"/>
          <w:jc w:val="center"/>
        </w:trPr>
        <w:tc>
          <w:tcPr>
            <w:tcW w:w="4840" w:type="dxa"/>
            <w:tcBorders>
              <w:top w:val="nil"/>
              <w:bottom w:val="nil"/>
              <w:right w:val="nil"/>
            </w:tcBorders>
            <w:vAlign w:val="center"/>
            <w:hideMark/>
          </w:tcPr>
          <w:p w14:paraId="39FB8ED9"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Jadrová a vyraďovacia spoločnosť, </w:t>
            </w:r>
            <w:proofErr w:type="spellStart"/>
            <w:r w:rsidRPr="0057265E">
              <w:rPr>
                <w:color w:val="000000"/>
                <w:sz w:val="16"/>
                <w:szCs w:val="16"/>
                <w:lang w:eastAsia="sk-SK"/>
              </w:rPr>
              <w:t>a.s</w:t>
            </w:r>
            <w:proofErr w:type="spellEnd"/>
            <w:r w:rsidRPr="0057265E">
              <w:rPr>
                <w:color w:val="000000"/>
                <w:sz w:val="16"/>
                <w:szCs w:val="16"/>
                <w:lang w:eastAsia="sk-SK"/>
              </w:rPr>
              <w:t>.</w:t>
            </w:r>
          </w:p>
        </w:tc>
        <w:tc>
          <w:tcPr>
            <w:tcW w:w="1176" w:type="dxa"/>
            <w:tcBorders>
              <w:top w:val="nil"/>
              <w:left w:val="nil"/>
              <w:bottom w:val="nil"/>
              <w:right w:val="nil"/>
            </w:tcBorders>
            <w:vAlign w:val="center"/>
            <w:hideMark/>
          </w:tcPr>
          <w:p w14:paraId="02A3E9BC"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71 912</w:t>
            </w:r>
          </w:p>
        </w:tc>
        <w:tc>
          <w:tcPr>
            <w:tcW w:w="1176" w:type="dxa"/>
            <w:tcBorders>
              <w:top w:val="nil"/>
              <w:left w:val="nil"/>
              <w:bottom w:val="nil"/>
              <w:right w:val="nil"/>
            </w:tcBorders>
            <w:vAlign w:val="center"/>
            <w:hideMark/>
          </w:tcPr>
          <w:p w14:paraId="654A8F09"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0</w:t>
            </w:r>
          </w:p>
        </w:tc>
        <w:tc>
          <w:tcPr>
            <w:tcW w:w="1176" w:type="dxa"/>
            <w:tcBorders>
              <w:top w:val="nil"/>
              <w:left w:val="nil"/>
              <w:bottom w:val="nil"/>
              <w:right w:val="nil"/>
            </w:tcBorders>
            <w:vAlign w:val="center"/>
          </w:tcPr>
          <w:p w14:paraId="785E3FE2"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c>
          <w:tcPr>
            <w:tcW w:w="1236" w:type="dxa"/>
            <w:tcBorders>
              <w:top w:val="nil"/>
              <w:left w:val="nil"/>
              <w:bottom w:val="nil"/>
            </w:tcBorders>
            <w:vAlign w:val="center"/>
          </w:tcPr>
          <w:p w14:paraId="52C5BC5C"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0</w:t>
            </w:r>
          </w:p>
        </w:tc>
      </w:tr>
      <w:tr w:rsidR="001768B9" w:rsidRPr="0057265E" w14:paraId="744CBE54" w14:textId="77777777" w:rsidTr="001768B9">
        <w:trPr>
          <w:trHeight w:val="276"/>
          <w:jc w:val="center"/>
        </w:trPr>
        <w:tc>
          <w:tcPr>
            <w:tcW w:w="4840" w:type="dxa"/>
            <w:tcBorders>
              <w:top w:val="nil"/>
              <w:right w:val="nil"/>
            </w:tcBorders>
            <w:vAlign w:val="center"/>
            <w:hideMark/>
          </w:tcPr>
          <w:p w14:paraId="23DD7C34" w14:textId="77777777" w:rsidR="001768B9" w:rsidRPr="0057265E" w:rsidRDefault="001768B9" w:rsidP="001768B9">
            <w:pPr>
              <w:spacing w:after="0" w:line="240" w:lineRule="auto"/>
              <w:ind w:firstLineChars="300" w:firstLine="480"/>
              <w:rPr>
                <w:color w:val="000000"/>
                <w:sz w:val="16"/>
                <w:szCs w:val="16"/>
                <w:lang w:eastAsia="sk-SK"/>
              </w:rPr>
            </w:pPr>
            <w:r w:rsidRPr="0057265E">
              <w:rPr>
                <w:color w:val="000000"/>
                <w:sz w:val="16"/>
                <w:szCs w:val="16"/>
                <w:lang w:eastAsia="sk-SK"/>
              </w:rPr>
              <w:t xml:space="preserve">MH </w:t>
            </w:r>
            <w:proofErr w:type="spellStart"/>
            <w:r w:rsidRPr="0057265E">
              <w:rPr>
                <w:color w:val="000000"/>
                <w:sz w:val="16"/>
                <w:szCs w:val="16"/>
                <w:lang w:eastAsia="sk-SK"/>
              </w:rPr>
              <w:t>Invest</w:t>
            </w:r>
            <w:proofErr w:type="spellEnd"/>
            <w:r w:rsidRPr="0057265E">
              <w:rPr>
                <w:color w:val="000000"/>
                <w:sz w:val="16"/>
                <w:szCs w:val="16"/>
                <w:lang w:eastAsia="sk-SK"/>
              </w:rPr>
              <w:t xml:space="preserve">, </w:t>
            </w:r>
            <w:proofErr w:type="spellStart"/>
            <w:r w:rsidRPr="0057265E">
              <w:rPr>
                <w:color w:val="000000"/>
                <w:sz w:val="16"/>
                <w:szCs w:val="16"/>
                <w:lang w:eastAsia="sk-SK"/>
              </w:rPr>
              <w:t>s.r.o</w:t>
            </w:r>
            <w:proofErr w:type="spellEnd"/>
          </w:p>
        </w:tc>
        <w:tc>
          <w:tcPr>
            <w:tcW w:w="1176" w:type="dxa"/>
            <w:tcBorders>
              <w:top w:val="nil"/>
              <w:left w:val="nil"/>
              <w:right w:val="nil"/>
            </w:tcBorders>
            <w:vAlign w:val="center"/>
            <w:hideMark/>
          </w:tcPr>
          <w:p w14:paraId="02F2AEA3" w14:textId="77777777" w:rsidR="001768B9" w:rsidRPr="0057265E" w:rsidRDefault="001768B9" w:rsidP="001768B9">
            <w:pPr>
              <w:spacing w:after="0" w:line="240" w:lineRule="auto"/>
              <w:jc w:val="right"/>
              <w:rPr>
                <w:color w:val="000000"/>
                <w:sz w:val="16"/>
                <w:szCs w:val="16"/>
                <w:lang w:eastAsia="sk-SK"/>
              </w:rPr>
            </w:pPr>
            <w:r w:rsidRPr="0057265E">
              <w:rPr>
                <w:color w:val="000000"/>
                <w:sz w:val="16"/>
                <w:szCs w:val="16"/>
                <w:lang w:eastAsia="sk-SK"/>
              </w:rPr>
              <w:t>1 892</w:t>
            </w:r>
          </w:p>
        </w:tc>
        <w:tc>
          <w:tcPr>
            <w:tcW w:w="1176" w:type="dxa"/>
            <w:tcBorders>
              <w:top w:val="nil"/>
              <w:left w:val="nil"/>
              <w:right w:val="nil"/>
            </w:tcBorders>
            <w:vAlign w:val="center"/>
            <w:hideMark/>
          </w:tcPr>
          <w:p w14:paraId="33224B3A" w14:textId="5897D1E4" w:rsidR="001768B9" w:rsidRPr="0057265E" w:rsidRDefault="00281FBC" w:rsidP="001768B9">
            <w:pPr>
              <w:spacing w:after="0" w:line="240" w:lineRule="auto"/>
              <w:jc w:val="right"/>
              <w:rPr>
                <w:color w:val="000000"/>
                <w:sz w:val="16"/>
                <w:szCs w:val="16"/>
                <w:lang w:eastAsia="sk-SK"/>
              </w:rPr>
            </w:pPr>
            <w:r>
              <w:rPr>
                <w:color w:val="000000"/>
                <w:sz w:val="16"/>
                <w:szCs w:val="16"/>
                <w:lang w:eastAsia="sk-SK"/>
              </w:rPr>
              <w:t>1 892</w:t>
            </w:r>
          </w:p>
        </w:tc>
        <w:tc>
          <w:tcPr>
            <w:tcW w:w="1176" w:type="dxa"/>
            <w:tcBorders>
              <w:top w:val="nil"/>
              <w:left w:val="nil"/>
              <w:right w:val="nil"/>
            </w:tcBorders>
            <w:vAlign w:val="center"/>
          </w:tcPr>
          <w:p w14:paraId="45ACC9C3"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6 241</w:t>
            </w:r>
          </w:p>
        </w:tc>
        <w:tc>
          <w:tcPr>
            <w:tcW w:w="1236" w:type="dxa"/>
            <w:tcBorders>
              <w:top w:val="nil"/>
              <w:left w:val="nil"/>
            </w:tcBorders>
            <w:vAlign w:val="center"/>
          </w:tcPr>
          <w:p w14:paraId="10C51895" w14:textId="77777777" w:rsidR="001768B9" w:rsidRPr="0057265E" w:rsidRDefault="001768B9" w:rsidP="001768B9">
            <w:pPr>
              <w:spacing w:after="0" w:line="240" w:lineRule="auto"/>
              <w:jc w:val="right"/>
              <w:rPr>
                <w:color w:val="000000"/>
                <w:sz w:val="16"/>
                <w:szCs w:val="16"/>
                <w:lang w:eastAsia="sk-SK"/>
              </w:rPr>
            </w:pPr>
            <w:r>
              <w:rPr>
                <w:color w:val="000000"/>
                <w:sz w:val="16"/>
                <w:szCs w:val="16"/>
                <w:lang w:eastAsia="sk-SK"/>
              </w:rPr>
              <w:t>4 349</w:t>
            </w:r>
          </w:p>
        </w:tc>
      </w:tr>
      <w:tr w:rsidR="001768B9" w:rsidRPr="0057265E" w14:paraId="4CC6C320" w14:textId="77777777" w:rsidTr="001768B9">
        <w:trPr>
          <w:trHeight w:val="276"/>
          <w:jc w:val="center"/>
        </w:trPr>
        <w:tc>
          <w:tcPr>
            <w:tcW w:w="4840" w:type="dxa"/>
            <w:tcBorders>
              <w:right w:val="nil"/>
            </w:tcBorders>
            <w:noWrap/>
            <w:vAlign w:val="center"/>
            <w:hideMark/>
          </w:tcPr>
          <w:p w14:paraId="3F2E912E" w14:textId="77777777" w:rsidR="001768B9" w:rsidRPr="0057265E" w:rsidRDefault="001768B9" w:rsidP="001768B9">
            <w:pPr>
              <w:spacing w:after="0" w:line="240" w:lineRule="auto"/>
              <w:rPr>
                <w:b/>
                <w:bCs/>
                <w:color w:val="000000"/>
                <w:sz w:val="16"/>
                <w:szCs w:val="16"/>
                <w:lang w:eastAsia="sk-SK"/>
              </w:rPr>
            </w:pPr>
            <w:r w:rsidRPr="0057265E">
              <w:rPr>
                <w:b/>
                <w:bCs/>
                <w:color w:val="000000"/>
                <w:sz w:val="16"/>
                <w:szCs w:val="16"/>
                <w:lang w:eastAsia="sk-SK"/>
              </w:rPr>
              <w:t xml:space="preserve">Spolu  </w:t>
            </w:r>
          </w:p>
        </w:tc>
        <w:tc>
          <w:tcPr>
            <w:tcW w:w="1176" w:type="dxa"/>
            <w:tcBorders>
              <w:left w:val="nil"/>
              <w:right w:val="nil"/>
            </w:tcBorders>
            <w:vAlign w:val="center"/>
            <w:hideMark/>
          </w:tcPr>
          <w:p w14:paraId="78846481" w14:textId="77777777" w:rsidR="001768B9" w:rsidRPr="0057265E" w:rsidRDefault="001768B9" w:rsidP="001768B9">
            <w:pPr>
              <w:spacing w:after="0" w:line="240" w:lineRule="auto"/>
              <w:jc w:val="right"/>
              <w:rPr>
                <w:b/>
                <w:bCs/>
                <w:color w:val="000000"/>
                <w:sz w:val="16"/>
                <w:szCs w:val="16"/>
                <w:lang w:eastAsia="sk-SK"/>
              </w:rPr>
            </w:pPr>
            <w:r w:rsidRPr="0057265E">
              <w:rPr>
                <w:b/>
                <w:bCs/>
                <w:color w:val="000000"/>
                <w:sz w:val="16"/>
                <w:szCs w:val="16"/>
                <w:lang w:eastAsia="sk-SK"/>
              </w:rPr>
              <w:t>19</w:t>
            </w:r>
            <w:r>
              <w:rPr>
                <w:b/>
                <w:bCs/>
                <w:color w:val="000000"/>
                <w:sz w:val="16"/>
                <w:szCs w:val="16"/>
                <w:lang w:eastAsia="sk-SK"/>
              </w:rPr>
              <w:t> 472 632</w:t>
            </w:r>
          </w:p>
        </w:tc>
        <w:tc>
          <w:tcPr>
            <w:tcW w:w="1176" w:type="dxa"/>
            <w:tcBorders>
              <w:left w:val="nil"/>
              <w:right w:val="nil"/>
            </w:tcBorders>
            <w:vAlign w:val="center"/>
          </w:tcPr>
          <w:p w14:paraId="0A109E0E"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20 052 764</w:t>
            </w:r>
          </w:p>
        </w:tc>
        <w:tc>
          <w:tcPr>
            <w:tcW w:w="1176" w:type="dxa"/>
            <w:tcBorders>
              <w:left w:val="nil"/>
              <w:right w:val="nil"/>
            </w:tcBorders>
            <w:vAlign w:val="center"/>
          </w:tcPr>
          <w:p w14:paraId="3A8C35DC"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20 123 524</w:t>
            </w:r>
          </w:p>
        </w:tc>
        <w:tc>
          <w:tcPr>
            <w:tcW w:w="1236" w:type="dxa"/>
            <w:tcBorders>
              <w:left w:val="nil"/>
            </w:tcBorders>
            <w:vAlign w:val="center"/>
          </w:tcPr>
          <w:p w14:paraId="2FFB0A4C" w14:textId="77777777" w:rsidR="001768B9" w:rsidRPr="0057265E" w:rsidRDefault="001768B9" w:rsidP="001768B9">
            <w:pPr>
              <w:spacing w:after="0" w:line="240" w:lineRule="auto"/>
              <w:jc w:val="right"/>
              <w:rPr>
                <w:b/>
                <w:bCs/>
                <w:color w:val="000000"/>
                <w:sz w:val="16"/>
                <w:szCs w:val="16"/>
                <w:lang w:eastAsia="sk-SK"/>
              </w:rPr>
            </w:pPr>
            <w:r>
              <w:rPr>
                <w:b/>
                <w:bCs/>
                <w:color w:val="000000"/>
                <w:sz w:val="16"/>
                <w:szCs w:val="16"/>
                <w:lang w:eastAsia="sk-SK"/>
              </w:rPr>
              <w:t>70 760</w:t>
            </w:r>
          </w:p>
        </w:tc>
      </w:tr>
    </w:tbl>
    <w:p w14:paraId="00388157" w14:textId="77777777" w:rsidR="001768B9" w:rsidRPr="0057265E" w:rsidRDefault="001768B9" w:rsidP="009E169A">
      <w:pPr>
        <w:spacing w:after="0"/>
        <w:ind w:left="709" w:hanging="709"/>
        <w:jc w:val="both"/>
        <w:rPr>
          <w:sz w:val="16"/>
          <w:szCs w:val="16"/>
        </w:rPr>
      </w:pPr>
      <w:r w:rsidRPr="0057265E">
        <w:rPr>
          <w:sz w:val="16"/>
          <w:szCs w:val="16"/>
        </w:rPr>
        <w:t>Zdroj: Účtovné závierky subjektov k 31.12.20</w:t>
      </w:r>
      <w:r>
        <w:rPr>
          <w:sz w:val="16"/>
          <w:szCs w:val="16"/>
        </w:rPr>
        <w:t>22 a k 31.12.2021</w:t>
      </w:r>
      <w:r w:rsidRPr="0057265E">
        <w:rPr>
          <w:sz w:val="16"/>
          <w:szCs w:val="16"/>
        </w:rPr>
        <w:t xml:space="preserve"> zverejnené v </w:t>
      </w:r>
      <w:r w:rsidRPr="000A629A">
        <w:rPr>
          <w:sz w:val="16"/>
          <w:szCs w:val="16"/>
        </w:rPr>
        <w:t xml:space="preserve">registri </w:t>
      </w:r>
      <w:hyperlink r:id="rId28" w:history="1">
        <w:r w:rsidRPr="000A629A">
          <w:rPr>
            <w:sz w:val="16"/>
            <w:szCs w:val="16"/>
            <w:u w:val="single"/>
          </w:rPr>
          <w:t>www.registeruz.sk</w:t>
        </w:r>
      </w:hyperlink>
      <w:r w:rsidRPr="000A629A">
        <w:rPr>
          <w:sz w:val="16"/>
          <w:szCs w:val="16"/>
        </w:rPr>
        <w:t xml:space="preserve"> a databáza </w:t>
      </w:r>
      <w:r w:rsidRPr="0057265E">
        <w:rPr>
          <w:sz w:val="16"/>
          <w:szCs w:val="16"/>
        </w:rPr>
        <w:t>MF SR</w:t>
      </w:r>
    </w:p>
    <w:p w14:paraId="12C68A80" w14:textId="557D7EE7" w:rsidR="001768B9" w:rsidRPr="0057265E" w:rsidRDefault="001768B9" w:rsidP="001768B9">
      <w:pPr>
        <w:spacing w:after="0" w:line="240" w:lineRule="auto"/>
        <w:ind w:left="709" w:hanging="709"/>
        <w:jc w:val="both"/>
        <w:rPr>
          <w:sz w:val="16"/>
          <w:szCs w:val="16"/>
        </w:rPr>
      </w:pPr>
      <w:r w:rsidRPr="0057265E">
        <w:rPr>
          <w:sz w:val="16"/>
          <w:szCs w:val="16"/>
        </w:rPr>
        <w:t>Medziročný rast v </w:t>
      </w:r>
      <w:r w:rsidRPr="008A488A">
        <w:rPr>
          <w:sz w:val="16"/>
          <w:szCs w:val="16"/>
        </w:rPr>
        <w:t xml:space="preserve">tab. </w:t>
      </w:r>
      <w:r w:rsidR="008A488A" w:rsidRPr="008A488A">
        <w:rPr>
          <w:sz w:val="16"/>
          <w:szCs w:val="16"/>
        </w:rPr>
        <w:t>22</w:t>
      </w:r>
      <w:r w:rsidRPr="008A488A">
        <w:rPr>
          <w:sz w:val="16"/>
          <w:szCs w:val="16"/>
        </w:rPr>
        <w:t xml:space="preserve"> predstavuje časť medziročných zmien sumárne vypočítanej v tab. 1.</w:t>
      </w:r>
    </w:p>
    <w:p w14:paraId="2BE3AB0F" w14:textId="77777777" w:rsidR="001768B9" w:rsidRPr="000129B6" w:rsidRDefault="001768B9" w:rsidP="001768B9">
      <w:pPr>
        <w:keepNext/>
        <w:spacing w:after="0" w:line="240" w:lineRule="auto"/>
        <w:jc w:val="both"/>
        <w:rPr>
          <w:b/>
          <w:bCs/>
          <w:color w:val="4F81BD"/>
          <w:szCs w:val="22"/>
          <w:lang w:eastAsia="sk-SK"/>
        </w:rPr>
      </w:pPr>
      <w:r w:rsidRPr="000129B6">
        <w:rPr>
          <w:b/>
          <w:bCs/>
          <w:color w:val="4F81BD"/>
          <w:szCs w:val="22"/>
          <w:lang w:eastAsia="sk-SK"/>
        </w:rPr>
        <w:lastRenderedPageBreak/>
        <w:t>Účasť Slovenskej republiky na európskych záchranných mechanizmoch a členstve v medzinárodných finančných inštitúciách</w:t>
      </w:r>
    </w:p>
    <w:p w14:paraId="582618AB" w14:textId="1B1EA885" w:rsidR="001768B9" w:rsidRPr="000129B6" w:rsidRDefault="001768B9" w:rsidP="001768B9">
      <w:pPr>
        <w:spacing w:before="120" w:after="0" w:line="240" w:lineRule="auto"/>
        <w:jc w:val="both"/>
        <w:rPr>
          <w:szCs w:val="22"/>
        </w:rPr>
      </w:pPr>
      <w:r w:rsidRPr="000129B6">
        <w:rPr>
          <w:b/>
          <w:szCs w:val="22"/>
        </w:rPr>
        <w:t>Európsky mechanizmus pre stabilitu</w:t>
      </w:r>
      <w:r w:rsidRPr="000129B6">
        <w:rPr>
          <w:szCs w:val="22"/>
        </w:rPr>
        <w:t xml:space="preserve"> (ďalej len „ESM“) tvorí súčasť druhej vlny balíka opatrení určených na poskytovanie pomoci členským štátom eurozóny ocitávajúcich sa vo vážnych finančných problémoch </w:t>
      </w:r>
      <w:proofErr w:type="spellStart"/>
      <w:r w:rsidRPr="000129B6">
        <w:rPr>
          <w:szCs w:val="22"/>
        </w:rPr>
        <w:t>scieľom</w:t>
      </w:r>
      <w:proofErr w:type="spellEnd"/>
      <w:r w:rsidRPr="000129B6">
        <w:rPr>
          <w:szCs w:val="22"/>
        </w:rPr>
        <w:t xml:space="preserve"> zabezpečiť stabilitu eurozóny samotnej. Európsky mechanizmus pre stabilitu (ESM) je nasledovníkom EFSF, ktorý bol vytvorený na dobu určitú, t. j. do júna 2013. ESM bol založený ako medzivládna organizácia založená na základe medzivládnej zmluvy. Na rozdiel od EFSF, ktorý funguje na báze záruk za dlhopisy emitované EFSF, sa do ESM prispieva priamo, a to formou upisovania akcií na základnom imaní spoločnosti. Slovenská republika splatila svoj podiel na vlastnom imaní vo výške 793</w:t>
      </w:r>
      <w:r w:rsidR="009E169A">
        <w:rPr>
          <w:szCs w:val="22"/>
        </w:rPr>
        <w:t> </w:t>
      </w:r>
      <w:r w:rsidRPr="000129B6">
        <w:rPr>
          <w:szCs w:val="22"/>
        </w:rPr>
        <w:t>350</w:t>
      </w:r>
      <w:r w:rsidR="009E169A">
        <w:rPr>
          <w:szCs w:val="22"/>
        </w:rPr>
        <w:t> </w:t>
      </w:r>
      <w:r w:rsidRPr="000129B6">
        <w:rPr>
          <w:szCs w:val="22"/>
        </w:rPr>
        <w:t>tis.</w:t>
      </w:r>
      <w:r w:rsidR="009E169A">
        <w:rPr>
          <w:szCs w:val="22"/>
        </w:rPr>
        <w:t> </w:t>
      </w:r>
      <w:r w:rsidRPr="000129B6">
        <w:rPr>
          <w:szCs w:val="22"/>
        </w:rPr>
        <w:t>eur v šiestich splátkach. Slovenskej republike vypršala výnimka na kľúči na určenie príspevkov do ESM k 1.1.2021, ktorá bola udelená na obdobie dvanástich rokov od vstupu do eurozóny pre všetky krajiny, ktoré v čase vzniku ESM mali hodnotu HDP na obyvateľa nižšiu, ako je 75 % priemeru Európskej únie.</w:t>
      </w:r>
    </w:p>
    <w:p w14:paraId="488D3721" w14:textId="09FA8093" w:rsidR="001768B9" w:rsidRPr="000129B6" w:rsidRDefault="001768B9" w:rsidP="001768B9">
      <w:pPr>
        <w:spacing w:before="120" w:after="0" w:line="240" w:lineRule="auto"/>
        <w:jc w:val="both"/>
        <w:rPr>
          <w:szCs w:val="22"/>
        </w:rPr>
      </w:pPr>
      <w:r w:rsidRPr="000129B6">
        <w:rPr>
          <w:szCs w:val="22"/>
        </w:rPr>
        <w:t>Slovenská republika preto uhradila 134 150 tis. eur v decembri 2020, čo upravilo kľúč na určenie príspevkov do ESM pre Slovenskú republiku na hodnotu 0,985 %. Navýšenie splatného kapitálu bolo schválené Národnou radou SR dňa 5.11. 2020. Slovenská republika sa zároveň zaviazala, že v prípade, ak úroveň splateného imania klesne pod schválených 80 mld. eur absorbovaním strát ESM, Správna rada ESM vyzve akcionárov ESM na jeho splatenie (proces sa týka iba poklesu splateného imania, ktorý by mal v</w:t>
      </w:r>
      <w:r w:rsidR="009E169A">
        <w:rPr>
          <w:szCs w:val="22"/>
        </w:rPr>
        <w:t> </w:t>
      </w:r>
      <w:r w:rsidRPr="000129B6">
        <w:rPr>
          <w:szCs w:val="22"/>
        </w:rPr>
        <w:t>prípade jeho nedoplnenia za následok stratu „AAA“ ratingu ESM) alebo ak je potrebné zabrániť omeškaniu ESM v platení povinností voči svojim veriteľom, má generálny riaditeľ ESM právo vyzvať na úhradu upísaného základného imania prostredníctvom výzvy. Súčet výziev Správnej rady ESM a/alebo generálneho riaditeľa ESM nemôže v prípade Slovenskej republiky presiahnuť sumu 6 148 450 tis. eur.</w:t>
      </w:r>
    </w:p>
    <w:p w14:paraId="6C88D31D" w14:textId="77777777" w:rsidR="001768B9" w:rsidRPr="000129B6" w:rsidRDefault="001768B9" w:rsidP="001768B9">
      <w:pPr>
        <w:spacing w:after="0" w:line="240" w:lineRule="auto"/>
        <w:jc w:val="both"/>
        <w:rPr>
          <w:szCs w:val="22"/>
        </w:rPr>
      </w:pPr>
    </w:p>
    <w:p w14:paraId="5817EF7A" w14:textId="1665385D" w:rsidR="001768B9" w:rsidRPr="000129B6" w:rsidRDefault="001768B9" w:rsidP="001768B9">
      <w:pPr>
        <w:widowControl w:val="0"/>
        <w:spacing w:after="0" w:line="240" w:lineRule="auto"/>
        <w:jc w:val="both"/>
        <w:rPr>
          <w:szCs w:val="22"/>
        </w:rPr>
      </w:pPr>
      <w:r w:rsidRPr="000129B6">
        <w:rPr>
          <w:szCs w:val="22"/>
        </w:rPr>
        <w:t xml:space="preserve">Slovenská republika sa zaviazala poskytovať záruky za dlhové finančné inštrumenty vydávané </w:t>
      </w:r>
      <w:r w:rsidRPr="000129B6">
        <w:rPr>
          <w:b/>
          <w:szCs w:val="22"/>
        </w:rPr>
        <w:t>Európskym nástrojom finančnej stability</w:t>
      </w:r>
      <w:r w:rsidRPr="000129B6">
        <w:rPr>
          <w:szCs w:val="22"/>
        </w:rPr>
        <w:t xml:space="preserve"> (EFSF) v prípade žiadosti členského štátu eurozóny o finančnú podporu. V</w:t>
      </w:r>
      <w:r w:rsidR="009E169A">
        <w:rPr>
          <w:szCs w:val="22"/>
        </w:rPr>
        <w:t> </w:t>
      </w:r>
      <w:r w:rsidRPr="000129B6">
        <w:rPr>
          <w:szCs w:val="22"/>
        </w:rPr>
        <w:t>zmysle platnej a účinnej legislatívy (§ 5 zákona č. 381/2010 Z. z. o špecifických štátnych zárukách a</w:t>
      </w:r>
      <w:r w:rsidR="009E169A">
        <w:rPr>
          <w:szCs w:val="22"/>
        </w:rPr>
        <w:t> </w:t>
      </w:r>
      <w:r w:rsidRPr="000129B6">
        <w:rPr>
          <w:szCs w:val="22"/>
        </w:rPr>
        <w:t>o</w:t>
      </w:r>
      <w:r w:rsidR="009E169A">
        <w:rPr>
          <w:szCs w:val="22"/>
        </w:rPr>
        <w:t> </w:t>
      </w:r>
      <w:r w:rsidRPr="000129B6">
        <w:rPr>
          <w:szCs w:val="22"/>
        </w:rPr>
        <w:t>zmene a doplnení niektorých zákonov v znení neskorších predpisov) sa Slovenská republika musí podieľať na celkovej výške záruk podielom 7,72 mld. eur. Zároveň sa musí podieľať na ďalších záručných mechanizmoch potrebných na získanie AAA ratingu pre EFSF, napríklad aj poskytnutím dodatočných záruk EFSF do výšky 165 % svojho podielu na zárukách pre každú emisiu. K 31.12.2022 bol stav záruk vystavených Slovenskou republikou vo výške 2 316 757 tis. eur.</w:t>
      </w:r>
    </w:p>
    <w:p w14:paraId="294B038C" w14:textId="77777777" w:rsidR="001768B9" w:rsidRPr="000129B6" w:rsidRDefault="001768B9" w:rsidP="001768B9">
      <w:pPr>
        <w:widowControl w:val="0"/>
        <w:spacing w:after="0" w:line="240" w:lineRule="auto"/>
        <w:jc w:val="both"/>
        <w:rPr>
          <w:szCs w:val="22"/>
        </w:rPr>
      </w:pPr>
    </w:p>
    <w:p w14:paraId="3DD3DEBC" w14:textId="7210E5E5" w:rsidR="001768B9" w:rsidRPr="000129B6" w:rsidRDefault="001768B9" w:rsidP="001768B9">
      <w:pPr>
        <w:spacing w:after="0" w:line="240" w:lineRule="auto"/>
        <w:jc w:val="both"/>
        <w:rPr>
          <w:szCs w:val="22"/>
        </w:rPr>
      </w:pPr>
      <w:r w:rsidRPr="000129B6">
        <w:rPr>
          <w:szCs w:val="22"/>
        </w:rPr>
        <w:t xml:space="preserve">Kapitálová účasť v </w:t>
      </w:r>
      <w:r w:rsidRPr="000129B6">
        <w:rPr>
          <w:b/>
          <w:szCs w:val="22"/>
        </w:rPr>
        <w:t>Medzinárodnej banke pre obnovu a rozvoj</w:t>
      </w:r>
      <w:r w:rsidRPr="000129B6">
        <w:rPr>
          <w:szCs w:val="22"/>
        </w:rPr>
        <w:t xml:space="preserve"> (IBRD) sa zvýšila o</w:t>
      </w:r>
      <w:r w:rsidR="009E169A">
        <w:rPr>
          <w:szCs w:val="22"/>
        </w:rPr>
        <w:t> </w:t>
      </w:r>
      <w:r w:rsidRPr="000129B6">
        <w:rPr>
          <w:szCs w:val="22"/>
        </w:rPr>
        <w:t>41</w:t>
      </w:r>
      <w:r w:rsidR="009E169A">
        <w:rPr>
          <w:szCs w:val="22"/>
        </w:rPr>
        <w:t> </w:t>
      </w:r>
      <w:r w:rsidRPr="000129B6">
        <w:rPr>
          <w:szCs w:val="22"/>
        </w:rPr>
        <w:t>523</w:t>
      </w:r>
      <w:r w:rsidR="009E169A">
        <w:rPr>
          <w:szCs w:val="22"/>
        </w:rPr>
        <w:t> </w:t>
      </w:r>
      <w:r w:rsidRPr="000129B6">
        <w:rPr>
          <w:szCs w:val="22"/>
        </w:rPr>
        <w:t>tis.</w:t>
      </w:r>
      <w:r w:rsidR="009E169A">
        <w:rPr>
          <w:szCs w:val="22"/>
        </w:rPr>
        <w:t> </w:t>
      </w:r>
      <w:r w:rsidRPr="000129B6">
        <w:rPr>
          <w:szCs w:val="22"/>
        </w:rPr>
        <w:t>eur z</w:t>
      </w:r>
      <w:r w:rsidR="009E169A">
        <w:rPr>
          <w:szCs w:val="22"/>
        </w:rPr>
        <w:t> </w:t>
      </w:r>
      <w:r w:rsidRPr="000129B6">
        <w:rPr>
          <w:szCs w:val="22"/>
        </w:rPr>
        <w:t>dôvodu zvýšenia účasti SR na základnom imaní o 13 846 tis. eur a o 27</w:t>
      </w:r>
      <w:r w:rsidR="009E169A">
        <w:rPr>
          <w:szCs w:val="22"/>
        </w:rPr>
        <w:t> </w:t>
      </w:r>
      <w:r w:rsidRPr="000129B6">
        <w:rPr>
          <w:szCs w:val="22"/>
        </w:rPr>
        <w:t>677</w:t>
      </w:r>
      <w:r w:rsidR="009E169A">
        <w:rPr>
          <w:szCs w:val="22"/>
        </w:rPr>
        <w:t> </w:t>
      </w:r>
      <w:r w:rsidRPr="000129B6">
        <w:rPr>
          <w:szCs w:val="22"/>
        </w:rPr>
        <w:t>tis.</w:t>
      </w:r>
      <w:r w:rsidR="009E169A">
        <w:rPr>
          <w:szCs w:val="22"/>
        </w:rPr>
        <w:t> </w:t>
      </w:r>
      <w:r w:rsidRPr="000129B6">
        <w:rPr>
          <w:szCs w:val="22"/>
        </w:rPr>
        <w:t>eur z dôvodu kurzových rozdielov k 31.12.2022.</w:t>
      </w:r>
    </w:p>
    <w:p w14:paraId="0414BA14" w14:textId="77777777" w:rsidR="001768B9" w:rsidRPr="000129B6" w:rsidRDefault="001768B9" w:rsidP="001768B9">
      <w:pPr>
        <w:spacing w:after="0" w:line="240" w:lineRule="auto"/>
        <w:jc w:val="both"/>
        <w:rPr>
          <w:szCs w:val="22"/>
        </w:rPr>
      </w:pPr>
    </w:p>
    <w:p w14:paraId="2A333455" w14:textId="68DE34A5" w:rsidR="001768B9" w:rsidRPr="000129B6" w:rsidRDefault="001768B9" w:rsidP="001768B9">
      <w:pPr>
        <w:spacing w:after="0" w:line="240" w:lineRule="auto"/>
        <w:jc w:val="both"/>
        <w:rPr>
          <w:szCs w:val="22"/>
        </w:rPr>
      </w:pPr>
      <w:r w:rsidRPr="000129B6">
        <w:rPr>
          <w:b/>
          <w:szCs w:val="22"/>
        </w:rPr>
        <w:t>Paneurópsky garančný fond</w:t>
      </w:r>
      <w:r w:rsidRPr="000129B6">
        <w:rPr>
          <w:szCs w:val="22"/>
        </w:rPr>
        <w:t xml:space="preserve"> vytvorila Európska investičná banka na základe výzvy Rady Európskej únie z 23.4.2020, podporenej ministrami financií členských štáto</w:t>
      </w:r>
      <w:r w:rsidR="00761D38">
        <w:rPr>
          <w:szCs w:val="22"/>
        </w:rPr>
        <w:t>v EÚ. Celková výška fondu je 25 miliárd </w:t>
      </w:r>
      <w:r w:rsidRPr="000129B6">
        <w:rPr>
          <w:szCs w:val="22"/>
        </w:rPr>
        <w:t>eur v rámci schémy v reakcii na COVID-19, ktorý by mal zmobilizovať dodatočné investície v celkovej výške približne 200 miliárd eur. Pomoc sa v rámci tejto schémy poskytuje prostredníctvom vykonávateľov, s ktorými uzatvára zmluvy EIB. Vykonávateľmi môžu byť finančné inštitúcie, ktoré spĺňajú dané kritériá. Vykonávatelia následne financujú súkromný sektor formou úverov, pričom EGF na tieto operácie poskytuje najmä záruky.</w:t>
      </w:r>
    </w:p>
    <w:p w14:paraId="096B7B05" w14:textId="77777777" w:rsidR="001768B9" w:rsidRPr="0057265E" w:rsidRDefault="001768B9" w:rsidP="001768B9">
      <w:pPr>
        <w:spacing w:after="0" w:line="240" w:lineRule="auto"/>
        <w:jc w:val="both"/>
        <w:rPr>
          <w:sz w:val="24"/>
          <w:szCs w:val="24"/>
          <w:u w:val="single"/>
        </w:rPr>
      </w:pPr>
    </w:p>
    <w:p w14:paraId="7B5B35FF" w14:textId="77777777" w:rsidR="001768B9" w:rsidRPr="000129B6" w:rsidRDefault="001768B9" w:rsidP="001768B9">
      <w:pPr>
        <w:keepNext/>
        <w:spacing w:after="120" w:line="240" w:lineRule="auto"/>
        <w:rPr>
          <w:b/>
          <w:bCs/>
          <w:color w:val="4F81BD"/>
          <w:szCs w:val="22"/>
          <w:lang w:eastAsia="sk-SK"/>
        </w:rPr>
      </w:pPr>
      <w:r w:rsidRPr="000129B6">
        <w:rPr>
          <w:b/>
          <w:bCs/>
          <w:color w:val="4F81BD"/>
          <w:szCs w:val="22"/>
          <w:lang w:eastAsia="sk-SK"/>
        </w:rPr>
        <w:t>Arbitrážne konania</w:t>
      </w:r>
    </w:p>
    <w:p w14:paraId="753366E7" w14:textId="77777777" w:rsidR="001768B9" w:rsidRPr="000129B6" w:rsidRDefault="001768B9" w:rsidP="001768B9">
      <w:pPr>
        <w:spacing w:before="120" w:after="120" w:line="240" w:lineRule="auto"/>
        <w:contextualSpacing/>
        <w:jc w:val="both"/>
        <w:rPr>
          <w:rFonts w:ascii="Calibri" w:hAnsi="Calibri"/>
          <w:szCs w:val="22"/>
          <w:lang w:eastAsia="sk-SK"/>
        </w:rPr>
      </w:pPr>
      <w:r w:rsidRPr="000129B6">
        <w:rPr>
          <w:szCs w:val="22"/>
          <w:lang w:eastAsia="sk-SK"/>
        </w:rPr>
        <w:t xml:space="preserve">Arbitráž je vedená so spoločnosťou </w:t>
      </w:r>
      <w:proofErr w:type="spellStart"/>
      <w:r w:rsidRPr="000129B6">
        <w:rPr>
          <w:szCs w:val="22"/>
          <w:lang w:eastAsia="sk-SK"/>
        </w:rPr>
        <w:t>Achmea</w:t>
      </w:r>
      <w:proofErr w:type="spellEnd"/>
      <w:r w:rsidRPr="000129B6">
        <w:rPr>
          <w:szCs w:val="22"/>
          <w:lang w:eastAsia="sk-SK"/>
        </w:rPr>
        <w:t xml:space="preserve"> B.V. z dôvodu zákazu zisku zdravotných poisťovní v roku 2007. V tejto arbitráži, vedenej podľa bilaterálnej investičnej dohody medzi SR a Holandským kráľovstvom, bol v decembri 2012 vydaný rozsudok, ktorým arbitrážny tribunál nariadil SR zaplatiť žalobcovi  odškodnenie vo výške cca 25 200 tis. eur plus úroky vo výške 2 900 tis. eur. Konanie o zrušení tohto rozsudku ako aj jurisdikčného rozhodnutia v tomto spore na Nemeckom spolkovom súde, pred ktorým SR napadla tieto rozhodnutia, je v súčasnosti prerušené do rozhodnutia Súdneho dvora EÚ o predbežnej otázke. Súdny dvor EÚ rozhodol dňa 6.3.2018 o predbežnej otázke vo veci neaplikovateľnosti arbitrážnej doložky v bilaterálnej investičnej zmluve medzi SR a Holandskom. Nakoľko arbitrážny </w:t>
      </w:r>
      <w:r w:rsidRPr="000129B6">
        <w:rPr>
          <w:szCs w:val="22"/>
          <w:lang w:eastAsia="sk-SK"/>
        </w:rPr>
        <w:lastRenderedPageBreak/>
        <w:t xml:space="preserve">rozsudok, na výkon ktorého sa vedie exekučné konanie pred súdmi v Luxemburgu bol zrušený, SR žiada o uvoľnenie zablokovaného majetku. </w:t>
      </w:r>
      <w:proofErr w:type="spellStart"/>
      <w:r w:rsidRPr="000129B6">
        <w:rPr>
          <w:szCs w:val="22"/>
          <w:lang w:eastAsia="sk-SK"/>
        </w:rPr>
        <w:t>Achmea</w:t>
      </w:r>
      <w:proofErr w:type="spellEnd"/>
      <w:r w:rsidRPr="000129B6">
        <w:rPr>
          <w:szCs w:val="22"/>
          <w:lang w:eastAsia="sk-SK"/>
        </w:rPr>
        <w:t xml:space="preserve"> sa v konaní pred Luxemburskými súdmi bráni tým, že podala pred nemeckým Ústavným súdom voči rozhodnutiu Najvyššieho spolkového súdu v Nemecku ústavné sťažnosti, o ktorých prípustnosti zatiaľ nebolo rozhodnuté. Luxemburský súd v novembri 2019 rozhodol, že konanie je pozastavené do rozhodnutia nemeckého Ústavného súdu o ústavných sťažnostiach.</w:t>
      </w:r>
    </w:p>
    <w:p w14:paraId="4FFFA214" w14:textId="77777777" w:rsidR="001768B9" w:rsidRPr="000129B6" w:rsidRDefault="001768B9" w:rsidP="001768B9">
      <w:pPr>
        <w:spacing w:after="120" w:line="240" w:lineRule="auto"/>
        <w:contextualSpacing/>
        <w:jc w:val="both"/>
        <w:rPr>
          <w:rFonts w:ascii="Calibri" w:hAnsi="Calibri"/>
          <w:szCs w:val="22"/>
          <w:lang w:eastAsia="sk-SK"/>
        </w:rPr>
      </w:pPr>
    </w:p>
    <w:p w14:paraId="1CF9C457" w14:textId="77777777" w:rsidR="001768B9" w:rsidRPr="000129B6" w:rsidRDefault="001768B9" w:rsidP="001768B9">
      <w:pPr>
        <w:keepNext/>
        <w:spacing w:after="120" w:line="240" w:lineRule="auto"/>
        <w:rPr>
          <w:b/>
          <w:bCs/>
          <w:color w:val="4F81BD"/>
          <w:szCs w:val="22"/>
          <w:lang w:eastAsia="sk-SK"/>
        </w:rPr>
      </w:pPr>
      <w:r w:rsidRPr="000129B6">
        <w:rPr>
          <w:b/>
          <w:bCs/>
          <w:color w:val="4F81BD"/>
          <w:szCs w:val="22"/>
          <w:lang w:eastAsia="sk-SK"/>
        </w:rPr>
        <w:t>Hroziace alebo prebiehajúce súdne spory</w:t>
      </w:r>
    </w:p>
    <w:p w14:paraId="34EE06BD" w14:textId="77777777" w:rsidR="001768B9" w:rsidRPr="000129B6" w:rsidRDefault="001768B9" w:rsidP="001768B9">
      <w:pPr>
        <w:spacing w:after="120" w:line="240" w:lineRule="auto"/>
        <w:contextualSpacing/>
        <w:jc w:val="both"/>
        <w:rPr>
          <w:szCs w:val="22"/>
          <w:lang w:eastAsia="sk-SK"/>
        </w:rPr>
      </w:pPr>
      <w:r w:rsidRPr="000129B6">
        <w:rPr>
          <w:szCs w:val="22"/>
          <w:lang w:eastAsia="sk-SK"/>
        </w:rPr>
        <w:t xml:space="preserve">Žaloby, ktoré rieši </w:t>
      </w:r>
      <w:r w:rsidRPr="000129B6">
        <w:rPr>
          <w:b/>
          <w:szCs w:val="22"/>
          <w:lang w:eastAsia="sk-SK"/>
        </w:rPr>
        <w:t xml:space="preserve">Ministerstvo financií SR </w:t>
      </w:r>
      <w:r w:rsidRPr="000129B6">
        <w:rPr>
          <w:szCs w:val="22"/>
          <w:lang w:eastAsia="sk-SK"/>
        </w:rPr>
        <w:t xml:space="preserve">v úhrnnej hodnote 1 433 530 tis. eur sú najmä o náhradu škody uplatňovanej podľa zákona č. 514/2003 Z. z. o zodpovednosti za škodu spôsobenú pri výkone verejnej moci a o zmene niektorých zákonov, v ktorých Ministerstvo financií SR zastupuje pred súdom aj iné orgány verejnej moci. </w:t>
      </w:r>
    </w:p>
    <w:p w14:paraId="2A853EED" w14:textId="77777777" w:rsidR="001768B9" w:rsidRPr="000129B6" w:rsidRDefault="001768B9" w:rsidP="001768B9">
      <w:pPr>
        <w:spacing w:after="120" w:line="240" w:lineRule="auto"/>
        <w:contextualSpacing/>
        <w:jc w:val="both"/>
        <w:rPr>
          <w:szCs w:val="22"/>
          <w:lang w:eastAsia="sk-SK"/>
        </w:rPr>
      </w:pPr>
    </w:p>
    <w:p w14:paraId="54CBE1C3"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Ministerstvo vnútra SR </w:t>
      </w:r>
      <w:r w:rsidRPr="000129B6">
        <w:rPr>
          <w:szCs w:val="22"/>
          <w:lang w:eastAsia="sk-SK"/>
        </w:rPr>
        <w:t>vykazuje podmienené pasíva zo súdnych sporov najmä z titulu náhrady škody spôsobenej pri výkone verejnej moci.</w:t>
      </w:r>
    </w:p>
    <w:p w14:paraId="2CA0E39C" w14:textId="77777777" w:rsidR="001768B9" w:rsidRPr="000129B6" w:rsidRDefault="001768B9" w:rsidP="001768B9">
      <w:pPr>
        <w:spacing w:after="0" w:line="240" w:lineRule="auto"/>
        <w:ind w:firstLine="360"/>
        <w:contextualSpacing/>
        <w:jc w:val="both"/>
        <w:rPr>
          <w:szCs w:val="22"/>
          <w:lang w:eastAsia="sk-SK"/>
        </w:rPr>
      </w:pPr>
    </w:p>
    <w:p w14:paraId="3348B57C" w14:textId="77777777" w:rsidR="001768B9" w:rsidRPr="000129B6" w:rsidRDefault="001768B9" w:rsidP="001768B9">
      <w:pPr>
        <w:spacing w:after="0" w:line="240" w:lineRule="auto"/>
        <w:jc w:val="both"/>
        <w:rPr>
          <w:bCs/>
          <w:color w:val="FF0000"/>
          <w:szCs w:val="22"/>
        </w:rPr>
      </w:pPr>
      <w:r w:rsidRPr="000129B6">
        <w:rPr>
          <w:b/>
          <w:bCs/>
          <w:szCs w:val="22"/>
        </w:rPr>
        <w:t>Kancelária Národnej rady SR</w:t>
      </w:r>
      <w:r w:rsidRPr="000129B6">
        <w:rPr>
          <w:bCs/>
          <w:szCs w:val="22"/>
        </w:rPr>
        <w:t xml:space="preserve"> eviduje podmienené záväzky z existujúcich alebo hroziacich súdnych sporov, z čoho podstatnú časť tvoria žaloby o náhradu škody spôsobenú legislatívnou činnosťou NR SR vrátane troch súdnych sporov o ,,zákaz zisku“ zdravotných poisťovní. Medziročné zníženie žalovanej sumy vychádza zo súdnych uznesení o výške žalovanej sumy a zo </w:t>
      </w:r>
      <w:proofErr w:type="spellStart"/>
      <w:r w:rsidRPr="000129B6">
        <w:rPr>
          <w:bCs/>
          <w:szCs w:val="22"/>
        </w:rPr>
        <w:t>späťvzatí</w:t>
      </w:r>
      <w:proofErr w:type="spellEnd"/>
      <w:r w:rsidRPr="000129B6">
        <w:rPr>
          <w:bCs/>
          <w:szCs w:val="22"/>
        </w:rPr>
        <w:t xml:space="preserve"> niektorých žalôb.</w:t>
      </w:r>
    </w:p>
    <w:p w14:paraId="07671969" w14:textId="77777777" w:rsidR="001768B9" w:rsidRPr="000129B6" w:rsidRDefault="001768B9" w:rsidP="001768B9">
      <w:pPr>
        <w:spacing w:after="0" w:line="240" w:lineRule="auto"/>
        <w:ind w:firstLine="360"/>
        <w:jc w:val="both"/>
        <w:rPr>
          <w:bCs/>
          <w:szCs w:val="22"/>
        </w:rPr>
      </w:pPr>
    </w:p>
    <w:p w14:paraId="19468FF0"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Ministerstvo práce, sociálnych vecí a rodiny SR </w:t>
      </w:r>
      <w:r w:rsidRPr="000129B6">
        <w:rPr>
          <w:szCs w:val="22"/>
          <w:lang w:eastAsia="sk-SK"/>
        </w:rPr>
        <w:t>eviduje najvýznamnejší spor s fyzickou osobou o náhradu škody vo výške 450 000 tis. eur, ktorá mala byť spôsobená údajnou nečinnosťou a nesprávnym úradným postupom.</w:t>
      </w:r>
    </w:p>
    <w:p w14:paraId="430CA5E8" w14:textId="77777777" w:rsidR="001768B9" w:rsidRPr="000129B6" w:rsidRDefault="001768B9" w:rsidP="001768B9">
      <w:pPr>
        <w:spacing w:after="0" w:line="240" w:lineRule="auto"/>
        <w:contextualSpacing/>
        <w:jc w:val="both"/>
        <w:rPr>
          <w:b/>
          <w:szCs w:val="22"/>
          <w:lang w:eastAsia="sk-SK"/>
        </w:rPr>
      </w:pPr>
    </w:p>
    <w:p w14:paraId="57458634" w14:textId="7D96616F"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MH Manažment, a. s. </w:t>
      </w:r>
      <w:r w:rsidRPr="000129B6">
        <w:rPr>
          <w:szCs w:val="22"/>
          <w:lang w:eastAsia="sk-SK"/>
        </w:rPr>
        <w:t>je v súčasnosti účastníkom rôznych súdnych sporov, ktoré voči nemu vedú tretie osoby, uplatňujúce si nároky voči MH Manažment, a. s. Na základe vyjadrení právnych zástupcov v</w:t>
      </w:r>
      <w:r w:rsidR="009E169A">
        <w:rPr>
          <w:szCs w:val="22"/>
          <w:lang w:eastAsia="sk-SK"/>
        </w:rPr>
        <w:t> </w:t>
      </w:r>
      <w:r w:rsidRPr="000129B6">
        <w:rPr>
          <w:szCs w:val="22"/>
          <w:lang w:eastAsia="sk-SK"/>
        </w:rPr>
        <w:t>príslušných sporoch spoločnosť MH Manažment, a. s. eviduje podmienené záväzky na súdne spory v</w:t>
      </w:r>
      <w:r w:rsidR="009E169A">
        <w:rPr>
          <w:szCs w:val="22"/>
          <w:lang w:eastAsia="sk-SK"/>
        </w:rPr>
        <w:t> </w:t>
      </w:r>
      <w:r w:rsidRPr="000129B6">
        <w:rPr>
          <w:szCs w:val="22"/>
          <w:lang w:eastAsia="sk-SK"/>
        </w:rPr>
        <w:t>celkovej sume 168 185 tis. eur.</w:t>
      </w:r>
    </w:p>
    <w:p w14:paraId="213A5953" w14:textId="77777777" w:rsidR="001768B9" w:rsidRPr="000129B6" w:rsidRDefault="001768B9" w:rsidP="001768B9">
      <w:pPr>
        <w:spacing w:after="0" w:line="240" w:lineRule="auto"/>
        <w:ind w:firstLine="360"/>
        <w:contextualSpacing/>
        <w:jc w:val="both"/>
        <w:rPr>
          <w:b/>
          <w:szCs w:val="22"/>
          <w:lang w:eastAsia="sk-SK"/>
        </w:rPr>
      </w:pPr>
    </w:p>
    <w:p w14:paraId="56819639"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Slovenský pozemkový fond</w:t>
      </w:r>
      <w:r w:rsidRPr="000129B6">
        <w:rPr>
          <w:szCs w:val="22"/>
          <w:lang w:eastAsia="sk-SK"/>
        </w:rPr>
        <w:t xml:space="preserve"> čelí viacerým súdnym žalobám a konaniam. Hodnotovo najväčší súdny spor (60 409 tis. eur), kde je žalovaný Slovenský pozemkový fond je z titulu údajne zmarenej investície z dôvodu, že fond vydal pozemky (na ktorých sa mal projekt realizovať).</w:t>
      </w:r>
    </w:p>
    <w:p w14:paraId="446CF714" w14:textId="77777777" w:rsidR="001768B9" w:rsidRPr="000129B6" w:rsidRDefault="001768B9" w:rsidP="001768B9">
      <w:pPr>
        <w:spacing w:after="0" w:line="240" w:lineRule="auto"/>
        <w:ind w:firstLine="360"/>
        <w:contextualSpacing/>
        <w:jc w:val="both"/>
        <w:rPr>
          <w:b/>
          <w:szCs w:val="22"/>
          <w:lang w:eastAsia="sk-SK"/>
        </w:rPr>
      </w:pPr>
    </w:p>
    <w:p w14:paraId="234F8319" w14:textId="77777777" w:rsidR="001768B9" w:rsidRPr="000129B6" w:rsidRDefault="001768B9" w:rsidP="001768B9">
      <w:pPr>
        <w:spacing w:after="0" w:line="240" w:lineRule="auto"/>
        <w:contextualSpacing/>
        <w:jc w:val="both"/>
        <w:rPr>
          <w:b/>
          <w:szCs w:val="22"/>
          <w:lang w:eastAsia="sk-SK"/>
        </w:rPr>
      </w:pPr>
      <w:r w:rsidRPr="000129B6">
        <w:rPr>
          <w:b/>
          <w:szCs w:val="22"/>
          <w:lang w:eastAsia="sk-SK"/>
        </w:rPr>
        <w:t>Vodohospodárska výstavba, š. p.</w:t>
      </w:r>
      <w:r w:rsidRPr="000129B6">
        <w:rPr>
          <w:szCs w:val="22"/>
          <w:lang w:eastAsia="sk-SK"/>
        </w:rPr>
        <w:t xml:space="preserve"> eviduje viaceré súdne spory, pričom väčšinu  z uvedenej sumy tvorí spor o náhradu škody z dôvodu údajného porušenia nájomnej zmluvy a spory so Slovenskými elektrárňami o úhradu platieb podľa zmluvy o prevádzke Vodnej elektrárne Gabčíkovo. Vodohospodárska výstavba, š. p. vykazuje voči Slovenským elektrárňam aj podmienené aktíva, z titulu bezdôvodného obohatenia, ktoré malo vzniknúť úhradou platieb Slovenským elektrárňam, </w:t>
      </w:r>
      <w:proofErr w:type="spellStart"/>
      <w:r w:rsidRPr="000129B6">
        <w:rPr>
          <w:szCs w:val="22"/>
          <w:lang w:eastAsia="sk-SK"/>
        </w:rPr>
        <w:t>a.s</w:t>
      </w:r>
      <w:proofErr w:type="spellEnd"/>
      <w:r w:rsidRPr="000129B6">
        <w:rPr>
          <w:szCs w:val="22"/>
          <w:lang w:eastAsia="sk-SK"/>
        </w:rPr>
        <w:t>. podľa neplatnej zmluvy o prevádzke Vodnej elektrárne Gabčíkovo. V súdnych sporoch sa naďalej pokračuje.</w:t>
      </w:r>
    </w:p>
    <w:p w14:paraId="3C651ED7" w14:textId="77777777" w:rsidR="001768B9" w:rsidRPr="000129B6" w:rsidRDefault="001768B9" w:rsidP="001768B9">
      <w:pPr>
        <w:spacing w:after="0" w:line="240" w:lineRule="auto"/>
        <w:ind w:firstLine="360"/>
        <w:contextualSpacing/>
        <w:jc w:val="both"/>
        <w:rPr>
          <w:szCs w:val="22"/>
          <w:lang w:eastAsia="sk-SK"/>
        </w:rPr>
      </w:pPr>
    </w:p>
    <w:p w14:paraId="0E5CDFE5" w14:textId="77777777" w:rsidR="001768B9" w:rsidRPr="000129B6" w:rsidRDefault="001768B9" w:rsidP="001768B9">
      <w:pPr>
        <w:keepNext/>
        <w:spacing w:after="120" w:line="240" w:lineRule="auto"/>
        <w:rPr>
          <w:b/>
          <w:bCs/>
          <w:color w:val="4F81BD"/>
          <w:szCs w:val="22"/>
          <w:lang w:eastAsia="sk-SK"/>
        </w:rPr>
      </w:pPr>
      <w:r w:rsidRPr="000129B6">
        <w:rPr>
          <w:b/>
          <w:bCs/>
          <w:color w:val="4F81BD"/>
          <w:szCs w:val="22"/>
          <w:lang w:eastAsia="sk-SK"/>
        </w:rPr>
        <w:t>Iné podmienené záväzky</w:t>
      </w:r>
    </w:p>
    <w:p w14:paraId="1C061A1A" w14:textId="36487A43" w:rsidR="001768B9" w:rsidRPr="000129B6" w:rsidRDefault="001768B9" w:rsidP="001768B9">
      <w:pPr>
        <w:spacing w:after="0" w:line="240" w:lineRule="auto"/>
        <w:contextualSpacing/>
        <w:jc w:val="both"/>
        <w:rPr>
          <w:szCs w:val="22"/>
          <w:lang w:eastAsia="sk-SK"/>
        </w:rPr>
      </w:pPr>
      <w:r w:rsidRPr="000129B6">
        <w:rPr>
          <w:szCs w:val="22"/>
          <w:lang w:eastAsia="sk-SK"/>
        </w:rPr>
        <w:t>Do podmienených záväzkov bola zaradená aj hodnota založeného majetku</w:t>
      </w:r>
      <w:r w:rsidRPr="000129B6">
        <w:rPr>
          <w:b/>
          <w:szCs w:val="22"/>
          <w:lang w:eastAsia="sk-SK"/>
        </w:rPr>
        <w:t xml:space="preserve"> Slovenských elektrární, a.</w:t>
      </w:r>
      <w:r w:rsidR="009E169A">
        <w:rPr>
          <w:b/>
          <w:szCs w:val="22"/>
          <w:lang w:eastAsia="sk-SK"/>
        </w:rPr>
        <w:t> </w:t>
      </w:r>
      <w:r w:rsidRPr="000129B6">
        <w:rPr>
          <w:b/>
          <w:szCs w:val="22"/>
          <w:lang w:eastAsia="sk-SK"/>
        </w:rPr>
        <w:t>s.</w:t>
      </w:r>
      <w:r w:rsidRPr="000129B6">
        <w:rPr>
          <w:szCs w:val="22"/>
          <w:lang w:eastAsia="sk-SK"/>
        </w:rPr>
        <w:t xml:space="preserve"> v prospech banky. Hodnota záložného práva sa medziročne zvýšila o 94 813 tis. eur. Hodnota podmienených pasív reprezentuje 34%-</w:t>
      </w:r>
      <w:proofErr w:type="spellStart"/>
      <w:r w:rsidRPr="000129B6">
        <w:rPr>
          <w:szCs w:val="22"/>
          <w:lang w:eastAsia="sk-SK"/>
        </w:rPr>
        <w:t>tný</w:t>
      </w:r>
      <w:proofErr w:type="spellEnd"/>
      <w:r w:rsidRPr="000129B6">
        <w:rPr>
          <w:szCs w:val="22"/>
          <w:lang w:eastAsia="sk-SK"/>
        </w:rPr>
        <w:t xml:space="preserve"> podiel štátu na základnom imaní spoločnosti. </w:t>
      </w:r>
    </w:p>
    <w:p w14:paraId="31241CFB" w14:textId="77777777" w:rsidR="001768B9" w:rsidRPr="000129B6" w:rsidRDefault="001768B9" w:rsidP="001768B9">
      <w:pPr>
        <w:spacing w:after="0" w:line="240" w:lineRule="auto"/>
        <w:ind w:firstLine="360"/>
        <w:contextualSpacing/>
        <w:jc w:val="both"/>
        <w:rPr>
          <w:szCs w:val="22"/>
          <w:highlight w:val="yellow"/>
          <w:lang w:eastAsia="sk-SK"/>
        </w:rPr>
      </w:pPr>
    </w:p>
    <w:p w14:paraId="5178923D" w14:textId="50D3DBB1"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MH Manažment, </w:t>
      </w:r>
      <w:proofErr w:type="spellStart"/>
      <w:r w:rsidRPr="000129B6">
        <w:rPr>
          <w:b/>
          <w:szCs w:val="22"/>
          <w:lang w:eastAsia="sk-SK"/>
        </w:rPr>
        <w:t>a.s</w:t>
      </w:r>
      <w:proofErr w:type="spellEnd"/>
      <w:r w:rsidRPr="000129B6">
        <w:rPr>
          <w:b/>
          <w:szCs w:val="22"/>
          <w:lang w:eastAsia="sk-SK"/>
        </w:rPr>
        <w:t xml:space="preserve">. </w:t>
      </w:r>
      <w:r w:rsidRPr="000129B6">
        <w:rPr>
          <w:szCs w:val="22"/>
          <w:lang w:eastAsia="sk-SK"/>
        </w:rPr>
        <w:t>eviduje významnú hodnotu podmienených záväzkov z ručenia za splnenie záväzkov vyplývajúcich z niektorých privatizačných zmlúv uzavretých bývalým  Fondom národného majetku. FNM sa zaviazal uhradiť nadobúdateľom privatizovaných spoločností určité straty na majetku, ktoré im môžu v</w:t>
      </w:r>
      <w:r w:rsidR="009E169A">
        <w:rPr>
          <w:szCs w:val="22"/>
          <w:lang w:eastAsia="sk-SK"/>
        </w:rPr>
        <w:t> </w:t>
      </w:r>
      <w:r w:rsidRPr="000129B6">
        <w:rPr>
          <w:szCs w:val="22"/>
          <w:lang w:eastAsia="sk-SK"/>
        </w:rPr>
        <w:t xml:space="preserve">budúcnosti vzniknúť v dôsledku </w:t>
      </w:r>
      <w:r w:rsidRPr="000129B6">
        <w:rPr>
          <w:bCs/>
          <w:iCs/>
          <w:szCs w:val="22"/>
          <w:lang w:eastAsia="sk-SK"/>
        </w:rPr>
        <w:t>určitých rizík definovaných v privatizačných zmluvách</w:t>
      </w:r>
      <w:r w:rsidRPr="000129B6">
        <w:rPr>
          <w:szCs w:val="22"/>
          <w:lang w:eastAsia="sk-SK"/>
        </w:rPr>
        <w:t>. Spoločnosť zároveň opätovne prehodnotila súdne spory a riziko plnenia z nich.</w:t>
      </w:r>
    </w:p>
    <w:p w14:paraId="198F0BD3" w14:textId="77777777" w:rsidR="001768B9" w:rsidRPr="000129B6" w:rsidRDefault="001768B9" w:rsidP="001768B9">
      <w:pPr>
        <w:spacing w:after="0" w:line="240" w:lineRule="auto"/>
        <w:ind w:firstLine="360"/>
        <w:contextualSpacing/>
        <w:jc w:val="both"/>
        <w:rPr>
          <w:szCs w:val="22"/>
          <w:lang w:eastAsia="sk-SK"/>
        </w:rPr>
      </w:pPr>
    </w:p>
    <w:p w14:paraId="1FC55314" w14:textId="77777777" w:rsidR="001768B9" w:rsidRPr="000129B6" w:rsidRDefault="001768B9" w:rsidP="001768B9">
      <w:pPr>
        <w:spacing w:after="0" w:line="240" w:lineRule="auto"/>
        <w:contextualSpacing/>
        <w:jc w:val="both"/>
        <w:rPr>
          <w:color w:val="FF0000"/>
          <w:szCs w:val="22"/>
          <w:lang w:eastAsia="sk-SK"/>
        </w:rPr>
      </w:pPr>
      <w:r w:rsidRPr="000129B6">
        <w:rPr>
          <w:b/>
          <w:szCs w:val="22"/>
          <w:lang w:eastAsia="sk-SK"/>
        </w:rPr>
        <w:t xml:space="preserve">Slovenský plynárenský priemysel, </w:t>
      </w:r>
      <w:proofErr w:type="spellStart"/>
      <w:r w:rsidRPr="000129B6">
        <w:rPr>
          <w:b/>
          <w:szCs w:val="22"/>
          <w:lang w:eastAsia="sk-SK"/>
        </w:rPr>
        <w:t>a.s</w:t>
      </w:r>
      <w:proofErr w:type="spellEnd"/>
      <w:r w:rsidRPr="000129B6">
        <w:rPr>
          <w:b/>
          <w:szCs w:val="22"/>
          <w:lang w:eastAsia="sk-SK"/>
        </w:rPr>
        <w:t xml:space="preserve">. </w:t>
      </w:r>
      <w:r w:rsidRPr="000129B6">
        <w:rPr>
          <w:szCs w:val="22"/>
          <w:lang w:eastAsia="sk-SK"/>
        </w:rPr>
        <w:t>vykazuje podmienené pasíva v podobe finančných derivátov, využívajúcich sa pri kontrahovaní zemného plynu na komoditných burzách. Zmena hodnoty súvisí so zmenou ceny zemného plynu a elektrickej energie, na ktoré sa viažu komoditné deriváty.</w:t>
      </w:r>
      <w:r w:rsidRPr="000129B6">
        <w:rPr>
          <w:color w:val="FF0000"/>
          <w:szCs w:val="22"/>
          <w:lang w:eastAsia="sk-SK"/>
        </w:rPr>
        <w:t xml:space="preserve"> </w:t>
      </w:r>
    </w:p>
    <w:p w14:paraId="7010ED4C" w14:textId="77777777" w:rsidR="001768B9" w:rsidRPr="000129B6" w:rsidRDefault="001768B9" w:rsidP="001768B9">
      <w:pPr>
        <w:spacing w:after="0" w:line="240" w:lineRule="auto"/>
        <w:ind w:firstLine="360"/>
        <w:contextualSpacing/>
        <w:jc w:val="both"/>
        <w:rPr>
          <w:szCs w:val="22"/>
          <w:highlight w:val="yellow"/>
          <w:lang w:eastAsia="sk-SK"/>
        </w:rPr>
      </w:pPr>
    </w:p>
    <w:p w14:paraId="546C5DF1" w14:textId="77777777" w:rsidR="001768B9" w:rsidRPr="000129B6" w:rsidRDefault="001768B9" w:rsidP="001768B9">
      <w:pPr>
        <w:spacing w:after="0" w:line="240" w:lineRule="auto"/>
        <w:contextualSpacing/>
        <w:jc w:val="both"/>
        <w:rPr>
          <w:szCs w:val="22"/>
          <w:lang w:eastAsia="sk-SK"/>
        </w:rPr>
      </w:pPr>
      <w:r w:rsidRPr="000129B6">
        <w:rPr>
          <w:szCs w:val="22"/>
          <w:lang w:eastAsia="sk-SK"/>
        </w:rPr>
        <w:t xml:space="preserve">Poskytnuté záruky </w:t>
      </w:r>
      <w:r w:rsidRPr="000129B6">
        <w:rPr>
          <w:b/>
          <w:szCs w:val="22"/>
          <w:lang w:eastAsia="sk-SK"/>
        </w:rPr>
        <w:t>Ministerstvom financií SR</w:t>
      </w:r>
      <w:r w:rsidRPr="000129B6">
        <w:rPr>
          <w:szCs w:val="22"/>
          <w:lang w:eastAsia="sk-SK"/>
        </w:rPr>
        <w:t xml:space="preserve"> boli vykázané vo výške 321 411 tis. eur, a medziročne sa znížili o 97 736 tis. eur. Zníženie spôsobili realizované  záruky podľa zákona</w:t>
      </w:r>
      <w:r w:rsidRPr="000129B6">
        <w:rPr>
          <w:szCs w:val="22"/>
          <w:lang w:eastAsia="sk-SK"/>
        </w:rPr>
        <w:br/>
        <w:t>č. 67/2020 Z. z. o niektorých mimoriadnych opatreniach vo finančnej oblasti v súvislosti so šírením nebezpečnej nákazlivej ľudskej choroby  COVID-19 v platnom znení, v prospech finančných inštitúcií (SZRB, Eximbanka a NDF I), ktoré poskytli úvery resp. záruky za úvery na podporu podnikateľom v čase pandémie COVID-19. V roku 2022 bolo ministerstvom uhradených 12 040 tis. eur z doteraz poskytnutých záruk. V roku 2021 to bolo 39 tis. eur, v roku 2020 neboli preplatené žiadne záruky. Ďalšie zníženie záruk ministerstva v objeme 84 781 tis. eur bolo na základe aktualizácie pozície poskytovateľov pomoci (SZRB, EXIMBANKA, NDF I), na základe odsúhlasených zmien aj zo strany komerčných bánk. Okrem záruk spoločnosti NDF II. sú všetky ostatné záruky predmetom konsolidácie pri výpočte čistého bohatstva.</w:t>
      </w:r>
    </w:p>
    <w:p w14:paraId="5C5CBE97" w14:textId="77777777" w:rsidR="001768B9" w:rsidRPr="000129B6" w:rsidRDefault="001768B9" w:rsidP="001768B9">
      <w:pPr>
        <w:spacing w:after="0" w:line="240" w:lineRule="auto"/>
        <w:ind w:firstLine="360"/>
        <w:jc w:val="both"/>
        <w:rPr>
          <w:b/>
          <w:bCs/>
          <w:szCs w:val="22"/>
        </w:rPr>
      </w:pPr>
    </w:p>
    <w:p w14:paraId="6D08911A" w14:textId="040F6674" w:rsidR="001768B9" w:rsidRDefault="001768B9" w:rsidP="001768B9">
      <w:pPr>
        <w:spacing w:after="0" w:line="240" w:lineRule="auto"/>
        <w:contextualSpacing/>
        <w:jc w:val="both"/>
        <w:rPr>
          <w:szCs w:val="22"/>
          <w:lang w:eastAsia="sk-SK"/>
        </w:rPr>
      </w:pPr>
      <w:r w:rsidRPr="000129B6">
        <w:rPr>
          <w:b/>
          <w:szCs w:val="22"/>
          <w:lang w:eastAsia="sk-SK"/>
        </w:rPr>
        <w:t xml:space="preserve">National </w:t>
      </w:r>
      <w:proofErr w:type="spellStart"/>
      <w:r w:rsidRPr="000129B6">
        <w:rPr>
          <w:b/>
          <w:szCs w:val="22"/>
          <w:lang w:eastAsia="sk-SK"/>
        </w:rPr>
        <w:t>Development</w:t>
      </w:r>
      <w:proofErr w:type="spellEnd"/>
      <w:r w:rsidRPr="000129B6">
        <w:rPr>
          <w:b/>
          <w:szCs w:val="22"/>
          <w:lang w:eastAsia="sk-SK"/>
        </w:rPr>
        <w:t xml:space="preserve"> </w:t>
      </w:r>
      <w:proofErr w:type="spellStart"/>
      <w:r w:rsidRPr="000129B6">
        <w:rPr>
          <w:b/>
          <w:szCs w:val="22"/>
          <w:lang w:eastAsia="sk-SK"/>
        </w:rPr>
        <w:t>Fund</w:t>
      </w:r>
      <w:proofErr w:type="spellEnd"/>
      <w:r w:rsidRPr="000129B6">
        <w:rPr>
          <w:b/>
          <w:szCs w:val="22"/>
          <w:lang w:eastAsia="sk-SK"/>
        </w:rPr>
        <w:t xml:space="preserve"> II, </w:t>
      </w:r>
      <w:proofErr w:type="spellStart"/>
      <w:r w:rsidRPr="000129B6">
        <w:rPr>
          <w:b/>
          <w:szCs w:val="22"/>
          <w:lang w:eastAsia="sk-SK"/>
        </w:rPr>
        <w:t>a.s</w:t>
      </w:r>
      <w:proofErr w:type="spellEnd"/>
      <w:r w:rsidRPr="000129B6">
        <w:rPr>
          <w:b/>
          <w:szCs w:val="22"/>
          <w:lang w:eastAsia="sk-SK"/>
        </w:rPr>
        <w:t xml:space="preserve">. </w:t>
      </w:r>
      <w:r w:rsidRPr="000129B6">
        <w:rPr>
          <w:szCs w:val="22"/>
          <w:lang w:eastAsia="sk-SK"/>
        </w:rPr>
        <w:t>vykazuje portfóliové záruky za úvery komerčných bánk poskytované v rámci opatrení na zmiernenie dopadov pandémie COVID-19 na podnikateľský sektor. Krytie týchto záruk je najmä z prostriedkov rozpočtu EÚ. Medziročná zmena je spôsobená primárne vplyvom postupného splácania úverov bankám zo strany konečných dlžníkov, čím klesá aj</w:t>
      </w:r>
      <w:r w:rsidR="009E169A">
        <w:rPr>
          <w:szCs w:val="22"/>
          <w:lang w:eastAsia="sk-SK"/>
        </w:rPr>
        <w:t xml:space="preserve"> báza úverov, za ktoré ručí NDF </w:t>
      </w:r>
      <w:r w:rsidRPr="000129B6">
        <w:rPr>
          <w:szCs w:val="22"/>
          <w:lang w:eastAsia="sk-SK"/>
        </w:rPr>
        <w:t>II. Tempo poskytovania nových úverov so zárukou spoločnosti bolo nižšie ako tempo splácania už poskytnutých úverov so zárukou.</w:t>
      </w:r>
    </w:p>
    <w:p w14:paraId="7CB38203" w14:textId="77777777" w:rsidR="001768B9" w:rsidRPr="00DF0EC5" w:rsidRDefault="001768B9" w:rsidP="001768B9">
      <w:pPr>
        <w:spacing w:after="0" w:line="240" w:lineRule="auto"/>
        <w:contextualSpacing/>
        <w:jc w:val="both"/>
        <w:rPr>
          <w:color w:val="4F81BD" w:themeColor="accent1"/>
          <w:szCs w:val="22"/>
          <w:lang w:eastAsia="sk-SK"/>
        </w:rPr>
      </w:pPr>
    </w:p>
    <w:p w14:paraId="0D8F98C4" w14:textId="6B96735E" w:rsidR="001768B9" w:rsidRPr="008A488A" w:rsidRDefault="001768B9" w:rsidP="001768B9">
      <w:pPr>
        <w:spacing w:after="0" w:line="240" w:lineRule="auto"/>
        <w:contextualSpacing/>
        <w:jc w:val="both"/>
        <w:rPr>
          <w:b/>
          <w:iCs/>
          <w:color w:val="4F81BD" w:themeColor="accent1"/>
          <w:sz w:val="20"/>
          <w:szCs w:val="20"/>
        </w:rPr>
      </w:pPr>
      <w:r w:rsidRPr="008A488A">
        <w:rPr>
          <w:b/>
          <w:iCs/>
          <w:color w:val="4F81BD" w:themeColor="accent1"/>
          <w:sz w:val="20"/>
          <w:szCs w:val="20"/>
        </w:rPr>
        <w:t xml:space="preserve">Tabuľka </w:t>
      </w:r>
      <w:r w:rsidR="008A488A" w:rsidRPr="008A488A">
        <w:rPr>
          <w:b/>
          <w:iCs/>
          <w:color w:val="4F81BD" w:themeColor="accent1"/>
          <w:sz w:val="20"/>
          <w:szCs w:val="20"/>
        </w:rPr>
        <w:t>23</w:t>
      </w:r>
      <w:r w:rsidRPr="008A488A">
        <w:rPr>
          <w:b/>
          <w:iCs/>
          <w:color w:val="4F81BD" w:themeColor="accent1"/>
          <w:sz w:val="20"/>
          <w:szCs w:val="20"/>
        </w:rPr>
        <w:t xml:space="preserve"> - Prehľad vystavených </w:t>
      </w:r>
      <w:proofErr w:type="spellStart"/>
      <w:r w:rsidRPr="008A488A">
        <w:rPr>
          <w:b/>
          <w:iCs/>
          <w:color w:val="4F81BD" w:themeColor="accent1"/>
          <w:sz w:val="20"/>
          <w:szCs w:val="20"/>
        </w:rPr>
        <w:t>covid</w:t>
      </w:r>
      <w:proofErr w:type="spellEnd"/>
      <w:r w:rsidRPr="008A488A">
        <w:rPr>
          <w:b/>
          <w:iCs/>
          <w:color w:val="4F81BD" w:themeColor="accent1"/>
          <w:sz w:val="20"/>
          <w:szCs w:val="20"/>
        </w:rPr>
        <w:t xml:space="preserve"> záruk na základe zákona č. 67/2020 Z. z.</w:t>
      </w:r>
      <w:r w:rsidR="008A488A">
        <w:rPr>
          <w:b/>
          <w:iCs/>
          <w:color w:val="4F81BD" w:themeColor="accent1"/>
          <w:sz w:val="20"/>
          <w:szCs w:val="20"/>
        </w:rPr>
        <w:t xml:space="preserve">                                       v tis. eur</w:t>
      </w:r>
    </w:p>
    <w:tbl>
      <w:tblPr>
        <w:tblW w:w="9604" w:type="dxa"/>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0"/>
        <w:gridCol w:w="1176"/>
        <w:gridCol w:w="1176"/>
        <w:gridCol w:w="1176"/>
        <w:gridCol w:w="1236"/>
      </w:tblGrid>
      <w:tr w:rsidR="001768B9" w:rsidRPr="0057265E" w14:paraId="13CF7D28" w14:textId="77777777" w:rsidTr="001768B9">
        <w:trPr>
          <w:trHeight w:val="276"/>
          <w:jc w:val="center"/>
        </w:trPr>
        <w:tc>
          <w:tcPr>
            <w:tcW w:w="4840" w:type="dxa"/>
            <w:tcBorders>
              <w:right w:val="nil"/>
            </w:tcBorders>
            <w:vAlign w:val="center"/>
            <w:hideMark/>
          </w:tcPr>
          <w:p w14:paraId="58E44B6D" w14:textId="311B88A3" w:rsidR="001768B9" w:rsidRPr="0057265E" w:rsidRDefault="001768B9" w:rsidP="001768B9">
            <w:pPr>
              <w:spacing w:after="0" w:line="240" w:lineRule="auto"/>
              <w:rPr>
                <w:color w:val="000000"/>
                <w:sz w:val="16"/>
                <w:szCs w:val="16"/>
                <w:lang w:eastAsia="sk-SK"/>
              </w:rPr>
            </w:pPr>
          </w:p>
        </w:tc>
        <w:tc>
          <w:tcPr>
            <w:tcW w:w="1176" w:type="dxa"/>
            <w:tcBorders>
              <w:left w:val="nil"/>
              <w:right w:val="nil"/>
            </w:tcBorders>
            <w:vAlign w:val="bottom"/>
            <w:hideMark/>
          </w:tcPr>
          <w:p w14:paraId="492E8597" w14:textId="77777777" w:rsidR="001768B9" w:rsidRPr="00D33788" w:rsidRDefault="001768B9" w:rsidP="001768B9">
            <w:pPr>
              <w:spacing w:after="0" w:line="240" w:lineRule="auto"/>
              <w:jc w:val="right"/>
              <w:rPr>
                <w:b/>
                <w:bCs/>
                <w:sz w:val="18"/>
                <w:szCs w:val="18"/>
                <w:lang w:eastAsia="sk-SK"/>
              </w:rPr>
            </w:pPr>
            <w:r w:rsidRPr="00D33788">
              <w:rPr>
                <w:b/>
                <w:bCs/>
                <w:sz w:val="18"/>
                <w:szCs w:val="18"/>
                <w:lang w:eastAsia="sk-SK"/>
              </w:rPr>
              <w:t>2020</w:t>
            </w:r>
          </w:p>
        </w:tc>
        <w:tc>
          <w:tcPr>
            <w:tcW w:w="1176" w:type="dxa"/>
            <w:tcBorders>
              <w:left w:val="nil"/>
              <w:right w:val="nil"/>
            </w:tcBorders>
            <w:vAlign w:val="bottom"/>
            <w:hideMark/>
          </w:tcPr>
          <w:p w14:paraId="18C7C866" w14:textId="77777777" w:rsidR="001768B9" w:rsidRPr="00D33788" w:rsidRDefault="001768B9" w:rsidP="001768B9">
            <w:pPr>
              <w:spacing w:after="0" w:line="240" w:lineRule="auto"/>
              <w:jc w:val="right"/>
              <w:rPr>
                <w:b/>
                <w:bCs/>
                <w:sz w:val="18"/>
                <w:szCs w:val="18"/>
                <w:lang w:eastAsia="sk-SK"/>
              </w:rPr>
            </w:pPr>
            <w:r w:rsidRPr="00D33788">
              <w:rPr>
                <w:b/>
                <w:bCs/>
                <w:sz w:val="18"/>
                <w:szCs w:val="18"/>
                <w:lang w:eastAsia="sk-SK"/>
              </w:rPr>
              <w:t>2021</w:t>
            </w:r>
          </w:p>
        </w:tc>
        <w:tc>
          <w:tcPr>
            <w:tcW w:w="1176" w:type="dxa"/>
            <w:tcBorders>
              <w:left w:val="nil"/>
              <w:right w:val="nil"/>
            </w:tcBorders>
            <w:vAlign w:val="bottom"/>
            <w:hideMark/>
          </w:tcPr>
          <w:p w14:paraId="435FC307" w14:textId="77777777" w:rsidR="001768B9" w:rsidRPr="00D33788" w:rsidRDefault="001768B9" w:rsidP="001768B9">
            <w:pPr>
              <w:spacing w:after="0" w:line="240" w:lineRule="auto"/>
              <w:jc w:val="right"/>
              <w:rPr>
                <w:b/>
                <w:bCs/>
                <w:sz w:val="18"/>
                <w:szCs w:val="18"/>
                <w:lang w:eastAsia="sk-SK"/>
              </w:rPr>
            </w:pPr>
            <w:r w:rsidRPr="00D33788">
              <w:rPr>
                <w:b/>
                <w:bCs/>
                <w:sz w:val="18"/>
                <w:szCs w:val="18"/>
                <w:lang w:eastAsia="sk-SK"/>
              </w:rPr>
              <w:t>2022</w:t>
            </w:r>
          </w:p>
        </w:tc>
        <w:tc>
          <w:tcPr>
            <w:tcW w:w="1236" w:type="dxa"/>
            <w:tcBorders>
              <w:left w:val="nil"/>
            </w:tcBorders>
            <w:vAlign w:val="bottom"/>
            <w:hideMark/>
          </w:tcPr>
          <w:p w14:paraId="4BC9B271" w14:textId="77777777" w:rsidR="001768B9" w:rsidRPr="00D33788" w:rsidRDefault="001768B9" w:rsidP="001768B9">
            <w:pPr>
              <w:spacing w:after="0" w:line="240" w:lineRule="auto"/>
              <w:jc w:val="right"/>
              <w:rPr>
                <w:b/>
                <w:bCs/>
                <w:sz w:val="18"/>
                <w:szCs w:val="18"/>
                <w:lang w:eastAsia="sk-SK"/>
              </w:rPr>
            </w:pPr>
            <w:r w:rsidRPr="00D33788">
              <w:rPr>
                <w:b/>
                <w:bCs/>
                <w:sz w:val="18"/>
                <w:szCs w:val="18"/>
                <w:lang w:eastAsia="sk-SK"/>
              </w:rPr>
              <w:t>Δ2022-2021</w:t>
            </w:r>
          </w:p>
        </w:tc>
      </w:tr>
      <w:tr w:rsidR="001768B9" w:rsidRPr="0057265E" w14:paraId="66FD55BF" w14:textId="77777777" w:rsidTr="001768B9">
        <w:trPr>
          <w:trHeight w:val="276"/>
          <w:jc w:val="center"/>
        </w:trPr>
        <w:tc>
          <w:tcPr>
            <w:tcW w:w="4840" w:type="dxa"/>
            <w:tcBorders>
              <w:bottom w:val="nil"/>
              <w:right w:val="nil"/>
            </w:tcBorders>
            <w:vAlign w:val="center"/>
          </w:tcPr>
          <w:p w14:paraId="1A0134C9" w14:textId="77777777" w:rsidR="001768B9" w:rsidRPr="00D33788" w:rsidRDefault="001768B9" w:rsidP="001768B9">
            <w:pPr>
              <w:spacing w:after="0" w:line="240" w:lineRule="auto"/>
              <w:ind w:firstLineChars="300" w:firstLine="540"/>
              <w:rPr>
                <w:color w:val="000000"/>
                <w:sz w:val="18"/>
                <w:szCs w:val="18"/>
                <w:lang w:eastAsia="sk-SK"/>
              </w:rPr>
            </w:pPr>
            <w:r w:rsidRPr="00D33788">
              <w:rPr>
                <w:color w:val="000000"/>
                <w:sz w:val="18"/>
                <w:szCs w:val="18"/>
                <w:lang w:eastAsia="sk-SK"/>
              </w:rPr>
              <w:t xml:space="preserve">MF SR v prospech SZRB, </w:t>
            </w:r>
            <w:proofErr w:type="spellStart"/>
            <w:r w:rsidRPr="00D33788">
              <w:rPr>
                <w:color w:val="000000"/>
                <w:sz w:val="18"/>
                <w:szCs w:val="18"/>
                <w:lang w:eastAsia="sk-SK"/>
              </w:rPr>
              <w:t>a.s</w:t>
            </w:r>
            <w:proofErr w:type="spellEnd"/>
            <w:r w:rsidRPr="00D33788">
              <w:rPr>
                <w:color w:val="000000"/>
                <w:sz w:val="18"/>
                <w:szCs w:val="18"/>
                <w:lang w:eastAsia="sk-SK"/>
              </w:rPr>
              <w:t>. (§5)</w:t>
            </w:r>
          </w:p>
        </w:tc>
        <w:tc>
          <w:tcPr>
            <w:tcW w:w="1176" w:type="dxa"/>
            <w:tcBorders>
              <w:left w:val="nil"/>
              <w:bottom w:val="nil"/>
              <w:right w:val="nil"/>
            </w:tcBorders>
            <w:vAlign w:val="center"/>
          </w:tcPr>
          <w:p w14:paraId="3B52C0E9"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23 432</w:t>
            </w:r>
          </w:p>
        </w:tc>
        <w:tc>
          <w:tcPr>
            <w:tcW w:w="1176" w:type="dxa"/>
            <w:tcBorders>
              <w:left w:val="nil"/>
              <w:bottom w:val="nil"/>
              <w:right w:val="nil"/>
            </w:tcBorders>
            <w:vAlign w:val="center"/>
          </w:tcPr>
          <w:p w14:paraId="70BF85D4"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25 661</w:t>
            </w:r>
          </w:p>
        </w:tc>
        <w:tc>
          <w:tcPr>
            <w:tcW w:w="1176" w:type="dxa"/>
            <w:tcBorders>
              <w:left w:val="nil"/>
              <w:bottom w:val="nil"/>
              <w:right w:val="nil"/>
            </w:tcBorders>
            <w:vAlign w:val="center"/>
          </w:tcPr>
          <w:p w14:paraId="7E7E1863"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25 919</w:t>
            </w:r>
          </w:p>
        </w:tc>
        <w:tc>
          <w:tcPr>
            <w:tcW w:w="1236" w:type="dxa"/>
            <w:tcBorders>
              <w:left w:val="nil"/>
              <w:bottom w:val="nil"/>
            </w:tcBorders>
            <w:vAlign w:val="center"/>
          </w:tcPr>
          <w:p w14:paraId="467A9044"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258</w:t>
            </w:r>
          </w:p>
        </w:tc>
      </w:tr>
      <w:tr w:rsidR="001768B9" w:rsidRPr="0057265E" w14:paraId="1D28C5F0" w14:textId="77777777" w:rsidTr="001768B9">
        <w:trPr>
          <w:trHeight w:val="276"/>
          <w:jc w:val="center"/>
        </w:trPr>
        <w:tc>
          <w:tcPr>
            <w:tcW w:w="4840" w:type="dxa"/>
            <w:tcBorders>
              <w:top w:val="nil"/>
              <w:bottom w:val="nil"/>
              <w:right w:val="nil"/>
            </w:tcBorders>
            <w:vAlign w:val="center"/>
          </w:tcPr>
          <w:p w14:paraId="1FCF6072" w14:textId="77777777" w:rsidR="001768B9" w:rsidRPr="00D33788" w:rsidRDefault="001768B9" w:rsidP="001768B9">
            <w:pPr>
              <w:spacing w:after="0" w:line="240" w:lineRule="auto"/>
              <w:ind w:firstLineChars="300" w:firstLine="540"/>
              <w:rPr>
                <w:color w:val="000000"/>
                <w:sz w:val="18"/>
                <w:szCs w:val="18"/>
                <w:lang w:eastAsia="sk-SK"/>
              </w:rPr>
            </w:pPr>
            <w:r w:rsidRPr="00D33788">
              <w:rPr>
                <w:color w:val="000000"/>
                <w:sz w:val="18"/>
                <w:szCs w:val="18"/>
                <w:lang w:eastAsia="sk-SK"/>
              </w:rPr>
              <w:t>MF SR v prospech EXIMBANKY (§25)</w:t>
            </w:r>
          </w:p>
        </w:tc>
        <w:tc>
          <w:tcPr>
            <w:tcW w:w="1176" w:type="dxa"/>
            <w:tcBorders>
              <w:top w:val="nil"/>
              <w:left w:val="nil"/>
              <w:bottom w:val="nil"/>
              <w:right w:val="nil"/>
            </w:tcBorders>
            <w:vAlign w:val="center"/>
          </w:tcPr>
          <w:p w14:paraId="71B3CA01"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24 000</w:t>
            </w:r>
          </w:p>
        </w:tc>
        <w:tc>
          <w:tcPr>
            <w:tcW w:w="1176" w:type="dxa"/>
            <w:tcBorders>
              <w:top w:val="nil"/>
              <w:left w:val="nil"/>
              <w:bottom w:val="nil"/>
              <w:right w:val="nil"/>
            </w:tcBorders>
            <w:vAlign w:val="center"/>
          </w:tcPr>
          <w:p w14:paraId="19598B57"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24 000</w:t>
            </w:r>
          </w:p>
        </w:tc>
        <w:tc>
          <w:tcPr>
            <w:tcW w:w="1176" w:type="dxa"/>
            <w:tcBorders>
              <w:top w:val="nil"/>
              <w:left w:val="nil"/>
              <w:bottom w:val="nil"/>
              <w:right w:val="nil"/>
            </w:tcBorders>
            <w:vAlign w:val="center"/>
          </w:tcPr>
          <w:p w14:paraId="1B434F91"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21 760</w:t>
            </w:r>
          </w:p>
        </w:tc>
        <w:tc>
          <w:tcPr>
            <w:tcW w:w="1236" w:type="dxa"/>
            <w:tcBorders>
              <w:top w:val="nil"/>
              <w:left w:val="nil"/>
              <w:bottom w:val="nil"/>
            </w:tcBorders>
            <w:vAlign w:val="center"/>
          </w:tcPr>
          <w:p w14:paraId="005021AE"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-2 240</w:t>
            </w:r>
          </w:p>
        </w:tc>
      </w:tr>
      <w:tr w:rsidR="001768B9" w:rsidRPr="0057265E" w14:paraId="734D2FE9" w14:textId="77777777" w:rsidTr="001768B9">
        <w:trPr>
          <w:trHeight w:val="276"/>
          <w:jc w:val="center"/>
        </w:trPr>
        <w:tc>
          <w:tcPr>
            <w:tcW w:w="4840" w:type="dxa"/>
            <w:tcBorders>
              <w:top w:val="nil"/>
              <w:bottom w:val="nil"/>
              <w:right w:val="nil"/>
            </w:tcBorders>
            <w:noWrap/>
            <w:vAlign w:val="center"/>
          </w:tcPr>
          <w:p w14:paraId="403E44BB" w14:textId="77777777" w:rsidR="001768B9" w:rsidRPr="00D33788" w:rsidRDefault="001768B9" w:rsidP="001768B9">
            <w:pPr>
              <w:spacing w:after="0" w:line="240" w:lineRule="auto"/>
              <w:ind w:firstLineChars="300" w:firstLine="540"/>
              <w:rPr>
                <w:color w:val="000000"/>
                <w:sz w:val="18"/>
                <w:szCs w:val="18"/>
                <w:lang w:eastAsia="sk-SK"/>
              </w:rPr>
            </w:pPr>
            <w:r w:rsidRPr="00D33788">
              <w:rPr>
                <w:color w:val="000000"/>
                <w:sz w:val="18"/>
                <w:szCs w:val="18"/>
                <w:lang w:eastAsia="sk-SK"/>
              </w:rPr>
              <w:t>MF SR v prospech EXIMBANKY (§25a)</w:t>
            </w:r>
          </w:p>
        </w:tc>
        <w:tc>
          <w:tcPr>
            <w:tcW w:w="1176" w:type="dxa"/>
            <w:tcBorders>
              <w:top w:val="nil"/>
              <w:left w:val="nil"/>
              <w:bottom w:val="nil"/>
              <w:right w:val="nil"/>
            </w:tcBorders>
            <w:vAlign w:val="center"/>
          </w:tcPr>
          <w:p w14:paraId="2FDF992B"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22 649</w:t>
            </w:r>
          </w:p>
        </w:tc>
        <w:tc>
          <w:tcPr>
            <w:tcW w:w="1176" w:type="dxa"/>
            <w:tcBorders>
              <w:top w:val="nil"/>
              <w:left w:val="nil"/>
              <w:bottom w:val="nil"/>
              <w:right w:val="nil"/>
            </w:tcBorders>
            <w:vAlign w:val="center"/>
          </w:tcPr>
          <w:p w14:paraId="3003DB4B"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40 879</w:t>
            </w:r>
          </w:p>
        </w:tc>
        <w:tc>
          <w:tcPr>
            <w:tcW w:w="1176" w:type="dxa"/>
            <w:tcBorders>
              <w:top w:val="nil"/>
              <w:left w:val="nil"/>
              <w:bottom w:val="nil"/>
              <w:right w:val="nil"/>
            </w:tcBorders>
            <w:vAlign w:val="center"/>
          </w:tcPr>
          <w:p w14:paraId="1F008977"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30 116</w:t>
            </w:r>
          </w:p>
        </w:tc>
        <w:tc>
          <w:tcPr>
            <w:tcW w:w="1236" w:type="dxa"/>
            <w:tcBorders>
              <w:top w:val="nil"/>
              <w:left w:val="nil"/>
              <w:bottom w:val="nil"/>
            </w:tcBorders>
            <w:vAlign w:val="center"/>
          </w:tcPr>
          <w:p w14:paraId="72A65D10"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-10 763</w:t>
            </w:r>
          </w:p>
        </w:tc>
      </w:tr>
      <w:tr w:rsidR="001768B9" w:rsidRPr="0057265E" w14:paraId="58F04BF7" w14:textId="77777777" w:rsidTr="001768B9">
        <w:trPr>
          <w:trHeight w:val="276"/>
          <w:jc w:val="center"/>
        </w:trPr>
        <w:tc>
          <w:tcPr>
            <w:tcW w:w="4840" w:type="dxa"/>
            <w:tcBorders>
              <w:top w:val="nil"/>
              <w:bottom w:val="nil"/>
              <w:right w:val="nil"/>
            </w:tcBorders>
            <w:vAlign w:val="center"/>
          </w:tcPr>
          <w:p w14:paraId="7333FCA5" w14:textId="77777777" w:rsidR="001768B9" w:rsidRPr="00D33788" w:rsidRDefault="001768B9" w:rsidP="001768B9">
            <w:pPr>
              <w:spacing w:after="0" w:line="240" w:lineRule="auto"/>
              <w:ind w:firstLineChars="300" w:firstLine="540"/>
              <w:rPr>
                <w:color w:val="000000"/>
                <w:sz w:val="18"/>
                <w:szCs w:val="18"/>
                <w:lang w:eastAsia="sk-SK"/>
              </w:rPr>
            </w:pPr>
            <w:r w:rsidRPr="00D33788">
              <w:rPr>
                <w:color w:val="000000"/>
                <w:sz w:val="18"/>
                <w:szCs w:val="18"/>
                <w:lang w:eastAsia="sk-SK"/>
              </w:rPr>
              <w:t>MF SR v prospech NDF I (§25a)</w:t>
            </w:r>
          </w:p>
        </w:tc>
        <w:tc>
          <w:tcPr>
            <w:tcW w:w="1176" w:type="dxa"/>
            <w:tcBorders>
              <w:top w:val="nil"/>
              <w:left w:val="nil"/>
              <w:bottom w:val="nil"/>
              <w:right w:val="nil"/>
            </w:tcBorders>
            <w:vAlign w:val="center"/>
          </w:tcPr>
          <w:p w14:paraId="2C7041A6"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143 393</w:t>
            </w:r>
          </w:p>
        </w:tc>
        <w:tc>
          <w:tcPr>
            <w:tcW w:w="1176" w:type="dxa"/>
            <w:tcBorders>
              <w:top w:val="nil"/>
              <w:left w:val="nil"/>
              <w:bottom w:val="nil"/>
              <w:right w:val="nil"/>
            </w:tcBorders>
            <w:vAlign w:val="center"/>
          </w:tcPr>
          <w:p w14:paraId="699352F2"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322 582</w:t>
            </w:r>
          </w:p>
        </w:tc>
        <w:tc>
          <w:tcPr>
            <w:tcW w:w="1176" w:type="dxa"/>
            <w:tcBorders>
              <w:top w:val="nil"/>
              <w:left w:val="nil"/>
              <w:bottom w:val="nil"/>
              <w:right w:val="nil"/>
            </w:tcBorders>
            <w:vAlign w:val="center"/>
          </w:tcPr>
          <w:p w14:paraId="53E1FF5B"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238 506</w:t>
            </w:r>
          </w:p>
        </w:tc>
        <w:tc>
          <w:tcPr>
            <w:tcW w:w="1236" w:type="dxa"/>
            <w:tcBorders>
              <w:top w:val="nil"/>
              <w:left w:val="nil"/>
              <w:bottom w:val="nil"/>
            </w:tcBorders>
            <w:vAlign w:val="center"/>
          </w:tcPr>
          <w:p w14:paraId="200E200D"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-84 076</w:t>
            </w:r>
          </w:p>
        </w:tc>
      </w:tr>
      <w:tr w:rsidR="001768B9" w:rsidRPr="0057265E" w14:paraId="36101F1F" w14:textId="77777777" w:rsidTr="001768B9">
        <w:trPr>
          <w:trHeight w:val="276"/>
          <w:jc w:val="center"/>
        </w:trPr>
        <w:tc>
          <w:tcPr>
            <w:tcW w:w="4840" w:type="dxa"/>
            <w:tcBorders>
              <w:top w:val="nil"/>
              <w:right w:val="nil"/>
            </w:tcBorders>
            <w:vAlign w:val="center"/>
          </w:tcPr>
          <w:p w14:paraId="159F3A3E" w14:textId="77777777" w:rsidR="001768B9" w:rsidRPr="00D33788" w:rsidRDefault="001768B9" w:rsidP="001768B9">
            <w:pPr>
              <w:spacing w:after="0" w:line="240" w:lineRule="auto"/>
              <w:ind w:firstLineChars="300" w:firstLine="540"/>
              <w:rPr>
                <w:color w:val="000000"/>
                <w:sz w:val="18"/>
                <w:szCs w:val="18"/>
                <w:lang w:eastAsia="sk-SK"/>
              </w:rPr>
            </w:pPr>
            <w:r w:rsidRPr="00D33788">
              <w:rPr>
                <w:color w:val="000000"/>
                <w:sz w:val="18"/>
                <w:szCs w:val="18"/>
                <w:lang w:eastAsia="sk-SK"/>
              </w:rPr>
              <w:t>NDF II v prospech tretích strán (§25a)</w:t>
            </w:r>
          </w:p>
        </w:tc>
        <w:tc>
          <w:tcPr>
            <w:tcW w:w="1176" w:type="dxa"/>
            <w:tcBorders>
              <w:top w:val="nil"/>
              <w:left w:val="nil"/>
              <w:right w:val="nil"/>
            </w:tcBorders>
            <w:vAlign w:val="center"/>
          </w:tcPr>
          <w:p w14:paraId="188A2B80"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310 683</w:t>
            </w:r>
          </w:p>
        </w:tc>
        <w:tc>
          <w:tcPr>
            <w:tcW w:w="1176" w:type="dxa"/>
            <w:tcBorders>
              <w:top w:val="nil"/>
              <w:left w:val="nil"/>
              <w:right w:val="nil"/>
            </w:tcBorders>
            <w:vAlign w:val="center"/>
          </w:tcPr>
          <w:p w14:paraId="07B39237"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381 410</w:t>
            </w:r>
          </w:p>
        </w:tc>
        <w:tc>
          <w:tcPr>
            <w:tcW w:w="1176" w:type="dxa"/>
            <w:tcBorders>
              <w:top w:val="nil"/>
              <w:left w:val="nil"/>
              <w:right w:val="nil"/>
            </w:tcBorders>
            <w:vAlign w:val="center"/>
          </w:tcPr>
          <w:p w14:paraId="0EFCEAC0"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365 392</w:t>
            </w:r>
          </w:p>
        </w:tc>
        <w:tc>
          <w:tcPr>
            <w:tcW w:w="1236" w:type="dxa"/>
            <w:tcBorders>
              <w:top w:val="nil"/>
              <w:left w:val="nil"/>
            </w:tcBorders>
            <w:vAlign w:val="center"/>
          </w:tcPr>
          <w:p w14:paraId="17C68605" w14:textId="77777777" w:rsidR="001768B9" w:rsidRPr="00D33788" w:rsidRDefault="001768B9" w:rsidP="001768B9">
            <w:pPr>
              <w:spacing w:after="0" w:line="240" w:lineRule="auto"/>
              <w:jc w:val="right"/>
              <w:rPr>
                <w:color w:val="000000"/>
                <w:sz w:val="18"/>
                <w:szCs w:val="18"/>
                <w:lang w:eastAsia="sk-SK"/>
              </w:rPr>
            </w:pPr>
            <w:r w:rsidRPr="00D33788">
              <w:rPr>
                <w:color w:val="000000"/>
                <w:sz w:val="18"/>
                <w:szCs w:val="18"/>
                <w:lang w:eastAsia="sk-SK"/>
              </w:rPr>
              <w:t>-16 018</w:t>
            </w:r>
          </w:p>
        </w:tc>
      </w:tr>
      <w:tr w:rsidR="001768B9" w:rsidRPr="0057265E" w14:paraId="2EC9B047" w14:textId="77777777" w:rsidTr="001768B9">
        <w:trPr>
          <w:trHeight w:val="276"/>
          <w:jc w:val="center"/>
        </w:trPr>
        <w:tc>
          <w:tcPr>
            <w:tcW w:w="4840" w:type="dxa"/>
            <w:tcBorders>
              <w:right w:val="nil"/>
            </w:tcBorders>
            <w:vAlign w:val="center"/>
          </w:tcPr>
          <w:p w14:paraId="2386AFAC" w14:textId="77777777" w:rsidR="001768B9" w:rsidRPr="00D33788" w:rsidRDefault="001768B9" w:rsidP="001768B9">
            <w:pPr>
              <w:spacing w:after="0" w:line="240" w:lineRule="auto"/>
              <w:rPr>
                <w:b/>
                <w:bCs/>
                <w:color w:val="000000"/>
                <w:sz w:val="18"/>
                <w:szCs w:val="18"/>
                <w:lang w:eastAsia="sk-SK"/>
              </w:rPr>
            </w:pPr>
            <w:r w:rsidRPr="00D33788">
              <w:rPr>
                <w:b/>
                <w:bCs/>
                <w:color w:val="000000"/>
                <w:sz w:val="18"/>
                <w:szCs w:val="18"/>
                <w:lang w:eastAsia="sk-SK"/>
              </w:rPr>
              <w:t xml:space="preserve">Spolu  </w:t>
            </w:r>
          </w:p>
        </w:tc>
        <w:tc>
          <w:tcPr>
            <w:tcW w:w="1176" w:type="dxa"/>
            <w:tcBorders>
              <w:left w:val="nil"/>
              <w:right w:val="nil"/>
            </w:tcBorders>
            <w:vAlign w:val="center"/>
          </w:tcPr>
          <w:p w14:paraId="010E10EF" w14:textId="77777777" w:rsidR="001768B9" w:rsidRPr="00D33788" w:rsidRDefault="001768B9" w:rsidP="001768B9">
            <w:pPr>
              <w:spacing w:after="0" w:line="240" w:lineRule="auto"/>
              <w:jc w:val="right"/>
              <w:rPr>
                <w:b/>
                <w:color w:val="000000"/>
                <w:sz w:val="18"/>
                <w:szCs w:val="18"/>
                <w:lang w:eastAsia="sk-SK"/>
              </w:rPr>
            </w:pPr>
            <w:r w:rsidRPr="00D33788">
              <w:rPr>
                <w:b/>
                <w:color w:val="000000"/>
                <w:sz w:val="18"/>
                <w:szCs w:val="18"/>
                <w:lang w:eastAsia="sk-SK"/>
              </w:rPr>
              <w:t>524 157</w:t>
            </w:r>
          </w:p>
        </w:tc>
        <w:tc>
          <w:tcPr>
            <w:tcW w:w="1176" w:type="dxa"/>
            <w:tcBorders>
              <w:left w:val="nil"/>
              <w:right w:val="nil"/>
            </w:tcBorders>
            <w:vAlign w:val="center"/>
          </w:tcPr>
          <w:p w14:paraId="13AC6430" w14:textId="77777777" w:rsidR="001768B9" w:rsidRPr="00D33788" w:rsidRDefault="001768B9" w:rsidP="001768B9">
            <w:pPr>
              <w:spacing w:after="0" w:line="240" w:lineRule="auto"/>
              <w:jc w:val="right"/>
              <w:rPr>
                <w:b/>
                <w:bCs/>
                <w:color w:val="000000"/>
                <w:sz w:val="18"/>
                <w:szCs w:val="18"/>
                <w:lang w:eastAsia="sk-SK"/>
              </w:rPr>
            </w:pPr>
            <w:r w:rsidRPr="00D33788">
              <w:rPr>
                <w:b/>
                <w:bCs/>
                <w:color w:val="000000"/>
                <w:sz w:val="18"/>
                <w:szCs w:val="18"/>
                <w:lang w:eastAsia="sk-SK"/>
              </w:rPr>
              <w:t>794 532</w:t>
            </w:r>
          </w:p>
        </w:tc>
        <w:tc>
          <w:tcPr>
            <w:tcW w:w="1176" w:type="dxa"/>
            <w:tcBorders>
              <w:left w:val="nil"/>
              <w:right w:val="nil"/>
            </w:tcBorders>
            <w:vAlign w:val="center"/>
          </w:tcPr>
          <w:p w14:paraId="578C443A" w14:textId="77777777" w:rsidR="001768B9" w:rsidRPr="00D33788" w:rsidRDefault="001768B9" w:rsidP="001768B9">
            <w:pPr>
              <w:spacing w:after="0" w:line="240" w:lineRule="auto"/>
              <w:jc w:val="right"/>
              <w:rPr>
                <w:b/>
                <w:bCs/>
                <w:color w:val="000000"/>
                <w:sz w:val="18"/>
                <w:szCs w:val="18"/>
                <w:lang w:eastAsia="sk-SK"/>
              </w:rPr>
            </w:pPr>
            <w:r w:rsidRPr="00D33788">
              <w:rPr>
                <w:b/>
                <w:bCs/>
                <w:color w:val="000000"/>
                <w:sz w:val="18"/>
                <w:szCs w:val="18"/>
                <w:lang w:eastAsia="sk-SK"/>
              </w:rPr>
              <w:t>681 693</w:t>
            </w:r>
          </w:p>
        </w:tc>
        <w:tc>
          <w:tcPr>
            <w:tcW w:w="1236" w:type="dxa"/>
            <w:tcBorders>
              <w:left w:val="nil"/>
            </w:tcBorders>
            <w:vAlign w:val="center"/>
          </w:tcPr>
          <w:p w14:paraId="3B2252A7" w14:textId="77777777" w:rsidR="001768B9" w:rsidRPr="00D33788" w:rsidRDefault="001768B9" w:rsidP="001768B9">
            <w:pPr>
              <w:spacing w:after="0" w:line="240" w:lineRule="auto"/>
              <w:jc w:val="right"/>
              <w:rPr>
                <w:b/>
                <w:bCs/>
                <w:color w:val="000000"/>
                <w:sz w:val="18"/>
                <w:szCs w:val="18"/>
                <w:lang w:eastAsia="sk-SK"/>
              </w:rPr>
            </w:pPr>
            <w:r w:rsidRPr="00D33788">
              <w:rPr>
                <w:b/>
                <w:bCs/>
                <w:color w:val="000000"/>
                <w:sz w:val="18"/>
                <w:szCs w:val="18"/>
                <w:lang w:eastAsia="sk-SK"/>
              </w:rPr>
              <w:t>-112 839</w:t>
            </w:r>
          </w:p>
        </w:tc>
      </w:tr>
    </w:tbl>
    <w:p w14:paraId="0A7C64F2" w14:textId="77777777" w:rsidR="001768B9" w:rsidRDefault="001768B9" w:rsidP="001768B9">
      <w:pPr>
        <w:spacing w:after="0" w:line="240" w:lineRule="auto"/>
        <w:jc w:val="both"/>
        <w:rPr>
          <w:b/>
          <w:bCs/>
          <w:sz w:val="24"/>
          <w:szCs w:val="24"/>
        </w:rPr>
      </w:pPr>
    </w:p>
    <w:p w14:paraId="61394086" w14:textId="77777777" w:rsidR="001768B9" w:rsidRPr="000129B6" w:rsidRDefault="001768B9" w:rsidP="001768B9">
      <w:pPr>
        <w:spacing w:after="0" w:line="240" w:lineRule="auto"/>
        <w:jc w:val="both"/>
        <w:rPr>
          <w:bCs/>
          <w:szCs w:val="22"/>
        </w:rPr>
      </w:pPr>
      <w:r w:rsidRPr="000129B6">
        <w:rPr>
          <w:bCs/>
          <w:szCs w:val="22"/>
        </w:rPr>
        <w:t xml:space="preserve">Po abstrahovaní záruk vystavených Ministerstvom financií SR v prospech iných subjektov verejnej správy (Eximbanka a NDF I) je hodnota </w:t>
      </w:r>
      <w:proofErr w:type="spellStart"/>
      <w:r w:rsidRPr="000129B6">
        <w:rPr>
          <w:bCs/>
          <w:szCs w:val="22"/>
        </w:rPr>
        <w:t>covid</w:t>
      </w:r>
      <w:proofErr w:type="spellEnd"/>
      <w:r w:rsidRPr="000129B6">
        <w:rPr>
          <w:bCs/>
          <w:szCs w:val="22"/>
        </w:rPr>
        <w:t xml:space="preserve"> záruk k 31.12.2022 na úrovni 391 311 tis. eur.</w:t>
      </w:r>
    </w:p>
    <w:p w14:paraId="6C6D3FC0" w14:textId="77777777" w:rsidR="001768B9" w:rsidRPr="000129B6" w:rsidRDefault="001768B9" w:rsidP="001768B9">
      <w:pPr>
        <w:spacing w:after="0" w:line="240" w:lineRule="auto"/>
        <w:jc w:val="both"/>
        <w:rPr>
          <w:bCs/>
          <w:szCs w:val="22"/>
        </w:rPr>
      </w:pPr>
      <w:r w:rsidRPr="000129B6">
        <w:rPr>
          <w:bCs/>
          <w:szCs w:val="22"/>
        </w:rPr>
        <w:t xml:space="preserve"> </w:t>
      </w:r>
    </w:p>
    <w:p w14:paraId="3633983F" w14:textId="77777777" w:rsidR="001768B9" w:rsidRPr="000129B6" w:rsidRDefault="001768B9" w:rsidP="001768B9">
      <w:pPr>
        <w:spacing w:after="0" w:line="240" w:lineRule="auto"/>
        <w:contextualSpacing/>
        <w:jc w:val="both"/>
        <w:rPr>
          <w:szCs w:val="22"/>
          <w:lang w:eastAsia="sk-SK"/>
        </w:rPr>
      </w:pPr>
      <w:r w:rsidRPr="000129B6">
        <w:rPr>
          <w:szCs w:val="22"/>
          <w:lang w:eastAsia="sk-SK"/>
        </w:rPr>
        <w:t>Obdobne aj</w:t>
      </w:r>
      <w:r w:rsidRPr="000129B6">
        <w:rPr>
          <w:b/>
          <w:szCs w:val="22"/>
          <w:lang w:eastAsia="sk-SK"/>
        </w:rPr>
        <w:t xml:space="preserve"> Exportno-importná banka Slovenska</w:t>
      </w:r>
      <w:r w:rsidRPr="000129B6">
        <w:rPr>
          <w:szCs w:val="22"/>
          <w:lang w:eastAsia="sk-SK"/>
        </w:rPr>
        <w:t xml:space="preserve"> vykazuje v iných pasívach hodnotu poskytnutých záruk 141 430 tis. eur a neodvolateľné úverové prísľuby 36 494 tis. eur.</w:t>
      </w:r>
    </w:p>
    <w:p w14:paraId="74646726" w14:textId="77777777" w:rsidR="001768B9" w:rsidRPr="000129B6" w:rsidRDefault="001768B9" w:rsidP="001768B9">
      <w:pPr>
        <w:spacing w:after="0" w:line="240" w:lineRule="auto"/>
        <w:contextualSpacing/>
        <w:jc w:val="both"/>
        <w:rPr>
          <w:b/>
          <w:szCs w:val="22"/>
          <w:lang w:eastAsia="sk-SK"/>
        </w:rPr>
      </w:pPr>
    </w:p>
    <w:p w14:paraId="4AD61AD5"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Východoslovenská energetika Holding, </w:t>
      </w:r>
      <w:proofErr w:type="spellStart"/>
      <w:r w:rsidRPr="000129B6">
        <w:rPr>
          <w:b/>
          <w:szCs w:val="22"/>
          <w:lang w:eastAsia="sk-SK"/>
        </w:rPr>
        <w:t>a.s</w:t>
      </w:r>
      <w:proofErr w:type="spellEnd"/>
      <w:r w:rsidRPr="000129B6">
        <w:rPr>
          <w:b/>
          <w:szCs w:val="22"/>
          <w:lang w:eastAsia="sk-SK"/>
        </w:rPr>
        <w:t>.</w:t>
      </w:r>
      <w:r w:rsidRPr="000129B6">
        <w:rPr>
          <w:szCs w:val="22"/>
          <w:lang w:eastAsia="sk-SK"/>
        </w:rPr>
        <w:t xml:space="preserve"> vykazuje podmienené pasívum v podobe bankových záruk v prospech skupiny. Podiel štátu na týchto potenciálnych záväzkoch bol prepočítaný na hodnotu podielu na základnom imaní spoločnosti (51 % ).</w:t>
      </w:r>
    </w:p>
    <w:p w14:paraId="12D04B4D" w14:textId="77777777" w:rsidR="001768B9" w:rsidRPr="000129B6" w:rsidRDefault="001768B9" w:rsidP="001768B9">
      <w:pPr>
        <w:spacing w:after="0" w:line="240" w:lineRule="auto"/>
        <w:contextualSpacing/>
        <w:jc w:val="both"/>
        <w:rPr>
          <w:b/>
          <w:szCs w:val="22"/>
          <w:lang w:eastAsia="sk-SK"/>
        </w:rPr>
      </w:pPr>
    </w:p>
    <w:p w14:paraId="5BE58E5B"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 xml:space="preserve">Slovenská záručná a rozvojová banka Slovenska, </w:t>
      </w:r>
      <w:proofErr w:type="spellStart"/>
      <w:r w:rsidRPr="000129B6">
        <w:rPr>
          <w:b/>
          <w:szCs w:val="22"/>
          <w:lang w:eastAsia="sk-SK"/>
        </w:rPr>
        <w:t>a.s</w:t>
      </w:r>
      <w:proofErr w:type="spellEnd"/>
      <w:r w:rsidRPr="000129B6">
        <w:rPr>
          <w:b/>
          <w:szCs w:val="22"/>
          <w:lang w:eastAsia="sk-SK"/>
        </w:rPr>
        <w:t>.</w:t>
      </w:r>
      <w:r w:rsidRPr="000129B6">
        <w:rPr>
          <w:szCs w:val="22"/>
          <w:lang w:eastAsia="sk-SK"/>
        </w:rPr>
        <w:t xml:space="preserve"> vykazuje podmienené záväzky z titulu poskytnutých záruk v hodnote 23 178 tis. eur a úverových prísľubov vo výške 36 575 tis. eur.</w:t>
      </w:r>
    </w:p>
    <w:p w14:paraId="10931A8B" w14:textId="77777777" w:rsidR="001768B9" w:rsidRPr="000129B6" w:rsidRDefault="001768B9" w:rsidP="001768B9">
      <w:pPr>
        <w:spacing w:after="0" w:line="240" w:lineRule="auto"/>
        <w:ind w:firstLine="360"/>
        <w:contextualSpacing/>
        <w:jc w:val="both"/>
        <w:rPr>
          <w:szCs w:val="22"/>
          <w:lang w:eastAsia="sk-SK"/>
        </w:rPr>
      </w:pPr>
    </w:p>
    <w:p w14:paraId="766E0608" w14:textId="77777777" w:rsidR="001768B9" w:rsidRPr="000129B6" w:rsidRDefault="001768B9" w:rsidP="001768B9">
      <w:pPr>
        <w:spacing w:after="0" w:line="240" w:lineRule="auto"/>
        <w:contextualSpacing/>
        <w:jc w:val="both"/>
        <w:rPr>
          <w:szCs w:val="22"/>
          <w:lang w:eastAsia="sk-SK"/>
        </w:rPr>
      </w:pPr>
      <w:r w:rsidRPr="000129B6">
        <w:rPr>
          <w:b/>
          <w:szCs w:val="22"/>
          <w:lang w:eastAsia="sk-SK"/>
        </w:rPr>
        <w:t>Lesy Slovenskej republiky, š. p.</w:t>
      </w:r>
      <w:r w:rsidRPr="000129B6">
        <w:rPr>
          <w:szCs w:val="22"/>
          <w:lang w:eastAsia="sk-SK"/>
        </w:rPr>
        <w:t xml:space="preserve"> dlhodobo vykazujú hodnotu majetku, ktorá je právne </w:t>
      </w:r>
      <w:proofErr w:type="spellStart"/>
      <w:r w:rsidRPr="000129B6">
        <w:rPr>
          <w:szCs w:val="22"/>
          <w:lang w:eastAsia="sk-SK"/>
        </w:rPr>
        <w:t>nevysporiadaná</w:t>
      </w:r>
      <w:proofErr w:type="spellEnd"/>
      <w:r w:rsidRPr="000129B6">
        <w:rPr>
          <w:szCs w:val="22"/>
          <w:lang w:eastAsia="sk-SK"/>
        </w:rPr>
        <w:t xml:space="preserve"> (napr. pozemky a stavby), a ktoré môžu byť predmetom vrátenia pôvodným vlastníkom. </w:t>
      </w:r>
    </w:p>
    <w:p w14:paraId="75EA624E" w14:textId="77777777" w:rsidR="001768B9" w:rsidRDefault="001768B9" w:rsidP="001768B9">
      <w:pPr>
        <w:spacing w:after="0" w:line="240" w:lineRule="auto"/>
        <w:jc w:val="both"/>
        <w:rPr>
          <w:szCs w:val="22"/>
          <w:lang w:eastAsia="cs-CZ"/>
        </w:rPr>
      </w:pPr>
    </w:p>
    <w:p w14:paraId="3BCA3EDA" w14:textId="77777777" w:rsidR="001768B9" w:rsidRDefault="001768B9" w:rsidP="001768B9">
      <w:pPr>
        <w:spacing w:after="160" w:line="259" w:lineRule="auto"/>
        <w:rPr>
          <w:szCs w:val="22"/>
          <w:lang w:eastAsia="cs-CZ"/>
        </w:rPr>
      </w:pPr>
      <w:r>
        <w:rPr>
          <w:szCs w:val="22"/>
          <w:lang w:eastAsia="cs-CZ"/>
        </w:rPr>
        <w:br w:type="page"/>
      </w:r>
    </w:p>
    <w:p w14:paraId="58D9F60E" w14:textId="77777777" w:rsidR="001768B9" w:rsidRPr="00683536" w:rsidRDefault="001768B9" w:rsidP="001768B9">
      <w:pPr>
        <w:pStyle w:val="Nadpis3"/>
        <w:numPr>
          <w:ilvl w:val="2"/>
          <w:numId w:val="14"/>
        </w:numPr>
        <w:ind w:left="1797"/>
      </w:pPr>
      <w:bookmarkStart w:id="71" w:name="_Toc495990500"/>
      <w:bookmarkStart w:id="72" w:name="_Toc148704484"/>
      <w:r w:rsidRPr="00683536">
        <w:lastRenderedPageBreak/>
        <w:t xml:space="preserve">Iné aktíva </w:t>
      </w:r>
      <w:bookmarkEnd w:id="71"/>
      <w:r w:rsidRPr="00683536">
        <w:t>ako súčasť čistého bohatstva</w:t>
      </w:r>
      <w:bookmarkEnd w:id="72"/>
    </w:p>
    <w:p w14:paraId="560533AC" w14:textId="57789995" w:rsidR="00FC0A41" w:rsidRPr="0044687C" w:rsidRDefault="00FC0A41" w:rsidP="00FC0A41">
      <w:pPr>
        <w:spacing w:after="120" w:line="240" w:lineRule="auto"/>
        <w:jc w:val="both"/>
      </w:pPr>
      <w:r w:rsidRPr="0044687C">
        <w:t>Pod inými aktívami ako súčasť čistého bohatstva sa k 31.12.202</w:t>
      </w:r>
      <w:r>
        <w:t>2</w:t>
      </w:r>
      <w:r w:rsidRPr="0044687C">
        <w:t xml:space="preserve"> vykazovali najmä podsúvahové ocenenie štátnych lesov a pohľadávky po lehote splatnosti v štádiu ich vymáhania. Iné aktíva dosiahli v súhrnnej výške </w:t>
      </w:r>
      <w:r>
        <w:t>8</w:t>
      </w:r>
      <w:r w:rsidR="00281FBC">
        <w:t> 473 059</w:t>
      </w:r>
      <w:r>
        <w:t xml:space="preserve"> tis. eur</w:t>
      </w:r>
      <w:r w:rsidRPr="0044687C">
        <w:t xml:space="preserve"> pred vnútornou konsolidáciou.</w:t>
      </w:r>
    </w:p>
    <w:p w14:paraId="209C34BD" w14:textId="77777777" w:rsidR="00FC0A41" w:rsidRDefault="00FC0A41" w:rsidP="00FC0A41">
      <w:pPr>
        <w:spacing w:after="120" w:line="240" w:lineRule="auto"/>
        <w:jc w:val="both"/>
      </w:pPr>
      <w:r w:rsidRPr="0044687C">
        <w:t>Od roku 2017 je súčasťou podmienených aktív aj hodnota lesných porastov uvedená v poznámkach účtovnej závierky štátneho podniku Lesy Slovenskej republiky, š. p., ktorá je pravidelne aktualizovaná znalcom Národného lesníckeho centra. Toto iné aktívum tvorí 4</w:t>
      </w:r>
      <w:r>
        <w:t>5,7</w:t>
      </w:r>
      <w:r w:rsidRPr="0044687C">
        <w:t xml:space="preserve"> % z doteraz identifikovaných </w:t>
      </w:r>
      <w:proofErr w:type="spellStart"/>
      <w:r w:rsidRPr="0044687C">
        <w:t>mimobilančných</w:t>
      </w:r>
      <w:proofErr w:type="spellEnd"/>
      <w:r w:rsidRPr="0044687C">
        <w:t xml:space="preserve"> aktív verejnej správy. Druhým najväčším podmieneným aktívom – 3</w:t>
      </w:r>
      <w:r>
        <w:t>4,0</w:t>
      </w:r>
      <w:r w:rsidRPr="0044687C">
        <w:t xml:space="preserve"> %, sú pohľadávky postúpené z bankových inštitúcií alebo verejných inštitúcií na vymáhanie Slovenskej konsolidačnej, </w:t>
      </w:r>
      <w:r>
        <w:t>a. s.</w:t>
      </w:r>
      <w:r w:rsidRPr="0044687C">
        <w:t xml:space="preserve">, ktorá ich na základe príslušnej legislatívy vymáha a uplatňuje si z nich exekučné nároky. </w:t>
      </w:r>
    </w:p>
    <w:p w14:paraId="239FF5AD" w14:textId="3BF42269" w:rsidR="00FC0A41" w:rsidRPr="0057265E" w:rsidRDefault="00FC0A41" w:rsidP="00FC0A41">
      <w:pPr>
        <w:keepNext/>
        <w:spacing w:after="0" w:line="240" w:lineRule="auto"/>
        <w:rPr>
          <w:b/>
          <w:iCs/>
          <w:color w:val="2C9ADC"/>
          <w:sz w:val="20"/>
          <w:szCs w:val="20"/>
        </w:rPr>
      </w:pPr>
      <w:r>
        <w:rPr>
          <w:b/>
          <w:bCs/>
          <w:color w:val="4F81BD"/>
          <w:sz w:val="20"/>
          <w:szCs w:val="20"/>
          <w:lang w:eastAsia="sk-SK"/>
        </w:rPr>
        <w:t xml:space="preserve">Tabuľka </w:t>
      </w:r>
      <w:r w:rsidR="00AE7F1B">
        <w:rPr>
          <w:b/>
          <w:bCs/>
          <w:color w:val="4F81BD"/>
          <w:sz w:val="20"/>
          <w:szCs w:val="20"/>
          <w:lang w:eastAsia="sk-SK"/>
        </w:rPr>
        <w:t>24</w:t>
      </w:r>
      <w:r w:rsidRPr="00B3446A">
        <w:rPr>
          <w:b/>
          <w:bCs/>
          <w:color w:val="4F81BD"/>
          <w:sz w:val="20"/>
          <w:szCs w:val="20"/>
          <w:lang w:eastAsia="sk-SK"/>
        </w:rPr>
        <w:t xml:space="preserve"> </w:t>
      </w:r>
      <w:r w:rsidRPr="00B3446A">
        <w:rPr>
          <w:bCs/>
          <w:color w:val="4F81BD"/>
          <w:sz w:val="20"/>
          <w:szCs w:val="20"/>
          <w:lang w:eastAsia="sk-SK"/>
        </w:rPr>
        <w:t>-</w:t>
      </w:r>
      <w:r>
        <w:rPr>
          <w:b/>
          <w:bCs/>
          <w:color w:val="4F81BD"/>
          <w:sz w:val="20"/>
          <w:szCs w:val="20"/>
          <w:lang w:eastAsia="sk-SK"/>
        </w:rPr>
        <w:t xml:space="preserve"> </w:t>
      </w:r>
      <w:r w:rsidRPr="00415640">
        <w:rPr>
          <w:b/>
          <w:bCs/>
          <w:color w:val="4F81BD"/>
          <w:sz w:val="20"/>
          <w:szCs w:val="20"/>
          <w:lang w:eastAsia="sk-SK"/>
        </w:rPr>
        <w:t xml:space="preserve">Podmienené aktíva </w:t>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r>
      <w:r w:rsidR="005036FA">
        <w:rPr>
          <w:b/>
          <w:bCs/>
          <w:color w:val="4F81BD"/>
          <w:sz w:val="20"/>
          <w:szCs w:val="20"/>
          <w:lang w:eastAsia="sk-SK"/>
        </w:rPr>
        <w:tab/>
        <w:t>v tis. eur</w:t>
      </w:r>
    </w:p>
    <w:tbl>
      <w:tblPr>
        <w:tblW w:w="4982"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11"/>
        <w:gridCol w:w="1003"/>
        <w:gridCol w:w="1247"/>
        <w:gridCol w:w="1178"/>
        <w:gridCol w:w="1281"/>
      </w:tblGrid>
      <w:tr w:rsidR="00FC0A41" w:rsidRPr="005240D8" w14:paraId="2757ED74" w14:textId="77777777" w:rsidTr="001F43C8">
        <w:trPr>
          <w:trHeight w:val="345"/>
          <w:jc w:val="center"/>
        </w:trPr>
        <w:tc>
          <w:tcPr>
            <w:tcW w:w="2473" w:type="pct"/>
            <w:tcBorders>
              <w:right w:val="nil"/>
            </w:tcBorders>
            <w:vAlign w:val="center"/>
            <w:hideMark/>
          </w:tcPr>
          <w:p w14:paraId="4AA0BE78" w14:textId="77777777" w:rsidR="00FC0A41" w:rsidRPr="005240D8" w:rsidRDefault="00FC0A41" w:rsidP="001F43C8">
            <w:pPr>
              <w:spacing w:after="0" w:line="240" w:lineRule="auto"/>
              <w:rPr>
                <w:b/>
                <w:sz w:val="18"/>
                <w:szCs w:val="18"/>
                <w:lang w:eastAsia="sk-SK"/>
              </w:rPr>
            </w:pPr>
            <w:r w:rsidRPr="005240D8">
              <w:rPr>
                <w:b/>
                <w:sz w:val="18"/>
                <w:szCs w:val="18"/>
                <w:lang w:eastAsia="sk-SK"/>
              </w:rPr>
              <w:t>Subjekty (v tis. eur)</w:t>
            </w:r>
          </w:p>
        </w:tc>
        <w:tc>
          <w:tcPr>
            <w:tcW w:w="538" w:type="pct"/>
            <w:tcBorders>
              <w:left w:val="nil"/>
              <w:right w:val="nil"/>
            </w:tcBorders>
            <w:vAlign w:val="center"/>
          </w:tcPr>
          <w:p w14:paraId="13B7EC85" w14:textId="77777777" w:rsidR="00FC0A41" w:rsidRPr="005240D8" w:rsidRDefault="00FC0A41" w:rsidP="001F43C8">
            <w:pPr>
              <w:spacing w:after="0" w:line="240" w:lineRule="auto"/>
              <w:jc w:val="right"/>
              <w:rPr>
                <w:b/>
                <w:sz w:val="18"/>
                <w:szCs w:val="18"/>
                <w:lang w:eastAsia="sk-SK"/>
              </w:rPr>
            </w:pPr>
            <w:r>
              <w:rPr>
                <w:b/>
                <w:sz w:val="18"/>
                <w:szCs w:val="18"/>
                <w:lang w:eastAsia="sk-SK"/>
              </w:rPr>
              <w:t>2020</w:t>
            </w:r>
          </w:p>
        </w:tc>
        <w:tc>
          <w:tcPr>
            <w:tcW w:w="669" w:type="pct"/>
            <w:tcBorders>
              <w:left w:val="nil"/>
              <w:right w:val="nil"/>
            </w:tcBorders>
            <w:vAlign w:val="center"/>
          </w:tcPr>
          <w:p w14:paraId="11F96583" w14:textId="77777777" w:rsidR="00FC0A41" w:rsidRPr="005240D8" w:rsidRDefault="00FC0A41" w:rsidP="001F43C8">
            <w:pPr>
              <w:spacing w:after="0" w:line="240" w:lineRule="auto"/>
              <w:jc w:val="right"/>
              <w:rPr>
                <w:b/>
                <w:sz w:val="18"/>
                <w:szCs w:val="18"/>
                <w:lang w:eastAsia="sk-SK"/>
              </w:rPr>
            </w:pPr>
            <w:r>
              <w:rPr>
                <w:b/>
                <w:sz w:val="18"/>
                <w:szCs w:val="18"/>
                <w:lang w:eastAsia="sk-SK"/>
              </w:rPr>
              <w:t>2021</w:t>
            </w:r>
          </w:p>
        </w:tc>
        <w:tc>
          <w:tcPr>
            <w:tcW w:w="632" w:type="pct"/>
            <w:tcBorders>
              <w:left w:val="nil"/>
              <w:right w:val="nil"/>
            </w:tcBorders>
            <w:vAlign w:val="center"/>
          </w:tcPr>
          <w:p w14:paraId="27B81919" w14:textId="77777777" w:rsidR="00FC0A41" w:rsidRPr="005240D8" w:rsidRDefault="00FC0A41" w:rsidP="001F43C8">
            <w:pPr>
              <w:spacing w:after="0" w:line="240" w:lineRule="auto"/>
              <w:jc w:val="right"/>
              <w:rPr>
                <w:b/>
                <w:sz w:val="18"/>
                <w:szCs w:val="18"/>
                <w:lang w:eastAsia="sk-SK"/>
              </w:rPr>
            </w:pPr>
            <w:r>
              <w:rPr>
                <w:b/>
                <w:sz w:val="18"/>
                <w:szCs w:val="18"/>
                <w:lang w:eastAsia="sk-SK"/>
              </w:rPr>
              <w:t>2022</w:t>
            </w:r>
          </w:p>
        </w:tc>
        <w:tc>
          <w:tcPr>
            <w:tcW w:w="687" w:type="pct"/>
            <w:tcBorders>
              <w:left w:val="nil"/>
            </w:tcBorders>
            <w:vAlign w:val="center"/>
          </w:tcPr>
          <w:p w14:paraId="5CA7AAFF" w14:textId="77777777" w:rsidR="00FC0A41" w:rsidRPr="005240D8" w:rsidRDefault="00FC0A41" w:rsidP="001F43C8">
            <w:pPr>
              <w:spacing w:after="0" w:line="240" w:lineRule="auto"/>
              <w:jc w:val="right"/>
              <w:rPr>
                <w:b/>
                <w:bCs/>
                <w:sz w:val="18"/>
                <w:szCs w:val="18"/>
                <w:lang w:eastAsia="sk-SK"/>
              </w:rPr>
            </w:pPr>
            <w:r w:rsidRPr="005240D8">
              <w:rPr>
                <w:b/>
                <w:sz w:val="18"/>
                <w:szCs w:val="18"/>
                <w:lang w:eastAsia="sk-SK"/>
              </w:rPr>
              <w:t>Δ 202</w:t>
            </w:r>
            <w:r>
              <w:rPr>
                <w:b/>
                <w:sz w:val="18"/>
                <w:szCs w:val="18"/>
                <w:lang w:eastAsia="sk-SK"/>
              </w:rPr>
              <w:t>2-2021</w:t>
            </w:r>
          </w:p>
        </w:tc>
      </w:tr>
      <w:tr w:rsidR="00FC0A41" w:rsidRPr="005240D8" w14:paraId="08463DF8" w14:textId="77777777" w:rsidTr="001F43C8">
        <w:trPr>
          <w:trHeight w:val="330"/>
          <w:jc w:val="center"/>
        </w:trPr>
        <w:tc>
          <w:tcPr>
            <w:tcW w:w="2473" w:type="pct"/>
            <w:tcBorders>
              <w:bottom w:val="nil"/>
              <w:right w:val="nil"/>
            </w:tcBorders>
            <w:vAlign w:val="bottom"/>
          </w:tcPr>
          <w:p w14:paraId="733D356F" w14:textId="77777777" w:rsidR="00FC0A41" w:rsidRPr="00683536" w:rsidRDefault="00FC0A41" w:rsidP="001F43C8">
            <w:pPr>
              <w:spacing w:after="0" w:line="240" w:lineRule="auto"/>
              <w:rPr>
                <w:sz w:val="18"/>
                <w:szCs w:val="18"/>
                <w:lang w:eastAsia="sk-SK"/>
              </w:rPr>
            </w:pPr>
            <w:r w:rsidRPr="00683536">
              <w:rPr>
                <w:sz w:val="18"/>
                <w:szCs w:val="18"/>
                <w:lang w:eastAsia="sk-SK"/>
              </w:rPr>
              <w:t>Ústredná správa a podniky štátnej správy</w:t>
            </w:r>
          </w:p>
        </w:tc>
        <w:tc>
          <w:tcPr>
            <w:tcW w:w="538" w:type="pct"/>
            <w:tcBorders>
              <w:left w:val="nil"/>
              <w:bottom w:val="nil"/>
              <w:right w:val="nil"/>
            </w:tcBorders>
            <w:vAlign w:val="bottom"/>
          </w:tcPr>
          <w:p w14:paraId="0E37C94E" w14:textId="77777777" w:rsidR="00FC0A41" w:rsidRPr="00683536" w:rsidRDefault="00FC0A41" w:rsidP="001F43C8">
            <w:pPr>
              <w:spacing w:after="0" w:line="240" w:lineRule="auto"/>
              <w:jc w:val="right"/>
              <w:rPr>
                <w:sz w:val="18"/>
                <w:szCs w:val="18"/>
                <w:lang w:eastAsia="sk-SK"/>
              </w:rPr>
            </w:pPr>
            <w:r w:rsidRPr="00683536">
              <w:rPr>
                <w:sz w:val="18"/>
                <w:szCs w:val="18"/>
                <w:lang w:eastAsia="sk-SK"/>
              </w:rPr>
              <w:t>9 916 560</w:t>
            </w:r>
          </w:p>
        </w:tc>
        <w:tc>
          <w:tcPr>
            <w:tcW w:w="669" w:type="pct"/>
            <w:tcBorders>
              <w:left w:val="nil"/>
              <w:bottom w:val="nil"/>
              <w:right w:val="nil"/>
            </w:tcBorders>
            <w:vAlign w:val="bottom"/>
          </w:tcPr>
          <w:p w14:paraId="0D32710F" w14:textId="77777777" w:rsidR="00FC0A41" w:rsidRPr="005240D8" w:rsidRDefault="00FC0A41" w:rsidP="001F43C8">
            <w:pPr>
              <w:spacing w:after="0" w:line="240" w:lineRule="auto"/>
              <w:jc w:val="right"/>
              <w:rPr>
                <w:sz w:val="18"/>
                <w:szCs w:val="18"/>
                <w:lang w:eastAsia="sk-SK"/>
              </w:rPr>
            </w:pPr>
            <w:r>
              <w:rPr>
                <w:sz w:val="18"/>
                <w:szCs w:val="18"/>
                <w:lang w:eastAsia="sk-SK"/>
              </w:rPr>
              <w:t>8 605 351</w:t>
            </w:r>
          </w:p>
        </w:tc>
        <w:tc>
          <w:tcPr>
            <w:tcW w:w="632" w:type="pct"/>
            <w:tcBorders>
              <w:left w:val="nil"/>
              <w:bottom w:val="nil"/>
              <w:right w:val="nil"/>
            </w:tcBorders>
            <w:vAlign w:val="bottom"/>
          </w:tcPr>
          <w:p w14:paraId="6327F702" w14:textId="77777777" w:rsidR="00FC0A41" w:rsidRPr="005240D8" w:rsidRDefault="00FC0A41" w:rsidP="001F43C8">
            <w:pPr>
              <w:spacing w:after="0" w:line="240" w:lineRule="auto"/>
              <w:jc w:val="right"/>
              <w:rPr>
                <w:sz w:val="18"/>
                <w:szCs w:val="18"/>
                <w:lang w:eastAsia="sk-SK"/>
              </w:rPr>
            </w:pPr>
            <w:r>
              <w:rPr>
                <w:sz w:val="18"/>
                <w:szCs w:val="18"/>
                <w:lang w:eastAsia="sk-SK"/>
              </w:rPr>
              <w:t>8 415 216</w:t>
            </w:r>
          </w:p>
        </w:tc>
        <w:tc>
          <w:tcPr>
            <w:tcW w:w="687" w:type="pct"/>
            <w:tcBorders>
              <w:left w:val="nil"/>
              <w:bottom w:val="nil"/>
            </w:tcBorders>
            <w:vAlign w:val="bottom"/>
          </w:tcPr>
          <w:p w14:paraId="0F3BE82A" w14:textId="77777777" w:rsidR="00FC0A41" w:rsidRPr="005240D8" w:rsidRDefault="00FC0A41" w:rsidP="001F43C8">
            <w:pPr>
              <w:spacing w:after="0" w:line="240" w:lineRule="auto"/>
              <w:jc w:val="right"/>
              <w:rPr>
                <w:sz w:val="18"/>
                <w:szCs w:val="18"/>
                <w:lang w:eastAsia="sk-SK"/>
              </w:rPr>
            </w:pPr>
            <w:r>
              <w:rPr>
                <w:sz w:val="18"/>
                <w:szCs w:val="18"/>
                <w:lang w:eastAsia="sk-SK"/>
              </w:rPr>
              <w:t>-190 135</w:t>
            </w:r>
          </w:p>
        </w:tc>
      </w:tr>
      <w:tr w:rsidR="00FC0A41" w:rsidRPr="005240D8" w14:paraId="6358F589" w14:textId="77777777" w:rsidTr="001F43C8">
        <w:trPr>
          <w:trHeight w:val="620"/>
          <w:jc w:val="center"/>
        </w:trPr>
        <w:tc>
          <w:tcPr>
            <w:tcW w:w="2473" w:type="pct"/>
            <w:tcBorders>
              <w:top w:val="nil"/>
              <w:bottom w:val="nil"/>
              <w:right w:val="nil"/>
            </w:tcBorders>
            <w:vAlign w:val="bottom"/>
          </w:tcPr>
          <w:p w14:paraId="09C41B1A" w14:textId="77777777" w:rsidR="00FC0A41" w:rsidRPr="00683536" w:rsidRDefault="00FC0A41" w:rsidP="001F43C8">
            <w:pPr>
              <w:spacing w:after="0" w:line="240" w:lineRule="auto"/>
              <w:rPr>
                <w:sz w:val="18"/>
                <w:szCs w:val="18"/>
                <w:lang w:eastAsia="sk-SK"/>
              </w:rPr>
            </w:pPr>
            <w:r w:rsidRPr="00683536">
              <w:rPr>
                <w:sz w:val="18"/>
                <w:szCs w:val="18"/>
                <w:lang w:eastAsia="sk-SK"/>
              </w:rPr>
              <w:t>Obce a ich rozpočtové a príspevkové organizácie a podniky územnej samosprávy</w:t>
            </w:r>
          </w:p>
        </w:tc>
        <w:tc>
          <w:tcPr>
            <w:tcW w:w="538" w:type="pct"/>
            <w:tcBorders>
              <w:top w:val="nil"/>
              <w:left w:val="nil"/>
              <w:bottom w:val="nil"/>
              <w:right w:val="nil"/>
            </w:tcBorders>
            <w:vAlign w:val="center"/>
          </w:tcPr>
          <w:p w14:paraId="43507D47" w14:textId="77777777" w:rsidR="00FC0A41" w:rsidRPr="00683536" w:rsidRDefault="00FC0A41" w:rsidP="001F43C8">
            <w:pPr>
              <w:spacing w:after="0" w:line="240" w:lineRule="auto"/>
              <w:jc w:val="right"/>
              <w:rPr>
                <w:sz w:val="18"/>
                <w:szCs w:val="18"/>
                <w:lang w:eastAsia="sk-SK"/>
              </w:rPr>
            </w:pPr>
            <w:r w:rsidRPr="00683536">
              <w:rPr>
                <w:sz w:val="18"/>
                <w:szCs w:val="18"/>
                <w:lang w:eastAsia="sk-SK"/>
              </w:rPr>
              <w:t>40 081</w:t>
            </w:r>
          </w:p>
        </w:tc>
        <w:tc>
          <w:tcPr>
            <w:tcW w:w="669" w:type="pct"/>
            <w:tcBorders>
              <w:top w:val="nil"/>
              <w:left w:val="nil"/>
              <w:bottom w:val="nil"/>
              <w:right w:val="nil"/>
            </w:tcBorders>
            <w:vAlign w:val="center"/>
          </w:tcPr>
          <w:p w14:paraId="01E2D58D" w14:textId="77777777" w:rsidR="00FC0A41" w:rsidRPr="005240D8" w:rsidRDefault="00FC0A41" w:rsidP="001F43C8">
            <w:pPr>
              <w:spacing w:after="0" w:line="240" w:lineRule="auto"/>
              <w:jc w:val="right"/>
              <w:rPr>
                <w:sz w:val="18"/>
                <w:szCs w:val="18"/>
                <w:lang w:eastAsia="sk-SK"/>
              </w:rPr>
            </w:pPr>
            <w:r>
              <w:rPr>
                <w:sz w:val="18"/>
                <w:szCs w:val="18"/>
                <w:lang w:eastAsia="sk-SK"/>
              </w:rPr>
              <w:t>40 862</w:t>
            </w:r>
          </w:p>
        </w:tc>
        <w:tc>
          <w:tcPr>
            <w:tcW w:w="632" w:type="pct"/>
            <w:tcBorders>
              <w:top w:val="nil"/>
              <w:left w:val="nil"/>
              <w:bottom w:val="nil"/>
              <w:right w:val="nil"/>
            </w:tcBorders>
            <w:vAlign w:val="center"/>
          </w:tcPr>
          <w:p w14:paraId="76274402" w14:textId="77777777" w:rsidR="00FC0A41" w:rsidRPr="005240D8" w:rsidRDefault="00FC0A41" w:rsidP="001F43C8">
            <w:pPr>
              <w:spacing w:after="0" w:line="240" w:lineRule="auto"/>
              <w:jc w:val="right"/>
              <w:rPr>
                <w:sz w:val="18"/>
                <w:szCs w:val="18"/>
                <w:lang w:eastAsia="sk-SK"/>
              </w:rPr>
            </w:pPr>
            <w:r>
              <w:rPr>
                <w:sz w:val="18"/>
                <w:szCs w:val="18"/>
                <w:lang w:eastAsia="sk-SK"/>
              </w:rPr>
              <w:t>44 871</w:t>
            </w:r>
          </w:p>
        </w:tc>
        <w:tc>
          <w:tcPr>
            <w:tcW w:w="687" w:type="pct"/>
            <w:tcBorders>
              <w:top w:val="nil"/>
              <w:left w:val="nil"/>
              <w:bottom w:val="nil"/>
            </w:tcBorders>
            <w:vAlign w:val="center"/>
          </w:tcPr>
          <w:p w14:paraId="5B68ED00" w14:textId="77777777" w:rsidR="00FC0A41" w:rsidRPr="005240D8" w:rsidRDefault="00FC0A41" w:rsidP="001F43C8">
            <w:pPr>
              <w:spacing w:after="0" w:line="240" w:lineRule="auto"/>
              <w:jc w:val="right"/>
              <w:rPr>
                <w:sz w:val="18"/>
                <w:szCs w:val="18"/>
                <w:lang w:eastAsia="sk-SK"/>
              </w:rPr>
            </w:pPr>
            <w:r>
              <w:rPr>
                <w:sz w:val="18"/>
                <w:szCs w:val="18"/>
                <w:lang w:eastAsia="sk-SK"/>
              </w:rPr>
              <w:t>4 009</w:t>
            </w:r>
          </w:p>
        </w:tc>
      </w:tr>
      <w:tr w:rsidR="00FC0A41" w:rsidRPr="005240D8" w14:paraId="717254AC" w14:textId="77777777" w:rsidTr="001F43C8">
        <w:trPr>
          <w:trHeight w:val="558"/>
          <w:jc w:val="center"/>
        </w:trPr>
        <w:tc>
          <w:tcPr>
            <w:tcW w:w="2473" w:type="pct"/>
            <w:tcBorders>
              <w:top w:val="nil"/>
              <w:right w:val="nil"/>
            </w:tcBorders>
            <w:vAlign w:val="bottom"/>
          </w:tcPr>
          <w:p w14:paraId="66D06F1F" w14:textId="77777777" w:rsidR="00FC0A41" w:rsidRPr="00683536" w:rsidRDefault="00FC0A41" w:rsidP="001F43C8">
            <w:pPr>
              <w:spacing w:after="0" w:line="240" w:lineRule="auto"/>
              <w:rPr>
                <w:sz w:val="18"/>
                <w:szCs w:val="18"/>
                <w:lang w:eastAsia="sk-SK"/>
              </w:rPr>
            </w:pPr>
            <w:r w:rsidRPr="00683536">
              <w:rPr>
                <w:sz w:val="18"/>
                <w:szCs w:val="18"/>
                <w:lang w:eastAsia="sk-SK"/>
              </w:rPr>
              <w:t>Vyššie územné celky a ich rozpočtové a príspevkové organizácie a podniky územnej samosprávy</w:t>
            </w:r>
          </w:p>
        </w:tc>
        <w:tc>
          <w:tcPr>
            <w:tcW w:w="538" w:type="pct"/>
            <w:tcBorders>
              <w:top w:val="nil"/>
              <w:left w:val="nil"/>
              <w:right w:val="nil"/>
            </w:tcBorders>
            <w:vAlign w:val="center"/>
          </w:tcPr>
          <w:p w14:paraId="6543D6BF" w14:textId="77777777" w:rsidR="00FC0A41" w:rsidRPr="00683536" w:rsidRDefault="00FC0A41" w:rsidP="001F43C8">
            <w:pPr>
              <w:spacing w:after="0" w:line="240" w:lineRule="auto"/>
              <w:jc w:val="right"/>
              <w:rPr>
                <w:sz w:val="18"/>
                <w:szCs w:val="18"/>
                <w:lang w:eastAsia="sk-SK"/>
              </w:rPr>
            </w:pPr>
            <w:r w:rsidRPr="00683536">
              <w:rPr>
                <w:sz w:val="18"/>
                <w:szCs w:val="18"/>
                <w:lang w:eastAsia="sk-SK"/>
              </w:rPr>
              <w:t>6 936</w:t>
            </w:r>
          </w:p>
        </w:tc>
        <w:tc>
          <w:tcPr>
            <w:tcW w:w="669" w:type="pct"/>
            <w:tcBorders>
              <w:top w:val="nil"/>
              <w:left w:val="nil"/>
              <w:right w:val="nil"/>
            </w:tcBorders>
            <w:vAlign w:val="center"/>
          </w:tcPr>
          <w:p w14:paraId="76923919" w14:textId="77777777" w:rsidR="00FC0A41" w:rsidRPr="005240D8" w:rsidRDefault="00FC0A41" w:rsidP="001F43C8">
            <w:pPr>
              <w:spacing w:after="0" w:line="240" w:lineRule="auto"/>
              <w:jc w:val="right"/>
              <w:rPr>
                <w:sz w:val="18"/>
                <w:szCs w:val="18"/>
                <w:lang w:eastAsia="sk-SK"/>
              </w:rPr>
            </w:pPr>
            <w:r>
              <w:rPr>
                <w:sz w:val="18"/>
                <w:szCs w:val="18"/>
                <w:lang w:eastAsia="sk-SK"/>
              </w:rPr>
              <w:t>7 870</w:t>
            </w:r>
          </w:p>
        </w:tc>
        <w:tc>
          <w:tcPr>
            <w:tcW w:w="632" w:type="pct"/>
            <w:tcBorders>
              <w:top w:val="nil"/>
              <w:left w:val="nil"/>
              <w:right w:val="nil"/>
            </w:tcBorders>
            <w:vAlign w:val="center"/>
          </w:tcPr>
          <w:p w14:paraId="62A55A82" w14:textId="77777777" w:rsidR="00FC0A41" w:rsidRPr="005240D8" w:rsidRDefault="00FC0A41" w:rsidP="001F43C8">
            <w:pPr>
              <w:spacing w:after="0" w:line="240" w:lineRule="auto"/>
              <w:jc w:val="right"/>
              <w:rPr>
                <w:sz w:val="18"/>
                <w:szCs w:val="18"/>
                <w:lang w:eastAsia="sk-SK"/>
              </w:rPr>
            </w:pPr>
            <w:r>
              <w:rPr>
                <w:sz w:val="18"/>
                <w:szCs w:val="18"/>
                <w:lang w:eastAsia="sk-SK"/>
              </w:rPr>
              <w:t>12 972</w:t>
            </w:r>
          </w:p>
        </w:tc>
        <w:tc>
          <w:tcPr>
            <w:tcW w:w="687" w:type="pct"/>
            <w:tcBorders>
              <w:top w:val="nil"/>
              <w:left w:val="nil"/>
            </w:tcBorders>
            <w:vAlign w:val="center"/>
          </w:tcPr>
          <w:p w14:paraId="7C8E12C0" w14:textId="77777777" w:rsidR="00FC0A41" w:rsidRPr="005240D8" w:rsidRDefault="00FC0A41" w:rsidP="001F43C8">
            <w:pPr>
              <w:spacing w:after="0" w:line="240" w:lineRule="auto"/>
              <w:jc w:val="right"/>
              <w:rPr>
                <w:sz w:val="18"/>
                <w:szCs w:val="18"/>
                <w:lang w:eastAsia="sk-SK"/>
              </w:rPr>
            </w:pPr>
            <w:r>
              <w:rPr>
                <w:sz w:val="18"/>
                <w:szCs w:val="18"/>
                <w:lang w:eastAsia="sk-SK"/>
              </w:rPr>
              <w:t>5 102</w:t>
            </w:r>
          </w:p>
        </w:tc>
      </w:tr>
      <w:tr w:rsidR="00FC0A41" w:rsidRPr="005240D8" w14:paraId="7C3FBDFC" w14:textId="77777777" w:rsidTr="001F43C8">
        <w:trPr>
          <w:trHeight w:hRule="exact" w:val="346"/>
          <w:jc w:val="center"/>
        </w:trPr>
        <w:tc>
          <w:tcPr>
            <w:tcW w:w="2473" w:type="pct"/>
            <w:tcBorders>
              <w:right w:val="nil"/>
            </w:tcBorders>
            <w:noWrap/>
            <w:vAlign w:val="center"/>
            <w:hideMark/>
          </w:tcPr>
          <w:p w14:paraId="4A272D51" w14:textId="77777777" w:rsidR="00FC0A41" w:rsidRPr="00683536" w:rsidRDefault="00FC0A41" w:rsidP="001F43C8">
            <w:pPr>
              <w:spacing w:after="0" w:line="240" w:lineRule="auto"/>
              <w:rPr>
                <w:b/>
                <w:bCs/>
                <w:sz w:val="18"/>
                <w:szCs w:val="18"/>
                <w:lang w:eastAsia="sk-SK"/>
              </w:rPr>
            </w:pPr>
            <w:r w:rsidRPr="00683536">
              <w:rPr>
                <w:b/>
                <w:bCs/>
                <w:sz w:val="18"/>
                <w:szCs w:val="18"/>
                <w:lang w:eastAsia="sk-SK"/>
              </w:rPr>
              <w:t xml:space="preserve">Spolu  </w:t>
            </w:r>
            <w:r>
              <w:rPr>
                <w:b/>
                <w:bCs/>
                <w:sz w:val="18"/>
                <w:szCs w:val="18"/>
                <w:lang w:eastAsia="sk-SK"/>
              </w:rPr>
              <w:t>(nekonsolidované)</w:t>
            </w:r>
          </w:p>
        </w:tc>
        <w:tc>
          <w:tcPr>
            <w:tcW w:w="538" w:type="pct"/>
            <w:tcBorders>
              <w:left w:val="nil"/>
              <w:right w:val="nil"/>
            </w:tcBorders>
            <w:vAlign w:val="center"/>
          </w:tcPr>
          <w:p w14:paraId="5C024661" w14:textId="77777777" w:rsidR="00FC0A41" w:rsidRPr="00683536" w:rsidRDefault="00FC0A41" w:rsidP="001F43C8">
            <w:pPr>
              <w:spacing w:after="0" w:line="240" w:lineRule="auto"/>
              <w:jc w:val="right"/>
              <w:rPr>
                <w:b/>
                <w:bCs/>
                <w:sz w:val="18"/>
                <w:szCs w:val="18"/>
                <w:lang w:eastAsia="sk-SK"/>
              </w:rPr>
            </w:pPr>
            <w:r w:rsidRPr="002B5C5D">
              <w:rPr>
                <w:b/>
                <w:bCs/>
                <w:sz w:val="18"/>
                <w:szCs w:val="18"/>
                <w:lang w:eastAsia="sk-SK"/>
              </w:rPr>
              <w:t>9 963</w:t>
            </w:r>
            <w:r>
              <w:rPr>
                <w:b/>
                <w:bCs/>
                <w:sz w:val="18"/>
                <w:szCs w:val="18"/>
                <w:lang w:eastAsia="sk-SK"/>
              </w:rPr>
              <w:t> </w:t>
            </w:r>
            <w:r w:rsidRPr="002B5C5D">
              <w:rPr>
                <w:b/>
                <w:bCs/>
                <w:sz w:val="18"/>
                <w:szCs w:val="18"/>
                <w:lang w:eastAsia="sk-SK"/>
              </w:rPr>
              <w:t>577</w:t>
            </w:r>
          </w:p>
        </w:tc>
        <w:tc>
          <w:tcPr>
            <w:tcW w:w="669" w:type="pct"/>
            <w:tcBorders>
              <w:left w:val="nil"/>
              <w:right w:val="nil"/>
            </w:tcBorders>
            <w:vAlign w:val="center"/>
          </w:tcPr>
          <w:p w14:paraId="5E52DBCA" w14:textId="77777777" w:rsidR="00FC0A41" w:rsidRPr="005240D8" w:rsidRDefault="00FC0A41" w:rsidP="001F43C8">
            <w:pPr>
              <w:spacing w:after="0" w:line="240" w:lineRule="auto"/>
              <w:jc w:val="right"/>
              <w:rPr>
                <w:b/>
                <w:bCs/>
                <w:sz w:val="18"/>
                <w:szCs w:val="18"/>
                <w:lang w:eastAsia="sk-SK"/>
              </w:rPr>
            </w:pPr>
            <w:r>
              <w:rPr>
                <w:b/>
                <w:bCs/>
                <w:sz w:val="18"/>
                <w:szCs w:val="18"/>
                <w:lang w:eastAsia="sk-SK"/>
              </w:rPr>
              <w:t>8 654 083</w:t>
            </w:r>
          </w:p>
        </w:tc>
        <w:tc>
          <w:tcPr>
            <w:tcW w:w="632" w:type="pct"/>
            <w:tcBorders>
              <w:left w:val="nil"/>
              <w:right w:val="nil"/>
            </w:tcBorders>
            <w:vAlign w:val="center"/>
          </w:tcPr>
          <w:p w14:paraId="2BC6CB72" w14:textId="77777777" w:rsidR="00FC0A41" w:rsidRPr="004D4378" w:rsidRDefault="00FC0A41" w:rsidP="00FC0A41">
            <w:pPr>
              <w:pStyle w:val="Odsekzoznamu"/>
              <w:numPr>
                <w:ilvl w:val="0"/>
                <w:numId w:val="29"/>
              </w:numPr>
              <w:ind w:left="139" w:hanging="142"/>
              <w:jc w:val="right"/>
              <w:rPr>
                <w:b/>
                <w:bCs/>
                <w:sz w:val="18"/>
                <w:szCs w:val="18"/>
              </w:rPr>
            </w:pPr>
            <w:r>
              <w:rPr>
                <w:b/>
                <w:bCs/>
                <w:sz w:val="18"/>
                <w:szCs w:val="18"/>
              </w:rPr>
              <w:t> 473 059</w:t>
            </w:r>
          </w:p>
        </w:tc>
        <w:tc>
          <w:tcPr>
            <w:tcW w:w="687" w:type="pct"/>
            <w:tcBorders>
              <w:left w:val="nil"/>
            </w:tcBorders>
            <w:vAlign w:val="center"/>
          </w:tcPr>
          <w:p w14:paraId="04779FF2" w14:textId="77777777" w:rsidR="00FC0A41" w:rsidRPr="004D4378" w:rsidRDefault="00FC0A41" w:rsidP="001F43C8">
            <w:pPr>
              <w:spacing w:after="0"/>
              <w:jc w:val="right"/>
              <w:rPr>
                <w:b/>
                <w:bCs/>
                <w:sz w:val="18"/>
                <w:szCs w:val="18"/>
                <w:lang w:eastAsia="sk-SK"/>
              </w:rPr>
            </w:pPr>
            <w:r>
              <w:rPr>
                <w:b/>
                <w:bCs/>
                <w:sz w:val="18"/>
                <w:szCs w:val="18"/>
                <w:lang w:eastAsia="sk-SK"/>
              </w:rPr>
              <w:t>-181 024</w:t>
            </w:r>
          </w:p>
        </w:tc>
      </w:tr>
      <w:tr w:rsidR="00FC0A41" w:rsidRPr="00A51A7B" w14:paraId="3C9A1209" w14:textId="77777777" w:rsidTr="001F43C8">
        <w:trPr>
          <w:trHeight w:hRule="exact" w:val="346"/>
          <w:jc w:val="center"/>
        </w:trPr>
        <w:tc>
          <w:tcPr>
            <w:tcW w:w="2473" w:type="pct"/>
            <w:tcBorders>
              <w:right w:val="nil"/>
            </w:tcBorders>
            <w:noWrap/>
            <w:vAlign w:val="center"/>
          </w:tcPr>
          <w:p w14:paraId="346859CB" w14:textId="77777777" w:rsidR="00FC0A41" w:rsidRPr="00A51A7B" w:rsidRDefault="00FC0A41" w:rsidP="001F43C8">
            <w:pPr>
              <w:spacing w:after="0" w:line="240" w:lineRule="auto"/>
              <w:rPr>
                <w:bCs/>
                <w:sz w:val="18"/>
                <w:szCs w:val="18"/>
                <w:lang w:eastAsia="sk-SK"/>
              </w:rPr>
            </w:pPr>
            <w:r w:rsidRPr="00A51A7B">
              <w:rPr>
                <w:bCs/>
                <w:sz w:val="18"/>
                <w:szCs w:val="18"/>
                <w:lang w:eastAsia="sk-SK"/>
              </w:rPr>
              <w:t>Objem konsolidácie</w:t>
            </w:r>
          </w:p>
        </w:tc>
        <w:tc>
          <w:tcPr>
            <w:tcW w:w="538" w:type="pct"/>
            <w:tcBorders>
              <w:left w:val="nil"/>
              <w:right w:val="nil"/>
            </w:tcBorders>
            <w:vAlign w:val="center"/>
          </w:tcPr>
          <w:p w14:paraId="2249944B" w14:textId="77777777" w:rsidR="00FC0A41" w:rsidRPr="00A51A7B" w:rsidRDefault="00FC0A41" w:rsidP="001F43C8">
            <w:pPr>
              <w:spacing w:after="0" w:line="240" w:lineRule="auto"/>
              <w:jc w:val="right"/>
              <w:rPr>
                <w:bCs/>
                <w:sz w:val="18"/>
                <w:szCs w:val="18"/>
                <w:lang w:eastAsia="sk-SK"/>
              </w:rPr>
            </w:pPr>
            <w:r>
              <w:rPr>
                <w:bCs/>
                <w:sz w:val="18"/>
                <w:szCs w:val="18"/>
                <w:lang w:eastAsia="sk-SK"/>
              </w:rPr>
              <w:t>4 014 032</w:t>
            </w:r>
          </w:p>
        </w:tc>
        <w:tc>
          <w:tcPr>
            <w:tcW w:w="669" w:type="pct"/>
            <w:tcBorders>
              <w:left w:val="nil"/>
              <w:right w:val="nil"/>
            </w:tcBorders>
            <w:vAlign w:val="center"/>
          </w:tcPr>
          <w:p w14:paraId="7BCAC906" w14:textId="77777777" w:rsidR="00FC0A41" w:rsidRPr="00A51A7B" w:rsidRDefault="00FC0A41" w:rsidP="001F43C8">
            <w:pPr>
              <w:spacing w:after="0" w:line="240" w:lineRule="auto"/>
              <w:jc w:val="right"/>
              <w:rPr>
                <w:bCs/>
                <w:sz w:val="18"/>
                <w:szCs w:val="18"/>
                <w:lang w:eastAsia="sk-SK"/>
              </w:rPr>
            </w:pPr>
            <w:r>
              <w:rPr>
                <w:bCs/>
                <w:sz w:val="18"/>
                <w:szCs w:val="18"/>
                <w:lang w:eastAsia="sk-SK"/>
              </w:rPr>
              <w:t>3 519 435</w:t>
            </w:r>
          </w:p>
        </w:tc>
        <w:tc>
          <w:tcPr>
            <w:tcW w:w="632" w:type="pct"/>
            <w:tcBorders>
              <w:left w:val="nil"/>
              <w:right w:val="nil"/>
            </w:tcBorders>
            <w:vAlign w:val="center"/>
          </w:tcPr>
          <w:p w14:paraId="2D8EEBD5" w14:textId="77777777" w:rsidR="00FC0A41" w:rsidRPr="00A51A7B" w:rsidRDefault="00FC0A41" w:rsidP="001F43C8">
            <w:pPr>
              <w:pStyle w:val="Odsekzoznamu"/>
              <w:ind w:left="139"/>
              <w:jc w:val="center"/>
              <w:rPr>
                <w:bCs/>
                <w:sz w:val="18"/>
                <w:szCs w:val="18"/>
              </w:rPr>
            </w:pPr>
            <w:r>
              <w:rPr>
                <w:bCs/>
                <w:sz w:val="18"/>
                <w:szCs w:val="18"/>
              </w:rPr>
              <w:t>3 526 564</w:t>
            </w:r>
          </w:p>
        </w:tc>
        <w:tc>
          <w:tcPr>
            <w:tcW w:w="687" w:type="pct"/>
            <w:tcBorders>
              <w:left w:val="nil"/>
            </w:tcBorders>
            <w:vAlign w:val="center"/>
          </w:tcPr>
          <w:p w14:paraId="5EFA1F92" w14:textId="77777777" w:rsidR="00FC0A41" w:rsidRPr="00A51A7B" w:rsidRDefault="00FC0A41" w:rsidP="001F43C8">
            <w:pPr>
              <w:spacing w:after="0"/>
              <w:jc w:val="right"/>
              <w:rPr>
                <w:bCs/>
                <w:sz w:val="18"/>
                <w:szCs w:val="18"/>
                <w:lang w:eastAsia="sk-SK"/>
              </w:rPr>
            </w:pPr>
            <w:r>
              <w:rPr>
                <w:bCs/>
                <w:sz w:val="18"/>
                <w:szCs w:val="18"/>
                <w:lang w:eastAsia="sk-SK"/>
              </w:rPr>
              <w:t>7 129</w:t>
            </w:r>
          </w:p>
        </w:tc>
      </w:tr>
      <w:tr w:rsidR="00FC0A41" w:rsidRPr="005240D8" w14:paraId="426F2D2C" w14:textId="77777777" w:rsidTr="001F43C8">
        <w:trPr>
          <w:trHeight w:hRule="exact" w:val="346"/>
          <w:jc w:val="center"/>
        </w:trPr>
        <w:tc>
          <w:tcPr>
            <w:tcW w:w="2473" w:type="pct"/>
            <w:tcBorders>
              <w:right w:val="nil"/>
            </w:tcBorders>
            <w:noWrap/>
            <w:vAlign w:val="center"/>
            <w:hideMark/>
          </w:tcPr>
          <w:p w14:paraId="7DB2AF9E" w14:textId="77777777" w:rsidR="00FC0A41" w:rsidRPr="00683536" w:rsidRDefault="00FC0A41" w:rsidP="001F43C8">
            <w:pPr>
              <w:spacing w:after="0" w:line="240" w:lineRule="auto"/>
              <w:rPr>
                <w:b/>
                <w:bCs/>
                <w:sz w:val="18"/>
                <w:szCs w:val="18"/>
                <w:lang w:eastAsia="sk-SK"/>
              </w:rPr>
            </w:pPr>
            <w:r w:rsidRPr="00683536">
              <w:rPr>
                <w:b/>
                <w:bCs/>
                <w:sz w:val="18"/>
                <w:szCs w:val="18"/>
                <w:lang w:eastAsia="sk-SK"/>
              </w:rPr>
              <w:t xml:space="preserve">Spolu  </w:t>
            </w:r>
            <w:r>
              <w:rPr>
                <w:b/>
                <w:bCs/>
                <w:sz w:val="18"/>
                <w:szCs w:val="18"/>
                <w:lang w:eastAsia="sk-SK"/>
              </w:rPr>
              <w:t>(konsolidované)</w:t>
            </w:r>
          </w:p>
        </w:tc>
        <w:tc>
          <w:tcPr>
            <w:tcW w:w="538" w:type="pct"/>
            <w:tcBorders>
              <w:left w:val="nil"/>
              <w:right w:val="nil"/>
            </w:tcBorders>
            <w:vAlign w:val="center"/>
          </w:tcPr>
          <w:p w14:paraId="4B08441F" w14:textId="77777777" w:rsidR="00FC0A41" w:rsidRPr="00683536" w:rsidRDefault="00FC0A41" w:rsidP="001F43C8">
            <w:pPr>
              <w:spacing w:after="0" w:line="240" w:lineRule="auto"/>
              <w:jc w:val="right"/>
              <w:rPr>
                <w:b/>
                <w:bCs/>
                <w:sz w:val="18"/>
                <w:szCs w:val="18"/>
                <w:lang w:eastAsia="sk-SK"/>
              </w:rPr>
            </w:pPr>
            <w:r>
              <w:rPr>
                <w:b/>
                <w:bCs/>
                <w:sz w:val="18"/>
                <w:szCs w:val="18"/>
                <w:lang w:eastAsia="sk-SK"/>
              </w:rPr>
              <w:t>5 949 545</w:t>
            </w:r>
          </w:p>
        </w:tc>
        <w:tc>
          <w:tcPr>
            <w:tcW w:w="669" w:type="pct"/>
            <w:tcBorders>
              <w:left w:val="nil"/>
              <w:right w:val="nil"/>
            </w:tcBorders>
            <w:vAlign w:val="center"/>
          </w:tcPr>
          <w:p w14:paraId="172A3FB1" w14:textId="77777777" w:rsidR="00FC0A41" w:rsidRPr="005240D8" w:rsidRDefault="00FC0A41" w:rsidP="001F43C8">
            <w:pPr>
              <w:spacing w:after="0" w:line="240" w:lineRule="auto"/>
              <w:jc w:val="right"/>
              <w:rPr>
                <w:b/>
                <w:bCs/>
                <w:sz w:val="18"/>
                <w:szCs w:val="18"/>
                <w:lang w:eastAsia="sk-SK"/>
              </w:rPr>
            </w:pPr>
            <w:r>
              <w:rPr>
                <w:b/>
                <w:bCs/>
                <w:sz w:val="18"/>
                <w:szCs w:val="18"/>
                <w:lang w:eastAsia="sk-SK"/>
              </w:rPr>
              <w:t>5 134 648</w:t>
            </w:r>
          </w:p>
        </w:tc>
        <w:tc>
          <w:tcPr>
            <w:tcW w:w="632" w:type="pct"/>
            <w:tcBorders>
              <w:left w:val="nil"/>
              <w:right w:val="nil"/>
            </w:tcBorders>
            <w:vAlign w:val="center"/>
          </w:tcPr>
          <w:p w14:paraId="4ADA2864" w14:textId="77777777" w:rsidR="00FC0A41" w:rsidRPr="00A51A7B" w:rsidRDefault="00FC0A41" w:rsidP="001F43C8">
            <w:pPr>
              <w:spacing w:after="0" w:line="240" w:lineRule="auto"/>
              <w:jc w:val="right"/>
              <w:rPr>
                <w:b/>
                <w:bCs/>
                <w:sz w:val="18"/>
                <w:szCs w:val="18"/>
                <w:lang w:eastAsia="sk-SK"/>
              </w:rPr>
            </w:pPr>
            <w:r>
              <w:rPr>
                <w:b/>
                <w:bCs/>
                <w:sz w:val="18"/>
                <w:szCs w:val="18"/>
                <w:lang w:eastAsia="sk-SK"/>
              </w:rPr>
              <w:t>4 946 495</w:t>
            </w:r>
          </w:p>
        </w:tc>
        <w:tc>
          <w:tcPr>
            <w:tcW w:w="687" w:type="pct"/>
            <w:tcBorders>
              <w:left w:val="nil"/>
            </w:tcBorders>
            <w:vAlign w:val="center"/>
          </w:tcPr>
          <w:p w14:paraId="2E4C5BEC" w14:textId="77777777" w:rsidR="00FC0A41" w:rsidRPr="004D4378" w:rsidRDefault="00FC0A41" w:rsidP="001F43C8">
            <w:pPr>
              <w:spacing w:after="0"/>
              <w:jc w:val="right"/>
              <w:rPr>
                <w:b/>
                <w:bCs/>
                <w:sz w:val="18"/>
                <w:szCs w:val="18"/>
                <w:lang w:eastAsia="sk-SK"/>
              </w:rPr>
            </w:pPr>
            <w:r>
              <w:rPr>
                <w:b/>
                <w:bCs/>
                <w:sz w:val="18"/>
                <w:szCs w:val="18"/>
                <w:lang w:eastAsia="sk-SK"/>
              </w:rPr>
              <w:t>-188 153</w:t>
            </w:r>
          </w:p>
        </w:tc>
      </w:tr>
    </w:tbl>
    <w:p w14:paraId="3E24D2EB" w14:textId="77777777" w:rsidR="00FC0A41" w:rsidRPr="003C60A7" w:rsidRDefault="00FC0A41" w:rsidP="00FC0A41">
      <w:pPr>
        <w:spacing w:after="120" w:line="336" w:lineRule="auto"/>
        <w:jc w:val="right"/>
        <w:rPr>
          <w:sz w:val="18"/>
          <w:szCs w:val="18"/>
          <w:highlight w:val="yellow"/>
        </w:rPr>
      </w:pPr>
      <w:r w:rsidRPr="00683536">
        <w:rPr>
          <w:sz w:val="18"/>
          <w:szCs w:val="18"/>
        </w:rPr>
        <w:t>Zdroj: Účtovné závierky subjektov a databáza MF SR</w:t>
      </w:r>
    </w:p>
    <w:p w14:paraId="25BC445C" w14:textId="77777777" w:rsidR="00FC0A41" w:rsidRDefault="00FC0A41" w:rsidP="00FC0A41">
      <w:pPr>
        <w:spacing w:after="120" w:line="240" w:lineRule="auto"/>
        <w:jc w:val="both"/>
      </w:pPr>
      <w:r>
        <w:t>Medziročná zmena nekonsolidovanej hodnoty iných aktív dosiahla -181 024 tis. eur a bola zaznamenaná najmä v organizáciách ústrednej správy a v štátnych podnikoch (-190 135 tis. eur). Územná samospráva vykazuje nevýznamné hodnoty v pomere k celkovým iným aktívam. Väčšinou ide o súdne spory, pri ktorých jednotky územnej samosprávy</w:t>
      </w:r>
      <w:r w:rsidRPr="0017788A">
        <w:t xml:space="preserve"> </w:t>
      </w:r>
      <w:r>
        <w:t xml:space="preserve">predpokladajú pozitívny výsledok z rozhodnutí súdov v ich prospech. </w:t>
      </w:r>
    </w:p>
    <w:p w14:paraId="42973FBC" w14:textId="77777777" w:rsidR="00FC0A41" w:rsidRDefault="00FC0A41" w:rsidP="00FC0A41">
      <w:pPr>
        <w:spacing w:after="120" w:line="240" w:lineRule="auto"/>
        <w:jc w:val="both"/>
      </w:pPr>
      <w:r>
        <w:t xml:space="preserve">V ústrednej správy boli medziročne zaznamenané zníženia ako aj zvýšenia hodnoty iných aktív. Medzi významné zvýšenie hodnoty iných aktív patria napríklad vystavené (bankové) záruky v prospech Slovenskej záručnej a rozvojovej banky, </w:t>
      </w:r>
      <w:proofErr w:type="spellStart"/>
      <w:r>
        <w:t>a.s</w:t>
      </w:r>
      <w:proofErr w:type="spellEnd"/>
      <w:r>
        <w:t xml:space="preserve">. (o 82 289 tis. eur), záruky materských spoločností klientov SEPS (o 93 399 tis. eur), záruky v prospech SPP (o 28 719 tis. eur). Na druhej strane veľká časť tohto zvýšenia je aj predmetom eliminácie iných aktív v rámci sektora verejnej správy. Tým klesá aj hodnota iných aktív po konsolidácii, ktoré vstupujú do výpočtu čistého bohatstva. </w:t>
      </w:r>
    </w:p>
    <w:p w14:paraId="3F74DF9F" w14:textId="62913D04" w:rsidR="00FC0A41" w:rsidRDefault="00FC0A41" w:rsidP="00FC0A41">
      <w:pPr>
        <w:spacing w:after="120" w:line="240" w:lineRule="auto"/>
        <w:jc w:val="both"/>
      </w:pPr>
      <w:r>
        <w:t xml:space="preserve">Medzi zníženia iných aktív, ktoré významne ovplyvnili ich hodnotu k 31.12.2022 patrí napríklad zníženie nominálnej hodnoty pohľadávok, ktoré vymáha Slovenská konsolidačná, </w:t>
      </w:r>
      <w:proofErr w:type="spellStart"/>
      <w:r>
        <w:t>a.s</w:t>
      </w:r>
      <w:proofErr w:type="spellEnd"/>
      <w:r>
        <w:t>. (o 24</w:t>
      </w:r>
      <w:r w:rsidR="00281FBC">
        <w:t>2</w:t>
      </w:r>
      <w:r>
        <w:t> </w:t>
      </w:r>
      <w:r w:rsidR="00281FBC">
        <w:t>398</w:t>
      </w:r>
      <w:r>
        <w:t xml:space="preserve"> tis. eur) z dôvodu trvalého upustenia od ich vymáhania resp. vymožením určitej čiastky, znížením záruk v prospech Exportno-importnej banky, </w:t>
      </w:r>
      <w:proofErr w:type="spellStart"/>
      <w:r>
        <w:t>a.s</w:t>
      </w:r>
      <w:proofErr w:type="spellEnd"/>
      <w:r>
        <w:t xml:space="preserve">. (ktoré sú zároveň predmetom eliminácie) a zníženie hodnoty zabezpečenia projektov financovaných zo zrušeného Recyklačného fondu, ktorých administrácia prešla v roku 2019 na Environmentálny fond. Lesy SR prehodnotili ocenenie lesných porastov na základe ťažby kalamitného dreva na spravovaných územiach, ako aj z dôvodu delimitácie pozemkov na novozriadené správy národných parkov. Čistý úbytok predstavuje len zníženie hodnoty pozemkov v držbe Lesov SR, </w:t>
      </w:r>
      <w:proofErr w:type="spellStart"/>
      <w:r>
        <w:t>š.p</w:t>
      </w:r>
      <w:proofErr w:type="spellEnd"/>
      <w:r>
        <w:t>., medziročne o 116 195 tis. eur.</w:t>
      </w:r>
    </w:p>
    <w:p w14:paraId="01B3A5D1" w14:textId="77777777" w:rsidR="00FC0A41" w:rsidRPr="003F70EE" w:rsidRDefault="00FC0A41" w:rsidP="00FC0A41">
      <w:pPr>
        <w:spacing w:after="120" w:line="240" w:lineRule="auto"/>
        <w:jc w:val="both"/>
        <w:rPr>
          <w:szCs w:val="22"/>
        </w:rPr>
      </w:pPr>
      <w:r w:rsidRPr="003F70EE">
        <w:rPr>
          <w:szCs w:val="22"/>
        </w:rPr>
        <w:t xml:space="preserve">Pre koncept čistého bohatstva </w:t>
      </w:r>
      <w:r>
        <w:rPr>
          <w:szCs w:val="22"/>
        </w:rPr>
        <w:t>boli</w:t>
      </w:r>
      <w:r w:rsidRPr="003F70EE">
        <w:rPr>
          <w:szCs w:val="22"/>
        </w:rPr>
        <w:t xml:space="preserve"> celkové podmienené aktíva verejného sektora upravené o nasledovné položky:</w:t>
      </w:r>
    </w:p>
    <w:p w14:paraId="63ECE83D" w14:textId="77777777" w:rsidR="00FC0A41" w:rsidRPr="003F70EE" w:rsidRDefault="00FC0A41" w:rsidP="00FC0A41">
      <w:pPr>
        <w:spacing w:after="120" w:line="240" w:lineRule="auto"/>
        <w:ind w:left="709"/>
        <w:jc w:val="both"/>
        <w:rPr>
          <w:szCs w:val="22"/>
        </w:rPr>
      </w:pPr>
      <w:r w:rsidRPr="003F70EE">
        <w:rPr>
          <w:szCs w:val="22"/>
        </w:rPr>
        <w:t xml:space="preserve">-  časť vyčíslenej spornej sumy, o ktorú sa súdi Vodohospodárska výstavby, š. p. so Slovenskými elektrárňami, a. s. (138 643 tis. eur). Táto časť zodpovedá 34 % vlastníckemu podielu štátu v SE, a. s.  Z pohľadu verejného sektora ide o vzájomnú konsolidáciu. </w:t>
      </w:r>
    </w:p>
    <w:p w14:paraId="1296578A" w14:textId="77777777" w:rsidR="00FC0A41" w:rsidRPr="003F70EE" w:rsidRDefault="00FC0A41" w:rsidP="00FC0A41">
      <w:pPr>
        <w:spacing w:after="120" w:line="240" w:lineRule="auto"/>
        <w:ind w:firstLine="709"/>
        <w:jc w:val="both"/>
        <w:rPr>
          <w:szCs w:val="22"/>
        </w:rPr>
      </w:pPr>
      <w:r w:rsidRPr="003F70EE">
        <w:rPr>
          <w:szCs w:val="22"/>
        </w:rPr>
        <w:t>- záruky</w:t>
      </w:r>
      <w:r>
        <w:rPr>
          <w:szCs w:val="22"/>
        </w:rPr>
        <w:t xml:space="preserve"> v prospech</w:t>
      </w:r>
      <w:r w:rsidRPr="003F70EE">
        <w:rPr>
          <w:szCs w:val="22"/>
        </w:rPr>
        <w:t xml:space="preserve"> EXIM Banky (369 968</w:t>
      </w:r>
      <w:r>
        <w:rPr>
          <w:szCs w:val="22"/>
        </w:rPr>
        <w:t> tis. eur)</w:t>
      </w:r>
    </w:p>
    <w:p w14:paraId="2CA8F86A" w14:textId="77777777" w:rsidR="00FC0A41" w:rsidRPr="003F70EE" w:rsidRDefault="00FC0A41" w:rsidP="00FC0A41">
      <w:pPr>
        <w:spacing w:after="120" w:line="240" w:lineRule="auto"/>
        <w:ind w:firstLine="709"/>
        <w:jc w:val="both"/>
        <w:rPr>
          <w:szCs w:val="22"/>
        </w:rPr>
      </w:pPr>
      <w:r w:rsidRPr="003F70EE">
        <w:rPr>
          <w:szCs w:val="22"/>
        </w:rPr>
        <w:lastRenderedPageBreak/>
        <w:t xml:space="preserve">- záruky </w:t>
      </w:r>
      <w:r>
        <w:rPr>
          <w:szCs w:val="22"/>
        </w:rPr>
        <w:t>v prospech</w:t>
      </w:r>
      <w:r w:rsidRPr="003F70EE">
        <w:rPr>
          <w:szCs w:val="22"/>
        </w:rPr>
        <w:t xml:space="preserve"> SEPS</w:t>
      </w:r>
      <w:r>
        <w:rPr>
          <w:szCs w:val="22"/>
        </w:rPr>
        <w:t xml:space="preserve">, </w:t>
      </w:r>
      <w:proofErr w:type="spellStart"/>
      <w:r>
        <w:rPr>
          <w:szCs w:val="22"/>
        </w:rPr>
        <w:t>a.s</w:t>
      </w:r>
      <w:proofErr w:type="spellEnd"/>
      <w:r>
        <w:rPr>
          <w:szCs w:val="22"/>
        </w:rPr>
        <w:t>.</w:t>
      </w:r>
      <w:r w:rsidRPr="003F70EE">
        <w:rPr>
          <w:szCs w:val="22"/>
        </w:rPr>
        <w:t xml:space="preserve"> (317 912 tis. eur)</w:t>
      </w:r>
    </w:p>
    <w:p w14:paraId="694EC595" w14:textId="77777777" w:rsidR="00FC0A41" w:rsidRDefault="00FC0A41" w:rsidP="00FC0A41">
      <w:pPr>
        <w:spacing w:after="120" w:line="240" w:lineRule="auto"/>
        <w:ind w:firstLine="709"/>
        <w:jc w:val="both"/>
        <w:rPr>
          <w:szCs w:val="22"/>
        </w:rPr>
      </w:pPr>
      <w:r w:rsidRPr="003F70EE">
        <w:rPr>
          <w:szCs w:val="22"/>
        </w:rPr>
        <w:t xml:space="preserve">- záruky </w:t>
      </w:r>
      <w:r>
        <w:rPr>
          <w:szCs w:val="22"/>
        </w:rPr>
        <w:t>v prospech</w:t>
      </w:r>
      <w:r w:rsidRPr="003F70EE">
        <w:rPr>
          <w:szCs w:val="22"/>
        </w:rPr>
        <w:t xml:space="preserve"> SPP</w:t>
      </w:r>
      <w:r>
        <w:rPr>
          <w:szCs w:val="22"/>
        </w:rPr>
        <w:t xml:space="preserve">, </w:t>
      </w:r>
      <w:proofErr w:type="spellStart"/>
      <w:r>
        <w:rPr>
          <w:szCs w:val="22"/>
        </w:rPr>
        <w:t>a.s</w:t>
      </w:r>
      <w:proofErr w:type="spellEnd"/>
      <w:r>
        <w:rPr>
          <w:szCs w:val="22"/>
        </w:rPr>
        <w:t>.</w:t>
      </w:r>
      <w:r w:rsidRPr="003F70EE">
        <w:rPr>
          <w:szCs w:val="22"/>
        </w:rPr>
        <w:t xml:space="preserve"> (254 379</w:t>
      </w:r>
      <w:r>
        <w:rPr>
          <w:szCs w:val="22"/>
        </w:rPr>
        <w:t> tis. eur)</w:t>
      </w:r>
    </w:p>
    <w:p w14:paraId="0DFEE57C" w14:textId="77777777" w:rsidR="00FC0A41" w:rsidRPr="003F70EE" w:rsidRDefault="00FC0A41" w:rsidP="00FC0A41">
      <w:pPr>
        <w:spacing w:after="120" w:line="240" w:lineRule="auto"/>
        <w:ind w:firstLine="709"/>
        <w:jc w:val="both"/>
        <w:rPr>
          <w:szCs w:val="22"/>
        </w:rPr>
      </w:pPr>
      <w:r>
        <w:rPr>
          <w:szCs w:val="22"/>
        </w:rPr>
        <w:t xml:space="preserve">- záruky v prospech SZRB, </w:t>
      </w:r>
      <w:proofErr w:type="spellStart"/>
      <w:r>
        <w:rPr>
          <w:szCs w:val="22"/>
        </w:rPr>
        <w:t>a.s</w:t>
      </w:r>
      <w:proofErr w:type="spellEnd"/>
      <w:r>
        <w:rPr>
          <w:szCs w:val="22"/>
        </w:rPr>
        <w:t>. (86 843 tis. eur)</w:t>
      </w:r>
    </w:p>
    <w:p w14:paraId="06B67F4C" w14:textId="77777777" w:rsidR="00FC0A41" w:rsidRPr="003F70EE" w:rsidRDefault="00FC0A41" w:rsidP="00FC0A41">
      <w:pPr>
        <w:spacing w:after="120" w:line="240" w:lineRule="auto"/>
        <w:jc w:val="both"/>
        <w:rPr>
          <w:szCs w:val="22"/>
        </w:rPr>
      </w:pPr>
      <w:r w:rsidRPr="003F70EE">
        <w:rPr>
          <w:szCs w:val="22"/>
        </w:rPr>
        <w:t>V týchto prípadoch, ak boli záruky realizované, vlastné imanie a čisté bohatstvo by sa nezmenilo, pretože príjmy z realizovaných záruk by len nahradili existujúce bilančné aktíva (úvery u EXIM banky a obchodné pohľadávky u SEPS a SPP). Tieto podmienené aktíva teda nepredstavujú potenciálny zdroj zvýšenia vlastného imania verejného sektora a tým ani čistého bohatstva.</w:t>
      </w:r>
    </w:p>
    <w:p w14:paraId="223E3165" w14:textId="77777777" w:rsidR="00FC0A41" w:rsidRPr="003F70EE" w:rsidRDefault="00FC0A41" w:rsidP="00FC0A41">
      <w:pPr>
        <w:pStyle w:val="Odsekzoznamu"/>
        <w:numPr>
          <w:ilvl w:val="0"/>
          <w:numId w:val="28"/>
        </w:numPr>
        <w:spacing w:after="120"/>
        <w:ind w:left="851" w:hanging="142"/>
        <w:jc w:val="both"/>
      </w:pPr>
      <w:r w:rsidRPr="003F70EE">
        <w:t>Pri pohľadávkach v správe Slovenskej konsolidačnej, a. s.  bola upravená výška menovitej hodnoty o pohľadávky, ktoré boli predmetom konsolidačných úprav v rámci ústrednej správy (2</w:t>
      </w:r>
      <w:r>
        <w:t> 358 819</w:t>
      </w:r>
      <w:r w:rsidRPr="003F70EE">
        <w:t xml:space="preserve"> tis. eur). Prevod splatných pohľadávok, ktoré postupujú resp. odpredávajú organizácie ústrednej správy Slovenskej konsolidačnej, a. s.  sa eliminuje a k pohľadávkam sa tvorí opravná položka. Akt prevodu pohľadávok znamená dôvod na zníženie ich účtovnej hodnoty, čo má negatívny vplyv na vlastné imanie a tým aj čisté bohatstvo. Zároveň tieto precenené pohľadávky nemôžu byť v pôvodnej hodnote na strane podmienených aktív. </w:t>
      </w:r>
    </w:p>
    <w:p w14:paraId="46F9BEAA" w14:textId="560FE62E" w:rsidR="00FC0A41" w:rsidRDefault="00FC0A41" w:rsidP="00FC0A41">
      <w:pPr>
        <w:spacing w:after="120" w:line="240" w:lineRule="auto"/>
        <w:jc w:val="both"/>
        <w:rPr>
          <w:b/>
          <w:szCs w:val="22"/>
        </w:rPr>
      </w:pPr>
      <w:r w:rsidRPr="003F70EE">
        <w:rPr>
          <w:b/>
          <w:szCs w:val="22"/>
        </w:rPr>
        <w:t xml:space="preserve">Z dôvodu abstrahovania od vzájomných vzťahov v rámci iných aktív (vzájomné súdne spory, vystavené záruky, pohľadávky) je hodnota iných aktív vstupujúcich do čistého bohatstva znížená z hodnoty </w:t>
      </w:r>
      <w:r>
        <w:rPr>
          <w:b/>
          <w:szCs w:val="22"/>
        </w:rPr>
        <w:t>8</w:t>
      </w:r>
      <w:r w:rsidR="00281FBC">
        <w:rPr>
          <w:b/>
          <w:szCs w:val="22"/>
        </w:rPr>
        <w:t> 473 059</w:t>
      </w:r>
      <w:r w:rsidRPr="003F70EE">
        <w:rPr>
          <w:b/>
          <w:szCs w:val="22"/>
        </w:rPr>
        <w:t xml:space="preserve"> tis. eur na hodnotu </w:t>
      </w:r>
      <w:r w:rsidR="00281FBC">
        <w:rPr>
          <w:b/>
          <w:szCs w:val="22"/>
        </w:rPr>
        <w:t>4 946 495</w:t>
      </w:r>
      <w:r>
        <w:rPr>
          <w:b/>
          <w:szCs w:val="22"/>
        </w:rPr>
        <w:t> tis. eur, čo je medziročne menej o</w:t>
      </w:r>
      <w:r w:rsidR="00281FBC">
        <w:rPr>
          <w:b/>
          <w:szCs w:val="22"/>
        </w:rPr>
        <w:t> 188 153</w:t>
      </w:r>
      <w:r>
        <w:rPr>
          <w:b/>
          <w:szCs w:val="22"/>
        </w:rPr>
        <w:t xml:space="preserve"> tis. eur.</w:t>
      </w:r>
    </w:p>
    <w:p w14:paraId="76146AD4" w14:textId="25B16788" w:rsidR="00FC0A41" w:rsidRPr="0057265E" w:rsidRDefault="00FC0A41" w:rsidP="00FC0A41">
      <w:pPr>
        <w:keepNext/>
        <w:spacing w:after="0" w:line="240" w:lineRule="auto"/>
        <w:rPr>
          <w:b/>
          <w:iCs/>
          <w:color w:val="2C9ADC"/>
          <w:sz w:val="20"/>
          <w:szCs w:val="20"/>
        </w:rPr>
      </w:pPr>
      <w:r>
        <w:rPr>
          <w:b/>
          <w:bCs/>
          <w:color w:val="4F81BD"/>
          <w:sz w:val="20"/>
          <w:szCs w:val="20"/>
          <w:lang w:eastAsia="sk-SK"/>
        </w:rPr>
        <w:t xml:space="preserve">Tabuľka </w:t>
      </w:r>
      <w:r w:rsidR="00AE7F1B">
        <w:rPr>
          <w:b/>
          <w:bCs/>
          <w:color w:val="4F81BD"/>
          <w:sz w:val="20"/>
          <w:szCs w:val="20"/>
          <w:lang w:eastAsia="sk-SK"/>
        </w:rPr>
        <w:t>25</w:t>
      </w:r>
      <w:r w:rsidRPr="00B3446A">
        <w:rPr>
          <w:b/>
          <w:bCs/>
          <w:color w:val="4F81BD"/>
          <w:sz w:val="20"/>
          <w:szCs w:val="20"/>
          <w:lang w:eastAsia="sk-SK"/>
        </w:rPr>
        <w:t xml:space="preserve"> </w:t>
      </w:r>
      <w:r w:rsidR="00281FBC">
        <w:rPr>
          <w:bCs/>
          <w:color w:val="4F81BD"/>
          <w:sz w:val="20"/>
          <w:szCs w:val="20"/>
          <w:lang w:eastAsia="sk-SK"/>
        </w:rPr>
        <w:t>–</w:t>
      </w:r>
      <w:r>
        <w:rPr>
          <w:b/>
          <w:bCs/>
          <w:color w:val="4F81BD"/>
          <w:sz w:val="20"/>
          <w:szCs w:val="20"/>
          <w:lang w:eastAsia="sk-SK"/>
        </w:rPr>
        <w:t xml:space="preserve"> </w:t>
      </w:r>
      <w:r w:rsidR="00281FBC">
        <w:rPr>
          <w:b/>
          <w:bCs/>
          <w:color w:val="4F81BD"/>
          <w:sz w:val="20"/>
          <w:szCs w:val="20"/>
          <w:lang w:eastAsia="sk-SK"/>
        </w:rPr>
        <w:t>Vybrané p</w:t>
      </w:r>
      <w:r w:rsidRPr="00415640">
        <w:rPr>
          <w:b/>
          <w:bCs/>
          <w:color w:val="4F81BD"/>
          <w:sz w:val="20"/>
          <w:szCs w:val="20"/>
          <w:lang w:eastAsia="sk-SK"/>
        </w:rPr>
        <w:t>odmienené aktíva detail</w:t>
      </w:r>
      <w:r>
        <w:rPr>
          <w:b/>
          <w:bCs/>
          <w:color w:val="4F81BD"/>
          <w:sz w:val="20"/>
          <w:szCs w:val="20"/>
          <w:lang w:eastAsia="sk-SK"/>
        </w:rPr>
        <w:t xml:space="preserve"> - </w:t>
      </w:r>
      <w:r w:rsidRPr="00415640">
        <w:rPr>
          <w:b/>
          <w:bCs/>
          <w:color w:val="4F81BD"/>
          <w:sz w:val="20"/>
          <w:szCs w:val="20"/>
          <w:lang w:eastAsia="sk-SK"/>
        </w:rPr>
        <w:t>nekonsolidované</w:t>
      </w:r>
    </w:p>
    <w:tbl>
      <w:tblPr>
        <w:tblW w:w="9073" w:type="dxa"/>
        <w:tblLayout w:type="fixed"/>
        <w:tblCellMar>
          <w:left w:w="70" w:type="dxa"/>
          <w:right w:w="70" w:type="dxa"/>
        </w:tblCellMar>
        <w:tblLook w:val="04A0" w:firstRow="1" w:lastRow="0" w:firstColumn="1" w:lastColumn="0" w:noHBand="0" w:noVBand="1"/>
      </w:tblPr>
      <w:tblGrid>
        <w:gridCol w:w="4395"/>
        <w:gridCol w:w="992"/>
        <w:gridCol w:w="1134"/>
        <w:gridCol w:w="1276"/>
        <w:gridCol w:w="1276"/>
      </w:tblGrid>
      <w:tr w:rsidR="00FC0A41" w:rsidRPr="00B075D6" w14:paraId="264A8F7F" w14:textId="77777777" w:rsidTr="001F43C8">
        <w:trPr>
          <w:trHeight w:val="284"/>
        </w:trPr>
        <w:tc>
          <w:tcPr>
            <w:tcW w:w="4395" w:type="dxa"/>
            <w:tcBorders>
              <w:top w:val="single" w:sz="4" w:space="0" w:color="auto"/>
              <w:left w:val="nil"/>
              <w:bottom w:val="single" w:sz="4" w:space="0" w:color="auto"/>
              <w:right w:val="nil"/>
            </w:tcBorders>
            <w:shd w:val="clear" w:color="auto" w:fill="auto"/>
            <w:vAlign w:val="center"/>
            <w:hideMark/>
          </w:tcPr>
          <w:p w14:paraId="08533683" w14:textId="77777777" w:rsidR="00FC0A41" w:rsidRPr="0042344E" w:rsidRDefault="00FC0A41" w:rsidP="001F43C8">
            <w:pPr>
              <w:spacing w:after="0" w:line="240" w:lineRule="auto"/>
              <w:rPr>
                <w:color w:val="FF0000"/>
                <w:sz w:val="18"/>
                <w:szCs w:val="18"/>
                <w:lang w:eastAsia="sk-SK"/>
              </w:rPr>
            </w:pPr>
            <w:r w:rsidRPr="00B32376">
              <w:rPr>
                <w:sz w:val="18"/>
                <w:szCs w:val="18"/>
                <w:lang w:eastAsia="sk-SK"/>
              </w:rPr>
              <w:t> v tis. eur</w:t>
            </w:r>
          </w:p>
        </w:tc>
        <w:tc>
          <w:tcPr>
            <w:tcW w:w="992" w:type="dxa"/>
            <w:tcBorders>
              <w:top w:val="single" w:sz="4" w:space="0" w:color="auto"/>
              <w:left w:val="nil"/>
              <w:bottom w:val="single" w:sz="4" w:space="0" w:color="auto"/>
              <w:right w:val="nil"/>
            </w:tcBorders>
            <w:vAlign w:val="center"/>
          </w:tcPr>
          <w:p w14:paraId="7B5EFDDA" w14:textId="77777777" w:rsidR="00FC0A41" w:rsidRPr="0042344E" w:rsidRDefault="00FC0A41" w:rsidP="001F43C8">
            <w:pPr>
              <w:spacing w:after="0" w:line="240" w:lineRule="auto"/>
              <w:jc w:val="center"/>
              <w:rPr>
                <w:b/>
                <w:bCs/>
                <w:sz w:val="18"/>
                <w:szCs w:val="18"/>
                <w:lang w:eastAsia="sk-SK"/>
              </w:rPr>
            </w:pPr>
            <w:r>
              <w:rPr>
                <w:b/>
                <w:bCs/>
                <w:sz w:val="18"/>
                <w:szCs w:val="18"/>
                <w:lang w:eastAsia="sk-SK"/>
              </w:rPr>
              <w:t>2020</w:t>
            </w:r>
          </w:p>
        </w:tc>
        <w:tc>
          <w:tcPr>
            <w:tcW w:w="1134" w:type="dxa"/>
            <w:tcBorders>
              <w:top w:val="single" w:sz="4" w:space="0" w:color="auto"/>
              <w:left w:val="nil"/>
              <w:bottom w:val="single" w:sz="4" w:space="0" w:color="auto"/>
              <w:right w:val="nil"/>
            </w:tcBorders>
            <w:vAlign w:val="center"/>
          </w:tcPr>
          <w:p w14:paraId="063D923B" w14:textId="77777777" w:rsidR="00FC0A41" w:rsidRPr="0042344E" w:rsidRDefault="00FC0A41" w:rsidP="001F43C8">
            <w:pPr>
              <w:spacing w:after="0" w:line="240" w:lineRule="auto"/>
              <w:jc w:val="center"/>
              <w:rPr>
                <w:b/>
                <w:bCs/>
                <w:sz w:val="18"/>
                <w:szCs w:val="18"/>
                <w:lang w:eastAsia="sk-SK"/>
              </w:rPr>
            </w:pPr>
            <w:r>
              <w:rPr>
                <w:b/>
                <w:bCs/>
                <w:sz w:val="18"/>
                <w:szCs w:val="18"/>
                <w:lang w:eastAsia="sk-SK"/>
              </w:rPr>
              <w:t xml:space="preserve">          2021</w:t>
            </w:r>
          </w:p>
        </w:tc>
        <w:tc>
          <w:tcPr>
            <w:tcW w:w="1276" w:type="dxa"/>
            <w:tcBorders>
              <w:top w:val="single" w:sz="4" w:space="0" w:color="auto"/>
              <w:left w:val="nil"/>
              <w:bottom w:val="single" w:sz="4" w:space="0" w:color="auto"/>
              <w:right w:val="nil"/>
            </w:tcBorders>
            <w:shd w:val="clear" w:color="auto" w:fill="auto"/>
            <w:vAlign w:val="center"/>
          </w:tcPr>
          <w:p w14:paraId="031F82A2" w14:textId="77777777" w:rsidR="00FC0A41" w:rsidRPr="0042344E" w:rsidRDefault="00FC0A41" w:rsidP="001F43C8">
            <w:pPr>
              <w:spacing w:after="0" w:line="240" w:lineRule="auto"/>
              <w:jc w:val="center"/>
              <w:rPr>
                <w:b/>
                <w:bCs/>
                <w:sz w:val="18"/>
                <w:szCs w:val="18"/>
                <w:lang w:eastAsia="sk-SK"/>
              </w:rPr>
            </w:pPr>
            <w:r>
              <w:rPr>
                <w:b/>
                <w:bCs/>
                <w:sz w:val="18"/>
                <w:szCs w:val="18"/>
                <w:lang w:eastAsia="sk-SK"/>
              </w:rPr>
              <w:t xml:space="preserve">             2022</w:t>
            </w:r>
          </w:p>
        </w:tc>
        <w:tc>
          <w:tcPr>
            <w:tcW w:w="1276" w:type="dxa"/>
            <w:tcBorders>
              <w:top w:val="single" w:sz="4" w:space="0" w:color="auto"/>
              <w:left w:val="nil"/>
              <w:bottom w:val="single" w:sz="4" w:space="0" w:color="auto"/>
              <w:right w:val="nil"/>
            </w:tcBorders>
            <w:shd w:val="clear" w:color="auto" w:fill="auto"/>
            <w:vAlign w:val="center"/>
            <w:hideMark/>
          </w:tcPr>
          <w:p w14:paraId="6AE31FDF" w14:textId="77777777" w:rsidR="00FC0A41" w:rsidRPr="00B075D6" w:rsidRDefault="00FC0A41" w:rsidP="001F43C8">
            <w:pPr>
              <w:spacing w:after="0" w:line="240" w:lineRule="auto"/>
              <w:jc w:val="right"/>
              <w:rPr>
                <w:b/>
                <w:bCs/>
                <w:sz w:val="18"/>
                <w:szCs w:val="18"/>
                <w:lang w:eastAsia="sk-SK"/>
              </w:rPr>
            </w:pPr>
            <w:r w:rsidRPr="0042344E">
              <w:rPr>
                <w:b/>
                <w:bCs/>
                <w:sz w:val="18"/>
                <w:szCs w:val="18"/>
                <w:lang w:eastAsia="sk-SK"/>
              </w:rPr>
              <w:t>Δ 202</w:t>
            </w:r>
            <w:r>
              <w:rPr>
                <w:b/>
                <w:bCs/>
                <w:sz w:val="18"/>
                <w:szCs w:val="18"/>
                <w:lang w:eastAsia="sk-SK"/>
              </w:rPr>
              <w:t>2</w:t>
            </w:r>
            <w:r w:rsidRPr="0042344E">
              <w:rPr>
                <w:b/>
                <w:bCs/>
                <w:sz w:val="18"/>
                <w:szCs w:val="18"/>
                <w:lang w:eastAsia="sk-SK"/>
              </w:rPr>
              <w:t>-202</w:t>
            </w:r>
            <w:r>
              <w:rPr>
                <w:b/>
                <w:bCs/>
                <w:sz w:val="18"/>
                <w:szCs w:val="18"/>
                <w:lang w:eastAsia="sk-SK"/>
              </w:rPr>
              <w:t>1</w:t>
            </w:r>
          </w:p>
        </w:tc>
      </w:tr>
      <w:tr w:rsidR="00FC0A41" w:rsidRPr="00975467" w14:paraId="0EEAA276" w14:textId="77777777" w:rsidTr="001F43C8">
        <w:trPr>
          <w:trHeight w:val="284"/>
        </w:trPr>
        <w:tc>
          <w:tcPr>
            <w:tcW w:w="4395" w:type="dxa"/>
            <w:tcBorders>
              <w:top w:val="nil"/>
              <w:left w:val="nil"/>
              <w:bottom w:val="nil"/>
              <w:right w:val="nil"/>
            </w:tcBorders>
            <w:vAlign w:val="center"/>
          </w:tcPr>
          <w:p w14:paraId="156FD1AF" w14:textId="77777777" w:rsidR="00FC0A41" w:rsidRPr="00975467" w:rsidRDefault="00FC0A41" w:rsidP="001F43C8">
            <w:pPr>
              <w:spacing w:after="0" w:line="240" w:lineRule="auto"/>
              <w:rPr>
                <w:b/>
                <w:color w:val="FF0000"/>
                <w:sz w:val="18"/>
                <w:szCs w:val="18"/>
                <w:highlight w:val="yellow"/>
                <w:lang w:eastAsia="sk-SK"/>
              </w:rPr>
            </w:pPr>
            <w:r w:rsidRPr="005B18F9">
              <w:rPr>
                <w:b/>
                <w:sz w:val="18"/>
                <w:szCs w:val="18"/>
                <w:lang w:eastAsia="sk-SK"/>
              </w:rPr>
              <w:t>Súdne spory a konania</w:t>
            </w:r>
          </w:p>
        </w:tc>
        <w:tc>
          <w:tcPr>
            <w:tcW w:w="992" w:type="dxa"/>
            <w:tcBorders>
              <w:top w:val="nil"/>
              <w:left w:val="nil"/>
              <w:bottom w:val="nil"/>
              <w:right w:val="nil"/>
            </w:tcBorders>
            <w:vAlign w:val="center"/>
          </w:tcPr>
          <w:p w14:paraId="7DCBD22E" w14:textId="77777777" w:rsidR="00FC0A41" w:rsidRPr="005E1C3E" w:rsidRDefault="00FC0A41" w:rsidP="001F43C8">
            <w:pPr>
              <w:spacing w:after="0" w:line="240" w:lineRule="auto"/>
              <w:jc w:val="right"/>
              <w:rPr>
                <w:b/>
                <w:sz w:val="18"/>
                <w:szCs w:val="18"/>
                <w:lang w:eastAsia="sk-SK"/>
              </w:rPr>
            </w:pPr>
            <w:r w:rsidRPr="005E1C3E">
              <w:rPr>
                <w:b/>
                <w:sz w:val="18"/>
                <w:szCs w:val="18"/>
                <w:lang w:eastAsia="sk-SK"/>
              </w:rPr>
              <w:t>442 422</w:t>
            </w:r>
          </w:p>
        </w:tc>
        <w:tc>
          <w:tcPr>
            <w:tcW w:w="1134" w:type="dxa"/>
            <w:tcBorders>
              <w:top w:val="nil"/>
              <w:left w:val="nil"/>
              <w:bottom w:val="nil"/>
              <w:right w:val="nil"/>
            </w:tcBorders>
            <w:vAlign w:val="center"/>
          </w:tcPr>
          <w:p w14:paraId="0F4B23FA" w14:textId="77777777" w:rsidR="00FC0A41" w:rsidRPr="005E1C3E" w:rsidRDefault="00FC0A41" w:rsidP="001F43C8">
            <w:pPr>
              <w:spacing w:after="0" w:line="240" w:lineRule="auto"/>
              <w:jc w:val="right"/>
              <w:rPr>
                <w:b/>
                <w:sz w:val="18"/>
                <w:szCs w:val="18"/>
                <w:lang w:eastAsia="sk-SK"/>
              </w:rPr>
            </w:pPr>
            <w:r w:rsidRPr="0086301A">
              <w:rPr>
                <w:b/>
                <w:sz w:val="18"/>
                <w:szCs w:val="18"/>
                <w:lang w:eastAsia="sk-SK"/>
              </w:rPr>
              <w:t>460 941</w:t>
            </w:r>
          </w:p>
        </w:tc>
        <w:tc>
          <w:tcPr>
            <w:tcW w:w="1276" w:type="dxa"/>
            <w:tcBorders>
              <w:top w:val="nil"/>
              <w:left w:val="nil"/>
              <w:bottom w:val="nil"/>
              <w:right w:val="nil"/>
            </w:tcBorders>
            <w:vAlign w:val="center"/>
          </w:tcPr>
          <w:p w14:paraId="50AFEBA3" w14:textId="77777777" w:rsidR="00FC0A41" w:rsidRPr="005E1C3E" w:rsidRDefault="00FC0A41" w:rsidP="001F43C8">
            <w:pPr>
              <w:spacing w:after="0" w:line="240" w:lineRule="auto"/>
              <w:jc w:val="right"/>
              <w:rPr>
                <w:b/>
                <w:sz w:val="18"/>
                <w:szCs w:val="18"/>
                <w:lang w:eastAsia="sk-SK"/>
              </w:rPr>
            </w:pPr>
            <w:r>
              <w:rPr>
                <w:b/>
                <w:sz w:val="18"/>
                <w:szCs w:val="18"/>
                <w:lang w:eastAsia="sk-SK"/>
              </w:rPr>
              <w:t>466 082</w:t>
            </w:r>
          </w:p>
        </w:tc>
        <w:tc>
          <w:tcPr>
            <w:tcW w:w="1276" w:type="dxa"/>
            <w:tcBorders>
              <w:top w:val="nil"/>
              <w:left w:val="nil"/>
              <w:bottom w:val="nil"/>
              <w:right w:val="nil"/>
            </w:tcBorders>
            <w:vAlign w:val="center"/>
          </w:tcPr>
          <w:p w14:paraId="07EFA070" w14:textId="77777777" w:rsidR="00FC0A41" w:rsidRPr="0086301A" w:rsidRDefault="00FC0A41" w:rsidP="001F43C8">
            <w:pPr>
              <w:spacing w:after="0" w:line="240" w:lineRule="auto"/>
              <w:jc w:val="right"/>
              <w:rPr>
                <w:b/>
                <w:sz w:val="18"/>
                <w:szCs w:val="18"/>
                <w:lang w:eastAsia="sk-SK"/>
              </w:rPr>
            </w:pPr>
            <w:r>
              <w:rPr>
                <w:b/>
                <w:sz w:val="18"/>
                <w:szCs w:val="18"/>
                <w:lang w:eastAsia="sk-SK"/>
              </w:rPr>
              <w:t>5 141</w:t>
            </w:r>
          </w:p>
        </w:tc>
      </w:tr>
      <w:tr w:rsidR="00FC0A41" w:rsidRPr="00975467" w14:paraId="3C3F7552" w14:textId="77777777" w:rsidTr="001F43C8">
        <w:trPr>
          <w:trHeight w:val="284"/>
        </w:trPr>
        <w:tc>
          <w:tcPr>
            <w:tcW w:w="4395" w:type="dxa"/>
            <w:tcBorders>
              <w:top w:val="nil"/>
              <w:left w:val="nil"/>
              <w:bottom w:val="nil"/>
              <w:right w:val="nil"/>
            </w:tcBorders>
            <w:vAlign w:val="center"/>
          </w:tcPr>
          <w:p w14:paraId="5A673E11" w14:textId="77777777" w:rsidR="00FC0A41" w:rsidRPr="006B17FD" w:rsidRDefault="00FC0A41" w:rsidP="001F43C8">
            <w:pPr>
              <w:spacing w:after="0" w:line="240" w:lineRule="auto"/>
              <w:ind w:firstLineChars="178" w:firstLine="320"/>
              <w:rPr>
                <w:sz w:val="18"/>
                <w:szCs w:val="18"/>
                <w:lang w:eastAsia="sk-SK"/>
              </w:rPr>
            </w:pPr>
            <w:r w:rsidRPr="006B17FD">
              <w:rPr>
                <w:sz w:val="18"/>
                <w:szCs w:val="18"/>
                <w:lang w:eastAsia="sk-SK"/>
              </w:rPr>
              <w:t>Vodohospodárska výstavba, š. p.</w:t>
            </w:r>
          </w:p>
        </w:tc>
        <w:tc>
          <w:tcPr>
            <w:tcW w:w="992" w:type="dxa"/>
            <w:tcBorders>
              <w:top w:val="nil"/>
              <w:left w:val="nil"/>
              <w:bottom w:val="nil"/>
              <w:right w:val="nil"/>
            </w:tcBorders>
            <w:vAlign w:val="center"/>
          </w:tcPr>
          <w:p w14:paraId="45C4EAAB"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408 419</w:t>
            </w:r>
          </w:p>
        </w:tc>
        <w:tc>
          <w:tcPr>
            <w:tcW w:w="1134" w:type="dxa"/>
            <w:tcBorders>
              <w:top w:val="nil"/>
              <w:left w:val="nil"/>
              <w:bottom w:val="nil"/>
              <w:right w:val="nil"/>
            </w:tcBorders>
            <w:vAlign w:val="center"/>
          </w:tcPr>
          <w:p w14:paraId="2E6B6974"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408 419</w:t>
            </w:r>
          </w:p>
        </w:tc>
        <w:tc>
          <w:tcPr>
            <w:tcW w:w="1276" w:type="dxa"/>
            <w:tcBorders>
              <w:top w:val="nil"/>
              <w:left w:val="nil"/>
              <w:bottom w:val="nil"/>
              <w:right w:val="nil"/>
            </w:tcBorders>
            <w:vAlign w:val="center"/>
          </w:tcPr>
          <w:p w14:paraId="69B95DFB" w14:textId="77777777" w:rsidR="00FC0A41" w:rsidRPr="005E1C3E" w:rsidRDefault="00FC0A41" w:rsidP="001F43C8">
            <w:pPr>
              <w:spacing w:after="0" w:line="240" w:lineRule="auto"/>
              <w:jc w:val="right"/>
              <w:rPr>
                <w:sz w:val="18"/>
                <w:szCs w:val="18"/>
                <w:lang w:eastAsia="sk-SK"/>
              </w:rPr>
            </w:pPr>
            <w:r>
              <w:rPr>
                <w:sz w:val="18"/>
                <w:szCs w:val="18"/>
                <w:lang w:eastAsia="sk-SK"/>
              </w:rPr>
              <w:t>410 499</w:t>
            </w:r>
          </w:p>
        </w:tc>
        <w:tc>
          <w:tcPr>
            <w:tcW w:w="1276" w:type="dxa"/>
            <w:tcBorders>
              <w:top w:val="nil"/>
              <w:left w:val="nil"/>
              <w:bottom w:val="nil"/>
              <w:right w:val="nil"/>
            </w:tcBorders>
            <w:vAlign w:val="center"/>
          </w:tcPr>
          <w:p w14:paraId="07575408" w14:textId="77777777" w:rsidR="00FC0A41" w:rsidRPr="00F50D75" w:rsidRDefault="00FC0A41" w:rsidP="001F43C8">
            <w:pPr>
              <w:spacing w:after="0" w:line="240" w:lineRule="auto"/>
              <w:jc w:val="right"/>
              <w:rPr>
                <w:sz w:val="18"/>
                <w:szCs w:val="18"/>
                <w:lang w:eastAsia="sk-SK"/>
              </w:rPr>
            </w:pPr>
            <w:r>
              <w:rPr>
                <w:sz w:val="18"/>
                <w:szCs w:val="18"/>
                <w:lang w:eastAsia="sk-SK"/>
              </w:rPr>
              <w:t>2 080</w:t>
            </w:r>
          </w:p>
        </w:tc>
      </w:tr>
      <w:tr w:rsidR="00FC0A41" w:rsidRPr="00975467" w14:paraId="2333A25E" w14:textId="77777777" w:rsidTr="001F43C8">
        <w:trPr>
          <w:trHeight w:val="284"/>
        </w:trPr>
        <w:tc>
          <w:tcPr>
            <w:tcW w:w="4395" w:type="dxa"/>
            <w:tcBorders>
              <w:top w:val="nil"/>
              <w:left w:val="nil"/>
              <w:bottom w:val="nil"/>
              <w:right w:val="nil"/>
            </w:tcBorders>
            <w:vAlign w:val="center"/>
          </w:tcPr>
          <w:p w14:paraId="6984B064" w14:textId="77777777" w:rsidR="00FC0A41" w:rsidRPr="00975467" w:rsidRDefault="00FC0A41" w:rsidP="001F43C8">
            <w:pPr>
              <w:spacing w:after="0" w:line="240" w:lineRule="auto"/>
              <w:ind w:firstLineChars="178" w:firstLine="320"/>
              <w:rPr>
                <w:color w:val="FF0000"/>
                <w:sz w:val="18"/>
                <w:szCs w:val="18"/>
                <w:highlight w:val="yellow"/>
                <w:lang w:eastAsia="sk-SK"/>
              </w:rPr>
            </w:pPr>
            <w:r w:rsidRPr="006B17FD">
              <w:rPr>
                <w:sz w:val="18"/>
                <w:szCs w:val="18"/>
                <w:lang w:eastAsia="sk-SK"/>
              </w:rPr>
              <w:t xml:space="preserve">MH Manažment, </w:t>
            </w:r>
            <w:r>
              <w:rPr>
                <w:sz w:val="18"/>
                <w:szCs w:val="18"/>
                <w:lang w:eastAsia="sk-SK"/>
              </w:rPr>
              <w:t xml:space="preserve">a. s. </w:t>
            </w:r>
          </w:p>
        </w:tc>
        <w:tc>
          <w:tcPr>
            <w:tcW w:w="992" w:type="dxa"/>
            <w:tcBorders>
              <w:top w:val="nil"/>
              <w:left w:val="nil"/>
              <w:bottom w:val="nil"/>
              <w:right w:val="nil"/>
            </w:tcBorders>
            <w:vAlign w:val="center"/>
          </w:tcPr>
          <w:p w14:paraId="226FD1DC"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26 550</w:t>
            </w:r>
          </w:p>
        </w:tc>
        <w:tc>
          <w:tcPr>
            <w:tcW w:w="1134" w:type="dxa"/>
            <w:tcBorders>
              <w:top w:val="nil"/>
              <w:left w:val="nil"/>
              <w:bottom w:val="nil"/>
              <w:right w:val="nil"/>
            </w:tcBorders>
            <w:vAlign w:val="center"/>
          </w:tcPr>
          <w:p w14:paraId="36D29D1E" w14:textId="77777777" w:rsidR="00FC0A41" w:rsidRPr="005E1C3E" w:rsidRDefault="00FC0A41" w:rsidP="001F43C8">
            <w:pPr>
              <w:spacing w:after="0" w:line="240" w:lineRule="auto"/>
              <w:jc w:val="right"/>
              <w:rPr>
                <w:sz w:val="18"/>
                <w:szCs w:val="18"/>
                <w:lang w:eastAsia="sk-SK"/>
              </w:rPr>
            </w:pPr>
            <w:r w:rsidRPr="0086301A">
              <w:rPr>
                <w:sz w:val="18"/>
                <w:szCs w:val="18"/>
                <w:lang w:eastAsia="sk-SK"/>
              </w:rPr>
              <w:t>41 213</w:t>
            </w:r>
          </w:p>
        </w:tc>
        <w:tc>
          <w:tcPr>
            <w:tcW w:w="1276" w:type="dxa"/>
            <w:tcBorders>
              <w:top w:val="nil"/>
              <w:left w:val="nil"/>
              <w:bottom w:val="nil"/>
              <w:right w:val="nil"/>
            </w:tcBorders>
            <w:vAlign w:val="center"/>
          </w:tcPr>
          <w:p w14:paraId="48E26A94" w14:textId="77777777" w:rsidR="00FC0A41" w:rsidRPr="005E1C3E" w:rsidRDefault="00FC0A41" w:rsidP="001F43C8">
            <w:pPr>
              <w:spacing w:after="0" w:line="240" w:lineRule="auto"/>
              <w:jc w:val="right"/>
              <w:rPr>
                <w:sz w:val="18"/>
                <w:szCs w:val="18"/>
                <w:lang w:eastAsia="sk-SK"/>
              </w:rPr>
            </w:pPr>
            <w:r>
              <w:rPr>
                <w:sz w:val="18"/>
                <w:szCs w:val="18"/>
                <w:lang w:eastAsia="sk-SK"/>
              </w:rPr>
              <w:t>43 657</w:t>
            </w:r>
          </w:p>
        </w:tc>
        <w:tc>
          <w:tcPr>
            <w:tcW w:w="1276" w:type="dxa"/>
            <w:tcBorders>
              <w:top w:val="nil"/>
              <w:left w:val="nil"/>
              <w:bottom w:val="nil"/>
              <w:right w:val="nil"/>
            </w:tcBorders>
            <w:vAlign w:val="center"/>
          </w:tcPr>
          <w:p w14:paraId="311F9213" w14:textId="77777777" w:rsidR="00FC0A41" w:rsidRPr="0086301A" w:rsidRDefault="00FC0A41" w:rsidP="001F43C8">
            <w:pPr>
              <w:spacing w:after="0" w:line="240" w:lineRule="auto"/>
              <w:jc w:val="right"/>
              <w:rPr>
                <w:sz w:val="18"/>
                <w:szCs w:val="18"/>
                <w:lang w:eastAsia="sk-SK"/>
              </w:rPr>
            </w:pPr>
            <w:r>
              <w:rPr>
                <w:sz w:val="18"/>
                <w:szCs w:val="18"/>
                <w:lang w:eastAsia="sk-SK"/>
              </w:rPr>
              <w:t>2444</w:t>
            </w:r>
          </w:p>
        </w:tc>
      </w:tr>
      <w:tr w:rsidR="00FC0A41" w:rsidRPr="00975467" w14:paraId="5F68A06E" w14:textId="77777777" w:rsidTr="001F43C8">
        <w:trPr>
          <w:trHeight w:val="284"/>
        </w:trPr>
        <w:tc>
          <w:tcPr>
            <w:tcW w:w="4395" w:type="dxa"/>
            <w:tcBorders>
              <w:top w:val="nil"/>
              <w:left w:val="nil"/>
              <w:bottom w:val="nil"/>
              <w:right w:val="nil"/>
            </w:tcBorders>
            <w:vAlign w:val="center"/>
          </w:tcPr>
          <w:p w14:paraId="0EE8C439" w14:textId="77777777" w:rsidR="00FC0A41" w:rsidRPr="005B5EAC" w:rsidRDefault="00FC0A41" w:rsidP="001F43C8">
            <w:pPr>
              <w:spacing w:after="0" w:line="240" w:lineRule="auto"/>
              <w:ind w:firstLineChars="178" w:firstLine="320"/>
              <w:rPr>
                <w:sz w:val="18"/>
                <w:szCs w:val="18"/>
                <w:highlight w:val="yellow"/>
                <w:lang w:eastAsia="sk-SK"/>
              </w:rPr>
            </w:pPr>
            <w:r w:rsidRPr="005B5EAC">
              <w:rPr>
                <w:sz w:val="18"/>
                <w:szCs w:val="18"/>
                <w:lang w:eastAsia="sk-SK"/>
              </w:rPr>
              <w:t>Ministerstvo financií SR</w:t>
            </w:r>
          </w:p>
        </w:tc>
        <w:tc>
          <w:tcPr>
            <w:tcW w:w="992" w:type="dxa"/>
            <w:tcBorders>
              <w:top w:val="nil"/>
              <w:left w:val="nil"/>
              <w:bottom w:val="nil"/>
              <w:right w:val="nil"/>
            </w:tcBorders>
            <w:vAlign w:val="center"/>
          </w:tcPr>
          <w:p w14:paraId="12BC6A8B"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3 910</w:t>
            </w:r>
          </w:p>
        </w:tc>
        <w:tc>
          <w:tcPr>
            <w:tcW w:w="1134" w:type="dxa"/>
            <w:tcBorders>
              <w:top w:val="nil"/>
              <w:left w:val="nil"/>
              <w:bottom w:val="nil"/>
              <w:right w:val="nil"/>
            </w:tcBorders>
            <w:vAlign w:val="center"/>
          </w:tcPr>
          <w:p w14:paraId="615013F0"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3 910</w:t>
            </w:r>
          </w:p>
        </w:tc>
        <w:tc>
          <w:tcPr>
            <w:tcW w:w="1276" w:type="dxa"/>
            <w:tcBorders>
              <w:top w:val="nil"/>
              <w:left w:val="nil"/>
              <w:bottom w:val="nil"/>
              <w:right w:val="nil"/>
            </w:tcBorders>
            <w:vAlign w:val="center"/>
          </w:tcPr>
          <w:p w14:paraId="5819B5ED" w14:textId="77777777" w:rsidR="00FC0A41" w:rsidRPr="005E1C3E" w:rsidRDefault="00FC0A41" w:rsidP="001F43C8">
            <w:pPr>
              <w:spacing w:after="0" w:line="240" w:lineRule="auto"/>
              <w:jc w:val="right"/>
              <w:rPr>
                <w:sz w:val="18"/>
                <w:szCs w:val="18"/>
                <w:lang w:eastAsia="sk-SK"/>
              </w:rPr>
            </w:pPr>
            <w:r>
              <w:rPr>
                <w:sz w:val="18"/>
                <w:szCs w:val="18"/>
                <w:lang w:eastAsia="sk-SK"/>
              </w:rPr>
              <w:t>3 910</w:t>
            </w:r>
          </w:p>
        </w:tc>
        <w:tc>
          <w:tcPr>
            <w:tcW w:w="1276" w:type="dxa"/>
            <w:tcBorders>
              <w:top w:val="nil"/>
              <w:left w:val="nil"/>
              <w:bottom w:val="nil"/>
              <w:right w:val="nil"/>
            </w:tcBorders>
            <w:vAlign w:val="center"/>
          </w:tcPr>
          <w:p w14:paraId="6D6539D5" w14:textId="77777777" w:rsidR="00FC0A41" w:rsidRPr="0086301A" w:rsidRDefault="00FC0A41" w:rsidP="001F43C8">
            <w:pPr>
              <w:spacing w:after="0" w:line="240" w:lineRule="auto"/>
              <w:jc w:val="right"/>
              <w:rPr>
                <w:sz w:val="18"/>
                <w:szCs w:val="18"/>
                <w:lang w:eastAsia="sk-SK"/>
              </w:rPr>
            </w:pPr>
            <w:r>
              <w:rPr>
                <w:sz w:val="18"/>
                <w:szCs w:val="18"/>
                <w:lang w:eastAsia="sk-SK"/>
              </w:rPr>
              <w:t>0</w:t>
            </w:r>
          </w:p>
        </w:tc>
      </w:tr>
      <w:tr w:rsidR="00FC0A41" w:rsidRPr="00975467" w14:paraId="7B298964" w14:textId="77777777" w:rsidTr="001F43C8">
        <w:trPr>
          <w:trHeight w:val="284"/>
        </w:trPr>
        <w:tc>
          <w:tcPr>
            <w:tcW w:w="4395" w:type="dxa"/>
            <w:tcBorders>
              <w:top w:val="nil"/>
              <w:left w:val="nil"/>
              <w:bottom w:val="nil"/>
              <w:right w:val="nil"/>
            </w:tcBorders>
            <w:vAlign w:val="center"/>
          </w:tcPr>
          <w:p w14:paraId="4BDF8622" w14:textId="77777777" w:rsidR="00FC0A41" w:rsidRPr="00975467" w:rsidRDefault="00FC0A41" w:rsidP="001F43C8">
            <w:pPr>
              <w:spacing w:after="0" w:line="240" w:lineRule="auto"/>
              <w:ind w:firstLineChars="178" w:firstLine="320"/>
              <w:rPr>
                <w:color w:val="FF0000"/>
                <w:sz w:val="18"/>
                <w:szCs w:val="18"/>
                <w:highlight w:val="yellow"/>
                <w:lang w:eastAsia="sk-SK"/>
              </w:rPr>
            </w:pPr>
            <w:r w:rsidRPr="006B17FD">
              <w:rPr>
                <w:sz w:val="18"/>
                <w:szCs w:val="18"/>
                <w:lang w:eastAsia="sk-SK"/>
              </w:rPr>
              <w:t>Ministerstvo vnútra SR</w:t>
            </w:r>
          </w:p>
        </w:tc>
        <w:tc>
          <w:tcPr>
            <w:tcW w:w="992" w:type="dxa"/>
            <w:tcBorders>
              <w:top w:val="nil"/>
              <w:left w:val="nil"/>
              <w:bottom w:val="nil"/>
              <w:right w:val="nil"/>
            </w:tcBorders>
            <w:vAlign w:val="center"/>
          </w:tcPr>
          <w:p w14:paraId="5929AEF3"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3 543</w:t>
            </w:r>
          </w:p>
        </w:tc>
        <w:tc>
          <w:tcPr>
            <w:tcW w:w="1134" w:type="dxa"/>
            <w:tcBorders>
              <w:top w:val="nil"/>
              <w:left w:val="nil"/>
              <w:bottom w:val="nil"/>
              <w:right w:val="nil"/>
            </w:tcBorders>
            <w:vAlign w:val="center"/>
          </w:tcPr>
          <w:p w14:paraId="2F298FFF" w14:textId="77777777" w:rsidR="00FC0A41" w:rsidRPr="005E1C3E" w:rsidRDefault="00FC0A41" w:rsidP="001F43C8">
            <w:pPr>
              <w:spacing w:after="0" w:line="240" w:lineRule="auto"/>
              <w:jc w:val="right"/>
              <w:rPr>
                <w:sz w:val="18"/>
                <w:szCs w:val="18"/>
                <w:lang w:eastAsia="sk-SK"/>
              </w:rPr>
            </w:pPr>
            <w:r w:rsidRPr="0086301A">
              <w:rPr>
                <w:sz w:val="18"/>
                <w:szCs w:val="18"/>
                <w:lang w:eastAsia="sk-SK"/>
              </w:rPr>
              <w:t>3 322</w:t>
            </w:r>
          </w:p>
        </w:tc>
        <w:tc>
          <w:tcPr>
            <w:tcW w:w="1276" w:type="dxa"/>
            <w:tcBorders>
              <w:top w:val="nil"/>
              <w:left w:val="nil"/>
              <w:bottom w:val="nil"/>
              <w:right w:val="nil"/>
            </w:tcBorders>
            <w:vAlign w:val="center"/>
          </w:tcPr>
          <w:p w14:paraId="6885FCCE" w14:textId="77777777" w:rsidR="00FC0A41" w:rsidRPr="005E1C3E" w:rsidRDefault="00FC0A41" w:rsidP="001F43C8">
            <w:pPr>
              <w:spacing w:after="0" w:line="240" w:lineRule="auto"/>
              <w:jc w:val="right"/>
              <w:rPr>
                <w:sz w:val="18"/>
                <w:szCs w:val="18"/>
                <w:lang w:eastAsia="sk-SK"/>
              </w:rPr>
            </w:pPr>
            <w:r>
              <w:rPr>
                <w:sz w:val="18"/>
                <w:szCs w:val="18"/>
                <w:lang w:eastAsia="sk-SK"/>
              </w:rPr>
              <w:t>3 939</w:t>
            </w:r>
          </w:p>
        </w:tc>
        <w:tc>
          <w:tcPr>
            <w:tcW w:w="1276" w:type="dxa"/>
            <w:tcBorders>
              <w:top w:val="nil"/>
              <w:left w:val="nil"/>
              <w:bottom w:val="nil"/>
              <w:right w:val="nil"/>
            </w:tcBorders>
            <w:vAlign w:val="center"/>
          </w:tcPr>
          <w:p w14:paraId="77405C80" w14:textId="77777777" w:rsidR="00FC0A41" w:rsidRPr="0086301A" w:rsidRDefault="00FC0A41" w:rsidP="001F43C8">
            <w:pPr>
              <w:spacing w:after="0" w:line="240" w:lineRule="auto"/>
              <w:jc w:val="right"/>
              <w:rPr>
                <w:sz w:val="18"/>
                <w:szCs w:val="18"/>
                <w:lang w:eastAsia="sk-SK"/>
              </w:rPr>
            </w:pPr>
            <w:r>
              <w:rPr>
                <w:sz w:val="18"/>
                <w:szCs w:val="18"/>
                <w:lang w:eastAsia="sk-SK"/>
              </w:rPr>
              <w:t>617</w:t>
            </w:r>
          </w:p>
        </w:tc>
      </w:tr>
      <w:tr w:rsidR="00FC0A41" w:rsidRPr="00975467" w14:paraId="4700D783" w14:textId="77777777" w:rsidTr="001F43C8">
        <w:trPr>
          <w:trHeight w:val="284"/>
        </w:trPr>
        <w:tc>
          <w:tcPr>
            <w:tcW w:w="4395" w:type="dxa"/>
            <w:tcBorders>
              <w:top w:val="nil"/>
              <w:left w:val="nil"/>
              <w:bottom w:val="nil"/>
              <w:right w:val="nil"/>
            </w:tcBorders>
            <w:vAlign w:val="center"/>
          </w:tcPr>
          <w:p w14:paraId="0388BAF1" w14:textId="77777777" w:rsidR="00FC0A41" w:rsidRPr="00975467" w:rsidRDefault="00FC0A41" w:rsidP="001F43C8">
            <w:pPr>
              <w:spacing w:after="0" w:line="240" w:lineRule="auto"/>
              <w:ind w:firstLineChars="178" w:firstLine="320"/>
              <w:rPr>
                <w:color w:val="FF0000"/>
                <w:sz w:val="18"/>
                <w:szCs w:val="18"/>
                <w:highlight w:val="yellow"/>
                <w:lang w:eastAsia="sk-SK"/>
              </w:rPr>
            </w:pPr>
            <w:r w:rsidRPr="006B17FD">
              <w:rPr>
                <w:sz w:val="18"/>
                <w:szCs w:val="18"/>
                <w:lang w:eastAsia="sk-SK"/>
              </w:rPr>
              <w:t>Finančné riaditeľstvo SR</w:t>
            </w:r>
          </w:p>
        </w:tc>
        <w:tc>
          <w:tcPr>
            <w:tcW w:w="992" w:type="dxa"/>
            <w:tcBorders>
              <w:top w:val="nil"/>
              <w:left w:val="nil"/>
              <w:bottom w:val="nil"/>
              <w:right w:val="nil"/>
            </w:tcBorders>
            <w:vAlign w:val="center"/>
          </w:tcPr>
          <w:p w14:paraId="2F785B89"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0</w:t>
            </w:r>
          </w:p>
        </w:tc>
        <w:tc>
          <w:tcPr>
            <w:tcW w:w="1134" w:type="dxa"/>
            <w:tcBorders>
              <w:top w:val="nil"/>
              <w:left w:val="nil"/>
              <w:bottom w:val="nil"/>
              <w:right w:val="nil"/>
            </w:tcBorders>
            <w:vAlign w:val="center"/>
          </w:tcPr>
          <w:p w14:paraId="375C6226" w14:textId="77777777" w:rsidR="00FC0A41" w:rsidRPr="005E1C3E" w:rsidRDefault="00FC0A41" w:rsidP="001F43C8">
            <w:pPr>
              <w:spacing w:after="0" w:line="240" w:lineRule="auto"/>
              <w:jc w:val="right"/>
              <w:rPr>
                <w:sz w:val="18"/>
                <w:szCs w:val="18"/>
                <w:lang w:eastAsia="sk-SK"/>
              </w:rPr>
            </w:pPr>
            <w:r w:rsidRPr="0086301A">
              <w:rPr>
                <w:sz w:val="18"/>
                <w:szCs w:val="18"/>
                <w:lang w:eastAsia="sk-SK"/>
              </w:rPr>
              <w:t>4 077</w:t>
            </w:r>
          </w:p>
        </w:tc>
        <w:tc>
          <w:tcPr>
            <w:tcW w:w="1276" w:type="dxa"/>
            <w:tcBorders>
              <w:top w:val="nil"/>
              <w:left w:val="nil"/>
              <w:bottom w:val="nil"/>
              <w:right w:val="nil"/>
            </w:tcBorders>
            <w:vAlign w:val="center"/>
          </w:tcPr>
          <w:p w14:paraId="6E2E1B4D" w14:textId="77777777" w:rsidR="00FC0A41" w:rsidRPr="005E1C3E" w:rsidRDefault="00FC0A41" w:rsidP="001F43C8">
            <w:pPr>
              <w:spacing w:after="0" w:line="240" w:lineRule="auto"/>
              <w:jc w:val="right"/>
              <w:rPr>
                <w:sz w:val="18"/>
                <w:szCs w:val="18"/>
                <w:lang w:eastAsia="sk-SK"/>
              </w:rPr>
            </w:pPr>
            <w:r>
              <w:rPr>
                <w:sz w:val="18"/>
                <w:szCs w:val="18"/>
                <w:lang w:eastAsia="sk-SK"/>
              </w:rPr>
              <w:t>4 077</w:t>
            </w:r>
          </w:p>
        </w:tc>
        <w:tc>
          <w:tcPr>
            <w:tcW w:w="1276" w:type="dxa"/>
            <w:tcBorders>
              <w:top w:val="nil"/>
              <w:left w:val="nil"/>
              <w:bottom w:val="nil"/>
              <w:right w:val="nil"/>
            </w:tcBorders>
            <w:vAlign w:val="center"/>
          </w:tcPr>
          <w:p w14:paraId="79DA4E75" w14:textId="77777777" w:rsidR="00FC0A41" w:rsidRPr="0086301A" w:rsidRDefault="00FC0A41" w:rsidP="001F43C8">
            <w:pPr>
              <w:spacing w:after="0" w:line="240" w:lineRule="auto"/>
              <w:jc w:val="right"/>
              <w:rPr>
                <w:sz w:val="18"/>
                <w:szCs w:val="18"/>
                <w:lang w:eastAsia="sk-SK"/>
              </w:rPr>
            </w:pPr>
            <w:r>
              <w:rPr>
                <w:sz w:val="18"/>
                <w:szCs w:val="18"/>
                <w:lang w:eastAsia="sk-SK"/>
              </w:rPr>
              <w:t>0</w:t>
            </w:r>
          </w:p>
        </w:tc>
      </w:tr>
      <w:tr w:rsidR="00FC0A41" w:rsidRPr="00975467" w14:paraId="60830C00" w14:textId="77777777" w:rsidTr="001F43C8">
        <w:trPr>
          <w:trHeight w:val="284"/>
        </w:trPr>
        <w:tc>
          <w:tcPr>
            <w:tcW w:w="4395" w:type="dxa"/>
            <w:tcBorders>
              <w:top w:val="nil"/>
              <w:left w:val="nil"/>
              <w:bottom w:val="nil"/>
              <w:right w:val="nil"/>
            </w:tcBorders>
            <w:vAlign w:val="center"/>
          </w:tcPr>
          <w:p w14:paraId="0658A3EB" w14:textId="77777777" w:rsidR="00FC0A41" w:rsidRPr="005267C6" w:rsidRDefault="00FC0A41" w:rsidP="001F43C8">
            <w:pPr>
              <w:spacing w:after="0" w:line="240" w:lineRule="auto"/>
              <w:rPr>
                <w:b/>
                <w:sz w:val="18"/>
                <w:szCs w:val="18"/>
                <w:highlight w:val="yellow"/>
                <w:lang w:eastAsia="sk-SK"/>
              </w:rPr>
            </w:pPr>
            <w:r w:rsidRPr="005267C6">
              <w:rPr>
                <w:b/>
                <w:sz w:val="18"/>
                <w:szCs w:val="18"/>
                <w:lang w:eastAsia="sk-SK"/>
              </w:rPr>
              <w:t>Iné (štátne podniky)</w:t>
            </w:r>
          </w:p>
        </w:tc>
        <w:tc>
          <w:tcPr>
            <w:tcW w:w="992" w:type="dxa"/>
            <w:tcBorders>
              <w:top w:val="nil"/>
              <w:left w:val="nil"/>
              <w:bottom w:val="nil"/>
              <w:right w:val="nil"/>
            </w:tcBorders>
            <w:vAlign w:val="center"/>
          </w:tcPr>
          <w:p w14:paraId="1195345B" w14:textId="77777777" w:rsidR="00FC0A41" w:rsidRPr="005E1C3E" w:rsidRDefault="00FC0A41" w:rsidP="001F43C8">
            <w:pPr>
              <w:spacing w:after="0" w:line="240" w:lineRule="auto"/>
              <w:jc w:val="right"/>
              <w:rPr>
                <w:b/>
                <w:sz w:val="18"/>
                <w:szCs w:val="18"/>
                <w:lang w:eastAsia="sk-SK"/>
              </w:rPr>
            </w:pPr>
            <w:r w:rsidRPr="005E1C3E">
              <w:rPr>
                <w:b/>
                <w:sz w:val="18"/>
                <w:szCs w:val="18"/>
                <w:lang w:eastAsia="sk-SK"/>
              </w:rPr>
              <w:t>8 849 304</w:t>
            </w:r>
          </w:p>
        </w:tc>
        <w:tc>
          <w:tcPr>
            <w:tcW w:w="1134" w:type="dxa"/>
            <w:tcBorders>
              <w:top w:val="nil"/>
              <w:left w:val="nil"/>
              <w:bottom w:val="nil"/>
              <w:right w:val="nil"/>
            </w:tcBorders>
            <w:vAlign w:val="center"/>
          </w:tcPr>
          <w:p w14:paraId="24065390" w14:textId="77777777" w:rsidR="00FC0A41" w:rsidRPr="005E1C3E" w:rsidRDefault="00FC0A41" w:rsidP="001F43C8">
            <w:pPr>
              <w:spacing w:after="0" w:line="240" w:lineRule="auto"/>
              <w:jc w:val="right"/>
              <w:rPr>
                <w:b/>
                <w:sz w:val="18"/>
                <w:szCs w:val="18"/>
                <w:lang w:eastAsia="sk-SK"/>
              </w:rPr>
            </w:pPr>
            <w:r w:rsidRPr="005267C6">
              <w:rPr>
                <w:b/>
                <w:sz w:val="18"/>
                <w:szCs w:val="18"/>
                <w:lang w:eastAsia="sk-SK"/>
              </w:rPr>
              <w:t>8 096 525</w:t>
            </w:r>
          </w:p>
        </w:tc>
        <w:tc>
          <w:tcPr>
            <w:tcW w:w="1276" w:type="dxa"/>
            <w:tcBorders>
              <w:top w:val="nil"/>
              <w:left w:val="nil"/>
              <w:bottom w:val="nil"/>
              <w:right w:val="nil"/>
            </w:tcBorders>
            <w:vAlign w:val="center"/>
          </w:tcPr>
          <w:p w14:paraId="21C08040" w14:textId="71E9DFB3" w:rsidR="00FC0A41" w:rsidRPr="005E1C3E" w:rsidRDefault="00FC0A41" w:rsidP="00281FBC">
            <w:pPr>
              <w:spacing w:after="0" w:line="240" w:lineRule="auto"/>
              <w:jc w:val="right"/>
              <w:rPr>
                <w:b/>
                <w:sz w:val="18"/>
                <w:szCs w:val="18"/>
                <w:lang w:eastAsia="sk-SK"/>
              </w:rPr>
            </w:pPr>
            <w:r>
              <w:rPr>
                <w:b/>
                <w:sz w:val="18"/>
                <w:szCs w:val="18"/>
                <w:lang w:eastAsia="sk-SK"/>
              </w:rPr>
              <w:t>7 79</w:t>
            </w:r>
            <w:r w:rsidR="00281FBC">
              <w:rPr>
                <w:b/>
                <w:sz w:val="18"/>
                <w:szCs w:val="18"/>
                <w:lang w:eastAsia="sk-SK"/>
              </w:rPr>
              <w:t>2</w:t>
            </w:r>
            <w:r>
              <w:rPr>
                <w:b/>
                <w:sz w:val="18"/>
                <w:szCs w:val="18"/>
                <w:lang w:eastAsia="sk-SK"/>
              </w:rPr>
              <w:t xml:space="preserve"> </w:t>
            </w:r>
            <w:r w:rsidR="00281FBC">
              <w:rPr>
                <w:b/>
                <w:sz w:val="18"/>
                <w:szCs w:val="18"/>
                <w:lang w:eastAsia="sk-SK"/>
              </w:rPr>
              <w:t>958</w:t>
            </w:r>
          </w:p>
        </w:tc>
        <w:tc>
          <w:tcPr>
            <w:tcW w:w="1276" w:type="dxa"/>
            <w:tcBorders>
              <w:top w:val="nil"/>
              <w:left w:val="nil"/>
              <w:bottom w:val="nil"/>
              <w:right w:val="nil"/>
            </w:tcBorders>
            <w:vAlign w:val="center"/>
          </w:tcPr>
          <w:p w14:paraId="7104CEEB" w14:textId="28059B1F" w:rsidR="00FC0A41" w:rsidRPr="005267C6" w:rsidRDefault="00FC0A41" w:rsidP="00281FBC">
            <w:pPr>
              <w:spacing w:after="0" w:line="240" w:lineRule="auto"/>
              <w:jc w:val="right"/>
              <w:rPr>
                <w:b/>
                <w:sz w:val="18"/>
                <w:szCs w:val="18"/>
                <w:lang w:eastAsia="sk-SK"/>
              </w:rPr>
            </w:pPr>
            <w:r>
              <w:rPr>
                <w:b/>
                <w:sz w:val="18"/>
                <w:szCs w:val="18"/>
                <w:lang w:eastAsia="sk-SK"/>
              </w:rPr>
              <w:t>-30</w:t>
            </w:r>
            <w:r w:rsidR="00281FBC">
              <w:rPr>
                <w:b/>
                <w:sz w:val="18"/>
                <w:szCs w:val="18"/>
                <w:lang w:eastAsia="sk-SK"/>
              </w:rPr>
              <w:t>3</w:t>
            </w:r>
            <w:r>
              <w:rPr>
                <w:b/>
                <w:sz w:val="18"/>
                <w:szCs w:val="18"/>
                <w:lang w:eastAsia="sk-SK"/>
              </w:rPr>
              <w:t xml:space="preserve"> </w:t>
            </w:r>
            <w:r w:rsidR="00281FBC">
              <w:rPr>
                <w:b/>
                <w:sz w:val="18"/>
                <w:szCs w:val="18"/>
                <w:lang w:eastAsia="sk-SK"/>
              </w:rPr>
              <w:t>567</w:t>
            </w:r>
          </w:p>
        </w:tc>
      </w:tr>
      <w:tr w:rsidR="00FC0A41" w:rsidRPr="00975467" w14:paraId="3D1E8E2C" w14:textId="77777777" w:rsidTr="001F43C8">
        <w:trPr>
          <w:trHeight w:val="284"/>
        </w:trPr>
        <w:tc>
          <w:tcPr>
            <w:tcW w:w="4395" w:type="dxa"/>
            <w:tcBorders>
              <w:top w:val="nil"/>
              <w:left w:val="nil"/>
              <w:bottom w:val="nil"/>
              <w:right w:val="nil"/>
            </w:tcBorders>
            <w:vAlign w:val="center"/>
          </w:tcPr>
          <w:p w14:paraId="1E7034F1" w14:textId="77777777" w:rsidR="00FC0A41" w:rsidRPr="005267C6" w:rsidRDefault="00FC0A41" w:rsidP="001F43C8">
            <w:pPr>
              <w:spacing w:after="0" w:line="240" w:lineRule="auto"/>
              <w:ind w:firstLineChars="178" w:firstLine="320"/>
              <w:rPr>
                <w:color w:val="FF0000"/>
                <w:sz w:val="18"/>
                <w:szCs w:val="18"/>
                <w:lang w:eastAsia="sk-SK"/>
              </w:rPr>
            </w:pPr>
            <w:r w:rsidRPr="005267C6">
              <w:rPr>
                <w:sz w:val="18"/>
                <w:szCs w:val="18"/>
                <w:lang w:eastAsia="sk-SK"/>
              </w:rPr>
              <w:t>Lesy SR, š. p. (hodnota lesných porastov)</w:t>
            </w:r>
          </w:p>
        </w:tc>
        <w:tc>
          <w:tcPr>
            <w:tcW w:w="992" w:type="dxa"/>
            <w:tcBorders>
              <w:top w:val="nil"/>
              <w:left w:val="nil"/>
              <w:bottom w:val="nil"/>
              <w:right w:val="nil"/>
            </w:tcBorders>
            <w:vAlign w:val="center"/>
          </w:tcPr>
          <w:p w14:paraId="51ABCC54"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4 017 128</w:t>
            </w:r>
          </w:p>
        </w:tc>
        <w:tc>
          <w:tcPr>
            <w:tcW w:w="1134" w:type="dxa"/>
            <w:tcBorders>
              <w:top w:val="nil"/>
              <w:left w:val="nil"/>
              <w:bottom w:val="nil"/>
              <w:right w:val="nil"/>
            </w:tcBorders>
            <w:vAlign w:val="center"/>
          </w:tcPr>
          <w:p w14:paraId="46CA96FF" w14:textId="77777777" w:rsidR="00FC0A41" w:rsidRPr="005E1C3E" w:rsidRDefault="00FC0A41" w:rsidP="001F43C8">
            <w:pPr>
              <w:spacing w:after="0" w:line="240" w:lineRule="auto"/>
              <w:jc w:val="right"/>
              <w:rPr>
                <w:sz w:val="18"/>
                <w:szCs w:val="18"/>
                <w:lang w:eastAsia="sk-SK"/>
              </w:rPr>
            </w:pPr>
            <w:r w:rsidRPr="009E2076">
              <w:rPr>
                <w:sz w:val="18"/>
                <w:szCs w:val="18"/>
                <w:lang w:eastAsia="sk-SK"/>
              </w:rPr>
              <w:t>3 930 916</w:t>
            </w:r>
          </w:p>
        </w:tc>
        <w:tc>
          <w:tcPr>
            <w:tcW w:w="1276" w:type="dxa"/>
            <w:tcBorders>
              <w:top w:val="nil"/>
              <w:left w:val="nil"/>
              <w:bottom w:val="nil"/>
              <w:right w:val="nil"/>
            </w:tcBorders>
            <w:vAlign w:val="center"/>
          </w:tcPr>
          <w:p w14:paraId="650F7E5D" w14:textId="77777777" w:rsidR="00FC0A41" w:rsidRPr="005E1C3E" w:rsidRDefault="00FC0A41" w:rsidP="001F43C8">
            <w:pPr>
              <w:spacing w:after="0" w:line="240" w:lineRule="auto"/>
              <w:jc w:val="right"/>
              <w:rPr>
                <w:sz w:val="18"/>
                <w:szCs w:val="18"/>
                <w:lang w:eastAsia="sk-SK"/>
              </w:rPr>
            </w:pPr>
            <w:r>
              <w:rPr>
                <w:sz w:val="18"/>
                <w:szCs w:val="18"/>
                <w:lang w:eastAsia="sk-SK"/>
              </w:rPr>
              <w:t>3 814 721</w:t>
            </w:r>
          </w:p>
        </w:tc>
        <w:tc>
          <w:tcPr>
            <w:tcW w:w="1276" w:type="dxa"/>
            <w:tcBorders>
              <w:top w:val="nil"/>
              <w:left w:val="nil"/>
              <w:bottom w:val="nil"/>
              <w:right w:val="nil"/>
            </w:tcBorders>
            <w:vAlign w:val="center"/>
          </w:tcPr>
          <w:p w14:paraId="1E6FABCD" w14:textId="77777777" w:rsidR="00FC0A41" w:rsidRPr="009E2076" w:rsidRDefault="00FC0A41" w:rsidP="001F43C8">
            <w:pPr>
              <w:spacing w:after="0" w:line="240" w:lineRule="auto"/>
              <w:jc w:val="right"/>
              <w:rPr>
                <w:sz w:val="18"/>
                <w:szCs w:val="18"/>
                <w:lang w:eastAsia="sk-SK"/>
              </w:rPr>
            </w:pPr>
            <w:r>
              <w:rPr>
                <w:sz w:val="18"/>
                <w:szCs w:val="18"/>
                <w:lang w:eastAsia="sk-SK"/>
              </w:rPr>
              <w:t>-116 195</w:t>
            </w:r>
          </w:p>
        </w:tc>
      </w:tr>
      <w:tr w:rsidR="00FC0A41" w:rsidRPr="00975467" w14:paraId="756F509D" w14:textId="77777777" w:rsidTr="001F43C8">
        <w:trPr>
          <w:trHeight w:val="284"/>
        </w:trPr>
        <w:tc>
          <w:tcPr>
            <w:tcW w:w="4395" w:type="dxa"/>
            <w:tcBorders>
              <w:top w:val="nil"/>
              <w:left w:val="nil"/>
              <w:bottom w:val="nil"/>
              <w:right w:val="nil"/>
            </w:tcBorders>
            <w:vAlign w:val="center"/>
          </w:tcPr>
          <w:p w14:paraId="5840F863" w14:textId="77777777" w:rsidR="00FC0A41" w:rsidRPr="005C4966" w:rsidRDefault="00FC0A41" w:rsidP="001F43C8">
            <w:pPr>
              <w:spacing w:after="0" w:line="240" w:lineRule="auto"/>
              <w:ind w:firstLineChars="178" w:firstLine="320"/>
              <w:rPr>
                <w:sz w:val="18"/>
                <w:szCs w:val="18"/>
                <w:lang w:eastAsia="sk-SK"/>
              </w:rPr>
            </w:pPr>
            <w:proofErr w:type="spellStart"/>
            <w:r w:rsidRPr="005C4966">
              <w:rPr>
                <w:sz w:val="18"/>
                <w:szCs w:val="18"/>
                <w:lang w:eastAsia="sk-SK"/>
              </w:rPr>
              <w:t>SKo</w:t>
            </w:r>
            <w:proofErr w:type="spellEnd"/>
            <w:r w:rsidRPr="005C4966">
              <w:rPr>
                <w:sz w:val="18"/>
                <w:szCs w:val="18"/>
                <w:lang w:eastAsia="sk-SK"/>
              </w:rPr>
              <w:t xml:space="preserve">, </w:t>
            </w:r>
            <w:r>
              <w:rPr>
                <w:sz w:val="18"/>
                <w:szCs w:val="18"/>
                <w:lang w:eastAsia="sk-SK"/>
              </w:rPr>
              <w:t xml:space="preserve">a. s. </w:t>
            </w:r>
            <w:r w:rsidRPr="005C4966">
              <w:rPr>
                <w:sz w:val="18"/>
                <w:szCs w:val="18"/>
                <w:lang w:eastAsia="sk-SK"/>
              </w:rPr>
              <w:t xml:space="preserve"> (pohľadávky na </w:t>
            </w:r>
            <w:proofErr w:type="spellStart"/>
            <w:r w:rsidRPr="005C4966">
              <w:rPr>
                <w:sz w:val="18"/>
                <w:szCs w:val="18"/>
                <w:lang w:eastAsia="sk-SK"/>
              </w:rPr>
              <w:t>podsúvahe</w:t>
            </w:r>
            <w:proofErr w:type="spellEnd"/>
            <w:r w:rsidRPr="005C4966">
              <w:rPr>
                <w:sz w:val="18"/>
                <w:szCs w:val="18"/>
                <w:lang w:eastAsia="sk-SK"/>
              </w:rPr>
              <w:t>)</w:t>
            </w:r>
          </w:p>
        </w:tc>
        <w:tc>
          <w:tcPr>
            <w:tcW w:w="992" w:type="dxa"/>
            <w:tcBorders>
              <w:top w:val="nil"/>
              <w:left w:val="nil"/>
              <w:bottom w:val="nil"/>
              <w:right w:val="nil"/>
            </w:tcBorders>
            <w:vAlign w:val="center"/>
          </w:tcPr>
          <w:p w14:paraId="4F85D5F7"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3 624 879</w:t>
            </w:r>
          </w:p>
        </w:tc>
        <w:tc>
          <w:tcPr>
            <w:tcW w:w="1134" w:type="dxa"/>
            <w:tcBorders>
              <w:top w:val="nil"/>
              <w:left w:val="nil"/>
              <w:bottom w:val="nil"/>
              <w:right w:val="nil"/>
            </w:tcBorders>
            <w:vAlign w:val="center"/>
          </w:tcPr>
          <w:p w14:paraId="5C6E4310" w14:textId="77777777" w:rsidR="00FC0A41" w:rsidRPr="005E1C3E" w:rsidRDefault="00FC0A41" w:rsidP="001F43C8">
            <w:pPr>
              <w:spacing w:after="0" w:line="240" w:lineRule="auto"/>
              <w:jc w:val="right"/>
              <w:rPr>
                <w:sz w:val="18"/>
                <w:szCs w:val="18"/>
                <w:lang w:eastAsia="sk-SK"/>
              </w:rPr>
            </w:pPr>
            <w:r w:rsidRPr="005C4966">
              <w:rPr>
                <w:sz w:val="18"/>
                <w:szCs w:val="18"/>
                <w:lang w:eastAsia="sk-SK"/>
              </w:rPr>
              <w:t>3 162 420</w:t>
            </w:r>
          </w:p>
        </w:tc>
        <w:tc>
          <w:tcPr>
            <w:tcW w:w="1276" w:type="dxa"/>
            <w:tcBorders>
              <w:top w:val="nil"/>
              <w:left w:val="nil"/>
              <w:bottom w:val="nil"/>
              <w:right w:val="nil"/>
            </w:tcBorders>
            <w:vAlign w:val="center"/>
          </w:tcPr>
          <w:p w14:paraId="0D0FB0F4" w14:textId="5F0CDB9A" w:rsidR="00FC0A41" w:rsidRPr="005E1C3E" w:rsidRDefault="00FC0A41" w:rsidP="00281FBC">
            <w:pPr>
              <w:spacing w:after="0" w:line="240" w:lineRule="auto"/>
              <w:jc w:val="right"/>
              <w:rPr>
                <w:sz w:val="18"/>
                <w:szCs w:val="18"/>
                <w:lang w:eastAsia="sk-SK"/>
              </w:rPr>
            </w:pPr>
            <w:r>
              <w:rPr>
                <w:sz w:val="18"/>
                <w:szCs w:val="18"/>
                <w:lang w:eastAsia="sk-SK"/>
              </w:rPr>
              <w:t>2 92</w:t>
            </w:r>
            <w:r w:rsidR="00281FBC">
              <w:rPr>
                <w:sz w:val="18"/>
                <w:szCs w:val="18"/>
                <w:lang w:eastAsia="sk-SK"/>
              </w:rPr>
              <w:t>0</w:t>
            </w:r>
            <w:r>
              <w:rPr>
                <w:sz w:val="18"/>
                <w:szCs w:val="18"/>
                <w:lang w:eastAsia="sk-SK"/>
              </w:rPr>
              <w:t xml:space="preserve"> </w:t>
            </w:r>
            <w:r w:rsidR="00281FBC">
              <w:rPr>
                <w:sz w:val="18"/>
                <w:szCs w:val="18"/>
                <w:lang w:eastAsia="sk-SK"/>
              </w:rPr>
              <w:t>022</w:t>
            </w:r>
          </w:p>
        </w:tc>
        <w:tc>
          <w:tcPr>
            <w:tcW w:w="1276" w:type="dxa"/>
            <w:tcBorders>
              <w:top w:val="nil"/>
              <w:left w:val="nil"/>
              <w:bottom w:val="nil"/>
              <w:right w:val="nil"/>
            </w:tcBorders>
            <w:vAlign w:val="center"/>
          </w:tcPr>
          <w:p w14:paraId="2E0448F3" w14:textId="776D9E8D" w:rsidR="00FC0A41" w:rsidRPr="005C4966" w:rsidRDefault="00FC0A41" w:rsidP="00281FBC">
            <w:pPr>
              <w:spacing w:after="0" w:line="240" w:lineRule="auto"/>
              <w:jc w:val="right"/>
              <w:rPr>
                <w:sz w:val="18"/>
                <w:szCs w:val="18"/>
                <w:lang w:eastAsia="sk-SK"/>
              </w:rPr>
            </w:pPr>
            <w:r>
              <w:rPr>
                <w:sz w:val="18"/>
                <w:szCs w:val="18"/>
                <w:lang w:eastAsia="sk-SK"/>
              </w:rPr>
              <w:t>-24</w:t>
            </w:r>
            <w:r w:rsidR="00281FBC">
              <w:rPr>
                <w:sz w:val="18"/>
                <w:szCs w:val="18"/>
                <w:lang w:eastAsia="sk-SK"/>
              </w:rPr>
              <w:t>2</w:t>
            </w:r>
            <w:r>
              <w:rPr>
                <w:sz w:val="18"/>
                <w:szCs w:val="18"/>
                <w:lang w:eastAsia="sk-SK"/>
              </w:rPr>
              <w:t xml:space="preserve"> </w:t>
            </w:r>
            <w:r w:rsidR="00281FBC">
              <w:rPr>
                <w:sz w:val="18"/>
                <w:szCs w:val="18"/>
                <w:lang w:eastAsia="sk-SK"/>
              </w:rPr>
              <w:t>398</w:t>
            </w:r>
          </w:p>
        </w:tc>
      </w:tr>
      <w:tr w:rsidR="00FC0A41" w:rsidRPr="00975467" w14:paraId="2F940983" w14:textId="77777777" w:rsidTr="001F43C8">
        <w:trPr>
          <w:trHeight w:val="284"/>
        </w:trPr>
        <w:tc>
          <w:tcPr>
            <w:tcW w:w="4395" w:type="dxa"/>
            <w:tcBorders>
              <w:top w:val="nil"/>
              <w:left w:val="nil"/>
              <w:bottom w:val="nil"/>
              <w:right w:val="nil"/>
            </w:tcBorders>
            <w:vAlign w:val="center"/>
          </w:tcPr>
          <w:p w14:paraId="4A749C08" w14:textId="77777777" w:rsidR="00FC0A41" w:rsidRPr="00296B46" w:rsidRDefault="00FC0A41" w:rsidP="001F43C8">
            <w:pPr>
              <w:spacing w:after="0" w:line="240" w:lineRule="auto"/>
              <w:ind w:firstLineChars="178" w:firstLine="320"/>
              <w:rPr>
                <w:sz w:val="18"/>
                <w:szCs w:val="18"/>
                <w:highlight w:val="yellow"/>
                <w:lang w:eastAsia="sk-SK"/>
              </w:rPr>
            </w:pPr>
            <w:r w:rsidRPr="00296B46">
              <w:rPr>
                <w:sz w:val="18"/>
                <w:szCs w:val="18"/>
                <w:lang w:eastAsia="sk-SK"/>
              </w:rPr>
              <w:t>Exportno-importná banka</w:t>
            </w:r>
            <w:r>
              <w:rPr>
                <w:sz w:val="18"/>
                <w:szCs w:val="18"/>
                <w:lang w:eastAsia="sk-SK"/>
              </w:rPr>
              <w:t xml:space="preserve"> (záruky)</w:t>
            </w:r>
          </w:p>
        </w:tc>
        <w:tc>
          <w:tcPr>
            <w:tcW w:w="992" w:type="dxa"/>
            <w:tcBorders>
              <w:top w:val="nil"/>
              <w:left w:val="nil"/>
              <w:bottom w:val="nil"/>
              <w:right w:val="nil"/>
            </w:tcBorders>
            <w:vAlign w:val="center"/>
          </w:tcPr>
          <w:p w14:paraId="7692C8A1"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373 493</w:t>
            </w:r>
          </w:p>
        </w:tc>
        <w:tc>
          <w:tcPr>
            <w:tcW w:w="1134" w:type="dxa"/>
            <w:tcBorders>
              <w:top w:val="nil"/>
              <w:left w:val="nil"/>
              <w:bottom w:val="nil"/>
              <w:right w:val="nil"/>
            </w:tcBorders>
            <w:vAlign w:val="center"/>
          </w:tcPr>
          <w:p w14:paraId="7827ADA3" w14:textId="77777777" w:rsidR="00FC0A41" w:rsidRPr="005E1C3E" w:rsidRDefault="00FC0A41" w:rsidP="001F43C8">
            <w:pPr>
              <w:spacing w:after="0" w:line="240" w:lineRule="auto"/>
              <w:jc w:val="right"/>
              <w:rPr>
                <w:sz w:val="18"/>
                <w:szCs w:val="18"/>
                <w:lang w:eastAsia="sk-SK"/>
              </w:rPr>
            </w:pPr>
            <w:r w:rsidRPr="00296B46">
              <w:rPr>
                <w:sz w:val="18"/>
                <w:szCs w:val="18"/>
                <w:lang w:eastAsia="sk-SK"/>
              </w:rPr>
              <w:t>418 023</w:t>
            </w:r>
          </w:p>
        </w:tc>
        <w:tc>
          <w:tcPr>
            <w:tcW w:w="1276" w:type="dxa"/>
            <w:tcBorders>
              <w:top w:val="nil"/>
              <w:left w:val="nil"/>
              <w:bottom w:val="nil"/>
              <w:right w:val="nil"/>
            </w:tcBorders>
            <w:vAlign w:val="center"/>
          </w:tcPr>
          <w:p w14:paraId="253D4ED0" w14:textId="77777777" w:rsidR="00FC0A41" w:rsidRPr="005E1C3E" w:rsidRDefault="00FC0A41" w:rsidP="001F43C8">
            <w:pPr>
              <w:spacing w:after="0" w:line="240" w:lineRule="auto"/>
              <w:jc w:val="right"/>
              <w:rPr>
                <w:sz w:val="18"/>
                <w:szCs w:val="18"/>
                <w:lang w:eastAsia="sk-SK"/>
              </w:rPr>
            </w:pPr>
            <w:r>
              <w:rPr>
                <w:sz w:val="18"/>
                <w:szCs w:val="18"/>
                <w:lang w:eastAsia="sk-SK"/>
              </w:rPr>
              <w:t>369 968</w:t>
            </w:r>
          </w:p>
        </w:tc>
        <w:tc>
          <w:tcPr>
            <w:tcW w:w="1276" w:type="dxa"/>
            <w:tcBorders>
              <w:top w:val="nil"/>
              <w:left w:val="nil"/>
              <w:bottom w:val="nil"/>
              <w:right w:val="nil"/>
            </w:tcBorders>
            <w:vAlign w:val="center"/>
          </w:tcPr>
          <w:p w14:paraId="3C053A22" w14:textId="77777777" w:rsidR="00FC0A41" w:rsidRPr="00296B46" w:rsidRDefault="00FC0A41" w:rsidP="001F43C8">
            <w:pPr>
              <w:spacing w:after="0" w:line="240" w:lineRule="auto"/>
              <w:jc w:val="right"/>
              <w:rPr>
                <w:sz w:val="18"/>
                <w:szCs w:val="18"/>
                <w:lang w:eastAsia="sk-SK"/>
              </w:rPr>
            </w:pPr>
            <w:r>
              <w:rPr>
                <w:sz w:val="18"/>
                <w:szCs w:val="18"/>
                <w:lang w:eastAsia="sk-SK"/>
              </w:rPr>
              <w:t>-48 055</w:t>
            </w:r>
          </w:p>
        </w:tc>
      </w:tr>
      <w:tr w:rsidR="00FC0A41" w:rsidRPr="00975467" w14:paraId="70E58BFF" w14:textId="77777777" w:rsidTr="001F43C8">
        <w:trPr>
          <w:trHeight w:val="284"/>
        </w:trPr>
        <w:tc>
          <w:tcPr>
            <w:tcW w:w="4395" w:type="dxa"/>
            <w:tcBorders>
              <w:top w:val="nil"/>
              <w:left w:val="nil"/>
              <w:bottom w:val="nil"/>
              <w:right w:val="nil"/>
            </w:tcBorders>
            <w:vAlign w:val="center"/>
          </w:tcPr>
          <w:p w14:paraId="5D3DB44A" w14:textId="77777777" w:rsidR="00FC0A41" w:rsidRPr="005C4966" w:rsidRDefault="00FC0A41" w:rsidP="001F43C8">
            <w:pPr>
              <w:spacing w:after="0" w:line="240" w:lineRule="auto"/>
              <w:ind w:firstLineChars="178" w:firstLine="320"/>
              <w:rPr>
                <w:sz w:val="18"/>
                <w:szCs w:val="18"/>
                <w:lang w:eastAsia="sk-SK"/>
              </w:rPr>
            </w:pPr>
            <w:proofErr w:type="spellStart"/>
            <w:r w:rsidRPr="005C4966">
              <w:rPr>
                <w:sz w:val="18"/>
                <w:szCs w:val="18"/>
                <w:lang w:eastAsia="sk-SK"/>
              </w:rPr>
              <w:t>Debitum</w:t>
            </w:r>
            <w:proofErr w:type="spellEnd"/>
            <w:r w:rsidRPr="005C4966">
              <w:rPr>
                <w:sz w:val="18"/>
                <w:szCs w:val="18"/>
                <w:lang w:eastAsia="sk-SK"/>
              </w:rPr>
              <w:t xml:space="preserve">, </w:t>
            </w:r>
            <w:r>
              <w:rPr>
                <w:sz w:val="18"/>
                <w:szCs w:val="18"/>
                <w:lang w:eastAsia="sk-SK"/>
              </w:rPr>
              <w:t xml:space="preserve">a. s. </w:t>
            </w:r>
          </w:p>
        </w:tc>
        <w:tc>
          <w:tcPr>
            <w:tcW w:w="992" w:type="dxa"/>
            <w:tcBorders>
              <w:top w:val="nil"/>
              <w:left w:val="nil"/>
              <w:bottom w:val="nil"/>
              <w:right w:val="nil"/>
            </w:tcBorders>
            <w:vAlign w:val="center"/>
          </w:tcPr>
          <w:p w14:paraId="233A6296"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323 820</w:t>
            </w:r>
          </w:p>
        </w:tc>
        <w:tc>
          <w:tcPr>
            <w:tcW w:w="1134" w:type="dxa"/>
            <w:tcBorders>
              <w:top w:val="nil"/>
              <w:left w:val="nil"/>
              <w:bottom w:val="nil"/>
              <w:right w:val="nil"/>
            </w:tcBorders>
            <w:vAlign w:val="center"/>
          </w:tcPr>
          <w:p w14:paraId="11E4D6F5" w14:textId="77777777" w:rsidR="00FC0A41" w:rsidRPr="005E1C3E" w:rsidRDefault="00FC0A41" w:rsidP="001F43C8">
            <w:pPr>
              <w:spacing w:after="0" w:line="240" w:lineRule="auto"/>
              <w:jc w:val="right"/>
              <w:rPr>
                <w:sz w:val="18"/>
                <w:szCs w:val="18"/>
                <w:lang w:eastAsia="sk-SK"/>
              </w:rPr>
            </w:pPr>
            <w:r w:rsidRPr="00E66440">
              <w:rPr>
                <w:sz w:val="18"/>
                <w:szCs w:val="18"/>
                <w:lang w:eastAsia="sk-SK"/>
              </w:rPr>
              <w:t>0</w:t>
            </w:r>
          </w:p>
        </w:tc>
        <w:tc>
          <w:tcPr>
            <w:tcW w:w="1276" w:type="dxa"/>
            <w:tcBorders>
              <w:top w:val="nil"/>
              <w:left w:val="nil"/>
              <w:bottom w:val="nil"/>
              <w:right w:val="nil"/>
            </w:tcBorders>
            <w:vAlign w:val="center"/>
          </w:tcPr>
          <w:p w14:paraId="13172CE7" w14:textId="77777777" w:rsidR="00FC0A41" w:rsidRPr="005E1C3E" w:rsidRDefault="00FC0A41" w:rsidP="001F43C8">
            <w:pPr>
              <w:spacing w:after="0" w:line="240" w:lineRule="auto"/>
              <w:jc w:val="right"/>
              <w:rPr>
                <w:sz w:val="18"/>
                <w:szCs w:val="18"/>
                <w:lang w:eastAsia="sk-SK"/>
              </w:rPr>
            </w:pPr>
            <w:r>
              <w:rPr>
                <w:sz w:val="18"/>
                <w:szCs w:val="18"/>
                <w:lang w:eastAsia="sk-SK"/>
              </w:rPr>
              <w:t>0</w:t>
            </w:r>
          </w:p>
        </w:tc>
        <w:tc>
          <w:tcPr>
            <w:tcW w:w="1276" w:type="dxa"/>
            <w:tcBorders>
              <w:top w:val="nil"/>
              <w:left w:val="nil"/>
              <w:bottom w:val="nil"/>
              <w:right w:val="nil"/>
            </w:tcBorders>
            <w:vAlign w:val="center"/>
          </w:tcPr>
          <w:p w14:paraId="7B2260B9" w14:textId="77777777" w:rsidR="00FC0A41" w:rsidRPr="00E66440" w:rsidRDefault="00FC0A41" w:rsidP="001F43C8">
            <w:pPr>
              <w:spacing w:after="0" w:line="240" w:lineRule="auto"/>
              <w:jc w:val="right"/>
              <w:rPr>
                <w:sz w:val="18"/>
                <w:szCs w:val="18"/>
                <w:lang w:eastAsia="sk-SK"/>
              </w:rPr>
            </w:pPr>
            <w:r>
              <w:rPr>
                <w:sz w:val="18"/>
                <w:szCs w:val="18"/>
                <w:lang w:eastAsia="sk-SK"/>
              </w:rPr>
              <w:t>0</w:t>
            </w:r>
          </w:p>
        </w:tc>
      </w:tr>
      <w:tr w:rsidR="00FC0A41" w:rsidRPr="00975467" w14:paraId="1592AF18" w14:textId="77777777" w:rsidTr="001F43C8">
        <w:trPr>
          <w:trHeight w:val="284"/>
        </w:trPr>
        <w:tc>
          <w:tcPr>
            <w:tcW w:w="4395" w:type="dxa"/>
            <w:tcBorders>
              <w:top w:val="nil"/>
              <w:left w:val="nil"/>
              <w:bottom w:val="nil"/>
              <w:right w:val="nil"/>
            </w:tcBorders>
            <w:vAlign w:val="center"/>
          </w:tcPr>
          <w:p w14:paraId="313899F8" w14:textId="77777777" w:rsidR="00FC0A41" w:rsidRPr="00ED6CDA" w:rsidRDefault="00FC0A41" w:rsidP="001F43C8">
            <w:pPr>
              <w:spacing w:after="0" w:line="240" w:lineRule="auto"/>
              <w:ind w:firstLineChars="178" w:firstLine="320"/>
              <w:rPr>
                <w:sz w:val="18"/>
                <w:szCs w:val="18"/>
                <w:lang w:eastAsia="sk-SK"/>
              </w:rPr>
            </w:pPr>
            <w:r w:rsidRPr="00ED6CDA">
              <w:rPr>
                <w:sz w:val="18"/>
                <w:szCs w:val="18"/>
                <w:lang w:eastAsia="sk-SK"/>
              </w:rPr>
              <w:t>Slovenský plynárenský priemysel (záruky)</w:t>
            </w:r>
          </w:p>
        </w:tc>
        <w:tc>
          <w:tcPr>
            <w:tcW w:w="992" w:type="dxa"/>
            <w:tcBorders>
              <w:top w:val="nil"/>
              <w:left w:val="nil"/>
              <w:bottom w:val="nil"/>
              <w:right w:val="nil"/>
            </w:tcBorders>
            <w:vAlign w:val="center"/>
          </w:tcPr>
          <w:p w14:paraId="63777AF6"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224 093</w:t>
            </w:r>
          </w:p>
        </w:tc>
        <w:tc>
          <w:tcPr>
            <w:tcW w:w="1134" w:type="dxa"/>
            <w:tcBorders>
              <w:top w:val="nil"/>
              <w:left w:val="nil"/>
              <w:bottom w:val="nil"/>
              <w:right w:val="nil"/>
            </w:tcBorders>
            <w:vAlign w:val="center"/>
          </w:tcPr>
          <w:p w14:paraId="79B50E39" w14:textId="77777777" w:rsidR="00FC0A41" w:rsidRPr="005E1C3E" w:rsidRDefault="00FC0A41" w:rsidP="001F43C8">
            <w:pPr>
              <w:spacing w:after="0" w:line="240" w:lineRule="auto"/>
              <w:jc w:val="right"/>
              <w:rPr>
                <w:sz w:val="18"/>
                <w:szCs w:val="18"/>
                <w:lang w:eastAsia="sk-SK"/>
              </w:rPr>
            </w:pPr>
            <w:r w:rsidRPr="00ED15CA">
              <w:rPr>
                <w:sz w:val="18"/>
                <w:szCs w:val="18"/>
                <w:lang w:eastAsia="sk-SK"/>
              </w:rPr>
              <w:t>225 660</w:t>
            </w:r>
          </w:p>
        </w:tc>
        <w:tc>
          <w:tcPr>
            <w:tcW w:w="1276" w:type="dxa"/>
            <w:tcBorders>
              <w:top w:val="nil"/>
              <w:left w:val="nil"/>
              <w:bottom w:val="nil"/>
              <w:right w:val="nil"/>
            </w:tcBorders>
            <w:vAlign w:val="center"/>
          </w:tcPr>
          <w:p w14:paraId="31EF9F43" w14:textId="77777777" w:rsidR="00FC0A41" w:rsidRPr="005E1C3E" w:rsidRDefault="00FC0A41" w:rsidP="001F43C8">
            <w:pPr>
              <w:spacing w:after="0" w:line="240" w:lineRule="auto"/>
              <w:jc w:val="right"/>
              <w:rPr>
                <w:sz w:val="18"/>
                <w:szCs w:val="18"/>
                <w:lang w:eastAsia="sk-SK"/>
              </w:rPr>
            </w:pPr>
            <w:r>
              <w:rPr>
                <w:sz w:val="18"/>
                <w:szCs w:val="18"/>
                <w:lang w:eastAsia="sk-SK"/>
              </w:rPr>
              <w:t>254 379</w:t>
            </w:r>
          </w:p>
        </w:tc>
        <w:tc>
          <w:tcPr>
            <w:tcW w:w="1276" w:type="dxa"/>
            <w:tcBorders>
              <w:top w:val="nil"/>
              <w:left w:val="nil"/>
              <w:bottom w:val="nil"/>
              <w:right w:val="nil"/>
            </w:tcBorders>
            <w:vAlign w:val="center"/>
          </w:tcPr>
          <w:p w14:paraId="50BD9F3C" w14:textId="77777777" w:rsidR="00FC0A41" w:rsidRPr="00D03757" w:rsidRDefault="00FC0A41" w:rsidP="001F43C8">
            <w:pPr>
              <w:spacing w:after="0" w:line="240" w:lineRule="auto"/>
              <w:jc w:val="right"/>
              <w:rPr>
                <w:sz w:val="18"/>
                <w:szCs w:val="18"/>
                <w:lang w:eastAsia="sk-SK"/>
              </w:rPr>
            </w:pPr>
            <w:r>
              <w:rPr>
                <w:sz w:val="18"/>
                <w:szCs w:val="18"/>
                <w:lang w:eastAsia="sk-SK"/>
              </w:rPr>
              <w:t>28 719</w:t>
            </w:r>
          </w:p>
        </w:tc>
      </w:tr>
      <w:tr w:rsidR="00FC0A41" w:rsidRPr="00975467" w14:paraId="60987C54" w14:textId="77777777" w:rsidTr="001F43C8">
        <w:trPr>
          <w:trHeight w:val="284"/>
        </w:trPr>
        <w:tc>
          <w:tcPr>
            <w:tcW w:w="4395" w:type="dxa"/>
            <w:tcBorders>
              <w:top w:val="nil"/>
              <w:left w:val="nil"/>
              <w:bottom w:val="nil"/>
              <w:right w:val="nil"/>
            </w:tcBorders>
            <w:vAlign w:val="center"/>
          </w:tcPr>
          <w:p w14:paraId="3753ED95" w14:textId="77777777" w:rsidR="00FC0A41" w:rsidRPr="00ED15CA" w:rsidRDefault="00FC0A41" w:rsidP="001F43C8">
            <w:pPr>
              <w:spacing w:after="0" w:line="240" w:lineRule="auto"/>
              <w:ind w:firstLineChars="178" w:firstLine="320"/>
              <w:rPr>
                <w:sz w:val="18"/>
                <w:szCs w:val="18"/>
                <w:lang w:eastAsia="sk-SK"/>
              </w:rPr>
            </w:pPr>
            <w:r w:rsidRPr="00ED15CA">
              <w:rPr>
                <w:sz w:val="18"/>
                <w:szCs w:val="18"/>
                <w:lang w:eastAsia="sk-SK"/>
              </w:rPr>
              <w:t xml:space="preserve">Slovenská elektrizačná prenosová sústava, </w:t>
            </w:r>
            <w:r>
              <w:rPr>
                <w:sz w:val="18"/>
                <w:szCs w:val="18"/>
                <w:lang w:eastAsia="sk-SK"/>
              </w:rPr>
              <w:t xml:space="preserve">a. s. </w:t>
            </w:r>
            <w:r w:rsidRPr="00ED15CA">
              <w:rPr>
                <w:sz w:val="18"/>
                <w:szCs w:val="18"/>
                <w:lang w:eastAsia="sk-SK"/>
              </w:rPr>
              <w:t xml:space="preserve"> (záruky)</w:t>
            </w:r>
          </w:p>
        </w:tc>
        <w:tc>
          <w:tcPr>
            <w:tcW w:w="992" w:type="dxa"/>
            <w:tcBorders>
              <w:top w:val="nil"/>
              <w:left w:val="nil"/>
              <w:bottom w:val="nil"/>
              <w:right w:val="nil"/>
            </w:tcBorders>
            <w:vAlign w:val="center"/>
          </w:tcPr>
          <w:p w14:paraId="29CE3A02"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136 493</w:t>
            </w:r>
          </w:p>
        </w:tc>
        <w:tc>
          <w:tcPr>
            <w:tcW w:w="1134" w:type="dxa"/>
            <w:tcBorders>
              <w:top w:val="nil"/>
              <w:left w:val="nil"/>
              <w:bottom w:val="nil"/>
              <w:right w:val="nil"/>
            </w:tcBorders>
            <w:vAlign w:val="center"/>
          </w:tcPr>
          <w:p w14:paraId="67942023" w14:textId="77777777" w:rsidR="00FC0A41" w:rsidRPr="005E1C3E" w:rsidRDefault="00FC0A41" w:rsidP="001F43C8">
            <w:pPr>
              <w:spacing w:after="0" w:line="240" w:lineRule="auto"/>
              <w:jc w:val="right"/>
              <w:rPr>
                <w:sz w:val="18"/>
                <w:szCs w:val="18"/>
                <w:lang w:eastAsia="sk-SK"/>
              </w:rPr>
            </w:pPr>
            <w:r w:rsidRPr="00807FCF">
              <w:rPr>
                <w:sz w:val="18"/>
                <w:szCs w:val="18"/>
                <w:lang w:eastAsia="sk-SK"/>
              </w:rPr>
              <w:t>224 513</w:t>
            </w:r>
          </w:p>
        </w:tc>
        <w:tc>
          <w:tcPr>
            <w:tcW w:w="1276" w:type="dxa"/>
            <w:tcBorders>
              <w:top w:val="nil"/>
              <w:left w:val="nil"/>
              <w:bottom w:val="nil"/>
              <w:right w:val="nil"/>
            </w:tcBorders>
            <w:vAlign w:val="center"/>
          </w:tcPr>
          <w:p w14:paraId="38A1CE82" w14:textId="77777777" w:rsidR="00FC0A41" w:rsidRPr="005E1C3E" w:rsidRDefault="00FC0A41" w:rsidP="001F43C8">
            <w:pPr>
              <w:spacing w:after="0" w:line="240" w:lineRule="auto"/>
              <w:jc w:val="right"/>
              <w:rPr>
                <w:sz w:val="18"/>
                <w:szCs w:val="18"/>
                <w:lang w:eastAsia="sk-SK"/>
              </w:rPr>
            </w:pPr>
            <w:r>
              <w:rPr>
                <w:sz w:val="18"/>
                <w:szCs w:val="18"/>
                <w:lang w:eastAsia="sk-SK"/>
              </w:rPr>
              <w:t>317 912</w:t>
            </w:r>
          </w:p>
        </w:tc>
        <w:tc>
          <w:tcPr>
            <w:tcW w:w="1276" w:type="dxa"/>
            <w:tcBorders>
              <w:top w:val="nil"/>
              <w:left w:val="nil"/>
              <w:bottom w:val="nil"/>
              <w:right w:val="nil"/>
            </w:tcBorders>
            <w:vAlign w:val="center"/>
          </w:tcPr>
          <w:p w14:paraId="327C2B5E" w14:textId="77777777" w:rsidR="00FC0A41" w:rsidRPr="003A51AF" w:rsidRDefault="00FC0A41" w:rsidP="001F43C8">
            <w:pPr>
              <w:spacing w:after="0" w:line="240" w:lineRule="auto"/>
              <w:jc w:val="right"/>
              <w:rPr>
                <w:sz w:val="18"/>
                <w:szCs w:val="18"/>
                <w:lang w:eastAsia="sk-SK"/>
              </w:rPr>
            </w:pPr>
            <w:r>
              <w:rPr>
                <w:sz w:val="18"/>
                <w:szCs w:val="18"/>
                <w:lang w:eastAsia="sk-SK"/>
              </w:rPr>
              <w:t>93 399</w:t>
            </w:r>
          </w:p>
        </w:tc>
      </w:tr>
      <w:tr w:rsidR="00FC0A41" w:rsidRPr="00975467" w14:paraId="3D28A87F" w14:textId="77777777" w:rsidTr="001F43C8">
        <w:trPr>
          <w:trHeight w:val="284"/>
        </w:trPr>
        <w:tc>
          <w:tcPr>
            <w:tcW w:w="4395" w:type="dxa"/>
            <w:tcBorders>
              <w:top w:val="nil"/>
              <w:left w:val="nil"/>
              <w:bottom w:val="nil"/>
              <w:right w:val="nil"/>
            </w:tcBorders>
            <w:vAlign w:val="center"/>
          </w:tcPr>
          <w:p w14:paraId="54E691C8" w14:textId="77777777" w:rsidR="00FC0A41" w:rsidRPr="008E53EF" w:rsidRDefault="00FC0A41" w:rsidP="001F43C8">
            <w:pPr>
              <w:spacing w:after="0" w:line="240" w:lineRule="auto"/>
              <w:ind w:firstLineChars="178" w:firstLine="320"/>
              <w:rPr>
                <w:sz w:val="18"/>
                <w:szCs w:val="18"/>
                <w:lang w:eastAsia="sk-SK"/>
              </w:rPr>
            </w:pPr>
            <w:r w:rsidRPr="008E53EF">
              <w:rPr>
                <w:sz w:val="18"/>
                <w:szCs w:val="18"/>
                <w:lang w:eastAsia="sk-SK"/>
              </w:rPr>
              <w:t xml:space="preserve">MH Manažment, </w:t>
            </w:r>
            <w:r>
              <w:rPr>
                <w:sz w:val="18"/>
                <w:szCs w:val="18"/>
                <w:lang w:eastAsia="sk-SK"/>
              </w:rPr>
              <w:t xml:space="preserve">a. s. </w:t>
            </w:r>
            <w:r w:rsidRPr="008E53EF">
              <w:rPr>
                <w:sz w:val="18"/>
                <w:szCs w:val="18"/>
                <w:lang w:eastAsia="sk-SK"/>
              </w:rPr>
              <w:t>(privatizovaný majetok)</w:t>
            </w:r>
          </w:p>
        </w:tc>
        <w:tc>
          <w:tcPr>
            <w:tcW w:w="992" w:type="dxa"/>
            <w:tcBorders>
              <w:top w:val="nil"/>
              <w:left w:val="nil"/>
              <w:bottom w:val="nil"/>
              <w:right w:val="nil"/>
            </w:tcBorders>
            <w:vAlign w:val="center"/>
          </w:tcPr>
          <w:p w14:paraId="2C739BBF"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87 983</w:t>
            </w:r>
          </w:p>
        </w:tc>
        <w:tc>
          <w:tcPr>
            <w:tcW w:w="1134" w:type="dxa"/>
            <w:tcBorders>
              <w:top w:val="nil"/>
              <w:left w:val="nil"/>
              <w:bottom w:val="nil"/>
              <w:right w:val="nil"/>
            </w:tcBorders>
            <w:vAlign w:val="center"/>
          </w:tcPr>
          <w:p w14:paraId="6A2AAC0D" w14:textId="77777777" w:rsidR="00FC0A41" w:rsidRPr="005E1C3E" w:rsidRDefault="00FC0A41" w:rsidP="001F43C8">
            <w:pPr>
              <w:spacing w:after="0" w:line="240" w:lineRule="auto"/>
              <w:jc w:val="right"/>
              <w:rPr>
                <w:sz w:val="18"/>
                <w:szCs w:val="18"/>
                <w:lang w:eastAsia="sk-SK"/>
              </w:rPr>
            </w:pPr>
            <w:r w:rsidRPr="008E53EF">
              <w:rPr>
                <w:sz w:val="18"/>
                <w:szCs w:val="18"/>
                <w:lang w:eastAsia="sk-SK"/>
              </w:rPr>
              <w:t>79 689</w:t>
            </w:r>
          </w:p>
        </w:tc>
        <w:tc>
          <w:tcPr>
            <w:tcW w:w="1276" w:type="dxa"/>
            <w:tcBorders>
              <w:top w:val="nil"/>
              <w:left w:val="nil"/>
              <w:bottom w:val="nil"/>
              <w:right w:val="nil"/>
            </w:tcBorders>
            <w:vAlign w:val="center"/>
          </w:tcPr>
          <w:p w14:paraId="02175B5F" w14:textId="77777777" w:rsidR="00FC0A41" w:rsidRPr="005E1C3E" w:rsidRDefault="00FC0A41" w:rsidP="001F43C8">
            <w:pPr>
              <w:spacing w:after="0" w:line="240" w:lineRule="auto"/>
              <w:jc w:val="right"/>
              <w:rPr>
                <w:sz w:val="18"/>
                <w:szCs w:val="18"/>
                <w:lang w:eastAsia="sk-SK"/>
              </w:rPr>
            </w:pPr>
            <w:r>
              <w:rPr>
                <w:sz w:val="18"/>
                <w:szCs w:val="18"/>
                <w:lang w:eastAsia="sk-SK"/>
              </w:rPr>
              <w:t>79 689</w:t>
            </w:r>
          </w:p>
        </w:tc>
        <w:tc>
          <w:tcPr>
            <w:tcW w:w="1276" w:type="dxa"/>
            <w:tcBorders>
              <w:top w:val="nil"/>
              <w:left w:val="nil"/>
              <w:bottom w:val="nil"/>
              <w:right w:val="nil"/>
            </w:tcBorders>
            <w:vAlign w:val="center"/>
          </w:tcPr>
          <w:p w14:paraId="55190D86" w14:textId="77777777" w:rsidR="00FC0A41" w:rsidRPr="008E53EF" w:rsidRDefault="00FC0A41" w:rsidP="001F43C8">
            <w:pPr>
              <w:spacing w:after="0" w:line="240" w:lineRule="auto"/>
              <w:jc w:val="right"/>
              <w:rPr>
                <w:sz w:val="18"/>
                <w:szCs w:val="18"/>
                <w:lang w:eastAsia="sk-SK"/>
              </w:rPr>
            </w:pPr>
            <w:r>
              <w:rPr>
                <w:sz w:val="18"/>
                <w:szCs w:val="18"/>
                <w:lang w:eastAsia="sk-SK"/>
              </w:rPr>
              <w:t>0</w:t>
            </w:r>
          </w:p>
        </w:tc>
      </w:tr>
      <w:tr w:rsidR="00FC0A41" w:rsidRPr="00975467" w14:paraId="43B08986" w14:textId="77777777" w:rsidTr="001F43C8">
        <w:trPr>
          <w:trHeight w:val="284"/>
        </w:trPr>
        <w:tc>
          <w:tcPr>
            <w:tcW w:w="4395" w:type="dxa"/>
            <w:tcBorders>
              <w:top w:val="nil"/>
              <w:left w:val="nil"/>
              <w:bottom w:val="nil"/>
              <w:right w:val="nil"/>
            </w:tcBorders>
            <w:vAlign w:val="center"/>
          </w:tcPr>
          <w:p w14:paraId="5BD4E04F" w14:textId="77777777" w:rsidR="00FC0A41" w:rsidRPr="00770EBA" w:rsidRDefault="00FC0A41" w:rsidP="001F43C8">
            <w:pPr>
              <w:spacing w:after="0" w:line="240" w:lineRule="auto"/>
              <w:ind w:firstLineChars="178" w:firstLine="320"/>
              <w:rPr>
                <w:sz w:val="18"/>
                <w:szCs w:val="18"/>
                <w:lang w:eastAsia="sk-SK"/>
              </w:rPr>
            </w:pPr>
            <w:r w:rsidRPr="00770EBA">
              <w:rPr>
                <w:sz w:val="18"/>
                <w:szCs w:val="18"/>
                <w:lang w:eastAsia="sk-SK"/>
              </w:rPr>
              <w:t>Environmentálny fond (záložné zmluvy)</w:t>
            </w:r>
          </w:p>
        </w:tc>
        <w:tc>
          <w:tcPr>
            <w:tcW w:w="992" w:type="dxa"/>
            <w:tcBorders>
              <w:top w:val="nil"/>
              <w:left w:val="nil"/>
              <w:bottom w:val="nil"/>
              <w:right w:val="nil"/>
            </w:tcBorders>
            <w:vAlign w:val="center"/>
          </w:tcPr>
          <w:p w14:paraId="10AE1E2E" w14:textId="77777777" w:rsidR="00FC0A41" w:rsidRPr="005E1C3E" w:rsidRDefault="00FC0A41" w:rsidP="001F43C8">
            <w:pPr>
              <w:spacing w:after="0" w:line="240" w:lineRule="auto"/>
              <w:jc w:val="right"/>
              <w:rPr>
                <w:sz w:val="18"/>
                <w:szCs w:val="18"/>
                <w:lang w:eastAsia="sk-SK"/>
              </w:rPr>
            </w:pPr>
            <w:r w:rsidRPr="005E1C3E">
              <w:rPr>
                <w:sz w:val="18"/>
                <w:szCs w:val="18"/>
                <w:lang w:eastAsia="sk-SK"/>
              </w:rPr>
              <w:t>61 415</w:t>
            </w:r>
          </w:p>
        </w:tc>
        <w:tc>
          <w:tcPr>
            <w:tcW w:w="1134" w:type="dxa"/>
            <w:tcBorders>
              <w:top w:val="nil"/>
              <w:left w:val="nil"/>
              <w:bottom w:val="nil"/>
              <w:right w:val="nil"/>
            </w:tcBorders>
            <w:vAlign w:val="center"/>
          </w:tcPr>
          <w:p w14:paraId="02C87845" w14:textId="77777777" w:rsidR="00FC0A41" w:rsidRPr="005E1C3E" w:rsidRDefault="00FC0A41" w:rsidP="001F43C8">
            <w:pPr>
              <w:spacing w:after="0" w:line="240" w:lineRule="auto"/>
              <w:jc w:val="right"/>
              <w:rPr>
                <w:sz w:val="18"/>
                <w:szCs w:val="18"/>
                <w:lang w:eastAsia="sk-SK"/>
              </w:rPr>
            </w:pPr>
            <w:r w:rsidRPr="00770EBA">
              <w:rPr>
                <w:sz w:val="18"/>
                <w:szCs w:val="18"/>
                <w:lang w:eastAsia="sk-SK"/>
              </w:rPr>
              <w:t>55 304</w:t>
            </w:r>
          </w:p>
        </w:tc>
        <w:tc>
          <w:tcPr>
            <w:tcW w:w="1276" w:type="dxa"/>
            <w:tcBorders>
              <w:top w:val="nil"/>
              <w:left w:val="nil"/>
              <w:bottom w:val="nil"/>
              <w:right w:val="nil"/>
            </w:tcBorders>
            <w:vAlign w:val="center"/>
          </w:tcPr>
          <w:p w14:paraId="5FBAB353" w14:textId="77777777" w:rsidR="00FC0A41" w:rsidRPr="005E1C3E" w:rsidRDefault="00FC0A41" w:rsidP="001F43C8">
            <w:pPr>
              <w:spacing w:after="0" w:line="240" w:lineRule="auto"/>
              <w:jc w:val="right"/>
              <w:rPr>
                <w:sz w:val="18"/>
                <w:szCs w:val="18"/>
                <w:lang w:eastAsia="sk-SK"/>
              </w:rPr>
            </w:pPr>
            <w:r>
              <w:rPr>
                <w:sz w:val="18"/>
                <w:szCs w:val="18"/>
                <w:lang w:eastAsia="sk-SK"/>
              </w:rPr>
              <w:t>36 267</w:t>
            </w:r>
          </w:p>
        </w:tc>
        <w:tc>
          <w:tcPr>
            <w:tcW w:w="1276" w:type="dxa"/>
            <w:tcBorders>
              <w:top w:val="nil"/>
              <w:left w:val="nil"/>
              <w:bottom w:val="nil"/>
              <w:right w:val="nil"/>
            </w:tcBorders>
            <w:vAlign w:val="center"/>
          </w:tcPr>
          <w:p w14:paraId="187E6334" w14:textId="77777777" w:rsidR="00FC0A41" w:rsidRPr="00770EBA" w:rsidRDefault="00FC0A41" w:rsidP="001F43C8">
            <w:pPr>
              <w:spacing w:after="0" w:line="240" w:lineRule="auto"/>
              <w:jc w:val="right"/>
              <w:rPr>
                <w:sz w:val="18"/>
                <w:szCs w:val="18"/>
                <w:lang w:eastAsia="sk-SK"/>
              </w:rPr>
            </w:pPr>
            <w:r>
              <w:rPr>
                <w:sz w:val="18"/>
                <w:szCs w:val="18"/>
                <w:lang w:eastAsia="sk-SK"/>
              </w:rPr>
              <w:t>-19 037</w:t>
            </w:r>
          </w:p>
        </w:tc>
      </w:tr>
      <w:tr w:rsidR="00FC0A41" w:rsidRPr="00435E61" w14:paraId="5E0EC7F9" w14:textId="77777777" w:rsidTr="001F43C8">
        <w:trPr>
          <w:trHeight w:val="284"/>
        </w:trPr>
        <w:tc>
          <w:tcPr>
            <w:tcW w:w="4395" w:type="dxa"/>
            <w:tcBorders>
              <w:top w:val="single" w:sz="4" w:space="0" w:color="auto"/>
              <w:left w:val="nil"/>
              <w:bottom w:val="single" w:sz="4" w:space="0" w:color="auto"/>
              <w:right w:val="nil"/>
            </w:tcBorders>
            <w:shd w:val="clear" w:color="auto" w:fill="auto"/>
            <w:noWrap/>
            <w:vAlign w:val="center"/>
            <w:hideMark/>
          </w:tcPr>
          <w:p w14:paraId="6698A608" w14:textId="77777777" w:rsidR="00FC0A41" w:rsidRPr="00435E61" w:rsidRDefault="00FC0A41" w:rsidP="001F43C8">
            <w:pPr>
              <w:spacing w:after="0" w:line="240" w:lineRule="auto"/>
              <w:rPr>
                <w:b/>
                <w:bCs/>
                <w:color w:val="FF0000"/>
                <w:sz w:val="18"/>
                <w:szCs w:val="18"/>
                <w:lang w:eastAsia="sk-SK"/>
              </w:rPr>
            </w:pPr>
            <w:r w:rsidRPr="00435E61">
              <w:rPr>
                <w:b/>
                <w:bCs/>
                <w:sz w:val="18"/>
                <w:szCs w:val="18"/>
                <w:lang w:eastAsia="sk-SK"/>
              </w:rPr>
              <w:t>Spolu</w:t>
            </w:r>
          </w:p>
        </w:tc>
        <w:tc>
          <w:tcPr>
            <w:tcW w:w="992" w:type="dxa"/>
            <w:tcBorders>
              <w:top w:val="single" w:sz="4" w:space="0" w:color="auto"/>
              <w:left w:val="nil"/>
              <w:bottom w:val="single" w:sz="4" w:space="0" w:color="auto"/>
              <w:right w:val="nil"/>
            </w:tcBorders>
            <w:vAlign w:val="center"/>
          </w:tcPr>
          <w:p w14:paraId="09265E45" w14:textId="77777777" w:rsidR="00FC0A41" w:rsidRPr="00435E61" w:rsidRDefault="00FC0A41" w:rsidP="001F43C8">
            <w:pPr>
              <w:spacing w:after="0" w:line="240" w:lineRule="auto"/>
              <w:jc w:val="right"/>
              <w:rPr>
                <w:b/>
                <w:bCs/>
                <w:sz w:val="18"/>
                <w:szCs w:val="18"/>
                <w:lang w:eastAsia="sk-SK"/>
              </w:rPr>
            </w:pPr>
            <w:r w:rsidRPr="00435E61">
              <w:rPr>
                <w:b/>
                <w:bCs/>
                <w:sz w:val="18"/>
                <w:szCs w:val="18"/>
                <w:lang w:eastAsia="sk-SK"/>
              </w:rPr>
              <w:t>9 291 726</w:t>
            </w:r>
          </w:p>
        </w:tc>
        <w:tc>
          <w:tcPr>
            <w:tcW w:w="1134" w:type="dxa"/>
            <w:tcBorders>
              <w:top w:val="single" w:sz="4" w:space="0" w:color="auto"/>
              <w:left w:val="nil"/>
              <w:bottom w:val="single" w:sz="4" w:space="0" w:color="auto"/>
              <w:right w:val="nil"/>
            </w:tcBorders>
            <w:vAlign w:val="center"/>
          </w:tcPr>
          <w:p w14:paraId="1FFB3CFC" w14:textId="77777777" w:rsidR="00FC0A41" w:rsidRPr="00435E61" w:rsidRDefault="00FC0A41" w:rsidP="001F43C8">
            <w:pPr>
              <w:spacing w:after="0" w:line="240" w:lineRule="auto"/>
              <w:jc w:val="right"/>
              <w:rPr>
                <w:b/>
                <w:bCs/>
                <w:sz w:val="18"/>
                <w:szCs w:val="18"/>
                <w:lang w:eastAsia="sk-SK"/>
              </w:rPr>
            </w:pPr>
            <w:r>
              <w:rPr>
                <w:b/>
                <w:bCs/>
                <w:sz w:val="18"/>
                <w:szCs w:val="18"/>
                <w:lang w:eastAsia="sk-SK"/>
              </w:rPr>
              <w:t>8 557 466</w:t>
            </w:r>
          </w:p>
        </w:tc>
        <w:tc>
          <w:tcPr>
            <w:tcW w:w="1276" w:type="dxa"/>
            <w:tcBorders>
              <w:top w:val="single" w:sz="4" w:space="0" w:color="auto"/>
              <w:left w:val="nil"/>
              <w:bottom w:val="single" w:sz="4" w:space="0" w:color="auto"/>
              <w:right w:val="nil"/>
            </w:tcBorders>
            <w:shd w:val="clear" w:color="auto" w:fill="auto"/>
            <w:vAlign w:val="center"/>
          </w:tcPr>
          <w:p w14:paraId="045F40B4" w14:textId="125EAD38" w:rsidR="00FC0A41" w:rsidRPr="00435E61" w:rsidRDefault="00FC0A41" w:rsidP="00281FBC">
            <w:pPr>
              <w:spacing w:after="0" w:line="240" w:lineRule="auto"/>
              <w:jc w:val="right"/>
              <w:rPr>
                <w:b/>
                <w:bCs/>
                <w:sz w:val="18"/>
                <w:szCs w:val="18"/>
                <w:lang w:eastAsia="sk-SK"/>
              </w:rPr>
            </w:pPr>
            <w:r>
              <w:rPr>
                <w:b/>
                <w:bCs/>
                <w:sz w:val="18"/>
                <w:szCs w:val="18"/>
                <w:lang w:eastAsia="sk-SK"/>
              </w:rPr>
              <w:t>8</w:t>
            </w:r>
            <w:r w:rsidR="00281FBC">
              <w:rPr>
                <w:b/>
                <w:bCs/>
                <w:sz w:val="18"/>
                <w:szCs w:val="18"/>
                <w:lang w:eastAsia="sk-SK"/>
              </w:rPr>
              <w:t> </w:t>
            </w:r>
            <w:r>
              <w:rPr>
                <w:b/>
                <w:bCs/>
                <w:sz w:val="18"/>
                <w:szCs w:val="18"/>
                <w:lang w:eastAsia="sk-SK"/>
              </w:rPr>
              <w:t>2</w:t>
            </w:r>
            <w:r w:rsidR="00281FBC">
              <w:rPr>
                <w:b/>
                <w:bCs/>
                <w:sz w:val="18"/>
                <w:szCs w:val="18"/>
                <w:lang w:eastAsia="sk-SK"/>
              </w:rPr>
              <w:t>59 040</w:t>
            </w:r>
          </w:p>
        </w:tc>
        <w:tc>
          <w:tcPr>
            <w:tcW w:w="1276" w:type="dxa"/>
            <w:tcBorders>
              <w:top w:val="single" w:sz="4" w:space="0" w:color="auto"/>
              <w:left w:val="nil"/>
              <w:bottom w:val="single" w:sz="4" w:space="0" w:color="auto"/>
              <w:right w:val="nil"/>
            </w:tcBorders>
            <w:shd w:val="clear" w:color="auto" w:fill="auto"/>
            <w:vAlign w:val="center"/>
          </w:tcPr>
          <w:p w14:paraId="5541F2DC" w14:textId="2548BB40" w:rsidR="00FC0A41" w:rsidRPr="00435E61" w:rsidRDefault="00FC0A41" w:rsidP="00281FBC">
            <w:pPr>
              <w:spacing w:after="0" w:line="240" w:lineRule="auto"/>
              <w:jc w:val="right"/>
              <w:rPr>
                <w:b/>
                <w:bCs/>
                <w:sz w:val="18"/>
                <w:szCs w:val="18"/>
                <w:lang w:eastAsia="sk-SK"/>
              </w:rPr>
            </w:pPr>
            <w:r>
              <w:rPr>
                <w:b/>
                <w:bCs/>
                <w:sz w:val="18"/>
                <w:szCs w:val="18"/>
                <w:lang w:eastAsia="sk-SK"/>
              </w:rPr>
              <w:t>-29</w:t>
            </w:r>
            <w:r w:rsidR="00281FBC">
              <w:rPr>
                <w:b/>
                <w:bCs/>
                <w:sz w:val="18"/>
                <w:szCs w:val="18"/>
                <w:lang w:eastAsia="sk-SK"/>
              </w:rPr>
              <w:t>8 426</w:t>
            </w:r>
          </w:p>
        </w:tc>
      </w:tr>
    </w:tbl>
    <w:p w14:paraId="781A846E" w14:textId="77777777" w:rsidR="00FC0A41" w:rsidRPr="00435E61" w:rsidRDefault="00FC0A41" w:rsidP="00FC0A41">
      <w:pPr>
        <w:spacing w:after="120" w:line="240" w:lineRule="auto"/>
        <w:jc w:val="right"/>
        <w:rPr>
          <w:szCs w:val="22"/>
        </w:rPr>
      </w:pPr>
      <w:r w:rsidRPr="00435E61">
        <w:rPr>
          <w:sz w:val="18"/>
          <w:szCs w:val="18"/>
        </w:rPr>
        <w:t>Zdroj: Účtovné závierky subjektov</w:t>
      </w:r>
      <w:r>
        <w:rPr>
          <w:sz w:val="18"/>
          <w:szCs w:val="18"/>
        </w:rPr>
        <w:t>, Centrálny konsolidačný systém</w:t>
      </w:r>
      <w:r w:rsidRPr="00435E61">
        <w:rPr>
          <w:sz w:val="18"/>
          <w:szCs w:val="18"/>
        </w:rPr>
        <w:t xml:space="preserve"> a databáza MF SR</w:t>
      </w:r>
      <w:r w:rsidRPr="00435E61">
        <w:rPr>
          <w:szCs w:val="22"/>
        </w:rPr>
        <w:t xml:space="preserve"> </w:t>
      </w:r>
    </w:p>
    <w:p w14:paraId="2C575C29" w14:textId="4700623E" w:rsidR="00FC0A41" w:rsidRDefault="00FC0A41" w:rsidP="00FC0A41">
      <w:pPr>
        <w:spacing w:before="120" w:after="120" w:line="240" w:lineRule="auto"/>
        <w:jc w:val="both"/>
        <w:rPr>
          <w:szCs w:val="22"/>
        </w:rPr>
      </w:pPr>
      <w:r w:rsidRPr="00A7202D">
        <w:rPr>
          <w:b/>
          <w:szCs w:val="22"/>
        </w:rPr>
        <w:t>Zo súdnych sporov a iných právnych úkonov</w:t>
      </w:r>
      <w:r w:rsidRPr="00A7202D">
        <w:rPr>
          <w:szCs w:val="22"/>
        </w:rPr>
        <w:t xml:space="preserve"> boli významné súdne konania, ktorých účastníkom je </w:t>
      </w:r>
      <w:r w:rsidRPr="00A7202D">
        <w:rPr>
          <w:szCs w:val="22"/>
          <w:u w:val="single"/>
        </w:rPr>
        <w:t>Vodohospodárska výstavba, š.</w:t>
      </w:r>
      <w:r>
        <w:rPr>
          <w:szCs w:val="22"/>
          <w:u w:val="single"/>
        </w:rPr>
        <w:t xml:space="preserve"> </w:t>
      </w:r>
      <w:r w:rsidRPr="00A7202D">
        <w:rPr>
          <w:szCs w:val="22"/>
          <w:u w:val="single"/>
        </w:rPr>
        <w:t>p.</w:t>
      </w:r>
      <w:r w:rsidRPr="00A7202D">
        <w:rPr>
          <w:szCs w:val="22"/>
        </w:rPr>
        <w:t xml:space="preserve"> voči Slovenským elektrárňam, </w:t>
      </w:r>
      <w:r>
        <w:rPr>
          <w:szCs w:val="22"/>
        </w:rPr>
        <w:t xml:space="preserve">a. s. </w:t>
      </w:r>
      <w:r w:rsidRPr="00A7202D">
        <w:rPr>
          <w:szCs w:val="22"/>
        </w:rPr>
        <w:t xml:space="preserve"> o bezdôvodné obohatenie</w:t>
      </w:r>
      <w:r>
        <w:rPr>
          <w:szCs w:val="22"/>
        </w:rPr>
        <w:t xml:space="preserve"> v sume </w:t>
      </w:r>
      <w:r w:rsidR="00761D38">
        <w:rPr>
          <w:szCs w:val="22"/>
        </w:rPr>
        <w:t>407 </w:t>
      </w:r>
      <w:r w:rsidRPr="00DB10EF">
        <w:rPr>
          <w:szCs w:val="22"/>
        </w:rPr>
        <w:t>774 tis. eur. Spor sa týka platieb, ktoré platila Vodohospodárska výstavba, š. p. elektrárňam od roku</w:t>
      </w:r>
      <w:r w:rsidRPr="00A7202D">
        <w:rPr>
          <w:szCs w:val="22"/>
        </w:rPr>
        <w:t xml:space="preserve"> 2006 na </w:t>
      </w:r>
      <w:r w:rsidRPr="00823670">
        <w:rPr>
          <w:szCs w:val="22"/>
        </w:rPr>
        <w:t xml:space="preserve">základe zmlúv na užívanie Vodnej elektrárne Gabčíkovo, ktoré sú podľa štátneho podniku neplatné. Ďalším subjektom očakávajúcim pozitívny výsledok zo súdnych sporov v prospech štátu je </w:t>
      </w:r>
      <w:r w:rsidR="00761D38">
        <w:rPr>
          <w:szCs w:val="22"/>
          <w:u w:val="single"/>
        </w:rPr>
        <w:t>MH </w:t>
      </w:r>
      <w:r w:rsidRPr="00823670">
        <w:rPr>
          <w:szCs w:val="22"/>
          <w:u w:val="single"/>
        </w:rPr>
        <w:t>Manažment, a. s.</w:t>
      </w:r>
      <w:r w:rsidRPr="00823670">
        <w:rPr>
          <w:szCs w:val="22"/>
        </w:rPr>
        <w:t>, ktorý eviduje hodnotu 43 657 tis. eur.</w:t>
      </w:r>
      <w:r>
        <w:rPr>
          <w:szCs w:val="22"/>
        </w:rPr>
        <w:t xml:space="preserve"> </w:t>
      </w:r>
    </w:p>
    <w:p w14:paraId="2E774F76" w14:textId="77777777" w:rsidR="00FC0A41" w:rsidRDefault="00FC0A41" w:rsidP="00FC0A41">
      <w:pPr>
        <w:spacing w:before="120" w:after="0" w:line="240" w:lineRule="auto"/>
        <w:jc w:val="both"/>
        <w:rPr>
          <w:szCs w:val="22"/>
        </w:rPr>
      </w:pPr>
      <w:r w:rsidRPr="00214546">
        <w:rPr>
          <w:b/>
        </w:rPr>
        <w:t>Z iných položiek podmienených aktív</w:t>
      </w:r>
      <w:r w:rsidRPr="00214546">
        <w:t xml:space="preserve"> </w:t>
      </w:r>
      <w:r w:rsidRPr="00214546">
        <w:rPr>
          <w:szCs w:val="22"/>
        </w:rPr>
        <w:t xml:space="preserve">vykazuje najvyššiu hodnotu štátny podnik </w:t>
      </w:r>
      <w:r w:rsidRPr="00214546">
        <w:rPr>
          <w:szCs w:val="22"/>
          <w:u w:val="single"/>
        </w:rPr>
        <w:t>Lesy SR, š. p.</w:t>
      </w:r>
      <w:r w:rsidRPr="002C579E">
        <w:rPr>
          <w:szCs w:val="22"/>
        </w:rPr>
        <w:t xml:space="preserve"> z dôvodu ocenenia lesných porastov, ktoré podnik obhospodaruje na pozemkoch vo vlastníctve štátu, ktoré boli k 1.1.2010 jednotne ocenené podľa vyhlášky MS SR č. 492/2004 Z. z. o stanovení všeobecnej hodnoty podniku. </w:t>
      </w:r>
      <w:r w:rsidRPr="008F5414">
        <w:rPr>
          <w:szCs w:val="22"/>
        </w:rPr>
        <w:t xml:space="preserve">Hodnota lesných porastov bola od 1.1.2010 evidovaná na podsúvahovom účte, pričom každoročne je táto hodnota aktualizovaná spolu so spresňovaním hodnoty lesných </w:t>
      </w:r>
      <w:r>
        <w:rPr>
          <w:szCs w:val="22"/>
        </w:rPr>
        <w:t>porastov</w:t>
      </w:r>
      <w:r w:rsidRPr="008F5414">
        <w:rPr>
          <w:szCs w:val="22"/>
        </w:rPr>
        <w:t xml:space="preserve"> vo vlastníctve štátu. Medziročne bola podsúvahová hodnota lesných porastov nižšia o</w:t>
      </w:r>
      <w:r>
        <w:rPr>
          <w:szCs w:val="22"/>
        </w:rPr>
        <w:t> 309 962 </w:t>
      </w:r>
      <w:r w:rsidRPr="008F5414">
        <w:rPr>
          <w:szCs w:val="22"/>
        </w:rPr>
        <w:t>tis.</w:t>
      </w:r>
      <w:r>
        <w:rPr>
          <w:szCs w:val="22"/>
        </w:rPr>
        <w:t xml:space="preserve"> eur, avšak dve tretiny z tejto sumy prináležala pozemkom, ktoré prešli na novozriadené správy národných parkov. Preto hodnota poklesu </w:t>
      </w:r>
      <w:r>
        <w:rPr>
          <w:szCs w:val="22"/>
        </w:rPr>
        <w:lastRenderedPageBreak/>
        <w:t xml:space="preserve">iných aktív je len vo výške 116 195 tis. eur. </w:t>
      </w:r>
      <w:r w:rsidRPr="008F5414">
        <w:rPr>
          <w:szCs w:val="22"/>
        </w:rPr>
        <w:t xml:space="preserve"> </w:t>
      </w:r>
      <w:r w:rsidRPr="00A64CF2">
        <w:rPr>
          <w:szCs w:val="22"/>
        </w:rPr>
        <w:t>Hlavným dôvodom  a podkladom na zníženie hodnoty porastov je obnova programu starostlivosti o les po spracovaní veternej kalamity na niektorých odštepných závodoch</w:t>
      </w:r>
      <w:r>
        <w:rPr>
          <w:szCs w:val="22"/>
        </w:rPr>
        <w:t>.</w:t>
      </w:r>
    </w:p>
    <w:p w14:paraId="32302F0B" w14:textId="77777777" w:rsidR="00FC0A41" w:rsidRPr="00490642" w:rsidRDefault="00FC0A41" w:rsidP="00FC0A41">
      <w:pPr>
        <w:spacing w:before="120" w:after="0" w:line="240" w:lineRule="auto"/>
        <w:jc w:val="both"/>
        <w:rPr>
          <w:szCs w:val="22"/>
        </w:rPr>
      </w:pPr>
      <w:r>
        <w:rPr>
          <w:szCs w:val="22"/>
        </w:rPr>
        <w:t xml:space="preserve">Spoločnosť </w:t>
      </w:r>
      <w:proofErr w:type="spellStart"/>
      <w:r w:rsidRPr="00490642">
        <w:rPr>
          <w:szCs w:val="22"/>
          <w:u w:val="single"/>
        </w:rPr>
        <w:t>Debitum</w:t>
      </w:r>
      <w:proofErr w:type="spellEnd"/>
      <w:r w:rsidRPr="00490642">
        <w:rPr>
          <w:szCs w:val="22"/>
          <w:u w:val="single"/>
        </w:rPr>
        <w:t xml:space="preserve">, </w:t>
      </w:r>
      <w:proofErr w:type="spellStart"/>
      <w:r w:rsidRPr="00490642">
        <w:rPr>
          <w:szCs w:val="22"/>
          <w:u w:val="single"/>
        </w:rPr>
        <w:t>a.s</w:t>
      </w:r>
      <w:proofErr w:type="spellEnd"/>
      <w:r w:rsidRPr="00490642">
        <w:rPr>
          <w:szCs w:val="22"/>
          <w:u w:val="single"/>
        </w:rPr>
        <w:t>.</w:t>
      </w:r>
      <w:r>
        <w:rPr>
          <w:szCs w:val="22"/>
        </w:rPr>
        <w:t xml:space="preserve"> vykázala v účtovnej závierke ako podmienené aktívum nominálnu hodnotou pohľadávok odkúpených od Sociálnej poisťovne, ktoré následne bude započítavať so záväzkami zdravotníckych zariadení na základe koncepcie oddlžovania schválenej vládou uznesením č. 757 z roku 2020. Keďže spoločnosť nebude vyvíjať žiadne aktivity smerom k vymoženiu týchto pohľadávok, nie je možné ich vykazovať ako podmienené aktívum pre účely čistého bohatstva. Následne nie sú ani predmetom vzájomnej konsolidácie.</w:t>
      </w:r>
    </w:p>
    <w:p w14:paraId="7D899647" w14:textId="55F0C598" w:rsidR="00FC0A41" w:rsidRPr="00D011B9" w:rsidRDefault="00FC0A41" w:rsidP="00FC0A41">
      <w:pPr>
        <w:spacing w:before="120" w:after="0" w:line="240" w:lineRule="auto"/>
        <w:jc w:val="both"/>
        <w:rPr>
          <w:szCs w:val="22"/>
        </w:rPr>
      </w:pPr>
      <w:r w:rsidRPr="002075F2">
        <w:rPr>
          <w:szCs w:val="22"/>
          <w:u w:val="single"/>
        </w:rPr>
        <w:t>Slovenská konsolidačná, a. s.</w:t>
      </w:r>
      <w:r w:rsidRPr="002075F2">
        <w:rPr>
          <w:szCs w:val="22"/>
        </w:rPr>
        <w:t xml:space="preserve"> (</w:t>
      </w:r>
      <w:proofErr w:type="spellStart"/>
      <w:r w:rsidRPr="002075F2">
        <w:rPr>
          <w:szCs w:val="22"/>
        </w:rPr>
        <w:t>SKo</w:t>
      </w:r>
      <w:proofErr w:type="spellEnd"/>
      <w:r w:rsidRPr="002075F2">
        <w:rPr>
          <w:szCs w:val="22"/>
        </w:rPr>
        <w:t xml:space="preserve">, a. s.), ktorá je zo zákona č. 374/2014 Z. z. o pohľadávkach štátu a o zmene a doplnení niektorých zákonov poverenou osobou pre konsolidáciu pohľadávok verejného sektora vykazuje druhú najväčšiu hodnotu podmienených aktív v hodnote </w:t>
      </w:r>
      <w:r>
        <w:rPr>
          <w:szCs w:val="22"/>
        </w:rPr>
        <w:t>2 92</w:t>
      </w:r>
      <w:r w:rsidR="003D1524">
        <w:rPr>
          <w:szCs w:val="22"/>
        </w:rPr>
        <w:t>0</w:t>
      </w:r>
      <w:r>
        <w:rPr>
          <w:szCs w:val="22"/>
        </w:rPr>
        <w:t xml:space="preserve"> </w:t>
      </w:r>
      <w:r w:rsidR="003D1524">
        <w:rPr>
          <w:szCs w:val="22"/>
        </w:rPr>
        <w:t>022</w:t>
      </w:r>
      <w:r>
        <w:rPr>
          <w:szCs w:val="22"/>
        </w:rPr>
        <w:t xml:space="preserve"> tis. eur. </w:t>
      </w:r>
      <w:r w:rsidRPr="00C90EF2">
        <w:rPr>
          <w:szCs w:val="22"/>
        </w:rPr>
        <w:t xml:space="preserve">Medziročný </w:t>
      </w:r>
      <w:r>
        <w:rPr>
          <w:szCs w:val="22"/>
        </w:rPr>
        <w:t>pokles</w:t>
      </w:r>
      <w:r w:rsidRPr="00C90EF2">
        <w:rPr>
          <w:szCs w:val="22"/>
        </w:rPr>
        <w:t xml:space="preserve"> nominálnej hodnoty pohľadávok </w:t>
      </w:r>
      <w:proofErr w:type="spellStart"/>
      <w:r w:rsidRPr="00C90EF2">
        <w:rPr>
          <w:szCs w:val="22"/>
        </w:rPr>
        <w:t>SKo</w:t>
      </w:r>
      <w:proofErr w:type="spellEnd"/>
      <w:r w:rsidRPr="00C90EF2">
        <w:rPr>
          <w:szCs w:val="22"/>
        </w:rPr>
        <w:t xml:space="preserve">, </w:t>
      </w:r>
      <w:r>
        <w:rPr>
          <w:szCs w:val="22"/>
        </w:rPr>
        <w:t xml:space="preserve">a. s. </w:t>
      </w:r>
      <w:r w:rsidRPr="00C90EF2">
        <w:rPr>
          <w:szCs w:val="22"/>
        </w:rPr>
        <w:t xml:space="preserve">je výsledkom </w:t>
      </w:r>
      <w:r>
        <w:rPr>
          <w:szCs w:val="22"/>
        </w:rPr>
        <w:t>odpisu nevymožiteľných pohľadávok.</w:t>
      </w:r>
      <w:r w:rsidRPr="00C90EF2">
        <w:rPr>
          <w:szCs w:val="22"/>
        </w:rPr>
        <w:t xml:space="preserve"> Časť nominálnej hodnoty pohľadávok </w:t>
      </w:r>
      <w:proofErr w:type="spellStart"/>
      <w:r w:rsidRPr="00C90EF2">
        <w:rPr>
          <w:szCs w:val="22"/>
        </w:rPr>
        <w:t>SKo</w:t>
      </w:r>
      <w:proofErr w:type="spellEnd"/>
      <w:r w:rsidRPr="00C90EF2">
        <w:rPr>
          <w:szCs w:val="22"/>
        </w:rPr>
        <w:t xml:space="preserve">, </w:t>
      </w:r>
      <w:r>
        <w:rPr>
          <w:szCs w:val="22"/>
        </w:rPr>
        <w:t xml:space="preserve">a. s. (2 358 819 tis. eur) </w:t>
      </w:r>
      <w:r w:rsidRPr="00C90EF2">
        <w:rPr>
          <w:szCs w:val="22"/>
        </w:rPr>
        <w:t>je pre účely čistého bohatstva eliminovaná, nakoľko je predmetom účtovnej konsolidácie vo verejnej správe, čo zabezpečuje vykázanie pohľa</w:t>
      </w:r>
      <w:r>
        <w:rPr>
          <w:szCs w:val="22"/>
        </w:rPr>
        <w:t xml:space="preserve">dávok len jednou hodnotou, a to priamo v súvahe spolu s prislúchajúcimi opravnými </w:t>
      </w:r>
      <w:r w:rsidRPr="00D011B9">
        <w:rPr>
          <w:szCs w:val="22"/>
        </w:rPr>
        <w:t>položkami.</w:t>
      </w:r>
    </w:p>
    <w:p w14:paraId="22572778" w14:textId="77777777" w:rsidR="00FC0A41" w:rsidRDefault="00FC0A41" w:rsidP="00FC0A41">
      <w:pPr>
        <w:pStyle w:val="Obyajntext"/>
        <w:spacing w:after="120"/>
        <w:jc w:val="both"/>
        <w:rPr>
          <w:b/>
        </w:rPr>
      </w:pPr>
    </w:p>
    <w:p w14:paraId="0491DBDF" w14:textId="77777777" w:rsidR="00FC0A41" w:rsidRPr="003D1FDD" w:rsidRDefault="00FC0A41" w:rsidP="00FC0A41">
      <w:pPr>
        <w:pStyle w:val="Obyajntext"/>
        <w:spacing w:after="120"/>
        <w:jc w:val="both"/>
      </w:pPr>
      <w:r w:rsidRPr="00D011B9">
        <w:rPr>
          <w:b/>
        </w:rPr>
        <w:t>Z ostatných subjektov</w:t>
      </w:r>
      <w:r w:rsidRPr="00D011B9">
        <w:t xml:space="preserve"> je významná hodnota zabezpečenia pohľadávok z poskytnutých úverov a poskytnutých záruk </w:t>
      </w:r>
      <w:r w:rsidRPr="00D011B9">
        <w:rPr>
          <w:u w:val="single"/>
        </w:rPr>
        <w:t xml:space="preserve">Exportno-importnej banky, a. s. </w:t>
      </w:r>
      <w:r w:rsidRPr="00D011B9">
        <w:t xml:space="preserve"> v hodnote 369 968 tis. eur. Prijaté záruky a ručenie tvorilo 100 577 tis. eur, záruky na nehnuteľnosti 192 270 tis. eur, ostatné záruky 77 121 tis. eur. Medziročný pokles bol spôsobený poklesom záruk a ručenia o 31 903 tis. eur a poklesom zabezpečenia nehnuteľným majetkom o 19 828 tis. eur.</w:t>
      </w:r>
      <w:r>
        <w:t xml:space="preserve"> Zároveň však vzrástli prijaté iné záruky o 3 675 tis. eur.</w:t>
      </w:r>
      <w:r w:rsidRPr="003D1FDD">
        <w:t xml:space="preserve"> </w:t>
      </w:r>
    </w:p>
    <w:p w14:paraId="6AACB31B" w14:textId="77777777" w:rsidR="00FC0A41" w:rsidRPr="00FA204D" w:rsidRDefault="00FC0A41" w:rsidP="00FC0A41">
      <w:pPr>
        <w:spacing w:after="120" w:line="240" w:lineRule="auto"/>
        <w:jc w:val="both"/>
        <w:rPr>
          <w:szCs w:val="22"/>
        </w:rPr>
      </w:pPr>
      <w:r w:rsidRPr="00FA204D">
        <w:rPr>
          <w:szCs w:val="22"/>
          <w:u w:val="single"/>
        </w:rPr>
        <w:t>Slovenský plynárenský priemysel, a. s. (SPP)</w:t>
      </w:r>
      <w:r w:rsidRPr="00FA204D">
        <w:rPr>
          <w:szCs w:val="22"/>
        </w:rPr>
        <w:t xml:space="preserve"> vykazuje poskytnuté záruky, ktoré vystavili materské spoločnosti zákazníkov. SPP si tak v prípade neplnenia povinností zo strany zákazníkov môže uplatňovať plnenie u ich materských spoločností.</w:t>
      </w:r>
    </w:p>
    <w:p w14:paraId="7E5FFC61" w14:textId="77777777" w:rsidR="00FC0A41" w:rsidRPr="00FA204D" w:rsidRDefault="00FC0A41" w:rsidP="00FC0A41">
      <w:pPr>
        <w:spacing w:after="120" w:line="240" w:lineRule="auto"/>
        <w:jc w:val="both"/>
        <w:rPr>
          <w:szCs w:val="22"/>
        </w:rPr>
      </w:pPr>
      <w:r w:rsidRPr="00FA204D">
        <w:rPr>
          <w:szCs w:val="22"/>
          <w:u w:val="single"/>
        </w:rPr>
        <w:t>Skupina SEPS</w:t>
      </w:r>
      <w:r w:rsidRPr="00FA204D">
        <w:rPr>
          <w:szCs w:val="22"/>
        </w:rPr>
        <w:t xml:space="preserve"> vykázala v konsolidovanej účtovnej závierke ako podmienené aktíva sumu prijatých bankových záruk vo výške 317 912 tis. eur. Bankové záruky sú uzatvárané v prospech skupiny SEPS, a. s. účastníkmi krátkodobého trhu s elektrickou energiou, ktoré chránia skupinu pred ich prípadnou platobnou neschopnosťou.</w:t>
      </w:r>
    </w:p>
    <w:p w14:paraId="436212D1" w14:textId="77777777" w:rsidR="00FC0A41" w:rsidRPr="00FA204D" w:rsidRDefault="00FC0A41" w:rsidP="00FC0A41">
      <w:pPr>
        <w:spacing w:after="120" w:line="240" w:lineRule="auto"/>
        <w:jc w:val="both"/>
        <w:rPr>
          <w:szCs w:val="22"/>
          <w:u w:val="single"/>
        </w:rPr>
      </w:pPr>
      <w:r w:rsidRPr="00FA204D">
        <w:rPr>
          <w:szCs w:val="22"/>
          <w:u w:val="single"/>
        </w:rPr>
        <w:t xml:space="preserve">MH Manažment, a. s. </w:t>
      </w:r>
      <w:r w:rsidRPr="00FA204D">
        <w:rPr>
          <w:szCs w:val="22"/>
        </w:rPr>
        <w:t xml:space="preserve"> vykazuje podmienené aktívum zo zmluvy o predaji štátneho podielu v Slovak Telekom, a. s.  Platba vo výške 79 689 tis. eur je uložená a viazaná na účte, pričom vyplatenie týchto prostriedkov závisí od ukončenia Sporu vo veci hlasových služieb a Sporu s Európskou komisiou. </w:t>
      </w:r>
    </w:p>
    <w:p w14:paraId="2478C640" w14:textId="77777777" w:rsidR="00FC0A41" w:rsidRPr="003F70EE" w:rsidRDefault="00FC0A41" w:rsidP="00FC0A41">
      <w:pPr>
        <w:spacing w:after="120" w:line="240" w:lineRule="auto"/>
        <w:jc w:val="both"/>
        <w:rPr>
          <w:szCs w:val="22"/>
        </w:rPr>
      </w:pPr>
      <w:r w:rsidRPr="00FA204D">
        <w:rPr>
          <w:szCs w:val="22"/>
          <w:u w:val="single"/>
        </w:rPr>
        <w:t>Environmentálny fond</w:t>
      </w:r>
      <w:r w:rsidRPr="00FA204D">
        <w:rPr>
          <w:szCs w:val="22"/>
        </w:rPr>
        <w:t xml:space="preserve"> eviduje potenciálne plnenie zo záložných zmlúv uzavretých bývalým Recyklačným fondom, ktorého činnosť prešla na Environmentálny fond v decembri 2017. Recyklačný fond poskytoval subjektom dotácie napríklad na separáciu odpadov (plastov, železa a podobne) na viacročné obdobie a v prípade, že subjekt nesplnil podmienky pre dotáciu, bol povinný vrátiť dotáciu aj so zmluvnou pokutou. Vo výške dotácie a možnej pokuty boli uzatvárané záložné zmluvy a ručiteľské </w:t>
      </w:r>
      <w:r w:rsidRPr="003F70EE">
        <w:rPr>
          <w:szCs w:val="22"/>
        </w:rPr>
        <w:t>vyhlásenia.</w:t>
      </w:r>
    </w:p>
    <w:p w14:paraId="2144EDCC" w14:textId="77777777" w:rsidR="009B0DE7" w:rsidRPr="00BB4B6F" w:rsidRDefault="009B0DE7" w:rsidP="009B0DE7">
      <w:pPr>
        <w:spacing w:before="120" w:after="120" w:line="336" w:lineRule="auto"/>
        <w:jc w:val="both"/>
        <w:rPr>
          <w:color w:val="BFBFBF" w:themeColor="background1" w:themeShade="BF"/>
          <w:szCs w:val="22"/>
          <w:highlight w:val="yellow"/>
        </w:rPr>
      </w:pPr>
    </w:p>
    <w:p w14:paraId="06A3F98D" w14:textId="77777777" w:rsidR="007A3FF8" w:rsidRPr="00BB4B6F" w:rsidRDefault="007A3FF8">
      <w:pPr>
        <w:rPr>
          <w:color w:val="BFBFBF" w:themeColor="background1" w:themeShade="BF"/>
          <w:szCs w:val="22"/>
          <w:highlight w:val="yellow"/>
        </w:rPr>
        <w:sectPr w:rsidR="007A3FF8" w:rsidRPr="00BB4B6F" w:rsidSect="00234A6C">
          <w:headerReference w:type="default" r:id="rId29"/>
          <w:footerReference w:type="default" r:id="rId30"/>
          <w:pgSz w:w="11906" w:h="16838" w:code="9"/>
          <w:pgMar w:top="1418" w:right="851" w:bottom="1418" w:left="1134" w:header="709" w:footer="709" w:gutter="567"/>
          <w:pgNumType w:start="1"/>
          <w:cols w:space="708"/>
          <w:docGrid w:linePitch="360"/>
        </w:sectPr>
      </w:pPr>
      <w:bookmarkStart w:id="73" w:name="_Toc370908644"/>
      <w:bookmarkStart w:id="74" w:name="_Toc401920038"/>
      <w:bookmarkEnd w:id="58"/>
      <w:bookmarkEnd w:id="59"/>
      <w:bookmarkEnd w:id="60"/>
      <w:bookmarkEnd w:id="61"/>
      <w:bookmarkEnd w:id="62"/>
      <w:bookmarkEnd w:id="63"/>
    </w:p>
    <w:p w14:paraId="5BA943A1" w14:textId="059CA0AA" w:rsidR="00352012" w:rsidRPr="001768B9" w:rsidRDefault="00352012" w:rsidP="00220857">
      <w:pPr>
        <w:pStyle w:val="Nadpis1"/>
        <w:numPr>
          <w:ilvl w:val="0"/>
          <w:numId w:val="0"/>
        </w:numPr>
        <w:spacing w:after="0"/>
        <w:ind w:left="714" w:hanging="714"/>
        <w:rPr>
          <w:rFonts w:eastAsia="Times New Roman"/>
          <w:sz w:val="22"/>
          <w:szCs w:val="22"/>
        </w:rPr>
      </w:pPr>
      <w:bookmarkStart w:id="75" w:name="_Toc465255058"/>
      <w:bookmarkStart w:id="76" w:name="_Toc495990501"/>
      <w:bookmarkStart w:id="77" w:name="_Toc148704485"/>
      <w:r w:rsidRPr="001768B9">
        <w:lastRenderedPageBreak/>
        <w:t>Zoznam skratiek</w:t>
      </w:r>
      <w:bookmarkEnd w:id="75"/>
      <w:bookmarkEnd w:id="76"/>
      <w:bookmarkEnd w:id="77"/>
      <w:r w:rsidRPr="001768B9">
        <w:t xml:space="preserve"> </w:t>
      </w:r>
      <w:bookmarkEnd w:id="73"/>
      <w:bookmarkEnd w:id="74"/>
    </w:p>
    <w:p w14:paraId="79502BF1" w14:textId="3B80C2EF" w:rsidR="00661C75" w:rsidRPr="001768B9" w:rsidRDefault="00661C75" w:rsidP="00220857">
      <w:pPr>
        <w:spacing w:after="0" w:line="312" w:lineRule="auto"/>
        <w:jc w:val="both"/>
        <w:rPr>
          <w:szCs w:val="22"/>
        </w:rPr>
      </w:pPr>
      <w:r w:rsidRPr="001768B9">
        <w:rPr>
          <w:b/>
          <w:szCs w:val="22"/>
        </w:rPr>
        <w:t xml:space="preserve">BIDSF </w:t>
      </w:r>
      <w:r w:rsidRPr="001768B9">
        <w:rPr>
          <w:szCs w:val="22"/>
        </w:rPr>
        <w:t xml:space="preserve">– Bohunice International </w:t>
      </w:r>
      <w:proofErr w:type="spellStart"/>
      <w:r w:rsidRPr="001768B9">
        <w:rPr>
          <w:szCs w:val="22"/>
        </w:rPr>
        <w:t>Decommissioning</w:t>
      </w:r>
      <w:proofErr w:type="spellEnd"/>
      <w:r w:rsidRPr="001768B9">
        <w:rPr>
          <w:szCs w:val="22"/>
        </w:rPr>
        <w:t xml:space="preserve"> </w:t>
      </w:r>
      <w:proofErr w:type="spellStart"/>
      <w:r w:rsidRPr="001768B9">
        <w:rPr>
          <w:szCs w:val="22"/>
        </w:rPr>
        <w:t>Support</w:t>
      </w:r>
      <w:proofErr w:type="spellEnd"/>
      <w:r w:rsidRPr="001768B9">
        <w:rPr>
          <w:szCs w:val="22"/>
        </w:rPr>
        <w:t xml:space="preserve"> </w:t>
      </w:r>
      <w:proofErr w:type="spellStart"/>
      <w:r w:rsidRPr="001768B9">
        <w:rPr>
          <w:szCs w:val="22"/>
        </w:rPr>
        <w:t>Fund</w:t>
      </w:r>
      <w:proofErr w:type="spellEnd"/>
    </w:p>
    <w:p w14:paraId="55C32290" w14:textId="7536695A" w:rsidR="00F40ABA" w:rsidRPr="001768B9" w:rsidRDefault="00F40ABA" w:rsidP="00220857">
      <w:pPr>
        <w:spacing w:after="0" w:line="312" w:lineRule="auto"/>
        <w:jc w:val="both"/>
        <w:rPr>
          <w:szCs w:val="22"/>
        </w:rPr>
      </w:pPr>
      <w:r w:rsidRPr="001768B9">
        <w:rPr>
          <w:b/>
          <w:szCs w:val="22"/>
        </w:rPr>
        <w:t>COVID-19</w:t>
      </w:r>
      <w:r w:rsidRPr="001768B9">
        <w:rPr>
          <w:szCs w:val="22"/>
        </w:rPr>
        <w:t xml:space="preserve"> - </w:t>
      </w:r>
      <w:proofErr w:type="spellStart"/>
      <w:r w:rsidRPr="001768B9">
        <w:rPr>
          <w:szCs w:val="22"/>
        </w:rPr>
        <w:t>Corona</w:t>
      </w:r>
      <w:proofErr w:type="spellEnd"/>
      <w:r w:rsidRPr="001768B9">
        <w:rPr>
          <w:szCs w:val="22"/>
        </w:rPr>
        <w:t> </w:t>
      </w:r>
      <w:proofErr w:type="spellStart"/>
      <w:r w:rsidRPr="001768B9">
        <w:rPr>
          <w:szCs w:val="22"/>
        </w:rPr>
        <w:t>Virus</w:t>
      </w:r>
      <w:proofErr w:type="spellEnd"/>
      <w:r w:rsidRPr="001768B9">
        <w:rPr>
          <w:szCs w:val="22"/>
        </w:rPr>
        <w:t xml:space="preserve"> </w:t>
      </w:r>
      <w:proofErr w:type="spellStart"/>
      <w:r w:rsidRPr="001768B9">
        <w:rPr>
          <w:szCs w:val="22"/>
        </w:rPr>
        <w:t>Disease</w:t>
      </w:r>
      <w:proofErr w:type="spellEnd"/>
      <w:r w:rsidRPr="001768B9">
        <w:rPr>
          <w:szCs w:val="22"/>
        </w:rPr>
        <w:t xml:space="preserve"> 2019</w:t>
      </w:r>
    </w:p>
    <w:p w14:paraId="606E1045" w14:textId="662D778C" w:rsidR="00352012" w:rsidRPr="001768B9" w:rsidRDefault="00352012" w:rsidP="00220857">
      <w:pPr>
        <w:spacing w:after="0" w:line="312" w:lineRule="auto"/>
        <w:jc w:val="both"/>
        <w:rPr>
          <w:szCs w:val="22"/>
        </w:rPr>
      </w:pPr>
      <w:r w:rsidRPr="001768B9">
        <w:rPr>
          <w:b/>
          <w:szCs w:val="22"/>
        </w:rPr>
        <w:t>DPH</w:t>
      </w:r>
      <w:r w:rsidRPr="001768B9">
        <w:rPr>
          <w:szCs w:val="22"/>
        </w:rPr>
        <w:t xml:space="preserve"> – daň z pridanej hodnoty</w:t>
      </w:r>
    </w:p>
    <w:p w14:paraId="566EF5C7" w14:textId="6EFCDF7C" w:rsidR="00220857" w:rsidRPr="001768B9" w:rsidRDefault="00220857" w:rsidP="00220857">
      <w:pPr>
        <w:spacing w:after="0" w:line="312" w:lineRule="auto"/>
        <w:jc w:val="both"/>
        <w:rPr>
          <w:b/>
          <w:szCs w:val="22"/>
        </w:rPr>
      </w:pPr>
      <w:r w:rsidRPr="001768B9">
        <w:rPr>
          <w:b/>
          <w:szCs w:val="22"/>
        </w:rPr>
        <w:t xml:space="preserve">DPPO – </w:t>
      </w:r>
      <w:r w:rsidRPr="001768B9">
        <w:rPr>
          <w:szCs w:val="22"/>
        </w:rPr>
        <w:t xml:space="preserve">daň z príjmov </w:t>
      </w:r>
      <w:r w:rsidR="00B567AE" w:rsidRPr="001768B9">
        <w:rPr>
          <w:szCs w:val="22"/>
        </w:rPr>
        <w:t xml:space="preserve">právnickej </w:t>
      </w:r>
      <w:r w:rsidRPr="001768B9">
        <w:rPr>
          <w:szCs w:val="22"/>
        </w:rPr>
        <w:t>os</w:t>
      </w:r>
      <w:r w:rsidR="00B567AE" w:rsidRPr="001768B9">
        <w:rPr>
          <w:szCs w:val="22"/>
        </w:rPr>
        <w:t>oby</w:t>
      </w:r>
    </w:p>
    <w:p w14:paraId="6256204E" w14:textId="49919E83" w:rsidR="00220857" w:rsidRPr="001768B9" w:rsidRDefault="00220857" w:rsidP="00220857">
      <w:pPr>
        <w:spacing w:after="0" w:line="312" w:lineRule="auto"/>
        <w:jc w:val="both"/>
        <w:rPr>
          <w:b/>
          <w:szCs w:val="22"/>
        </w:rPr>
      </w:pPr>
      <w:r w:rsidRPr="001768B9">
        <w:rPr>
          <w:b/>
          <w:szCs w:val="22"/>
        </w:rPr>
        <w:t xml:space="preserve">DPFO - </w:t>
      </w:r>
      <w:r w:rsidRPr="001768B9">
        <w:rPr>
          <w:szCs w:val="22"/>
        </w:rPr>
        <w:t>daň z príjmov fyzick</w:t>
      </w:r>
      <w:r w:rsidR="00B567AE" w:rsidRPr="001768B9">
        <w:rPr>
          <w:szCs w:val="22"/>
        </w:rPr>
        <w:t>ej</w:t>
      </w:r>
      <w:r w:rsidRPr="001768B9">
        <w:rPr>
          <w:szCs w:val="22"/>
        </w:rPr>
        <w:t xml:space="preserve"> os</w:t>
      </w:r>
      <w:r w:rsidR="00B567AE" w:rsidRPr="001768B9">
        <w:rPr>
          <w:szCs w:val="22"/>
        </w:rPr>
        <w:t>o</w:t>
      </w:r>
      <w:r w:rsidRPr="001768B9">
        <w:rPr>
          <w:szCs w:val="22"/>
        </w:rPr>
        <w:t>b</w:t>
      </w:r>
      <w:r w:rsidR="00B567AE" w:rsidRPr="001768B9">
        <w:rPr>
          <w:szCs w:val="22"/>
        </w:rPr>
        <w:t>y</w:t>
      </w:r>
    </w:p>
    <w:p w14:paraId="797323AB" w14:textId="1D22465A" w:rsidR="00352012" w:rsidRPr="001768B9" w:rsidRDefault="00352012" w:rsidP="00220857">
      <w:pPr>
        <w:spacing w:after="0" w:line="312" w:lineRule="auto"/>
        <w:jc w:val="both"/>
        <w:rPr>
          <w:szCs w:val="22"/>
        </w:rPr>
      </w:pPr>
      <w:r w:rsidRPr="001768B9">
        <w:rPr>
          <w:b/>
          <w:szCs w:val="22"/>
        </w:rPr>
        <w:t>EFSF</w:t>
      </w:r>
      <w:r w:rsidRPr="001768B9">
        <w:rPr>
          <w:szCs w:val="22"/>
        </w:rPr>
        <w:t xml:space="preserve"> – Európsky nástroj finančnej stability </w:t>
      </w:r>
    </w:p>
    <w:p w14:paraId="0A8CE864" w14:textId="1664E59C" w:rsidR="00786FDD" w:rsidRPr="001768B9" w:rsidRDefault="00786FDD" w:rsidP="00220857">
      <w:pPr>
        <w:spacing w:after="0" w:line="312" w:lineRule="auto"/>
        <w:jc w:val="both"/>
        <w:rPr>
          <w:szCs w:val="22"/>
        </w:rPr>
      </w:pPr>
      <w:r w:rsidRPr="001768B9">
        <w:rPr>
          <w:b/>
          <w:szCs w:val="22"/>
        </w:rPr>
        <w:t xml:space="preserve">EK – </w:t>
      </w:r>
      <w:r w:rsidRPr="001768B9">
        <w:rPr>
          <w:szCs w:val="22"/>
        </w:rPr>
        <w:t>Európska komisia</w:t>
      </w:r>
    </w:p>
    <w:p w14:paraId="512C59F2" w14:textId="77777777" w:rsidR="00352012" w:rsidRPr="001768B9" w:rsidRDefault="00352012" w:rsidP="00220857">
      <w:pPr>
        <w:spacing w:after="0" w:line="312" w:lineRule="auto"/>
        <w:jc w:val="both"/>
        <w:rPr>
          <w:szCs w:val="22"/>
        </w:rPr>
      </w:pPr>
      <w:r w:rsidRPr="001768B9">
        <w:rPr>
          <w:b/>
          <w:szCs w:val="22"/>
        </w:rPr>
        <w:t>ESM</w:t>
      </w:r>
      <w:r w:rsidRPr="001768B9">
        <w:rPr>
          <w:szCs w:val="22"/>
        </w:rPr>
        <w:t xml:space="preserve"> – Európsky mechanizmus pre stabilitu</w:t>
      </w:r>
      <w:r w:rsidRPr="001768B9">
        <w:rPr>
          <w:b/>
          <w:szCs w:val="22"/>
        </w:rPr>
        <w:t xml:space="preserve"> </w:t>
      </w:r>
    </w:p>
    <w:p w14:paraId="2D837873" w14:textId="6FB31F35" w:rsidR="00352012" w:rsidRPr="001768B9" w:rsidRDefault="000C2F69" w:rsidP="00220857">
      <w:pPr>
        <w:spacing w:after="0" w:line="312" w:lineRule="auto"/>
        <w:jc w:val="both"/>
        <w:rPr>
          <w:szCs w:val="22"/>
        </w:rPr>
      </w:pPr>
      <w:r w:rsidRPr="001768B9">
        <w:rPr>
          <w:b/>
          <w:szCs w:val="22"/>
        </w:rPr>
        <w:t>ESA</w:t>
      </w:r>
      <w:r w:rsidR="00F40ABA" w:rsidRPr="001768B9">
        <w:rPr>
          <w:b/>
          <w:szCs w:val="22"/>
        </w:rPr>
        <w:t xml:space="preserve"> </w:t>
      </w:r>
      <w:r w:rsidRPr="001768B9">
        <w:rPr>
          <w:b/>
          <w:szCs w:val="22"/>
        </w:rPr>
        <w:t>2010</w:t>
      </w:r>
      <w:r w:rsidR="00352012" w:rsidRPr="001768B9">
        <w:rPr>
          <w:szCs w:val="22"/>
        </w:rPr>
        <w:t xml:space="preserve"> - Európsky systém národných a regionálnych účtov 2010</w:t>
      </w:r>
    </w:p>
    <w:p w14:paraId="6C1CBF77" w14:textId="70CCCB4F" w:rsidR="00C76D8F" w:rsidRPr="001768B9" w:rsidRDefault="00C76D8F" w:rsidP="00220857">
      <w:pPr>
        <w:spacing w:after="0" w:line="312" w:lineRule="auto"/>
        <w:jc w:val="both"/>
        <w:rPr>
          <w:b/>
          <w:szCs w:val="22"/>
        </w:rPr>
      </w:pPr>
      <w:r w:rsidRPr="001768B9">
        <w:rPr>
          <w:b/>
          <w:szCs w:val="22"/>
        </w:rPr>
        <w:t xml:space="preserve">EŠIF </w:t>
      </w:r>
      <w:r w:rsidR="00C43846" w:rsidRPr="001768B9">
        <w:rPr>
          <w:b/>
          <w:szCs w:val="22"/>
        </w:rPr>
        <w:t>–</w:t>
      </w:r>
      <w:r w:rsidRPr="001768B9">
        <w:rPr>
          <w:b/>
          <w:szCs w:val="22"/>
        </w:rPr>
        <w:t xml:space="preserve"> </w:t>
      </w:r>
      <w:r w:rsidR="00C43846" w:rsidRPr="001768B9">
        <w:rPr>
          <w:szCs w:val="22"/>
        </w:rPr>
        <w:t>Európske</w:t>
      </w:r>
      <w:r w:rsidR="00135B55" w:rsidRPr="001768B9">
        <w:rPr>
          <w:szCs w:val="22"/>
        </w:rPr>
        <w:t xml:space="preserve"> štrukturálne a investičné fondy</w:t>
      </w:r>
    </w:p>
    <w:p w14:paraId="27B09DF5" w14:textId="77777777" w:rsidR="00352012" w:rsidRPr="001768B9" w:rsidRDefault="00352012" w:rsidP="00220857">
      <w:pPr>
        <w:spacing w:after="0" w:line="312" w:lineRule="auto"/>
        <w:jc w:val="both"/>
        <w:rPr>
          <w:szCs w:val="22"/>
        </w:rPr>
      </w:pPr>
      <w:r w:rsidRPr="001768B9">
        <w:rPr>
          <w:b/>
          <w:szCs w:val="22"/>
        </w:rPr>
        <w:t>EUROSTAT</w:t>
      </w:r>
      <w:r w:rsidRPr="001768B9">
        <w:rPr>
          <w:szCs w:val="22"/>
        </w:rPr>
        <w:t xml:space="preserve"> – Štatistický úrad Európskeho spoločenstva </w:t>
      </w:r>
    </w:p>
    <w:p w14:paraId="37C957BB" w14:textId="4F230E86" w:rsidR="00786FDD" w:rsidRPr="001768B9" w:rsidRDefault="00786FDD" w:rsidP="00220857">
      <w:pPr>
        <w:spacing w:after="0" w:line="312" w:lineRule="auto"/>
        <w:jc w:val="both"/>
        <w:rPr>
          <w:szCs w:val="22"/>
        </w:rPr>
      </w:pPr>
      <w:r w:rsidRPr="001768B9">
        <w:rPr>
          <w:b/>
          <w:szCs w:val="22"/>
        </w:rPr>
        <w:t xml:space="preserve">EÚ – </w:t>
      </w:r>
      <w:r w:rsidRPr="001768B9">
        <w:rPr>
          <w:szCs w:val="22"/>
        </w:rPr>
        <w:t>Európska únia</w:t>
      </w:r>
    </w:p>
    <w:p w14:paraId="0EF10A5E" w14:textId="603A59A3" w:rsidR="00661C75" w:rsidRPr="001768B9" w:rsidRDefault="00661C75" w:rsidP="00220857">
      <w:pPr>
        <w:spacing w:after="0" w:line="312" w:lineRule="auto"/>
        <w:jc w:val="both"/>
        <w:rPr>
          <w:szCs w:val="22"/>
        </w:rPr>
      </w:pPr>
      <w:r w:rsidRPr="001768B9">
        <w:rPr>
          <w:b/>
          <w:szCs w:val="22"/>
        </w:rPr>
        <w:t xml:space="preserve">ETCS </w:t>
      </w:r>
      <w:r w:rsidRPr="001768B9">
        <w:rPr>
          <w:szCs w:val="22"/>
        </w:rPr>
        <w:t>-</w:t>
      </w:r>
      <w:proofErr w:type="spellStart"/>
      <w:r w:rsidRPr="001768B9">
        <w:rPr>
          <w:szCs w:val="22"/>
        </w:rPr>
        <w:t>European</w:t>
      </w:r>
      <w:proofErr w:type="spellEnd"/>
      <w:r w:rsidRPr="001768B9">
        <w:rPr>
          <w:szCs w:val="22"/>
        </w:rPr>
        <w:t xml:space="preserve"> </w:t>
      </w:r>
      <w:proofErr w:type="spellStart"/>
      <w:r w:rsidRPr="001768B9">
        <w:rPr>
          <w:szCs w:val="22"/>
        </w:rPr>
        <w:t>Train</w:t>
      </w:r>
      <w:proofErr w:type="spellEnd"/>
      <w:r w:rsidRPr="001768B9">
        <w:rPr>
          <w:szCs w:val="22"/>
        </w:rPr>
        <w:t xml:space="preserve"> </w:t>
      </w:r>
      <w:proofErr w:type="spellStart"/>
      <w:r w:rsidRPr="001768B9">
        <w:rPr>
          <w:szCs w:val="22"/>
        </w:rPr>
        <w:t>Control</w:t>
      </w:r>
      <w:proofErr w:type="spellEnd"/>
      <w:r w:rsidRPr="001768B9">
        <w:rPr>
          <w:szCs w:val="22"/>
        </w:rPr>
        <w:t xml:space="preserve"> </w:t>
      </w:r>
      <w:proofErr w:type="spellStart"/>
      <w:r w:rsidRPr="001768B9">
        <w:rPr>
          <w:szCs w:val="22"/>
        </w:rPr>
        <w:t>System</w:t>
      </w:r>
      <w:proofErr w:type="spellEnd"/>
    </w:p>
    <w:p w14:paraId="3DA8931A" w14:textId="77777777" w:rsidR="00352012" w:rsidRPr="001768B9" w:rsidRDefault="00352012" w:rsidP="00220857">
      <w:pPr>
        <w:spacing w:after="0" w:line="312" w:lineRule="auto"/>
        <w:jc w:val="both"/>
        <w:rPr>
          <w:szCs w:val="22"/>
        </w:rPr>
      </w:pPr>
      <w:r w:rsidRPr="001768B9">
        <w:rPr>
          <w:b/>
          <w:szCs w:val="22"/>
        </w:rPr>
        <w:t>FNM SR</w:t>
      </w:r>
      <w:r w:rsidRPr="001768B9">
        <w:rPr>
          <w:szCs w:val="22"/>
        </w:rPr>
        <w:t xml:space="preserve"> – Fond národného majetku Slovenskej republiky</w:t>
      </w:r>
    </w:p>
    <w:p w14:paraId="072010C9" w14:textId="77777777" w:rsidR="00352012" w:rsidRPr="001768B9" w:rsidRDefault="00352012" w:rsidP="00220857">
      <w:pPr>
        <w:spacing w:after="0" w:line="312" w:lineRule="auto"/>
        <w:jc w:val="both"/>
        <w:rPr>
          <w:szCs w:val="22"/>
        </w:rPr>
      </w:pPr>
      <w:r w:rsidRPr="001768B9">
        <w:rPr>
          <w:b/>
          <w:szCs w:val="22"/>
        </w:rPr>
        <w:t>GNI</w:t>
      </w:r>
      <w:r w:rsidRPr="001768B9">
        <w:rPr>
          <w:szCs w:val="22"/>
        </w:rPr>
        <w:t xml:space="preserve"> – Hrubý národný príjem</w:t>
      </w:r>
    </w:p>
    <w:p w14:paraId="7430954E" w14:textId="77777777" w:rsidR="00352012" w:rsidRPr="001768B9" w:rsidRDefault="00352012" w:rsidP="00220857">
      <w:pPr>
        <w:spacing w:after="0" w:line="312" w:lineRule="auto"/>
        <w:jc w:val="both"/>
        <w:rPr>
          <w:szCs w:val="22"/>
        </w:rPr>
      </w:pPr>
      <w:r w:rsidRPr="001768B9">
        <w:rPr>
          <w:b/>
          <w:szCs w:val="22"/>
        </w:rPr>
        <w:t>HDP</w:t>
      </w:r>
      <w:r w:rsidRPr="001768B9">
        <w:rPr>
          <w:szCs w:val="22"/>
        </w:rPr>
        <w:t xml:space="preserve"> – hrubý domáci produkt</w:t>
      </w:r>
    </w:p>
    <w:p w14:paraId="06DCCA93" w14:textId="77777777" w:rsidR="00352012" w:rsidRPr="001768B9" w:rsidRDefault="00352012" w:rsidP="00220857">
      <w:pPr>
        <w:spacing w:after="0" w:line="312" w:lineRule="auto"/>
        <w:rPr>
          <w:szCs w:val="22"/>
        </w:rPr>
      </w:pPr>
      <w:r w:rsidRPr="001768B9">
        <w:rPr>
          <w:b/>
          <w:szCs w:val="22"/>
        </w:rPr>
        <w:t>IPSAS</w:t>
      </w:r>
      <w:r w:rsidRPr="001768B9">
        <w:rPr>
          <w:szCs w:val="22"/>
        </w:rPr>
        <w:t xml:space="preserve"> - Medzinárodné účtovné štandardy pre verejný sektor</w:t>
      </w:r>
    </w:p>
    <w:p w14:paraId="5F5418FB" w14:textId="77777777" w:rsidR="00352012" w:rsidRPr="001768B9" w:rsidRDefault="00352012" w:rsidP="00220857">
      <w:pPr>
        <w:spacing w:after="0" w:line="312" w:lineRule="auto"/>
        <w:jc w:val="both"/>
        <w:rPr>
          <w:szCs w:val="22"/>
        </w:rPr>
      </w:pPr>
      <w:r w:rsidRPr="001768B9">
        <w:rPr>
          <w:b/>
          <w:szCs w:val="22"/>
        </w:rPr>
        <w:t>KÚZ</w:t>
      </w:r>
      <w:r w:rsidRPr="001768B9">
        <w:rPr>
          <w:szCs w:val="22"/>
        </w:rPr>
        <w:t xml:space="preserve"> – konsolidovaná účtovná závierka</w:t>
      </w:r>
    </w:p>
    <w:p w14:paraId="384F3C23" w14:textId="67580020" w:rsidR="00352012" w:rsidRPr="001768B9" w:rsidRDefault="00352012" w:rsidP="00220857">
      <w:pPr>
        <w:spacing w:after="0" w:line="312" w:lineRule="auto"/>
        <w:jc w:val="both"/>
        <w:rPr>
          <w:szCs w:val="22"/>
        </w:rPr>
      </w:pPr>
      <w:r w:rsidRPr="001768B9">
        <w:rPr>
          <w:b/>
          <w:szCs w:val="22"/>
        </w:rPr>
        <w:t>MF</w:t>
      </w:r>
      <w:r w:rsidRPr="001768B9">
        <w:rPr>
          <w:szCs w:val="22"/>
        </w:rPr>
        <w:t> </w:t>
      </w:r>
      <w:r w:rsidRPr="001768B9">
        <w:rPr>
          <w:b/>
          <w:szCs w:val="22"/>
        </w:rPr>
        <w:t>SR</w:t>
      </w:r>
      <w:r w:rsidRPr="001768B9">
        <w:rPr>
          <w:szCs w:val="22"/>
        </w:rPr>
        <w:t xml:space="preserve"> – Ministerstvo financií Slovenskej republiky</w:t>
      </w:r>
    </w:p>
    <w:p w14:paraId="3609BFB1" w14:textId="33B1156A" w:rsidR="00661C75" w:rsidRPr="001768B9" w:rsidRDefault="00661C75" w:rsidP="00220857">
      <w:pPr>
        <w:spacing w:after="0" w:line="312" w:lineRule="auto"/>
        <w:jc w:val="both"/>
        <w:rPr>
          <w:szCs w:val="22"/>
        </w:rPr>
      </w:pPr>
      <w:r w:rsidRPr="001768B9">
        <w:rPr>
          <w:b/>
          <w:szCs w:val="22"/>
        </w:rPr>
        <w:t xml:space="preserve">MK SR </w:t>
      </w:r>
      <w:r w:rsidRPr="001768B9">
        <w:rPr>
          <w:szCs w:val="22"/>
        </w:rPr>
        <w:t>– Ministerstvo kultúry Slovenskej republiky</w:t>
      </w:r>
    </w:p>
    <w:p w14:paraId="52C2D438" w14:textId="77777777" w:rsidR="00352012" w:rsidRPr="001768B9" w:rsidRDefault="00352012" w:rsidP="00220857">
      <w:pPr>
        <w:spacing w:after="0" w:line="312" w:lineRule="auto"/>
        <w:jc w:val="both"/>
        <w:rPr>
          <w:szCs w:val="22"/>
        </w:rPr>
      </w:pPr>
      <w:r w:rsidRPr="001768B9">
        <w:rPr>
          <w:b/>
          <w:szCs w:val="22"/>
        </w:rPr>
        <w:t>MMF</w:t>
      </w:r>
      <w:r w:rsidRPr="001768B9">
        <w:rPr>
          <w:szCs w:val="22"/>
        </w:rPr>
        <w:t xml:space="preserve"> – Medzinárodný menový fond</w:t>
      </w:r>
    </w:p>
    <w:p w14:paraId="17544974" w14:textId="3D9A6BEF" w:rsidR="00352012" w:rsidRPr="001768B9" w:rsidRDefault="00352012" w:rsidP="00220857">
      <w:pPr>
        <w:spacing w:after="0" w:line="312" w:lineRule="auto"/>
        <w:jc w:val="both"/>
        <w:rPr>
          <w:szCs w:val="22"/>
        </w:rPr>
      </w:pPr>
      <w:r w:rsidRPr="001768B9">
        <w:rPr>
          <w:b/>
          <w:szCs w:val="22"/>
        </w:rPr>
        <w:t>OECD</w:t>
      </w:r>
      <w:r w:rsidRPr="001768B9">
        <w:rPr>
          <w:szCs w:val="22"/>
        </w:rPr>
        <w:t xml:space="preserve"> – Organizácia pre hospodársku spoluprácu a</w:t>
      </w:r>
      <w:r w:rsidR="00C2563F" w:rsidRPr="001768B9">
        <w:rPr>
          <w:szCs w:val="22"/>
        </w:rPr>
        <w:t> </w:t>
      </w:r>
      <w:r w:rsidRPr="001768B9">
        <w:rPr>
          <w:szCs w:val="22"/>
        </w:rPr>
        <w:t>rozvoj</w:t>
      </w:r>
    </w:p>
    <w:p w14:paraId="71BD9609" w14:textId="2C55128A" w:rsidR="00C2563F" w:rsidRPr="001768B9" w:rsidRDefault="00C2563F" w:rsidP="00220857">
      <w:pPr>
        <w:spacing w:after="0" w:line="312" w:lineRule="auto"/>
        <w:jc w:val="both"/>
        <w:rPr>
          <w:szCs w:val="22"/>
        </w:rPr>
      </w:pPr>
      <w:r w:rsidRPr="001768B9">
        <w:rPr>
          <w:b/>
          <w:szCs w:val="22"/>
        </w:rPr>
        <w:t>OP</w:t>
      </w:r>
      <w:r w:rsidRPr="001768B9">
        <w:rPr>
          <w:szCs w:val="22"/>
        </w:rPr>
        <w:t xml:space="preserve"> – operačný program</w:t>
      </w:r>
    </w:p>
    <w:p w14:paraId="1792AA34" w14:textId="77777777" w:rsidR="00352012" w:rsidRPr="001768B9" w:rsidRDefault="00352012" w:rsidP="00220857">
      <w:pPr>
        <w:spacing w:after="0" w:line="312" w:lineRule="auto"/>
        <w:jc w:val="both"/>
        <w:rPr>
          <w:szCs w:val="22"/>
        </w:rPr>
      </w:pPr>
      <w:r w:rsidRPr="001768B9">
        <w:rPr>
          <w:b/>
          <w:szCs w:val="22"/>
        </w:rPr>
        <w:t>OS</w:t>
      </w:r>
      <w:r w:rsidRPr="001768B9">
        <w:rPr>
          <w:szCs w:val="22"/>
        </w:rPr>
        <w:t xml:space="preserve"> – obchodné spoločnosti</w:t>
      </w:r>
    </w:p>
    <w:p w14:paraId="7098562B" w14:textId="77777777" w:rsidR="00352012" w:rsidRPr="001768B9" w:rsidRDefault="00352012" w:rsidP="00220857">
      <w:pPr>
        <w:spacing w:after="0" w:line="312" w:lineRule="auto"/>
        <w:jc w:val="both"/>
        <w:rPr>
          <w:szCs w:val="22"/>
        </w:rPr>
      </w:pPr>
      <w:r w:rsidRPr="001768B9">
        <w:rPr>
          <w:b/>
          <w:szCs w:val="22"/>
        </w:rPr>
        <w:t>OSN</w:t>
      </w:r>
      <w:r w:rsidRPr="001768B9">
        <w:rPr>
          <w:szCs w:val="22"/>
        </w:rPr>
        <w:t xml:space="preserve"> – Organizácia spojených národov</w:t>
      </w:r>
    </w:p>
    <w:p w14:paraId="1F2EA230" w14:textId="77777777" w:rsidR="00352012" w:rsidRPr="001768B9" w:rsidRDefault="00352012" w:rsidP="00220857">
      <w:pPr>
        <w:spacing w:after="0" w:line="312" w:lineRule="auto"/>
        <w:jc w:val="both"/>
        <w:rPr>
          <w:szCs w:val="22"/>
        </w:rPr>
      </w:pPr>
      <w:r w:rsidRPr="001768B9">
        <w:rPr>
          <w:b/>
          <w:szCs w:val="22"/>
        </w:rPr>
        <w:t xml:space="preserve">PPP </w:t>
      </w:r>
      <w:r w:rsidRPr="001768B9">
        <w:rPr>
          <w:szCs w:val="22"/>
        </w:rPr>
        <w:t>– projekt verejno-súkromného partnerstva</w:t>
      </w:r>
    </w:p>
    <w:p w14:paraId="5B10DAEF" w14:textId="77777777" w:rsidR="00352012" w:rsidRPr="001768B9" w:rsidRDefault="00352012" w:rsidP="00220857">
      <w:pPr>
        <w:spacing w:after="0" w:line="312" w:lineRule="auto"/>
        <w:jc w:val="both"/>
        <w:rPr>
          <w:szCs w:val="22"/>
        </w:rPr>
      </w:pPr>
      <w:r w:rsidRPr="001768B9">
        <w:rPr>
          <w:b/>
          <w:szCs w:val="22"/>
        </w:rPr>
        <w:t>PO</w:t>
      </w:r>
      <w:r w:rsidRPr="001768B9">
        <w:rPr>
          <w:szCs w:val="22"/>
        </w:rPr>
        <w:t xml:space="preserve"> – príspevkové organizácie</w:t>
      </w:r>
    </w:p>
    <w:p w14:paraId="30ABF850" w14:textId="77777777" w:rsidR="00352012" w:rsidRPr="001768B9" w:rsidRDefault="00352012" w:rsidP="00220857">
      <w:pPr>
        <w:spacing w:after="0" w:line="312" w:lineRule="auto"/>
        <w:jc w:val="both"/>
        <w:rPr>
          <w:szCs w:val="22"/>
        </w:rPr>
      </w:pPr>
      <w:r w:rsidRPr="001768B9">
        <w:rPr>
          <w:b/>
          <w:szCs w:val="22"/>
        </w:rPr>
        <w:t>RO</w:t>
      </w:r>
      <w:r w:rsidRPr="001768B9">
        <w:rPr>
          <w:szCs w:val="22"/>
        </w:rPr>
        <w:t xml:space="preserve"> – rozpočtové organizácie</w:t>
      </w:r>
    </w:p>
    <w:p w14:paraId="5061E7B5" w14:textId="77777777" w:rsidR="00BF11BC" w:rsidRPr="001768B9" w:rsidRDefault="00BF11BC" w:rsidP="00220857">
      <w:pPr>
        <w:spacing w:after="0" w:line="312" w:lineRule="auto"/>
        <w:jc w:val="both"/>
        <w:rPr>
          <w:b/>
          <w:szCs w:val="22"/>
        </w:rPr>
      </w:pPr>
      <w:r w:rsidRPr="001768B9">
        <w:rPr>
          <w:b/>
          <w:szCs w:val="22"/>
        </w:rPr>
        <w:t>SDR</w:t>
      </w:r>
      <w:r w:rsidR="009F6BD6" w:rsidRPr="001768B9">
        <w:rPr>
          <w:b/>
          <w:szCs w:val="22"/>
        </w:rPr>
        <w:t xml:space="preserve"> – </w:t>
      </w:r>
      <w:r w:rsidR="009F6BD6" w:rsidRPr="001768B9">
        <w:rPr>
          <w:szCs w:val="22"/>
        </w:rPr>
        <w:t>špeciálne práva čerpania</w:t>
      </w:r>
      <w:r w:rsidR="005E7ABD" w:rsidRPr="001768B9">
        <w:rPr>
          <w:szCs w:val="22"/>
        </w:rPr>
        <w:t>, jednotná menová a účtovná jednotka používaná v rámci Medzinárodného menového fondu</w:t>
      </w:r>
    </w:p>
    <w:p w14:paraId="5702F201" w14:textId="77777777" w:rsidR="00352012" w:rsidRPr="001768B9" w:rsidRDefault="00352012" w:rsidP="00220857">
      <w:pPr>
        <w:spacing w:after="0" w:line="312" w:lineRule="auto"/>
        <w:jc w:val="both"/>
        <w:rPr>
          <w:szCs w:val="22"/>
        </w:rPr>
      </w:pPr>
      <w:r w:rsidRPr="001768B9">
        <w:rPr>
          <w:b/>
          <w:szCs w:val="22"/>
        </w:rPr>
        <w:t>SVS</w:t>
      </w:r>
      <w:r w:rsidRPr="001768B9">
        <w:rPr>
          <w:szCs w:val="22"/>
        </w:rPr>
        <w:t xml:space="preserve"> – Súhrnná výročná správa SR</w:t>
      </w:r>
    </w:p>
    <w:p w14:paraId="270AF5BE" w14:textId="77777777" w:rsidR="00352012" w:rsidRPr="001768B9" w:rsidRDefault="00352012" w:rsidP="00220857">
      <w:pPr>
        <w:spacing w:after="0" w:line="312" w:lineRule="auto"/>
        <w:jc w:val="both"/>
        <w:rPr>
          <w:szCs w:val="22"/>
        </w:rPr>
      </w:pPr>
      <w:r w:rsidRPr="001768B9">
        <w:rPr>
          <w:b/>
          <w:szCs w:val="22"/>
        </w:rPr>
        <w:t>SZČO</w:t>
      </w:r>
      <w:r w:rsidRPr="001768B9">
        <w:rPr>
          <w:szCs w:val="22"/>
        </w:rPr>
        <w:t xml:space="preserve"> – samostatne zárobkovo činná osoba</w:t>
      </w:r>
    </w:p>
    <w:p w14:paraId="5E25D255" w14:textId="128F7804" w:rsidR="00265D08" w:rsidRPr="001768B9" w:rsidRDefault="00265D08" w:rsidP="00220857">
      <w:pPr>
        <w:spacing w:after="0" w:line="312" w:lineRule="auto"/>
        <w:jc w:val="both"/>
        <w:rPr>
          <w:b/>
          <w:szCs w:val="22"/>
        </w:rPr>
      </w:pPr>
      <w:r w:rsidRPr="001768B9">
        <w:rPr>
          <w:b/>
          <w:szCs w:val="22"/>
        </w:rPr>
        <w:t xml:space="preserve">ŠFA – </w:t>
      </w:r>
      <w:r w:rsidRPr="001768B9">
        <w:rPr>
          <w:szCs w:val="22"/>
        </w:rPr>
        <w:t>štátne finančné aktíva</w:t>
      </w:r>
    </w:p>
    <w:p w14:paraId="6A824AA5" w14:textId="2D34D03F" w:rsidR="00352012" w:rsidRPr="001768B9" w:rsidRDefault="00352012" w:rsidP="00220857">
      <w:pPr>
        <w:spacing w:after="0" w:line="312" w:lineRule="auto"/>
        <w:jc w:val="both"/>
        <w:rPr>
          <w:szCs w:val="22"/>
        </w:rPr>
      </w:pPr>
      <w:r w:rsidRPr="001768B9">
        <w:rPr>
          <w:b/>
          <w:szCs w:val="22"/>
        </w:rPr>
        <w:t>ŠÚ</w:t>
      </w:r>
      <w:r w:rsidRPr="001768B9">
        <w:rPr>
          <w:szCs w:val="22"/>
        </w:rPr>
        <w:t> </w:t>
      </w:r>
      <w:r w:rsidRPr="001768B9">
        <w:rPr>
          <w:b/>
          <w:szCs w:val="22"/>
        </w:rPr>
        <w:t>SR</w:t>
      </w:r>
      <w:r w:rsidRPr="001768B9">
        <w:rPr>
          <w:szCs w:val="22"/>
        </w:rPr>
        <w:t xml:space="preserve"> – Štatistický úrad Slovenskej republiky</w:t>
      </w:r>
    </w:p>
    <w:p w14:paraId="237686DE" w14:textId="77777777" w:rsidR="00352012" w:rsidRPr="001768B9" w:rsidRDefault="00352012" w:rsidP="00220857">
      <w:pPr>
        <w:spacing w:after="0" w:line="312" w:lineRule="auto"/>
        <w:jc w:val="both"/>
        <w:rPr>
          <w:szCs w:val="22"/>
        </w:rPr>
      </w:pPr>
      <w:r w:rsidRPr="001768B9">
        <w:rPr>
          <w:b/>
          <w:szCs w:val="22"/>
        </w:rPr>
        <w:t xml:space="preserve">ŠZÚ </w:t>
      </w:r>
      <w:r w:rsidRPr="001768B9">
        <w:rPr>
          <w:szCs w:val="22"/>
        </w:rPr>
        <w:t>– Štátny záverečný účet SR</w:t>
      </w:r>
    </w:p>
    <w:p w14:paraId="1520ADD8" w14:textId="77777777" w:rsidR="00352012" w:rsidRPr="001768B9" w:rsidRDefault="00352012" w:rsidP="00220857">
      <w:pPr>
        <w:spacing w:after="0" w:line="312" w:lineRule="auto"/>
        <w:jc w:val="both"/>
        <w:rPr>
          <w:szCs w:val="22"/>
        </w:rPr>
      </w:pPr>
      <w:r w:rsidRPr="001768B9">
        <w:rPr>
          <w:b/>
          <w:szCs w:val="22"/>
        </w:rPr>
        <w:t xml:space="preserve">ÚJ </w:t>
      </w:r>
      <w:r w:rsidRPr="001768B9">
        <w:rPr>
          <w:szCs w:val="22"/>
        </w:rPr>
        <w:t>– účtovná jednotka</w:t>
      </w:r>
    </w:p>
    <w:p w14:paraId="21B9FDFA" w14:textId="77777777" w:rsidR="00352012" w:rsidRPr="001768B9" w:rsidRDefault="00352012" w:rsidP="00220857">
      <w:pPr>
        <w:spacing w:after="0" w:line="312" w:lineRule="auto"/>
        <w:jc w:val="both"/>
        <w:rPr>
          <w:szCs w:val="22"/>
        </w:rPr>
      </w:pPr>
      <w:r w:rsidRPr="001768B9">
        <w:rPr>
          <w:b/>
          <w:szCs w:val="22"/>
        </w:rPr>
        <w:t>VÚC</w:t>
      </w:r>
      <w:r w:rsidRPr="001768B9">
        <w:rPr>
          <w:szCs w:val="22"/>
        </w:rPr>
        <w:t xml:space="preserve"> – vyššie územné celky</w:t>
      </w:r>
    </w:p>
    <w:p w14:paraId="3F46B726" w14:textId="753C2201" w:rsidR="00661C75" w:rsidRPr="001768B9" w:rsidRDefault="00661C75" w:rsidP="00220857">
      <w:pPr>
        <w:spacing w:after="0" w:line="312" w:lineRule="auto"/>
        <w:jc w:val="both"/>
        <w:rPr>
          <w:szCs w:val="22"/>
        </w:rPr>
      </w:pPr>
      <w:r w:rsidRPr="001768B9">
        <w:rPr>
          <w:b/>
          <w:szCs w:val="22"/>
        </w:rPr>
        <w:t xml:space="preserve">ÚDZS – </w:t>
      </w:r>
      <w:r w:rsidRPr="001768B9">
        <w:rPr>
          <w:szCs w:val="22"/>
        </w:rPr>
        <w:t>Úrad pre dohľad nad zdravotnou starostlivosťou</w:t>
      </w:r>
    </w:p>
    <w:p w14:paraId="775136BC" w14:textId="14E8AFBE" w:rsidR="00352012" w:rsidRPr="001768B9" w:rsidRDefault="00352012" w:rsidP="00220857">
      <w:pPr>
        <w:spacing w:after="0" w:line="312" w:lineRule="auto"/>
        <w:jc w:val="both"/>
        <w:rPr>
          <w:szCs w:val="22"/>
        </w:rPr>
      </w:pPr>
      <w:r w:rsidRPr="001768B9">
        <w:rPr>
          <w:b/>
          <w:szCs w:val="22"/>
        </w:rPr>
        <w:t>ústavný zákon o rozpočtovej zodpovednosti</w:t>
      </w:r>
      <w:r w:rsidRPr="001768B9">
        <w:rPr>
          <w:szCs w:val="22"/>
        </w:rPr>
        <w:t xml:space="preserve"> </w:t>
      </w:r>
      <w:r w:rsidRPr="001768B9">
        <w:rPr>
          <w:b/>
          <w:szCs w:val="22"/>
        </w:rPr>
        <w:t>-</w:t>
      </w:r>
      <w:r w:rsidRPr="001768B9">
        <w:rPr>
          <w:szCs w:val="22"/>
        </w:rPr>
        <w:t xml:space="preserve"> ústavný zákon č. 493/2011 Z. z. o rozpočtovej zodpovednosti</w:t>
      </w:r>
    </w:p>
    <w:p w14:paraId="3DAAD335" w14:textId="6A1D0BDC" w:rsidR="00661C75" w:rsidRPr="001768B9" w:rsidRDefault="00661C75" w:rsidP="00220857">
      <w:pPr>
        <w:spacing w:after="0" w:line="312" w:lineRule="auto"/>
        <w:jc w:val="both"/>
        <w:rPr>
          <w:szCs w:val="22"/>
        </w:rPr>
      </w:pPr>
      <w:r w:rsidRPr="001768B9">
        <w:rPr>
          <w:b/>
          <w:szCs w:val="22"/>
        </w:rPr>
        <w:t xml:space="preserve">VPS </w:t>
      </w:r>
      <w:r w:rsidRPr="001768B9">
        <w:rPr>
          <w:szCs w:val="22"/>
        </w:rPr>
        <w:t>– Všeobecná pokladničná správa</w:t>
      </w:r>
    </w:p>
    <w:p w14:paraId="01ADBF1D" w14:textId="64B827CB" w:rsidR="00352012" w:rsidRPr="001768B9" w:rsidRDefault="00352012" w:rsidP="00220857">
      <w:pPr>
        <w:spacing w:after="0" w:line="312" w:lineRule="auto"/>
        <w:jc w:val="both"/>
        <w:rPr>
          <w:szCs w:val="22"/>
        </w:rPr>
      </w:pPr>
      <w:r w:rsidRPr="001768B9">
        <w:rPr>
          <w:b/>
          <w:szCs w:val="22"/>
        </w:rPr>
        <w:t>zákon o rozpočtových pravidlách verejnej správy (rozpočtové pravidlá</w:t>
      </w:r>
      <w:r w:rsidRPr="001768B9">
        <w:rPr>
          <w:szCs w:val="22"/>
        </w:rPr>
        <w:t xml:space="preserve">) </w:t>
      </w:r>
      <w:r w:rsidRPr="001768B9">
        <w:rPr>
          <w:b/>
          <w:szCs w:val="22"/>
        </w:rPr>
        <w:t>-</w:t>
      </w:r>
      <w:r w:rsidR="00E17549" w:rsidRPr="001768B9">
        <w:rPr>
          <w:szCs w:val="22"/>
        </w:rPr>
        <w:t xml:space="preserve"> zákon č. </w:t>
      </w:r>
      <w:r w:rsidRPr="001768B9">
        <w:rPr>
          <w:szCs w:val="22"/>
        </w:rPr>
        <w:t>523/2004 Z. z. o rozpočtový</w:t>
      </w:r>
      <w:r w:rsidR="00E17549" w:rsidRPr="001768B9">
        <w:rPr>
          <w:szCs w:val="22"/>
        </w:rPr>
        <w:t xml:space="preserve">ch pravidlách verejnej správy a o </w:t>
      </w:r>
      <w:r w:rsidRPr="001768B9">
        <w:rPr>
          <w:szCs w:val="22"/>
        </w:rPr>
        <w:t>zmene a</w:t>
      </w:r>
      <w:r w:rsidR="00E17549" w:rsidRPr="001768B9">
        <w:rPr>
          <w:szCs w:val="22"/>
        </w:rPr>
        <w:t xml:space="preserve"> </w:t>
      </w:r>
      <w:r w:rsidRPr="001768B9">
        <w:rPr>
          <w:szCs w:val="22"/>
        </w:rPr>
        <w:t>doplnení niektorých zákonov v znení neskorších predpisov</w:t>
      </w:r>
    </w:p>
    <w:p w14:paraId="018975E9" w14:textId="77777777" w:rsidR="00352012" w:rsidRPr="001768B9" w:rsidRDefault="00352012" w:rsidP="00220857">
      <w:pPr>
        <w:spacing w:after="0" w:line="312" w:lineRule="auto"/>
        <w:jc w:val="both"/>
        <w:rPr>
          <w:szCs w:val="22"/>
        </w:rPr>
      </w:pPr>
      <w:r w:rsidRPr="001768B9">
        <w:rPr>
          <w:b/>
          <w:szCs w:val="22"/>
        </w:rPr>
        <w:t>zákon o účtovníctve</w:t>
      </w:r>
      <w:r w:rsidRPr="001768B9">
        <w:rPr>
          <w:szCs w:val="22"/>
        </w:rPr>
        <w:t xml:space="preserve"> </w:t>
      </w:r>
      <w:r w:rsidRPr="001768B9">
        <w:rPr>
          <w:b/>
          <w:szCs w:val="22"/>
        </w:rPr>
        <w:t>-</w:t>
      </w:r>
      <w:r w:rsidRPr="001768B9">
        <w:rPr>
          <w:szCs w:val="22"/>
        </w:rPr>
        <w:t xml:space="preserve"> Zákon č. 431/2002 Z. z. o účtovníctve v znení neskorších predpisov</w:t>
      </w:r>
    </w:p>
    <w:p w14:paraId="117D0BDF" w14:textId="77777777" w:rsidR="00352012" w:rsidRPr="001768B9" w:rsidRDefault="00352012" w:rsidP="00220857">
      <w:pPr>
        <w:spacing w:after="0" w:line="312" w:lineRule="auto"/>
        <w:jc w:val="both"/>
        <w:rPr>
          <w:bCs/>
          <w:szCs w:val="22"/>
        </w:rPr>
      </w:pPr>
      <w:r w:rsidRPr="001768B9">
        <w:rPr>
          <w:b/>
          <w:szCs w:val="22"/>
        </w:rPr>
        <w:t xml:space="preserve">zákon </w:t>
      </w:r>
      <w:r w:rsidRPr="001768B9">
        <w:rPr>
          <w:b/>
          <w:bCs/>
          <w:szCs w:val="22"/>
        </w:rPr>
        <w:t>o organizácii vlády a ústrednej štátnej správy</w:t>
      </w:r>
      <w:r w:rsidRPr="001768B9">
        <w:rPr>
          <w:bCs/>
          <w:szCs w:val="22"/>
        </w:rPr>
        <w:t xml:space="preserve"> - </w:t>
      </w:r>
      <w:r w:rsidRPr="001768B9">
        <w:rPr>
          <w:szCs w:val="22"/>
        </w:rPr>
        <w:t xml:space="preserve">zákon č. </w:t>
      </w:r>
      <w:r w:rsidRPr="001768B9">
        <w:rPr>
          <w:bCs/>
          <w:szCs w:val="22"/>
        </w:rPr>
        <w:t>575/2001 Z. z. o organizácii činnosti vlády a organizácii ústrednej štátnej správy v znení neskorších predpisov</w:t>
      </w:r>
    </w:p>
    <w:p w14:paraId="053D122C" w14:textId="77777777" w:rsidR="00352012" w:rsidRPr="001768B9" w:rsidRDefault="00352012" w:rsidP="00220857">
      <w:pPr>
        <w:spacing w:after="0" w:line="312" w:lineRule="auto"/>
        <w:jc w:val="both"/>
        <w:rPr>
          <w:bCs/>
          <w:szCs w:val="22"/>
        </w:rPr>
      </w:pPr>
      <w:r w:rsidRPr="001768B9">
        <w:rPr>
          <w:b/>
          <w:szCs w:val="22"/>
        </w:rPr>
        <w:t xml:space="preserve">zákon </w:t>
      </w:r>
      <w:r w:rsidRPr="001768B9">
        <w:rPr>
          <w:b/>
          <w:bCs/>
          <w:szCs w:val="22"/>
        </w:rPr>
        <w:t>o obecnom zriadení</w:t>
      </w:r>
      <w:r w:rsidRPr="001768B9">
        <w:rPr>
          <w:bCs/>
          <w:szCs w:val="22"/>
        </w:rPr>
        <w:t xml:space="preserve"> </w:t>
      </w:r>
      <w:r w:rsidRPr="001768B9">
        <w:rPr>
          <w:b/>
          <w:bCs/>
          <w:szCs w:val="22"/>
        </w:rPr>
        <w:t>-</w:t>
      </w:r>
      <w:r w:rsidRPr="001768B9">
        <w:rPr>
          <w:bCs/>
          <w:szCs w:val="22"/>
        </w:rPr>
        <w:t xml:space="preserve"> </w:t>
      </w:r>
      <w:r w:rsidRPr="001768B9">
        <w:rPr>
          <w:szCs w:val="22"/>
        </w:rPr>
        <w:t xml:space="preserve">zákon </w:t>
      </w:r>
      <w:r w:rsidRPr="001768B9">
        <w:rPr>
          <w:bCs/>
          <w:szCs w:val="22"/>
        </w:rPr>
        <w:t>Slovenskej národnej rady č. 369/</w:t>
      </w:r>
      <w:r w:rsidRPr="001768B9">
        <w:rPr>
          <w:szCs w:val="22"/>
        </w:rPr>
        <w:t xml:space="preserve">1990 Zb. </w:t>
      </w:r>
      <w:r w:rsidRPr="001768B9">
        <w:rPr>
          <w:bCs/>
          <w:szCs w:val="22"/>
        </w:rPr>
        <w:t>o obecnom zriadení v znení neskorších predpisov</w:t>
      </w:r>
    </w:p>
    <w:p w14:paraId="12EED020" w14:textId="0B9568A2" w:rsidR="00352012" w:rsidRPr="001768B9" w:rsidRDefault="00352012" w:rsidP="00220857">
      <w:pPr>
        <w:spacing w:after="0" w:line="312" w:lineRule="auto"/>
        <w:jc w:val="both"/>
        <w:rPr>
          <w:bCs/>
          <w:szCs w:val="22"/>
        </w:rPr>
      </w:pPr>
      <w:r w:rsidRPr="001768B9">
        <w:rPr>
          <w:b/>
          <w:bCs/>
          <w:szCs w:val="22"/>
        </w:rPr>
        <w:t>zákon o samosprávnych krajoch</w:t>
      </w:r>
      <w:r w:rsidRPr="001768B9">
        <w:rPr>
          <w:bCs/>
          <w:szCs w:val="22"/>
        </w:rPr>
        <w:t xml:space="preserve"> </w:t>
      </w:r>
      <w:r w:rsidRPr="001768B9">
        <w:rPr>
          <w:b/>
          <w:bCs/>
          <w:szCs w:val="22"/>
        </w:rPr>
        <w:t>-</w:t>
      </w:r>
      <w:r w:rsidR="00E17549" w:rsidRPr="001768B9">
        <w:rPr>
          <w:bCs/>
          <w:szCs w:val="22"/>
        </w:rPr>
        <w:t xml:space="preserve"> zákon č. </w:t>
      </w:r>
      <w:r w:rsidRPr="001768B9">
        <w:rPr>
          <w:bCs/>
          <w:szCs w:val="22"/>
        </w:rPr>
        <w:t>302/2001 Z. z. o samospráve vyšších územných celkov v znení neskorších predpisov</w:t>
      </w:r>
    </w:p>
    <w:p w14:paraId="6EB312C0" w14:textId="724AC73A" w:rsidR="00352012" w:rsidRPr="001768B9" w:rsidRDefault="00352012" w:rsidP="00220857">
      <w:pPr>
        <w:spacing w:after="0" w:line="312" w:lineRule="auto"/>
        <w:jc w:val="both"/>
        <w:rPr>
          <w:bCs/>
          <w:szCs w:val="22"/>
        </w:rPr>
      </w:pPr>
      <w:r w:rsidRPr="001768B9">
        <w:rPr>
          <w:b/>
          <w:szCs w:val="22"/>
        </w:rPr>
        <w:t>zákon o Sociálnej poisťovni</w:t>
      </w:r>
      <w:r w:rsidRPr="001768B9">
        <w:rPr>
          <w:szCs w:val="22"/>
        </w:rPr>
        <w:t xml:space="preserve"> </w:t>
      </w:r>
      <w:r w:rsidRPr="001768B9">
        <w:rPr>
          <w:bCs/>
          <w:szCs w:val="22"/>
        </w:rPr>
        <w:t xml:space="preserve">– </w:t>
      </w:r>
      <w:r w:rsidRPr="001768B9">
        <w:rPr>
          <w:szCs w:val="22"/>
        </w:rPr>
        <w:t>zákon č.</w:t>
      </w:r>
      <w:r w:rsidR="00E17549" w:rsidRPr="001768B9">
        <w:rPr>
          <w:szCs w:val="22"/>
        </w:rPr>
        <w:t> </w:t>
      </w:r>
      <w:r w:rsidRPr="001768B9">
        <w:rPr>
          <w:szCs w:val="22"/>
        </w:rPr>
        <w:t xml:space="preserve">274/1994 Z. z. o Sociálnej poisťovni </w:t>
      </w:r>
      <w:r w:rsidRPr="001768B9">
        <w:rPr>
          <w:bCs/>
          <w:szCs w:val="22"/>
        </w:rPr>
        <w:t>v znení neskorších predpisov</w:t>
      </w:r>
    </w:p>
    <w:p w14:paraId="66E34BCF" w14:textId="7B92CC91" w:rsidR="00352012" w:rsidRPr="001768B9" w:rsidRDefault="00352012" w:rsidP="00220857">
      <w:pPr>
        <w:spacing w:after="0" w:line="312" w:lineRule="auto"/>
        <w:jc w:val="both"/>
        <w:rPr>
          <w:bCs/>
          <w:szCs w:val="22"/>
        </w:rPr>
      </w:pPr>
      <w:r w:rsidRPr="001768B9">
        <w:rPr>
          <w:b/>
          <w:szCs w:val="22"/>
        </w:rPr>
        <w:t xml:space="preserve">zákon </w:t>
      </w:r>
      <w:r w:rsidRPr="001768B9">
        <w:rPr>
          <w:b/>
          <w:bCs/>
          <w:szCs w:val="22"/>
        </w:rPr>
        <w:t>o zdravotných poisťovniach</w:t>
      </w:r>
      <w:r w:rsidRPr="001768B9">
        <w:rPr>
          <w:bCs/>
          <w:szCs w:val="22"/>
        </w:rPr>
        <w:t xml:space="preserve"> </w:t>
      </w:r>
      <w:r w:rsidRPr="001768B9">
        <w:rPr>
          <w:b/>
          <w:bCs/>
          <w:szCs w:val="22"/>
        </w:rPr>
        <w:t>-</w:t>
      </w:r>
      <w:r w:rsidRPr="001768B9">
        <w:rPr>
          <w:bCs/>
          <w:szCs w:val="22"/>
        </w:rPr>
        <w:t xml:space="preserve"> </w:t>
      </w:r>
      <w:r w:rsidRPr="001768B9">
        <w:rPr>
          <w:szCs w:val="22"/>
        </w:rPr>
        <w:t>zákon č.</w:t>
      </w:r>
      <w:r w:rsidR="00E17549" w:rsidRPr="001768B9">
        <w:rPr>
          <w:szCs w:val="22"/>
        </w:rPr>
        <w:t> </w:t>
      </w:r>
      <w:r w:rsidRPr="001768B9">
        <w:rPr>
          <w:bCs/>
          <w:szCs w:val="22"/>
        </w:rPr>
        <w:t>581/</w:t>
      </w:r>
      <w:r w:rsidRPr="001768B9">
        <w:rPr>
          <w:szCs w:val="22"/>
        </w:rPr>
        <w:t xml:space="preserve">2004 Z. z. </w:t>
      </w:r>
      <w:r w:rsidRPr="001768B9">
        <w:rPr>
          <w:bCs/>
          <w:szCs w:val="22"/>
        </w:rPr>
        <w:t>o zdravotných poisťovniach, dohľade nad</w:t>
      </w:r>
      <w:r w:rsidR="00E17549" w:rsidRPr="001768B9">
        <w:rPr>
          <w:bCs/>
          <w:szCs w:val="22"/>
        </w:rPr>
        <w:t xml:space="preserve"> zdravotnou starostlivosťou a o </w:t>
      </w:r>
      <w:r w:rsidRPr="001768B9">
        <w:rPr>
          <w:bCs/>
          <w:szCs w:val="22"/>
        </w:rPr>
        <w:t>zmene a doplnení niektorých zákonov v znení neskorších predpisov</w:t>
      </w:r>
    </w:p>
    <w:p w14:paraId="5C3604F5" w14:textId="77777777" w:rsidR="00661C75" w:rsidRPr="001768B9" w:rsidRDefault="00352012" w:rsidP="00220857">
      <w:pPr>
        <w:spacing w:after="0" w:line="312" w:lineRule="auto"/>
        <w:jc w:val="both"/>
        <w:rPr>
          <w:bCs/>
          <w:szCs w:val="22"/>
        </w:rPr>
      </w:pPr>
      <w:r w:rsidRPr="001768B9">
        <w:rPr>
          <w:b/>
          <w:bCs/>
          <w:szCs w:val="22"/>
        </w:rPr>
        <w:t>zákon o audítoroch -</w:t>
      </w:r>
      <w:r w:rsidRPr="001768B9">
        <w:rPr>
          <w:bCs/>
          <w:szCs w:val="22"/>
        </w:rPr>
        <w:t xml:space="preserve"> </w:t>
      </w:r>
      <w:r w:rsidRPr="001768B9">
        <w:rPr>
          <w:szCs w:val="22"/>
        </w:rPr>
        <w:t xml:space="preserve">zákon č. 540/2007 Z. z. </w:t>
      </w:r>
      <w:r w:rsidR="00E17549" w:rsidRPr="001768B9">
        <w:rPr>
          <w:bCs/>
          <w:szCs w:val="22"/>
        </w:rPr>
        <w:t>o </w:t>
      </w:r>
      <w:r w:rsidRPr="001768B9">
        <w:rPr>
          <w:bCs/>
          <w:szCs w:val="22"/>
        </w:rPr>
        <w:t>audítoroch, audite a dohľade nad výkonom auditu a o zmene a doplnení zákona č.431/2002 Z. z. o účtovníctve v znení neskorších predpisov</w:t>
      </w:r>
    </w:p>
    <w:p w14:paraId="0EB2B4D6" w14:textId="2008CAE8" w:rsidR="007A3FF8" w:rsidRPr="001768B9" w:rsidRDefault="00661C75" w:rsidP="00220857">
      <w:pPr>
        <w:spacing w:after="0" w:line="312" w:lineRule="auto"/>
        <w:jc w:val="both"/>
        <w:rPr>
          <w:b/>
          <w:bCs/>
          <w:szCs w:val="22"/>
        </w:rPr>
      </w:pPr>
      <w:r w:rsidRPr="001768B9">
        <w:rPr>
          <w:b/>
          <w:bCs/>
          <w:szCs w:val="22"/>
        </w:rPr>
        <w:t>ŽKV</w:t>
      </w:r>
      <w:r w:rsidRPr="001768B9">
        <w:rPr>
          <w:b/>
          <w:szCs w:val="22"/>
        </w:rPr>
        <w:t xml:space="preserve"> </w:t>
      </w:r>
      <w:r w:rsidRPr="001768B9">
        <w:rPr>
          <w:szCs w:val="22"/>
        </w:rPr>
        <w:t>–železničné koľajové vozidlá</w:t>
      </w:r>
      <w:r w:rsidR="007A3FF8" w:rsidRPr="001768B9">
        <w:rPr>
          <w:b/>
          <w:szCs w:val="22"/>
        </w:rPr>
        <w:br w:type="page"/>
      </w:r>
    </w:p>
    <w:p w14:paraId="78D02086" w14:textId="77777777" w:rsidR="007A3FF8" w:rsidRPr="001768B9" w:rsidRDefault="007A3FF8" w:rsidP="007A3FF8">
      <w:pPr>
        <w:rPr>
          <w:rFonts w:eastAsiaTheme="majorEastAsia"/>
          <w:b/>
          <w:bCs/>
          <w:sz w:val="26"/>
          <w:szCs w:val="22"/>
        </w:rPr>
        <w:sectPr w:rsidR="007A3FF8" w:rsidRPr="001768B9" w:rsidSect="00234A6C">
          <w:pgSz w:w="11906" w:h="16838" w:code="9"/>
          <w:pgMar w:top="1418" w:right="851" w:bottom="1418" w:left="1134" w:header="709" w:footer="709" w:gutter="567"/>
          <w:cols w:num="2" w:space="708"/>
          <w:docGrid w:linePitch="360"/>
        </w:sectPr>
      </w:pPr>
    </w:p>
    <w:p w14:paraId="637CAA04" w14:textId="7208D752" w:rsidR="007A3FF8" w:rsidRPr="001768B9" w:rsidRDefault="007A3FF8" w:rsidP="007A3FF8">
      <w:pPr>
        <w:pStyle w:val="Nadpis1"/>
        <w:numPr>
          <w:ilvl w:val="0"/>
          <w:numId w:val="0"/>
        </w:numPr>
      </w:pPr>
      <w:bookmarkStart w:id="78" w:name="_Toc370908645"/>
      <w:bookmarkStart w:id="79" w:name="_Toc401920039"/>
      <w:bookmarkStart w:id="80" w:name="_Toc465255059"/>
      <w:bookmarkStart w:id="81" w:name="_Toc495990502"/>
      <w:bookmarkStart w:id="82" w:name="_Toc148704486"/>
      <w:r w:rsidRPr="001768B9">
        <w:lastRenderedPageBreak/>
        <w:t>Slovník odborných pojmov</w:t>
      </w:r>
      <w:bookmarkEnd w:id="78"/>
      <w:bookmarkEnd w:id="79"/>
      <w:bookmarkEnd w:id="80"/>
      <w:bookmarkEnd w:id="81"/>
      <w:bookmarkEnd w:id="82"/>
    </w:p>
    <w:p w14:paraId="409346AD" w14:textId="77777777" w:rsidR="007A3FF8" w:rsidRPr="001768B9" w:rsidRDefault="007A3FF8" w:rsidP="00552C67">
      <w:pPr>
        <w:pStyle w:val="Nadpis1"/>
        <w:numPr>
          <w:ilvl w:val="0"/>
          <w:numId w:val="13"/>
        </w:numPr>
        <w:sectPr w:rsidR="007A3FF8" w:rsidRPr="001768B9" w:rsidSect="00234A6C">
          <w:pgSz w:w="11906" w:h="16838" w:code="9"/>
          <w:pgMar w:top="1418" w:right="851" w:bottom="1418" w:left="1134" w:header="709" w:footer="709" w:gutter="567"/>
          <w:cols w:num="2" w:space="708"/>
          <w:docGrid w:linePitch="360"/>
        </w:sectPr>
      </w:pP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77D61" w:rsidRPr="00277D61" w14:paraId="6186BA65" w14:textId="77777777" w:rsidTr="00277D61">
        <w:trPr>
          <w:trHeight w:val="156"/>
        </w:trPr>
        <w:tc>
          <w:tcPr>
            <w:tcW w:w="9214" w:type="dxa"/>
            <w:shd w:val="clear" w:color="auto" w:fill="auto"/>
            <w:vAlign w:val="center"/>
          </w:tcPr>
          <w:p w14:paraId="6D0B31E9" w14:textId="5836D492" w:rsidR="007A3FF8" w:rsidRPr="00277D61" w:rsidRDefault="007A3FF8" w:rsidP="007410DD">
            <w:pPr>
              <w:rPr>
                <w:b/>
                <w:color w:val="4F81BD" w:themeColor="accent1"/>
                <w:sz w:val="22"/>
                <w:szCs w:val="22"/>
              </w:rPr>
            </w:pPr>
            <w:r w:rsidRPr="00277D61">
              <w:rPr>
                <w:b/>
                <w:color w:val="4F81BD" w:themeColor="accent1"/>
                <w:sz w:val="22"/>
                <w:szCs w:val="22"/>
              </w:rPr>
              <w:t xml:space="preserve">1. kapitola: Hospodárenie verejnej správy v metodike </w:t>
            </w:r>
            <w:r w:rsidR="00F40ABA" w:rsidRPr="00277D61">
              <w:rPr>
                <w:b/>
                <w:color w:val="4F81BD" w:themeColor="accent1"/>
                <w:sz w:val="22"/>
                <w:szCs w:val="22"/>
              </w:rPr>
              <w:t>ESA 2010</w:t>
            </w:r>
            <w:r w:rsidRPr="00277D61">
              <w:rPr>
                <w:b/>
                <w:color w:val="4F81BD" w:themeColor="accent1"/>
                <w:sz w:val="22"/>
                <w:szCs w:val="22"/>
              </w:rPr>
              <w:t xml:space="preserve"> </w:t>
            </w:r>
          </w:p>
        </w:tc>
      </w:tr>
      <w:tr w:rsidR="00BB4B6F" w:rsidRPr="001768B9" w14:paraId="6B9A0B67" w14:textId="77777777" w:rsidTr="00B206B3">
        <w:trPr>
          <w:trHeight w:val="156"/>
        </w:trPr>
        <w:tc>
          <w:tcPr>
            <w:tcW w:w="9214" w:type="dxa"/>
            <w:vAlign w:val="center"/>
          </w:tcPr>
          <w:p w14:paraId="08A98D2F" w14:textId="4DD13A63" w:rsidR="007A3FF8" w:rsidRPr="001768B9" w:rsidRDefault="007A3FF8" w:rsidP="007410DD">
            <w:pPr>
              <w:autoSpaceDE w:val="0"/>
              <w:autoSpaceDN w:val="0"/>
              <w:adjustRightInd w:val="0"/>
              <w:spacing w:before="240" w:after="120"/>
              <w:jc w:val="both"/>
              <w:rPr>
                <w:sz w:val="22"/>
                <w:szCs w:val="22"/>
              </w:rPr>
            </w:pPr>
            <w:r w:rsidRPr="001768B9">
              <w:rPr>
                <w:b/>
                <w:sz w:val="22"/>
                <w:szCs w:val="22"/>
              </w:rPr>
              <w:t>Súhrnná výročná správa SR</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súhrnný dokument, ktorý obsahuje údaje o príjmoch, výdavkoch a výsledku rozpočtového hospodárenia verejnej správy a o stave dlhu verejnej správy k 31. decembru rozpočtového roka v jednotnej metodike platnej pre Európsku úniu vykázané Európskej komisii do 1. októbra bežného roka, súhrnnú účtovnú závierku verejnej správy Slovenskej republiky, údaje ustanovené osobitným predpisom, ktorým je ústavný zákon o rozpočtovej zodpovednosti a ďalšie údaje o hospodárení Slovenskej republiky (§ 29a zákona o rozpočtových pravidlách verejnej správy)</w:t>
            </w:r>
            <w:r w:rsidR="00F74144" w:rsidRPr="001768B9">
              <w:rPr>
                <w:sz w:val="22"/>
                <w:szCs w:val="22"/>
              </w:rPr>
              <w:t>.</w:t>
            </w:r>
          </w:p>
        </w:tc>
      </w:tr>
      <w:tr w:rsidR="00BB4B6F" w:rsidRPr="001768B9" w14:paraId="1791A0AF" w14:textId="77777777" w:rsidTr="00B206B3">
        <w:trPr>
          <w:trHeight w:val="156"/>
        </w:trPr>
        <w:tc>
          <w:tcPr>
            <w:tcW w:w="9214" w:type="dxa"/>
            <w:vAlign w:val="center"/>
          </w:tcPr>
          <w:p w14:paraId="0FB46BA0" w14:textId="7B3F7DFD" w:rsidR="007A3FF8" w:rsidRPr="001768B9" w:rsidRDefault="007A3FF8" w:rsidP="007410DD">
            <w:pPr>
              <w:spacing w:after="120"/>
              <w:jc w:val="both"/>
              <w:rPr>
                <w:sz w:val="22"/>
                <w:szCs w:val="22"/>
              </w:rPr>
            </w:pPr>
            <w:r w:rsidRPr="001768B9">
              <w:rPr>
                <w:b/>
                <w:sz w:val="22"/>
                <w:szCs w:val="22"/>
              </w:rPr>
              <w:t>Štátny záverečný účet SR</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správa o rozpočtovom hospodárení Slovenskej republiky, ktorá obsahuje výsledky rozpočtového hospodárenia verejnej správy za príslušný rozpočtový rok v jednotnej metodike platnej pre Európsku úniu vykázané Európskej komisii do 1. apríla bežného roka, vyhodnotenie zamerania a opatrení rozpočtovej politiky, údaje o príjmoch, výdavkoch a výsledku rozpočtového hospodárenia štátneho rozpočtu a ďalšie údaje o plnení rozpočtu verejnej správy. (§ 29 zákona o rozpočtových pravidlách verejnej správy)</w:t>
            </w:r>
            <w:r w:rsidR="00F74144" w:rsidRPr="001768B9">
              <w:rPr>
                <w:sz w:val="22"/>
                <w:szCs w:val="22"/>
              </w:rPr>
              <w:t>.</w:t>
            </w:r>
          </w:p>
        </w:tc>
      </w:tr>
      <w:tr w:rsidR="00BB4B6F" w:rsidRPr="001768B9" w14:paraId="26867E7D" w14:textId="77777777" w:rsidTr="00B206B3">
        <w:trPr>
          <w:trHeight w:val="156"/>
        </w:trPr>
        <w:tc>
          <w:tcPr>
            <w:tcW w:w="9214" w:type="dxa"/>
          </w:tcPr>
          <w:p w14:paraId="48CE1EF5" w14:textId="3EED51CA" w:rsidR="007A3FF8" w:rsidRPr="001768B9" w:rsidRDefault="00F40ABA" w:rsidP="007410DD">
            <w:pPr>
              <w:spacing w:after="120"/>
              <w:jc w:val="both"/>
              <w:rPr>
                <w:sz w:val="22"/>
                <w:szCs w:val="22"/>
              </w:rPr>
            </w:pPr>
            <w:r w:rsidRPr="001768B9">
              <w:rPr>
                <w:b/>
                <w:sz w:val="22"/>
                <w:szCs w:val="22"/>
              </w:rPr>
              <w:t>ESA 2010</w:t>
            </w:r>
            <w:r w:rsidR="007A3FF8" w:rsidRPr="001768B9">
              <w:rPr>
                <w:b/>
                <w:sz w:val="22"/>
                <w:szCs w:val="22"/>
              </w:rPr>
              <w:t xml:space="preserve"> </w:t>
            </w:r>
            <w:r w:rsidR="00D7068F" w:rsidRPr="001768B9">
              <w:rPr>
                <w:b/>
                <w:sz w:val="22"/>
                <w:szCs w:val="22"/>
              </w:rPr>
              <w:t>–</w:t>
            </w:r>
            <w:r w:rsidR="00D7068F" w:rsidRPr="001768B9">
              <w:rPr>
                <w:sz w:val="22"/>
                <w:szCs w:val="22"/>
              </w:rPr>
              <w:t xml:space="preserve"> </w:t>
            </w:r>
            <w:r w:rsidR="007A3FF8" w:rsidRPr="001768B9">
              <w:rPr>
                <w:sz w:val="22"/>
                <w:szCs w:val="22"/>
              </w:rPr>
              <w:t xml:space="preserve">Európsky systém národných a regionálnych účtov 2010 je medzinárodne kompatibilný rámec pre systematické a podrobné opísanie národnej ekonomiky, jeho súčastí a jeho vzťahov s ostatnými národnými ekonomikami. Je založený na Systéme národných účtov 2008 (SNÚ 2008). SNÚ bol vypracovaný v súčinnosti štatistických orgánov OSN, EÚ, OECD, MMF a Svetovej banky a predstavuje celosvetový štandard v oblasti uplatňovania národných účtov. </w:t>
            </w:r>
            <w:r w:rsidRPr="001768B9">
              <w:rPr>
                <w:sz w:val="22"/>
                <w:szCs w:val="22"/>
              </w:rPr>
              <w:t>ESA 2010</w:t>
            </w:r>
            <w:r w:rsidR="007A3FF8" w:rsidRPr="001768B9">
              <w:rPr>
                <w:sz w:val="22"/>
                <w:szCs w:val="22"/>
              </w:rPr>
              <w:t xml:space="preserve"> sa zaviedla Nariadením Rady (ES) 549/2013 z 21. mája 2013 o Európskom systéme národných a regionálnych účtov v spoločenstve a reálne sa začala uplatňovať od septembra 2014. </w:t>
            </w:r>
            <w:r w:rsidRPr="001768B9">
              <w:rPr>
                <w:sz w:val="22"/>
                <w:szCs w:val="22"/>
              </w:rPr>
              <w:t>ESA 2010</w:t>
            </w:r>
            <w:r w:rsidR="007A3FF8" w:rsidRPr="001768B9">
              <w:rPr>
                <w:sz w:val="22"/>
                <w:szCs w:val="22"/>
              </w:rPr>
              <w:t xml:space="preserve"> je revíziou ESA 95. Nové štandardy priniesli v oblasti verejných financií zmeny dôležité pre vykazovanie salda a dlhu verejnej správy. Popis implementácie metodiky </w:t>
            </w:r>
            <w:r w:rsidRPr="001768B9">
              <w:rPr>
                <w:sz w:val="22"/>
                <w:szCs w:val="22"/>
              </w:rPr>
              <w:t>ESA 2010</w:t>
            </w:r>
            <w:r w:rsidR="007A3FF8" w:rsidRPr="001768B9">
              <w:rPr>
                <w:sz w:val="22"/>
                <w:szCs w:val="22"/>
              </w:rPr>
              <w:t xml:space="preserve"> a najvýznamnejších metodologických zmien je uvedený v kapitole 1.5. v Súhrnnej výročnej správe SR za rok 2013.</w:t>
            </w:r>
          </w:p>
        </w:tc>
      </w:tr>
      <w:tr w:rsidR="00BB4B6F" w:rsidRPr="001768B9" w14:paraId="2E5B8551" w14:textId="77777777" w:rsidTr="00B206B3">
        <w:trPr>
          <w:trHeight w:val="156"/>
        </w:trPr>
        <w:tc>
          <w:tcPr>
            <w:tcW w:w="9214" w:type="dxa"/>
          </w:tcPr>
          <w:p w14:paraId="10AF40F4" w14:textId="6269C193" w:rsidR="007A3FF8" w:rsidRPr="001768B9" w:rsidRDefault="007A3FF8" w:rsidP="007410DD">
            <w:pPr>
              <w:spacing w:after="120"/>
              <w:jc w:val="both"/>
              <w:rPr>
                <w:sz w:val="22"/>
                <w:szCs w:val="22"/>
              </w:rPr>
            </w:pPr>
            <w:r w:rsidRPr="001768B9">
              <w:rPr>
                <w:b/>
                <w:sz w:val="22"/>
                <w:szCs w:val="22"/>
              </w:rPr>
              <w:t>Aprílová notifikácia</w:t>
            </w:r>
            <w:r w:rsidRPr="001768B9">
              <w:rPr>
                <w:sz w:val="22"/>
                <w:szCs w:val="22"/>
              </w:rPr>
              <w:t xml:space="preserve"> – Podľa nariadenia Komisie 479/2009 členské štáty vykazujú Komisii (</w:t>
            </w:r>
            <w:proofErr w:type="spellStart"/>
            <w:r w:rsidRPr="001768B9">
              <w:rPr>
                <w:sz w:val="22"/>
                <w:szCs w:val="22"/>
              </w:rPr>
              <w:t>Eurostatu</w:t>
            </w:r>
            <w:proofErr w:type="spellEnd"/>
            <w:r w:rsidRPr="001768B9">
              <w:rPr>
                <w:sz w:val="22"/>
                <w:szCs w:val="22"/>
              </w:rPr>
              <w:t>) plánované a aktuálne schodky a dlh sektora verejnej správy</w:t>
            </w:r>
            <w:r w:rsidR="00761D38">
              <w:rPr>
                <w:sz w:val="22"/>
                <w:szCs w:val="22"/>
              </w:rPr>
              <w:t xml:space="preserve"> dvakrát ročne, prvý krát do 1. </w:t>
            </w:r>
            <w:r w:rsidRPr="001768B9">
              <w:rPr>
                <w:sz w:val="22"/>
                <w:szCs w:val="22"/>
              </w:rPr>
              <w:t xml:space="preserve">apríla bežného roka (roka n) a druhý krát do 1. októbra roka n. Zároveň členské štáty oznámia </w:t>
            </w:r>
            <w:proofErr w:type="spellStart"/>
            <w:r w:rsidRPr="001768B9">
              <w:rPr>
                <w:sz w:val="22"/>
                <w:szCs w:val="22"/>
              </w:rPr>
              <w:t>Eurostatu</w:t>
            </w:r>
            <w:proofErr w:type="spellEnd"/>
            <w:r w:rsidRPr="001768B9">
              <w:rPr>
                <w:sz w:val="22"/>
                <w:szCs w:val="22"/>
              </w:rPr>
              <w:t xml:space="preserve">, ktoré vnútroštátne orgány sú zodpovedné za vykazovanie postupu pri nadmernom schodku. Do 1. apríla roka n členské štáty oznámia </w:t>
            </w:r>
            <w:proofErr w:type="spellStart"/>
            <w:r w:rsidRPr="001768B9">
              <w:rPr>
                <w:sz w:val="22"/>
                <w:szCs w:val="22"/>
              </w:rPr>
              <w:t>Eurostatu</w:t>
            </w:r>
            <w:proofErr w:type="spellEnd"/>
            <w:r w:rsidRPr="001768B9">
              <w:rPr>
                <w:sz w:val="22"/>
                <w:szCs w:val="22"/>
              </w:rPr>
              <w:t xml:space="preserve"> plánovaný sch</w:t>
            </w:r>
            <w:r w:rsidR="00DA1AAF" w:rsidRPr="001768B9">
              <w:rPr>
                <w:sz w:val="22"/>
                <w:szCs w:val="22"/>
              </w:rPr>
              <w:t>odok verejnej správy za rok n a </w:t>
            </w:r>
            <w:r w:rsidRPr="001768B9">
              <w:rPr>
                <w:sz w:val="22"/>
                <w:szCs w:val="22"/>
              </w:rPr>
              <w:t>aktualizovaný odhad ich skutočného schodku verejných financií za rok n – 1 a ich skutočné schodky verejných financií za roky n – 2, n – 3 a n – 4.</w:t>
            </w:r>
          </w:p>
        </w:tc>
      </w:tr>
      <w:tr w:rsidR="00BB4B6F" w:rsidRPr="001768B9" w14:paraId="59020CAE" w14:textId="77777777" w:rsidTr="00B206B3">
        <w:trPr>
          <w:trHeight w:val="156"/>
        </w:trPr>
        <w:tc>
          <w:tcPr>
            <w:tcW w:w="9214" w:type="dxa"/>
          </w:tcPr>
          <w:p w14:paraId="08164281" w14:textId="1DC94E4B" w:rsidR="007A3FF8" w:rsidRPr="001768B9" w:rsidRDefault="007A3FF8" w:rsidP="007410DD">
            <w:pPr>
              <w:spacing w:after="120"/>
              <w:jc w:val="both"/>
              <w:rPr>
                <w:sz w:val="22"/>
                <w:szCs w:val="22"/>
              </w:rPr>
            </w:pPr>
            <w:r w:rsidRPr="001768B9">
              <w:rPr>
                <w:b/>
                <w:sz w:val="22"/>
                <w:szCs w:val="22"/>
              </w:rPr>
              <w:t xml:space="preserve">Októbrová notifikácia – </w:t>
            </w:r>
            <w:r w:rsidRPr="001768B9">
              <w:rPr>
                <w:sz w:val="22"/>
                <w:szCs w:val="22"/>
              </w:rPr>
              <w:t>aktualizácia aprílovej notifikácie, ktorá je nutná vzhľadom na to, že viacero údajov za verejnú správu je dostupných až po termíne aprílovej notifikácie (tie sú nahradené odhadmi). Ani októbrovú notifikáciu však nemožno považovať z</w:t>
            </w:r>
            <w:r w:rsidR="00DA1AAF" w:rsidRPr="001768B9">
              <w:rPr>
                <w:sz w:val="22"/>
                <w:szCs w:val="22"/>
              </w:rPr>
              <w:t>a zdroj definitívnych údajov za </w:t>
            </w:r>
            <w:r w:rsidRPr="001768B9">
              <w:rPr>
                <w:sz w:val="22"/>
                <w:szCs w:val="22"/>
              </w:rPr>
              <w:t>verejnú správu, pretože akruálne výnosy niektorých daňových príjmov (DPPO a DPFO) sú známe za rok n – 1 až na začiatku n + 1. Aj po tomto termíne sú v príp</w:t>
            </w:r>
            <w:r w:rsidR="00DA1AAF" w:rsidRPr="001768B9">
              <w:rPr>
                <w:sz w:val="22"/>
                <w:szCs w:val="22"/>
              </w:rPr>
              <w:t>ade údajov za verejnú správu (a </w:t>
            </w:r>
            <w:r w:rsidRPr="001768B9">
              <w:rPr>
                <w:sz w:val="22"/>
                <w:szCs w:val="22"/>
              </w:rPr>
              <w:t>národné účty vo všeobecnosti) pomerne časté revízie údajov za minulé roky. Revízie sa robia jednak kvôli úpravám či spresneným interpretáciám samotnej metodiky ESA a tiež kvôli tomu, že samotné krajiny (národné štatistické úrady) môžu v minulých údajoch odhaliť nezrovnalosti, ktoré v rámci revízií napravia.</w:t>
            </w:r>
          </w:p>
        </w:tc>
      </w:tr>
      <w:tr w:rsidR="00BB4B6F" w:rsidRPr="001768B9" w14:paraId="1800B319" w14:textId="77777777" w:rsidTr="00B206B3">
        <w:trPr>
          <w:trHeight w:val="156"/>
        </w:trPr>
        <w:tc>
          <w:tcPr>
            <w:tcW w:w="9214" w:type="dxa"/>
          </w:tcPr>
          <w:p w14:paraId="3EAD436E" w14:textId="6DF9872D" w:rsidR="007A3FF8" w:rsidRPr="001768B9" w:rsidRDefault="007A3FF8" w:rsidP="007410DD">
            <w:pPr>
              <w:spacing w:after="120"/>
              <w:jc w:val="both"/>
              <w:rPr>
                <w:sz w:val="22"/>
                <w:szCs w:val="22"/>
              </w:rPr>
            </w:pPr>
            <w:r w:rsidRPr="001768B9">
              <w:rPr>
                <w:b/>
                <w:sz w:val="22"/>
                <w:szCs w:val="22"/>
              </w:rPr>
              <w:t xml:space="preserve">Verejná správa </w:t>
            </w:r>
            <w:r w:rsidR="00D7068F" w:rsidRPr="001768B9">
              <w:rPr>
                <w:b/>
                <w:sz w:val="22"/>
                <w:szCs w:val="22"/>
              </w:rPr>
              <w:t>–</w:t>
            </w:r>
            <w:r w:rsidR="00D7068F" w:rsidRPr="001768B9">
              <w:rPr>
                <w:sz w:val="22"/>
                <w:szCs w:val="22"/>
              </w:rPr>
              <w:t xml:space="preserve"> </w:t>
            </w:r>
            <w:r w:rsidRPr="001768B9">
              <w:rPr>
                <w:sz w:val="22"/>
                <w:szCs w:val="22"/>
              </w:rPr>
              <w:t>koncept, ktorý definujú národné účty (</w:t>
            </w:r>
            <w:r w:rsidR="00F40ABA" w:rsidRPr="001768B9">
              <w:rPr>
                <w:sz w:val="22"/>
                <w:szCs w:val="22"/>
              </w:rPr>
              <w:t>ESA 2010</w:t>
            </w:r>
            <w:r w:rsidRPr="001768B9">
              <w:rPr>
                <w:sz w:val="22"/>
                <w:szCs w:val="22"/>
              </w:rPr>
              <w:t>). Národné účty členia národné hospodárstvo (S.1) na päť inštitucionálnych sektorov: nefinančné korporácie (S.11), finančné korporácie (S.12), verejná správa (S.13), domácnosti (S.14) a neziskové inštitúcie slúžiace domácnostiam (S.15). Inštitucionálny sektor tvorí zoskupenie inštitucionálnych jednotiek, ktoré majú podobný charakter a ekonomické správanie (odvetvie produkčnej činnosti). Inštitucionálna jednotka je ekonomická jednotka oprávnená vlastniť výrobky a aktíva, prijímajúca záväzky a zaoberajúca sa ekonomickou činnosťou a transakciami s inými jednotkami vo vlastnom mene. Sektor verejnej správy tvoria inštitucionálne jednotky (subjekty) patriace do verejnej správy.</w:t>
            </w:r>
          </w:p>
        </w:tc>
      </w:tr>
      <w:tr w:rsidR="00BB4B6F" w:rsidRPr="001768B9" w14:paraId="4AFD51A5" w14:textId="77777777" w:rsidTr="00B206B3">
        <w:trPr>
          <w:trHeight w:val="156"/>
        </w:trPr>
        <w:tc>
          <w:tcPr>
            <w:tcW w:w="9214" w:type="dxa"/>
          </w:tcPr>
          <w:p w14:paraId="6DE37B47" w14:textId="669E381C" w:rsidR="007A3FF8" w:rsidRPr="001768B9" w:rsidRDefault="007A3FF8" w:rsidP="007410DD">
            <w:pPr>
              <w:spacing w:after="120"/>
              <w:jc w:val="both"/>
              <w:rPr>
                <w:sz w:val="22"/>
                <w:szCs w:val="22"/>
              </w:rPr>
            </w:pPr>
            <w:r w:rsidRPr="001768B9">
              <w:rPr>
                <w:b/>
                <w:sz w:val="22"/>
                <w:szCs w:val="22"/>
              </w:rPr>
              <w:t>Verejné financie –</w:t>
            </w:r>
            <w:r w:rsidRPr="001768B9">
              <w:rPr>
                <w:sz w:val="22"/>
                <w:szCs w:val="22"/>
              </w:rPr>
              <w:t xml:space="preserve"> alebo financie verejného sektora, je všeobecne zaužívaný výraz v ekonómii označujúci súhrn rozpočtov subjektov pod verejnou kontrolou alebo patriacich do verejného sektora. Verejný sektor môže byť definovaný rôzne v závislosti od cieľov analýzy a kritérií zaradenia subjektov </w:t>
            </w:r>
            <w:r w:rsidRPr="001768B9">
              <w:rPr>
                <w:sz w:val="22"/>
                <w:szCs w:val="22"/>
              </w:rPr>
              <w:lastRenderedPageBreak/>
              <w:t xml:space="preserve">do verejného sektora. Ak nie je uvedené inak, verejné financie sa v krajinách EÚ najčastejšie hodnotia na základe údajov národných účtov v metodike </w:t>
            </w:r>
            <w:r w:rsidR="00F40ABA" w:rsidRPr="001768B9">
              <w:rPr>
                <w:sz w:val="22"/>
                <w:szCs w:val="22"/>
              </w:rPr>
              <w:t>ESA 2010</w:t>
            </w:r>
            <w:r w:rsidRPr="001768B9">
              <w:rPr>
                <w:sz w:val="22"/>
                <w:szCs w:val="22"/>
              </w:rPr>
              <w:t>, ktorá definuje subjekt verejnej správy. V tejto publikácii sú použité tri koncepty hodnotenia verejných financií, ktoré sa od seba líšia rôznym pokrytím subjektov: verejná správa (</w:t>
            </w:r>
            <w:r w:rsidR="00F40ABA" w:rsidRPr="001768B9">
              <w:rPr>
                <w:sz w:val="22"/>
                <w:szCs w:val="22"/>
              </w:rPr>
              <w:t>ESA 2010</w:t>
            </w:r>
            <w:r w:rsidRPr="001768B9">
              <w:rPr>
                <w:sz w:val="22"/>
                <w:szCs w:val="22"/>
              </w:rPr>
              <w:t>), súhrnný celok verejnej správy a verejný sektor.</w:t>
            </w:r>
          </w:p>
        </w:tc>
      </w:tr>
      <w:tr w:rsidR="00BB4B6F" w:rsidRPr="001768B9" w14:paraId="6A973221" w14:textId="77777777" w:rsidTr="00B206B3">
        <w:trPr>
          <w:trHeight w:val="156"/>
        </w:trPr>
        <w:tc>
          <w:tcPr>
            <w:tcW w:w="9214" w:type="dxa"/>
          </w:tcPr>
          <w:p w14:paraId="733214B5" w14:textId="428905C2" w:rsidR="007A3FF8" w:rsidRPr="001768B9" w:rsidRDefault="007A3FF8" w:rsidP="007410DD">
            <w:pPr>
              <w:autoSpaceDE w:val="0"/>
              <w:autoSpaceDN w:val="0"/>
              <w:adjustRightInd w:val="0"/>
              <w:jc w:val="both"/>
              <w:rPr>
                <w:sz w:val="22"/>
                <w:szCs w:val="22"/>
              </w:rPr>
            </w:pPr>
            <w:r w:rsidRPr="001768B9">
              <w:rPr>
                <w:b/>
                <w:sz w:val="22"/>
                <w:szCs w:val="22"/>
              </w:rPr>
              <w:lastRenderedPageBreak/>
              <w:t>Subjekty verejnej správy SR</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právnické osoby zapísané v registri organizácií vedenom Štatistickým úradom Slovenskej republiky, ktoré sú zaradené v súlade s metodiko</w:t>
            </w:r>
            <w:r w:rsidR="00E44CC8" w:rsidRPr="001768B9">
              <w:rPr>
                <w:sz w:val="22"/>
                <w:szCs w:val="22"/>
              </w:rPr>
              <w:t xml:space="preserve">u ESA v ústrednej správe, </w:t>
            </w:r>
            <w:r w:rsidR="00FF02C0" w:rsidRPr="001768B9">
              <w:rPr>
                <w:sz w:val="22"/>
                <w:szCs w:val="22"/>
              </w:rPr>
              <w:t>územnej</w:t>
            </w:r>
            <w:r w:rsidRPr="001768B9">
              <w:rPr>
                <w:sz w:val="22"/>
                <w:szCs w:val="22"/>
              </w:rPr>
              <w:t xml:space="preserve"> samospráve a vo fondoch sociálneho a zdravotnéh</w:t>
            </w:r>
            <w:r w:rsidR="00403232" w:rsidRPr="001768B9">
              <w:rPr>
                <w:sz w:val="22"/>
                <w:szCs w:val="22"/>
              </w:rPr>
              <w:t>o poistenia. (§ 3 ods. 1 zákona</w:t>
            </w:r>
            <w:r w:rsidR="00403232" w:rsidRPr="001768B9">
              <w:rPr>
                <w:sz w:val="22"/>
                <w:szCs w:val="22"/>
              </w:rPr>
              <w:br/>
            </w:r>
            <w:r w:rsidRPr="001768B9">
              <w:rPr>
                <w:sz w:val="22"/>
                <w:szCs w:val="22"/>
              </w:rPr>
              <w:t>o rozpočtových pravidlách verejnej správy)</w:t>
            </w:r>
          </w:p>
          <w:p w14:paraId="635167ED" w14:textId="057A2602" w:rsidR="007A3FF8" w:rsidRPr="001768B9" w:rsidRDefault="007A3FF8" w:rsidP="007410DD">
            <w:pPr>
              <w:numPr>
                <w:ilvl w:val="0"/>
                <w:numId w:val="10"/>
              </w:numPr>
              <w:autoSpaceDE w:val="0"/>
              <w:autoSpaceDN w:val="0"/>
              <w:adjustRightInd w:val="0"/>
              <w:jc w:val="both"/>
              <w:rPr>
                <w:sz w:val="22"/>
                <w:szCs w:val="22"/>
              </w:rPr>
            </w:pPr>
            <w:r w:rsidRPr="001768B9">
              <w:rPr>
                <w:sz w:val="22"/>
                <w:szCs w:val="22"/>
              </w:rPr>
              <w:t xml:space="preserve">Ústrednú správu tvoria ministerstvá a ostatné ústredné orgány štátnej správy. Ich počet, organizáciu a pôsobnosť ustanovuje zákon </w:t>
            </w:r>
            <w:r w:rsidRPr="001768B9">
              <w:rPr>
                <w:bCs/>
                <w:sz w:val="22"/>
                <w:szCs w:val="22"/>
              </w:rPr>
              <w:t>o organizácii vlády a ústrednej štátnej správy. V ústrednej správe sú zaradené aj ďalšie subjekty (</w:t>
            </w:r>
            <w:r w:rsidRPr="001768B9">
              <w:rPr>
                <w:sz w:val="22"/>
                <w:szCs w:val="22"/>
              </w:rPr>
              <w:t xml:space="preserve">vysoké školy, Rozhlas a televízia Slovenska,  Slovenský pozemkový fond, štátne fondy, Slovenská konsolidačná, </w:t>
            </w:r>
            <w:r w:rsidR="000E08D0" w:rsidRPr="001768B9">
              <w:rPr>
                <w:sz w:val="22"/>
                <w:szCs w:val="22"/>
              </w:rPr>
              <w:t xml:space="preserve">a. s. </w:t>
            </w:r>
            <w:r w:rsidRPr="001768B9">
              <w:rPr>
                <w:sz w:val="22"/>
                <w:szCs w:val="22"/>
              </w:rPr>
              <w:t>, Úrad pre dohľad nad výkonom auditu, Slovenské národné stredisko pre ľudské práva, Ústav pamäti národa, Úrad pre dohľad nad zdravotnou starostlivosťou, Kancelária rady pre rozpočtovú zodpovednosť, Tlačová agentúra SR, Audiovizuálny fond), ktoré hospodária s väčším či menším objemom verejných prostriedkov a ktorých pôsobnosť upravujú osobitné právne predpisy.</w:t>
            </w:r>
          </w:p>
          <w:p w14:paraId="450CD8D2" w14:textId="53116F5A" w:rsidR="007A3FF8" w:rsidRPr="001768B9" w:rsidRDefault="00FF02C0" w:rsidP="007410DD">
            <w:pPr>
              <w:numPr>
                <w:ilvl w:val="0"/>
                <w:numId w:val="10"/>
              </w:numPr>
              <w:autoSpaceDE w:val="0"/>
              <w:autoSpaceDN w:val="0"/>
              <w:adjustRightInd w:val="0"/>
              <w:jc w:val="both"/>
              <w:rPr>
                <w:sz w:val="22"/>
                <w:szCs w:val="22"/>
              </w:rPr>
            </w:pPr>
            <w:r w:rsidRPr="001768B9">
              <w:rPr>
                <w:bCs/>
                <w:sz w:val="22"/>
                <w:szCs w:val="22"/>
              </w:rPr>
              <w:t>Územnú</w:t>
            </w:r>
            <w:r w:rsidR="007A3FF8" w:rsidRPr="001768B9">
              <w:rPr>
                <w:bCs/>
                <w:sz w:val="22"/>
                <w:szCs w:val="22"/>
              </w:rPr>
              <w:t xml:space="preserve"> samosprávu predstavujú obce a vyššie územné celky – samosprávne kraje</w:t>
            </w:r>
            <w:r w:rsidR="00E77626" w:rsidRPr="001768B9">
              <w:rPr>
                <w:bCs/>
                <w:sz w:val="22"/>
                <w:szCs w:val="22"/>
              </w:rPr>
              <w:t xml:space="preserve"> a ďalšie subjekty </w:t>
            </w:r>
            <w:r w:rsidR="008A3C36" w:rsidRPr="001768B9">
              <w:rPr>
                <w:bCs/>
                <w:sz w:val="22"/>
                <w:szCs w:val="22"/>
              </w:rPr>
              <w:t>územnej</w:t>
            </w:r>
            <w:r w:rsidR="00E77626" w:rsidRPr="001768B9">
              <w:rPr>
                <w:bCs/>
                <w:sz w:val="22"/>
                <w:szCs w:val="22"/>
              </w:rPr>
              <w:t xml:space="preserve"> samosprávy</w:t>
            </w:r>
            <w:r w:rsidR="007A3FF8" w:rsidRPr="001768B9">
              <w:rPr>
                <w:bCs/>
                <w:sz w:val="22"/>
                <w:szCs w:val="22"/>
              </w:rPr>
              <w:t>. Obec</w:t>
            </w:r>
            <w:r w:rsidR="007A3FF8" w:rsidRPr="001768B9">
              <w:rPr>
                <w:i/>
                <w:sz w:val="22"/>
                <w:szCs w:val="22"/>
              </w:rPr>
              <w:t xml:space="preserve"> </w:t>
            </w:r>
            <w:r w:rsidR="007A3FF8" w:rsidRPr="001768B9">
              <w:rPr>
                <w:sz w:val="22"/>
                <w:szCs w:val="22"/>
              </w:rPr>
              <w:t>je samostatným územným samosprávnym a správnym celkom Slovenskej republiky, združuje osoby, ktoré majú na jej území trvalý pobyt, samostatn</w:t>
            </w:r>
            <w:r w:rsidR="00E44CC8" w:rsidRPr="001768B9">
              <w:rPr>
                <w:sz w:val="22"/>
                <w:szCs w:val="22"/>
              </w:rPr>
              <w:t xml:space="preserve">e hospodári s vlastným majetkom </w:t>
            </w:r>
            <w:r w:rsidR="007A3FF8" w:rsidRPr="001768B9">
              <w:rPr>
                <w:sz w:val="22"/>
                <w:szCs w:val="22"/>
              </w:rPr>
              <w:t>a s vlastnými príjmami a jej základnou úlohou pri výk</w:t>
            </w:r>
            <w:r w:rsidR="00E44CC8" w:rsidRPr="001768B9">
              <w:rPr>
                <w:sz w:val="22"/>
                <w:szCs w:val="22"/>
              </w:rPr>
              <w:t xml:space="preserve">one samosprávy je starostlivosť </w:t>
            </w:r>
            <w:r w:rsidR="007A3FF8" w:rsidRPr="001768B9">
              <w:rPr>
                <w:sz w:val="22"/>
                <w:szCs w:val="22"/>
              </w:rPr>
              <w:t>o všestranný rozvoj jej úze</w:t>
            </w:r>
            <w:r w:rsidR="00802017" w:rsidRPr="001768B9">
              <w:rPr>
                <w:sz w:val="22"/>
                <w:szCs w:val="22"/>
              </w:rPr>
              <w:t>mia a o potreby jej obyvateľov.</w:t>
            </w:r>
            <w:r w:rsidR="00802017" w:rsidRPr="001768B9">
              <w:rPr>
                <w:sz w:val="22"/>
                <w:szCs w:val="22"/>
              </w:rPr>
              <w:br/>
            </w:r>
            <w:r w:rsidR="007A3FF8" w:rsidRPr="001768B9">
              <w:rPr>
                <w:sz w:val="22"/>
                <w:szCs w:val="22"/>
              </w:rPr>
              <w:t>V Slovenskej republike je zriadených osem samosprávnych krajov, ktoré sú právnickými osobami samostatne hospodáriacimi s vlastným majetkom a s vlastnými príjma</w:t>
            </w:r>
            <w:r w:rsidR="00BB3660" w:rsidRPr="001768B9">
              <w:rPr>
                <w:sz w:val="22"/>
                <w:szCs w:val="22"/>
              </w:rPr>
              <w:t>mi; zabezpečujú a chránia práva</w:t>
            </w:r>
            <w:r w:rsidR="00E44CC8" w:rsidRPr="001768B9">
              <w:rPr>
                <w:sz w:val="22"/>
                <w:szCs w:val="22"/>
              </w:rPr>
              <w:t xml:space="preserve"> </w:t>
            </w:r>
            <w:r w:rsidR="007A3FF8" w:rsidRPr="001768B9">
              <w:rPr>
                <w:sz w:val="22"/>
                <w:szCs w:val="22"/>
              </w:rPr>
              <w:t xml:space="preserve">a záujmy svojich obyvateľov. Základnou legislatívou, ktorá upravuje pôsobnosť samospráv je zákon </w:t>
            </w:r>
            <w:r w:rsidR="007A3FF8" w:rsidRPr="001768B9">
              <w:rPr>
                <w:bCs/>
                <w:sz w:val="22"/>
                <w:szCs w:val="22"/>
              </w:rPr>
              <w:t>o obecnom zriadení a zákon o samosprávnych krajoch.</w:t>
            </w:r>
          </w:p>
          <w:p w14:paraId="18E6D572" w14:textId="1B59262E" w:rsidR="007A3FF8" w:rsidRPr="001768B9" w:rsidRDefault="007A3FF8" w:rsidP="007410DD">
            <w:pPr>
              <w:numPr>
                <w:ilvl w:val="0"/>
                <w:numId w:val="10"/>
              </w:numPr>
              <w:autoSpaceDE w:val="0"/>
              <w:autoSpaceDN w:val="0"/>
              <w:adjustRightInd w:val="0"/>
              <w:spacing w:after="120"/>
              <w:ind w:left="714" w:hanging="357"/>
              <w:jc w:val="both"/>
              <w:rPr>
                <w:sz w:val="22"/>
                <w:szCs w:val="22"/>
              </w:rPr>
            </w:pPr>
            <w:r w:rsidRPr="001768B9">
              <w:rPr>
                <w:sz w:val="22"/>
                <w:szCs w:val="22"/>
              </w:rPr>
              <w:t xml:space="preserve">Fondy sociálneho </w:t>
            </w:r>
            <w:r w:rsidR="009A11E7" w:rsidRPr="001768B9">
              <w:rPr>
                <w:sz w:val="22"/>
                <w:szCs w:val="22"/>
              </w:rPr>
              <w:t>zabezpečenia</w:t>
            </w:r>
            <w:r w:rsidR="00897788" w:rsidRPr="001768B9">
              <w:rPr>
                <w:sz w:val="22"/>
                <w:szCs w:val="22"/>
              </w:rPr>
              <w:t xml:space="preserve"> tvoria</w:t>
            </w:r>
            <w:r w:rsidRPr="001768B9">
              <w:rPr>
                <w:sz w:val="22"/>
                <w:szCs w:val="22"/>
              </w:rPr>
              <w:t xml:space="preserve"> Sociálna poisťovňa zriadená zákonom o Sociálnej poisťovni a zdravotné poisťovne (v súčasnosti tri, z toho jedna štátna a dve súkromné), ktorých pôsobnosť ustanovuje zákon </w:t>
            </w:r>
            <w:r w:rsidRPr="001768B9">
              <w:rPr>
                <w:bCs/>
                <w:sz w:val="22"/>
                <w:szCs w:val="22"/>
              </w:rPr>
              <w:t>o zdravotných poisťovniach.</w:t>
            </w:r>
          </w:p>
        </w:tc>
      </w:tr>
      <w:tr w:rsidR="00BB4B6F" w:rsidRPr="001768B9" w14:paraId="37CF44DD" w14:textId="77777777" w:rsidTr="00B206B3">
        <w:trPr>
          <w:trHeight w:val="156"/>
        </w:trPr>
        <w:tc>
          <w:tcPr>
            <w:tcW w:w="9214" w:type="dxa"/>
          </w:tcPr>
          <w:p w14:paraId="456B1346" w14:textId="4B3B55A6" w:rsidR="007A3FF8" w:rsidRPr="001768B9" w:rsidRDefault="007A3FF8" w:rsidP="007410DD">
            <w:pPr>
              <w:spacing w:after="120"/>
              <w:jc w:val="both"/>
              <w:rPr>
                <w:sz w:val="22"/>
                <w:szCs w:val="22"/>
              </w:rPr>
            </w:pPr>
            <w:r w:rsidRPr="001768B9">
              <w:rPr>
                <w:b/>
                <w:sz w:val="22"/>
                <w:szCs w:val="22"/>
              </w:rPr>
              <w:t>Rozpočet verejnej správy</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strednodobý ekonomický nástroj finančnej politiky štátu. Zostavuje sa každoročne na tri rozpočtové roky. Rozpočtový rok je zhodný s kalendárnym rokom. Rozpočet verejnej správy tvoria štátny rozpočet na príslušný rozpočtový rok a nasledujúce dva roky a súhrn rozpočtov ostatných subjektov verejnej správy vrátane príjmov a výdavkov súvisiacich s</w:t>
            </w:r>
            <w:r w:rsidR="00DA1AAF" w:rsidRPr="001768B9">
              <w:rPr>
                <w:sz w:val="22"/>
                <w:szCs w:val="22"/>
              </w:rPr>
              <w:t> </w:t>
            </w:r>
            <w:r w:rsidRPr="001768B9">
              <w:rPr>
                <w:sz w:val="22"/>
                <w:szCs w:val="22"/>
              </w:rPr>
              <w:t>vykonávaním verejného zdravotného poistenia v súlade s jednotnou metodikou platnou pre Európsku úniu na príslušný rozpočtový rok a nasledujúce dva roky (§ 4 ods. 1 zákona o rozpočtových pravidlách verejnej správy).</w:t>
            </w:r>
          </w:p>
        </w:tc>
      </w:tr>
      <w:tr w:rsidR="00BB4B6F" w:rsidRPr="001768B9" w14:paraId="5F34C86D" w14:textId="77777777" w:rsidTr="00B206B3">
        <w:trPr>
          <w:trHeight w:val="156"/>
        </w:trPr>
        <w:tc>
          <w:tcPr>
            <w:tcW w:w="9214" w:type="dxa"/>
          </w:tcPr>
          <w:p w14:paraId="2591A35C" w14:textId="77777777" w:rsidR="007A3FF8" w:rsidRPr="001768B9" w:rsidRDefault="007A3FF8" w:rsidP="007410DD">
            <w:pPr>
              <w:spacing w:after="120"/>
              <w:jc w:val="both"/>
              <w:rPr>
                <w:sz w:val="22"/>
                <w:szCs w:val="22"/>
              </w:rPr>
            </w:pPr>
            <w:r w:rsidRPr="001768B9">
              <w:rPr>
                <w:b/>
                <w:sz w:val="22"/>
                <w:szCs w:val="22"/>
              </w:rPr>
              <w:t>Štátny rozpočet</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základná súčasť rozpočtu verejnej správy, ktorou sa zabezpečuje financovanie hlavných funkcií štátu v príslušnom rozpočtovom roku. Štátny rozpočet na príslušný rozpočtový rok obsahuje rozpočtované príjmy, rozpočtované výdavky a finančné operácie so štátnymi finančnými aktívami a iné operácie, ktoré ovplyvňujú stav štátnych finančných aktív alebo štátnych finančných pasív (§ 6 ods. 1 zákona o rozpočtových pravidlách verejnej správy).</w:t>
            </w:r>
          </w:p>
        </w:tc>
      </w:tr>
      <w:tr w:rsidR="00BB4B6F" w:rsidRPr="001768B9" w14:paraId="3CFDF081" w14:textId="77777777" w:rsidTr="00B206B3">
        <w:trPr>
          <w:trHeight w:val="156"/>
        </w:trPr>
        <w:tc>
          <w:tcPr>
            <w:tcW w:w="9214" w:type="dxa"/>
            <w:vAlign w:val="center"/>
          </w:tcPr>
          <w:p w14:paraId="06F9ECCC" w14:textId="6EE730C4" w:rsidR="007A3FF8" w:rsidRPr="001768B9" w:rsidRDefault="001C3DA8" w:rsidP="007410DD">
            <w:pPr>
              <w:spacing w:after="120"/>
              <w:jc w:val="both"/>
              <w:rPr>
                <w:sz w:val="22"/>
                <w:szCs w:val="22"/>
              </w:rPr>
            </w:pPr>
            <w:r w:rsidRPr="001768B9">
              <w:rPr>
                <w:sz w:val="22"/>
                <w:lang w:eastAsia="en-US"/>
              </w:rPr>
              <w:br w:type="page"/>
            </w:r>
            <w:r w:rsidR="007A3FF8" w:rsidRPr="001768B9">
              <w:rPr>
                <w:sz w:val="22"/>
                <w:szCs w:val="22"/>
              </w:rPr>
              <w:br w:type="page"/>
            </w:r>
            <w:proofErr w:type="spellStart"/>
            <w:r w:rsidR="007A3FF8" w:rsidRPr="001768B9">
              <w:rPr>
                <w:b/>
                <w:sz w:val="22"/>
                <w:szCs w:val="22"/>
              </w:rPr>
              <w:t>Superdividenda</w:t>
            </w:r>
            <w:proofErr w:type="spellEnd"/>
            <w:r w:rsidR="007A3FF8" w:rsidRPr="001768B9">
              <w:rPr>
                <w:b/>
                <w:sz w:val="22"/>
                <w:szCs w:val="22"/>
              </w:rPr>
              <w:t xml:space="preserve"> </w:t>
            </w:r>
            <w:r w:rsidR="007A3FF8" w:rsidRPr="001768B9">
              <w:rPr>
                <w:sz w:val="22"/>
                <w:szCs w:val="22"/>
              </w:rPr>
              <w:t>– metodika ESA, na rozdiel od podnikového účtovníctva, rozoznáva dividendy a superdividendy. Superdividendy sú dividendy, ktoré sú vysoké z pohľadu poslednej (nedávnej) výšky úrovne dividend a ziskov. Logika členenia je tá, že pokiaľ dividendy rozdeľujú príjem z majetku, superdividendy rozdeľujú čisté bohatstvo podniku, keď znižujú vlastné zdroje podniku (vlastné imanie), predstavujú teda výber kapitálu (</w:t>
            </w:r>
            <w:proofErr w:type="spellStart"/>
            <w:r w:rsidR="007A3FF8" w:rsidRPr="001768B9">
              <w:rPr>
                <w:sz w:val="22"/>
                <w:szCs w:val="22"/>
              </w:rPr>
              <w:t>capital</w:t>
            </w:r>
            <w:proofErr w:type="spellEnd"/>
            <w:r w:rsidR="007A3FF8" w:rsidRPr="001768B9">
              <w:rPr>
                <w:sz w:val="22"/>
                <w:szCs w:val="22"/>
              </w:rPr>
              <w:t xml:space="preserve"> </w:t>
            </w:r>
            <w:proofErr w:type="spellStart"/>
            <w:r w:rsidR="007A3FF8" w:rsidRPr="001768B9">
              <w:rPr>
                <w:sz w:val="22"/>
                <w:szCs w:val="22"/>
              </w:rPr>
              <w:t>withdrawal</w:t>
            </w:r>
            <w:proofErr w:type="spellEnd"/>
            <w:r w:rsidR="007A3FF8" w:rsidRPr="001768B9">
              <w:rPr>
                <w:sz w:val="22"/>
                <w:szCs w:val="22"/>
              </w:rPr>
              <w:t>). Inak povedané, dividendy prináležia bežnému zisku (</w:t>
            </w:r>
            <w:proofErr w:type="spellStart"/>
            <w:r w:rsidR="007A3FF8" w:rsidRPr="001768B9">
              <w:rPr>
                <w:sz w:val="22"/>
                <w:szCs w:val="22"/>
              </w:rPr>
              <w:t>operating</w:t>
            </w:r>
            <w:proofErr w:type="spellEnd"/>
            <w:r w:rsidR="007A3FF8" w:rsidRPr="001768B9">
              <w:rPr>
                <w:sz w:val="22"/>
                <w:szCs w:val="22"/>
              </w:rPr>
              <w:t xml:space="preserve"> profit), ktorý pochádza zo štandardných hlavných činností podniku (</w:t>
            </w:r>
            <w:proofErr w:type="spellStart"/>
            <w:r w:rsidR="007A3FF8" w:rsidRPr="001768B9">
              <w:rPr>
                <w:sz w:val="22"/>
                <w:szCs w:val="22"/>
              </w:rPr>
              <w:t>core</w:t>
            </w:r>
            <w:proofErr w:type="spellEnd"/>
            <w:r w:rsidR="007A3FF8" w:rsidRPr="001768B9">
              <w:rPr>
                <w:sz w:val="22"/>
                <w:szCs w:val="22"/>
              </w:rPr>
              <w:t xml:space="preserve"> business </w:t>
            </w:r>
            <w:proofErr w:type="spellStart"/>
            <w:r w:rsidR="007A3FF8" w:rsidRPr="001768B9">
              <w:rPr>
                <w:sz w:val="22"/>
                <w:szCs w:val="22"/>
              </w:rPr>
              <w:t>operations</w:t>
            </w:r>
            <w:proofErr w:type="spellEnd"/>
            <w:r w:rsidR="007A3FF8" w:rsidRPr="001768B9">
              <w:rPr>
                <w:sz w:val="22"/>
                <w:szCs w:val="22"/>
              </w:rPr>
              <w:t>) a </w:t>
            </w:r>
            <w:proofErr w:type="spellStart"/>
            <w:r w:rsidR="007A3FF8" w:rsidRPr="001768B9">
              <w:rPr>
                <w:sz w:val="22"/>
                <w:szCs w:val="22"/>
              </w:rPr>
              <w:t>superdividendy</w:t>
            </w:r>
            <w:proofErr w:type="spellEnd"/>
            <w:r w:rsidR="007A3FF8" w:rsidRPr="001768B9">
              <w:rPr>
                <w:sz w:val="22"/>
                <w:szCs w:val="22"/>
              </w:rPr>
              <w:t xml:space="preserve"> prináleži</w:t>
            </w:r>
            <w:r w:rsidR="00DA1AAF" w:rsidRPr="001768B9">
              <w:rPr>
                <w:sz w:val="22"/>
                <w:szCs w:val="22"/>
              </w:rPr>
              <w:t>a iným (špeciálnym) výnosom. Na </w:t>
            </w:r>
            <w:r w:rsidR="007A3FF8" w:rsidRPr="001768B9">
              <w:rPr>
                <w:sz w:val="22"/>
                <w:szCs w:val="22"/>
              </w:rPr>
              <w:t xml:space="preserve">určenie výšky superdividend sa používa tzv. </w:t>
            </w:r>
            <w:proofErr w:type="spellStart"/>
            <w:r w:rsidR="007A3FF8" w:rsidRPr="001768B9">
              <w:rPr>
                <w:sz w:val="22"/>
                <w:szCs w:val="22"/>
              </w:rPr>
              <w:t>superdividendový</w:t>
            </w:r>
            <w:proofErr w:type="spellEnd"/>
            <w:r w:rsidR="007A3FF8" w:rsidRPr="001768B9">
              <w:rPr>
                <w:sz w:val="22"/>
                <w:szCs w:val="22"/>
              </w:rPr>
              <w:t xml:space="preserve"> test.</w:t>
            </w:r>
          </w:p>
        </w:tc>
      </w:tr>
    </w:tbl>
    <w:p w14:paraId="00C909C3" w14:textId="77777777" w:rsidR="001C3DA8" w:rsidRPr="001768B9" w:rsidRDefault="001C3DA8">
      <w:pPr>
        <w:rPr>
          <w:highlight w:val="yellow"/>
        </w:rPr>
      </w:pPr>
      <w:r w:rsidRPr="001768B9">
        <w:rPr>
          <w:highlight w:val="yellow"/>
        </w:rPr>
        <w:br w:type="page"/>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277D61" w:rsidRPr="00277D61" w14:paraId="26A33A94" w14:textId="77777777" w:rsidTr="00277D61">
        <w:trPr>
          <w:trHeight w:val="156"/>
        </w:trPr>
        <w:tc>
          <w:tcPr>
            <w:tcW w:w="9214" w:type="dxa"/>
            <w:shd w:val="clear" w:color="auto" w:fill="auto"/>
            <w:vAlign w:val="center"/>
          </w:tcPr>
          <w:p w14:paraId="750046A6" w14:textId="49DEBB6C" w:rsidR="007A3FF8" w:rsidRPr="00277D61" w:rsidRDefault="007A3FF8" w:rsidP="007410DD">
            <w:pPr>
              <w:spacing w:before="200"/>
              <w:ind w:left="1134" w:hanging="1134"/>
              <w:rPr>
                <w:b/>
                <w:color w:val="4F81BD" w:themeColor="accent1"/>
                <w:sz w:val="22"/>
                <w:szCs w:val="22"/>
              </w:rPr>
            </w:pPr>
            <w:r w:rsidRPr="00277D61">
              <w:rPr>
                <w:b/>
                <w:color w:val="4F81BD" w:themeColor="accent1"/>
                <w:sz w:val="22"/>
                <w:szCs w:val="22"/>
              </w:rPr>
              <w:lastRenderedPageBreak/>
              <w:t xml:space="preserve">2. kapitola: Hospodárenie verejnej správy - požiadavky ústavného zákona o rozpočtovej zodpovednosti </w:t>
            </w:r>
          </w:p>
        </w:tc>
      </w:tr>
      <w:tr w:rsidR="00BB4B6F" w:rsidRPr="001768B9" w14:paraId="44DA03E6" w14:textId="77777777" w:rsidTr="00B206B3">
        <w:trPr>
          <w:trHeight w:val="156"/>
        </w:trPr>
        <w:tc>
          <w:tcPr>
            <w:tcW w:w="9214" w:type="dxa"/>
          </w:tcPr>
          <w:p w14:paraId="26365D8B" w14:textId="43908666" w:rsidR="004F05BD" w:rsidRPr="001768B9" w:rsidRDefault="004F05BD" w:rsidP="007410DD">
            <w:pPr>
              <w:spacing w:before="240" w:after="120"/>
              <w:jc w:val="both"/>
              <w:rPr>
                <w:sz w:val="22"/>
                <w:szCs w:val="22"/>
              </w:rPr>
            </w:pPr>
            <w:proofErr w:type="spellStart"/>
            <w:r w:rsidRPr="001768B9">
              <w:rPr>
                <w:b/>
                <w:sz w:val="22"/>
                <w:szCs w:val="22"/>
              </w:rPr>
              <w:t>Benchmarková</w:t>
            </w:r>
            <w:proofErr w:type="spellEnd"/>
            <w:r w:rsidRPr="001768B9">
              <w:rPr>
                <w:b/>
                <w:sz w:val="22"/>
                <w:szCs w:val="22"/>
              </w:rPr>
              <w:t xml:space="preserve"> revízia – </w:t>
            </w:r>
            <w:r w:rsidRPr="001768B9">
              <w:rPr>
                <w:sz w:val="22"/>
                <w:szCs w:val="22"/>
              </w:rPr>
              <w:t xml:space="preserve">pravidelná revízia štatistických údajov zo strany členských štátov EÚ na základe legislatívy Európskeho štatistického úradu, manuálu pre deficit a dlh verejnej správy a príručky pre aplikáciu revízie. Za revíziu sa považuje každá zmena štatistickej hodnoty ukazovateľov uložených v príslušných databázach a verejne publikovaných štatistických údajov. Dôvodom revízií, najmä </w:t>
            </w:r>
            <w:proofErr w:type="spellStart"/>
            <w:r w:rsidRPr="001768B9">
              <w:rPr>
                <w:sz w:val="22"/>
                <w:szCs w:val="22"/>
              </w:rPr>
              <w:t>benchmarkových</w:t>
            </w:r>
            <w:proofErr w:type="spellEnd"/>
            <w:r w:rsidRPr="001768B9">
              <w:rPr>
                <w:sz w:val="22"/>
                <w:szCs w:val="22"/>
              </w:rPr>
              <w:t xml:space="preserve"> (porovnávajúcich) sú napr. zmeny v legislatíve, úpravy metodických definícií a postupov na základe nových poznatkov a analýz, implementácia nových štatisticko-matematických metód. V rámci </w:t>
            </w:r>
            <w:proofErr w:type="spellStart"/>
            <w:r w:rsidRPr="001768B9">
              <w:rPr>
                <w:sz w:val="22"/>
                <w:szCs w:val="22"/>
              </w:rPr>
              <w:t>benchmarkovej</w:t>
            </w:r>
            <w:proofErr w:type="spellEnd"/>
            <w:r w:rsidRPr="001768B9">
              <w:rPr>
                <w:sz w:val="22"/>
                <w:szCs w:val="22"/>
              </w:rPr>
              <w:t xml:space="preserve"> revízie sa vykonáva aj tzv. rutinná revízia, ktorá spočíva najmä v oprave údajov na základe lepšej dostupnosti údajov, oprave vzorcov, revízii číselníkov a klasifikácií.</w:t>
            </w:r>
          </w:p>
          <w:p w14:paraId="5F0B055F" w14:textId="259ACA98" w:rsidR="007A3FF8" w:rsidRPr="001768B9" w:rsidRDefault="007A3FF8" w:rsidP="007410DD">
            <w:pPr>
              <w:spacing w:before="240" w:after="120"/>
              <w:jc w:val="both"/>
              <w:rPr>
                <w:sz w:val="22"/>
                <w:szCs w:val="22"/>
              </w:rPr>
            </w:pPr>
            <w:r w:rsidRPr="001768B9">
              <w:rPr>
                <w:b/>
                <w:sz w:val="22"/>
                <w:szCs w:val="22"/>
              </w:rPr>
              <w:t xml:space="preserve">Bilancia rozpočtu verejnej správy </w:t>
            </w:r>
            <w:r w:rsidRPr="001768B9">
              <w:rPr>
                <w:sz w:val="22"/>
                <w:szCs w:val="22"/>
              </w:rPr>
              <w:t xml:space="preserve">– alebo bilancia príjmov a výdavkov rozpočtu verejnej správy poskytuje analytický pohľad na vývoj hlavných príjmových a výdavkových položiek verejnej správy ako celku za daný rok. Bilancia je konsolidovaná, teda sú vylúčené transakcie medzi jednotlivými subjektmi verejnej správy. Štruktúra prezentovanej bilancie v tomto dokumente pozostáva z kombinácie klasifikácie kódov </w:t>
            </w:r>
            <w:r w:rsidR="00F40ABA" w:rsidRPr="001768B9">
              <w:rPr>
                <w:sz w:val="22"/>
                <w:szCs w:val="22"/>
              </w:rPr>
              <w:t>ESA 2010</w:t>
            </w:r>
            <w:r w:rsidRPr="001768B9">
              <w:rPr>
                <w:sz w:val="22"/>
                <w:szCs w:val="22"/>
              </w:rPr>
              <w:t xml:space="preserve"> a rozpočtovej klasifikácie.</w:t>
            </w:r>
          </w:p>
        </w:tc>
      </w:tr>
      <w:tr w:rsidR="00BB4B6F" w:rsidRPr="001768B9" w14:paraId="41AA3CE1" w14:textId="77777777" w:rsidTr="00B206B3">
        <w:trPr>
          <w:trHeight w:val="156"/>
        </w:trPr>
        <w:tc>
          <w:tcPr>
            <w:tcW w:w="9214" w:type="dxa"/>
          </w:tcPr>
          <w:p w14:paraId="7AD46817" w14:textId="77777777" w:rsidR="007A3FF8" w:rsidRPr="001768B9" w:rsidRDefault="007A3FF8" w:rsidP="007410DD">
            <w:pPr>
              <w:spacing w:after="120"/>
              <w:jc w:val="both"/>
              <w:rPr>
                <w:sz w:val="22"/>
                <w:szCs w:val="22"/>
              </w:rPr>
            </w:pPr>
            <w:r w:rsidRPr="001768B9">
              <w:rPr>
                <w:b/>
                <w:sz w:val="22"/>
                <w:szCs w:val="22"/>
              </w:rPr>
              <w:t>Saldo rozpočtu verejnej správy</w:t>
            </w:r>
            <w:r w:rsidRPr="001768B9">
              <w:rPr>
                <w:sz w:val="22"/>
                <w:szCs w:val="22"/>
              </w:rPr>
              <w:t xml:space="preserve"> – môže mať charakter schodku alebo prebytku. Schodok je záporný rozdiel medzi celkovými príjmami a celkovými výdavkami verejnej správy. Prebytok je kladný rozdiel medzi celkovými príjmami a celkovými výdavkami verejnej správy. V metodike národných účtov sa saldo verejnej správy nazýva „čisté pôžičky poskytnuté/prijaté“. Ich výška predstavuje sumu, ktorú verejná správa môže poskytnúť alebo prijať ako pôžičku na financovanie svojich nefinančných operácií.</w:t>
            </w:r>
          </w:p>
        </w:tc>
      </w:tr>
      <w:tr w:rsidR="00BB4B6F" w:rsidRPr="001768B9" w14:paraId="67F5AC80" w14:textId="77777777" w:rsidTr="00B206B3">
        <w:trPr>
          <w:trHeight w:val="156"/>
        </w:trPr>
        <w:tc>
          <w:tcPr>
            <w:tcW w:w="9214" w:type="dxa"/>
          </w:tcPr>
          <w:p w14:paraId="3AEE6DC3" w14:textId="77777777" w:rsidR="007A3FF8" w:rsidRPr="001768B9" w:rsidRDefault="007A3FF8" w:rsidP="007410DD">
            <w:pPr>
              <w:spacing w:after="120"/>
              <w:jc w:val="both"/>
              <w:rPr>
                <w:sz w:val="22"/>
                <w:szCs w:val="22"/>
              </w:rPr>
            </w:pPr>
            <w:r w:rsidRPr="001768B9">
              <w:rPr>
                <w:b/>
                <w:sz w:val="22"/>
                <w:szCs w:val="22"/>
              </w:rPr>
              <w:t>Štrukturálne saldo</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saldo rozpočtu verejnej správy upravené o vplyv hospodárskeho cyklu a jednorazové a dočasné vplyvy. Referenčná hodnota medziročnej zmeny štrukturálneho salda sa používa na hodnotenie charakteru fiškálnej politiky, či je expanzívna (medziročné zvyšovanie / znižovanie štrukturálneho schodku / prebytku) alebo reštriktívna (medziročné znižovanie / zvyšovanie štrukturálneho schodku / prebytku).</w:t>
            </w:r>
          </w:p>
        </w:tc>
      </w:tr>
      <w:tr w:rsidR="00BB4B6F" w:rsidRPr="001768B9" w14:paraId="0F505B4B" w14:textId="77777777" w:rsidTr="00B206B3">
        <w:trPr>
          <w:trHeight w:val="156"/>
        </w:trPr>
        <w:tc>
          <w:tcPr>
            <w:tcW w:w="9214" w:type="dxa"/>
          </w:tcPr>
          <w:p w14:paraId="56E7A276" w14:textId="77777777" w:rsidR="007A3FF8" w:rsidRPr="001768B9" w:rsidRDefault="007A3FF8" w:rsidP="007410DD">
            <w:pPr>
              <w:spacing w:after="120"/>
              <w:jc w:val="both"/>
              <w:rPr>
                <w:sz w:val="22"/>
                <w:szCs w:val="22"/>
              </w:rPr>
            </w:pPr>
            <w:r w:rsidRPr="001768B9">
              <w:rPr>
                <w:b/>
                <w:sz w:val="22"/>
                <w:szCs w:val="22"/>
              </w:rPr>
              <w:t>Jednorazové vplyvy</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všeobecne definované ako príjem alebo výdavok, ktorý nemá trvalý alebo opakujúci sa charakter a má časovo obmedzený vplyv na saldo verejnej správy. Úprava salda verejnej správy o takéto vplyvy umožňuje analyticky vhodnejšie posúdenie jeho vývoja v čase.</w:t>
            </w:r>
          </w:p>
        </w:tc>
      </w:tr>
      <w:tr w:rsidR="00BB4B6F" w:rsidRPr="001768B9" w14:paraId="3DA1BAD0" w14:textId="77777777" w:rsidTr="00B206B3">
        <w:trPr>
          <w:trHeight w:val="156"/>
        </w:trPr>
        <w:tc>
          <w:tcPr>
            <w:tcW w:w="9214" w:type="dxa"/>
          </w:tcPr>
          <w:p w14:paraId="18CAF83B" w14:textId="60F44EC0" w:rsidR="007A3FF8" w:rsidRPr="001768B9" w:rsidRDefault="007A3FF8" w:rsidP="007410DD">
            <w:pPr>
              <w:spacing w:after="120"/>
              <w:jc w:val="both"/>
              <w:rPr>
                <w:sz w:val="22"/>
                <w:szCs w:val="22"/>
              </w:rPr>
            </w:pPr>
            <w:r w:rsidRPr="001768B9">
              <w:rPr>
                <w:b/>
                <w:sz w:val="22"/>
                <w:szCs w:val="22"/>
              </w:rPr>
              <w:t xml:space="preserve">Dlh verejnej správy hrubý </w:t>
            </w:r>
            <w:r w:rsidRPr="001768B9">
              <w:rPr>
                <w:sz w:val="22"/>
                <w:szCs w:val="22"/>
              </w:rPr>
              <w:t>– alebo hrubý maastrichtský dlh verejnej správy, predstavuje konsolidovaný súčet všetkých záväzkov sektora verejnej správy v nominálnej (menovitej) hodnote, ktoré vznikli na základe prijatých vkladov, emitovaných cenných papierov (bez akcií) a prijatých pôžičiek (bez záväzkov z nesplatených úrokov). Súčasťou prijatých pôžičiek sú aj imputované pôžičky, ktoré sa rovnajú hodnote majetku nadobudnutého prostredníctvom finančného lízingu. Dlh je konsolidovaný, teda sú vylúčené všetky záväzky a recipročné pohľadávky jednotiek patriacich do</w:t>
            </w:r>
            <w:r w:rsidR="00DA1AAF" w:rsidRPr="001768B9">
              <w:rPr>
                <w:sz w:val="22"/>
                <w:szCs w:val="22"/>
              </w:rPr>
              <w:t> </w:t>
            </w:r>
            <w:r w:rsidRPr="001768B9">
              <w:rPr>
                <w:sz w:val="22"/>
                <w:szCs w:val="22"/>
              </w:rPr>
              <w:t>sektora VS. (Príručka vládneho deficitu a dlhu, vydanie 201</w:t>
            </w:r>
            <w:r w:rsidR="002E6C6F" w:rsidRPr="001768B9">
              <w:rPr>
                <w:sz w:val="22"/>
                <w:szCs w:val="22"/>
              </w:rPr>
              <w:t>9</w:t>
            </w:r>
            <w:r w:rsidRPr="001768B9">
              <w:rPr>
                <w:sz w:val="22"/>
                <w:szCs w:val="22"/>
              </w:rPr>
              <w:t>)</w:t>
            </w:r>
          </w:p>
        </w:tc>
      </w:tr>
      <w:tr w:rsidR="00BB4B6F" w:rsidRPr="001768B9" w14:paraId="11986DF1" w14:textId="77777777" w:rsidTr="00B206B3">
        <w:trPr>
          <w:trHeight w:val="156"/>
        </w:trPr>
        <w:tc>
          <w:tcPr>
            <w:tcW w:w="9214" w:type="dxa"/>
          </w:tcPr>
          <w:p w14:paraId="00888D11" w14:textId="77777777" w:rsidR="007A3FF8" w:rsidRPr="001768B9" w:rsidRDefault="007A3FF8" w:rsidP="007410DD">
            <w:pPr>
              <w:spacing w:after="120"/>
              <w:jc w:val="both"/>
              <w:rPr>
                <w:sz w:val="22"/>
                <w:szCs w:val="22"/>
              </w:rPr>
            </w:pPr>
            <w:r w:rsidRPr="001768B9">
              <w:rPr>
                <w:b/>
                <w:sz w:val="22"/>
                <w:szCs w:val="22"/>
              </w:rPr>
              <w:t xml:space="preserve">Dlh verejnej správy čistý </w:t>
            </w:r>
            <w:r w:rsidR="00D7068F" w:rsidRPr="001768B9">
              <w:rPr>
                <w:b/>
                <w:sz w:val="22"/>
                <w:szCs w:val="22"/>
              </w:rPr>
              <w:t>–</w:t>
            </w:r>
            <w:r w:rsidR="00D7068F" w:rsidRPr="001768B9">
              <w:rPr>
                <w:sz w:val="22"/>
                <w:szCs w:val="22"/>
              </w:rPr>
              <w:t xml:space="preserve"> </w:t>
            </w:r>
            <w:r w:rsidRPr="001768B9">
              <w:rPr>
                <w:sz w:val="22"/>
                <w:szCs w:val="22"/>
              </w:rPr>
              <w:t>alebo čistý maastrichtský dlh verejnej správy, predstavuje rozdiel medzi hrubým maastrichtským dlhom a súčtom zlata a SDR, hotovosti, cenných papierov v trhovej hodnote (okrem akcií) a kótovaných akcií v trhovej hodnote. Čistý dlh vyjadruje schopnosť verejnej správy splatiť svoj maastrichtský dlh na základe speňaženia svojich najlikvidnejších finančných aktív. (</w:t>
            </w:r>
            <w:proofErr w:type="spellStart"/>
            <w:r w:rsidRPr="001768B9">
              <w:rPr>
                <w:sz w:val="22"/>
                <w:szCs w:val="22"/>
              </w:rPr>
              <w:t>Code</w:t>
            </w:r>
            <w:proofErr w:type="spellEnd"/>
            <w:r w:rsidRPr="001768B9">
              <w:rPr>
                <w:sz w:val="22"/>
                <w:szCs w:val="22"/>
              </w:rPr>
              <w:t xml:space="preserve"> of </w:t>
            </w:r>
            <w:proofErr w:type="spellStart"/>
            <w:r w:rsidRPr="001768B9">
              <w:rPr>
                <w:sz w:val="22"/>
                <w:szCs w:val="22"/>
              </w:rPr>
              <w:t>Conduct</w:t>
            </w:r>
            <w:proofErr w:type="spellEnd"/>
            <w:r w:rsidRPr="001768B9">
              <w:rPr>
                <w:sz w:val="22"/>
                <w:szCs w:val="22"/>
              </w:rPr>
              <w:t xml:space="preserve"> - </w:t>
            </w:r>
            <w:proofErr w:type="spellStart"/>
            <w:r w:rsidRPr="001768B9">
              <w:rPr>
                <w:sz w:val="22"/>
                <w:szCs w:val="22"/>
              </w:rPr>
              <w:t>Specifications</w:t>
            </w:r>
            <w:proofErr w:type="spellEnd"/>
            <w:r w:rsidRPr="001768B9">
              <w:rPr>
                <w:sz w:val="22"/>
                <w:szCs w:val="22"/>
              </w:rPr>
              <w:t xml:space="preserve"> on </w:t>
            </w:r>
            <w:proofErr w:type="spellStart"/>
            <w:r w:rsidRPr="001768B9">
              <w:rPr>
                <w:sz w:val="22"/>
                <w:szCs w:val="22"/>
              </w:rPr>
              <w:t>the</w:t>
            </w:r>
            <w:proofErr w:type="spellEnd"/>
            <w:r w:rsidRPr="001768B9">
              <w:rPr>
                <w:sz w:val="22"/>
                <w:szCs w:val="22"/>
              </w:rPr>
              <w:t xml:space="preserve"> </w:t>
            </w:r>
            <w:proofErr w:type="spellStart"/>
            <w:r w:rsidRPr="001768B9">
              <w:rPr>
                <w:sz w:val="22"/>
                <w:szCs w:val="22"/>
              </w:rPr>
              <w:t>implementation</w:t>
            </w:r>
            <w:proofErr w:type="spellEnd"/>
            <w:r w:rsidRPr="001768B9">
              <w:rPr>
                <w:sz w:val="22"/>
                <w:szCs w:val="22"/>
              </w:rPr>
              <w:t xml:space="preserve"> of </w:t>
            </w:r>
            <w:proofErr w:type="spellStart"/>
            <w:r w:rsidRPr="001768B9">
              <w:rPr>
                <w:sz w:val="22"/>
                <w:szCs w:val="22"/>
              </w:rPr>
              <w:t>the</w:t>
            </w:r>
            <w:proofErr w:type="spellEnd"/>
            <w:r w:rsidRPr="001768B9">
              <w:rPr>
                <w:sz w:val="22"/>
                <w:szCs w:val="22"/>
              </w:rPr>
              <w:t xml:space="preserve"> Stability and </w:t>
            </w:r>
            <w:proofErr w:type="spellStart"/>
            <w:r w:rsidRPr="001768B9">
              <w:rPr>
                <w:sz w:val="22"/>
                <w:szCs w:val="22"/>
              </w:rPr>
              <w:t>Growth</w:t>
            </w:r>
            <w:proofErr w:type="spellEnd"/>
            <w:r w:rsidRPr="001768B9">
              <w:rPr>
                <w:sz w:val="22"/>
                <w:szCs w:val="22"/>
              </w:rPr>
              <w:t xml:space="preserve"> </w:t>
            </w:r>
            <w:proofErr w:type="spellStart"/>
            <w:r w:rsidRPr="001768B9">
              <w:rPr>
                <w:sz w:val="22"/>
                <w:szCs w:val="22"/>
              </w:rPr>
              <w:t>Pact</w:t>
            </w:r>
            <w:proofErr w:type="spellEnd"/>
            <w:r w:rsidRPr="001768B9">
              <w:rPr>
                <w:sz w:val="22"/>
                <w:szCs w:val="22"/>
              </w:rPr>
              <w:t xml:space="preserve"> and </w:t>
            </w:r>
            <w:proofErr w:type="spellStart"/>
            <w:r w:rsidRPr="001768B9">
              <w:rPr>
                <w:sz w:val="22"/>
                <w:szCs w:val="22"/>
              </w:rPr>
              <w:t>Guidelines</w:t>
            </w:r>
            <w:proofErr w:type="spellEnd"/>
            <w:r w:rsidRPr="001768B9">
              <w:rPr>
                <w:sz w:val="22"/>
                <w:szCs w:val="22"/>
              </w:rPr>
              <w:t xml:space="preserve"> on </w:t>
            </w:r>
            <w:proofErr w:type="spellStart"/>
            <w:r w:rsidRPr="001768B9">
              <w:rPr>
                <w:sz w:val="22"/>
                <w:szCs w:val="22"/>
              </w:rPr>
              <w:t>the</w:t>
            </w:r>
            <w:proofErr w:type="spellEnd"/>
            <w:r w:rsidRPr="001768B9">
              <w:rPr>
                <w:sz w:val="22"/>
                <w:szCs w:val="22"/>
              </w:rPr>
              <w:t xml:space="preserve"> </w:t>
            </w:r>
            <w:proofErr w:type="spellStart"/>
            <w:r w:rsidRPr="001768B9">
              <w:rPr>
                <w:sz w:val="22"/>
                <w:szCs w:val="22"/>
              </w:rPr>
              <w:t>format</w:t>
            </w:r>
            <w:proofErr w:type="spellEnd"/>
            <w:r w:rsidRPr="001768B9">
              <w:rPr>
                <w:sz w:val="22"/>
                <w:szCs w:val="22"/>
              </w:rPr>
              <w:t xml:space="preserve"> and </w:t>
            </w:r>
            <w:proofErr w:type="spellStart"/>
            <w:r w:rsidRPr="001768B9">
              <w:rPr>
                <w:sz w:val="22"/>
                <w:szCs w:val="22"/>
              </w:rPr>
              <w:t>content</w:t>
            </w:r>
            <w:proofErr w:type="spellEnd"/>
            <w:r w:rsidRPr="001768B9">
              <w:rPr>
                <w:sz w:val="22"/>
                <w:szCs w:val="22"/>
              </w:rPr>
              <w:t xml:space="preserve"> of Stability and </w:t>
            </w:r>
            <w:proofErr w:type="spellStart"/>
            <w:r w:rsidRPr="001768B9">
              <w:rPr>
                <w:sz w:val="22"/>
                <w:szCs w:val="22"/>
              </w:rPr>
              <w:t>Convergence</w:t>
            </w:r>
            <w:proofErr w:type="spellEnd"/>
            <w:r w:rsidRPr="001768B9">
              <w:rPr>
                <w:sz w:val="22"/>
                <w:szCs w:val="22"/>
              </w:rPr>
              <w:t xml:space="preserve"> </w:t>
            </w:r>
            <w:proofErr w:type="spellStart"/>
            <w:r w:rsidRPr="001768B9">
              <w:rPr>
                <w:sz w:val="22"/>
                <w:szCs w:val="22"/>
              </w:rPr>
              <w:t>Programmes</w:t>
            </w:r>
            <w:proofErr w:type="spellEnd"/>
            <w:r w:rsidRPr="001768B9">
              <w:rPr>
                <w:sz w:val="22"/>
                <w:szCs w:val="22"/>
              </w:rPr>
              <w:t>)</w:t>
            </w:r>
          </w:p>
        </w:tc>
      </w:tr>
      <w:tr w:rsidR="00BB4B6F" w:rsidRPr="001768B9" w14:paraId="65E27821" w14:textId="77777777" w:rsidTr="00B206B3">
        <w:trPr>
          <w:trHeight w:val="156"/>
        </w:trPr>
        <w:tc>
          <w:tcPr>
            <w:tcW w:w="9214" w:type="dxa"/>
          </w:tcPr>
          <w:p w14:paraId="1FBE62D6" w14:textId="0A846F98" w:rsidR="007A3FF8" w:rsidRPr="001768B9" w:rsidRDefault="007A3FF8" w:rsidP="007410DD">
            <w:pPr>
              <w:spacing w:after="120"/>
              <w:jc w:val="both"/>
              <w:rPr>
                <w:sz w:val="22"/>
                <w:szCs w:val="22"/>
              </w:rPr>
            </w:pPr>
            <w:r w:rsidRPr="001768B9">
              <w:rPr>
                <w:b/>
                <w:sz w:val="22"/>
                <w:szCs w:val="22"/>
              </w:rPr>
              <w:t xml:space="preserve">Európske fiškálne pravidlá – </w:t>
            </w:r>
            <w:r w:rsidRPr="001768B9">
              <w:rPr>
                <w:sz w:val="22"/>
                <w:szCs w:val="22"/>
              </w:rPr>
              <w:t xml:space="preserve">vznikli z potreby dodržiavania fiškálnej disciplíny v rámci Hospodárskej a menovej únie (eurozóny) kvôli zachovaniu stability spoločnej meny euro. Predstavujú súbor pravidiel numerických, procesných ale aj pravidiel transparentnosti o zverejňovaní údajov o hospodárení štátu. Pravidlá sú zakotvené v právnych predpisoch EÚ (Zmluva o fungovaní Európskej únie, nariadenia, smernica) ale ich súčasťou je aj medzinárodná zmluva. Predchodcom fiškálnych pravidiel EÚ boli tzv. maastrichtské kritériá, ktoré stanovili podmienky pre členstvo v eurozóne v podobe referenčnej hodnoty pre deficit (3 % HDP) a dlh verejnej správy (60 % HDP). Kvôli potrebe </w:t>
            </w:r>
            <w:r w:rsidRPr="001768B9">
              <w:rPr>
                <w:sz w:val="22"/>
                <w:szCs w:val="22"/>
              </w:rPr>
              <w:lastRenderedPageBreak/>
              <w:t xml:space="preserve">udržiavať fiškálnu disciplínu aj po vstupe do eurozóny bol v roku 1997 schválený Pakt stability a rastu (Stability and </w:t>
            </w:r>
            <w:proofErr w:type="spellStart"/>
            <w:r w:rsidRPr="001768B9">
              <w:rPr>
                <w:sz w:val="22"/>
                <w:szCs w:val="22"/>
              </w:rPr>
              <w:t>Growth</w:t>
            </w:r>
            <w:proofErr w:type="spellEnd"/>
            <w:r w:rsidRPr="001768B9">
              <w:rPr>
                <w:sz w:val="22"/>
                <w:szCs w:val="22"/>
              </w:rPr>
              <w:t xml:space="preserve"> </w:t>
            </w:r>
            <w:proofErr w:type="spellStart"/>
            <w:r w:rsidRPr="001768B9">
              <w:rPr>
                <w:sz w:val="22"/>
                <w:szCs w:val="22"/>
              </w:rPr>
              <w:t>Pact</w:t>
            </w:r>
            <w:proofErr w:type="spellEnd"/>
            <w:r w:rsidRPr="001768B9">
              <w:rPr>
                <w:sz w:val="22"/>
                <w:szCs w:val="22"/>
              </w:rPr>
              <w:t xml:space="preserve"> – SGP), ktorý obsahuje aj sankcie, ak deficit krajiny prekročí 3</w:t>
            </w:r>
            <w:r w:rsidR="00D77CD3" w:rsidRPr="001768B9">
              <w:rPr>
                <w:sz w:val="22"/>
                <w:szCs w:val="22"/>
              </w:rPr>
              <w:t> </w:t>
            </w:r>
            <w:r w:rsidRPr="001768B9">
              <w:rPr>
                <w:sz w:val="22"/>
                <w:szCs w:val="22"/>
              </w:rPr>
              <w:t xml:space="preserve">% HDP. V dôsledku ekonomickej a finančnej krízy bol SGP v roku 2011 druhý krát revidovaný (prvý krát v roku 2005) a boli prijaté ďalšie štyri nariadenia s cieľom sprísnenia pravidiel fiškálneho dohľadu a rozšírenia dohľadu aj na makroekonomickú oblasť. Tzv. </w:t>
            </w:r>
            <w:proofErr w:type="spellStart"/>
            <w:r w:rsidRPr="001768B9">
              <w:rPr>
                <w:sz w:val="22"/>
                <w:szCs w:val="22"/>
              </w:rPr>
              <w:t>Six-pack</w:t>
            </w:r>
            <w:proofErr w:type="spellEnd"/>
            <w:r w:rsidRPr="001768B9">
              <w:rPr>
                <w:sz w:val="22"/>
                <w:szCs w:val="22"/>
              </w:rPr>
              <w:t xml:space="preserve"> priniesol predovšetkým sprísnenie sankcií, keď krajina môže byť penalizovaná za nedodržiavanie fiškálnych pravidiel až do výšky 0,5 % HDP, väčšiu orientáciu na pravidlo verejného dlhu (jeho nedodržiavanie bolo dovtedy prakticky ignorované) a povinnosť konsolidovať verejný rozpočet aj po znížení deficitu pod 3 % HDP tempom znižovania štrukturálneho salda minimálne o 0,5% HDP až po dosiahnutie strednodobého cieľa (</w:t>
            </w:r>
            <w:proofErr w:type="spellStart"/>
            <w:r w:rsidRPr="001768B9">
              <w:rPr>
                <w:sz w:val="22"/>
                <w:szCs w:val="22"/>
              </w:rPr>
              <w:t>medium</w:t>
            </w:r>
            <w:proofErr w:type="spellEnd"/>
            <w:r w:rsidRPr="001768B9">
              <w:rPr>
                <w:sz w:val="22"/>
                <w:szCs w:val="22"/>
              </w:rPr>
              <w:t xml:space="preserve">-term </w:t>
            </w:r>
            <w:proofErr w:type="spellStart"/>
            <w:r w:rsidRPr="001768B9">
              <w:rPr>
                <w:sz w:val="22"/>
                <w:szCs w:val="22"/>
              </w:rPr>
              <w:t>objective</w:t>
            </w:r>
            <w:proofErr w:type="spellEnd"/>
            <w:r w:rsidRPr="001768B9">
              <w:rPr>
                <w:sz w:val="22"/>
                <w:szCs w:val="22"/>
              </w:rPr>
              <w:t xml:space="preserve"> – MTO). Medzinárodná zmluva, ktorá bola podpísaná 25 členskými krajinami Európskej únii (všetky s výnimkou Česka a Veľkej Británie) v roku 2012, stanovila povinnosť zaviesť pravidlo o vyrovnanom štrukturálnom salde verejnej správy do národnej legislatívy (tzv. </w:t>
            </w:r>
            <w:proofErr w:type="spellStart"/>
            <w:r w:rsidRPr="001768B9">
              <w:rPr>
                <w:sz w:val="22"/>
                <w:szCs w:val="22"/>
              </w:rPr>
              <w:t>Fiscal</w:t>
            </w:r>
            <w:proofErr w:type="spellEnd"/>
            <w:r w:rsidRPr="001768B9">
              <w:rPr>
                <w:sz w:val="22"/>
                <w:szCs w:val="22"/>
              </w:rPr>
              <w:t xml:space="preserve"> </w:t>
            </w:r>
            <w:proofErr w:type="spellStart"/>
            <w:r w:rsidRPr="001768B9">
              <w:rPr>
                <w:sz w:val="22"/>
                <w:szCs w:val="22"/>
              </w:rPr>
              <w:t>compact</w:t>
            </w:r>
            <w:proofErr w:type="spellEnd"/>
            <w:r w:rsidRPr="001768B9">
              <w:rPr>
                <w:sz w:val="22"/>
                <w:szCs w:val="22"/>
              </w:rPr>
              <w:t xml:space="preserve">). Naposledy v roku 2013 boli schválené dve nariadenia, ktoré ďalej sprísňujú a prehlbujú fiškálny dohľad v krajinách eurozóny (tzv. </w:t>
            </w:r>
            <w:proofErr w:type="spellStart"/>
            <w:r w:rsidRPr="001768B9">
              <w:rPr>
                <w:sz w:val="22"/>
                <w:szCs w:val="22"/>
              </w:rPr>
              <w:t>Two-pack</w:t>
            </w:r>
            <w:proofErr w:type="spellEnd"/>
            <w:r w:rsidRPr="001768B9">
              <w:rPr>
                <w:sz w:val="22"/>
                <w:szCs w:val="22"/>
              </w:rPr>
              <w:t>). Podľa nich musia krajiny eurozóny napríklad každoročne do 15. októbra predkladať Európskej komisii na posúdenie návrh rozpočtového plánu na nasledujúci rok.</w:t>
            </w:r>
          </w:p>
        </w:tc>
      </w:tr>
      <w:tr w:rsidR="00BB4B6F" w:rsidRPr="001768B9" w14:paraId="521A3086" w14:textId="77777777" w:rsidTr="00B206B3">
        <w:trPr>
          <w:trHeight w:val="156"/>
        </w:trPr>
        <w:tc>
          <w:tcPr>
            <w:tcW w:w="9214" w:type="dxa"/>
          </w:tcPr>
          <w:p w14:paraId="3C277E04" w14:textId="446ADA87" w:rsidR="007A3FF8" w:rsidRPr="001768B9" w:rsidRDefault="007A3FF8" w:rsidP="007410DD">
            <w:pPr>
              <w:spacing w:after="120"/>
              <w:jc w:val="both"/>
              <w:rPr>
                <w:sz w:val="22"/>
                <w:szCs w:val="22"/>
              </w:rPr>
            </w:pPr>
            <w:r w:rsidRPr="001768B9">
              <w:rPr>
                <w:b/>
                <w:sz w:val="22"/>
                <w:szCs w:val="22"/>
              </w:rPr>
              <w:lastRenderedPageBreak/>
              <w:t xml:space="preserve">Stratégia riadenia štátneho dlhu – </w:t>
            </w:r>
            <w:r w:rsidRPr="001768B9">
              <w:rPr>
                <w:sz w:val="22"/>
                <w:szCs w:val="22"/>
              </w:rPr>
              <w:t>ďalej len stratégia, je strategický dokument, ktorý stanovuje základné rámce a smerovanie politiky riadenia štátneho dlhu. Stratégia formuluje vrcholové kvantitatívne ukazovatele a parametre štátneho dlhu a stanovuje tiež ciele, ktoré by mali prispieť ku</w:t>
            </w:r>
            <w:r w:rsidR="00DA1AAF" w:rsidRPr="001768B9">
              <w:rPr>
                <w:sz w:val="22"/>
                <w:szCs w:val="22"/>
              </w:rPr>
              <w:t> </w:t>
            </w:r>
            <w:r w:rsidRPr="001768B9">
              <w:rPr>
                <w:sz w:val="22"/>
                <w:szCs w:val="22"/>
              </w:rPr>
              <w:t>kvalitatívnemu zlepšeniu riadenia dlhu. Dokument ďalej popisuje vývoj a štruktúru štátneho dlhu SR, makroekonomické a fiškálne východiská a riziká dlhového portfólia. Od stratégie sú odvodené jednotlivé predpisy upravujúce pravidlá pre riadenie rizík štátneho dlhu, limity pozícií štátu a systém kontroly. Podľa Ústavného zákona o rozpočtovej zodpovednosti je stratégia súčasťou Rozpočtu verejnej správy SR a vyhodnotenie plnenia cieľov stratégie je súčasťou Súhrnnej výročnej správy SR.</w:t>
            </w:r>
          </w:p>
        </w:tc>
      </w:tr>
      <w:tr w:rsidR="00277D61" w:rsidRPr="00277D61" w14:paraId="787E828D" w14:textId="77777777" w:rsidTr="00277D61">
        <w:trPr>
          <w:trHeight w:val="156"/>
        </w:trPr>
        <w:tc>
          <w:tcPr>
            <w:tcW w:w="9214" w:type="dxa"/>
            <w:shd w:val="clear" w:color="auto" w:fill="auto"/>
            <w:vAlign w:val="center"/>
          </w:tcPr>
          <w:p w14:paraId="51C4730C" w14:textId="77777777" w:rsidR="007A3FF8" w:rsidRPr="00277D61" w:rsidRDefault="007A3FF8" w:rsidP="007410DD">
            <w:pPr>
              <w:spacing w:before="200"/>
              <w:jc w:val="both"/>
              <w:rPr>
                <w:b/>
                <w:color w:val="4F81BD" w:themeColor="accent1"/>
                <w:sz w:val="22"/>
                <w:szCs w:val="22"/>
              </w:rPr>
            </w:pPr>
            <w:r w:rsidRPr="00277D61">
              <w:rPr>
                <w:b/>
                <w:color w:val="4F81BD" w:themeColor="accent1"/>
                <w:sz w:val="22"/>
                <w:szCs w:val="22"/>
              </w:rPr>
              <w:t xml:space="preserve">3. kapitola: Čisté bohatstvo </w:t>
            </w:r>
          </w:p>
        </w:tc>
      </w:tr>
      <w:tr w:rsidR="00BB4B6F" w:rsidRPr="001768B9" w14:paraId="06F65F42" w14:textId="77777777" w:rsidTr="00B206B3">
        <w:trPr>
          <w:trHeight w:val="156"/>
        </w:trPr>
        <w:tc>
          <w:tcPr>
            <w:tcW w:w="9214" w:type="dxa"/>
          </w:tcPr>
          <w:p w14:paraId="0663D6AB" w14:textId="1FA7E919" w:rsidR="00BC1C16" w:rsidRPr="001768B9" w:rsidRDefault="007A3FF8" w:rsidP="007410DD">
            <w:pPr>
              <w:spacing w:before="120" w:after="120"/>
              <w:jc w:val="both"/>
              <w:rPr>
                <w:sz w:val="22"/>
                <w:szCs w:val="22"/>
              </w:rPr>
            </w:pPr>
            <w:r w:rsidRPr="001768B9">
              <w:rPr>
                <w:b/>
                <w:sz w:val="22"/>
                <w:szCs w:val="22"/>
              </w:rPr>
              <w:t xml:space="preserve">Čisté bohatstvo </w:t>
            </w:r>
            <w:r w:rsidR="00D7068F" w:rsidRPr="001768B9">
              <w:rPr>
                <w:b/>
                <w:sz w:val="22"/>
                <w:szCs w:val="22"/>
              </w:rPr>
              <w:t>–</w:t>
            </w:r>
            <w:r w:rsidR="00D7068F" w:rsidRPr="001768B9">
              <w:rPr>
                <w:sz w:val="22"/>
                <w:szCs w:val="22"/>
              </w:rPr>
              <w:t xml:space="preserve"> </w:t>
            </w:r>
            <w:r w:rsidRPr="001768B9">
              <w:rPr>
                <w:sz w:val="22"/>
                <w:szCs w:val="22"/>
              </w:rPr>
              <w:t>súčet vlastného imania subjektov verejnej správy, vlastného imania Národnej banky Slovenska, vlastného imania podnikov</w:t>
            </w:r>
            <w:r w:rsidR="00E44CC8" w:rsidRPr="001768B9">
              <w:rPr>
                <w:sz w:val="22"/>
                <w:szCs w:val="22"/>
              </w:rPr>
              <w:t xml:space="preserve"> štátnej správy a podnikov </w:t>
            </w:r>
            <w:r w:rsidR="00836AE0" w:rsidRPr="001768B9">
              <w:rPr>
                <w:sz w:val="22"/>
                <w:szCs w:val="22"/>
              </w:rPr>
              <w:t>územnej</w:t>
            </w:r>
            <w:r w:rsidRPr="001768B9">
              <w:rPr>
                <w:sz w:val="22"/>
                <w:szCs w:val="22"/>
              </w:rPr>
              <w:t xml:space="preserve"> samosprávy, upravený o implicitné záväzky a podmienené záväzky, iné aktíva a iné pasíva. (Čl. 2 </w:t>
            </w:r>
            <w:r w:rsidR="00C175C4" w:rsidRPr="001768B9">
              <w:rPr>
                <w:sz w:val="22"/>
                <w:szCs w:val="22"/>
              </w:rPr>
              <w:t xml:space="preserve">písm. e) </w:t>
            </w:r>
            <w:r w:rsidRPr="001768B9">
              <w:rPr>
                <w:sz w:val="22"/>
                <w:szCs w:val="22"/>
              </w:rPr>
              <w:t>ústavného zákona o rozpočtovej zodpovednosti)</w:t>
            </w:r>
          </w:p>
          <w:p w14:paraId="0427D3D6" w14:textId="3F2F0C6D" w:rsidR="007A3FF8" w:rsidRPr="001768B9" w:rsidRDefault="007A3FF8" w:rsidP="007410DD">
            <w:pPr>
              <w:spacing w:before="120" w:after="120"/>
              <w:jc w:val="both"/>
              <w:rPr>
                <w:sz w:val="22"/>
                <w:szCs w:val="22"/>
              </w:rPr>
            </w:pPr>
            <w:r w:rsidRPr="001768B9">
              <w:rPr>
                <w:b/>
                <w:sz w:val="22"/>
                <w:szCs w:val="22"/>
              </w:rPr>
              <w:t>Vlastné imanie</w:t>
            </w:r>
            <w:r w:rsidRPr="001768B9">
              <w:rPr>
                <w:sz w:val="22"/>
                <w:szCs w:val="22"/>
              </w:rPr>
              <w:t xml:space="preserve"> – vlastný zdroj krytia majetku, vyjadruje nárok na majetok podniku po odpočítaní všetkých jeho účtovných dlhov. Vlastné imanie predstavuje v súvahe rozdiel medzi hodnotou majetku (aktív) a hodnotou záväzkov v širšom zmysle. Podľa slovenskej právnej úpravy pre podnikateľov účtujúcich v sústave podvojného účtovníctva vlastné imanie tvorí: základné imanie, kapitálové fondy, fondy zo zisku, oceňovacie rozdiely z precenenia, výsledok hospodárenia minulých rokov a výsledok hospodárenia za účtovné obdobie po zdanení.</w:t>
            </w:r>
          </w:p>
        </w:tc>
      </w:tr>
      <w:tr w:rsidR="00BB4B6F" w:rsidRPr="001768B9" w14:paraId="0B674DC3" w14:textId="77777777" w:rsidTr="00B206B3">
        <w:trPr>
          <w:trHeight w:val="156"/>
        </w:trPr>
        <w:tc>
          <w:tcPr>
            <w:tcW w:w="9214" w:type="dxa"/>
          </w:tcPr>
          <w:p w14:paraId="34B12864" w14:textId="427D600C" w:rsidR="007A3FF8" w:rsidRPr="001768B9" w:rsidRDefault="007A3FF8" w:rsidP="007410DD">
            <w:pPr>
              <w:spacing w:after="120"/>
              <w:jc w:val="both"/>
              <w:rPr>
                <w:sz w:val="22"/>
                <w:szCs w:val="22"/>
              </w:rPr>
            </w:pPr>
            <w:r w:rsidRPr="001768B9">
              <w:rPr>
                <w:b/>
                <w:sz w:val="22"/>
                <w:szCs w:val="22"/>
              </w:rPr>
              <w:t>Verejný sektor –</w:t>
            </w:r>
            <w:r w:rsidRPr="001768B9">
              <w:rPr>
                <w:sz w:val="22"/>
                <w:szCs w:val="22"/>
              </w:rPr>
              <w:t xml:space="preserve"> pre potreby súhrnnej správy definovaný ako sektor, za ktorý sa vyčísľuje čisté bohatstvo. Okrem verejnej správy podľa metodiky </w:t>
            </w:r>
            <w:r w:rsidR="00F40ABA" w:rsidRPr="001768B9">
              <w:rPr>
                <w:sz w:val="22"/>
                <w:szCs w:val="22"/>
              </w:rPr>
              <w:t>ESA 2010</w:t>
            </w:r>
            <w:r w:rsidRPr="001768B9">
              <w:rPr>
                <w:sz w:val="22"/>
                <w:szCs w:val="22"/>
              </w:rPr>
              <w:t xml:space="preserve"> zahŕňa podniky štátnej správy, podniky </w:t>
            </w:r>
            <w:r w:rsidR="008A3C36" w:rsidRPr="001768B9">
              <w:rPr>
                <w:sz w:val="22"/>
                <w:szCs w:val="22"/>
              </w:rPr>
              <w:t>územnej</w:t>
            </w:r>
            <w:r w:rsidRPr="001768B9">
              <w:rPr>
                <w:sz w:val="22"/>
                <w:szCs w:val="22"/>
              </w:rPr>
              <w:t xml:space="preserve"> samosprávy a NBS.</w:t>
            </w:r>
          </w:p>
        </w:tc>
      </w:tr>
      <w:tr w:rsidR="00BB4B6F" w:rsidRPr="001768B9" w14:paraId="5D5BA594" w14:textId="77777777" w:rsidTr="00B206B3">
        <w:trPr>
          <w:trHeight w:val="156"/>
        </w:trPr>
        <w:tc>
          <w:tcPr>
            <w:tcW w:w="9214" w:type="dxa"/>
          </w:tcPr>
          <w:p w14:paraId="151EE59E" w14:textId="73620B3D" w:rsidR="007A3FF8" w:rsidRPr="001768B9" w:rsidRDefault="007A3FF8" w:rsidP="007410DD">
            <w:pPr>
              <w:spacing w:after="120"/>
              <w:jc w:val="both"/>
              <w:rPr>
                <w:sz w:val="22"/>
                <w:szCs w:val="22"/>
              </w:rPr>
            </w:pPr>
            <w:r w:rsidRPr="001768B9">
              <w:rPr>
                <w:b/>
                <w:sz w:val="22"/>
                <w:szCs w:val="22"/>
              </w:rPr>
              <w:t>Podniky verejnej správy</w:t>
            </w:r>
            <w:r w:rsidRPr="001768B9">
              <w:rPr>
                <w:sz w:val="22"/>
                <w:szCs w:val="22"/>
              </w:rPr>
              <w:t xml:space="preserve"> – súhrnné pomenovanie používané v tomto dokumente pre podni</w:t>
            </w:r>
            <w:r w:rsidR="00E44CC8" w:rsidRPr="001768B9">
              <w:rPr>
                <w:sz w:val="22"/>
                <w:szCs w:val="22"/>
              </w:rPr>
              <w:t xml:space="preserve">ky štátnej správy a podniky </w:t>
            </w:r>
            <w:r w:rsidR="008A3C36" w:rsidRPr="001768B9">
              <w:rPr>
                <w:sz w:val="22"/>
                <w:szCs w:val="22"/>
              </w:rPr>
              <w:t>územnej</w:t>
            </w:r>
            <w:r w:rsidRPr="001768B9">
              <w:rPr>
                <w:sz w:val="22"/>
                <w:szCs w:val="22"/>
              </w:rPr>
              <w:t xml:space="preserve"> samosprávy, ktoré sú definované legislatívou. Keďže podniky štátnej správy a samosprávy sú definované pre potreby výpočtu čistého bohatstva, do ktorého vchádzajú len podniky s majetkovou účasťou štátu v minimálnej výške 20 %, tento pojem môže byť použitý aj širšie, teda na všetky podniky bez obmedzenia majetkovej účasti štátu.</w:t>
            </w:r>
          </w:p>
        </w:tc>
      </w:tr>
      <w:tr w:rsidR="00BB4B6F" w:rsidRPr="001768B9" w14:paraId="3DE33EFE" w14:textId="77777777" w:rsidTr="00B206B3">
        <w:trPr>
          <w:trHeight w:val="156"/>
        </w:trPr>
        <w:tc>
          <w:tcPr>
            <w:tcW w:w="9214" w:type="dxa"/>
          </w:tcPr>
          <w:p w14:paraId="1FEC0E09" w14:textId="5A0CDE4C" w:rsidR="007A3FF8" w:rsidRPr="001768B9" w:rsidRDefault="007A3FF8" w:rsidP="007410DD">
            <w:pPr>
              <w:jc w:val="both"/>
              <w:rPr>
                <w:sz w:val="22"/>
                <w:szCs w:val="22"/>
              </w:rPr>
            </w:pPr>
            <w:r w:rsidRPr="001768B9">
              <w:rPr>
                <w:b/>
                <w:sz w:val="22"/>
                <w:szCs w:val="22"/>
              </w:rPr>
              <w:t>Podnik štátnej správy</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štátny podnik, obchodná spoločnosť s majetkovou účasťou štátu v</w:t>
            </w:r>
            <w:r w:rsidR="00DA1AAF" w:rsidRPr="001768B9">
              <w:rPr>
                <w:sz w:val="22"/>
                <w:szCs w:val="22"/>
              </w:rPr>
              <w:t> </w:t>
            </w:r>
            <w:r w:rsidRPr="001768B9">
              <w:rPr>
                <w:sz w:val="22"/>
                <w:szCs w:val="22"/>
              </w:rPr>
              <w:t xml:space="preserve">minimálnej výške 20 % jej základného imania a právnická osoba zriadená zákonom, v ktorej má štát kvalifikovanú účasť; kvalifikovanou účasťou sa na účely tohto zákona rozumie priamy alebo nepriamy podiel predstavujúci aspoň 20 %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w:t>
            </w:r>
            <w:r w:rsidRPr="001768B9">
              <w:rPr>
                <w:sz w:val="22"/>
                <w:szCs w:val="22"/>
              </w:rPr>
              <w:lastRenderedPageBreak/>
              <w:t>držiteľ nepriameho podielu kvalifikovanú účasť (Čl. 2</w:t>
            </w:r>
            <w:r w:rsidR="00C175C4" w:rsidRPr="001768B9">
              <w:rPr>
                <w:sz w:val="22"/>
                <w:szCs w:val="22"/>
              </w:rPr>
              <w:t xml:space="preserve"> písm. </w:t>
            </w:r>
            <w:r w:rsidRPr="001768B9">
              <w:rPr>
                <w:sz w:val="22"/>
                <w:szCs w:val="22"/>
              </w:rPr>
              <w:t>f</w:t>
            </w:r>
            <w:r w:rsidR="00C175C4" w:rsidRPr="001768B9">
              <w:rPr>
                <w:sz w:val="22"/>
                <w:szCs w:val="22"/>
              </w:rPr>
              <w:t>)</w:t>
            </w:r>
            <w:r w:rsidRPr="001768B9">
              <w:rPr>
                <w:sz w:val="22"/>
                <w:szCs w:val="22"/>
              </w:rPr>
              <w:t xml:space="preserve"> ústavného zákona o rozpočtovej zodpovednosti).</w:t>
            </w:r>
          </w:p>
        </w:tc>
      </w:tr>
      <w:tr w:rsidR="00BB4B6F" w:rsidRPr="001768B9" w14:paraId="2B04C89F" w14:textId="77777777" w:rsidTr="00B206B3">
        <w:trPr>
          <w:trHeight w:val="156"/>
        </w:trPr>
        <w:tc>
          <w:tcPr>
            <w:tcW w:w="9214" w:type="dxa"/>
          </w:tcPr>
          <w:p w14:paraId="51F47A4D" w14:textId="668CA716" w:rsidR="007A3FF8" w:rsidRPr="001768B9" w:rsidRDefault="00E44CC8" w:rsidP="007410DD">
            <w:pPr>
              <w:spacing w:after="120"/>
              <w:jc w:val="both"/>
              <w:rPr>
                <w:sz w:val="22"/>
                <w:szCs w:val="22"/>
              </w:rPr>
            </w:pPr>
            <w:r w:rsidRPr="001768B9">
              <w:rPr>
                <w:b/>
                <w:sz w:val="22"/>
                <w:szCs w:val="22"/>
              </w:rPr>
              <w:lastRenderedPageBreak/>
              <w:t xml:space="preserve">Podnik </w:t>
            </w:r>
            <w:r w:rsidR="00836AE0" w:rsidRPr="001768B9">
              <w:rPr>
                <w:b/>
                <w:sz w:val="22"/>
                <w:szCs w:val="22"/>
              </w:rPr>
              <w:t>územnej</w:t>
            </w:r>
            <w:r w:rsidR="007A3FF8" w:rsidRPr="001768B9">
              <w:rPr>
                <w:b/>
                <w:sz w:val="22"/>
                <w:szCs w:val="22"/>
              </w:rPr>
              <w:t xml:space="preserve"> samosprávy</w:t>
            </w:r>
            <w:r w:rsidR="007A3FF8" w:rsidRPr="001768B9">
              <w:rPr>
                <w:sz w:val="22"/>
                <w:szCs w:val="22"/>
              </w:rPr>
              <w:t xml:space="preserve"> </w:t>
            </w:r>
            <w:r w:rsidR="00D7068F" w:rsidRPr="001768B9">
              <w:rPr>
                <w:b/>
                <w:sz w:val="22"/>
                <w:szCs w:val="22"/>
              </w:rPr>
              <w:t>–</w:t>
            </w:r>
            <w:r w:rsidR="00D7068F" w:rsidRPr="001768B9">
              <w:rPr>
                <w:sz w:val="22"/>
                <w:szCs w:val="22"/>
              </w:rPr>
              <w:t xml:space="preserve"> </w:t>
            </w:r>
            <w:r w:rsidR="007A3FF8" w:rsidRPr="001768B9">
              <w:rPr>
                <w:sz w:val="22"/>
                <w:szCs w:val="22"/>
              </w:rPr>
              <w:t>obchodná spol</w:t>
            </w:r>
            <w:r w:rsidRPr="001768B9">
              <w:rPr>
                <w:sz w:val="22"/>
                <w:szCs w:val="22"/>
              </w:rPr>
              <w:t xml:space="preserve">očnosť s majetkovou účasťou </w:t>
            </w:r>
            <w:r w:rsidR="008A3C36" w:rsidRPr="001768B9">
              <w:rPr>
                <w:sz w:val="22"/>
                <w:szCs w:val="22"/>
              </w:rPr>
              <w:t>územnej</w:t>
            </w:r>
            <w:r w:rsidR="007A3FF8" w:rsidRPr="001768B9">
              <w:rPr>
                <w:sz w:val="22"/>
                <w:szCs w:val="22"/>
              </w:rPr>
              <w:t xml:space="preserve"> samosprávy v</w:t>
            </w:r>
            <w:r w:rsidR="00DA1AAF" w:rsidRPr="001768B9">
              <w:rPr>
                <w:sz w:val="22"/>
                <w:szCs w:val="22"/>
              </w:rPr>
              <w:t> </w:t>
            </w:r>
            <w:r w:rsidR="007A3FF8" w:rsidRPr="001768B9">
              <w:rPr>
                <w:sz w:val="22"/>
                <w:szCs w:val="22"/>
              </w:rPr>
              <w:t>minimálnej výške 20 % jej základného imania (Čl. 2</w:t>
            </w:r>
            <w:r w:rsidR="00C175C4" w:rsidRPr="001768B9">
              <w:rPr>
                <w:sz w:val="22"/>
                <w:szCs w:val="22"/>
              </w:rPr>
              <w:t xml:space="preserve"> písm. </w:t>
            </w:r>
            <w:r w:rsidR="007A3FF8" w:rsidRPr="001768B9">
              <w:rPr>
                <w:sz w:val="22"/>
                <w:szCs w:val="22"/>
              </w:rPr>
              <w:t>g</w:t>
            </w:r>
            <w:r w:rsidR="00C175C4" w:rsidRPr="001768B9">
              <w:rPr>
                <w:sz w:val="22"/>
                <w:szCs w:val="22"/>
              </w:rPr>
              <w:t>)</w:t>
            </w:r>
            <w:r w:rsidR="007A3FF8" w:rsidRPr="001768B9">
              <w:rPr>
                <w:sz w:val="22"/>
                <w:szCs w:val="22"/>
              </w:rPr>
              <w:t xml:space="preserve"> ústavného zákona o rozpočtovej zodpovednosti)</w:t>
            </w:r>
          </w:p>
        </w:tc>
      </w:tr>
      <w:tr w:rsidR="00BB4B6F" w:rsidRPr="001768B9" w14:paraId="6BFBAFBE" w14:textId="77777777" w:rsidTr="00B206B3">
        <w:trPr>
          <w:trHeight w:val="156"/>
        </w:trPr>
        <w:tc>
          <w:tcPr>
            <w:tcW w:w="9214" w:type="dxa"/>
          </w:tcPr>
          <w:p w14:paraId="71913DC5" w14:textId="0BC1EEE1" w:rsidR="007A3FF8" w:rsidRPr="001768B9" w:rsidRDefault="007A3FF8" w:rsidP="007410DD">
            <w:pPr>
              <w:spacing w:after="120"/>
              <w:jc w:val="both"/>
              <w:rPr>
                <w:sz w:val="22"/>
                <w:szCs w:val="22"/>
              </w:rPr>
            </w:pPr>
            <w:r w:rsidRPr="001768B9">
              <w:rPr>
                <w:b/>
                <w:sz w:val="22"/>
                <w:szCs w:val="22"/>
              </w:rPr>
              <w:t>Implicitné záväzky</w:t>
            </w:r>
            <w:r w:rsidRPr="001768B9">
              <w:rPr>
                <w:sz w:val="22"/>
                <w:szCs w:val="22"/>
              </w:rPr>
              <w:t xml:space="preserve"> </w:t>
            </w:r>
            <w:r w:rsidR="00D7068F" w:rsidRPr="001768B9">
              <w:rPr>
                <w:b/>
                <w:sz w:val="22"/>
                <w:szCs w:val="22"/>
              </w:rPr>
              <w:t>–</w:t>
            </w:r>
            <w:r w:rsidR="00D7068F" w:rsidRPr="001768B9">
              <w:rPr>
                <w:sz w:val="22"/>
                <w:szCs w:val="22"/>
              </w:rPr>
              <w:t xml:space="preserve"> </w:t>
            </w:r>
            <w:r w:rsidRPr="001768B9">
              <w:rPr>
                <w:sz w:val="22"/>
                <w:szCs w:val="22"/>
              </w:rPr>
              <w:t>rozdiel medzi očakávanými budúcimi výdavkami subjektov verejnej správy a očakávanými budúcimi príjmami subjektov verejnej správy, ktoré vyplývajú z finančných dôsledkov spôsobených budúcim uplatňovaním práv a povinností ustanovených právnym poriadkom Slovenskej republiky, ak tieto nie sú súčasťou dlhu verejnej správy (Čl. 2</w:t>
            </w:r>
            <w:r w:rsidR="00C175C4" w:rsidRPr="001768B9">
              <w:rPr>
                <w:sz w:val="22"/>
                <w:szCs w:val="22"/>
              </w:rPr>
              <w:t xml:space="preserve"> písm. </w:t>
            </w:r>
            <w:r w:rsidRPr="001768B9">
              <w:rPr>
                <w:sz w:val="22"/>
                <w:szCs w:val="22"/>
              </w:rPr>
              <w:t>h</w:t>
            </w:r>
            <w:r w:rsidR="00C175C4" w:rsidRPr="001768B9">
              <w:rPr>
                <w:sz w:val="22"/>
                <w:szCs w:val="22"/>
              </w:rPr>
              <w:t>)</w:t>
            </w:r>
            <w:r w:rsidRPr="001768B9">
              <w:rPr>
                <w:sz w:val="22"/>
                <w:szCs w:val="22"/>
              </w:rPr>
              <w:t xml:space="preserve"> ústavného zákona o rozpočtovej zodpovednosti). Najznámejším príkladom sú starobné dôchodky z priebežného piliera dôchodkového systému.</w:t>
            </w:r>
          </w:p>
        </w:tc>
      </w:tr>
      <w:tr w:rsidR="00BB4B6F" w:rsidRPr="001768B9" w14:paraId="03B09A39" w14:textId="77777777" w:rsidTr="00B206B3">
        <w:trPr>
          <w:trHeight w:val="156"/>
        </w:trPr>
        <w:tc>
          <w:tcPr>
            <w:tcW w:w="9214" w:type="dxa"/>
          </w:tcPr>
          <w:p w14:paraId="3191EB8F" w14:textId="4BE45986" w:rsidR="007A3FF8" w:rsidRPr="001768B9" w:rsidRDefault="007A3FF8" w:rsidP="007410DD">
            <w:pPr>
              <w:jc w:val="both"/>
              <w:rPr>
                <w:sz w:val="22"/>
                <w:szCs w:val="22"/>
              </w:rPr>
            </w:pPr>
            <w:r w:rsidRPr="001768B9">
              <w:rPr>
                <w:b/>
                <w:sz w:val="22"/>
                <w:szCs w:val="22"/>
              </w:rPr>
              <w:t xml:space="preserve">Podmienené záväzky </w:t>
            </w:r>
            <w:r w:rsidR="00D7068F" w:rsidRPr="001768B9">
              <w:rPr>
                <w:b/>
                <w:sz w:val="22"/>
                <w:szCs w:val="22"/>
              </w:rPr>
              <w:t>–</w:t>
            </w:r>
            <w:r w:rsidR="00D7068F" w:rsidRPr="001768B9">
              <w:rPr>
                <w:sz w:val="22"/>
                <w:szCs w:val="22"/>
              </w:rPr>
              <w:t xml:space="preserve"> </w:t>
            </w:r>
            <w:r w:rsidRPr="001768B9">
              <w:rPr>
                <w:sz w:val="22"/>
                <w:szCs w:val="22"/>
              </w:rPr>
              <w:t>iné pasíva účtovnej jednotky, ktorá ich vykazuje v poznámkach ako súčasti individuálnej účtovnej závierky (zákon o účtovníctve). Nejde teda o záväzok, ktorý je vykázaný na</w:t>
            </w:r>
            <w:r w:rsidR="00DA1AAF" w:rsidRPr="001768B9">
              <w:rPr>
                <w:sz w:val="22"/>
                <w:szCs w:val="22"/>
              </w:rPr>
              <w:t> </w:t>
            </w:r>
            <w:r w:rsidRPr="001768B9">
              <w:rPr>
                <w:sz w:val="22"/>
                <w:szCs w:val="22"/>
              </w:rPr>
              <w:t xml:space="preserve">súvahových položkách pasív, pretože nie je splnená podmienka na ich zaúčtovanie - výška záväzku sa nedá spoľahlivo oceniť, obdobie, ku ktorému sa povinnosť viaže nie je určené, úbytok ekonomických úžitkov v budúcnosti nie je istý. Ako iné pasíva sa vykazuje: </w:t>
            </w:r>
          </w:p>
          <w:p w14:paraId="46069734" w14:textId="3E5ABC6E" w:rsidR="007A3FF8" w:rsidRPr="001768B9" w:rsidRDefault="007A3FF8" w:rsidP="007410DD">
            <w:pPr>
              <w:pStyle w:val="Odsekzoznamu"/>
              <w:numPr>
                <w:ilvl w:val="0"/>
                <w:numId w:val="11"/>
              </w:numPr>
              <w:jc w:val="both"/>
              <w:rPr>
                <w:rFonts w:cs="Times New Roman"/>
                <w:sz w:val="22"/>
              </w:rPr>
            </w:pPr>
            <w:r w:rsidRPr="001768B9">
              <w:rPr>
                <w:rFonts w:cs="Times New Roman"/>
                <w:sz w:val="22"/>
              </w:rPr>
              <w:t>možná povinnosť, ktorá vznikla ako dôsledok minulej udalosti a ktorej existencia závisí od</w:t>
            </w:r>
            <w:r w:rsidR="00DA1AAF" w:rsidRPr="001768B9">
              <w:rPr>
                <w:rFonts w:cs="Times New Roman"/>
                <w:sz w:val="22"/>
              </w:rPr>
              <w:t> </w:t>
            </w:r>
            <w:r w:rsidRPr="001768B9">
              <w:rPr>
                <w:rFonts w:cs="Times New Roman"/>
                <w:sz w:val="22"/>
              </w:rPr>
              <w:t>toho, či nastane alebo nenastane jedna alebo viac neistých udalostí v budúcnosti, ktorých vznik nezávisí od účtovnej jednotky, alebo</w:t>
            </w:r>
          </w:p>
          <w:p w14:paraId="05E37FF5" w14:textId="77777777" w:rsidR="007A3FF8" w:rsidRPr="001768B9" w:rsidRDefault="007A3FF8" w:rsidP="007410DD">
            <w:pPr>
              <w:pStyle w:val="Odsekzoznamu"/>
              <w:numPr>
                <w:ilvl w:val="0"/>
                <w:numId w:val="11"/>
              </w:numPr>
              <w:spacing w:after="120"/>
              <w:ind w:left="714" w:hanging="357"/>
              <w:jc w:val="both"/>
              <w:rPr>
                <w:rFonts w:cs="Times New Roman"/>
                <w:sz w:val="22"/>
              </w:rPr>
            </w:pPr>
            <w:r w:rsidRPr="001768B9">
              <w:rPr>
                <w:rFonts w:cs="Times New Roman"/>
                <w:sz w:val="22"/>
              </w:rPr>
              <w:t>povinnosť, ktorá vznikla ako dôsledok minulej udalosti, ale ktorá sa nevykazuje v súvahe, pretože nie je pravdepodobné, že na splnenie tejto povinnosti bude potrebný úbytok ekonomických úžitkov, alebo výška tejto povinnosti sa nedá spoľahlivo oceniť.</w:t>
            </w:r>
          </w:p>
        </w:tc>
      </w:tr>
      <w:tr w:rsidR="003C60A7" w:rsidRPr="001768B9" w14:paraId="68365978" w14:textId="77777777" w:rsidTr="00B206B3">
        <w:trPr>
          <w:trHeight w:val="156"/>
        </w:trPr>
        <w:tc>
          <w:tcPr>
            <w:tcW w:w="9214" w:type="dxa"/>
            <w:vAlign w:val="center"/>
          </w:tcPr>
          <w:p w14:paraId="36CF689E" w14:textId="77777777" w:rsidR="00B206B3" w:rsidRPr="001768B9" w:rsidRDefault="007A3FF8" w:rsidP="007410DD">
            <w:pPr>
              <w:spacing w:after="120"/>
              <w:jc w:val="both"/>
              <w:rPr>
                <w:sz w:val="22"/>
                <w:szCs w:val="22"/>
              </w:rPr>
            </w:pPr>
            <w:r w:rsidRPr="001768B9">
              <w:rPr>
                <w:b/>
                <w:sz w:val="22"/>
                <w:szCs w:val="22"/>
              </w:rPr>
              <w:t xml:space="preserve">PPP projekt </w:t>
            </w:r>
            <w:r w:rsidR="00D7068F" w:rsidRPr="001768B9">
              <w:rPr>
                <w:b/>
                <w:sz w:val="22"/>
                <w:szCs w:val="22"/>
              </w:rPr>
              <w:t>–</w:t>
            </w:r>
            <w:r w:rsidR="00D7068F" w:rsidRPr="001768B9">
              <w:rPr>
                <w:sz w:val="22"/>
                <w:szCs w:val="22"/>
              </w:rPr>
              <w:t xml:space="preserve"> </w:t>
            </w:r>
            <w:r w:rsidRPr="001768B9">
              <w:rPr>
                <w:sz w:val="22"/>
                <w:szCs w:val="22"/>
              </w:rPr>
              <w:t xml:space="preserve">forma spolupráce medzi verejným a súkromným sektorom s cieľom financovania výstavby, rekonštrukcie, prevádzky a údržby infraštruktúry a poskytovania verejných služieb prostredníctvom tejto infraštruktúry. V rámci PPP projektov sú subjekty verejného sektora partnerom a zákazníkom súkromného sektora, od ktorého nakupujú služby. Súkromný partner v zásade financuje výstavbu a prevádzkuje dielo a ako protihodnota je mu umožnené poskytovať služby spojené s týmto dielom za platby od jeho používateľov alebo od verejného partnera. Dôležitou charakteristikou PPP je rozdelenie rizík spojených s výstavbou a prevádzkou diela medzi súkromným a verejným partnerom a </w:t>
            </w:r>
            <w:proofErr w:type="spellStart"/>
            <w:r w:rsidRPr="001768B9">
              <w:rPr>
                <w:sz w:val="22"/>
                <w:szCs w:val="22"/>
              </w:rPr>
              <w:t>dlhodobosť</w:t>
            </w:r>
            <w:proofErr w:type="spellEnd"/>
            <w:r w:rsidRPr="001768B9">
              <w:rPr>
                <w:sz w:val="22"/>
                <w:szCs w:val="22"/>
              </w:rPr>
              <w:t xml:space="preserve"> zmluvných vzťahov medzi súkromným a verejným partnerom.</w:t>
            </w:r>
          </w:p>
          <w:p w14:paraId="446EC2DC" w14:textId="4DED40B3" w:rsidR="007A3FF8" w:rsidRPr="001768B9" w:rsidRDefault="007A3FF8" w:rsidP="007410DD">
            <w:pPr>
              <w:spacing w:after="120"/>
              <w:jc w:val="both"/>
              <w:rPr>
                <w:b/>
                <w:sz w:val="22"/>
                <w:szCs w:val="22"/>
              </w:rPr>
            </w:pPr>
            <w:r w:rsidRPr="001768B9">
              <w:rPr>
                <w:b/>
                <w:sz w:val="22"/>
                <w:szCs w:val="22"/>
              </w:rPr>
              <w:t xml:space="preserve">Centrálny konsolidačný systém – </w:t>
            </w:r>
            <w:r w:rsidRPr="001768B9">
              <w:rPr>
                <w:sz w:val="22"/>
                <w:szCs w:val="22"/>
              </w:rPr>
              <w:t>systém zberu, spracovania, analyzovania, konsolidovania a prezentovania údajov z účtovníctva od účtovných jednotiek súhrnného celku. Súčasťou Centrálneho konsolidačného systému je spracovanie údajov z finančných výkazov a konsolidačného balíka.</w:t>
            </w:r>
          </w:p>
        </w:tc>
      </w:tr>
    </w:tbl>
    <w:p w14:paraId="081351D9" w14:textId="18EAD339" w:rsidR="00DD0C52" w:rsidRPr="001768B9" w:rsidRDefault="00BB4B6F" w:rsidP="002E6C6F">
      <w:pPr>
        <w:rPr>
          <w:rFonts w:eastAsiaTheme="majorEastAsia"/>
          <w:b/>
          <w:bCs/>
          <w:sz w:val="26"/>
          <w:szCs w:val="22"/>
        </w:rPr>
      </w:pPr>
      <w:r w:rsidRPr="001768B9">
        <w:rPr>
          <w:rFonts w:eastAsiaTheme="majorEastAsia"/>
          <w:b/>
          <w:bCs/>
          <w:sz w:val="26"/>
          <w:szCs w:val="22"/>
        </w:rPr>
        <w:tab/>
      </w:r>
    </w:p>
    <w:sectPr w:rsidR="00DD0C52" w:rsidRPr="001768B9" w:rsidSect="00234A6C">
      <w:footerReference w:type="default" r:id="rId31"/>
      <w:type w:val="continuous"/>
      <w:pgSz w:w="11906" w:h="16838" w:code="9"/>
      <w:pgMar w:top="1418" w:right="851" w:bottom="1418" w:left="1134" w:header="709" w:footer="38"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2010C" w14:textId="77777777" w:rsidR="001947F5" w:rsidRDefault="001947F5" w:rsidP="007304A5">
      <w:pPr>
        <w:spacing w:after="0" w:line="240" w:lineRule="auto"/>
      </w:pPr>
      <w:r>
        <w:separator/>
      </w:r>
    </w:p>
    <w:p w14:paraId="5CEF163B" w14:textId="77777777" w:rsidR="001947F5" w:rsidRDefault="001947F5"/>
    <w:p w14:paraId="5B34AC6D" w14:textId="77777777" w:rsidR="001947F5" w:rsidRDefault="001947F5" w:rsidP="00F201D1"/>
  </w:endnote>
  <w:endnote w:type="continuationSeparator" w:id="0">
    <w:p w14:paraId="1C5F20FE" w14:textId="77777777" w:rsidR="001947F5" w:rsidRDefault="001947F5" w:rsidP="007304A5">
      <w:pPr>
        <w:spacing w:after="0" w:line="240" w:lineRule="auto"/>
      </w:pPr>
      <w:r>
        <w:continuationSeparator/>
      </w:r>
    </w:p>
    <w:p w14:paraId="08817044" w14:textId="77777777" w:rsidR="001947F5" w:rsidRDefault="001947F5"/>
    <w:p w14:paraId="68BC98D2" w14:textId="77777777" w:rsidR="001947F5" w:rsidRDefault="001947F5" w:rsidP="00F2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Dutch801 SWC">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T* Times New Roman">
    <w:altName w:val="Courier New"/>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Franklin Got Itc TCE">
    <w:altName w:val="Arial"/>
    <w:panose1 w:val="00000000000000000000"/>
    <w:charset w:val="00"/>
    <w:family w:val="swiss"/>
    <w:notTrueType/>
    <w:pitch w:val="default"/>
    <w:sig w:usb0="00000001" w:usb1="00000000" w:usb2="00000000" w:usb3="00000000" w:csb0="00000003" w:csb1="00000000"/>
  </w:font>
  <w:font w:name="Raleway-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5C8CD" w14:textId="77777777" w:rsidR="001947F5" w:rsidRDefault="001947F5">
    <w:pPr>
      <w:pStyle w:val="Pta"/>
      <w:jc w:val="center"/>
    </w:pPr>
  </w:p>
  <w:p w14:paraId="6B352315" w14:textId="77777777" w:rsidR="001947F5" w:rsidRDefault="001947F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2D7D" w14:textId="3D0ACDED" w:rsidR="001947F5" w:rsidRDefault="001947F5">
    <w:pPr>
      <w:pStyle w:val="Pta"/>
      <w:jc w:val="center"/>
    </w:pPr>
    <w:r>
      <w:fldChar w:fldCharType="begin"/>
    </w:r>
    <w:r>
      <w:instrText>PAGE   \* MERGEFORMAT</w:instrText>
    </w:r>
    <w:r>
      <w:fldChar w:fldCharType="separate"/>
    </w:r>
    <w:r w:rsidR="008803F6">
      <w:rPr>
        <w:noProof/>
      </w:rPr>
      <w:t>27</w:t>
    </w:r>
    <w:r>
      <w:fldChar w:fldCharType="end"/>
    </w:r>
  </w:p>
  <w:p w14:paraId="694715F5" w14:textId="77777777" w:rsidR="001947F5" w:rsidRDefault="001947F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4F70C" w14:textId="71F3FF12" w:rsidR="001947F5" w:rsidRPr="007251D7" w:rsidRDefault="001947F5">
    <w:pPr>
      <w:pStyle w:val="Pta"/>
      <w:jc w:val="center"/>
      <w:rPr>
        <w:sz w:val="20"/>
        <w:szCs w:val="20"/>
      </w:rPr>
    </w:pPr>
    <w:r w:rsidRPr="00C55223">
      <w:rPr>
        <w:szCs w:val="22"/>
      </w:rPr>
      <w:fldChar w:fldCharType="begin"/>
    </w:r>
    <w:r w:rsidRPr="00C55223">
      <w:rPr>
        <w:szCs w:val="22"/>
      </w:rPr>
      <w:instrText>PAGE   \* MERGEFORMAT</w:instrText>
    </w:r>
    <w:r w:rsidRPr="00C55223">
      <w:rPr>
        <w:szCs w:val="22"/>
      </w:rPr>
      <w:fldChar w:fldCharType="separate"/>
    </w:r>
    <w:r w:rsidR="008803F6">
      <w:rPr>
        <w:noProof/>
        <w:szCs w:val="22"/>
      </w:rPr>
      <w:t>70</w:t>
    </w:r>
    <w:r w:rsidRPr="00C55223">
      <w:rPr>
        <w:szCs w:val="22"/>
      </w:rPr>
      <w:fldChar w:fldCharType="end"/>
    </w:r>
  </w:p>
  <w:p w14:paraId="6FB65834" w14:textId="77777777" w:rsidR="001947F5" w:rsidRDefault="001947F5">
    <w:pPr>
      <w:pStyle w:val="Pta"/>
    </w:pPr>
  </w:p>
  <w:p w14:paraId="4162C2B8" w14:textId="77777777" w:rsidR="001947F5" w:rsidRDefault="001947F5"/>
  <w:p w14:paraId="04D4E231" w14:textId="77777777" w:rsidR="001947F5" w:rsidRDefault="001947F5" w:rsidP="00F201D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D62EF" w14:textId="77777777" w:rsidR="001947F5" w:rsidRDefault="001947F5" w:rsidP="007304A5">
      <w:pPr>
        <w:spacing w:after="0" w:line="240" w:lineRule="auto"/>
      </w:pPr>
      <w:r>
        <w:separator/>
      </w:r>
    </w:p>
  </w:footnote>
  <w:footnote w:type="continuationSeparator" w:id="0">
    <w:p w14:paraId="71012A06" w14:textId="77777777" w:rsidR="001947F5" w:rsidRDefault="001947F5" w:rsidP="007304A5">
      <w:pPr>
        <w:spacing w:after="0" w:line="240" w:lineRule="auto"/>
      </w:pPr>
      <w:r>
        <w:continuationSeparator/>
      </w:r>
    </w:p>
    <w:p w14:paraId="54B60A4C" w14:textId="77777777" w:rsidR="001947F5" w:rsidRDefault="001947F5"/>
    <w:p w14:paraId="66B5ED3C" w14:textId="77777777" w:rsidR="001947F5" w:rsidRDefault="001947F5" w:rsidP="00F201D1"/>
  </w:footnote>
  <w:footnote w:id="1">
    <w:p w14:paraId="240DF736" w14:textId="77777777" w:rsidR="001947F5" w:rsidRPr="00EB384D" w:rsidRDefault="001947F5" w:rsidP="00F055A9">
      <w:pPr>
        <w:pStyle w:val="Textpoznmkypodiarou"/>
        <w:jc w:val="both"/>
        <w:rPr>
          <w:sz w:val="16"/>
          <w:szCs w:val="16"/>
        </w:rPr>
      </w:pPr>
      <w:r>
        <w:rPr>
          <w:rStyle w:val="Odkaznapoznmkupodiarou"/>
        </w:rPr>
        <w:footnoteRef/>
      </w:r>
      <w:r>
        <w:t xml:space="preserve"> </w:t>
      </w:r>
      <w:r w:rsidRPr="00EB384D">
        <w:rPr>
          <w:sz w:val="16"/>
          <w:szCs w:val="16"/>
        </w:rPr>
        <w:t>Nariaden</w:t>
      </w:r>
      <w:r>
        <w:rPr>
          <w:sz w:val="16"/>
          <w:szCs w:val="16"/>
        </w:rPr>
        <w:t>ie</w:t>
      </w:r>
      <w:r w:rsidRPr="00EB384D">
        <w:rPr>
          <w:sz w:val="16"/>
          <w:szCs w:val="16"/>
        </w:rPr>
        <w:t xml:space="preserve"> E</w:t>
      </w:r>
      <w:r>
        <w:rPr>
          <w:sz w:val="16"/>
          <w:szCs w:val="16"/>
        </w:rPr>
        <w:t>urópskeho parlamentu</w:t>
      </w:r>
      <w:r w:rsidRPr="00EB384D">
        <w:rPr>
          <w:sz w:val="16"/>
          <w:szCs w:val="16"/>
        </w:rPr>
        <w:t xml:space="preserve"> a Rady (EÚ) č. 549/2013 z 21. mája 2013 o európskom systéme národných a regionálnych účtov </w:t>
      </w:r>
    </w:p>
    <w:p w14:paraId="66B4070F" w14:textId="46D1AA82" w:rsidR="001947F5" w:rsidRDefault="001947F5" w:rsidP="00F055A9">
      <w:pPr>
        <w:pStyle w:val="Textpoznmkypodiarou"/>
      </w:pPr>
      <w:r w:rsidRPr="00EB384D">
        <w:rPr>
          <w:sz w:val="16"/>
          <w:szCs w:val="16"/>
        </w:rPr>
        <w:t xml:space="preserve">   </w:t>
      </w:r>
      <w:r>
        <w:rPr>
          <w:sz w:val="16"/>
          <w:szCs w:val="16"/>
        </w:rPr>
        <w:t>v Európskej únii (Ú. v. v platnom znení EÚ L 174, 26. 06. 2013).</w:t>
      </w:r>
    </w:p>
  </w:footnote>
  <w:footnote w:id="2">
    <w:p w14:paraId="68659790" w14:textId="77777777" w:rsidR="001947F5" w:rsidRPr="002F0A2B" w:rsidRDefault="001947F5" w:rsidP="008D0E40">
      <w:pPr>
        <w:pStyle w:val="Textpoznmkypodiarou"/>
        <w:rPr>
          <w:sz w:val="16"/>
          <w:szCs w:val="16"/>
        </w:rPr>
      </w:pPr>
      <w:r w:rsidRPr="009139B3">
        <w:rPr>
          <w:rStyle w:val="Odkaznapoznmkupodiarou"/>
          <w:sz w:val="16"/>
          <w:szCs w:val="16"/>
        </w:rPr>
        <w:footnoteRef/>
      </w:r>
      <w:r w:rsidRPr="009139B3">
        <w:rPr>
          <w:sz w:val="16"/>
          <w:szCs w:val="16"/>
        </w:rPr>
        <w:t xml:space="preserve"> Podrobná štatistika je zverejňovaná a aktualizovaná na stránke ŠÚ SR </w:t>
      </w:r>
      <w:hyperlink r:id="rId1" w:history="1">
        <w:r w:rsidRPr="002F0A2B">
          <w:rPr>
            <w:rStyle w:val="Hypertextovprepojenie"/>
            <w:sz w:val="16"/>
            <w:szCs w:val="16"/>
          </w:rPr>
          <w:t>http://datacube.statistics.sk/</w:t>
        </w:r>
      </w:hyperlink>
      <w:r w:rsidRPr="002F0A2B">
        <w:rPr>
          <w:sz w:val="16"/>
          <w:szCs w:val="16"/>
        </w:rPr>
        <w:t xml:space="preserve"> </w:t>
      </w:r>
    </w:p>
  </w:footnote>
  <w:footnote w:id="3">
    <w:p w14:paraId="399B5BDE" w14:textId="77777777" w:rsidR="001947F5" w:rsidRPr="005B47B1" w:rsidRDefault="001947F5" w:rsidP="00DC1800">
      <w:pPr>
        <w:widowControl w:val="0"/>
        <w:spacing w:after="0" w:line="240" w:lineRule="auto"/>
        <w:jc w:val="both"/>
        <w:rPr>
          <w:sz w:val="16"/>
          <w:szCs w:val="16"/>
        </w:rPr>
      </w:pPr>
      <w:r w:rsidRPr="005B47B1">
        <w:rPr>
          <w:rStyle w:val="Odkaznapoznmkupodiarou"/>
          <w:sz w:val="16"/>
          <w:szCs w:val="16"/>
        </w:rPr>
        <w:footnoteRef/>
      </w:r>
      <w:r w:rsidRPr="005B47B1">
        <w:rPr>
          <w:sz w:val="16"/>
          <w:szCs w:val="16"/>
        </w:rPr>
        <w:t xml:space="preserve"> </w:t>
      </w:r>
      <w:r w:rsidRPr="005B47B1">
        <w:rPr>
          <w:b/>
          <w:i/>
          <w:sz w:val="16"/>
          <w:szCs w:val="16"/>
        </w:rPr>
        <w:t xml:space="preserve">Aktualizácie </w:t>
      </w:r>
      <w:r w:rsidRPr="005B47B1">
        <w:rPr>
          <w:sz w:val="16"/>
          <w:szCs w:val="16"/>
        </w:rPr>
        <w:t>spresňujú už vyčíslené hodnoty príjmov, výdavkov alebo pohľadávok a záväzkov na základe údajov, ktoré v čase jarnej notifikácie objektívne nemohli byť k dispozícii. Ide napríklad o daňové priznania, výsledok zúčtovania sociálnych a zdravotných odvodov. V roku 2020 situáciu s ,,akruálnym“ zaznamenaním daní a odvodov komplikoval aj odklad ich platenia z dôvodu pandémie COVID-19.</w:t>
      </w:r>
    </w:p>
    <w:p w14:paraId="18201D75" w14:textId="7F8F0D61" w:rsidR="001947F5" w:rsidRPr="005B47B1" w:rsidRDefault="001947F5" w:rsidP="00DC1800">
      <w:pPr>
        <w:widowControl w:val="0"/>
        <w:spacing w:after="0" w:line="240" w:lineRule="auto"/>
        <w:jc w:val="both"/>
        <w:rPr>
          <w:sz w:val="16"/>
          <w:szCs w:val="16"/>
          <w:u w:val="single"/>
        </w:rPr>
      </w:pPr>
      <w:proofErr w:type="spellStart"/>
      <w:r w:rsidRPr="005B47B1">
        <w:rPr>
          <w:b/>
          <w:i/>
          <w:sz w:val="16"/>
          <w:szCs w:val="16"/>
        </w:rPr>
        <w:t>Imputácie</w:t>
      </w:r>
      <w:proofErr w:type="spellEnd"/>
      <w:r w:rsidRPr="005B47B1">
        <w:rPr>
          <w:b/>
          <w:i/>
          <w:sz w:val="16"/>
          <w:szCs w:val="16"/>
        </w:rPr>
        <w:t xml:space="preserve"> </w:t>
      </w:r>
      <w:r w:rsidRPr="005B47B1">
        <w:rPr>
          <w:sz w:val="16"/>
          <w:szCs w:val="16"/>
        </w:rPr>
        <w:t xml:space="preserve">predstavujú takisto </w:t>
      </w:r>
      <w:proofErr w:type="spellStart"/>
      <w:r w:rsidRPr="005B47B1">
        <w:rPr>
          <w:sz w:val="16"/>
          <w:szCs w:val="16"/>
        </w:rPr>
        <w:t>akrualizáciu</w:t>
      </w:r>
      <w:proofErr w:type="spellEnd"/>
      <w:r w:rsidRPr="005B47B1">
        <w:rPr>
          <w:sz w:val="16"/>
          <w:szCs w:val="16"/>
        </w:rPr>
        <w:t xml:space="preserve"> údajov o hodnoty, ktoré ešte neboli predmetom štatistického vykazovania. Napríklad nový záväzok, nová pohľadávka, o ktorých sa podľa národnej metodiky neúčtuje ale podľa metodiky </w:t>
      </w:r>
      <w:r>
        <w:rPr>
          <w:sz w:val="16"/>
          <w:szCs w:val="16"/>
        </w:rPr>
        <w:t>ESA 2010</w:t>
      </w:r>
      <w:r w:rsidRPr="005B47B1">
        <w:rPr>
          <w:sz w:val="16"/>
          <w:szCs w:val="16"/>
        </w:rPr>
        <w:t xml:space="preserve"> je nutné ich zohľadniť do obdobia, s ktorým časovo a vecne súvisia. </w:t>
      </w:r>
      <w:r w:rsidRPr="005B47B1">
        <w:rPr>
          <w:sz w:val="16"/>
          <w:szCs w:val="16"/>
          <w:u w:val="single"/>
        </w:rPr>
        <w:t xml:space="preserve"> </w:t>
      </w:r>
    </w:p>
    <w:p w14:paraId="2316C1C3" w14:textId="77777777" w:rsidR="001947F5" w:rsidRDefault="001947F5" w:rsidP="00DC1800">
      <w:pPr>
        <w:pStyle w:val="Textpoznmkypodiarou"/>
      </w:pPr>
    </w:p>
  </w:footnote>
  <w:footnote w:id="4">
    <w:p w14:paraId="6FF62114" w14:textId="77777777" w:rsidR="001947F5" w:rsidRPr="005B47B1" w:rsidRDefault="001947F5" w:rsidP="00AE60AA">
      <w:pPr>
        <w:pStyle w:val="Textpoznmkypodiarou"/>
        <w:jc w:val="both"/>
        <w:rPr>
          <w:sz w:val="16"/>
          <w:szCs w:val="16"/>
        </w:rPr>
      </w:pPr>
      <w:r w:rsidRPr="005B47B1">
        <w:rPr>
          <w:rStyle w:val="Odkaznapoznmkupodiarou"/>
          <w:sz w:val="16"/>
          <w:szCs w:val="16"/>
        </w:rPr>
        <w:footnoteRef/>
      </w:r>
      <w:r w:rsidRPr="005B47B1">
        <w:rPr>
          <w:sz w:val="16"/>
          <w:szCs w:val="16"/>
        </w:rPr>
        <w:t xml:space="preserve"> Vplyv EU tokov na ESA schodok musí byť neutrálny, preto vplyv na schodok verejnej správy majú len prípadné hotovostné korekcie a vplyv </w:t>
      </w:r>
      <w:proofErr w:type="spellStart"/>
      <w:r w:rsidRPr="005B47B1">
        <w:rPr>
          <w:sz w:val="16"/>
          <w:szCs w:val="16"/>
        </w:rPr>
        <w:t>akrualizácie</w:t>
      </w:r>
      <w:proofErr w:type="spellEnd"/>
      <w:r w:rsidRPr="005B47B1">
        <w:rPr>
          <w:sz w:val="16"/>
          <w:szCs w:val="16"/>
        </w:rPr>
        <w:t xml:space="preserve"> korekcií. Hotovostné EU príjmy a výdavky sa neutralizujú zaznamenaním vyrovnávajúcej položky EU tokov na schodok, ktorá predstavuje rozdiel medzi hotovostnými príjmami a výdavkami zo zdroja EU.</w:t>
      </w:r>
    </w:p>
  </w:footnote>
  <w:footnote w:id="5">
    <w:p w14:paraId="1FE59E38" w14:textId="77777777" w:rsidR="001947F5" w:rsidRPr="00E945F6" w:rsidRDefault="001947F5" w:rsidP="00563559">
      <w:pPr>
        <w:pStyle w:val="Textpoznmkypodiarou"/>
        <w:rPr>
          <w:sz w:val="16"/>
          <w:szCs w:val="16"/>
        </w:rPr>
      </w:pPr>
      <w:r w:rsidRPr="00E945F6">
        <w:rPr>
          <w:rStyle w:val="Odkaznapoznmkupodiarou"/>
          <w:sz w:val="16"/>
          <w:szCs w:val="16"/>
        </w:rPr>
        <w:footnoteRef/>
      </w:r>
      <w:r w:rsidRPr="00E945F6">
        <w:rPr>
          <w:sz w:val="16"/>
          <w:szCs w:val="16"/>
        </w:rPr>
        <w:t xml:space="preserve"> </w:t>
      </w:r>
      <w:hyperlink r:id="rId2" w:history="1">
        <w:r w:rsidRPr="00E945F6">
          <w:rPr>
            <w:rStyle w:val="Hypertextovprepojenie"/>
            <w:sz w:val="16"/>
            <w:szCs w:val="16"/>
          </w:rPr>
          <w:t>https://www.mfsr.sk/sk/financie/statne-vykaznictvo/statny-zaverecny-ucet-sr/</w:t>
        </w:r>
      </w:hyperlink>
      <w:r w:rsidRPr="00E945F6">
        <w:rPr>
          <w:sz w:val="16"/>
          <w:szCs w:val="16"/>
        </w:rPr>
        <w:t xml:space="preserve"> </w:t>
      </w:r>
    </w:p>
  </w:footnote>
  <w:footnote w:id="6">
    <w:p w14:paraId="3FEEE139" w14:textId="3C0D41B8" w:rsidR="001947F5" w:rsidRPr="003C43AA" w:rsidRDefault="001947F5" w:rsidP="008803F6">
      <w:pPr>
        <w:pStyle w:val="Textpoznmkypodiarou"/>
        <w:jc w:val="both"/>
        <w:rPr>
          <w:sz w:val="16"/>
          <w:szCs w:val="16"/>
        </w:rPr>
      </w:pPr>
      <w:r w:rsidRPr="003C43AA">
        <w:rPr>
          <w:rStyle w:val="Odkaznapoznmkupodiarou"/>
          <w:sz w:val="16"/>
          <w:szCs w:val="16"/>
        </w:rPr>
        <w:footnoteRef/>
      </w:r>
      <w:r w:rsidRPr="003C43AA">
        <w:rPr>
          <w:sz w:val="16"/>
          <w:szCs w:val="16"/>
        </w:rPr>
        <w:t xml:space="preserve"> V roku 2022 bola spoločnosti </w:t>
      </w:r>
      <w:r w:rsidRPr="003C43AA">
        <w:rPr>
          <w:color w:val="000000"/>
          <w:sz w:val="16"/>
          <w:szCs w:val="16"/>
        </w:rPr>
        <w:t xml:space="preserve">v </w:t>
      </w:r>
      <w:r w:rsidRPr="003C43AA">
        <w:rPr>
          <w:sz w:val="16"/>
          <w:szCs w:val="16"/>
        </w:rPr>
        <w:t xml:space="preserve">súlade s Čiastkovou zmluvou pre rok 2022 k </w:t>
      </w:r>
      <w:proofErr w:type="spellStart"/>
      <w:r w:rsidRPr="003C43AA">
        <w:rPr>
          <w:sz w:val="16"/>
          <w:szCs w:val="16"/>
        </w:rPr>
        <w:t>ZoDSVZ</w:t>
      </w:r>
      <w:proofErr w:type="spellEnd"/>
      <w:r w:rsidRPr="003C43AA">
        <w:rPr>
          <w:sz w:val="16"/>
          <w:szCs w:val="16"/>
        </w:rPr>
        <w:t>, v znení Dodatku č. 1 až Dodatku č. 6 poskytnutá úhrada za dopravné služby vo verejnom záujme, v ktorej bol zohľadnený aj finančný dopad pandémie ochorenia COVID-19</w:t>
      </w:r>
      <w:r w:rsidRPr="003C43AA">
        <w:rPr>
          <w:color w:val="000000"/>
          <w:sz w:val="16"/>
          <w:szCs w:val="16"/>
        </w:rPr>
        <w:t xml:space="preserve"> vo výške 378 347 tis. eur a zároveň boli zo ŠR finančne vysporiadané doplatky zo Zmluvy o dopravných službách vo verejnom záujme za rok 2021 (</w:t>
      </w:r>
      <w:proofErr w:type="spellStart"/>
      <w:r w:rsidRPr="003C43AA">
        <w:rPr>
          <w:color w:val="000000"/>
          <w:sz w:val="16"/>
          <w:szCs w:val="16"/>
        </w:rPr>
        <w:t>nadkompenzácia</w:t>
      </w:r>
      <w:proofErr w:type="spellEnd"/>
      <w:r w:rsidRPr="003C43AA">
        <w:rPr>
          <w:color w:val="000000"/>
          <w:sz w:val="16"/>
          <w:szCs w:val="16"/>
        </w:rPr>
        <w:t xml:space="preserve"> vrátená vo výške 10 0073 tis. eur pre MD SR).</w:t>
      </w:r>
    </w:p>
  </w:footnote>
  <w:footnote w:id="7">
    <w:p w14:paraId="440FD5EB" w14:textId="0B1A78AA" w:rsidR="001947F5" w:rsidRDefault="001947F5" w:rsidP="009E452F">
      <w:pPr>
        <w:pStyle w:val="Textpoznmkypodiarou"/>
      </w:pPr>
      <w:r w:rsidRPr="003C43AA">
        <w:rPr>
          <w:rStyle w:val="Odkaznapoznmkupodiarou"/>
          <w:sz w:val="16"/>
          <w:szCs w:val="16"/>
        </w:rPr>
        <w:footnoteRef/>
      </w:r>
      <w:r w:rsidRPr="003C43AA">
        <w:rPr>
          <w:sz w:val="16"/>
          <w:szCs w:val="16"/>
        </w:rPr>
        <w:t xml:space="preserve"> prostriedky sú viazané na </w:t>
      </w:r>
      <w:proofErr w:type="spellStart"/>
      <w:r w:rsidRPr="003C43AA">
        <w:rPr>
          <w:sz w:val="16"/>
          <w:szCs w:val="16"/>
        </w:rPr>
        <w:t>escrow</w:t>
      </w:r>
      <w:proofErr w:type="spellEnd"/>
      <w:r w:rsidRPr="003C43AA">
        <w:rPr>
          <w:sz w:val="16"/>
          <w:szCs w:val="16"/>
        </w:rPr>
        <w:t xml:space="preserve"> účte v Štátnej pokladnici</w:t>
      </w:r>
    </w:p>
  </w:footnote>
  <w:footnote w:id="8">
    <w:p w14:paraId="03EB1CFB" w14:textId="193560C8" w:rsidR="001947F5" w:rsidRPr="00587083" w:rsidRDefault="001947F5">
      <w:pPr>
        <w:pStyle w:val="Textpoznmkypodiarou"/>
        <w:rPr>
          <w:sz w:val="16"/>
          <w:szCs w:val="16"/>
        </w:rPr>
      </w:pPr>
      <w:r>
        <w:rPr>
          <w:rStyle w:val="Odkaznapoznmkupodiarou"/>
        </w:rPr>
        <w:footnoteRef/>
      </w:r>
      <w:r>
        <w:t xml:space="preserve"> </w:t>
      </w:r>
      <w:r w:rsidRPr="00FD5169">
        <w:rPr>
          <w:sz w:val="16"/>
          <w:szCs w:val="16"/>
        </w:rPr>
        <w:t>Vláda SR schválila „</w:t>
      </w:r>
      <w:r>
        <w:rPr>
          <w:sz w:val="16"/>
          <w:szCs w:val="16"/>
        </w:rPr>
        <w:t>Návrh finančnej stabilizácie zdravo</w:t>
      </w:r>
      <w:r w:rsidRPr="00FD5169">
        <w:rPr>
          <w:sz w:val="16"/>
          <w:szCs w:val="16"/>
        </w:rPr>
        <w:t>tníckych z</w:t>
      </w:r>
      <w:r>
        <w:rPr>
          <w:sz w:val="16"/>
          <w:szCs w:val="16"/>
        </w:rPr>
        <w:t>ariadení,“ na svojom rokovaní 2</w:t>
      </w:r>
      <w:r w:rsidRPr="00FD5169">
        <w:rPr>
          <w:sz w:val="16"/>
          <w:szCs w:val="16"/>
        </w:rPr>
        <w:t xml:space="preserve">. </w:t>
      </w:r>
      <w:r>
        <w:rPr>
          <w:sz w:val="16"/>
          <w:szCs w:val="16"/>
        </w:rPr>
        <w:t>decembra 2020 uznesením č. 757/2020</w:t>
      </w:r>
      <w:r w:rsidRPr="00FD5169">
        <w:rPr>
          <w:sz w:val="16"/>
          <w:szCs w:val="16"/>
        </w:rPr>
        <w:t>.</w:t>
      </w:r>
    </w:p>
  </w:footnote>
  <w:footnote w:id="9">
    <w:p w14:paraId="456066B6" w14:textId="715FE054" w:rsidR="001947F5" w:rsidRPr="00E945F6" w:rsidRDefault="001947F5" w:rsidP="007D1EDC">
      <w:pPr>
        <w:pStyle w:val="Textpoznmkypodiarou"/>
        <w:jc w:val="both"/>
        <w:rPr>
          <w:sz w:val="16"/>
          <w:szCs w:val="16"/>
        </w:rPr>
      </w:pPr>
      <w:r w:rsidRPr="00E945F6">
        <w:rPr>
          <w:rStyle w:val="Odkaznapoznmkupodiarou"/>
          <w:sz w:val="16"/>
          <w:szCs w:val="16"/>
        </w:rPr>
        <w:footnoteRef/>
      </w:r>
      <w:r w:rsidRPr="00E945F6">
        <w:rPr>
          <w:sz w:val="16"/>
          <w:szCs w:val="16"/>
        </w:rPr>
        <w:t xml:space="preserve"> Ostatné subjekty ústrednej správy zahŕňajú: Rozhlas a televíziu Slovenska, Slovenský pozemkový fond, Agentúru pre núdzové zásoby ropy a</w:t>
      </w:r>
      <w:r w:rsidR="008803F6">
        <w:rPr>
          <w:sz w:val="16"/>
          <w:szCs w:val="16"/>
        </w:rPr>
        <w:t> </w:t>
      </w:r>
      <w:r w:rsidRPr="00E945F6">
        <w:rPr>
          <w:sz w:val="16"/>
          <w:szCs w:val="16"/>
        </w:rPr>
        <w:t>ropných výrobkov, neziskové organizácie ústrednej správy a ostatné ústredné podniky.</w:t>
      </w:r>
    </w:p>
  </w:footnote>
  <w:footnote w:id="10">
    <w:p w14:paraId="76683787" w14:textId="77777777" w:rsidR="001947F5" w:rsidRDefault="001947F5" w:rsidP="00B91047">
      <w:pPr>
        <w:pStyle w:val="Textpoznmkypodiarou"/>
        <w:jc w:val="both"/>
      </w:pPr>
      <w:r>
        <w:rPr>
          <w:rStyle w:val="Odkaznapoznmkupodiarou"/>
        </w:rPr>
        <w:footnoteRef/>
      </w:r>
      <w:r>
        <w:t xml:space="preserve"> </w:t>
      </w:r>
      <w:r w:rsidRPr="006D2C5C">
        <w:rPr>
          <w:sz w:val="16"/>
          <w:szCs w:val="16"/>
        </w:rPr>
        <w:t xml:space="preserve">Dopravný podnik mesta Žiliny s. r. o., Dopravný podnik Bratislava, </w:t>
      </w:r>
      <w:r>
        <w:rPr>
          <w:sz w:val="16"/>
          <w:szCs w:val="16"/>
        </w:rPr>
        <w:t xml:space="preserve">a. s. </w:t>
      </w:r>
      <w:r w:rsidRPr="006D2C5C">
        <w:rPr>
          <w:sz w:val="16"/>
          <w:szCs w:val="16"/>
        </w:rPr>
        <w:t>, Dopravný podnik mesta Košice, akciová spoločnosť,  Dopravný podnik mesta Prešov, a.</w:t>
      </w:r>
      <w:r>
        <w:rPr>
          <w:sz w:val="16"/>
          <w:szCs w:val="16"/>
        </w:rPr>
        <w:t xml:space="preserve"> </w:t>
      </w:r>
      <w:r w:rsidRPr="006D2C5C">
        <w:rPr>
          <w:sz w:val="16"/>
          <w:szCs w:val="16"/>
        </w:rPr>
        <w:t>s</w:t>
      </w:r>
      <w:r>
        <w:rPr>
          <w:sz w:val="16"/>
          <w:szCs w:val="16"/>
        </w:rPr>
        <w:t xml:space="preserve">., </w:t>
      </w:r>
      <w:r w:rsidRPr="006D2C5C">
        <w:rPr>
          <w:sz w:val="16"/>
          <w:szCs w:val="16"/>
        </w:rPr>
        <w:t xml:space="preserve">Dopravný podnik mesta Považská Bystrica </w:t>
      </w:r>
      <w:r>
        <w:rPr>
          <w:sz w:val="16"/>
          <w:szCs w:val="16"/>
        </w:rPr>
        <w:t>s. r. o. ,</w:t>
      </w:r>
      <w:r w:rsidRPr="006D2C5C">
        <w:rPr>
          <w:sz w:val="16"/>
          <w:szCs w:val="16"/>
        </w:rPr>
        <w:t>. a</w:t>
      </w:r>
      <w:r>
        <w:rPr>
          <w:sz w:val="16"/>
          <w:szCs w:val="16"/>
        </w:rPr>
        <w:t xml:space="preserve"> od roku 2021 pribudol Dopravný podnik mesta Martin, s. r. o. </w:t>
      </w:r>
    </w:p>
  </w:footnote>
  <w:footnote w:id="11">
    <w:p w14:paraId="3A4C00E0" w14:textId="77777777" w:rsidR="001947F5" w:rsidRPr="00C74E82" w:rsidRDefault="001947F5" w:rsidP="0077393A">
      <w:pPr>
        <w:pStyle w:val="Textpoznmkypodiarou"/>
        <w:rPr>
          <w:sz w:val="16"/>
          <w:szCs w:val="16"/>
        </w:rPr>
      </w:pPr>
      <w:r w:rsidRPr="00E53B12">
        <w:rPr>
          <w:rStyle w:val="Odkaznapoznmkupodiarou"/>
          <w:sz w:val="16"/>
          <w:szCs w:val="16"/>
        </w:rPr>
        <w:footnoteRef/>
      </w:r>
      <w:r w:rsidRPr="00E53B12">
        <w:rPr>
          <w:sz w:val="16"/>
          <w:szCs w:val="16"/>
        </w:rPr>
        <w:t xml:space="preserve"> </w:t>
      </w:r>
      <w:r w:rsidRPr="00FD5169">
        <w:rPr>
          <w:sz w:val="16"/>
          <w:szCs w:val="16"/>
        </w:rPr>
        <w:t>Vláda SR schválila „</w:t>
      </w:r>
      <w:r>
        <w:rPr>
          <w:sz w:val="16"/>
          <w:szCs w:val="16"/>
        </w:rPr>
        <w:t>Návrh finančnej stabilizácie zdravo</w:t>
      </w:r>
      <w:r w:rsidRPr="00FD5169">
        <w:rPr>
          <w:sz w:val="16"/>
          <w:szCs w:val="16"/>
        </w:rPr>
        <w:t>tníckych z</w:t>
      </w:r>
      <w:r>
        <w:rPr>
          <w:sz w:val="16"/>
          <w:szCs w:val="16"/>
        </w:rPr>
        <w:t>ariadení,“ na svojom rokovaní 2</w:t>
      </w:r>
      <w:r w:rsidRPr="00FD5169">
        <w:rPr>
          <w:sz w:val="16"/>
          <w:szCs w:val="16"/>
        </w:rPr>
        <w:t xml:space="preserve">. </w:t>
      </w:r>
      <w:r>
        <w:rPr>
          <w:sz w:val="16"/>
          <w:szCs w:val="16"/>
        </w:rPr>
        <w:t>decembra 2020 uznesením č. 757/2020</w:t>
      </w:r>
      <w:r w:rsidRPr="00FD5169">
        <w:rPr>
          <w:sz w:val="16"/>
          <w:szCs w:val="16"/>
        </w:rPr>
        <w:t>.</w:t>
      </w:r>
    </w:p>
  </w:footnote>
  <w:footnote w:id="12">
    <w:p w14:paraId="4F282A70" w14:textId="77777777" w:rsidR="001947F5" w:rsidRDefault="001947F5" w:rsidP="00251883">
      <w:pPr>
        <w:pStyle w:val="Textpoznmkypodiarou"/>
        <w:jc w:val="both"/>
      </w:pPr>
      <w:r>
        <w:rPr>
          <w:rStyle w:val="Odkaznapoznmkupodiarou"/>
        </w:rPr>
        <w:footnoteRef/>
      </w:r>
      <w:r>
        <w:t xml:space="preserve"> </w:t>
      </w:r>
      <w:r w:rsidRPr="00297DB4">
        <w:rPr>
          <w:sz w:val="16"/>
          <w:szCs w:val="16"/>
        </w:rPr>
        <w:t>Od 1.1.2022 sa v zmysle zákona č. 215/2021 Z. z. o podpore v čase skrátenej práce a o zmene a doplnení niektorých zákonov začala poskytovať podpora, ktorá</w:t>
      </w:r>
      <w:r w:rsidRPr="00297DB4">
        <w:t xml:space="preserve"> </w:t>
      </w:r>
      <w:r w:rsidRPr="00297DB4">
        <w:rPr>
          <w:sz w:val="16"/>
          <w:szCs w:val="16"/>
        </w:rPr>
        <w:t>zabezpečuje pokrytie čiastočných nákladov zamestnávateľa na náhradu mzdy zamestnanca, ak došlo k obmedzeniu činnosti zamestnávateľa vplyvom vonkajšieho faktora. Vyplácanie tejto podpory sa realizuje prostredníctvom Ministerstva práce, sociálnych vecí a rodiny SR.</w:t>
      </w:r>
    </w:p>
  </w:footnote>
  <w:footnote w:id="13">
    <w:p w14:paraId="0145B5F6" w14:textId="77777777" w:rsidR="001947F5" w:rsidRPr="00412EB1" w:rsidRDefault="001947F5" w:rsidP="005F391E">
      <w:pPr>
        <w:pStyle w:val="Textpoznmkypodiarou"/>
        <w:jc w:val="both"/>
        <w:rPr>
          <w:sz w:val="16"/>
          <w:szCs w:val="16"/>
        </w:rPr>
      </w:pPr>
      <w:r w:rsidRPr="00852C6B">
        <w:rPr>
          <w:rStyle w:val="Odkaznapoznmkupodiarou"/>
          <w:sz w:val="16"/>
          <w:szCs w:val="16"/>
        </w:rPr>
        <w:footnoteRef/>
      </w:r>
      <w:r w:rsidRPr="00852C6B">
        <w:rPr>
          <w:sz w:val="16"/>
          <w:szCs w:val="16"/>
        </w:rPr>
        <w:t xml:space="preserve"> </w:t>
      </w:r>
      <w:r w:rsidRPr="00C74E82">
        <w:rPr>
          <w:sz w:val="16"/>
          <w:szCs w:val="16"/>
        </w:rPr>
        <w:t xml:space="preserve">Starobný dôchodok vypláca Sociálna poisťovňa vopred v pravidelných mesačných termínoch v zmysle zákona č. 461/2003 Z. z. </w:t>
      </w:r>
      <w:r>
        <w:rPr>
          <w:sz w:val="16"/>
          <w:szCs w:val="16"/>
        </w:rPr>
        <w:t xml:space="preserve">o Sociálnom poistení </w:t>
      </w:r>
      <w:r w:rsidRPr="00C74E82">
        <w:rPr>
          <w:sz w:val="16"/>
          <w:szCs w:val="16"/>
        </w:rPr>
        <w:t>v znení neskorších predpisov.</w:t>
      </w:r>
      <w:r>
        <w:rPr>
          <w:sz w:val="16"/>
          <w:szCs w:val="16"/>
        </w:rPr>
        <w:t xml:space="preserve"> V tomto prípade vplyv časovo posunutého výdavku sa týka dôchodkových</w:t>
      </w:r>
      <w:r w:rsidRPr="00C204BE">
        <w:rPr>
          <w:sz w:val="16"/>
          <w:szCs w:val="16"/>
        </w:rPr>
        <w:t xml:space="preserve"> </w:t>
      </w:r>
      <w:r>
        <w:rPr>
          <w:sz w:val="16"/>
          <w:szCs w:val="16"/>
        </w:rPr>
        <w:t>dávok</w:t>
      </w:r>
      <w:r w:rsidRPr="00C204BE">
        <w:rPr>
          <w:sz w:val="16"/>
          <w:szCs w:val="16"/>
        </w:rPr>
        <w:t xml:space="preserve">, ktoré Sociálna </w:t>
      </w:r>
      <w:r w:rsidRPr="00412EB1">
        <w:rPr>
          <w:sz w:val="16"/>
          <w:szCs w:val="16"/>
        </w:rPr>
        <w:t>poisťovňa vypláca v decembri bežného roka, na ktoré vznikol nárok v mesiaci január nasledujúceho roka (t. j. výplatný termín pripadá na sviatok resp. víkend).V súlade s metodikou ESA 2010 sa dôchodkové dávky časovo rozlišujú do obdobia, s ktorým vecne súvisia.</w:t>
      </w:r>
    </w:p>
  </w:footnote>
  <w:footnote w:id="14">
    <w:p w14:paraId="6A624AB9" w14:textId="77777777" w:rsidR="001947F5" w:rsidRPr="00D413B4" w:rsidRDefault="001947F5" w:rsidP="005F391E">
      <w:pPr>
        <w:pStyle w:val="Textpoznmkypodiarou"/>
        <w:jc w:val="both"/>
        <w:rPr>
          <w:sz w:val="16"/>
          <w:szCs w:val="16"/>
        </w:rPr>
      </w:pPr>
      <w:r w:rsidRPr="00BE5BC2">
        <w:rPr>
          <w:rStyle w:val="Odkaznapoznmkupodiarou"/>
          <w:sz w:val="18"/>
          <w:szCs w:val="18"/>
        </w:rPr>
        <w:footnoteRef/>
      </w:r>
      <w:r w:rsidRPr="00BE5BC2">
        <w:rPr>
          <w:sz w:val="18"/>
          <w:szCs w:val="18"/>
        </w:rPr>
        <w:t xml:space="preserve"> </w:t>
      </w:r>
      <w:r w:rsidRPr="00D413B4">
        <w:rPr>
          <w:sz w:val="16"/>
          <w:szCs w:val="16"/>
        </w:rPr>
        <w:t>Verejné zdravotné poistenie predstavujú prostriedky z vybraného poistného na poskytovanie verejnej zdravotnej starostlivosti Všeobecnou zdravotnou poisťovňou a súkromnými zdravotnými poisťovňami.</w:t>
      </w:r>
    </w:p>
  </w:footnote>
  <w:footnote w:id="15">
    <w:p w14:paraId="537DBDF4" w14:textId="54EF1E5D" w:rsidR="001947F5" w:rsidRPr="00C33BE2" w:rsidRDefault="001947F5" w:rsidP="00DC0F15">
      <w:pPr>
        <w:pStyle w:val="Textpoznmkypodiarou"/>
        <w:rPr>
          <w:sz w:val="18"/>
          <w:szCs w:val="18"/>
        </w:rPr>
      </w:pPr>
      <w:r w:rsidRPr="00C33BE2">
        <w:rPr>
          <w:rStyle w:val="Odkaznapoznmkupodiarou"/>
          <w:sz w:val="18"/>
          <w:szCs w:val="18"/>
        </w:rPr>
        <w:footnoteRef/>
      </w:r>
      <w:r w:rsidRPr="00C33BE2">
        <w:rPr>
          <w:sz w:val="18"/>
          <w:szCs w:val="18"/>
        </w:rPr>
        <w:t xml:space="preserve"> Štátny záverečný účet SR za rok 20</w:t>
      </w:r>
      <w:r>
        <w:rPr>
          <w:sz w:val="18"/>
          <w:szCs w:val="18"/>
        </w:rPr>
        <w:t>22</w:t>
      </w:r>
      <w:r w:rsidRPr="00C33BE2">
        <w:rPr>
          <w:sz w:val="18"/>
          <w:szCs w:val="18"/>
        </w:rPr>
        <w:t xml:space="preserve">, </w:t>
      </w:r>
      <w:hyperlink r:id="rId3" w:history="1">
        <w:r w:rsidRPr="00847084">
          <w:rPr>
            <w:rStyle w:val="Hypertextovprepojenie"/>
            <w:color w:val="4F81BD" w:themeColor="accent1"/>
            <w:sz w:val="18"/>
            <w:szCs w:val="18"/>
          </w:rPr>
          <w:t>www.finance.gov.sk</w:t>
        </w:r>
      </w:hyperlink>
      <w:r w:rsidRPr="00847084">
        <w:rPr>
          <w:color w:val="4F81BD" w:themeColor="accent1"/>
          <w:sz w:val="18"/>
          <w:szCs w:val="18"/>
        </w:rPr>
        <w:t xml:space="preserve"> </w:t>
      </w:r>
    </w:p>
  </w:footnote>
  <w:footnote w:id="16">
    <w:p w14:paraId="217C47CC" w14:textId="70D25BBF" w:rsidR="001947F5" w:rsidRDefault="001947F5">
      <w:pPr>
        <w:pStyle w:val="Textpoznmkypodiarou"/>
      </w:pPr>
      <w:r>
        <w:rPr>
          <w:rStyle w:val="Odkaznapoznmkupodiarou"/>
        </w:rPr>
        <w:footnoteRef/>
      </w:r>
      <w:r>
        <w:t xml:space="preserve"> </w:t>
      </w:r>
      <w:r w:rsidRPr="00887C6C">
        <w:rPr>
          <w:sz w:val="16"/>
          <w:szCs w:val="16"/>
        </w:rPr>
        <w:t>Solidárny príspevok z činností v odvetviach ropy, zemného plynu, uhlia a rafinérií za rok 2022 je odhad, pretože daňové priznania za rok 2022 sa podávajú v roku 2023 a skutočný výnos dane bude známy v priebehu roka 2023, prípadne až na začiatku roka 2024.</w:t>
      </w:r>
    </w:p>
  </w:footnote>
  <w:footnote w:id="17">
    <w:p w14:paraId="17CB07DF" w14:textId="4E7A4E30" w:rsidR="001947F5" w:rsidRDefault="001947F5" w:rsidP="0065136C">
      <w:pPr>
        <w:pStyle w:val="Textpoznmkypodiarou"/>
        <w:jc w:val="both"/>
      </w:pPr>
      <w:r>
        <w:rPr>
          <w:rStyle w:val="Odkaznapoznmkupodiarou"/>
        </w:rPr>
        <w:footnoteRef/>
      </w:r>
      <w:r>
        <w:t xml:space="preserve"> </w:t>
      </w:r>
      <w:r w:rsidRPr="00FD5169">
        <w:rPr>
          <w:sz w:val="16"/>
          <w:szCs w:val="16"/>
        </w:rPr>
        <w:t>Vláda SR schválila „</w:t>
      </w:r>
      <w:r>
        <w:rPr>
          <w:sz w:val="16"/>
          <w:szCs w:val="16"/>
        </w:rPr>
        <w:t>Návrh</w:t>
      </w:r>
      <w:r w:rsidRPr="0065136C">
        <w:rPr>
          <w:sz w:val="16"/>
          <w:szCs w:val="16"/>
        </w:rPr>
        <w:t xml:space="preserve"> na schválenie finančných prostriedkov určených na stabilizáciu</w:t>
      </w:r>
      <w:r>
        <w:rPr>
          <w:sz w:val="16"/>
          <w:szCs w:val="16"/>
        </w:rPr>
        <w:t xml:space="preserve"> </w:t>
      </w:r>
      <w:r w:rsidRPr="0065136C">
        <w:rPr>
          <w:sz w:val="16"/>
          <w:szCs w:val="16"/>
        </w:rPr>
        <w:t>zdravotníckych pracovníkov v rámci ústavnej zdravotnej starostlivosti</w:t>
      </w:r>
      <w:r>
        <w:rPr>
          <w:sz w:val="16"/>
          <w:szCs w:val="16"/>
        </w:rPr>
        <w:t xml:space="preserve"> </w:t>
      </w:r>
      <w:r w:rsidRPr="0065136C">
        <w:rPr>
          <w:sz w:val="16"/>
          <w:szCs w:val="16"/>
        </w:rPr>
        <w:t>a ambulancií záchrannej zdravotnej služby prostredníctvom stabilizačného</w:t>
      </w:r>
      <w:r>
        <w:rPr>
          <w:sz w:val="16"/>
          <w:szCs w:val="16"/>
        </w:rPr>
        <w:t xml:space="preserve"> </w:t>
      </w:r>
      <w:r w:rsidRPr="0065136C">
        <w:rPr>
          <w:sz w:val="16"/>
          <w:szCs w:val="16"/>
        </w:rPr>
        <w:t>príspevku</w:t>
      </w:r>
      <w:r>
        <w:rPr>
          <w:sz w:val="16"/>
          <w:szCs w:val="16"/>
        </w:rPr>
        <w:t>,“ na svojom rokovaní 5</w:t>
      </w:r>
      <w:r w:rsidRPr="00FD5169">
        <w:rPr>
          <w:sz w:val="16"/>
          <w:szCs w:val="16"/>
        </w:rPr>
        <w:t xml:space="preserve">. </w:t>
      </w:r>
      <w:r>
        <w:rPr>
          <w:sz w:val="16"/>
          <w:szCs w:val="16"/>
        </w:rPr>
        <w:t>decembra 2022 uznesením č. 762/2022</w:t>
      </w:r>
    </w:p>
  </w:footnote>
  <w:footnote w:id="18">
    <w:p w14:paraId="77B2293F" w14:textId="77777777" w:rsidR="001947F5" w:rsidRPr="00CF2FA7" w:rsidRDefault="001947F5" w:rsidP="00881380">
      <w:pPr>
        <w:pStyle w:val="Textpoznmkypodiarou"/>
        <w:rPr>
          <w:sz w:val="16"/>
          <w:szCs w:val="16"/>
        </w:rPr>
      </w:pPr>
      <w:r w:rsidRPr="00CF2FA7">
        <w:rPr>
          <w:rStyle w:val="Odkaznapoznmkupodiarou"/>
          <w:sz w:val="16"/>
          <w:szCs w:val="16"/>
        </w:rPr>
        <w:footnoteRef/>
      </w:r>
      <w:r w:rsidRPr="00CF2FA7">
        <w:rPr>
          <w:sz w:val="16"/>
          <w:szCs w:val="16"/>
        </w:rPr>
        <w:t xml:space="preserve"> </w:t>
      </w:r>
      <w:r w:rsidRPr="00A41113">
        <w:rPr>
          <w:sz w:val="16"/>
          <w:szCs w:val="16"/>
        </w:rPr>
        <w:t>Subvencia predstavuje finančný príspevok vlády alebo verejn</w:t>
      </w:r>
      <w:r>
        <w:rPr>
          <w:sz w:val="16"/>
          <w:szCs w:val="16"/>
        </w:rPr>
        <w:t>o-</w:t>
      </w:r>
      <w:r w:rsidRPr="00A41113">
        <w:rPr>
          <w:sz w:val="16"/>
          <w:szCs w:val="16"/>
        </w:rPr>
        <w:t>právnej inštitúcie.</w:t>
      </w:r>
      <w:r>
        <w:rPr>
          <w:sz w:val="16"/>
          <w:szCs w:val="16"/>
        </w:rPr>
        <w:t xml:space="preserve"> Ide o platby vykonané na podporu obchodných aktivít príjemcov, ktorí nie sú zaradení v sektore verejnej správy.</w:t>
      </w:r>
    </w:p>
  </w:footnote>
  <w:footnote w:id="19">
    <w:p w14:paraId="1B6ECD9E" w14:textId="77777777" w:rsidR="001947F5" w:rsidRPr="00115EF1" w:rsidRDefault="001947F5" w:rsidP="003C5653">
      <w:pPr>
        <w:pStyle w:val="Textpoznmkypodiarou"/>
        <w:jc w:val="both"/>
        <w:rPr>
          <w:sz w:val="16"/>
          <w:szCs w:val="16"/>
          <w:highlight w:val="yellow"/>
        </w:rPr>
      </w:pPr>
      <w:r w:rsidRPr="00115EF1">
        <w:rPr>
          <w:rStyle w:val="Odkaznapoznmkupodiarou"/>
          <w:rFonts w:eastAsiaTheme="majorEastAsia"/>
          <w:sz w:val="16"/>
          <w:szCs w:val="16"/>
        </w:rPr>
        <w:footnoteRef/>
      </w:r>
      <w:r w:rsidRPr="00115EF1">
        <w:rPr>
          <w:sz w:val="16"/>
          <w:szCs w:val="16"/>
        </w:rPr>
        <w:t xml:space="preserve"> Pre účely súhrnnej výročnej správy používa MFSR údaje z jesennej notifikácie </w:t>
      </w:r>
      <w:proofErr w:type="spellStart"/>
      <w:r w:rsidRPr="00115EF1">
        <w:rPr>
          <w:sz w:val="16"/>
          <w:szCs w:val="16"/>
        </w:rPr>
        <w:t>Eurostatu</w:t>
      </w:r>
      <w:proofErr w:type="spellEnd"/>
      <w:r w:rsidRPr="00115EF1">
        <w:rPr>
          <w:sz w:val="16"/>
          <w:szCs w:val="16"/>
        </w:rPr>
        <w:t>. Odhad cyklickej zložky vychádza  z produkčnej medzery na základe najaktuálnejšej prognózy MF SR schválenej výborom pre makroekonomické prognózy. Odhad jednorazových a dočasných opatrení vychádza primárne z národnej metodiky MF SR.</w:t>
      </w:r>
    </w:p>
  </w:footnote>
  <w:footnote w:id="20">
    <w:p w14:paraId="04D2E8A4" w14:textId="77777777" w:rsidR="001947F5" w:rsidRPr="00115EF1" w:rsidRDefault="001947F5" w:rsidP="003C5653">
      <w:pPr>
        <w:pStyle w:val="Textpoznmkypodiarou"/>
        <w:ind w:left="113" w:hanging="113"/>
        <w:jc w:val="both"/>
        <w:rPr>
          <w:sz w:val="16"/>
          <w:szCs w:val="16"/>
        </w:rPr>
      </w:pPr>
      <w:r w:rsidRPr="00115EF1">
        <w:rPr>
          <w:rStyle w:val="Odkaznapoznmkupodiarou"/>
          <w:rFonts w:eastAsiaTheme="majorEastAsia"/>
          <w:sz w:val="16"/>
          <w:szCs w:val="16"/>
        </w:rPr>
        <w:footnoteRef/>
      </w:r>
      <w:r w:rsidRPr="00115EF1">
        <w:rPr>
          <w:sz w:val="16"/>
          <w:szCs w:val="16"/>
        </w:rPr>
        <w:t xml:space="preserve"> Jednorazové vplyvy sa spomínajú bez metodického popisu v zákone o rozpočtových pravidlách verejnej správy (523/2004 Z. z.) a v Ústavnom zákone o rozpočtovej zodpovednosti (493/2011 Z. z.)</w:t>
      </w:r>
    </w:p>
  </w:footnote>
  <w:footnote w:id="21">
    <w:p w14:paraId="2A337E92" w14:textId="77777777" w:rsidR="001947F5" w:rsidRPr="007A4784" w:rsidRDefault="001947F5" w:rsidP="003C5653">
      <w:pPr>
        <w:pStyle w:val="Textpoznmkypodiarou"/>
        <w:jc w:val="both"/>
        <w:rPr>
          <w:sz w:val="16"/>
          <w:szCs w:val="16"/>
        </w:rPr>
      </w:pPr>
      <w:r w:rsidRPr="00115EF1">
        <w:rPr>
          <w:rStyle w:val="Odkaznapoznmkupodiarou"/>
          <w:rFonts w:eastAsiaTheme="majorEastAsia"/>
          <w:sz w:val="16"/>
          <w:szCs w:val="16"/>
        </w:rPr>
        <w:footnoteRef/>
      </w:r>
      <w:r w:rsidRPr="00115EF1">
        <w:rPr>
          <w:sz w:val="16"/>
          <w:szCs w:val="16"/>
        </w:rPr>
        <w:t xml:space="preserve">  Metodika na identifikáciu jednorazových a dočasných opatrení MF SR je dostupná tu: </w:t>
      </w:r>
      <w:hyperlink r:id="rId4" w:history="1">
        <w:r w:rsidRPr="00115EF1">
          <w:rPr>
            <w:rStyle w:val="Hypertextovprepojenie"/>
            <w:sz w:val="16"/>
            <w:szCs w:val="16"/>
          </w:rPr>
          <w:t>https://www.mfsr.sk/sk/financie/institut-financnej-politiky/publikacie-ifp/manualy/jednorazove-vplyvy.html</w:t>
        </w:r>
      </w:hyperlink>
      <w:r>
        <w:rPr>
          <w:sz w:val="16"/>
          <w:szCs w:val="16"/>
        </w:rPr>
        <w:t xml:space="preserve"> </w:t>
      </w:r>
    </w:p>
  </w:footnote>
  <w:footnote w:id="22">
    <w:p w14:paraId="7A15F9C1" w14:textId="77777777" w:rsidR="001947F5" w:rsidRPr="00DD5CBE" w:rsidRDefault="001947F5" w:rsidP="005406D6">
      <w:pPr>
        <w:pStyle w:val="Textpoznmkypodiarou"/>
        <w:jc w:val="both"/>
        <w:rPr>
          <w:sz w:val="16"/>
          <w:szCs w:val="16"/>
        </w:rPr>
      </w:pPr>
      <w:r w:rsidRPr="00DD5CBE">
        <w:rPr>
          <w:rStyle w:val="Odkaznapoznmkupodiarou"/>
          <w:sz w:val="16"/>
          <w:szCs w:val="16"/>
        </w:rPr>
        <w:footnoteRef/>
      </w:r>
      <w:r w:rsidRPr="00DD5CBE">
        <w:rPr>
          <w:sz w:val="16"/>
          <w:szCs w:val="16"/>
        </w:rPr>
        <w:t xml:space="preserve"> Ide najmä o pravidlá Paktu stability a rastu, ktoré stanovujú hranicu deficitu verejnej správy 3 % HDP a dlhu verejnej správy 60 % HDP (bližšie o európskych fiškálnych pravidlách pozri slovník základných pojmov).</w:t>
      </w:r>
    </w:p>
  </w:footnote>
  <w:footnote w:id="23">
    <w:p w14:paraId="381B47FE" w14:textId="77777777" w:rsidR="001947F5" w:rsidRDefault="001947F5" w:rsidP="005406D6">
      <w:pPr>
        <w:pStyle w:val="Textpoznmkypodiarou"/>
      </w:pPr>
      <w:r w:rsidRPr="00FF06A7">
        <w:rPr>
          <w:rStyle w:val="Odkaznapoznmkupodiarou"/>
          <w:sz w:val="16"/>
          <w:szCs w:val="16"/>
        </w:rPr>
        <w:footnoteRef/>
      </w:r>
      <w:r>
        <w:t xml:space="preserve"> </w:t>
      </w:r>
      <w:r w:rsidRPr="00DD5CBE">
        <w:rPr>
          <w:sz w:val="16"/>
          <w:szCs w:val="16"/>
        </w:rPr>
        <w:t>Verejný sektor je širší pojem ako verejná správa, nad rámec sektora verejnej správy zahŕňa aj podniky verejnej správy a Národnú banku Slovenska</w:t>
      </w:r>
      <w:r>
        <w:rPr>
          <w:sz w:val="16"/>
          <w:szCs w:val="16"/>
        </w:rPr>
        <w:t>.</w:t>
      </w:r>
      <w:r w:rsidRPr="00DD5CBE">
        <w:rPr>
          <w:sz w:val="16"/>
          <w:szCs w:val="16"/>
        </w:rPr>
        <w:t>. Z definície čistého bohatstva podľa ústavného zákona o rozpočtovej zodpovednosti odvodzujeme aj skupinu subjektov tvoriacich verejný sektor.</w:t>
      </w:r>
    </w:p>
  </w:footnote>
  <w:footnote w:id="24">
    <w:p w14:paraId="2085F50C" w14:textId="617E6F14" w:rsidR="001947F5" w:rsidRPr="0010281C" w:rsidRDefault="001947F5" w:rsidP="005406D6">
      <w:pPr>
        <w:pStyle w:val="Textpoznmkypodiarou"/>
        <w:jc w:val="both"/>
        <w:rPr>
          <w:sz w:val="18"/>
          <w:szCs w:val="18"/>
        </w:rPr>
      </w:pPr>
      <w:r w:rsidRPr="00BA29DB">
        <w:rPr>
          <w:rStyle w:val="Odkaznapoznmkupodiarou"/>
          <w:sz w:val="18"/>
          <w:szCs w:val="18"/>
        </w:rPr>
        <w:footnoteRef/>
      </w:r>
      <w:r w:rsidRPr="00BA29DB">
        <w:rPr>
          <w:sz w:val="18"/>
          <w:szCs w:val="18"/>
        </w:rPr>
        <w:t xml:space="preserve"> Koncept ,,súhrnného celku“ je definovaný v Súhrnnej účtovnej závierke a je odlišný od </w:t>
      </w:r>
      <w:r>
        <w:rPr>
          <w:sz w:val="18"/>
          <w:szCs w:val="18"/>
        </w:rPr>
        <w:t xml:space="preserve">vymedzenia subjektov </w:t>
      </w:r>
      <w:r w:rsidRPr="00BA29DB">
        <w:rPr>
          <w:sz w:val="18"/>
          <w:szCs w:val="18"/>
        </w:rPr>
        <w:t>verejnej správy podľa zákona č. 523/2004 Z. z. o rozpočtových pravidlách verejnej správy a o zmene a doplnení niektorých zákonov. Verejná správa tvorí najpodstatnejšiu časť súhrnného celku, avšak do súhrnného celku vstupujú aj iné subjekty, ktoré nie sú štatisticky zaradené do</w:t>
      </w:r>
      <w:r>
        <w:rPr>
          <w:sz w:val="18"/>
          <w:szCs w:val="18"/>
        </w:rPr>
        <w:t> </w:t>
      </w:r>
      <w:r w:rsidRPr="00BA29DB">
        <w:rPr>
          <w:sz w:val="18"/>
          <w:szCs w:val="18"/>
        </w:rPr>
        <w:t xml:space="preserve">verejnej správy podľa metodiky </w:t>
      </w:r>
      <w:r>
        <w:rPr>
          <w:sz w:val="18"/>
          <w:szCs w:val="18"/>
        </w:rPr>
        <w:t>ESA 2010</w:t>
      </w:r>
      <w:r w:rsidRPr="00BA29DB">
        <w:rPr>
          <w:sz w:val="18"/>
          <w:szCs w:val="18"/>
        </w:rPr>
        <w:t xml:space="preserve">. </w:t>
      </w:r>
    </w:p>
  </w:footnote>
  <w:footnote w:id="25">
    <w:p w14:paraId="4E169BF5" w14:textId="77777777" w:rsidR="001947F5" w:rsidRDefault="001947F5" w:rsidP="005406D6">
      <w:pPr>
        <w:pStyle w:val="Textpoznmkypodiarou"/>
        <w:jc w:val="both"/>
      </w:pPr>
      <w:r>
        <w:rPr>
          <w:rStyle w:val="Odkaznapoznmkupodiarou"/>
        </w:rPr>
        <w:footnoteRef/>
      </w:r>
      <w:r>
        <w:t xml:space="preserve"> Problematika preklopenia účtovnej závierky Sociálnej poisťovne na účtovnú závierku rozpočtovej organizácie, pre účely súhrnnej účtovnej závierky, je komplikovaná z dôvodu odlišných postupov účtovania. Sociálna poisťovňa používa ,,fondové“ hospodárenie a vnútorné prevody medzi jednotlivými fondami tvorenými z poistného, účtuje cez položky vlastného imania. Rozpočtové organizácie účtujú o bežných nákladoch a bežných výnosoch, vzájomne </w:t>
      </w:r>
      <w:proofErr w:type="spellStart"/>
      <w:r>
        <w:t>vykonsolidované</w:t>
      </w:r>
      <w:proofErr w:type="spellEnd"/>
      <w:r>
        <w:t xml:space="preserve">. Na spresňovaní údajov pre účely súhrnnej účtovnej závierky bude Ministerstvo financií SR a Sociálna poisťovňa pokračovať. </w:t>
      </w:r>
    </w:p>
  </w:footnote>
  <w:footnote w:id="26">
    <w:p w14:paraId="72E141DB" w14:textId="1A11EBCC" w:rsidR="001947F5" w:rsidRPr="00A50FE7" w:rsidRDefault="001947F5" w:rsidP="00FB260E">
      <w:pPr>
        <w:pStyle w:val="Textpoznmkypodiarou"/>
        <w:jc w:val="both"/>
        <w:rPr>
          <w:sz w:val="16"/>
          <w:szCs w:val="16"/>
        </w:rPr>
      </w:pPr>
      <w:r w:rsidRPr="00A50FE7">
        <w:rPr>
          <w:rStyle w:val="Odkaznapoznmkupodiarou"/>
          <w:rFonts w:eastAsiaTheme="majorEastAsia"/>
          <w:sz w:val="16"/>
          <w:szCs w:val="16"/>
        </w:rPr>
        <w:footnoteRef/>
      </w:r>
      <w:r w:rsidRPr="00A50FE7">
        <w:rPr>
          <w:sz w:val="16"/>
          <w:szCs w:val="16"/>
        </w:rPr>
        <w:t xml:space="preserve"> Superdividendy sú všeobecne definované podľa metodiky národných účtov </w:t>
      </w:r>
      <w:r>
        <w:rPr>
          <w:sz w:val="16"/>
          <w:szCs w:val="16"/>
        </w:rPr>
        <w:t>ESA 2010</w:t>
      </w:r>
      <w:r w:rsidRPr="00A50FE7">
        <w:rPr>
          <w:sz w:val="16"/>
          <w:szCs w:val="16"/>
        </w:rPr>
        <w:t xml:space="preserve"> ako dividendy presahujúce poslednú, respektíve nedávnu úroveň dividend a ziskov. Superdividendy tak indikujú rýchlejší úbytok vlastného imania podnikov.</w:t>
      </w:r>
    </w:p>
  </w:footnote>
  <w:footnote w:id="27">
    <w:p w14:paraId="46A85549" w14:textId="77777777" w:rsidR="001947F5" w:rsidRPr="00EA3399" w:rsidRDefault="001947F5" w:rsidP="00FB260E">
      <w:pPr>
        <w:pStyle w:val="Textpoznmkypodiarou"/>
        <w:jc w:val="both"/>
      </w:pPr>
      <w:r w:rsidRPr="00A50FE7">
        <w:rPr>
          <w:rStyle w:val="Odkaznapoznmkupodiarou"/>
          <w:rFonts w:eastAsiaTheme="majorEastAsia"/>
          <w:sz w:val="16"/>
          <w:szCs w:val="16"/>
        </w:rPr>
        <w:footnoteRef/>
      </w:r>
      <w:r w:rsidRPr="00A50FE7">
        <w:rPr>
          <w:sz w:val="16"/>
          <w:szCs w:val="16"/>
        </w:rPr>
        <w:t xml:space="preserve"> V prípade vkladov štátu sú tieto realizované prostredníctvom peňažných prostriedkov (najčastejšie použitím štátnych finančných aktív) alebo nepeňažným vkladom (napr. dlhodobým hmotným majetkom štátu).</w:t>
      </w:r>
      <w:r w:rsidRPr="00EA3399">
        <w:t xml:space="preserve"> </w:t>
      </w:r>
    </w:p>
  </w:footnote>
  <w:footnote w:id="28">
    <w:p w14:paraId="34D21D17" w14:textId="77777777" w:rsidR="001947F5" w:rsidRDefault="001947F5" w:rsidP="00FA1620">
      <w:pPr>
        <w:pStyle w:val="Textpoznmkypodiarou"/>
      </w:pPr>
      <w:r>
        <w:rPr>
          <w:rStyle w:val="Odkaznapoznmkupodiarou"/>
          <w:rFonts w:eastAsiaTheme="majorEastAsia"/>
        </w:rPr>
        <w:footnoteRef/>
      </w:r>
      <w:r>
        <w:t xml:space="preserve"> </w:t>
      </w:r>
      <w:r w:rsidRPr="0028122A">
        <w:rPr>
          <w:sz w:val="18"/>
          <w:szCs w:val="18"/>
        </w:rPr>
        <w:t xml:space="preserve">Zohľadňuje iba výsledný vplyv zlúčenia teplárenských podnikov pod nástupnícky podnik MH Teplárenský holding, </w:t>
      </w:r>
      <w:proofErr w:type="spellStart"/>
      <w:r w:rsidRPr="0028122A">
        <w:rPr>
          <w:sz w:val="18"/>
          <w:szCs w:val="18"/>
        </w:rPr>
        <w:t>a.s</w:t>
      </w:r>
      <w:proofErr w:type="spellEnd"/>
      <w:r w:rsidRPr="0028122A">
        <w:rPr>
          <w:sz w:val="18"/>
          <w:szCs w:val="18"/>
        </w:rPr>
        <w:t>.</w:t>
      </w:r>
    </w:p>
  </w:footnote>
  <w:footnote w:id="29">
    <w:p w14:paraId="7BB2D7F7" w14:textId="77777777" w:rsidR="001947F5" w:rsidRDefault="001947F5" w:rsidP="00FA1620">
      <w:pPr>
        <w:pStyle w:val="Textpoznmkypodiarou"/>
      </w:pPr>
      <w:r>
        <w:rPr>
          <w:rStyle w:val="Odkaznapoznmkupodiarou"/>
          <w:rFonts w:eastAsiaTheme="majorEastAsia"/>
        </w:rPr>
        <w:footnoteRef/>
      </w:r>
      <w:r>
        <w:t xml:space="preserve"> </w:t>
      </w:r>
      <w:r w:rsidRPr="00776F47">
        <w:rPr>
          <w:sz w:val="18"/>
          <w:szCs w:val="18"/>
        </w:rPr>
        <w:t>Nástroj na zabezpečenie peňažných tokov je v tomto prípade zvolená zmena reálnej hodnoty derivátového nástroja.</w:t>
      </w:r>
    </w:p>
  </w:footnote>
  <w:footnote w:id="30">
    <w:p w14:paraId="17140C0E" w14:textId="77777777" w:rsidR="001947F5" w:rsidRDefault="001947F5" w:rsidP="00FA1620">
      <w:pPr>
        <w:pStyle w:val="Textpoznmkypodiarou"/>
        <w:jc w:val="both"/>
      </w:pPr>
      <w:r>
        <w:rPr>
          <w:rStyle w:val="Odkaznapoznmkupodiarou"/>
          <w:rFonts w:eastAsiaTheme="majorEastAsia"/>
        </w:rPr>
        <w:footnoteRef/>
      </w:r>
      <w:r>
        <w:t xml:space="preserve"> </w:t>
      </w:r>
      <w:r w:rsidRPr="00C8084F">
        <w:rPr>
          <w:sz w:val="18"/>
          <w:szCs w:val="18"/>
        </w:rPr>
        <w:t xml:space="preserve">SE zabezpečuje peňažné toky z budúceho predaja produkcie elektriny voči riziku pohybu cien elektriny prostredníctvom predaja produkcie cez </w:t>
      </w:r>
      <w:proofErr w:type="spellStart"/>
      <w:r w:rsidRPr="00C8084F">
        <w:rPr>
          <w:sz w:val="18"/>
          <w:szCs w:val="18"/>
        </w:rPr>
        <w:t>forwardové</w:t>
      </w:r>
      <w:proofErr w:type="spellEnd"/>
      <w:r w:rsidRPr="00C8084F">
        <w:rPr>
          <w:sz w:val="18"/>
          <w:szCs w:val="18"/>
        </w:rPr>
        <w:t xml:space="preserve"> kontrakty</w:t>
      </w:r>
      <w:r>
        <w:rPr>
          <w:sz w:val="18"/>
          <w:szCs w:val="18"/>
        </w:rPr>
        <w:t>.</w:t>
      </w:r>
    </w:p>
  </w:footnote>
  <w:footnote w:id="31">
    <w:p w14:paraId="2D4419B3" w14:textId="1FF60367" w:rsidR="001947F5" w:rsidRDefault="001947F5">
      <w:pPr>
        <w:pStyle w:val="Textpoznmkypodiarou"/>
      </w:pPr>
      <w:r>
        <w:rPr>
          <w:rStyle w:val="Odkaznapoznmkupodiarou"/>
        </w:rPr>
        <w:footnoteRef/>
      </w:r>
      <w:r>
        <w:t xml:space="preserve"> </w:t>
      </w:r>
      <w:proofErr w:type="spellStart"/>
      <w:r w:rsidRPr="00653213">
        <w:rPr>
          <w:sz w:val="18"/>
          <w:szCs w:val="18"/>
        </w:rPr>
        <w:t>Baseload</w:t>
      </w:r>
      <w:proofErr w:type="spellEnd"/>
      <w:r w:rsidRPr="00653213">
        <w:rPr>
          <w:sz w:val="18"/>
          <w:szCs w:val="18"/>
        </w:rPr>
        <w:t xml:space="preserve"> produkt – spôsob</w:t>
      </w:r>
      <w:r>
        <w:rPr>
          <w:sz w:val="18"/>
          <w:szCs w:val="18"/>
        </w:rPr>
        <w:t xml:space="preserve"> pre</w:t>
      </w:r>
      <w:r w:rsidRPr="00653213">
        <w:rPr>
          <w:sz w:val="18"/>
          <w:szCs w:val="18"/>
        </w:rPr>
        <w:t xml:space="preserve"> </w:t>
      </w:r>
      <w:r>
        <w:rPr>
          <w:sz w:val="18"/>
          <w:szCs w:val="18"/>
        </w:rPr>
        <w:t>zaistenie</w:t>
      </w:r>
      <w:r w:rsidRPr="00653213">
        <w:rPr>
          <w:sz w:val="18"/>
          <w:szCs w:val="18"/>
        </w:rPr>
        <w:t xml:space="preserve"> rizik</w:t>
      </w:r>
      <w:r>
        <w:rPr>
          <w:sz w:val="18"/>
          <w:szCs w:val="18"/>
        </w:rPr>
        <w:t>a</w:t>
      </w:r>
      <w:r w:rsidRPr="00653213">
        <w:rPr>
          <w:sz w:val="18"/>
          <w:szCs w:val="18"/>
        </w:rPr>
        <w:t xml:space="preserve"> </w:t>
      </w:r>
      <w:r>
        <w:rPr>
          <w:sz w:val="18"/>
          <w:szCs w:val="18"/>
        </w:rPr>
        <w:t>daného</w:t>
      </w:r>
      <w:r w:rsidRPr="00653213">
        <w:rPr>
          <w:sz w:val="18"/>
          <w:szCs w:val="18"/>
        </w:rPr>
        <w:t xml:space="preserve"> pohybmi cien na trhu</w:t>
      </w:r>
      <w:r>
        <w:rPr>
          <w:sz w:val="18"/>
          <w:szCs w:val="18"/>
        </w:rPr>
        <w:t>.</w:t>
      </w:r>
    </w:p>
  </w:footnote>
  <w:footnote w:id="32">
    <w:p w14:paraId="0CFB80CD" w14:textId="00E58391" w:rsidR="001947F5" w:rsidRDefault="001947F5">
      <w:pPr>
        <w:pStyle w:val="Textpoznmkypodiarou"/>
      </w:pPr>
      <w:r>
        <w:rPr>
          <w:rStyle w:val="Odkaznapoznmkupodiarou"/>
        </w:rPr>
        <w:footnoteRef/>
      </w:r>
      <w:r>
        <w:t xml:space="preserve"> </w:t>
      </w:r>
      <w:r w:rsidRPr="0034112C">
        <w:rPr>
          <w:sz w:val="18"/>
          <w:szCs w:val="18"/>
        </w:rPr>
        <w:t>Precenenie zahŕňa v sebe zmenu stavu rezervy zo zabezpe</w:t>
      </w:r>
      <w:r w:rsidRPr="0034112C">
        <w:rPr>
          <w:rFonts w:hint="eastAsia"/>
          <w:sz w:val="18"/>
          <w:szCs w:val="18"/>
        </w:rPr>
        <w:t>č</w:t>
      </w:r>
      <w:r w:rsidRPr="0034112C">
        <w:rPr>
          <w:sz w:val="18"/>
          <w:szCs w:val="18"/>
        </w:rPr>
        <w:t>ovac</w:t>
      </w:r>
      <w:r w:rsidRPr="0034112C">
        <w:rPr>
          <w:rFonts w:hint="eastAsia"/>
          <w:sz w:val="18"/>
          <w:szCs w:val="18"/>
        </w:rPr>
        <w:t>í</w:t>
      </w:r>
      <w:r w:rsidRPr="0034112C">
        <w:rPr>
          <w:sz w:val="18"/>
          <w:szCs w:val="18"/>
        </w:rPr>
        <w:t>ch deriv</w:t>
      </w:r>
      <w:r w:rsidRPr="0034112C">
        <w:rPr>
          <w:rFonts w:hint="eastAsia"/>
          <w:sz w:val="18"/>
          <w:szCs w:val="18"/>
        </w:rPr>
        <w:t>á</w:t>
      </w:r>
      <w:r w:rsidRPr="0034112C">
        <w:rPr>
          <w:sz w:val="18"/>
          <w:szCs w:val="18"/>
        </w:rPr>
        <w:t>tov - kumulat</w:t>
      </w:r>
      <w:r w:rsidRPr="0034112C">
        <w:rPr>
          <w:rFonts w:hint="eastAsia"/>
          <w:sz w:val="18"/>
          <w:szCs w:val="18"/>
        </w:rPr>
        <w:t>í</w:t>
      </w:r>
      <w:r w:rsidRPr="0034112C">
        <w:rPr>
          <w:sz w:val="18"/>
          <w:szCs w:val="18"/>
        </w:rPr>
        <w:t xml:space="preserve">vna </w:t>
      </w:r>
      <w:r w:rsidRPr="0034112C">
        <w:rPr>
          <w:rFonts w:hint="eastAsia"/>
          <w:sz w:val="18"/>
          <w:szCs w:val="18"/>
        </w:rPr>
        <w:t>úč</w:t>
      </w:r>
      <w:r w:rsidRPr="0034112C">
        <w:rPr>
          <w:sz w:val="18"/>
          <w:szCs w:val="18"/>
        </w:rPr>
        <w:t xml:space="preserve">inná </w:t>
      </w:r>
      <w:r w:rsidRPr="0034112C">
        <w:rPr>
          <w:rFonts w:hint="eastAsia"/>
          <w:sz w:val="18"/>
          <w:szCs w:val="18"/>
        </w:rPr>
        <w:t>č</w:t>
      </w:r>
      <w:r w:rsidRPr="0034112C">
        <w:rPr>
          <w:sz w:val="18"/>
          <w:szCs w:val="18"/>
        </w:rPr>
        <w:t>as</w:t>
      </w:r>
      <w:r w:rsidRPr="0034112C">
        <w:rPr>
          <w:rFonts w:hint="eastAsia"/>
          <w:sz w:val="18"/>
          <w:szCs w:val="18"/>
        </w:rPr>
        <w:t>ť</w:t>
      </w:r>
      <w:r w:rsidRPr="0034112C">
        <w:rPr>
          <w:sz w:val="18"/>
          <w:szCs w:val="18"/>
        </w:rPr>
        <w:t xml:space="preserve"> ziskov alebo str</w:t>
      </w:r>
      <w:r w:rsidRPr="0034112C">
        <w:rPr>
          <w:rFonts w:hint="eastAsia"/>
          <w:sz w:val="18"/>
          <w:szCs w:val="18"/>
        </w:rPr>
        <w:t>á</w:t>
      </w:r>
      <w:r w:rsidRPr="0034112C">
        <w:rPr>
          <w:sz w:val="18"/>
          <w:szCs w:val="18"/>
        </w:rPr>
        <w:t>t vypl</w:t>
      </w:r>
      <w:r w:rsidRPr="0034112C">
        <w:rPr>
          <w:rFonts w:hint="eastAsia"/>
          <w:sz w:val="18"/>
          <w:szCs w:val="18"/>
        </w:rPr>
        <w:t>ý</w:t>
      </w:r>
      <w:r w:rsidRPr="0034112C">
        <w:rPr>
          <w:sz w:val="18"/>
          <w:szCs w:val="18"/>
        </w:rPr>
        <w:t>vaj</w:t>
      </w:r>
      <w:r w:rsidRPr="0034112C">
        <w:rPr>
          <w:rFonts w:hint="eastAsia"/>
          <w:sz w:val="18"/>
          <w:szCs w:val="18"/>
        </w:rPr>
        <w:t>ú</w:t>
      </w:r>
      <w:r w:rsidRPr="0034112C">
        <w:rPr>
          <w:sz w:val="18"/>
          <w:szCs w:val="18"/>
        </w:rPr>
        <w:t>ca zo zmeny re</w:t>
      </w:r>
      <w:r w:rsidRPr="0034112C">
        <w:rPr>
          <w:rFonts w:hint="eastAsia"/>
          <w:sz w:val="18"/>
          <w:szCs w:val="18"/>
        </w:rPr>
        <w:t>á</w:t>
      </w:r>
      <w:r w:rsidRPr="0034112C">
        <w:rPr>
          <w:sz w:val="18"/>
          <w:szCs w:val="18"/>
        </w:rPr>
        <w:t>lnej hodnoty zabezpe</w:t>
      </w:r>
      <w:r w:rsidRPr="0034112C">
        <w:rPr>
          <w:rFonts w:hint="eastAsia"/>
          <w:sz w:val="18"/>
          <w:szCs w:val="18"/>
        </w:rPr>
        <w:t>č</w:t>
      </w:r>
      <w:r w:rsidRPr="0034112C">
        <w:rPr>
          <w:sz w:val="18"/>
          <w:szCs w:val="18"/>
        </w:rPr>
        <w:t>ovac</w:t>
      </w:r>
      <w:r w:rsidRPr="0034112C">
        <w:rPr>
          <w:rFonts w:hint="eastAsia"/>
          <w:sz w:val="18"/>
          <w:szCs w:val="18"/>
        </w:rPr>
        <w:t>í</w:t>
      </w:r>
      <w:r w:rsidRPr="0034112C">
        <w:rPr>
          <w:sz w:val="18"/>
          <w:szCs w:val="18"/>
        </w:rPr>
        <w:t>ch n</w:t>
      </w:r>
      <w:r w:rsidRPr="0034112C">
        <w:rPr>
          <w:rFonts w:hint="eastAsia"/>
          <w:sz w:val="18"/>
          <w:szCs w:val="18"/>
        </w:rPr>
        <w:t>á</w:t>
      </w:r>
      <w:r w:rsidRPr="0034112C">
        <w:rPr>
          <w:sz w:val="18"/>
          <w:szCs w:val="18"/>
        </w:rPr>
        <w:t>strojov uzatvoren</w:t>
      </w:r>
      <w:r w:rsidRPr="0034112C">
        <w:rPr>
          <w:rFonts w:hint="eastAsia"/>
          <w:sz w:val="18"/>
          <w:szCs w:val="18"/>
        </w:rPr>
        <w:t>ý</w:t>
      </w:r>
      <w:r w:rsidRPr="0034112C">
        <w:rPr>
          <w:sz w:val="18"/>
          <w:szCs w:val="18"/>
        </w:rPr>
        <w:t>ch pre zabezpe</w:t>
      </w:r>
      <w:r w:rsidRPr="0034112C">
        <w:rPr>
          <w:rFonts w:hint="eastAsia"/>
          <w:sz w:val="18"/>
          <w:szCs w:val="18"/>
        </w:rPr>
        <w:t>č</w:t>
      </w:r>
      <w:r w:rsidRPr="0034112C">
        <w:rPr>
          <w:sz w:val="18"/>
          <w:szCs w:val="18"/>
        </w:rPr>
        <w:t>enie pe</w:t>
      </w:r>
      <w:r w:rsidRPr="0034112C">
        <w:rPr>
          <w:rFonts w:hint="eastAsia"/>
          <w:sz w:val="18"/>
          <w:szCs w:val="18"/>
        </w:rPr>
        <w:t>ň</w:t>
      </w:r>
      <w:r w:rsidRPr="0034112C">
        <w:rPr>
          <w:sz w:val="18"/>
          <w:szCs w:val="18"/>
        </w:rPr>
        <w:t>a</w:t>
      </w:r>
      <w:r w:rsidRPr="0034112C">
        <w:rPr>
          <w:rFonts w:hint="eastAsia"/>
          <w:sz w:val="18"/>
          <w:szCs w:val="18"/>
        </w:rPr>
        <w:t>ž</w:t>
      </w:r>
      <w:r w:rsidRPr="0034112C">
        <w:rPr>
          <w:sz w:val="18"/>
          <w:szCs w:val="18"/>
        </w:rPr>
        <w:t>n</w:t>
      </w:r>
      <w:r w:rsidRPr="0034112C">
        <w:rPr>
          <w:rFonts w:hint="eastAsia"/>
          <w:sz w:val="18"/>
          <w:szCs w:val="18"/>
        </w:rPr>
        <w:t>ý</w:t>
      </w:r>
      <w:r w:rsidRPr="0034112C">
        <w:rPr>
          <w:sz w:val="18"/>
          <w:szCs w:val="18"/>
        </w:rPr>
        <w:t>ch tokov.</w:t>
      </w:r>
    </w:p>
  </w:footnote>
  <w:footnote w:id="33">
    <w:p w14:paraId="557DD0D8" w14:textId="75A26FAD" w:rsidR="001947F5" w:rsidRDefault="001947F5">
      <w:pPr>
        <w:pStyle w:val="Textpoznmkypodiarou"/>
      </w:pPr>
      <w:r>
        <w:rPr>
          <w:rStyle w:val="Odkaznapoznmkupodiarou"/>
        </w:rPr>
        <w:footnoteRef/>
      </w:r>
      <w:r>
        <w:t xml:space="preserve"> </w:t>
      </w:r>
      <w:r>
        <w:rPr>
          <w:sz w:val="18"/>
          <w:szCs w:val="18"/>
        </w:rPr>
        <w:t>Z</w:t>
      </w:r>
      <w:r w:rsidRPr="00D7795A">
        <w:rPr>
          <w:sz w:val="18"/>
          <w:szCs w:val="18"/>
        </w:rPr>
        <w:t xml:space="preserve"> nej </w:t>
      </w:r>
      <w:proofErr w:type="spellStart"/>
      <w:r w:rsidRPr="00D7795A">
        <w:rPr>
          <w:sz w:val="18"/>
          <w:szCs w:val="18"/>
        </w:rPr>
        <w:t>superdividenda</w:t>
      </w:r>
      <w:proofErr w:type="spellEnd"/>
      <w:r w:rsidRPr="00D7795A">
        <w:rPr>
          <w:sz w:val="18"/>
          <w:szCs w:val="18"/>
        </w:rPr>
        <w:t xml:space="preserve"> bola vo výške 5</w:t>
      </w:r>
      <w:r>
        <w:rPr>
          <w:sz w:val="18"/>
          <w:szCs w:val="18"/>
        </w:rPr>
        <w:t>9</w:t>
      </w:r>
      <w:r w:rsidRPr="00D7795A">
        <w:rPr>
          <w:sz w:val="18"/>
          <w:szCs w:val="18"/>
        </w:rPr>
        <w:t xml:space="preserve"> </w:t>
      </w:r>
      <w:r>
        <w:rPr>
          <w:sz w:val="18"/>
          <w:szCs w:val="18"/>
        </w:rPr>
        <w:t>1</w:t>
      </w:r>
      <w:r w:rsidRPr="00D7795A">
        <w:rPr>
          <w:sz w:val="18"/>
          <w:szCs w:val="18"/>
        </w:rPr>
        <w:t>83 tis. eur a</w:t>
      </w:r>
      <w:r>
        <w:rPr>
          <w:sz w:val="18"/>
          <w:szCs w:val="18"/>
        </w:rPr>
        <w:t xml:space="preserve"> riadna </w:t>
      </w:r>
      <w:r w:rsidRPr="00D7795A">
        <w:rPr>
          <w:sz w:val="18"/>
          <w:szCs w:val="18"/>
        </w:rPr>
        <w:t>ESA dividenda bola za</w:t>
      </w:r>
      <w:r>
        <w:rPr>
          <w:sz w:val="18"/>
          <w:szCs w:val="18"/>
        </w:rPr>
        <w:t xml:space="preserve"> rok 2022 vykázaná vo výške 160 817 tis. </w:t>
      </w:r>
      <w:r w:rsidRPr="00D7795A">
        <w:rPr>
          <w:sz w:val="18"/>
          <w:szCs w:val="18"/>
        </w:rPr>
        <w:t>eur</w:t>
      </w:r>
      <w:r>
        <w:rPr>
          <w:sz w:val="18"/>
          <w:szCs w:val="18"/>
        </w:rPr>
        <w:t>. Priznané dividendy v roku 2022 boli na hotovostnom princípe uhradené do štátneho rozpočtu v marci 2023.</w:t>
      </w:r>
    </w:p>
  </w:footnote>
  <w:footnote w:id="34">
    <w:p w14:paraId="4A91C7C7" w14:textId="77777777" w:rsidR="001947F5" w:rsidRPr="0066019A" w:rsidRDefault="001947F5" w:rsidP="00FA1620">
      <w:pPr>
        <w:pStyle w:val="Textpoznmkypodiarou"/>
        <w:rPr>
          <w:sz w:val="16"/>
          <w:szCs w:val="16"/>
        </w:rPr>
      </w:pPr>
      <w:r w:rsidRPr="0066019A">
        <w:rPr>
          <w:rStyle w:val="Odkaznapoznmkupodiarou"/>
          <w:rFonts w:eastAsiaTheme="majorEastAsia"/>
          <w:sz w:val="16"/>
          <w:szCs w:val="16"/>
        </w:rPr>
        <w:footnoteRef/>
      </w:r>
      <w:r w:rsidRPr="0066019A">
        <w:rPr>
          <w:sz w:val="16"/>
          <w:szCs w:val="16"/>
        </w:rPr>
        <w:t xml:space="preserve"> Podľa oficiálnych údajov Štatistického úradu SR</w:t>
      </w:r>
    </w:p>
  </w:footnote>
  <w:footnote w:id="35">
    <w:p w14:paraId="72A4B5BE" w14:textId="77777777" w:rsidR="001947F5" w:rsidRPr="00111393" w:rsidRDefault="001947F5" w:rsidP="00DD0DA5">
      <w:pPr>
        <w:pStyle w:val="Textpoznmkypodiarou"/>
        <w:jc w:val="both"/>
        <w:rPr>
          <w:sz w:val="16"/>
          <w:szCs w:val="16"/>
        </w:rPr>
      </w:pPr>
      <w:r w:rsidRPr="00111393">
        <w:rPr>
          <w:rStyle w:val="Odkaznapoznmkupodiarou"/>
          <w:sz w:val="16"/>
          <w:szCs w:val="16"/>
        </w:rPr>
        <w:footnoteRef/>
      </w:r>
      <w:r w:rsidRPr="00111393">
        <w:rPr>
          <w:sz w:val="16"/>
          <w:szCs w:val="16"/>
        </w:rPr>
        <w:t xml:space="preserve"> </w:t>
      </w:r>
      <w:r>
        <w:rPr>
          <w:color w:val="000000"/>
          <w:sz w:val="16"/>
          <w:szCs w:val="16"/>
        </w:rPr>
        <w:t>Implicitné záväzky za rok 2022</w:t>
      </w:r>
      <w:r w:rsidRPr="00111393">
        <w:rPr>
          <w:color w:val="000000"/>
          <w:sz w:val="16"/>
          <w:szCs w:val="16"/>
        </w:rPr>
        <w:t xml:space="preserve"> </w:t>
      </w:r>
      <w:r>
        <w:rPr>
          <w:color w:val="000000"/>
          <w:sz w:val="16"/>
          <w:szCs w:val="16"/>
        </w:rPr>
        <w:t>zohľadňujú legislatívne zmeny prijaté Národnou radou SR do 31.12.2022</w:t>
      </w:r>
      <w:r w:rsidRPr="00111393">
        <w:rPr>
          <w:color w:val="000000"/>
          <w:sz w:val="16"/>
          <w:szCs w:val="16"/>
        </w:rPr>
        <w:t>.</w:t>
      </w:r>
    </w:p>
  </w:footnote>
  <w:footnote w:id="36">
    <w:p w14:paraId="33DD2ACB" w14:textId="77777777" w:rsidR="001947F5" w:rsidRPr="00D23DCB" w:rsidRDefault="001947F5" w:rsidP="00DD0DA5">
      <w:pPr>
        <w:spacing w:after="0" w:line="240" w:lineRule="auto"/>
        <w:jc w:val="both"/>
        <w:rPr>
          <w:i/>
          <w:iCs/>
          <w:sz w:val="16"/>
          <w:szCs w:val="16"/>
        </w:rPr>
      </w:pPr>
      <w:r w:rsidRPr="00111393">
        <w:rPr>
          <w:rStyle w:val="Odkaznapoznmkupodiarou"/>
          <w:color w:val="000000"/>
          <w:sz w:val="16"/>
          <w:szCs w:val="16"/>
        </w:rPr>
        <w:footnoteRef/>
      </w:r>
      <w:r w:rsidRPr="00111393">
        <w:rPr>
          <w:color w:val="000000"/>
          <w:sz w:val="16"/>
          <w:szCs w:val="16"/>
        </w:rPr>
        <w:t xml:space="preserve"> </w:t>
      </w:r>
      <w:r w:rsidRPr="00111393">
        <w:rPr>
          <w:sz w:val="16"/>
          <w:szCs w:val="16"/>
        </w:rPr>
        <w:t xml:space="preserve">Uvedené výsledky je zároveň potrebné interpretovať starostlivo. </w:t>
      </w:r>
      <w:r w:rsidRPr="00111393">
        <w:rPr>
          <w:iCs/>
          <w:color w:val="000000"/>
          <w:sz w:val="16"/>
          <w:szCs w:val="16"/>
        </w:rPr>
        <w:t>Pri výpočte implicitných záväzkov je potrebné brať do úvahy fakt, že hodnota implicitných záväzkov plynúcich zo starnutia</w:t>
      </w:r>
      <w:r w:rsidRPr="00111393">
        <w:rPr>
          <w:bCs/>
          <w:iCs/>
          <w:color w:val="000000"/>
          <w:sz w:val="16"/>
          <w:szCs w:val="16"/>
        </w:rPr>
        <w:t xml:space="preserve"> je vyjadrená v súčasnej hodnote a v pomere k aktuálnemu výkonu ekonomiky (% HDP)</w:t>
      </w:r>
      <w:r w:rsidRPr="00111393">
        <w:rPr>
          <w:iCs/>
          <w:color w:val="000000"/>
          <w:sz w:val="16"/>
          <w:szCs w:val="16"/>
        </w:rPr>
        <w:t xml:space="preserve">. </w:t>
      </w:r>
      <w:r w:rsidRPr="00111393">
        <w:rPr>
          <w:bCs/>
          <w:iCs/>
          <w:color w:val="000000"/>
          <w:sz w:val="16"/>
          <w:szCs w:val="16"/>
        </w:rPr>
        <w:t xml:space="preserve">Pozitívny efekt menovateľa z očakávaného rastu HDP v budúcnosti nie je v hodnote implicitných záväzkov zohľadnený. Zároveň, </w:t>
      </w:r>
      <w:r w:rsidRPr="00111393">
        <w:rPr>
          <w:sz w:val="16"/>
          <w:szCs w:val="16"/>
        </w:rPr>
        <w:t>neistota celkových implicitných záväzkov pramení aj z relatívne vysokej váhy posledného bodu projekcie, ktorý je základom pre odhad záväzkov v nekonečnom horizonte.</w:t>
      </w:r>
    </w:p>
  </w:footnote>
  <w:footnote w:id="37">
    <w:p w14:paraId="46BF6F75" w14:textId="77777777" w:rsidR="001947F5" w:rsidRPr="00740F1C" w:rsidRDefault="001947F5" w:rsidP="00DD0DA5">
      <w:pPr>
        <w:pStyle w:val="Textpoznmkypodiarou"/>
        <w:jc w:val="both"/>
        <w:rPr>
          <w:sz w:val="16"/>
          <w:szCs w:val="16"/>
        </w:rPr>
      </w:pPr>
      <w:r w:rsidRPr="00740F1C">
        <w:rPr>
          <w:rStyle w:val="Odkaznapoznmkupodiarou"/>
          <w:sz w:val="16"/>
          <w:szCs w:val="16"/>
        </w:rPr>
        <w:footnoteRef/>
      </w:r>
      <w:r w:rsidRPr="00740F1C">
        <w:rPr>
          <w:sz w:val="16"/>
          <w:szCs w:val="16"/>
        </w:rPr>
        <w:t xml:space="preserve"> V porovnaní s predchádzajúcim vyhodnotením implicitn</w:t>
      </w:r>
      <w:r>
        <w:rPr>
          <w:sz w:val="16"/>
          <w:szCs w:val="16"/>
        </w:rPr>
        <w:t>ých záväzkov pre SVS na rok 2021</w:t>
      </w:r>
      <w:r w:rsidRPr="00740F1C">
        <w:rPr>
          <w:sz w:val="16"/>
          <w:szCs w:val="16"/>
        </w:rPr>
        <w:t xml:space="preserve"> došlo k posunu sl</w:t>
      </w:r>
      <w:r>
        <w:rPr>
          <w:sz w:val="16"/>
          <w:szCs w:val="16"/>
        </w:rPr>
        <w:t>edovaného horizontu od 2022 do 2066</w:t>
      </w:r>
      <w:r w:rsidRPr="00740F1C">
        <w:rPr>
          <w:sz w:val="16"/>
          <w:szCs w:val="16"/>
        </w:rPr>
        <w:t>.</w:t>
      </w:r>
    </w:p>
  </w:footnote>
  <w:footnote w:id="38">
    <w:p w14:paraId="3923C0CF" w14:textId="77777777" w:rsidR="001947F5" w:rsidRPr="000655A6" w:rsidRDefault="001947F5" w:rsidP="00DD0DA5">
      <w:pPr>
        <w:pStyle w:val="Textpoznmkypodiarou"/>
        <w:jc w:val="both"/>
        <w:rPr>
          <w:sz w:val="16"/>
          <w:szCs w:val="16"/>
        </w:rPr>
      </w:pPr>
      <w:r w:rsidRPr="000655A6">
        <w:rPr>
          <w:rStyle w:val="Odkaznapoznmkupodiarou"/>
          <w:sz w:val="16"/>
          <w:szCs w:val="16"/>
        </w:rPr>
        <w:footnoteRef/>
      </w:r>
      <w:r w:rsidRPr="000655A6">
        <w:rPr>
          <w:sz w:val="16"/>
          <w:szCs w:val="16"/>
        </w:rPr>
        <w:t xml:space="preserve"> V roku 2021 </w:t>
      </w:r>
      <w:r>
        <w:rPr>
          <w:sz w:val="16"/>
          <w:szCs w:val="16"/>
        </w:rPr>
        <w:t xml:space="preserve">v rámci aktualizácie Správy o starnutí populácie skupiny AWG </w:t>
      </w:r>
      <w:r w:rsidRPr="000655A6">
        <w:rPr>
          <w:sz w:val="16"/>
          <w:szCs w:val="16"/>
        </w:rPr>
        <w:t>došlo k</w:t>
      </w:r>
      <w:r>
        <w:rPr>
          <w:sz w:val="16"/>
          <w:szCs w:val="16"/>
        </w:rPr>
        <w:t> úprave dlhodobých predpokladov úrokových mier Slovenska smerom nadol. Zmena</w:t>
      </w:r>
      <w:r w:rsidRPr="000655A6">
        <w:rPr>
          <w:sz w:val="16"/>
          <w:szCs w:val="16"/>
        </w:rPr>
        <w:t xml:space="preserve"> diskontného faktora, ktorá reflektovala na novú úroveň </w:t>
      </w:r>
      <w:r>
        <w:rPr>
          <w:sz w:val="16"/>
          <w:szCs w:val="16"/>
        </w:rPr>
        <w:t xml:space="preserve">nominálnej úrokovej miery mala </w:t>
      </w:r>
      <w:r w:rsidRPr="000655A6">
        <w:rPr>
          <w:sz w:val="16"/>
          <w:szCs w:val="16"/>
        </w:rPr>
        <w:t xml:space="preserve">v nekonečnom horizonte výrazne neintuitívny vplyv na primárne saldo. </w:t>
      </w:r>
      <w:r w:rsidRPr="00B128A2">
        <w:rPr>
          <w:sz w:val="16"/>
          <w:szCs w:val="16"/>
        </w:rPr>
        <w:t xml:space="preserve">Ministerstvo financií </w:t>
      </w:r>
      <w:r>
        <w:rPr>
          <w:sz w:val="16"/>
          <w:szCs w:val="16"/>
        </w:rPr>
        <w:t>preto od 2021 pristupuje ku kvantifikácii implicitných záväzkov</w:t>
      </w:r>
      <w:r w:rsidRPr="00B128A2">
        <w:rPr>
          <w:sz w:val="16"/>
          <w:szCs w:val="16"/>
        </w:rPr>
        <w:t xml:space="preserve"> výlučne na konečnom horizonte.</w:t>
      </w:r>
      <w:r>
        <w:rPr>
          <w:sz w:val="16"/>
          <w:szCs w:val="16"/>
        </w:rPr>
        <w:t xml:space="preserve"> </w:t>
      </w:r>
      <w:r w:rsidRPr="000655A6">
        <w:rPr>
          <w:sz w:val="16"/>
          <w:szCs w:val="16"/>
        </w:rPr>
        <w:t xml:space="preserve">Viac informácií k technickej zmene </w:t>
      </w:r>
      <w:r>
        <w:rPr>
          <w:sz w:val="16"/>
          <w:szCs w:val="16"/>
        </w:rPr>
        <w:t>je možné ná</w:t>
      </w:r>
      <w:r w:rsidRPr="000655A6">
        <w:rPr>
          <w:sz w:val="16"/>
          <w:szCs w:val="16"/>
        </w:rPr>
        <w:t>jsť</w:t>
      </w:r>
      <w:r>
        <w:rPr>
          <w:sz w:val="16"/>
          <w:szCs w:val="16"/>
        </w:rPr>
        <w:t xml:space="preserve"> v</w:t>
      </w:r>
      <w:r w:rsidRPr="000655A6">
        <w:rPr>
          <w:sz w:val="16"/>
          <w:szCs w:val="16"/>
        </w:rPr>
        <w:t xml:space="preserve"> </w:t>
      </w:r>
      <w:hyperlink r:id="rId5" w:anchor="page=53" w:history="1">
        <w:r>
          <w:rPr>
            <w:rStyle w:val="Hypertextovprepojenie"/>
            <w:sz w:val="16"/>
            <w:szCs w:val="16"/>
          </w:rPr>
          <w:t>Prílohe 5 (BOX 1) rozpočtu verejnej správy</w:t>
        </w:r>
      </w:hyperlink>
      <w:r w:rsidRPr="000655A6">
        <w:rPr>
          <w:sz w:val="16"/>
          <w:szCs w:val="16"/>
        </w:rPr>
        <w:t>.</w:t>
      </w:r>
    </w:p>
  </w:footnote>
  <w:footnote w:id="39">
    <w:p w14:paraId="2BA88EDB" w14:textId="77777777" w:rsidR="001947F5" w:rsidRPr="000655A6" w:rsidRDefault="001947F5" w:rsidP="00DD0DA5">
      <w:pPr>
        <w:pStyle w:val="Textpoznmkypodiarou"/>
        <w:jc w:val="both"/>
        <w:rPr>
          <w:sz w:val="16"/>
          <w:szCs w:val="16"/>
        </w:rPr>
      </w:pPr>
      <w:r w:rsidRPr="000655A6">
        <w:rPr>
          <w:rStyle w:val="Odkaznapoznmkupodiarou"/>
          <w:sz w:val="16"/>
          <w:szCs w:val="16"/>
        </w:rPr>
        <w:footnoteRef/>
      </w:r>
      <w:r w:rsidRPr="000655A6">
        <w:rPr>
          <w:sz w:val="16"/>
          <w:szCs w:val="16"/>
        </w:rPr>
        <w:t xml:space="preserve"> Výška implicitných záväzkov aktuálne zahŕňa všetky položky citlivé na starnutie obyvateľstva pri využití rovnakého prístupu. Na zabránenie duplicitného započítania v čistom bohatstve boli zároveň výsluhové dôchodky silových zložiek vylúčené z vlastného imania súhrnného celku verejnej správy, a to vo výške účtovnej rezervy tvorenej na zamestnanecké požitky vykázanej v súvahe Ministerstva financií SR.</w:t>
      </w:r>
    </w:p>
  </w:footnote>
  <w:footnote w:id="40">
    <w:p w14:paraId="7C7D303C" w14:textId="77777777" w:rsidR="001947F5" w:rsidRDefault="001947F5" w:rsidP="00DD0DA5">
      <w:pPr>
        <w:pStyle w:val="Textpoznmkypodiarou"/>
        <w:jc w:val="both"/>
      </w:pPr>
      <w:r w:rsidRPr="000655A6">
        <w:rPr>
          <w:rStyle w:val="Odkaznapoznmkupodiarou"/>
          <w:sz w:val="16"/>
          <w:szCs w:val="16"/>
        </w:rPr>
        <w:footnoteRef/>
      </w:r>
      <w:r w:rsidRPr="000655A6">
        <w:rPr>
          <w:sz w:val="16"/>
          <w:szCs w:val="16"/>
        </w:rPr>
        <w:t xml:space="preserve"> Pri projektoch rýchlostnej cesty R1 a novom projekte výstavby väzenského zariadenia do roku 2041 a pri projekte D4/R7 do roku 2050.</w:t>
      </w:r>
    </w:p>
  </w:footnote>
  <w:footnote w:id="41">
    <w:p w14:paraId="69B07557" w14:textId="77777777" w:rsidR="001947F5" w:rsidRPr="00846B5C" w:rsidRDefault="001947F5" w:rsidP="00DD0DA5">
      <w:pPr>
        <w:pStyle w:val="Textpoznmkypodiarou"/>
        <w:jc w:val="both"/>
        <w:rPr>
          <w:sz w:val="16"/>
          <w:szCs w:val="16"/>
        </w:rPr>
      </w:pPr>
      <w:r w:rsidRPr="00846B5C">
        <w:rPr>
          <w:rStyle w:val="Odkaznapoznmkupodiarou"/>
          <w:sz w:val="16"/>
          <w:szCs w:val="16"/>
        </w:rPr>
        <w:footnoteRef/>
      </w:r>
      <w:r w:rsidRPr="00846B5C">
        <w:rPr>
          <w:sz w:val="16"/>
          <w:szCs w:val="16"/>
        </w:rPr>
        <w:t xml:space="preserve"> Schéma bola aktualizovaná o nové údaje o očakávaných príjmoch a nákladoch Národ</w:t>
      </w:r>
      <w:r>
        <w:rPr>
          <w:sz w:val="16"/>
          <w:szCs w:val="16"/>
        </w:rPr>
        <w:t>ného jadrového fondu</w:t>
      </w:r>
      <w:r w:rsidRPr="00846B5C">
        <w:rPr>
          <w:sz w:val="16"/>
          <w:szCs w:val="16"/>
        </w:rPr>
        <w:t>.</w:t>
      </w:r>
    </w:p>
  </w:footnote>
  <w:footnote w:id="42">
    <w:p w14:paraId="31927B13" w14:textId="77777777" w:rsidR="001947F5" w:rsidRPr="00846B5C" w:rsidRDefault="001947F5" w:rsidP="00DD0DA5">
      <w:pPr>
        <w:autoSpaceDE w:val="0"/>
        <w:autoSpaceDN w:val="0"/>
        <w:adjustRightInd w:val="0"/>
        <w:spacing w:after="0" w:line="240" w:lineRule="auto"/>
        <w:jc w:val="both"/>
        <w:rPr>
          <w:sz w:val="16"/>
          <w:szCs w:val="16"/>
        </w:rPr>
      </w:pPr>
      <w:r w:rsidRPr="009E09F0">
        <w:rPr>
          <w:rStyle w:val="Odkaznapoznmkupodiarou"/>
          <w:sz w:val="16"/>
          <w:szCs w:val="16"/>
        </w:rPr>
        <w:footnoteRef/>
      </w:r>
      <w:r w:rsidRPr="00846B5C">
        <w:rPr>
          <w:sz w:val="16"/>
          <w:szCs w:val="16"/>
        </w:rPr>
        <w:t xml:space="preserve"> Na základe údajov </w:t>
      </w:r>
      <w:r>
        <w:rPr>
          <w:sz w:val="16"/>
          <w:szCs w:val="16"/>
        </w:rPr>
        <w:t>z výročných správ</w:t>
      </w:r>
      <w:r w:rsidRPr="00846B5C">
        <w:rPr>
          <w:sz w:val="16"/>
          <w:szCs w:val="16"/>
        </w:rPr>
        <w:t> NJF. Implicitný záväzok súvisiaci s Národným jadrovým fondom vyplýva z financovania vyraďovania</w:t>
      </w:r>
      <w:r>
        <w:rPr>
          <w:sz w:val="16"/>
          <w:szCs w:val="16"/>
        </w:rPr>
        <w:t xml:space="preserve"> jadrových </w:t>
      </w:r>
      <w:r w:rsidRPr="00846B5C">
        <w:rPr>
          <w:sz w:val="16"/>
          <w:szCs w:val="16"/>
        </w:rPr>
        <w:t>zariadení. Veľkosť budúcich nákladov výraznejšie porastie kvôli zvyšujúcim sa nákladom na skladovanie a likvidáciu jadrového odpadu. Avšak v celom horizonte, najmä vďaka kumulujúcemu sa prebytku fondu v prvých dekádach, je vplyv Národného jadrového fondu kladný</w:t>
      </w:r>
      <w:r>
        <w:rPr>
          <w:sz w:val="16"/>
          <w:szCs w:val="16"/>
        </w:rPr>
        <w:t>.</w:t>
      </w:r>
    </w:p>
  </w:footnote>
  <w:footnote w:id="43">
    <w:p w14:paraId="5B885407" w14:textId="77777777" w:rsidR="001947F5" w:rsidRDefault="001947F5" w:rsidP="00DD0DA5">
      <w:pPr>
        <w:pStyle w:val="Textpoznmkypodiarou"/>
        <w:jc w:val="both"/>
      </w:pPr>
      <w:r w:rsidRPr="00A107AA">
        <w:rPr>
          <w:rStyle w:val="Odkaznapoznmkupodiarou"/>
          <w:sz w:val="16"/>
          <w:szCs w:val="16"/>
        </w:rPr>
        <w:footnoteRef/>
      </w:r>
      <w:r w:rsidRPr="00A107AA">
        <w:rPr>
          <w:sz w:val="16"/>
          <w:szCs w:val="16"/>
        </w:rPr>
        <w:t xml:space="preserve"> Diskusia sa vedie o nových karbónových daniach na CO</w:t>
      </w:r>
      <w:r w:rsidRPr="007104A0">
        <w:rPr>
          <w:sz w:val="16"/>
          <w:szCs w:val="16"/>
          <w:vertAlign w:val="subscript"/>
        </w:rPr>
        <w:t>2</w:t>
      </w:r>
      <w:r w:rsidRPr="00A107AA">
        <w:rPr>
          <w:sz w:val="16"/>
          <w:szCs w:val="16"/>
        </w:rPr>
        <w:t>, cezhraničných daniach na špecifický import, či digitálnej dani.</w:t>
      </w:r>
    </w:p>
  </w:footnote>
  <w:footnote w:id="44">
    <w:p w14:paraId="50C9F5F7" w14:textId="77777777" w:rsidR="001947F5" w:rsidRPr="00786A01" w:rsidRDefault="001947F5" w:rsidP="001768B9">
      <w:pPr>
        <w:pStyle w:val="Textpoznmkypodiarou"/>
        <w:jc w:val="both"/>
        <w:rPr>
          <w:sz w:val="16"/>
          <w:szCs w:val="16"/>
        </w:rPr>
      </w:pPr>
      <w:r w:rsidRPr="00786A01">
        <w:rPr>
          <w:rStyle w:val="Odkaznapoznmkupodiarou"/>
          <w:sz w:val="16"/>
          <w:szCs w:val="16"/>
        </w:rPr>
        <w:footnoteRef/>
      </w:r>
      <w:r w:rsidRPr="00786A01">
        <w:rPr>
          <w:sz w:val="16"/>
          <w:szCs w:val="16"/>
        </w:rPr>
        <w:t xml:space="preserve"> Na  základe internej analýzy metodík a prístupov k podmieneným záväzkom a analýzy konkrétnych prípadov v účtovných závierkach subjektov, ktorú vykonalo Ministerstvo financií SR v roku 2021, sa ako podmienené záväzky nevykazujú napríklad deklarované kapitálové výdavky na obstaranie infraštruktúry, zmeny z aplikácie účtovných štandardov, podsúvahové položky majetku</w:t>
      </w:r>
      <w:r>
        <w:rPr>
          <w:sz w:val="16"/>
          <w:szCs w:val="16"/>
        </w:rPr>
        <w:t xml:space="preserve"> v úschove, majetok v nájme</w:t>
      </w:r>
      <w:r w:rsidRPr="00786A01">
        <w:rPr>
          <w:sz w:val="16"/>
          <w:szCs w:val="16"/>
        </w:rPr>
        <w:t>.</w:t>
      </w:r>
      <w:r>
        <w:rPr>
          <w:sz w:val="16"/>
          <w:szCs w:val="16"/>
        </w:rPr>
        <w:t xml:space="preserve"> Ide o položky, ktoré svojou povahou nezvyšujú čisté bohatstvo v danom čase. Napríklad spomenuté investičné výdavky resp. rozpočet kapitálových výdavkov, </w:t>
      </w:r>
      <w:proofErr w:type="spellStart"/>
      <w:r>
        <w:rPr>
          <w:sz w:val="16"/>
          <w:szCs w:val="16"/>
        </w:rPr>
        <w:t>zazmluvnené</w:t>
      </w:r>
      <w:proofErr w:type="spellEnd"/>
      <w:r>
        <w:rPr>
          <w:sz w:val="16"/>
          <w:szCs w:val="16"/>
        </w:rPr>
        <w:t xml:space="preserve"> kontrakty s dodávateľom sa najprv zhmotnia vo výdavkoch (odliv finančných prostriedkov) a následne v prírastku majetku. Ide teda o zmenu štruktúry majetku, kedy sa finančné prostriedky menia na hmotný či nehmotný majetok. Obdobne majetok v nájme či v úschove nie je vlastníctvom danej organizácie, preto nezvyšuje čisté bohatstvo do momentu zmeny vlastníctva.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381C" w14:textId="407B1BBF" w:rsidR="001947F5" w:rsidRDefault="001947F5" w:rsidP="00254DF2">
    <w:pPr>
      <w:pStyle w:val="Hlavika"/>
      <w:pBdr>
        <w:bottom w:val="thickThinSmallGap" w:sz="24" w:space="1" w:color="622423"/>
      </w:pBdr>
      <w:tabs>
        <w:tab w:val="clear" w:pos="4536"/>
        <w:tab w:val="clear" w:pos="9072"/>
      </w:tabs>
      <w:ind w:right="-1"/>
      <w:jc w:val="center"/>
      <w:rPr>
        <w:i/>
        <w:color w:val="C00000"/>
        <w:sz w:val="24"/>
        <w:szCs w:val="24"/>
      </w:rPr>
    </w:pPr>
    <w:r>
      <w:rPr>
        <w:i/>
        <w:color w:val="C00000"/>
        <w:sz w:val="24"/>
        <w:szCs w:val="24"/>
      </w:rPr>
      <w:t>S</w:t>
    </w:r>
    <w:r w:rsidRPr="00012A0B">
      <w:rPr>
        <w:i/>
        <w:color w:val="C00000"/>
        <w:sz w:val="24"/>
        <w:szCs w:val="24"/>
      </w:rPr>
      <w:t xml:space="preserve">úhrnná výročná správa </w:t>
    </w:r>
    <w:r>
      <w:rPr>
        <w:i/>
        <w:color w:val="C00000"/>
        <w:sz w:val="24"/>
        <w:szCs w:val="24"/>
      </w:rPr>
      <w:t>Slovenskej republiky za rok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280685C"/>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0E2A4D"/>
    <w:multiLevelType w:val="hybridMultilevel"/>
    <w:tmpl w:val="CA280294"/>
    <w:lvl w:ilvl="0" w:tplc="BE625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5F6B6D"/>
    <w:multiLevelType w:val="multilevel"/>
    <w:tmpl w:val="870C39CC"/>
    <w:lvl w:ilvl="0">
      <w:start w:val="2"/>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288" w:hanging="720"/>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12D6907"/>
    <w:multiLevelType w:val="hybridMultilevel"/>
    <w:tmpl w:val="1AA2032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1475E54"/>
    <w:multiLevelType w:val="hybridMultilevel"/>
    <w:tmpl w:val="C74ADA0A"/>
    <w:lvl w:ilvl="0" w:tplc="BE62524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055ED0"/>
    <w:multiLevelType w:val="multilevel"/>
    <w:tmpl w:val="4A0C010C"/>
    <w:lvl w:ilvl="0">
      <w:start w:val="3"/>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6" w15:restartNumberingAfterBreak="0">
    <w:nsid w:val="264F716B"/>
    <w:multiLevelType w:val="hybridMultilevel"/>
    <w:tmpl w:val="E38854B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A78098D"/>
    <w:multiLevelType w:val="hybridMultilevel"/>
    <w:tmpl w:val="D59E86A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21C33"/>
    <w:multiLevelType w:val="multilevel"/>
    <w:tmpl w:val="13C82368"/>
    <w:lvl w:ilvl="0">
      <w:start w:val="3"/>
      <w:numFmt w:val="decimal"/>
      <w:lvlText w:val="%1."/>
      <w:lvlJc w:val="left"/>
      <w:pPr>
        <w:ind w:left="540" w:hanging="540"/>
      </w:pPr>
      <w:rPr>
        <w:rFonts w:cs="Times New Roman" w:hint="default"/>
      </w:rPr>
    </w:lvl>
    <w:lvl w:ilvl="1">
      <w:start w:val="2"/>
      <w:numFmt w:val="decimal"/>
      <w:lvlText w:val="%1.%2."/>
      <w:lvlJc w:val="left"/>
      <w:pPr>
        <w:ind w:left="1080" w:hanging="54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30C65790"/>
    <w:multiLevelType w:val="multilevel"/>
    <w:tmpl w:val="E1A891B0"/>
    <w:lvl w:ilvl="0">
      <w:start w:val="2"/>
      <w:numFmt w:val="decimal"/>
      <w:lvlText w:val="%1."/>
      <w:lvlJc w:val="left"/>
      <w:pPr>
        <w:ind w:left="504" w:hanging="504"/>
      </w:pPr>
      <w:rPr>
        <w:rFonts w:hint="default"/>
      </w:rPr>
    </w:lvl>
    <w:lvl w:ilvl="1">
      <w:start w:val="3"/>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3B324DA"/>
    <w:multiLevelType w:val="hybridMultilevel"/>
    <w:tmpl w:val="D7ACA2DC"/>
    <w:lvl w:ilvl="0" w:tplc="7638C0A2">
      <w:start w:val="1"/>
      <w:numFmt w:val="decimal"/>
      <w:lvlText w:val="%1)"/>
      <w:lvlJc w:val="left"/>
      <w:pPr>
        <w:ind w:left="720" w:hanging="360"/>
      </w:pPr>
      <w:rPr>
        <w:rFonts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E15F01"/>
    <w:multiLevelType w:val="multilevel"/>
    <w:tmpl w:val="703290C8"/>
    <w:lvl w:ilvl="0">
      <w:start w:val="3"/>
      <w:numFmt w:val="decimal"/>
      <w:lvlText w:val="%1."/>
      <w:lvlJc w:val="left"/>
      <w:pPr>
        <w:ind w:left="540" w:hanging="540"/>
      </w:pPr>
      <w:rPr>
        <w:rFonts w:cs="Times New Roman" w:hint="default"/>
      </w:rPr>
    </w:lvl>
    <w:lvl w:ilvl="1">
      <w:start w:val="2"/>
      <w:numFmt w:val="decimal"/>
      <w:lvlText w:val="%1.%2."/>
      <w:lvlJc w:val="left"/>
      <w:pPr>
        <w:ind w:left="1080" w:hanging="540"/>
      </w:pPr>
      <w:rPr>
        <w:rFonts w:cs="Times New Roman" w:hint="default"/>
      </w:rPr>
    </w:lvl>
    <w:lvl w:ilvl="2">
      <w:start w:val="6"/>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15:restartNumberingAfterBreak="0">
    <w:nsid w:val="391510D9"/>
    <w:multiLevelType w:val="hybridMultilevel"/>
    <w:tmpl w:val="7E96B9A2"/>
    <w:lvl w:ilvl="0" w:tplc="2704447A">
      <w:start w:val="1"/>
      <w:numFmt w:val="bullet"/>
      <w:lvlText w:val=""/>
      <w:lvlJc w:val="left"/>
      <w:pPr>
        <w:ind w:left="1417" w:hanging="360"/>
      </w:pPr>
      <w:rPr>
        <w:rFonts w:ascii="Wingdings" w:hAnsi="Wingdings" w:hint="default"/>
        <w:color w:val="auto"/>
      </w:rPr>
    </w:lvl>
    <w:lvl w:ilvl="1" w:tplc="041B0003" w:tentative="1">
      <w:start w:val="1"/>
      <w:numFmt w:val="bullet"/>
      <w:lvlText w:val="o"/>
      <w:lvlJc w:val="left"/>
      <w:pPr>
        <w:ind w:left="2137" w:hanging="360"/>
      </w:pPr>
      <w:rPr>
        <w:rFonts w:ascii="Courier New" w:hAnsi="Courier New" w:cs="Courier New" w:hint="default"/>
      </w:rPr>
    </w:lvl>
    <w:lvl w:ilvl="2" w:tplc="041B0005" w:tentative="1">
      <w:start w:val="1"/>
      <w:numFmt w:val="bullet"/>
      <w:lvlText w:val=""/>
      <w:lvlJc w:val="left"/>
      <w:pPr>
        <w:ind w:left="2857" w:hanging="360"/>
      </w:pPr>
      <w:rPr>
        <w:rFonts w:ascii="Wingdings" w:hAnsi="Wingdings" w:hint="default"/>
      </w:rPr>
    </w:lvl>
    <w:lvl w:ilvl="3" w:tplc="041B0001" w:tentative="1">
      <w:start w:val="1"/>
      <w:numFmt w:val="bullet"/>
      <w:lvlText w:val=""/>
      <w:lvlJc w:val="left"/>
      <w:pPr>
        <w:ind w:left="3577" w:hanging="360"/>
      </w:pPr>
      <w:rPr>
        <w:rFonts w:ascii="Symbol" w:hAnsi="Symbol" w:hint="default"/>
      </w:rPr>
    </w:lvl>
    <w:lvl w:ilvl="4" w:tplc="041B0003" w:tentative="1">
      <w:start w:val="1"/>
      <w:numFmt w:val="bullet"/>
      <w:lvlText w:val="o"/>
      <w:lvlJc w:val="left"/>
      <w:pPr>
        <w:ind w:left="4297" w:hanging="360"/>
      </w:pPr>
      <w:rPr>
        <w:rFonts w:ascii="Courier New" w:hAnsi="Courier New" w:cs="Courier New" w:hint="default"/>
      </w:rPr>
    </w:lvl>
    <w:lvl w:ilvl="5" w:tplc="041B0005" w:tentative="1">
      <w:start w:val="1"/>
      <w:numFmt w:val="bullet"/>
      <w:lvlText w:val=""/>
      <w:lvlJc w:val="left"/>
      <w:pPr>
        <w:ind w:left="5017" w:hanging="360"/>
      </w:pPr>
      <w:rPr>
        <w:rFonts w:ascii="Wingdings" w:hAnsi="Wingdings" w:hint="default"/>
      </w:rPr>
    </w:lvl>
    <w:lvl w:ilvl="6" w:tplc="041B0001" w:tentative="1">
      <w:start w:val="1"/>
      <w:numFmt w:val="bullet"/>
      <w:lvlText w:val=""/>
      <w:lvlJc w:val="left"/>
      <w:pPr>
        <w:ind w:left="5737" w:hanging="360"/>
      </w:pPr>
      <w:rPr>
        <w:rFonts w:ascii="Symbol" w:hAnsi="Symbol" w:hint="default"/>
      </w:rPr>
    </w:lvl>
    <w:lvl w:ilvl="7" w:tplc="041B0003" w:tentative="1">
      <w:start w:val="1"/>
      <w:numFmt w:val="bullet"/>
      <w:lvlText w:val="o"/>
      <w:lvlJc w:val="left"/>
      <w:pPr>
        <w:ind w:left="6457" w:hanging="360"/>
      </w:pPr>
      <w:rPr>
        <w:rFonts w:ascii="Courier New" w:hAnsi="Courier New" w:cs="Courier New" w:hint="default"/>
      </w:rPr>
    </w:lvl>
    <w:lvl w:ilvl="8" w:tplc="041B0005" w:tentative="1">
      <w:start w:val="1"/>
      <w:numFmt w:val="bullet"/>
      <w:lvlText w:val=""/>
      <w:lvlJc w:val="left"/>
      <w:pPr>
        <w:ind w:left="7177" w:hanging="360"/>
      </w:pPr>
      <w:rPr>
        <w:rFonts w:ascii="Wingdings" w:hAnsi="Wingdings" w:hint="default"/>
      </w:rPr>
    </w:lvl>
  </w:abstractNum>
  <w:abstractNum w:abstractNumId="13" w15:restartNumberingAfterBreak="0">
    <w:nsid w:val="39A52251"/>
    <w:multiLevelType w:val="hybridMultilevel"/>
    <w:tmpl w:val="18C8F18E"/>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AB567E1"/>
    <w:multiLevelType w:val="hybridMultilevel"/>
    <w:tmpl w:val="4370832E"/>
    <w:lvl w:ilvl="0" w:tplc="041B0017">
      <w:start w:val="1"/>
      <w:numFmt w:val="lowerLetter"/>
      <w:pStyle w:val="abc"/>
      <w:lvlText w:val="%1)"/>
      <w:lvlJc w:val="left"/>
      <w:pPr>
        <w:tabs>
          <w:tab w:val="num" w:pos="465"/>
        </w:tabs>
        <w:ind w:left="465" w:hanging="465"/>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595A28"/>
    <w:multiLevelType w:val="hybridMultilevel"/>
    <w:tmpl w:val="F0DCB748"/>
    <w:lvl w:ilvl="0" w:tplc="041B0005">
      <w:start w:val="1"/>
      <w:numFmt w:val="bullet"/>
      <w:lvlText w:val=""/>
      <w:lvlJc w:val="left"/>
      <w:pPr>
        <w:ind w:left="502" w:hanging="360"/>
      </w:pPr>
      <w:rPr>
        <w:rFonts w:ascii="Wingdings" w:hAnsi="Wingdings" w:hint="default"/>
      </w:rPr>
    </w:lvl>
    <w:lvl w:ilvl="1" w:tplc="041B0003" w:tentative="1">
      <w:start w:val="1"/>
      <w:numFmt w:val="bullet"/>
      <w:lvlText w:val="o"/>
      <w:lvlJc w:val="left"/>
      <w:pPr>
        <w:ind w:left="1222" w:hanging="360"/>
      </w:pPr>
      <w:rPr>
        <w:rFonts w:ascii="Courier New" w:hAnsi="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6" w15:restartNumberingAfterBreak="0">
    <w:nsid w:val="45411497"/>
    <w:multiLevelType w:val="multilevel"/>
    <w:tmpl w:val="D700DAC4"/>
    <w:lvl w:ilvl="0">
      <w:start w:val="3"/>
      <w:numFmt w:val="decimal"/>
      <w:lvlText w:val="%1."/>
      <w:lvlJc w:val="left"/>
      <w:pPr>
        <w:ind w:left="540" w:hanging="540"/>
      </w:pPr>
      <w:rPr>
        <w:rFonts w:cs="Times New Roman" w:hint="default"/>
      </w:rPr>
    </w:lvl>
    <w:lvl w:ilvl="1">
      <w:start w:val="2"/>
      <w:numFmt w:val="decimal"/>
      <w:lvlText w:val="%1.%2."/>
      <w:lvlJc w:val="left"/>
      <w:pPr>
        <w:ind w:left="1080" w:hanging="540"/>
      </w:pPr>
      <w:rPr>
        <w:rFonts w:cs="Times New Roman" w:hint="default"/>
      </w:rPr>
    </w:lvl>
    <w:lvl w:ilvl="2">
      <w:start w:val="5"/>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7" w15:restartNumberingAfterBreak="0">
    <w:nsid w:val="4E58412A"/>
    <w:multiLevelType w:val="hybridMultilevel"/>
    <w:tmpl w:val="DE389CF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94373F"/>
    <w:multiLevelType w:val="hybridMultilevel"/>
    <w:tmpl w:val="643EFE7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73717BE"/>
    <w:multiLevelType w:val="hybridMultilevel"/>
    <w:tmpl w:val="5A6C39B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2260DD"/>
    <w:multiLevelType w:val="multilevel"/>
    <w:tmpl w:val="F3E419C0"/>
    <w:lvl w:ilvl="0">
      <w:start w:val="3"/>
      <w:numFmt w:val="decimal"/>
      <w:lvlText w:val="%1"/>
      <w:lvlJc w:val="left"/>
      <w:pPr>
        <w:ind w:left="480" w:hanging="480"/>
      </w:pPr>
      <w:rPr>
        <w:rFonts w:cs="Times New Roman" w:hint="default"/>
      </w:rPr>
    </w:lvl>
    <w:lvl w:ilvl="1">
      <w:start w:val="2"/>
      <w:numFmt w:val="decimal"/>
      <w:pStyle w:val="Nadpis2"/>
      <w:lvlText w:val="%1.%2"/>
      <w:lvlJc w:val="left"/>
      <w:pPr>
        <w:ind w:left="1020" w:hanging="480"/>
      </w:pPr>
      <w:rPr>
        <w:rFonts w:cs="Times New Roman" w:hint="default"/>
      </w:rPr>
    </w:lvl>
    <w:lvl w:ilvl="2">
      <w:start w:val="3"/>
      <w:numFmt w:val="decimal"/>
      <w:pStyle w:val="Nadpis3"/>
      <w:lvlText w:val="%1.%2.%3"/>
      <w:lvlJc w:val="left"/>
      <w:pPr>
        <w:ind w:left="5681"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5760" w:hanging="1440"/>
      </w:pPr>
      <w:rPr>
        <w:rFonts w:cs="Times New Roman" w:hint="default"/>
      </w:rPr>
    </w:lvl>
  </w:abstractNum>
  <w:abstractNum w:abstractNumId="21" w15:restartNumberingAfterBreak="0">
    <w:nsid w:val="5A621F18"/>
    <w:multiLevelType w:val="hybridMultilevel"/>
    <w:tmpl w:val="251ABD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1161A3"/>
    <w:multiLevelType w:val="multilevel"/>
    <w:tmpl w:val="4A981EF6"/>
    <w:lvl w:ilvl="0">
      <w:start w:val="1"/>
      <w:numFmt w:val="decimal"/>
      <w:pStyle w:val="Nadpis1"/>
      <w:lvlText w:val="%1."/>
      <w:lvlJc w:val="left"/>
      <w:pPr>
        <w:ind w:left="1495" w:hanging="360"/>
      </w:pPr>
      <w:rPr>
        <w:rFonts w:cs="Times New Roman" w:hint="default"/>
      </w:rPr>
    </w:lvl>
    <w:lvl w:ilvl="1">
      <w:start w:val="1"/>
      <w:numFmt w:val="decimal"/>
      <w:isLgl/>
      <w:lvlText w:val="%1.%2."/>
      <w:lvlJc w:val="left"/>
      <w:pPr>
        <w:ind w:left="8014"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36"/>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23" w15:restartNumberingAfterBreak="0">
    <w:nsid w:val="5F85346E"/>
    <w:multiLevelType w:val="hybridMultilevel"/>
    <w:tmpl w:val="24BEE03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F9C1DFC"/>
    <w:multiLevelType w:val="hybridMultilevel"/>
    <w:tmpl w:val="8450934A"/>
    <w:lvl w:ilvl="0" w:tplc="44B8B4AA">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3381E7F"/>
    <w:multiLevelType w:val="hybridMultilevel"/>
    <w:tmpl w:val="55E6E59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63A1450"/>
    <w:multiLevelType w:val="hybridMultilevel"/>
    <w:tmpl w:val="E8B406F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42409D"/>
    <w:multiLevelType w:val="hybridMultilevel"/>
    <w:tmpl w:val="0018F6C2"/>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6F4A40FA"/>
    <w:multiLevelType w:val="hybridMultilevel"/>
    <w:tmpl w:val="B11E3C4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4A47639"/>
    <w:multiLevelType w:val="hybridMultilevel"/>
    <w:tmpl w:val="488EFF90"/>
    <w:lvl w:ilvl="0" w:tplc="617C48F4">
      <w:start w:val="1"/>
      <w:numFmt w:val="decimal"/>
      <w:lvlText w:val="%1)"/>
      <w:lvlJc w:val="left"/>
      <w:pPr>
        <w:ind w:left="720" w:hanging="360"/>
      </w:pPr>
      <w:rPr>
        <w:rFonts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CE0331"/>
    <w:multiLevelType w:val="hybridMultilevel"/>
    <w:tmpl w:val="1A48B20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A544B48"/>
    <w:multiLevelType w:val="hybridMultilevel"/>
    <w:tmpl w:val="BB6805EE"/>
    <w:lvl w:ilvl="0" w:tplc="2ED296A6">
      <w:start w:val="7"/>
      <w:numFmt w:val="bullet"/>
      <w:pStyle w:val="AUODRAKA"/>
      <w:lvlText w:val=""/>
      <w:lvlJc w:val="left"/>
      <w:pPr>
        <w:tabs>
          <w:tab w:val="num" w:pos="284"/>
        </w:tabs>
        <w:ind w:left="284" w:hanging="284"/>
      </w:pPr>
      <w:rPr>
        <w:rFonts w:ascii="Symbol" w:hAnsi="Symbol" w:hint="default"/>
        <w:b/>
        <w:i w:val="0"/>
        <w:color w:val="auto"/>
        <w:sz w:val="24"/>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
  </w:num>
  <w:num w:numId="4">
    <w:abstractNumId w:val="14"/>
  </w:num>
  <w:num w:numId="5">
    <w:abstractNumId w:val="31"/>
  </w:num>
  <w:num w:numId="6">
    <w:abstractNumId w:val="0"/>
  </w:num>
  <w:num w:numId="7">
    <w:abstractNumId w:val="26"/>
  </w:num>
  <w:num w:numId="8">
    <w:abstractNumId w:val="3"/>
  </w:num>
  <w:num w:numId="9">
    <w:abstractNumId w:val="27"/>
  </w:num>
  <w:num w:numId="10">
    <w:abstractNumId w:val="6"/>
  </w:num>
  <w:num w:numId="11">
    <w:abstractNumId w:val="7"/>
  </w:num>
  <w:num w:numId="12">
    <w:abstractNumId w:val="23"/>
  </w:num>
  <w:num w:numId="13">
    <w:abstractNumId w:val="8"/>
  </w:num>
  <w:num w:numId="14">
    <w:abstractNumId w:val="11"/>
  </w:num>
  <w:num w:numId="15">
    <w:abstractNumId w:val="16"/>
  </w:num>
  <w:num w:numId="16">
    <w:abstractNumId w:val="5"/>
  </w:num>
  <w:num w:numId="17">
    <w:abstractNumId w:val="9"/>
  </w:num>
  <w:num w:numId="18">
    <w:abstractNumId w:val="21"/>
  </w:num>
  <w:num w:numId="19">
    <w:abstractNumId w:val="18"/>
  </w:num>
  <w:num w:numId="20">
    <w:abstractNumId w:val="28"/>
  </w:num>
  <w:num w:numId="21">
    <w:abstractNumId w:val="17"/>
  </w:num>
  <w:num w:numId="22">
    <w:abstractNumId w:val="19"/>
  </w:num>
  <w:num w:numId="23">
    <w:abstractNumId w:val="20"/>
  </w:num>
  <w:num w:numId="24">
    <w:abstractNumId w:val="12"/>
  </w:num>
  <w:num w:numId="25">
    <w:abstractNumId w:val="13"/>
  </w:num>
  <w:num w:numId="26">
    <w:abstractNumId w:val="30"/>
  </w:num>
  <w:num w:numId="27">
    <w:abstractNumId w:val="10"/>
  </w:num>
  <w:num w:numId="28">
    <w:abstractNumId w:val="4"/>
  </w:num>
  <w:num w:numId="29">
    <w:abstractNumId w:val="24"/>
  </w:num>
  <w:num w:numId="30">
    <w:abstractNumId w:val="1"/>
  </w:num>
  <w:num w:numId="31">
    <w:abstractNumId w:val="25"/>
  </w:num>
  <w:num w:numId="3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mirrorMargins/>
  <w:hideGrammaticalError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505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6C"/>
    <w:rsid w:val="000002C2"/>
    <w:rsid w:val="00000538"/>
    <w:rsid w:val="00000D78"/>
    <w:rsid w:val="00002917"/>
    <w:rsid w:val="00002BBE"/>
    <w:rsid w:val="00002C13"/>
    <w:rsid w:val="00002FDB"/>
    <w:rsid w:val="0000319C"/>
    <w:rsid w:val="000033EA"/>
    <w:rsid w:val="0000346C"/>
    <w:rsid w:val="00003A48"/>
    <w:rsid w:val="00003EAF"/>
    <w:rsid w:val="00003F36"/>
    <w:rsid w:val="000042C7"/>
    <w:rsid w:val="0000435D"/>
    <w:rsid w:val="00004469"/>
    <w:rsid w:val="0000481F"/>
    <w:rsid w:val="00004915"/>
    <w:rsid w:val="00004950"/>
    <w:rsid w:val="000054CB"/>
    <w:rsid w:val="00005C66"/>
    <w:rsid w:val="00005C86"/>
    <w:rsid w:val="0000684D"/>
    <w:rsid w:val="00007076"/>
    <w:rsid w:val="00007D5C"/>
    <w:rsid w:val="000101AF"/>
    <w:rsid w:val="00010479"/>
    <w:rsid w:val="0001053C"/>
    <w:rsid w:val="00010811"/>
    <w:rsid w:val="00010E4A"/>
    <w:rsid w:val="00010FCC"/>
    <w:rsid w:val="0001132C"/>
    <w:rsid w:val="000119E5"/>
    <w:rsid w:val="00012A0B"/>
    <w:rsid w:val="00012B32"/>
    <w:rsid w:val="00012EC9"/>
    <w:rsid w:val="00014315"/>
    <w:rsid w:val="00015EC4"/>
    <w:rsid w:val="00016328"/>
    <w:rsid w:val="00016DC1"/>
    <w:rsid w:val="00017D21"/>
    <w:rsid w:val="00020FB9"/>
    <w:rsid w:val="000214D6"/>
    <w:rsid w:val="00021605"/>
    <w:rsid w:val="00021651"/>
    <w:rsid w:val="00022328"/>
    <w:rsid w:val="0002242E"/>
    <w:rsid w:val="0002262E"/>
    <w:rsid w:val="000231EB"/>
    <w:rsid w:val="00024B0D"/>
    <w:rsid w:val="00024E6F"/>
    <w:rsid w:val="000253C4"/>
    <w:rsid w:val="000253F1"/>
    <w:rsid w:val="00025A00"/>
    <w:rsid w:val="00026749"/>
    <w:rsid w:val="00026828"/>
    <w:rsid w:val="0002698B"/>
    <w:rsid w:val="00026F0C"/>
    <w:rsid w:val="00027116"/>
    <w:rsid w:val="00027721"/>
    <w:rsid w:val="00027F18"/>
    <w:rsid w:val="0003038A"/>
    <w:rsid w:val="000305C5"/>
    <w:rsid w:val="00030A36"/>
    <w:rsid w:val="00030A6A"/>
    <w:rsid w:val="00031168"/>
    <w:rsid w:val="00031788"/>
    <w:rsid w:val="00031892"/>
    <w:rsid w:val="000318C9"/>
    <w:rsid w:val="00032127"/>
    <w:rsid w:val="00032419"/>
    <w:rsid w:val="00032740"/>
    <w:rsid w:val="00032BCF"/>
    <w:rsid w:val="00033B28"/>
    <w:rsid w:val="00034156"/>
    <w:rsid w:val="000347E8"/>
    <w:rsid w:val="000352E6"/>
    <w:rsid w:val="000352EA"/>
    <w:rsid w:val="00036696"/>
    <w:rsid w:val="00036E63"/>
    <w:rsid w:val="00036E81"/>
    <w:rsid w:val="00037AA9"/>
    <w:rsid w:val="000410D6"/>
    <w:rsid w:val="00041CD3"/>
    <w:rsid w:val="00041E12"/>
    <w:rsid w:val="00042600"/>
    <w:rsid w:val="00042AFD"/>
    <w:rsid w:val="00042DE1"/>
    <w:rsid w:val="00042DE4"/>
    <w:rsid w:val="000432A6"/>
    <w:rsid w:val="000433E5"/>
    <w:rsid w:val="000437EA"/>
    <w:rsid w:val="000438E5"/>
    <w:rsid w:val="0004421D"/>
    <w:rsid w:val="0004434D"/>
    <w:rsid w:val="0004438B"/>
    <w:rsid w:val="00044525"/>
    <w:rsid w:val="00044687"/>
    <w:rsid w:val="00045447"/>
    <w:rsid w:val="000454D8"/>
    <w:rsid w:val="00047EDA"/>
    <w:rsid w:val="000500D5"/>
    <w:rsid w:val="000501DB"/>
    <w:rsid w:val="0005096F"/>
    <w:rsid w:val="000511B5"/>
    <w:rsid w:val="000518B3"/>
    <w:rsid w:val="00051A2B"/>
    <w:rsid w:val="00051C9A"/>
    <w:rsid w:val="0005286D"/>
    <w:rsid w:val="00052A68"/>
    <w:rsid w:val="00053609"/>
    <w:rsid w:val="000548EA"/>
    <w:rsid w:val="00055F5C"/>
    <w:rsid w:val="00056165"/>
    <w:rsid w:val="00056320"/>
    <w:rsid w:val="0005634A"/>
    <w:rsid w:val="00056451"/>
    <w:rsid w:val="000565C3"/>
    <w:rsid w:val="000568BD"/>
    <w:rsid w:val="00056E18"/>
    <w:rsid w:val="00057CF7"/>
    <w:rsid w:val="00057FBA"/>
    <w:rsid w:val="000606A7"/>
    <w:rsid w:val="00060CA3"/>
    <w:rsid w:val="00061DBD"/>
    <w:rsid w:val="000620F9"/>
    <w:rsid w:val="00062AF5"/>
    <w:rsid w:val="00062DC2"/>
    <w:rsid w:val="000638D7"/>
    <w:rsid w:val="00064921"/>
    <w:rsid w:val="00065110"/>
    <w:rsid w:val="000654D9"/>
    <w:rsid w:val="00065880"/>
    <w:rsid w:val="00066452"/>
    <w:rsid w:val="00066880"/>
    <w:rsid w:val="00066FAE"/>
    <w:rsid w:val="000671B7"/>
    <w:rsid w:val="00067252"/>
    <w:rsid w:val="00067757"/>
    <w:rsid w:val="00067F7E"/>
    <w:rsid w:val="00070899"/>
    <w:rsid w:val="000709D3"/>
    <w:rsid w:val="00070B5D"/>
    <w:rsid w:val="0007122D"/>
    <w:rsid w:val="00071A59"/>
    <w:rsid w:val="00071DAB"/>
    <w:rsid w:val="0007201B"/>
    <w:rsid w:val="000720E8"/>
    <w:rsid w:val="000722EF"/>
    <w:rsid w:val="000728EB"/>
    <w:rsid w:val="00072FFE"/>
    <w:rsid w:val="00073842"/>
    <w:rsid w:val="00073EB1"/>
    <w:rsid w:val="00073FFD"/>
    <w:rsid w:val="00074028"/>
    <w:rsid w:val="00074976"/>
    <w:rsid w:val="00075C44"/>
    <w:rsid w:val="00076535"/>
    <w:rsid w:val="0007714F"/>
    <w:rsid w:val="000774FD"/>
    <w:rsid w:val="000775A2"/>
    <w:rsid w:val="00080B3C"/>
    <w:rsid w:val="0008186C"/>
    <w:rsid w:val="00081E83"/>
    <w:rsid w:val="0008237F"/>
    <w:rsid w:val="0008314B"/>
    <w:rsid w:val="000832C3"/>
    <w:rsid w:val="00083D09"/>
    <w:rsid w:val="00083E71"/>
    <w:rsid w:val="00084506"/>
    <w:rsid w:val="00084794"/>
    <w:rsid w:val="00084F17"/>
    <w:rsid w:val="0008572B"/>
    <w:rsid w:val="00085B2E"/>
    <w:rsid w:val="00085E85"/>
    <w:rsid w:val="00085FC1"/>
    <w:rsid w:val="0008612E"/>
    <w:rsid w:val="0008767D"/>
    <w:rsid w:val="00090B79"/>
    <w:rsid w:val="0009176B"/>
    <w:rsid w:val="00091ABA"/>
    <w:rsid w:val="00091E16"/>
    <w:rsid w:val="00092A25"/>
    <w:rsid w:val="00093C11"/>
    <w:rsid w:val="00093D22"/>
    <w:rsid w:val="00093EE7"/>
    <w:rsid w:val="000942AF"/>
    <w:rsid w:val="00094682"/>
    <w:rsid w:val="00094B9B"/>
    <w:rsid w:val="00095B15"/>
    <w:rsid w:val="00095D11"/>
    <w:rsid w:val="00095F27"/>
    <w:rsid w:val="00096F7A"/>
    <w:rsid w:val="00096FC8"/>
    <w:rsid w:val="000971DB"/>
    <w:rsid w:val="0009732B"/>
    <w:rsid w:val="000A0D79"/>
    <w:rsid w:val="000A357C"/>
    <w:rsid w:val="000A4644"/>
    <w:rsid w:val="000A46FC"/>
    <w:rsid w:val="000A4965"/>
    <w:rsid w:val="000A4BFC"/>
    <w:rsid w:val="000A5316"/>
    <w:rsid w:val="000A5B20"/>
    <w:rsid w:val="000A5BA9"/>
    <w:rsid w:val="000A7290"/>
    <w:rsid w:val="000A758D"/>
    <w:rsid w:val="000B02C3"/>
    <w:rsid w:val="000B04FB"/>
    <w:rsid w:val="000B0946"/>
    <w:rsid w:val="000B0AD0"/>
    <w:rsid w:val="000B178F"/>
    <w:rsid w:val="000B1899"/>
    <w:rsid w:val="000B1F01"/>
    <w:rsid w:val="000B1F5C"/>
    <w:rsid w:val="000B2004"/>
    <w:rsid w:val="000B39AF"/>
    <w:rsid w:val="000B4000"/>
    <w:rsid w:val="000B4414"/>
    <w:rsid w:val="000B447F"/>
    <w:rsid w:val="000B4538"/>
    <w:rsid w:val="000B4541"/>
    <w:rsid w:val="000B4D4A"/>
    <w:rsid w:val="000B4E19"/>
    <w:rsid w:val="000B5079"/>
    <w:rsid w:val="000B5FA3"/>
    <w:rsid w:val="000B776B"/>
    <w:rsid w:val="000C0942"/>
    <w:rsid w:val="000C098E"/>
    <w:rsid w:val="000C0AF4"/>
    <w:rsid w:val="000C0F7D"/>
    <w:rsid w:val="000C12AE"/>
    <w:rsid w:val="000C2F69"/>
    <w:rsid w:val="000C3213"/>
    <w:rsid w:val="000C3860"/>
    <w:rsid w:val="000C47D2"/>
    <w:rsid w:val="000C4948"/>
    <w:rsid w:val="000C5C02"/>
    <w:rsid w:val="000C5E1C"/>
    <w:rsid w:val="000C6A66"/>
    <w:rsid w:val="000C6BC7"/>
    <w:rsid w:val="000D1395"/>
    <w:rsid w:val="000D1B7E"/>
    <w:rsid w:val="000D2962"/>
    <w:rsid w:val="000D3333"/>
    <w:rsid w:val="000D358B"/>
    <w:rsid w:val="000D360D"/>
    <w:rsid w:val="000D3A03"/>
    <w:rsid w:val="000D3B05"/>
    <w:rsid w:val="000D3B2D"/>
    <w:rsid w:val="000D3CB0"/>
    <w:rsid w:val="000D4131"/>
    <w:rsid w:val="000D420F"/>
    <w:rsid w:val="000D55E2"/>
    <w:rsid w:val="000D5870"/>
    <w:rsid w:val="000D598D"/>
    <w:rsid w:val="000D6362"/>
    <w:rsid w:val="000D6907"/>
    <w:rsid w:val="000D6986"/>
    <w:rsid w:val="000D6BF1"/>
    <w:rsid w:val="000D77CC"/>
    <w:rsid w:val="000E08CC"/>
    <w:rsid w:val="000E08D0"/>
    <w:rsid w:val="000E0D02"/>
    <w:rsid w:val="000E1502"/>
    <w:rsid w:val="000E205C"/>
    <w:rsid w:val="000E228D"/>
    <w:rsid w:val="000E2A71"/>
    <w:rsid w:val="000E2AC5"/>
    <w:rsid w:val="000E3D24"/>
    <w:rsid w:val="000E40C9"/>
    <w:rsid w:val="000E4520"/>
    <w:rsid w:val="000E499C"/>
    <w:rsid w:val="000E5BF0"/>
    <w:rsid w:val="000E5F16"/>
    <w:rsid w:val="000E6304"/>
    <w:rsid w:val="000E6732"/>
    <w:rsid w:val="000E683F"/>
    <w:rsid w:val="000E69D1"/>
    <w:rsid w:val="000E6B59"/>
    <w:rsid w:val="000E6B8D"/>
    <w:rsid w:val="000E712E"/>
    <w:rsid w:val="000E7880"/>
    <w:rsid w:val="000F021A"/>
    <w:rsid w:val="000F0772"/>
    <w:rsid w:val="000F1128"/>
    <w:rsid w:val="000F19DE"/>
    <w:rsid w:val="000F1CED"/>
    <w:rsid w:val="000F21DB"/>
    <w:rsid w:val="000F23AE"/>
    <w:rsid w:val="000F23F1"/>
    <w:rsid w:val="000F2548"/>
    <w:rsid w:val="000F28E0"/>
    <w:rsid w:val="000F3056"/>
    <w:rsid w:val="000F366E"/>
    <w:rsid w:val="000F41C7"/>
    <w:rsid w:val="000F42D3"/>
    <w:rsid w:val="000F4ED4"/>
    <w:rsid w:val="000F5C34"/>
    <w:rsid w:val="000F5C53"/>
    <w:rsid w:val="000F5C91"/>
    <w:rsid w:val="000F5EC3"/>
    <w:rsid w:val="000F5F5B"/>
    <w:rsid w:val="000F61CA"/>
    <w:rsid w:val="000F623B"/>
    <w:rsid w:val="000F6836"/>
    <w:rsid w:val="000F7DFE"/>
    <w:rsid w:val="001009CC"/>
    <w:rsid w:val="00100DED"/>
    <w:rsid w:val="00101B73"/>
    <w:rsid w:val="00101C61"/>
    <w:rsid w:val="00102430"/>
    <w:rsid w:val="00102646"/>
    <w:rsid w:val="001026B8"/>
    <w:rsid w:val="0010281C"/>
    <w:rsid w:val="00103920"/>
    <w:rsid w:val="00103E2F"/>
    <w:rsid w:val="00104D10"/>
    <w:rsid w:val="00105389"/>
    <w:rsid w:val="00105529"/>
    <w:rsid w:val="00105F45"/>
    <w:rsid w:val="00106D60"/>
    <w:rsid w:val="00107454"/>
    <w:rsid w:val="00110DB4"/>
    <w:rsid w:val="00110FEB"/>
    <w:rsid w:val="0011103E"/>
    <w:rsid w:val="001115E9"/>
    <w:rsid w:val="0011258A"/>
    <w:rsid w:val="001127E9"/>
    <w:rsid w:val="00113AFE"/>
    <w:rsid w:val="00113FCF"/>
    <w:rsid w:val="00114233"/>
    <w:rsid w:val="001146E1"/>
    <w:rsid w:val="001147D5"/>
    <w:rsid w:val="00114B1C"/>
    <w:rsid w:val="0011506F"/>
    <w:rsid w:val="00115D0B"/>
    <w:rsid w:val="00116347"/>
    <w:rsid w:val="00117D0F"/>
    <w:rsid w:val="00117DCA"/>
    <w:rsid w:val="00117E23"/>
    <w:rsid w:val="00117EF0"/>
    <w:rsid w:val="0012017D"/>
    <w:rsid w:val="00120194"/>
    <w:rsid w:val="001205A3"/>
    <w:rsid w:val="00120D7D"/>
    <w:rsid w:val="001215F3"/>
    <w:rsid w:val="0012246F"/>
    <w:rsid w:val="0012264F"/>
    <w:rsid w:val="001226BB"/>
    <w:rsid w:val="00122D4E"/>
    <w:rsid w:val="0012357B"/>
    <w:rsid w:val="00124052"/>
    <w:rsid w:val="00124551"/>
    <w:rsid w:val="0012459D"/>
    <w:rsid w:val="0012462B"/>
    <w:rsid w:val="00124887"/>
    <w:rsid w:val="00125626"/>
    <w:rsid w:val="00125DEF"/>
    <w:rsid w:val="00125FD4"/>
    <w:rsid w:val="00126FD6"/>
    <w:rsid w:val="001272A3"/>
    <w:rsid w:val="00130163"/>
    <w:rsid w:val="00130B45"/>
    <w:rsid w:val="00130F05"/>
    <w:rsid w:val="00131380"/>
    <w:rsid w:val="00131EDB"/>
    <w:rsid w:val="00132739"/>
    <w:rsid w:val="00132E70"/>
    <w:rsid w:val="00133489"/>
    <w:rsid w:val="00133BBF"/>
    <w:rsid w:val="00133CA5"/>
    <w:rsid w:val="00133D38"/>
    <w:rsid w:val="00134B24"/>
    <w:rsid w:val="001350E4"/>
    <w:rsid w:val="001351DA"/>
    <w:rsid w:val="0013579C"/>
    <w:rsid w:val="001359D0"/>
    <w:rsid w:val="00135AB2"/>
    <w:rsid w:val="00135B55"/>
    <w:rsid w:val="00135CC5"/>
    <w:rsid w:val="00135D67"/>
    <w:rsid w:val="00136B64"/>
    <w:rsid w:val="00136DED"/>
    <w:rsid w:val="0013769A"/>
    <w:rsid w:val="0014080D"/>
    <w:rsid w:val="00140B01"/>
    <w:rsid w:val="001410E9"/>
    <w:rsid w:val="00141EC5"/>
    <w:rsid w:val="0014208C"/>
    <w:rsid w:val="001432F3"/>
    <w:rsid w:val="00143A46"/>
    <w:rsid w:val="00143F28"/>
    <w:rsid w:val="00144672"/>
    <w:rsid w:val="0014562C"/>
    <w:rsid w:val="00145919"/>
    <w:rsid w:val="001460F5"/>
    <w:rsid w:val="0014699A"/>
    <w:rsid w:val="0014715B"/>
    <w:rsid w:val="00147917"/>
    <w:rsid w:val="001500DF"/>
    <w:rsid w:val="00150511"/>
    <w:rsid w:val="00150887"/>
    <w:rsid w:val="001508C7"/>
    <w:rsid w:val="00150A76"/>
    <w:rsid w:val="001513E2"/>
    <w:rsid w:val="00151939"/>
    <w:rsid w:val="00151B15"/>
    <w:rsid w:val="00152621"/>
    <w:rsid w:val="00152880"/>
    <w:rsid w:val="00152E3C"/>
    <w:rsid w:val="0015481D"/>
    <w:rsid w:val="00154B2E"/>
    <w:rsid w:val="00155A35"/>
    <w:rsid w:val="001571EA"/>
    <w:rsid w:val="0015751D"/>
    <w:rsid w:val="00157FF1"/>
    <w:rsid w:val="0016158F"/>
    <w:rsid w:val="001616C1"/>
    <w:rsid w:val="00161C86"/>
    <w:rsid w:val="001622AD"/>
    <w:rsid w:val="00162D79"/>
    <w:rsid w:val="00163EDD"/>
    <w:rsid w:val="001648BB"/>
    <w:rsid w:val="001649FB"/>
    <w:rsid w:val="00165641"/>
    <w:rsid w:val="00165C61"/>
    <w:rsid w:val="0016687F"/>
    <w:rsid w:val="00166C0F"/>
    <w:rsid w:val="00166F71"/>
    <w:rsid w:val="001670B8"/>
    <w:rsid w:val="00167781"/>
    <w:rsid w:val="00167C30"/>
    <w:rsid w:val="00167EE7"/>
    <w:rsid w:val="00170393"/>
    <w:rsid w:val="00171087"/>
    <w:rsid w:val="00171C26"/>
    <w:rsid w:val="00172120"/>
    <w:rsid w:val="00172308"/>
    <w:rsid w:val="00172824"/>
    <w:rsid w:val="00173299"/>
    <w:rsid w:val="00173460"/>
    <w:rsid w:val="001735E5"/>
    <w:rsid w:val="00173851"/>
    <w:rsid w:val="001767F0"/>
    <w:rsid w:val="001768B9"/>
    <w:rsid w:val="00177E04"/>
    <w:rsid w:val="00180732"/>
    <w:rsid w:val="0018178F"/>
    <w:rsid w:val="00181949"/>
    <w:rsid w:val="001835B0"/>
    <w:rsid w:val="00183829"/>
    <w:rsid w:val="00183A1F"/>
    <w:rsid w:val="00183EB7"/>
    <w:rsid w:val="00183F38"/>
    <w:rsid w:val="00183FF7"/>
    <w:rsid w:val="0018421F"/>
    <w:rsid w:val="001848F4"/>
    <w:rsid w:val="00184A1B"/>
    <w:rsid w:val="001850BC"/>
    <w:rsid w:val="00185751"/>
    <w:rsid w:val="00185CDE"/>
    <w:rsid w:val="001878CA"/>
    <w:rsid w:val="001909A1"/>
    <w:rsid w:val="00191267"/>
    <w:rsid w:val="00192B61"/>
    <w:rsid w:val="00192E1A"/>
    <w:rsid w:val="00193E1B"/>
    <w:rsid w:val="001941DB"/>
    <w:rsid w:val="001946A9"/>
    <w:rsid w:val="001947F5"/>
    <w:rsid w:val="00194D2D"/>
    <w:rsid w:val="0019505E"/>
    <w:rsid w:val="001959A0"/>
    <w:rsid w:val="001960E5"/>
    <w:rsid w:val="001965CA"/>
    <w:rsid w:val="00196FE5"/>
    <w:rsid w:val="001A02CC"/>
    <w:rsid w:val="001A1209"/>
    <w:rsid w:val="001A19AE"/>
    <w:rsid w:val="001A1ADE"/>
    <w:rsid w:val="001A251B"/>
    <w:rsid w:val="001A3017"/>
    <w:rsid w:val="001A30B1"/>
    <w:rsid w:val="001A30B7"/>
    <w:rsid w:val="001A356F"/>
    <w:rsid w:val="001A3635"/>
    <w:rsid w:val="001A3A40"/>
    <w:rsid w:val="001A4984"/>
    <w:rsid w:val="001A50F9"/>
    <w:rsid w:val="001A59FB"/>
    <w:rsid w:val="001A5C4F"/>
    <w:rsid w:val="001A5ED5"/>
    <w:rsid w:val="001A638C"/>
    <w:rsid w:val="001A687D"/>
    <w:rsid w:val="001A6892"/>
    <w:rsid w:val="001A6DE0"/>
    <w:rsid w:val="001A70B5"/>
    <w:rsid w:val="001B0452"/>
    <w:rsid w:val="001B083A"/>
    <w:rsid w:val="001B1F0E"/>
    <w:rsid w:val="001B1F32"/>
    <w:rsid w:val="001B2399"/>
    <w:rsid w:val="001B2A89"/>
    <w:rsid w:val="001B34EE"/>
    <w:rsid w:val="001B3856"/>
    <w:rsid w:val="001B4DFC"/>
    <w:rsid w:val="001B4EA0"/>
    <w:rsid w:val="001B57D2"/>
    <w:rsid w:val="001B5F32"/>
    <w:rsid w:val="001B674A"/>
    <w:rsid w:val="001B68C3"/>
    <w:rsid w:val="001B76A7"/>
    <w:rsid w:val="001C04FD"/>
    <w:rsid w:val="001C0B35"/>
    <w:rsid w:val="001C12E3"/>
    <w:rsid w:val="001C159E"/>
    <w:rsid w:val="001C1A34"/>
    <w:rsid w:val="001C2148"/>
    <w:rsid w:val="001C3DA8"/>
    <w:rsid w:val="001C3E48"/>
    <w:rsid w:val="001C3F52"/>
    <w:rsid w:val="001C4414"/>
    <w:rsid w:val="001C54FA"/>
    <w:rsid w:val="001C5592"/>
    <w:rsid w:val="001C5889"/>
    <w:rsid w:val="001C5FED"/>
    <w:rsid w:val="001C61AA"/>
    <w:rsid w:val="001C77DD"/>
    <w:rsid w:val="001C7922"/>
    <w:rsid w:val="001C7991"/>
    <w:rsid w:val="001D01D5"/>
    <w:rsid w:val="001D04D3"/>
    <w:rsid w:val="001D0E44"/>
    <w:rsid w:val="001D3593"/>
    <w:rsid w:val="001D373A"/>
    <w:rsid w:val="001D385F"/>
    <w:rsid w:val="001D3BB3"/>
    <w:rsid w:val="001D4302"/>
    <w:rsid w:val="001D45CC"/>
    <w:rsid w:val="001D48A0"/>
    <w:rsid w:val="001D4C33"/>
    <w:rsid w:val="001D5A20"/>
    <w:rsid w:val="001D6D92"/>
    <w:rsid w:val="001D77FC"/>
    <w:rsid w:val="001E0DB6"/>
    <w:rsid w:val="001E11A6"/>
    <w:rsid w:val="001E14FC"/>
    <w:rsid w:val="001E15B5"/>
    <w:rsid w:val="001E1FB8"/>
    <w:rsid w:val="001E1FD8"/>
    <w:rsid w:val="001E2307"/>
    <w:rsid w:val="001E2DE5"/>
    <w:rsid w:val="001E3D96"/>
    <w:rsid w:val="001E41AC"/>
    <w:rsid w:val="001E4AA7"/>
    <w:rsid w:val="001E5763"/>
    <w:rsid w:val="001E5826"/>
    <w:rsid w:val="001E5876"/>
    <w:rsid w:val="001E5E18"/>
    <w:rsid w:val="001E61E0"/>
    <w:rsid w:val="001E633F"/>
    <w:rsid w:val="001E6A64"/>
    <w:rsid w:val="001E6B33"/>
    <w:rsid w:val="001E6CF0"/>
    <w:rsid w:val="001E7E6F"/>
    <w:rsid w:val="001F0485"/>
    <w:rsid w:val="001F0D9F"/>
    <w:rsid w:val="001F1AA2"/>
    <w:rsid w:val="001F1D93"/>
    <w:rsid w:val="001F22EF"/>
    <w:rsid w:val="001F2A88"/>
    <w:rsid w:val="001F376C"/>
    <w:rsid w:val="001F39D3"/>
    <w:rsid w:val="001F3D60"/>
    <w:rsid w:val="001F43C8"/>
    <w:rsid w:val="001F49A9"/>
    <w:rsid w:val="001F4D98"/>
    <w:rsid w:val="001F510C"/>
    <w:rsid w:val="001F542C"/>
    <w:rsid w:val="001F550C"/>
    <w:rsid w:val="001F5D79"/>
    <w:rsid w:val="001F5F49"/>
    <w:rsid w:val="001F5FB5"/>
    <w:rsid w:val="001F683E"/>
    <w:rsid w:val="001F6D13"/>
    <w:rsid w:val="00200509"/>
    <w:rsid w:val="00200D8F"/>
    <w:rsid w:val="002025FA"/>
    <w:rsid w:val="00203A7E"/>
    <w:rsid w:val="0020400B"/>
    <w:rsid w:val="002044AD"/>
    <w:rsid w:val="00204AB1"/>
    <w:rsid w:val="00204E1E"/>
    <w:rsid w:val="00204E46"/>
    <w:rsid w:val="00206DF9"/>
    <w:rsid w:val="002078B2"/>
    <w:rsid w:val="00207931"/>
    <w:rsid w:val="0021117C"/>
    <w:rsid w:val="00211725"/>
    <w:rsid w:val="00211BF0"/>
    <w:rsid w:val="00211C2A"/>
    <w:rsid w:val="0021284D"/>
    <w:rsid w:val="00213919"/>
    <w:rsid w:val="00213A28"/>
    <w:rsid w:val="002142C6"/>
    <w:rsid w:val="00214348"/>
    <w:rsid w:val="00214457"/>
    <w:rsid w:val="002146F4"/>
    <w:rsid w:val="00214AE5"/>
    <w:rsid w:val="00215BC5"/>
    <w:rsid w:val="0021649B"/>
    <w:rsid w:val="00216984"/>
    <w:rsid w:val="00216AC2"/>
    <w:rsid w:val="00216B81"/>
    <w:rsid w:val="00216CD8"/>
    <w:rsid w:val="00216E76"/>
    <w:rsid w:val="002170B1"/>
    <w:rsid w:val="00217B68"/>
    <w:rsid w:val="00217E98"/>
    <w:rsid w:val="002201A6"/>
    <w:rsid w:val="00220857"/>
    <w:rsid w:val="002215AF"/>
    <w:rsid w:val="00221E46"/>
    <w:rsid w:val="002220DC"/>
    <w:rsid w:val="00222200"/>
    <w:rsid w:val="00222BD5"/>
    <w:rsid w:val="00222E1C"/>
    <w:rsid w:val="00223B82"/>
    <w:rsid w:val="00224204"/>
    <w:rsid w:val="0022476D"/>
    <w:rsid w:val="00224BDE"/>
    <w:rsid w:val="0022549B"/>
    <w:rsid w:val="00225D5A"/>
    <w:rsid w:val="00226B6B"/>
    <w:rsid w:val="00226D68"/>
    <w:rsid w:val="0023021E"/>
    <w:rsid w:val="0023087F"/>
    <w:rsid w:val="00230BAA"/>
    <w:rsid w:val="00231512"/>
    <w:rsid w:val="002315DD"/>
    <w:rsid w:val="00231900"/>
    <w:rsid w:val="00231BE6"/>
    <w:rsid w:val="002322EB"/>
    <w:rsid w:val="00232EB7"/>
    <w:rsid w:val="0023444B"/>
    <w:rsid w:val="002345B2"/>
    <w:rsid w:val="00234A6C"/>
    <w:rsid w:val="00234E1C"/>
    <w:rsid w:val="00235657"/>
    <w:rsid w:val="0023584C"/>
    <w:rsid w:val="00235F45"/>
    <w:rsid w:val="002377CE"/>
    <w:rsid w:val="00240F49"/>
    <w:rsid w:val="002412C1"/>
    <w:rsid w:val="002414D0"/>
    <w:rsid w:val="00241B89"/>
    <w:rsid w:val="0024252C"/>
    <w:rsid w:val="002435D8"/>
    <w:rsid w:val="00243B27"/>
    <w:rsid w:val="00243B84"/>
    <w:rsid w:val="00244575"/>
    <w:rsid w:val="00244757"/>
    <w:rsid w:val="002447F0"/>
    <w:rsid w:val="00245F7B"/>
    <w:rsid w:val="002462D9"/>
    <w:rsid w:val="002468A2"/>
    <w:rsid w:val="00246CE6"/>
    <w:rsid w:val="00246DE8"/>
    <w:rsid w:val="00247637"/>
    <w:rsid w:val="00247E19"/>
    <w:rsid w:val="00250051"/>
    <w:rsid w:val="002502E0"/>
    <w:rsid w:val="002505E7"/>
    <w:rsid w:val="00251495"/>
    <w:rsid w:val="002517D9"/>
    <w:rsid w:val="00251883"/>
    <w:rsid w:val="0025192F"/>
    <w:rsid w:val="0025214C"/>
    <w:rsid w:val="002529A2"/>
    <w:rsid w:val="00253120"/>
    <w:rsid w:val="00253472"/>
    <w:rsid w:val="0025486C"/>
    <w:rsid w:val="00254A8D"/>
    <w:rsid w:val="00254DF2"/>
    <w:rsid w:val="0025731A"/>
    <w:rsid w:val="00257902"/>
    <w:rsid w:val="00260203"/>
    <w:rsid w:val="00260473"/>
    <w:rsid w:val="002607F6"/>
    <w:rsid w:val="00260B79"/>
    <w:rsid w:val="0026158C"/>
    <w:rsid w:val="00261A91"/>
    <w:rsid w:val="00261DC9"/>
    <w:rsid w:val="00262347"/>
    <w:rsid w:val="0026276D"/>
    <w:rsid w:val="002632BB"/>
    <w:rsid w:val="00264AA5"/>
    <w:rsid w:val="00264FC9"/>
    <w:rsid w:val="0026511F"/>
    <w:rsid w:val="0026521F"/>
    <w:rsid w:val="00265D08"/>
    <w:rsid w:val="002662DA"/>
    <w:rsid w:val="002666A0"/>
    <w:rsid w:val="00266F51"/>
    <w:rsid w:val="0026721F"/>
    <w:rsid w:val="0026756B"/>
    <w:rsid w:val="00270805"/>
    <w:rsid w:val="00270E72"/>
    <w:rsid w:val="0027100E"/>
    <w:rsid w:val="00271A78"/>
    <w:rsid w:val="00271F5F"/>
    <w:rsid w:val="00271F7F"/>
    <w:rsid w:val="00271FAC"/>
    <w:rsid w:val="00272061"/>
    <w:rsid w:val="00272125"/>
    <w:rsid w:val="002728B3"/>
    <w:rsid w:val="00274A5D"/>
    <w:rsid w:val="00274BD8"/>
    <w:rsid w:val="0027509E"/>
    <w:rsid w:val="002750FA"/>
    <w:rsid w:val="002753EE"/>
    <w:rsid w:val="00275647"/>
    <w:rsid w:val="0027587D"/>
    <w:rsid w:val="002759FF"/>
    <w:rsid w:val="00275E0F"/>
    <w:rsid w:val="002763B2"/>
    <w:rsid w:val="00277D61"/>
    <w:rsid w:val="002816BD"/>
    <w:rsid w:val="002817DD"/>
    <w:rsid w:val="00281A1D"/>
    <w:rsid w:val="00281FBC"/>
    <w:rsid w:val="00282986"/>
    <w:rsid w:val="00282BE6"/>
    <w:rsid w:val="00282C9D"/>
    <w:rsid w:val="00283C80"/>
    <w:rsid w:val="00283D55"/>
    <w:rsid w:val="002847E9"/>
    <w:rsid w:val="002854F9"/>
    <w:rsid w:val="00285FD5"/>
    <w:rsid w:val="00285FEE"/>
    <w:rsid w:val="00286464"/>
    <w:rsid w:val="00286ED9"/>
    <w:rsid w:val="00287010"/>
    <w:rsid w:val="0029039A"/>
    <w:rsid w:val="002920B8"/>
    <w:rsid w:val="002922B1"/>
    <w:rsid w:val="002923F1"/>
    <w:rsid w:val="00292650"/>
    <w:rsid w:val="00292FB1"/>
    <w:rsid w:val="002934D3"/>
    <w:rsid w:val="00293945"/>
    <w:rsid w:val="00294AD4"/>
    <w:rsid w:val="002951DB"/>
    <w:rsid w:val="00295D8B"/>
    <w:rsid w:val="00295DBA"/>
    <w:rsid w:val="00295EA5"/>
    <w:rsid w:val="0029657A"/>
    <w:rsid w:val="00296A58"/>
    <w:rsid w:val="00296DDF"/>
    <w:rsid w:val="00296E0B"/>
    <w:rsid w:val="0029701F"/>
    <w:rsid w:val="00297DB4"/>
    <w:rsid w:val="002A024C"/>
    <w:rsid w:val="002A13CE"/>
    <w:rsid w:val="002A22D2"/>
    <w:rsid w:val="002A34D6"/>
    <w:rsid w:val="002A387C"/>
    <w:rsid w:val="002A4EBB"/>
    <w:rsid w:val="002A5EA6"/>
    <w:rsid w:val="002A5EE4"/>
    <w:rsid w:val="002A6688"/>
    <w:rsid w:val="002A6B7F"/>
    <w:rsid w:val="002A7144"/>
    <w:rsid w:val="002A7CD8"/>
    <w:rsid w:val="002B0288"/>
    <w:rsid w:val="002B08C1"/>
    <w:rsid w:val="002B100C"/>
    <w:rsid w:val="002B25A7"/>
    <w:rsid w:val="002B4A5C"/>
    <w:rsid w:val="002B4A70"/>
    <w:rsid w:val="002B551F"/>
    <w:rsid w:val="002B5681"/>
    <w:rsid w:val="002B5E1F"/>
    <w:rsid w:val="002B64DD"/>
    <w:rsid w:val="002B6C0A"/>
    <w:rsid w:val="002B7761"/>
    <w:rsid w:val="002C033D"/>
    <w:rsid w:val="002C05C9"/>
    <w:rsid w:val="002C17E9"/>
    <w:rsid w:val="002C1969"/>
    <w:rsid w:val="002C2348"/>
    <w:rsid w:val="002C2D2B"/>
    <w:rsid w:val="002C2EF1"/>
    <w:rsid w:val="002C3EB8"/>
    <w:rsid w:val="002C43E3"/>
    <w:rsid w:val="002C4691"/>
    <w:rsid w:val="002C5507"/>
    <w:rsid w:val="002C6153"/>
    <w:rsid w:val="002C623E"/>
    <w:rsid w:val="002C62DA"/>
    <w:rsid w:val="002C6438"/>
    <w:rsid w:val="002C68D5"/>
    <w:rsid w:val="002C6AEF"/>
    <w:rsid w:val="002C6B0E"/>
    <w:rsid w:val="002C75A1"/>
    <w:rsid w:val="002C784D"/>
    <w:rsid w:val="002C7EB2"/>
    <w:rsid w:val="002D0382"/>
    <w:rsid w:val="002D03CE"/>
    <w:rsid w:val="002D05C8"/>
    <w:rsid w:val="002D2371"/>
    <w:rsid w:val="002D2E86"/>
    <w:rsid w:val="002D3D05"/>
    <w:rsid w:val="002D4D2E"/>
    <w:rsid w:val="002D54E0"/>
    <w:rsid w:val="002D6090"/>
    <w:rsid w:val="002D6D0A"/>
    <w:rsid w:val="002D73A1"/>
    <w:rsid w:val="002E02CE"/>
    <w:rsid w:val="002E04D2"/>
    <w:rsid w:val="002E0D26"/>
    <w:rsid w:val="002E1433"/>
    <w:rsid w:val="002E157F"/>
    <w:rsid w:val="002E225E"/>
    <w:rsid w:val="002E24F3"/>
    <w:rsid w:val="002E2DA3"/>
    <w:rsid w:val="002E315D"/>
    <w:rsid w:val="002E40C1"/>
    <w:rsid w:val="002E46B3"/>
    <w:rsid w:val="002E516E"/>
    <w:rsid w:val="002E530D"/>
    <w:rsid w:val="002E55AB"/>
    <w:rsid w:val="002E5F8B"/>
    <w:rsid w:val="002E60C1"/>
    <w:rsid w:val="002E62C3"/>
    <w:rsid w:val="002E6C6F"/>
    <w:rsid w:val="002E6D80"/>
    <w:rsid w:val="002F023E"/>
    <w:rsid w:val="002F06DB"/>
    <w:rsid w:val="002F0A2B"/>
    <w:rsid w:val="002F0F77"/>
    <w:rsid w:val="002F0FDF"/>
    <w:rsid w:val="002F1219"/>
    <w:rsid w:val="002F1412"/>
    <w:rsid w:val="002F15C7"/>
    <w:rsid w:val="002F1D21"/>
    <w:rsid w:val="002F1EE7"/>
    <w:rsid w:val="002F2685"/>
    <w:rsid w:val="002F26D5"/>
    <w:rsid w:val="002F310B"/>
    <w:rsid w:val="002F4CFC"/>
    <w:rsid w:val="002F5EE2"/>
    <w:rsid w:val="002F61CA"/>
    <w:rsid w:val="002F6582"/>
    <w:rsid w:val="002F79ED"/>
    <w:rsid w:val="002F7B20"/>
    <w:rsid w:val="002F7C62"/>
    <w:rsid w:val="003001C3"/>
    <w:rsid w:val="0030084D"/>
    <w:rsid w:val="0030094B"/>
    <w:rsid w:val="003019C0"/>
    <w:rsid w:val="00301A37"/>
    <w:rsid w:val="00301D73"/>
    <w:rsid w:val="003022FB"/>
    <w:rsid w:val="00302494"/>
    <w:rsid w:val="0030274B"/>
    <w:rsid w:val="00302921"/>
    <w:rsid w:val="0030306B"/>
    <w:rsid w:val="003035A5"/>
    <w:rsid w:val="00303607"/>
    <w:rsid w:val="00304507"/>
    <w:rsid w:val="0030487F"/>
    <w:rsid w:val="00306F95"/>
    <w:rsid w:val="00310385"/>
    <w:rsid w:val="0031145C"/>
    <w:rsid w:val="0031183C"/>
    <w:rsid w:val="0031192D"/>
    <w:rsid w:val="00311A78"/>
    <w:rsid w:val="00311BAE"/>
    <w:rsid w:val="00311CE6"/>
    <w:rsid w:val="0031227D"/>
    <w:rsid w:val="00312C55"/>
    <w:rsid w:val="00313378"/>
    <w:rsid w:val="00313851"/>
    <w:rsid w:val="003139EB"/>
    <w:rsid w:val="00313C6C"/>
    <w:rsid w:val="00313F84"/>
    <w:rsid w:val="003144C5"/>
    <w:rsid w:val="003152DA"/>
    <w:rsid w:val="00315A25"/>
    <w:rsid w:val="003160E3"/>
    <w:rsid w:val="003169A6"/>
    <w:rsid w:val="00316CE3"/>
    <w:rsid w:val="003200FB"/>
    <w:rsid w:val="00320F4D"/>
    <w:rsid w:val="00321687"/>
    <w:rsid w:val="00321EC7"/>
    <w:rsid w:val="003221A0"/>
    <w:rsid w:val="00322951"/>
    <w:rsid w:val="00323BBF"/>
    <w:rsid w:val="00325E53"/>
    <w:rsid w:val="003262E6"/>
    <w:rsid w:val="0033155E"/>
    <w:rsid w:val="003318A3"/>
    <w:rsid w:val="00331DC4"/>
    <w:rsid w:val="00332142"/>
    <w:rsid w:val="0033233F"/>
    <w:rsid w:val="0033291C"/>
    <w:rsid w:val="0033307F"/>
    <w:rsid w:val="0033338B"/>
    <w:rsid w:val="003337D1"/>
    <w:rsid w:val="00333825"/>
    <w:rsid w:val="003340E1"/>
    <w:rsid w:val="00334F3E"/>
    <w:rsid w:val="0033678B"/>
    <w:rsid w:val="00336969"/>
    <w:rsid w:val="00336DB7"/>
    <w:rsid w:val="00337A4D"/>
    <w:rsid w:val="0034061C"/>
    <w:rsid w:val="00341556"/>
    <w:rsid w:val="00341797"/>
    <w:rsid w:val="003429D1"/>
    <w:rsid w:val="00342B11"/>
    <w:rsid w:val="00342C44"/>
    <w:rsid w:val="00343531"/>
    <w:rsid w:val="00343D6F"/>
    <w:rsid w:val="00344D66"/>
    <w:rsid w:val="00345E52"/>
    <w:rsid w:val="003467FA"/>
    <w:rsid w:val="003474D4"/>
    <w:rsid w:val="003475BE"/>
    <w:rsid w:val="003476E6"/>
    <w:rsid w:val="0034793E"/>
    <w:rsid w:val="00350489"/>
    <w:rsid w:val="00350D5F"/>
    <w:rsid w:val="00350FCE"/>
    <w:rsid w:val="003511D3"/>
    <w:rsid w:val="0035194F"/>
    <w:rsid w:val="00351FCF"/>
    <w:rsid w:val="00352007"/>
    <w:rsid w:val="00352012"/>
    <w:rsid w:val="00352E73"/>
    <w:rsid w:val="003532A8"/>
    <w:rsid w:val="0035366F"/>
    <w:rsid w:val="00353AEA"/>
    <w:rsid w:val="0035426D"/>
    <w:rsid w:val="00354C87"/>
    <w:rsid w:val="00354CEB"/>
    <w:rsid w:val="00354E87"/>
    <w:rsid w:val="00355224"/>
    <w:rsid w:val="00355A01"/>
    <w:rsid w:val="00355F2F"/>
    <w:rsid w:val="00356019"/>
    <w:rsid w:val="003570CD"/>
    <w:rsid w:val="00357146"/>
    <w:rsid w:val="003572CF"/>
    <w:rsid w:val="0035736B"/>
    <w:rsid w:val="00360008"/>
    <w:rsid w:val="003608A6"/>
    <w:rsid w:val="003608DE"/>
    <w:rsid w:val="00360E3C"/>
    <w:rsid w:val="00361123"/>
    <w:rsid w:val="00362D52"/>
    <w:rsid w:val="00362DC8"/>
    <w:rsid w:val="00363541"/>
    <w:rsid w:val="00364A37"/>
    <w:rsid w:val="00364AFC"/>
    <w:rsid w:val="00365FBE"/>
    <w:rsid w:val="00366350"/>
    <w:rsid w:val="00366AE0"/>
    <w:rsid w:val="00366E1E"/>
    <w:rsid w:val="00367C11"/>
    <w:rsid w:val="003704C2"/>
    <w:rsid w:val="0037056B"/>
    <w:rsid w:val="00370E5F"/>
    <w:rsid w:val="003711E2"/>
    <w:rsid w:val="00371415"/>
    <w:rsid w:val="003715E0"/>
    <w:rsid w:val="00372456"/>
    <w:rsid w:val="0037310C"/>
    <w:rsid w:val="00373316"/>
    <w:rsid w:val="00373FED"/>
    <w:rsid w:val="00374314"/>
    <w:rsid w:val="0037448F"/>
    <w:rsid w:val="00375367"/>
    <w:rsid w:val="00375895"/>
    <w:rsid w:val="003759A7"/>
    <w:rsid w:val="00375A31"/>
    <w:rsid w:val="00375CF7"/>
    <w:rsid w:val="00376471"/>
    <w:rsid w:val="00376711"/>
    <w:rsid w:val="0038066F"/>
    <w:rsid w:val="00381445"/>
    <w:rsid w:val="00381822"/>
    <w:rsid w:val="00381BD4"/>
    <w:rsid w:val="00382207"/>
    <w:rsid w:val="0038304B"/>
    <w:rsid w:val="00383242"/>
    <w:rsid w:val="0038408C"/>
    <w:rsid w:val="003841EB"/>
    <w:rsid w:val="003851FE"/>
    <w:rsid w:val="003854AA"/>
    <w:rsid w:val="003856EE"/>
    <w:rsid w:val="003869E9"/>
    <w:rsid w:val="00386B64"/>
    <w:rsid w:val="00386D4B"/>
    <w:rsid w:val="0039205F"/>
    <w:rsid w:val="00392121"/>
    <w:rsid w:val="003928F2"/>
    <w:rsid w:val="00392B0F"/>
    <w:rsid w:val="00392C61"/>
    <w:rsid w:val="0039321C"/>
    <w:rsid w:val="003938CC"/>
    <w:rsid w:val="00394109"/>
    <w:rsid w:val="00394F9A"/>
    <w:rsid w:val="00396A66"/>
    <w:rsid w:val="00397C2A"/>
    <w:rsid w:val="00397DF2"/>
    <w:rsid w:val="003A1A64"/>
    <w:rsid w:val="003A2324"/>
    <w:rsid w:val="003A2742"/>
    <w:rsid w:val="003A3873"/>
    <w:rsid w:val="003A3EF9"/>
    <w:rsid w:val="003A4419"/>
    <w:rsid w:val="003A4448"/>
    <w:rsid w:val="003A450D"/>
    <w:rsid w:val="003A5482"/>
    <w:rsid w:val="003A726C"/>
    <w:rsid w:val="003A760D"/>
    <w:rsid w:val="003A77F2"/>
    <w:rsid w:val="003B0C42"/>
    <w:rsid w:val="003B1CD6"/>
    <w:rsid w:val="003B1EA3"/>
    <w:rsid w:val="003B1FA3"/>
    <w:rsid w:val="003B20E3"/>
    <w:rsid w:val="003B3993"/>
    <w:rsid w:val="003B3EB8"/>
    <w:rsid w:val="003B50B5"/>
    <w:rsid w:val="003B5428"/>
    <w:rsid w:val="003B543F"/>
    <w:rsid w:val="003B5F18"/>
    <w:rsid w:val="003B5F1D"/>
    <w:rsid w:val="003B5F59"/>
    <w:rsid w:val="003B78F1"/>
    <w:rsid w:val="003C012D"/>
    <w:rsid w:val="003C0953"/>
    <w:rsid w:val="003C0B24"/>
    <w:rsid w:val="003C1002"/>
    <w:rsid w:val="003C1501"/>
    <w:rsid w:val="003C1853"/>
    <w:rsid w:val="003C1D3B"/>
    <w:rsid w:val="003C238C"/>
    <w:rsid w:val="003C23FA"/>
    <w:rsid w:val="003C3790"/>
    <w:rsid w:val="003C3A90"/>
    <w:rsid w:val="003C4227"/>
    <w:rsid w:val="003C43AA"/>
    <w:rsid w:val="003C4651"/>
    <w:rsid w:val="003C4A99"/>
    <w:rsid w:val="003C5653"/>
    <w:rsid w:val="003C60A7"/>
    <w:rsid w:val="003C618E"/>
    <w:rsid w:val="003C6352"/>
    <w:rsid w:val="003C6E51"/>
    <w:rsid w:val="003C7166"/>
    <w:rsid w:val="003C722A"/>
    <w:rsid w:val="003D050C"/>
    <w:rsid w:val="003D1445"/>
    <w:rsid w:val="003D1524"/>
    <w:rsid w:val="003D16EE"/>
    <w:rsid w:val="003D1A42"/>
    <w:rsid w:val="003D36EB"/>
    <w:rsid w:val="003D46DF"/>
    <w:rsid w:val="003D47DF"/>
    <w:rsid w:val="003D4C66"/>
    <w:rsid w:val="003D4F35"/>
    <w:rsid w:val="003D5247"/>
    <w:rsid w:val="003D5392"/>
    <w:rsid w:val="003D65C2"/>
    <w:rsid w:val="003D6E8E"/>
    <w:rsid w:val="003D7CD3"/>
    <w:rsid w:val="003E044A"/>
    <w:rsid w:val="003E0856"/>
    <w:rsid w:val="003E11F8"/>
    <w:rsid w:val="003E2065"/>
    <w:rsid w:val="003E31FC"/>
    <w:rsid w:val="003E5412"/>
    <w:rsid w:val="003E5AAC"/>
    <w:rsid w:val="003E6315"/>
    <w:rsid w:val="003E681C"/>
    <w:rsid w:val="003E6D95"/>
    <w:rsid w:val="003F00CD"/>
    <w:rsid w:val="003F0604"/>
    <w:rsid w:val="003F0DCE"/>
    <w:rsid w:val="003F1365"/>
    <w:rsid w:val="003F2C0A"/>
    <w:rsid w:val="003F2CD6"/>
    <w:rsid w:val="003F2D9B"/>
    <w:rsid w:val="003F3407"/>
    <w:rsid w:val="003F342C"/>
    <w:rsid w:val="003F35BA"/>
    <w:rsid w:val="003F3618"/>
    <w:rsid w:val="003F3924"/>
    <w:rsid w:val="003F39DD"/>
    <w:rsid w:val="003F3B93"/>
    <w:rsid w:val="003F3E47"/>
    <w:rsid w:val="003F4397"/>
    <w:rsid w:val="003F475A"/>
    <w:rsid w:val="003F4FA6"/>
    <w:rsid w:val="003F5297"/>
    <w:rsid w:val="003F52C4"/>
    <w:rsid w:val="003F5573"/>
    <w:rsid w:val="003F5914"/>
    <w:rsid w:val="003F661A"/>
    <w:rsid w:val="003F6833"/>
    <w:rsid w:val="003F6872"/>
    <w:rsid w:val="003F68A8"/>
    <w:rsid w:val="003F6A9D"/>
    <w:rsid w:val="003F7022"/>
    <w:rsid w:val="003F746C"/>
    <w:rsid w:val="003F79D2"/>
    <w:rsid w:val="003F7C7C"/>
    <w:rsid w:val="00400804"/>
    <w:rsid w:val="00400EA6"/>
    <w:rsid w:val="00401E83"/>
    <w:rsid w:val="00402977"/>
    <w:rsid w:val="004029D5"/>
    <w:rsid w:val="00402F96"/>
    <w:rsid w:val="00403232"/>
    <w:rsid w:val="00404A09"/>
    <w:rsid w:val="00405DEC"/>
    <w:rsid w:val="00406294"/>
    <w:rsid w:val="00406B64"/>
    <w:rsid w:val="00406BB6"/>
    <w:rsid w:val="00407059"/>
    <w:rsid w:val="004070D5"/>
    <w:rsid w:val="0041017B"/>
    <w:rsid w:val="004103A1"/>
    <w:rsid w:val="00410A8C"/>
    <w:rsid w:val="00411903"/>
    <w:rsid w:val="00411BC6"/>
    <w:rsid w:val="00411DA0"/>
    <w:rsid w:val="00411E35"/>
    <w:rsid w:val="00412872"/>
    <w:rsid w:val="0041291E"/>
    <w:rsid w:val="00412B6E"/>
    <w:rsid w:val="00412D3F"/>
    <w:rsid w:val="004130D0"/>
    <w:rsid w:val="00413628"/>
    <w:rsid w:val="00413A0E"/>
    <w:rsid w:val="00413B19"/>
    <w:rsid w:val="00414642"/>
    <w:rsid w:val="004147EE"/>
    <w:rsid w:val="0041503F"/>
    <w:rsid w:val="00415640"/>
    <w:rsid w:val="004156FC"/>
    <w:rsid w:val="004159FF"/>
    <w:rsid w:val="00416958"/>
    <w:rsid w:val="004207F9"/>
    <w:rsid w:val="00420B47"/>
    <w:rsid w:val="00421098"/>
    <w:rsid w:val="00421638"/>
    <w:rsid w:val="004222B7"/>
    <w:rsid w:val="004227F9"/>
    <w:rsid w:val="0042344E"/>
    <w:rsid w:val="00423988"/>
    <w:rsid w:val="00423E7D"/>
    <w:rsid w:val="00424A0B"/>
    <w:rsid w:val="00424DCE"/>
    <w:rsid w:val="004252B9"/>
    <w:rsid w:val="0042536D"/>
    <w:rsid w:val="0042590D"/>
    <w:rsid w:val="0042626B"/>
    <w:rsid w:val="00427003"/>
    <w:rsid w:val="00427440"/>
    <w:rsid w:val="004278DE"/>
    <w:rsid w:val="0042793F"/>
    <w:rsid w:val="00430994"/>
    <w:rsid w:val="00430A1E"/>
    <w:rsid w:val="0043188C"/>
    <w:rsid w:val="0043198B"/>
    <w:rsid w:val="0043248F"/>
    <w:rsid w:val="00432873"/>
    <w:rsid w:val="00433721"/>
    <w:rsid w:val="00434C83"/>
    <w:rsid w:val="00434D5E"/>
    <w:rsid w:val="00434E4B"/>
    <w:rsid w:val="00435870"/>
    <w:rsid w:val="00435942"/>
    <w:rsid w:val="00436027"/>
    <w:rsid w:val="00436833"/>
    <w:rsid w:val="00436BB6"/>
    <w:rsid w:val="00437452"/>
    <w:rsid w:val="00440101"/>
    <w:rsid w:val="0044156F"/>
    <w:rsid w:val="004418C8"/>
    <w:rsid w:val="00441B81"/>
    <w:rsid w:val="00441D72"/>
    <w:rsid w:val="004420EB"/>
    <w:rsid w:val="004428C7"/>
    <w:rsid w:val="004429FB"/>
    <w:rsid w:val="00442BA2"/>
    <w:rsid w:val="00443964"/>
    <w:rsid w:val="00443A95"/>
    <w:rsid w:val="00443AB6"/>
    <w:rsid w:val="004446E5"/>
    <w:rsid w:val="004447D6"/>
    <w:rsid w:val="0044528D"/>
    <w:rsid w:val="00445555"/>
    <w:rsid w:val="00445BDC"/>
    <w:rsid w:val="00445D77"/>
    <w:rsid w:val="0044687C"/>
    <w:rsid w:val="004468F8"/>
    <w:rsid w:val="0044724E"/>
    <w:rsid w:val="00447B30"/>
    <w:rsid w:val="00450152"/>
    <w:rsid w:val="004504C0"/>
    <w:rsid w:val="00450556"/>
    <w:rsid w:val="0045117C"/>
    <w:rsid w:val="004511B0"/>
    <w:rsid w:val="00451A09"/>
    <w:rsid w:val="00452FC4"/>
    <w:rsid w:val="00453659"/>
    <w:rsid w:val="00453B60"/>
    <w:rsid w:val="00454020"/>
    <w:rsid w:val="0045423B"/>
    <w:rsid w:val="00454927"/>
    <w:rsid w:val="00454976"/>
    <w:rsid w:val="00455E31"/>
    <w:rsid w:val="004569CD"/>
    <w:rsid w:val="00456B04"/>
    <w:rsid w:val="00456CF4"/>
    <w:rsid w:val="0045765B"/>
    <w:rsid w:val="00457939"/>
    <w:rsid w:val="00460557"/>
    <w:rsid w:val="004612EB"/>
    <w:rsid w:val="0046135C"/>
    <w:rsid w:val="00461B5C"/>
    <w:rsid w:val="00462C2F"/>
    <w:rsid w:val="004639A8"/>
    <w:rsid w:val="004644CB"/>
    <w:rsid w:val="00464884"/>
    <w:rsid w:val="004649B0"/>
    <w:rsid w:val="00465859"/>
    <w:rsid w:val="004659C4"/>
    <w:rsid w:val="00466AEB"/>
    <w:rsid w:val="00466BE4"/>
    <w:rsid w:val="00467272"/>
    <w:rsid w:val="004702DB"/>
    <w:rsid w:val="00470BD8"/>
    <w:rsid w:val="00470EFD"/>
    <w:rsid w:val="004714CC"/>
    <w:rsid w:val="0047190C"/>
    <w:rsid w:val="00471B1C"/>
    <w:rsid w:val="00472043"/>
    <w:rsid w:val="00472200"/>
    <w:rsid w:val="00472C01"/>
    <w:rsid w:val="00472CC4"/>
    <w:rsid w:val="0047355A"/>
    <w:rsid w:val="00473579"/>
    <w:rsid w:val="00473A17"/>
    <w:rsid w:val="00474898"/>
    <w:rsid w:val="00474AF7"/>
    <w:rsid w:val="0047519D"/>
    <w:rsid w:val="0047567E"/>
    <w:rsid w:val="00475B1A"/>
    <w:rsid w:val="00475F12"/>
    <w:rsid w:val="0047627C"/>
    <w:rsid w:val="00477357"/>
    <w:rsid w:val="00477695"/>
    <w:rsid w:val="00477F29"/>
    <w:rsid w:val="004801C2"/>
    <w:rsid w:val="0048068D"/>
    <w:rsid w:val="00481522"/>
    <w:rsid w:val="0048206D"/>
    <w:rsid w:val="004821E4"/>
    <w:rsid w:val="00482590"/>
    <w:rsid w:val="004839B9"/>
    <w:rsid w:val="00483AAE"/>
    <w:rsid w:val="00483C76"/>
    <w:rsid w:val="00484901"/>
    <w:rsid w:val="00484B70"/>
    <w:rsid w:val="00485B10"/>
    <w:rsid w:val="00485B3F"/>
    <w:rsid w:val="00485BA7"/>
    <w:rsid w:val="0048746B"/>
    <w:rsid w:val="00491348"/>
    <w:rsid w:val="0049145B"/>
    <w:rsid w:val="00491714"/>
    <w:rsid w:val="00491739"/>
    <w:rsid w:val="00492674"/>
    <w:rsid w:val="00492CF8"/>
    <w:rsid w:val="00493390"/>
    <w:rsid w:val="004934D6"/>
    <w:rsid w:val="0049389E"/>
    <w:rsid w:val="00493A64"/>
    <w:rsid w:val="00494871"/>
    <w:rsid w:val="0049587F"/>
    <w:rsid w:val="00495CD0"/>
    <w:rsid w:val="00496789"/>
    <w:rsid w:val="0049685D"/>
    <w:rsid w:val="00496CD3"/>
    <w:rsid w:val="004A1A2A"/>
    <w:rsid w:val="004A2841"/>
    <w:rsid w:val="004A2C9B"/>
    <w:rsid w:val="004A2E31"/>
    <w:rsid w:val="004A3264"/>
    <w:rsid w:val="004A3908"/>
    <w:rsid w:val="004A3B5E"/>
    <w:rsid w:val="004A48AF"/>
    <w:rsid w:val="004A512E"/>
    <w:rsid w:val="004A54FB"/>
    <w:rsid w:val="004A61DF"/>
    <w:rsid w:val="004A6F60"/>
    <w:rsid w:val="004A7C4B"/>
    <w:rsid w:val="004B00D3"/>
    <w:rsid w:val="004B0B4E"/>
    <w:rsid w:val="004B13AF"/>
    <w:rsid w:val="004B19EA"/>
    <w:rsid w:val="004B1C8D"/>
    <w:rsid w:val="004B1E34"/>
    <w:rsid w:val="004B28B7"/>
    <w:rsid w:val="004B2DC9"/>
    <w:rsid w:val="004B2E57"/>
    <w:rsid w:val="004B349B"/>
    <w:rsid w:val="004B50DB"/>
    <w:rsid w:val="004B56F3"/>
    <w:rsid w:val="004B57C3"/>
    <w:rsid w:val="004B5EA2"/>
    <w:rsid w:val="004B61EE"/>
    <w:rsid w:val="004B6439"/>
    <w:rsid w:val="004B67B6"/>
    <w:rsid w:val="004B6FC7"/>
    <w:rsid w:val="004B7239"/>
    <w:rsid w:val="004B7DC7"/>
    <w:rsid w:val="004C110A"/>
    <w:rsid w:val="004C173C"/>
    <w:rsid w:val="004C2253"/>
    <w:rsid w:val="004C2331"/>
    <w:rsid w:val="004C2429"/>
    <w:rsid w:val="004C2698"/>
    <w:rsid w:val="004C2DA3"/>
    <w:rsid w:val="004C2EBA"/>
    <w:rsid w:val="004C33C7"/>
    <w:rsid w:val="004C3C75"/>
    <w:rsid w:val="004C490D"/>
    <w:rsid w:val="004C4A50"/>
    <w:rsid w:val="004C4B41"/>
    <w:rsid w:val="004C4DA2"/>
    <w:rsid w:val="004C50B3"/>
    <w:rsid w:val="004C5197"/>
    <w:rsid w:val="004C51DD"/>
    <w:rsid w:val="004C5652"/>
    <w:rsid w:val="004C5EFF"/>
    <w:rsid w:val="004C5FC9"/>
    <w:rsid w:val="004C6380"/>
    <w:rsid w:val="004C6983"/>
    <w:rsid w:val="004C6AE7"/>
    <w:rsid w:val="004C708A"/>
    <w:rsid w:val="004D003D"/>
    <w:rsid w:val="004D0095"/>
    <w:rsid w:val="004D00EB"/>
    <w:rsid w:val="004D0706"/>
    <w:rsid w:val="004D08D9"/>
    <w:rsid w:val="004D0EE0"/>
    <w:rsid w:val="004D2EDD"/>
    <w:rsid w:val="004D4908"/>
    <w:rsid w:val="004D64BD"/>
    <w:rsid w:val="004E0B30"/>
    <w:rsid w:val="004E0E8A"/>
    <w:rsid w:val="004E16B9"/>
    <w:rsid w:val="004E1828"/>
    <w:rsid w:val="004E1927"/>
    <w:rsid w:val="004E1F3D"/>
    <w:rsid w:val="004E2119"/>
    <w:rsid w:val="004E2DE8"/>
    <w:rsid w:val="004E4B32"/>
    <w:rsid w:val="004E51D0"/>
    <w:rsid w:val="004E5304"/>
    <w:rsid w:val="004E67C6"/>
    <w:rsid w:val="004E781E"/>
    <w:rsid w:val="004E7B98"/>
    <w:rsid w:val="004F05BD"/>
    <w:rsid w:val="004F0713"/>
    <w:rsid w:val="004F0BC1"/>
    <w:rsid w:val="004F0C99"/>
    <w:rsid w:val="004F128E"/>
    <w:rsid w:val="004F1294"/>
    <w:rsid w:val="004F20DE"/>
    <w:rsid w:val="004F26AC"/>
    <w:rsid w:val="004F26DF"/>
    <w:rsid w:val="004F290F"/>
    <w:rsid w:val="004F2E9C"/>
    <w:rsid w:val="004F33AA"/>
    <w:rsid w:val="004F4ED3"/>
    <w:rsid w:val="004F5D08"/>
    <w:rsid w:val="004F5E64"/>
    <w:rsid w:val="004F6A26"/>
    <w:rsid w:val="004F6B48"/>
    <w:rsid w:val="004F6C5D"/>
    <w:rsid w:val="00500907"/>
    <w:rsid w:val="00500B5C"/>
    <w:rsid w:val="00500BD0"/>
    <w:rsid w:val="00500EBD"/>
    <w:rsid w:val="005019EB"/>
    <w:rsid w:val="00501F23"/>
    <w:rsid w:val="005029BC"/>
    <w:rsid w:val="005035EC"/>
    <w:rsid w:val="005036FA"/>
    <w:rsid w:val="005037A9"/>
    <w:rsid w:val="005043E3"/>
    <w:rsid w:val="00504839"/>
    <w:rsid w:val="005048D3"/>
    <w:rsid w:val="0050592C"/>
    <w:rsid w:val="00505A09"/>
    <w:rsid w:val="00505FE5"/>
    <w:rsid w:val="005066E1"/>
    <w:rsid w:val="00506BB9"/>
    <w:rsid w:val="00507F2C"/>
    <w:rsid w:val="00507F61"/>
    <w:rsid w:val="00510455"/>
    <w:rsid w:val="00510498"/>
    <w:rsid w:val="0051154D"/>
    <w:rsid w:val="00511786"/>
    <w:rsid w:val="00512020"/>
    <w:rsid w:val="00512975"/>
    <w:rsid w:val="005129DA"/>
    <w:rsid w:val="00512B11"/>
    <w:rsid w:val="00512EA3"/>
    <w:rsid w:val="0051395F"/>
    <w:rsid w:val="00513E60"/>
    <w:rsid w:val="00514D8F"/>
    <w:rsid w:val="005153AB"/>
    <w:rsid w:val="00515858"/>
    <w:rsid w:val="00515A53"/>
    <w:rsid w:val="0051671D"/>
    <w:rsid w:val="00517678"/>
    <w:rsid w:val="005177A5"/>
    <w:rsid w:val="00517B5F"/>
    <w:rsid w:val="005205DD"/>
    <w:rsid w:val="0052136D"/>
    <w:rsid w:val="0052175F"/>
    <w:rsid w:val="00521850"/>
    <w:rsid w:val="00521F07"/>
    <w:rsid w:val="00522361"/>
    <w:rsid w:val="00522B9F"/>
    <w:rsid w:val="00522D65"/>
    <w:rsid w:val="005238E5"/>
    <w:rsid w:val="00523B06"/>
    <w:rsid w:val="005240D8"/>
    <w:rsid w:val="00524643"/>
    <w:rsid w:val="00524B64"/>
    <w:rsid w:val="00525460"/>
    <w:rsid w:val="00525504"/>
    <w:rsid w:val="0052583C"/>
    <w:rsid w:val="00525F8F"/>
    <w:rsid w:val="0052650F"/>
    <w:rsid w:val="00527688"/>
    <w:rsid w:val="00527D3C"/>
    <w:rsid w:val="00530403"/>
    <w:rsid w:val="005304B6"/>
    <w:rsid w:val="005304C5"/>
    <w:rsid w:val="005305B4"/>
    <w:rsid w:val="00530A37"/>
    <w:rsid w:val="00531515"/>
    <w:rsid w:val="00531522"/>
    <w:rsid w:val="00531D6B"/>
    <w:rsid w:val="005320FA"/>
    <w:rsid w:val="005322D6"/>
    <w:rsid w:val="005325AD"/>
    <w:rsid w:val="005327F0"/>
    <w:rsid w:val="00532B22"/>
    <w:rsid w:val="00533127"/>
    <w:rsid w:val="00533B20"/>
    <w:rsid w:val="00533EA0"/>
    <w:rsid w:val="005347C2"/>
    <w:rsid w:val="00534A6B"/>
    <w:rsid w:val="00534BB5"/>
    <w:rsid w:val="0053518B"/>
    <w:rsid w:val="00535B4F"/>
    <w:rsid w:val="00536531"/>
    <w:rsid w:val="00536E7D"/>
    <w:rsid w:val="00536EBB"/>
    <w:rsid w:val="005371FD"/>
    <w:rsid w:val="00537799"/>
    <w:rsid w:val="005378A6"/>
    <w:rsid w:val="0053795A"/>
    <w:rsid w:val="005406BC"/>
    <w:rsid w:val="005406D6"/>
    <w:rsid w:val="00541070"/>
    <w:rsid w:val="005427F0"/>
    <w:rsid w:val="00542A31"/>
    <w:rsid w:val="00542E12"/>
    <w:rsid w:val="00545285"/>
    <w:rsid w:val="00545BA3"/>
    <w:rsid w:val="005467C4"/>
    <w:rsid w:val="00546C55"/>
    <w:rsid w:val="00546D72"/>
    <w:rsid w:val="00546E4D"/>
    <w:rsid w:val="00546EC5"/>
    <w:rsid w:val="00546FB1"/>
    <w:rsid w:val="005471F3"/>
    <w:rsid w:val="0054794D"/>
    <w:rsid w:val="00547BAC"/>
    <w:rsid w:val="0055151B"/>
    <w:rsid w:val="00551C37"/>
    <w:rsid w:val="00551F79"/>
    <w:rsid w:val="005520D1"/>
    <w:rsid w:val="0055225D"/>
    <w:rsid w:val="00552A54"/>
    <w:rsid w:val="00552C67"/>
    <w:rsid w:val="00552E5B"/>
    <w:rsid w:val="00552E61"/>
    <w:rsid w:val="005532B1"/>
    <w:rsid w:val="0055357C"/>
    <w:rsid w:val="005553D8"/>
    <w:rsid w:val="0055579F"/>
    <w:rsid w:val="005557F6"/>
    <w:rsid w:val="00555F12"/>
    <w:rsid w:val="00556233"/>
    <w:rsid w:val="005616A6"/>
    <w:rsid w:val="00562698"/>
    <w:rsid w:val="00562B56"/>
    <w:rsid w:val="00562D15"/>
    <w:rsid w:val="00562FA9"/>
    <w:rsid w:val="00563559"/>
    <w:rsid w:val="00563613"/>
    <w:rsid w:val="00563A00"/>
    <w:rsid w:val="005640DD"/>
    <w:rsid w:val="00564DEB"/>
    <w:rsid w:val="00565685"/>
    <w:rsid w:val="005658C7"/>
    <w:rsid w:val="005659EA"/>
    <w:rsid w:val="00566318"/>
    <w:rsid w:val="0056679B"/>
    <w:rsid w:val="00566E18"/>
    <w:rsid w:val="0056701A"/>
    <w:rsid w:val="00567A12"/>
    <w:rsid w:val="0057030A"/>
    <w:rsid w:val="00571152"/>
    <w:rsid w:val="00571277"/>
    <w:rsid w:val="00571DA3"/>
    <w:rsid w:val="005723AB"/>
    <w:rsid w:val="00572C26"/>
    <w:rsid w:val="00572E03"/>
    <w:rsid w:val="00572EA0"/>
    <w:rsid w:val="005739CA"/>
    <w:rsid w:val="0057417C"/>
    <w:rsid w:val="00574CFB"/>
    <w:rsid w:val="00574FCA"/>
    <w:rsid w:val="00575FE6"/>
    <w:rsid w:val="00577315"/>
    <w:rsid w:val="00577434"/>
    <w:rsid w:val="005775C6"/>
    <w:rsid w:val="00577A40"/>
    <w:rsid w:val="00580A31"/>
    <w:rsid w:val="00581157"/>
    <w:rsid w:val="00581EC4"/>
    <w:rsid w:val="005828F0"/>
    <w:rsid w:val="0058303F"/>
    <w:rsid w:val="0058329C"/>
    <w:rsid w:val="00584547"/>
    <w:rsid w:val="0058467A"/>
    <w:rsid w:val="00584D7E"/>
    <w:rsid w:val="0058515F"/>
    <w:rsid w:val="0058646C"/>
    <w:rsid w:val="00586686"/>
    <w:rsid w:val="00586D75"/>
    <w:rsid w:val="00586E6A"/>
    <w:rsid w:val="00587083"/>
    <w:rsid w:val="00587F69"/>
    <w:rsid w:val="00587F6D"/>
    <w:rsid w:val="005915C7"/>
    <w:rsid w:val="005917B7"/>
    <w:rsid w:val="00592160"/>
    <w:rsid w:val="0059235F"/>
    <w:rsid w:val="0059273C"/>
    <w:rsid w:val="00593036"/>
    <w:rsid w:val="00593988"/>
    <w:rsid w:val="00594E6A"/>
    <w:rsid w:val="0059547C"/>
    <w:rsid w:val="005956F7"/>
    <w:rsid w:val="00595D11"/>
    <w:rsid w:val="00595D31"/>
    <w:rsid w:val="00595EC0"/>
    <w:rsid w:val="005968D8"/>
    <w:rsid w:val="005971A7"/>
    <w:rsid w:val="00597603"/>
    <w:rsid w:val="00597EBB"/>
    <w:rsid w:val="005A18A9"/>
    <w:rsid w:val="005A1C55"/>
    <w:rsid w:val="005A2AED"/>
    <w:rsid w:val="005A342F"/>
    <w:rsid w:val="005A5769"/>
    <w:rsid w:val="005A5B9D"/>
    <w:rsid w:val="005A63B2"/>
    <w:rsid w:val="005A7E30"/>
    <w:rsid w:val="005B07D7"/>
    <w:rsid w:val="005B0C7F"/>
    <w:rsid w:val="005B154C"/>
    <w:rsid w:val="005B179B"/>
    <w:rsid w:val="005B2621"/>
    <w:rsid w:val="005B2DE5"/>
    <w:rsid w:val="005B3DF1"/>
    <w:rsid w:val="005B4749"/>
    <w:rsid w:val="005B5D28"/>
    <w:rsid w:val="005B6514"/>
    <w:rsid w:val="005B6D98"/>
    <w:rsid w:val="005B71D7"/>
    <w:rsid w:val="005B7484"/>
    <w:rsid w:val="005B7819"/>
    <w:rsid w:val="005C0165"/>
    <w:rsid w:val="005C0434"/>
    <w:rsid w:val="005C0D5E"/>
    <w:rsid w:val="005C1229"/>
    <w:rsid w:val="005C1511"/>
    <w:rsid w:val="005C2880"/>
    <w:rsid w:val="005C2CFF"/>
    <w:rsid w:val="005C3AF8"/>
    <w:rsid w:val="005C3BF3"/>
    <w:rsid w:val="005C5C7A"/>
    <w:rsid w:val="005C614B"/>
    <w:rsid w:val="005C6919"/>
    <w:rsid w:val="005C6FC6"/>
    <w:rsid w:val="005C702E"/>
    <w:rsid w:val="005C7927"/>
    <w:rsid w:val="005D07CE"/>
    <w:rsid w:val="005D0B2F"/>
    <w:rsid w:val="005D0F2C"/>
    <w:rsid w:val="005D0FCE"/>
    <w:rsid w:val="005D1039"/>
    <w:rsid w:val="005D1412"/>
    <w:rsid w:val="005D1DD7"/>
    <w:rsid w:val="005D25E4"/>
    <w:rsid w:val="005D4B98"/>
    <w:rsid w:val="005D5220"/>
    <w:rsid w:val="005D53BE"/>
    <w:rsid w:val="005D5891"/>
    <w:rsid w:val="005D68CD"/>
    <w:rsid w:val="005D69F8"/>
    <w:rsid w:val="005D6D25"/>
    <w:rsid w:val="005D6DFC"/>
    <w:rsid w:val="005D7084"/>
    <w:rsid w:val="005D72F1"/>
    <w:rsid w:val="005E0146"/>
    <w:rsid w:val="005E0994"/>
    <w:rsid w:val="005E1070"/>
    <w:rsid w:val="005E1709"/>
    <w:rsid w:val="005E1879"/>
    <w:rsid w:val="005E1F86"/>
    <w:rsid w:val="005E2062"/>
    <w:rsid w:val="005E2260"/>
    <w:rsid w:val="005E3EA8"/>
    <w:rsid w:val="005E4FED"/>
    <w:rsid w:val="005E57A3"/>
    <w:rsid w:val="005E5B45"/>
    <w:rsid w:val="005E693E"/>
    <w:rsid w:val="005E6AAB"/>
    <w:rsid w:val="005E702F"/>
    <w:rsid w:val="005E747F"/>
    <w:rsid w:val="005E7772"/>
    <w:rsid w:val="005E78C8"/>
    <w:rsid w:val="005E7ABD"/>
    <w:rsid w:val="005F0AF6"/>
    <w:rsid w:val="005F11F0"/>
    <w:rsid w:val="005F391E"/>
    <w:rsid w:val="005F39BA"/>
    <w:rsid w:val="005F43BD"/>
    <w:rsid w:val="005F4D9C"/>
    <w:rsid w:val="005F50F6"/>
    <w:rsid w:val="005F5214"/>
    <w:rsid w:val="005F5625"/>
    <w:rsid w:val="005F5673"/>
    <w:rsid w:val="005F597A"/>
    <w:rsid w:val="005F61A6"/>
    <w:rsid w:val="005F7622"/>
    <w:rsid w:val="005F79FC"/>
    <w:rsid w:val="006000EB"/>
    <w:rsid w:val="00600414"/>
    <w:rsid w:val="0060094A"/>
    <w:rsid w:val="00600BF9"/>
    <w:rsid w:val="00601416"/>
    <w:rsid w:val="00601765"/>
    <w:rsid w:val="006019CC"/>
    <w:rsid w:val="00601A96"/>
    <w:rsid w:val="006022EF"/>
    <w:rsid w:val="006040AE"/>
    <w:rsid w:val="00604DB2"/>
    <w:rsid w:val="00604DFD"/>
    <w:rsid w:val="00604FCB"/>
    <w:rsid w:val="006056B3"/>
    <w:rsid w:val="00605DD4"/>
    <w:rsid w:val="00606229"/>
    <w:rsid w:val="00607886"/>
    <w:rsid w:val="00612351"/>
    <w:rsid w:val="00612655"/>
    <w:rsid w:val="00612C89"/>
    <w:rsid w:val="00613167"/>
    <w:rsid w:val="00613D95"/>
    <w:rsid w:val="00613F69"/>
    <w:rsid w:val="00615402"/>
    <w:rsid w:val="006157F0"/>
    <w:rsid w:val="00615B87"/>
    <w:rsid w:val="00616FE5"/>
    <w:rsid w:val="006175F0"/>
    <w:rsid w:val="00617B8A"/>
    <w:rsid w:val="0062064D"/>
    <w:rsid w:val="00620EAF"/>
    <w:rsid w:val="00621D54"/>
    <w:rsid w:val="00621FB3"/>
    <w:rsid w:val="0062277A"/>
    <w:rsid w:val="0062291F"/>
    <w:rsid w:val="00623C9A"/>
    <w:rsid w:val="0062519E"/>
    <w:rsid w:val="006261DA"/>
    <w:rsid w:val="00626266"/>
    <w:rsid w:val="006264CA"/>
    <w:rsid w:val="00626651"/>
    <w:rsid w:val="0062698A"/>
    <w:rsid w:val="00627013"/>
    <w:rsid w:val="006274CC"/>
    <w:rsid w:val="0062765A"/>
    <w:rsid w:val="00627E8D"/>
    <w:rsid w:val="00627F92"/>
    <w:rsid w:val="0063004E"/>
    <w:rsid w:val="00630929"/>
    <w:rsid w:val="00630A60"/>
    <w:rsid w:val="00630BA9"/>
    <w:rsid w:val="00630C72"/>
    <w:rsid w:val="00630CA5"/>
    <w:rsid w:val="00630EE3"/>
    <w:rsid w:val="00631125"/>
    <w:rsid w:val="00632BD8"/>
    <w:rsid w:val="00633C41"/>
    <w:rsid w:val="00633C7B"/>
    <w:rsid w:val="00634927"/>
    <w:rsid w:val="00635261"/>
    <w:rsid w:val="0063584A"/>
    <w:rsid w:val="00635D6C"/>
    <w:rsid w:val="00635F0C"/>
    <w:rsid w:val="00635FF1"/>
    <w:rsid w:val="00636AE0"/>
    <w:rsid w:val="006370DD"/>
    <w:rsid w:val="0063746C"/>
    <w:rsid w:val="006379B3"/>
    <w:rsid w:val="00637CAF"/>
    <w:rsid w:val="006404C9"/>
    <w:rsid w:val="006406FC"/>
    <w:rsid w:val="006412FB"/>
    <w:rsid w:val="006414C7"/>
    <w:rsid w:val="00641F51"/>
    <w:rsid w:val="006421E4"/>
    <w:rsid w:val="00642BAC"/>
    <w:rsid w:val="00642FF8"/>
    <w:rsid w:val="00643227"/>
    <w:rsid w:val="00643889"/>
    <w:rsid w:val="00644480"/>
    <w:rsid w:val="0064462E"/>
    <w:rsid w:val="0064481B"/>
    <w:rsid w:val="006449F0"/>
    <w:rsid w:val="006452F0"/>
    <w:rsid w:val="0064559B"/>
    <w:rsid w:val="006456B1"/>
    <w:rsid w:val="00645A21"/>
    <w:rsid w:val="00645F66"/>
    <w:rsid w:val="00646CD0"/>
    <w:rsid w:val="006470EC"/>
    <w:rsid w:val="006471AD"/>
    <w:rsid w:val="0064787B"/>
    <w:rsid w:val="0065008C"/>
    <w:rsid w:val="006500E0"/>
    <w:rsid w:val="006501A4"/>
    <w:rsid w:val="00650398"/>
    <w:rsid w:val="00650A0B"/>
    <w:rsid w:val="0065136C"/>
    <w:rsid w:val="006518FC"/>
    <w:rsid w:val="00651A0E"/>
    <w:rsid w:val="006529DA"/>
    <w:rsid w:val="00652AE0"/>
    <w:rsid w:val="00652EFD"/>
    <w:rsid w:val="00653945"/>
    <w:rsid w:val="00653E1F"/>
    <w:rsid w:val="006546BF"/>
    <w:rsid w:val="00655022"/>
    <w:rsid w:val="006564F0"/>
    <w:rsid w:val="00656D97"/>
    <w:rsid w:val="0066019A"/>
    <w:rsid w:val="006601C1"/>
    <w:rsid w:val="006605FD"/>
    <w:rsid w:val="00660F31"/>
    <w:rsid w:val="00661C75"/>
    <w:rsid w:val="00662724"/>
    <w:rsid w:val="00662D8D"/>
    <w:rsid w:val="00663043"/>
    <w:rsid w:val="006630E8"/>
    <w:rsid w:val="0066343B"/>
    <w:rsid w:val="00663EC0"/>
    <w:rsid w:val="00663FBE"/>
    <w:rsid w:val="00664132"/>
    <w:rsid w:val="00665908"/>
    <w:rsid w:val="006660D8"/>
    <w:rsid w:val="006669BA"/>
    <w:rsid w:val="00667716"/>
    <w:rsid w:val="00667A35"/>
    <w:rsid w:val="00667B85"/>
    <w:rsid w:val="00670223"/>
    <w:rsid w:val="00670F25"/>
    <w:rsid w:val="006711F5"/>
    <w:rsid w:val="00671C40"/>
    <w:rsid w:val="00673607"/>
    <w:rsid w:val="006736E5"/>
    <w:rsid w:val="00674062"/>
    <w:rsid w:val="006751A2"/>
    <w:rsid w:val="006752EF"/>
    <w:rsid w:val="0067542B"/>
    <w:rsid w:val="00675586"/>
    <w:rsid w:val="00680084"/>
    <w:rsid w:val="0068018C"/>
    <w:rsid w:val="0068027A"/>
    <w:rsid w:val="0068056B"/>
    <w:rsid w:val="0068099F"/>
    <w:rsid w:val="00680CE3"/>
    <w:rsid w:val="0068152F"/>
    <w:rsid w:val="006816B7"/>
    <w:rsid w:val="00681728"/>
    <w:rsid w:val="00681732"/>
    <w:rsid w:val="00681E34"/>
    <w:rsid w:val="0068226F"/>
    <w:rsid w:val="0068245C"/>
    <w:rsid w:val="00682487"/>
    <w:rsid w:val="0068249C"/>
    <w:rsid w:val="0068270B"/>
    <w:rsid w:val="00683536"/>
    <w:rsid w:val="00684536"/>
    <w:rsid w:val="00685641"/>
    <w:rsid w:val="00685728"/>
    <w:rsid w:val="006859BD"/>
    <w:rsid w:val="006867C6"/>
    <w:rsid w:val="00686EFD"/>
    <w:rsid w:val="00687196"/>
    <w:rsid w:val="0068787F"/>
    <w:rsid w:val="00687C3E"/>
    <w:rsid w:val="00687C8A"/>
    <w:rsid w:val="00687DFC"/>
    <w:rsid w:val="00690C7F"/>
    <w:rsid w:val="0069113D"/>
    <w:rsid w:val="006911DB"/>
    <w:rsid w:val="006913E9"/>
    <w:rsid w:val="00691588"/>
    <w:rsid w:val="006926D9"/>
    <w:rsid w:val="006937E5"/>
    <w:rsid w:val="006938E1"/>
    <w:rsid w:val="006938F2"/>
    <w:rsid w:val="006940AB"/>
    <w:rsid w:val="00696191"/>
    <w:rsid w:val="006963F8"/>
    <w:rsid w:val="00696C33"/>
    <w:rsid w:val="006972E2"/>
    <w:rsid w:val="0069786C"/>
    <w:rsid w:val="0069788C"/>
    <w:rsid w:val="00697A31"/>
    <w:rsid w:val="00697B40"/>
    <w:rsid w:val="00697CED"/>
    <w:rsid w:val="00697E15"/>
    <w:rsid w:val="006A0726"/>
    <w:rsid w:val="006A0BF4"/>
    <w:rsid w:val="006A0D63"/>
    <w:rsid w:val="006A1167"/>
    <w:rsid w:val="006A11EC"/>
    <w:rsid w:val="006A1624"/>
    <w:rsid w:val="006A1E93"/>
    <w:rsid w:val="006A28AA"/>
    <w:rsid w:val="006A2EC6"/>
    <w:rsid w:val="006A339B"/>
    <w:rsid w:val="006A38EE"/>
    <w:rsid w:val="006A42AE"/>
    <w:rsid w:val="006A479B"/>
    <w:rsid w:val="006A4C36"/>
    <w:rsid w:val="006A5B94"/>
    <w:rsid w:val="006A5F08"/>
    <w:rsid w:val="006A741B"/>
    <w:rsid w:val="006A7780"/>
    <w:rsid w:val="006A7893"/>
    <w:rsid w:val="006B00D5"/>
    <w:rsid w:val="006B03A4"/>
    <w:rsid w:val="006B05D9"/>
    <w:rsid w:val="006B0DB7"/>
    <w:rsid w:val="006B0E7A"/>
    <w:rsid w:val="006B0F72"/>
    <w:rsid w:val="006B13D2"/>
    <w:rsid w:val="006B141A"/>
    <w:rsid w:val="006B216F"/>
    <w:rsid w:val="006B22B1"/>
    <w:rsid w:val="006B2364"/>
    <w:rsid w:val="006B2653"/>
    <w:rsid w:val="006B33FF"/>
    <w:rsid w:val="006B3724"/>
    <w:rsid w:val="006B3B40"/>
    <w:rsid w:val="006B3DC9"/>
    <w:rsid w:val="006B5092"/>
    <w:rsid w:val="006B58F9"/>
    <w:rsid w:val="006B74C1"/>
    <w:rsid w:val="006B7B00"/>
    <w:rsid w:val="006B7B11"/>
    <w:rsid w:val="006B7D89"/>
    <w:rsid w:val="006C00A3"/>
    <w:rsid w:val="006C021C"/>
    <w:rsid w:val="006C0585"/>
    <w:rsid w:val="006C0DD0"/>
    <w:rsid w:val="006C13F1"/>
    <w:rsid w:val="006C1423"/>
    <w:rsid w:val="006C14A2"/>
    <w:rsid w:val="006C32C8"/>
    <w:rsid w:val="006C3440"/>
    <w:rsid w:val="006C4634"/>
    <w:rsid w:val="006C4795"/>
    <w:rsid w:val="006C58B8"/>
    <w:rsid w:val="006C6327"/>
    <w:rsid w:val="006C6747"/>
    <w:rsid w:val="006C6A7E"/>
    <w:rsid w:val="006C6F53"/>
    <w:rsid w:val="006C706B"/>
    <w:rsid w:val="006C718A"/>
    <w:rsid w:val="006C7278"/>
    <w:rsid w:val="006C7F48"/>
    <w:rsid w:val="006D03F1"/>
    <w:rsid w:val="006D067C"/>
    <w:rsid w:val="006D0B40"/>
    <w:rsid w:val="006D0D74"/>
    <w:rsid w:val="006D1367"/>
    <w:rsid w:val="006D15ED"/>
    <w:rsid w:val="006D1AF2"/>
    <w:rsid w:val="006D2994"/>
    <w:rsid w:val="006D3091"/>
    <w:rsid w:val="006D3240"/>
    <w:rsid w:val="006D3BEF"/>
    <w:rsid w:val="006D4901"/>
    <w:rsid w:val="006D4F67"/>
    <w:rsid w:val="006D5D11"/>
    <w:rsid w:val="006D61D4"/>
    <w:rsid w:val="006D62AC"/>
    <w:rsid w:val="006D6EE6"/>
    <w:rsid w:val="006D7759"/>
    <w:rsid w:val="006E0B24"/>
    <w:rsid w:val="006E121D"/>
    <w:rsid w:val="006E1345"/>
    <w:rsid w:val="006E1BA5"/>
    <w:rsid w:val="006E1CA3"/>
    <w:rsid w:val="006E276F"/>
    <w:rsid w:val="006E2911"/>
    <w:rsid w:val="006E374E"/>
    <w:rsid w:val="006E3A85"/>
    <w:rsid w:val="006E43D7"/>
    <w:rsid w:val="006E4D22"/>
    <w:rsid w:val="006E4D43"/>
    <w:rsid w:val="006E56A1"/>
    <w:rsid w:val="006E7DD4"/>
    <w:rsid w:val="006F00F9"/>
    <w:rsid w:val="006F0920"/>
    <w:rsid w:val="006F0DAA"/>
    <w:rsid w:val="006F0F45"/>
    <w:rsid w:val="006F115B"/>
    <w:rsid w:val="006F14B2"/>
    <w:rsid w:val="006F1687"/>
    <w:rsid w:val="006F1C11"/>
    <w:rsid w:val="006F1F2C"/>
    <w:rsid w:val="006F1FAC"/>
    <w:rsid w:val="006F27A0"/>
    <w:rsid w:val="006F37AC"/>
    <w:rsid w:val="006F3A1A"/>
    <w:rsid w:val="006F4DF1"/>
    <w:rsid w:val="006F52F4"/>
    <w:rsid w:val="006F5585"/>
    <w:rsid w:val="006F70CC"/>
    <w:rsid w:val="006F71CB"/>
    <w:rsid w:val="006F7412"/>
    <w:rsid w:val="006F75A1"/>
    <w:rsid w:val="006F75EA"/>
    <w:rsid w:val="006F770A"/>
    <w:rsid w:val="006F7D7B"/>
    <w:rsid w:val="0070003E"/>
    <w:rsid w:val="00700A8C"/>
    <w:rsid w:val="00701101"/>
    <w:rsid w:val="007013A3"/>
    <w:rsid w:val="00701921"/>
    <w:rsid w:val="007037F2"/>
    <w:rsid w:val="0070383B"/>
    <w:rsid w:val="00703BC7"/>
    <w:rsid w:val="0070425A"/>
    <w:rsid w:val="007042B6"/>
    <w:rsid w:val="00704C77"/>
    <w:rsid w:val="00704E34"/>
    <w:rsid w:val="00704F2D"/>
    <w:rsid w:val="007062D1"/>
    <w:rsid w:val="0070636D"/>
    <w:rsid w:val="00706BF3"/>
    <w:rsid w:val="00706FC1"/>
    <w:rsid w:val="00707011"/>
    <w:rsid w:val="0070730A"/>
    <w:rsid w:val="007077CD"/>
    <w:rsid w:val="0071026A"/>
    <w:rsid w:val="00710FB8"/>
    <w:rsid w:val="00711001"/>
    <w:rsid w:val="007114DE"/>
    <w:rsid w:val="00711CA6"/>
    <w:rsid w:val="00712D70"/>
    <w:rsid w:val="00713412"/>
    <w:rsid w:val="00713DFD"/>
    <w:rsid w:val="00714E62"/>
    <w:rsid w:val="00714FED"/>
    <w:rsid w:val="007150C8"/>
    <w:rsid w:val="007168E9"/>
    <w:rsid w:val="00716AA7"/>
    <w:rsid w:val="00716C62"/>
    <w:rsid w:val="007211AC"/>
    <w:rsid w:val="00721E27"/>
    <w:rsid w:val="00722834"/>
    <w:rsid w:val="00722DCB"/>
    <w:rsid w:val="00723E73"/>
    <w:rsid w:val="007251D7"/>
    <w:rsid w:val="00725793"/>
    <w:rsid w:val="00725A09"/>
    <w:rsid w:val="00725C87"/>
    <w:rsid w:val="00730368"/>
    <w:rsid w:val="007304A5"/>
    <w:rsid w:val="00730EED"/>
    <w:rsid w:val="00730FAE"/>
    <w:rsid w:val="00731303"/>
    <w:rsid w:val="00731361"/>
    <w:rsid w:val="007321DA"/>
    <w:rsid w:val="007324B7"/>
    <w:rsid w:val="007327A4"/>
    <w:rsid w:val="00732DC9"/>
    <w:rsid w:val="007332C3"/>
    <w:rsid w:val="0073374F"/>
    <w:rsid w:val="00733BAB"/>
    <w:rsid w:val="00733CB2"/>
    <w:rsid w:val="00733EA6"/>
    <w:rsid w:val="0073461D"/>
    <w:rsid w:val="00734C60"/>
    <w:rsid w:val="00734D1E"/>
    <w:rsid w:val="00734F4D"/>
    <w:rsid w:val="0073586C"/>
    <w:rsid w:val="00735CC2"/>
    <w:rsid w:val="0073659D"/>
    <w:rsid w:val="00736A4F"/>
    <w:rsid w:val="00736C1C"/>
    <w:rsid w:val="007371C6"/>
    <w:rsid w:val="00737680"/>
    <w:rsid w:val="00740557"/>
    <w:rsid w:val="00740E16"/>
    <w:rsid w:val="007410DD"/>
    <w:rsid w:val="0074156E"/>
    <w:rsid w:val="0074172C"/>
    <w:rsid w:val="007418FD"/>
    <w:rsid w:val="0074246E"/>
    <w:rsid w:val="00742E86"/>
    <w:rsid w:val="00742ED9"/>
    <w:rsid w:val="0074344D"/>
    <w:rsid w:val="00743547"/>
    <w:rsid w:val="00743A54"/>
    <w:rsid w:val="00743ACA"/>
    <w:rsid w:val="00743E49"/>
    <w:rsid w:val="00744240"/>
    <w:rsid w:val="00745935"/>
    <w:rsid w:val="00745AA7"/>
    <w:rsid w:val="0074675F"/>
    <w:rsid w:val="007510E4"/>
    <w:rsid w:val="00751415"/>
    <w:rsid w:val="00752497"/>
    <w:rsid w:val="007525D1"/>
    <w:rsid w:val="00752F0B"/>
    <w:rsid w:val="00753237"/>
    <w:rsid w:val="00753AEB"/>
    <w:rsid w:val="00753B0B"/>
    <w:rsid w:val="00753FE8"/>
    <w:rsid w:val="007540C4"/>
    <w:rsid w:val="00754179"/>
    <w:rsid w:val="007542B8"/>
    <w:rsid w:val="00754ACB"/>
    <w:rsid w:val="007558F8"/>
    <w:rsid w:val="00755B8E"/>
    <w:rsid w:val="00756725"/>
    <w:rsid w:val="00756F09"/>
    <w:rsid w:val="00757931"/>
    <w:rsid w:val="00760271"/>
    <w:rsid w:val="00760D38"/>
    <w:rsid w:val="0076186B"/>
    <w:rsid w:val="00761951"/>
    <w:rsid w:val="00761958"/>
    <w:rsid w:val="00761D38"/>
    <w:rsid w:val="0076211C"/>
    <w:rsid w:val="007628F3"/>
    <w:rsid w:val="00762991"/>
    <w:rsid w:val="00762FF2"/>
    <w:rsid w:val="0076344C"/>
    <w:rsid w:val="007635A0"/>
    <w:rsid w:val="00763DCA"/>
    <w:rsid w:val="00764012"/>
    <w:rsid w:val="007644AD"/>
    <w:rsid w:val="00764C6E"/>
    <w:rsid w:val="0076538F"/>
    <w:rsid w:val="00765495"/>
    <w:rsid w:val="00765A74"/>
    <w:rsid w:val="00765FD2"/>
    <w:rsid w:val="00767A95"/>
    <w:rsid w:val="00770033"/>
    <w:rsid w:val="0077076D"/>
    <w:rsid w:val="0077135B"/>
    <w:rsid w:val="0077135E"/>
    <w:rsid w:val="007716AB"/>
    <w:rsid w:val="00771785"/>
    <w:rsid w:val="00773447"/>
    <w:rsid w:val="00773513"/>
    <w:rsid w:val="0077393A"/>
    <w:rsid w:val="0077459C"/>
    <w:rsid w:val="0077462E"/>
    <w:rsid w:val="00774F1C"/>
    <w:rsid w:val="00775AA9"/>
    <w:rsid w:val="00775B51"/>
    <w:rsid w:val="007763DF"/>
    <w:rsid w:val="007768C9"/>
    <w:rsid w:val="007769BB"/>
    <w:rsid w:val="007811D8"/>
    <w:rsid w:val="0078121C"/>
    <w:rsid w:val="007816D4"/>
    <w:rsid w:val="0078187F"/>
    <w:rsid w:val="0078191C"/>
    <w:rsid w:val="0078297D"/>
    <w:rsid w:val="007829B4"/>
    <w:rsid w:val="00784546"/>
    <w:rsid w:val="00785F44"/>
    <w:rsid w:val="00786A01"/>
    <w:rsid w:val="00786FDD"/>
    <w:rsid w:val="00787201"/>
    <w:rsid w:val="007873E7"/>
    <w:rsid w:val="00787617"/>
    <w:rsid w:val="00787F81"/>
    <w:rsid w:val="0079104C"/>
    <w:rsid w:val="0079147B"/>
    <w:rsid w:val="007924C7"/>
    <w:rsid w:val="00792A1F"/>
    <w:rsid w:val="00792BE9"/>
    <w:rsid w:val="00793750"/>
    <w:rsid w:val="00793EF5"/>
    <w:rsid w:val="0079484B"/>
    <w:rsid w:val="0079485D"/>
    <w:rsid w:val="00794FEE"/>
    <w:rsid w:val="007952CD"/>
    <w:rsid w:val="007952EE"/>
    <w:rsid w:val="007956F2"/>
    <w:rsid w:val="0079581E"/>
    <w:rsid w:val="00795B2D"/>
    <w:rsid w:val="007961EC"/>
    <w:rsid w:val="007962C8"/>
    <w:rsid w:val="00796B0D"/>
    <w:rsid w:val="00797316"/>
    <w:rsid w:val="007976D1"/>
    <w:rsid w:val="007A070B"/>
    <w:rsid w:val="007A0720"/>
    <w:rsid w:val="007A164B"/>
    <w:rsid w:val="007A188C"/>
    <w:rsid w:val="007A1CA4"/>
    <w:rsid w:val="007A1E1F"/>
    <w:rsid w:val="007A2187"/>
    <w:rsid w:val="007A2633"/>
    <w:rsid w:val="007A37EA"/>
    <w:rsid w:val="007A3A90"/>
    <w:rsid w:val="007A3FF8"/>
    <w:rsid w:val="007A4574"/>
    <w:rsid w:val="007A47DD"/>
    <w:rsid w:val="007A5C29"/>
    <w:rsid w:val="007A714B"/>
    <w:rsid w:val="007A7425"/>
    <w:rsid w:val="007A7841"/>
    <w:rsid w:val="007B066B"/>
    <w:rsid w:val="007B08C1"/>
    <w:rsid w:val="007B08E0"/>
    <w:rsid w:val="007B0EF8"/>
    <w:rsid w:val="007B1FAD"/>
    <w:rsid w:val="007B2034"/>
    <w:rsid w:val="007B2348"/>
    <w:rsid w:val="007B2643"/>
    <w:rsid w:val="007B2C99"/>
    <w:rsid w:val="007B2F69"/>
    <w:rsid w:val="007B31ED"/>
    <w:rsid w:val="007B320D"/>
    <w:rsid w:val="007B35ED"/>
    <w:rsid w:val="007B3611"/>
    <w:rsid w:val="007B36F4"/>
    <w:rsid w:val="007B43D4"/>
    <w:rsid w:val="007B4722"/>
    <w:rsid w:val="007B52D3"/>
    <w:rsid w:val="007B53E2"/>
    <w:rsid w:val="007B548A"/>
    <w:rsid w:val="007B7683"/>
    <w:rsid w:val="007C0225"/>
    <w:rsid w:val="007C06AA"/>
    <w:rsid w:val="007C1979"/>
    <w:rsid w:val="007C2236"/>
    <w:rsid w:val="007C3096"/>
    <w:rsid w:val="007C3184"/>
    <w:rsid w:val="007C33E5"/>
    <w:rsid w:val="007C3C56"/>
    <w:rsid w:val="007C4704"/>
    <w:rsid w:val="007C4A1D"/>
    <w:rsid w:val="007C55DC"/>
    <w:rsid w:val="007C5720"/>
    <w:rsid w:val="007C5FFD"/>
    <w:rsid w:val="007C60F4"/>
    <w:rsid w:val="007C63FF"/>
    <w:rsid w:val="007C6A01"/>
    <w:rsid w:val="007C73EE"/>
    <w:rsid w:val="007C7AAE"/>
    <w:rsid w:val="007C7B2C"/>
    <w:rsid w:val="007D0DBC"/>
    <w:rsid w:val="007D1903"/>
    <w:rsid w:val="007D1A1F"/>
    <w:rsid w:val="007D1AB6"/>
    <w:rsid w:val="007D1EDC"/>
    <w:rsid w:val="007D329C"/>
    <w:rsid w:val="007D3349"/>
    <w:rsid w:val="007D6338"/>
    <w:rsid w:val="007D6E5A"/>
    <w:rsid w:val="007D712C"/>
    <w:rsid w:val="007D746F"/>
    <w:rsid w:val="007D7B1C"/>
    <w:rsid w:val="007E0562"/>
    <w:rsid w:val="007E0EB1"/>
    <w:rsid w:val="007E1899"/>
    <w:rsid w:val="007E1ECD"/>
    <w:rsid w:val="007E2555"/>
    <w:rsid w:val="007E25ED"/>
    <w:rsid w:val="007E2AC7"/>
    <w:rsid w:val="007E338A"/>
    <w:rsid w:val="007E341F"/>
    <w:rsid w:val="007E37D8"/>
    <w:rsid w:val="007E44DC"/>
    <w:rsid w:val="007E4794"/>
    <w:rsid w:val="007E4B91"/>
    <w:rsid w:val="007E4BCD"/>
    <w:rsid w:val="007E539C"/>
    <w:rsid w:val="007E5ED0"/>
    <w:rsid w:val="007E6665"/>
    <w:rsid w:val="007E6A36"/>
    <w:rsid w:val="007E6BAF"/>
    <w:rsid w:val="007E6F46"/>
    <w:rsid w:val="007E75E7"/>
    <w:rsid w:val="007E7A79"/>
    <w:rsid w:val="007F0255"/>
    <w:rsid w:val="007F1EDD"/>
    <w:rsid w:val="007F266B"/>
    <w:rsid w:val="007F2851"/>
    <w:rsid w:val="007F32D2"/>
    <w:rsid w:val="007F3A85"/>
    <w:rsid w:val="007F3B0F"/>
    <w:rsid w:val="007F3F04"/>
    <w:rsid w:val="007F3F77"/>
    <w:rsid w:val="007F411A"/>
    <w:rsid w:val="007F4B9C"/>
    <w:rsid w:val="007F5388"/>
    <w:rsid w:val="007F5840"/>
    <w:rsid w:val="007F5D0F"/>
    <w:rsid w:val="007F6135"/>
    <w:rsid w:val="007F698D"/>
    <w:rsid w:val="007F6CDE"/>
    <w:rsid w:val="007F6DFA"/>
    <w:rsid w:val="007F76A3"/>
    <w:rsid w:val="0080141A"/>
    <w:rsid w:val="00801893"/>
    <w:rsid w:val="0080190B"/>
    <w:rsid w:val="00801A2D"/>
    <w:rsid w:val="00802017"/>
    <w:rsid w:val="00802E72"/>
    <w:rsid w:val="00802EEB"/>
    <w:rsid w:val="0080394F"/>
    <w:rsid w:val="00803A0D"/>
    <w:rsid w:val="00803FAF"/>
    <w:rsid w:val="00805A12"/>
    <w:rsid w:val="00805F68"/>
    <w:rsid w:val="008062CE"/>
    <w:rsid w:val="00806516"/>
    <w:rsid w:val="00806586"/>
    <w:rsid w:val="00806A3F"/>
    <w:rsid w:val="00806E31"/>
    <w:rsid w:val="0080734E"/>
    <w:rsid w:val="00807AC1"/>
    <w:rsid w:val="008100E1"/>
    <w:rsid w:val="00810C2A"/>
    <w:rsid w:val="0081149F"/>
    <w:rsid w:val="008117A9"/>
    <w:rsid w:val="00812356"/>
    <w:rsid w:val="0081354D"/>
    <w:rsid w:val="00813A84"/>
    <w:rsid w:val="00813C93"/>
    <w:rsid w:val="00813E67"/>
    <w:rsid w:val="008142B2"/>
    <w:rsid w:val="00814343"/>
    <w:rsid w:val="00814852"/>
    <w:rsid w:val="00814B76"/>
    <w:rsid w:val="008153B8"/>
    <w:rsid w:val="00815691"/>
    <w:rsid w:val="008164DF"/>
    <w:rsid w:val="0081690E"/>
    <w:rsid w:val="00816B05"/>
    <w:rsid w:val="008174BD"/>
    <w:rsid w:val="008174FC"/>
    <w:rsid w:val="00820791"/>
    <w:rsid w:val="00820D03"/>
    <w:rsid w:val="00820FD8"/>
    <w:rsid w:val="00821E94"/>
    <w:rsid w:val="00822261"/>
    <w:rsid w:val="0082243A"/>
    <w:rsid w:val="008226FE"/>
    <w:rsid w:val="0082293B"/>
    <w:rsid w:val="00822C0E"/>
    <w:rsid w:val="0082341D"/>
    <w:rsid w:val="0082349F"/>
    <w:rsid w:val="00823607"/>
    <w:rsid w:val="00823FB5"/>
    <w:rsid w:val="00824494"/>
    <w:rsid w:val="00824F68"/>
    <w:rsid w:val="008251B3"/>
    <w:rsid w:val="00825D56"/>
    <w:rsid w:val="00826BCC"/>
    <w:rsid w:val="008302D8"/>
    <w:rsid w:val="00830629"/>
    <w:rsid w:val="0083073B"/>
    <w:rsid w:val="00830F5C"/>
    <w:rsid w:val="008315CD"/>
    <w:rsid w:val="0083205F"/>
    <w:rsid w:val="00832B8A"/>
    <w:rsid w:val="00832DE6"/>
    <w:rsid w:val="008332CB"/>
    <w:rsid w:val="00833EB4"/>
    <w:rsid w:val="00834154"/>
    <w:rsid w:val="0083440C"/>
    <w:rsid w:val="00834BC0"/>
    <w:rsid w:val="00836362"/>
    <w:rsid w:val="00836AE0"/>
    <w:rsid w:val="00837068"/>
    <w:rsid w:val="008370D0"/>
    <w:rsid w:val="008374E2"/>
    <w:rsid w:val="00837B1B"/>
    <w:rsid w:val="00840F38"/>
    <w:rsid w:val="008411B5"/>
    <w:rsid w:val="0084120E"/>
    <w:rsid w:val="008412FF"/>
    <w:rsid w:val="0084200F"/>
    <w:rsid w:val="0084285B"/>
    <w:rsid w:val="00842CB4"/>
    <w:rsid w:val="00842FAA"/>
    <w:rsid w:val="0084360A"/>
    <w:rsid w:val="0084400C"/>
    <w:rsid w:val="008445B4"/>
    <w:rsid w:val="00845918"/>
    <w:rsid w:val="0084661E"/>
    <w:rsid w:val="0084687B"/>
    <w:rsid w:val="00846C46"/>
    <w:rsid w:val="00847084"/>
    <w:rsid w:val="008470AC"/>
    <w:rsid w:val="00847723"/>
    <w:rsid w:val="00847DBC"/>
    <w:rsid w:val="00850426"/>
    <w:rsid w:val="008505F8"/>
    <w:rsid w:val="00850A5C"/>
    <w:rsid w:val="008512E9"/>
    <w:rsid w:val="00851629"/>
    <w:rsid w:val="00851A78"/>
    <w:rsid w:val="00851BA4"/>
    <w:rsid w:val="00851D2B"/>
    <w:rsid w:val="00853633"/>
    <w:rsid w:val="008544CE"/>
    <w:rsid w:val="00854DC7"/>
    <w:rsid w:val="00855041"/>
    <w:rsid w:val="008556AF"/>
    <w:rsid w:val="00855D32"/>
    <w:rsid w:val="00856686"/>
    <w:rsid w:val="00857395"/>
    <w:rsid w:val="008604F3"/>
    <w:rsid w:val="00860537"/>
    <w:rsid w:val="00860BA1"/>
    <w:rsid w:val="008618F9"/>
    <w:rsid w:val="00861FC7"/>
    <w:rsid w:val="00862C66"/>
    <w:rsid w:val="00862E38"/>
    <w:rsid w:val="0086315B"/>
    <w:rsid w:val="00863E97"/>
    <w:rsid w:val="00863EFE"/>
    <w:rsid w:val="008647C0"/>
    <w:rsid w:val="00864B86"/>
    <w:rsid w:val="00864C6B"/>
    <w:rsid w:val="00865111"/>
    <w:rsid w:val="0086585B"/>
    <w:rsid w:val="00866477"/>
    <w:rsid w:val="00866ABD"/>
    <w:rsid w:val="00867139"/>
    <w:rsid w:val="008672F7"/>
    <w:rsid w:val="00867381"/>
    <w:rsid w:val="00867932"/>
    <w:rsid w:val="00867A8F"/>
    <w:rsid w:val="00867FA9"/>
    <w:rsid w:val="008707A5"/>
    <w:rsid w:val="0087082F"/>
    <w:rsid w:val="00870EE3"/>
    <w:rsid w:val="00871DB9"/>
    <w:rsid w:val="008726DB"/>
    <w:rsid w:val="00872DC3"/>
    <w:rsid w:val="00872FE7"/>
    <w:rsid w:val="0087301D"/>
    <w:rsid w:val="008733F8"/>
    <w:rsid w:val="008735CA"/>
    <w:rsid w:val="00873B5D"/>
    <w:rsid w:val="00873E8F"/>
    <w:rsid w:val="008746F2"/>
    <w:rsid w:val="00874BAF"/>
    <w:rsid w:val="008763C0"/>
    <w:rsid w:val="008766FB"/>
    <w:rsid w:val="00876A6D"/>
    <w:rsid w:val="008770AD"/>
    <w:rsid w:val="008777F5"/>
    <w:rsid w:val="008803F6"/>
    <w:rsid w:val="008808C0"/>
    <w:rsid w:val="00880A0C"/>
    <w:rsid w:val="00881380"/>
    <w:rsid w:val="00881FB3"/>
    <w:rsid w:val="008828CA"/>
    <w:rsid w:val="00883B3D"/>
    <w:rsid w:val="00883EF3"/>
    <w:rsid w:val="0088487D"/>
    <w:rsid w:val="00885201"/>
    <w:rsid w:val="008857D4"/>
    <w:rsid w:val="00886005"/>
    <w:rsid w:val="008861E6"/>
    <w:rsid w:val="00886720"/>
    <w:rsid w:val="008873EC"/>
    <w:rsid w:val="00887B12"/>
    <w:rsid w:val="00887C6C"/>
    <w:rsid w:val="00887F3D"/>
    <w:rsid w:val="008901FD"/>
    <w:rsid w:val="00890235"/>
    <w:rsid w:val="00890472"/>
    <w:rsid w:val="00890749"/>
    <w:rsid w:val="00890813"/>
    <w:rsid w:val="00890E42"/>
    <w:rsid w:val="00891076"/>
    <w:rsid w:val="008930A0"/>
    <w:rsid w:val="008932A1"/>
    <w:rsid w:val="00893D48"/>
    <w:rsid w:val="008940F0"/>
    <w:rsid w:val="0089468D"/>
    <w:rsid w:val="00894E53"/>
    <w:rsid w:val="0089506D"/>
    <w:rsid w:val="008952C6"/>
    <w:rsid w:val="00895795"/>
    <w:rsid w:val="0089600C"/>
    <w:rsid w:val="0089657A"/>
    <w:rsid w:val="00896B85"/>
    <w:rsid w:val="00896D49"/>
    <w:rsid w:val="00896E4F"/>
    <w:rsid w:val="00897377"/>
    <w:rsid w:val="00897788"/>
    <w:rsid w:val="00897F4D"/>
    <w:rsid w:val="008A0AA4"/>
    <w:rsid w:val="008A0C89"/>
    <w:rsid w:val="008A1996"/>
    <w:rsid w:val="008A1A0E"/>
    <w:rsid w:val="008A206E"/>
    <w:rsid w:val="008A2072"/>
    <w:rsid w:val="008A20AE"/>
    <w:rsid w:val="008A2648"/>
    <w:rsid w:val="008A3C36"/>
    <w:rsid w:val="008A488A"/>
    <w:rsid w:val="008A53C5"/>
    <w:rsid w:val="008A5AC4"/>
    <w:rsid w:val="008A5D5D"/>
    <w:rsid w:val="008A615C"/>
    <w:rsid w:val="008A6F18"/>
    <w:rsid w:val="008A7011"/>
    <w:rsid w:val="008A701F"/>
    <w:rsid w:val="008A7312"/>
    <w:rsid w:val="008A7CEF"/>
    <w:rsid w:val="008B0133"/>
    <w:rsid w:val="008B059D"/>
    <w:rsid w:val="008B0C01"/>
    <w:rsid w:val="008B0FB6"/>
    <w:rsid w:val="008B13AC"/>
    <w:rsid w:val="008B153D"/>
    <w:rsid w:val="008B1835"/>
    <w:rsid w:val="008B28C5"/>
    <w:rsid w:val="008B2B1C"/>
    <w:rsid w:val="008B41F0"/>
    <w:rsid w:val="008B43DD"/>
    <w:rsid w:val="008B5292"/>
    <w:rsid w:val="008B55AC"/>
    <w:rsid w:val="008B652B"/>
    <w:rsid w:val="008B6C59"/>
    <w:rsid w:val="008B72A5"/>
    <w:rsid w:val="008B743A"/>
    <w:rsid w:val="008B75E3"/>
    <w:rsid w:val="008B7B27"/>
    <w:rsid w:val="008B7DA9"/>
    <w:rsid w:val="008C02D5"/>
    <w:rsid w:val="008C0FD4"/>
    <w:rsid w:val="008C1831"/>
    <w:rsid w:val="008C1E60"/>
    <w:rsid w:val="008C2AF7"/>
    <w:rsid w:val="008C3AA3"/>
    <w:rsid w:val="008C5AC4"/>
    <w:rsid w:val="008C5BBF"/>
    <w:rsid w:val="008C601D"/>
    <w:rsid w:val="008C65B8"/>
    <w:rsid w:val="008C6614"/>
    <w:rsid w:val="008C69DD"/>
    <w:rsid w:val="008C6C36"/>
    <w:rsid w:val="008C70D8"/>
    <w:rsid w:val="008C7268"/>
    <w:rsid w:val="008C7622"/>
    <w:rsid w:val="008D00F9"/>
    <w:rsid w:val="008D0E40"/>
    <w:rsid w:val="008D1C30"/>
    <w:rsid w:val="008D2510"/>
    <w:rsid w:val="008D25A5"/>
    <w:rsid w:val="008D2AF7"/>
    <w:rsid w:val="008D3563"/>
    <w:rsid w:val="008D35C8"/>
    <w:rsid w:val="008D394B"/>
    <w:rsid w:val="008D40FA"/>
    <w:rsid w:val="008D45FA"/>
    <w:rsid w:val="008D498B"/>
    <w:rsid w:val="008D4F5F"/>
    <w:rsid w:val="008D547A"/>
    <w:rsid w:val="008D55DC"/>
    <w:rsid w:val="008D5F21"/>
    <w:rsid w:val="008D60D8"/>
    <w:rsid w:val="008D6A9B"/>
    <w:rsid w:val="008D6CDA"/>
    <w:rsid w:val="008D73D8"/>
    <w:rsid w:val="008D7555"/>
    <w:rsid w:val="008D76B8"/>
    <w:rsid w:val="008D76CE"/>
    <w:rsid w:val="008D7970"/>
    <w:rsid w:val="008E0E62"/>
    <w:rsid w:val="008E16E2"/>
    <w:rsid w:val="008E1943"/>
    <w:rsid w:val="008E3F8E"/>
    <w:rsid w:val="008E41A8"/>
    <w:rsid w:val="008E443F"/>
    <w:rsid w:val="008E498D"/>
    <w:rsid w:val="008E5E73"/>
    <w:rsid w:val="008E6287"/>
    <w:rsid w:val="008E72B8"/>
    <w:rsid w:val="008E7556"/>
    <w:rsid w:val="008E7AD0"/>
    <w:rsid w:val="008E7BA9"/>
    <w:rsid w:val="008E7C50"/>
    <w:rsid w:val="008F020E"/>
    <w:rsid w:val="008F0923"/>
    <w:rsid w:val="008F09D6"/>
    <w:rsid w:val="008F0ABD"/>
    <w:rsid w:val="008F188C"/>
    <w:rsid w:val="008F1C12"/>
    <w:rsid w:val="008F25E7"/>
    <w:rsid w:val="008F30B5"/>
    <w:rsid w:val="008F4045"/>
    <w:rsid w:val="008F41B1"/>
    <w:rsid w:val="008F42A3"/>
    <w:rsid w:val="008F4B69"/>
    <w:rsid w:val="008F4E75"/>
    <w:rsid w:val="008F53DD"/>
    <w:rsid w:val="008F6E7F"/>
    <w:rsid w:val="008F71F8"/>
    <w:rsid w:val="008F7786"/>
    <w:rsid w:val="008F7911"/>
    <w:rsid w:val="008F7AB3"/>
    <w:rsid w:val="00900702"/>
    <w:rsid w:val="00900C3E"/>
    <w:rsid w:val="009017E9"/>
    <w:rsid w:val="009025B1"/>
    <w:rsid w:val="00902BA6"/>
    <w:rsid w:val="00903388"/>
    <w:rsid w:val="00904363"/>
    <w:rsid w:val="00904795"/>
    <w:rsid w:val="00904CC9"/>
    <w:rsid w:val="009050E0"/>
    <w:rsid w:val="00905653"/>
    <w:rsid w:val="009058FC"/>
    <w:rsid w:val="00905F22"/>
    <w:rsid w:val="009061E5"/>
    <w:rsid w:val="009063EA"/>
    <w:rsid w:val="00906F45"/>
    <w:rsid w:val="00907004"/>
    <w:rsid w:val="00907317"/>
    <w:rsid w:val="00907AD0"/>
    <w:rsid w:val="00907F1D"/>
    <w:rsid w:val="00910597"/>
    <w:rsid w:val="00910A0D"/>
    <w:rsid w:val="00911701"/>
    <w:rsid w:val="00912710"/>
    <w:rsid w:val="00913037"/>
    <w:rsid w:val="00913364"/>
    <w:rsid w:val="00913736"/>
    <w:rsid w:val="00913936"/>
    <w:rsid w:val="009139B3"/>
    <w:rsid w:val="00914526"/>
    <w:rsid w:val="009147B4"/>
    <w:rsid w:val="00914CEF"/>
    <w:rsid w:val="00914EF4"/>
    <w:rsid w:val="00915211"/>
    <w:rsid w:val="00915764"/>
    <w:rsid w:val="009166FD"/>
    <w:rsid w:val="0092014B"/>
    <w:rsid w:val="009207A4"/>
    <w:rsid w:val="00920B4A"/>
    <w:rsid w:val="00921698"/>
    <w:rsid w:val="009218A2"/>
    <w:rsid w:val="00921C55"/>
    <w:rsid w:val="00922821"/>
    <w:rsid w:val="00922833"/>
    <w:rsid w:val="00922BFC"/>
    <w:rsid w:val="0092310A"/>
    <w:rsid w:val="009233C9"/>
    <w:rsid w:val="00923561"/>
    <w:rsid w:val="009238B3"/>
    <w:rsid w:val="00923EAB"/>
    <w:rsid w:val="00923EBE"/>
    <w:rsid w:val="009247C1"/>
    <w:rsid w:val="0092607F"/>
    <w:rsid w:val="0092620E"/>
    <w:rsid w:val="00926230"/>
    <w:rsid w:val="009275DF"/>
    <w:rsid w:val="0092765F"/>
    <w:rsid w:val="00927B2F"/>
    <w:rsid w:val="00927D33"/>
    <w:rsid w:val="00927E00"/>
    <w:rsid w:val="00930336"/>
    <w:rsid w:val="00930CE3"/>
    <w:rsid w:val="009318E9"/>
    <w:rsid w:val="00932A01"/>
    <w:rsid w:val="00933D4A"/>
    <w:rsid w:val="0093420D"/>
    <w:rsid w:val="00934692"/>
    <w:rsid w:val="00934EA5"/>
    <w:rsid w:val="009357B0"/>
    <w:rsid w:val="00935919"/>
    <w:rsid w:val="00936341"/>
    <w:rsid w:val="009363A3"/>
    <w:rsid w:val="00936958"/>
    <w:rsid w:val="00936D74"/>
    <w:rsid w:val="0093753F"/>
    <w:rsid w:val="00937ED1"/>
    <w:rsid w:val="00937F7A"/>
    <w:rsid w:val="00941954"/>
    <w:rsid w:val="0094291A"/>
    <w:rsid w:val="00942EF8"/>
    <w:rsid w:val="00943A1B"/>
    <w:rsid w:val="00944404"/>
    <w:rsid w:val="009450FB"/>
    <w:rsid w:val="009451B7"/>
    <w:rsid w:val="00945AB8"/>
    <w:rsid w:val="00945D80"/>
    <w:rsid w:val="00945DAE"/>
    <w:rsid w:val="00946188"/>
    <w:rsid w:val="009467D5"/>
    <w:rsid w:val="00946EA4"/>
    <w:rsid w:val="009470E9"/>
    <w:rsid w:val="0094767B"/>
    <w:rsid w:val="00947C2D"/>
    <w:rsid w:val="0095033A"/>
    <w:rsid w:val="00950649"/>
    <w:rsid w:val="00950A70"/>
    <w:rsid w:val="00950BD7"/>
    <w:rsid w:val="00952BB2"/>
    <w:rsid w:val="00952C01"/>
    <w:rsid w:val="009530F5"/>
    <w:rsid w:val="009532E0"/>
    <w:rsid w:val="00953357"/>
    <w:rsid w:val="009537E2"/>
    <w:rsid w:val="0095386A"/>
    <w:rsid w:val="00953A12"/>
    <w:rsid w:val="00953BAA"/>
    <w:rsid w:val="00953E95"/>
    <w:rsid w:val="00954081"/>
    <w:rsid w:val="009547CB"/>
    <w:rsid w:val="00954D7B"/>
    <w:rsid w:val="009560C5"/>
    <w:rsid w:val="00956D9E"/>
    <w:rsid w:val="00957138"/>
    <w:rsid w:val="00957E78"/>
    <w:rsid w:val="00957EF5"/>
    <w:rsid w:val="009604E3"/>
    <w:rsid w:val="00960826"/>
    <w:rsid w:val="009608EA"/>
    <w:rsid w:val="009609AF"/>
    <w:rsid w:val="00962300"/>
    <w:rsid w:val="00962A29"/>
    <w:rsid w:val="00963866"/>
    <w:rsid w:val="00963A09"/>
    <w:rsid w:val="00964008"/>
    <w:rsid w:val="00964435"/>
    <w:rsid w:val="00964991"/>
    <w:rsid w:val="009652CF"/>
    <w:rsid w:val="00965B3E"/>
    <w:rsid w:val="00966310"/>
    <w:rsid w:val="00966519"/>
    <w:rsid w:val="0096661D"/>
    <w:rsid w:val="00966C33"/>
    <w:rsid w:val="00966D4C"/>
    <w:rsid w:val="009671F1"/>
    <w:rsid w:val="009704F0"/>
    <w:rsid w:val="00970524"/>
    <w:rsid w:val="00970586"/>
    <w:rsid w:val="009708A2"/>
    <w:rsid w:val="00970906"/>
    <w:rsid w:val="00970CAD"/>
    <w:rsid w:val="009710F0"/>
    <w:rsid w:val="00972127"/>
    <w:rsid w:val="00972434"/>
    <w:rsid w:val="009748D5"/>
    <w:rsid w:val="00974FF9"/>
    <w:rsid w:val="00975315"/>
    <w:rsid w:val="00975893"/>
    <w:rsid w:val="0097589A"/>
    <w:rsid w:val="009767B4"/>
    <w:rsid w:val="00980BC8"/>
    <w:rsid w:val="0098181A"/>
    <w:rsid w:val="00981ABA"/>
    <w:rsid w:val="0098293C"/>
    <w:rsid w:val="00982BDE"/>
    <w:rsid w:val="00983455"/>
    <w:rsid w:val="009858BE"/>
    <w:rsid w:val="00985AE0"/>
    <w:rsid w:val="00986C51"/>
    <w:rsid w:val="00987016"/>
    <w:rsid w:val="009876A0"/>
    <w:rsid w:val="00990536"/>
    <w:rsid w:val="0099062D"/>
    <w:rsid w:val="00990BDC"/>
    <w:rsid w:val="00991818"/>
    <w:rsid w:val="00991ECD"/>
    <w:rsid w:val="00992119"/>
    <w:rsid w:val="009926BE"/>
    <w:rsid w:val="00992BC4"/>
    <w:rsid w:val="009936C8"/>
    <w:rsid w:val="00993FC5"/>
    <w:rsid w:val="00993FCE"/>
    <w:rsid w:val="00994E63"/>
    <w:rsid w:val="009956A9"/>
    <w:rsid w:val="00995893"/>
    <w:rsid w:val="00996676"/>
    <w:rsid w:val="009966F0"/>
    <w:rsid w:val="00996C4F"/>
    <w:rsid w:val="00996FC9"/>
    <w:rsid w:val="009A0FBB"/>
    <w:rsid w:val="009A116D"/>
    <w:rsid w:val="009A11E7"/>
    <w:rsid w:val="009A1229"/>
    <w:rsid w:val="009A1621"/>
    <w:rsid w:val="009A16AE"/>
    <w:rsid w:val="009A186A"/>
    <w:rsid w:val="009A1908"/>
    <w:rsid w:val="009A2108"/>
    <w:rsid w:val="009A2273"/>
    <w:rsid w:val="009A2551"/>
    <w:rsid w:val="009A25C6"/>
    <w:rsid w:val="009A2EBE"/>
    <w:rsid w:val="009A32C3"/>
    <w:rsid w:val="009A3B93"/>
    <w:rsid w:val="009A4035"/>
    <w:rsid w:val="009A41CD"/>
    <w:rsid w:val="009A44E3"/>
    <w:rsid w:val="009A479F"/>
    <w:rsid w:val="009A4C5C"/>
    <w:rsid w:val="009A5783"/>
    <w:rsid w:val="009A76AC"/>
    <w:rsid w:val="009A7D47"/>
    <w:rsid w:val="009A7F55"/>
    <w:rsid w:val="009B0DE7"/>
    <w:rsid w:val="009B2366"/>
    <w:rsid w:val="009B2368"/>
    <w:rsid w:val="009B2654"/>
    <w:rsid w:val="009B2EBF"/>
    <w:rsid w:val="009B3EF7"/>
    <w:rsid w:val="009B40C5"/>
    <w:rsid w:val="009B49B5"/>
    <w:rsid w:val="009B55C5"/>
    <w:rsid w:val="009B56A1"/>
    <w:rsid w:val="009B586F"/>
    <w:rsid w:val="009B5996"/>
    <w:rsid w:val="009B6802"/>
    <w:rsid w:val="009B6A93"/>
    <w:rsid w:val="009B6C17"/>
    <w:rsid w:val="009B71E8"/>
    <w:rsid w:val="009B7E82"/>
    <w:rsid w:val="009C09F2"/>
    <w:rsid w:val="009C0BF3"/>
    <w:rsid w:val="009C0D7D"/>
    <w:rsid w:val="009C0FE6"/>
    <w:rsid w:val="009C1455"/>
    <w:rsid w:val="009C1CBD"/>
    <w:rsid w:val="009C1FC9"/>
    <w:rsid w:val="009C2680"/>
    <w:rsid w:val="009C2F6F"/>
    <w:rsid w:val="009C3878"/>
    <w:rsid w:val="009C3955"/>
    <w:rsid w:val="009C3A5A"/>
    <w:rsid w:val="009C4F57"/>
    <w:rsid w:val="009C5058"/>
    <w:rsid w:val="009C514F"/>
    <w:rsid w:val="009C57C3"/>
    <w:rsid w:val="009C639F"/>
    <w:rsid w:val="009C7135"/>
    <w:rsid w:val="009D0259"/>
    <w:rsid w:val="009D0558"/>
    <w:rsid w:val="009D1157"/>
    <w:rsid w:val="009D1292"/>
    <w:rsid w:val="009D185C"/>
    <w:rsid w:val="009D1B09"/>
    <w:rsid w:val="009D1C0A"/>
    <w:rsid w:val="009D20F7"/>
    <w:rsid w:val="009D2EF1"/>
    <w:rsid w:val="009D3AF2"/>
    <w:rsid w:val="009D3EAA"/>
    <w:rsid w:val="009D47A8"/>
    <w:rsid w:val="009D49F5"/>
    <w:rsid w:val="009D52DC"/>
    <w:rsid w:val="009D5C48"/>
    <w:rsid w:val="009D5EA4"/>
    <w:rsid w:val="009D787B"/>
    <w:rsid w:val="009D79AD"/>
    <w:rsid w:val="009D7BDF"/>
    <w:rsid w:val="009D7C2D"/>
    <w:rsid w:val="009D7FBF"/>
    <w:rsid w:val="009E05D1"/>
    <w:rsid w:val="009E0748"/>
    <w:rsid w:val="009E09F0"/>
    <w:rsid w:val="009E0A1C"/>
    <w:rsid w:val="009E0B86"/>
    <w:rsid w:val="009E1586"/>
    <w:rsid w:val="009E169A"/>
    <w:rsid w:val="009E16DF"/>
    <w:rsid w:val="009E1949"/>
    <w:rsid w:val="009E1A2D"/>
    <w:rsid w:val="009E2318"/>
    <w:rsid w:val="009E2422"/>
    <w:rsid w:val="009E2B02"/>
    <w:rsid w:val="009E2C20"/>
    <w:rsid w:val="009E34EA"/>
    <w:rsid w:val="009E3A11"/>
    <w:rsid w:val="009E3D2C"/>
    <w:rsid w:val="009E3E54"/>
    <w:rsid w:val="009E452F"/>
    <w:rsid w:val="009E4C6B"/>
    <w:rsid w:val="009E5520"/>
    <w:rsid w:val="009E5FCA"/>
    <w:rsid w:val="009E6E27"/>
    <w:rsid w:val="009E7A40"/>
    <w:rsid w:val="009F18C3"/>
    <w:rsid w:val="009F1FBD"/>
    <w:rsid w:val="009F2365"/>
    <w:rsid w:val="009F3851"/>
    <w:rsid w:val="009F3D5B"/>
    <w:rsid w:val="009F47F2"/>
    <w:rsid w:val="009F4E4B"/>
    <w:rsid w:val="009F529C"/>
    <w:rsid w:val="009F551A"/>
    <w:rsid w:val="009F6522"/>
    <w:rsid w:val="009F6BD6"/>
    <w:rsid w:val="009F701F"/>
    <w:rsid w:val="009F776A"/>
    <w:rsid w:val="009F7834"/>
    <w:rsid w:val="009F7EBC"/>
    <w:rsid w:val="009F7FD2"/>
    <w:rsid w:val="00A0051F"/>
    <w:rsid w:val="00A00C3C"/>
    <w:rsid w:val="00A00E4E"/>
    <w:rsid w:val="00A0164D"/>
    <w:rsid w:val="00A01777"/>
    <w:rsid w:val="00A01CCC"/>
    <w:rsid w:val="00A02178"/>
    <w:rsid w:val="00A02A44"/>
    <w:rsid w:val="00A02CB4"/>
    <w:rsid w:val="00A045BA"/>
    <w:rsid w:val="00A04B7D"/>
    <w:rsid w:val="00A0626F"/>
    <w:rsid w:val="00A06611"/>
    <w:rsid w:val="00A06635"/>
    <w:rsid w:val="00A06D29"/>
    <w:rsid w:val="00A0751D"/>
    <w:rsid w:val="00A10392"/>
    <w:rsid w:val="00A10805"/>
    <w:rsid w:val="00A10E0F"/>
    <w:rsid w:val="00A1110B"/>
    <w:rsid w:val="00A121CA"/>
    <w:rsid w:val="00A13F85"/>
    <w:rsid w:val="00A143F3"/>
    <w:rsid w:val="00A1472D"/>
    <w:rsid w:val="00A15007"/>
    <w:rsid w:val="00A151FF"/>
    <w:rsid w:val="00A15586"/>
    <w:rsid w:val="00A1597C"/>
    <w:rsid w:val="00A16276"/>
    <w:rsid w:val="00A16FF7"/>
    <w:rsid w:val="00A1780F"/>
    <w:rsid w:val="00A20233"/>
    <w:rsid w:val="00A20357"/>
    <w:rsid w:val="00A20394"/>
    <w:rsid w:val="00A2044E"/>
    <w:rsid w:val="00A2180A"/>
    <w:rsid w:val="00A21CCA"/>
    <w:rsid w:val="00A21E2A"/>
    <w:rsid w:val="00A224E5"/>
    <w:rsid w:val="00A227B4"/>
    <w:rsid w:val="00A22CAE"/>
    <w:rsid w:val="00A2334A"/>
    <w:rsid w:val="00A233A9"/>
    <w:rsid w:val="00A23617"/>
    <w:rsid w:val="00A23D6B"/>
    <w:rsid w:val="00A24C52"/>
    <w:rsid w:val="00A24D22"/>
    <w:rsid w:val="00A25705"/>
    <w:rsid w:val="00A258CA"/>
    <w:rsid w:val="00A25B30"/>
    <w:rsid w:val="00A2678A"/>
    <w:rsid w:val="00A26AA4"/>
    <w:rsid w:val="00A276C2"/>
    <w:rsid w:val="00A27902"/>
    <w:rsid w:val="00A30016"/>
    <w:rsid w:val="00A30079"/>
    <w:rsid w:val="00A3009E"/>
    <w:rsid w:val="00A30389"/>
    <w:rsid w:val="00A326BD"/>
    <w:rsid w:val="00A326F2"/>
    <w:rsid w:val="00A32983"/>
    <w:rsid w:val="00A332EB"/>
    <w:rsid w:val="00A3374A"/>
    <w:rsid w:val="00A33F1B"/>
    <w:rsid w:val="00A3476C"/>
    <w:rsid w:val="00A34839"/>
    <w:rsid w:val="00A34DF5"/>
    <w:rsid w:val="00A351C5"/>
    <w:rsid w:val="00A35409"/>
    <w:rsid w:val="00A35881"/>
    <w:rsid w:val="00A35FE4"/>
    <w:rsid w:val="00A361C8"/>
    <w:rsid w:val="00A369F8"/>
    <w:rsid w:val="00A36DB4"/>
    <w:rsid w:val="00A373A4"/>
    <w:rsid w:val="00A373AB"/>
    <w:rsid w:val="00A3763A"/>
    <w:rsid w:val="00A37983"/>
    <w:rsid w:val="00A37A1E"/>
    <w:rsid w:val="00A37ACD"/>
    <w:rsid w:val="00A37FCB"/>
    <w:rsid w:val="00A4000B"/>
    <w:rsid w:val="00A401EB"/>
    <w:rsid w:val="00A40F2F"/>
    <w:rsid w:val="00A41C68"/>
    <w:rsid w:val="00A4226F"/>
    <w:rsid w:val="00A424A9"/>
    <w:rsid w:val="00A42BFB"/>
    <w:rsid w:val="00A440DC"/>
    <w:rsid w:val="00A441DE"/>
    <w:rsid w:val="00A44950"/>
    <w:rsid w:val="00A449AC"/>
    <w:rsid w:val="00A4592A"/>
    <w:rsid w:val="00A45FEB"/>
    <w:rsid w:val="00A466CA"/>
    <w:rsid w:val="00A46C5F"/>
    <w:rsid w:val="00A4725F"/>
    <w:rsid w:val="00A47501"/>
    <w:rsid w:val="00A47562"/>
    <w:rsid w:val="00A476CC"/>
    <w:rsid w:val="00A47CED"/>
    <w:rsid w:val="00A507FE"/>
    <w:rsid w:val="00A50A07"/>
    <w:rsid w:val="00A50FE7"/>
    <w:rsid w:val="00A51219"/>
    <w:rsid w:val="00A513F0"/>
    <w:rsid w:val="00A52011"/>
    <w:rsid w:val="00A5216B"/>
    <w:rsid w:val="00A524F6"/>
    <w:rsid w:val="00A5389C"/>
    <w:rsid w:val="00A53B05"/>
    <w:rsid w:val="00A53EAC"/>
    <w:rsid w:val="00A544B6"/>
    <w:rsid w:val="00A549E7"/>
    <w:rsid w:val="00A54A8F"/>
    <w:rsid w:val="00A55209"/>
    <w:rsid w:val="00A5536B"/>
    <w:rsid w:val="00A5560B"/>
    <w:rsid w:val="00A55AA4"/>
    <w:rsid w:val="00A55D2C"/>
    <w:rsid w:val="00A55D5A"/>
    <w:rsid w:val="00A55DB6"/>
    <w:rsid w:val="00A56DDB"/>
    <w:rsid w:val="00A57035"/>
    <w:rsid w:val="00A57069"/>
    <w:rsid w:val="00A575F3"/>
    <w:rsid w:val="00A6029F"/>
    <w:rsid w:val="00A615D3"/>
    <w:rsid w:val="00A62007"/>
    <w:rsid w:val="00A62516"/>
    <w:rsid w:val="00A62AAA"/>
    <w:rsid w:val="00A63AE7"/>
    <w:rsid w:val="00A6510F"/>
    <w:rsid w:val="00A652C0"/>
    <w:rsid w:val="00A6540E"/>
    <w:rsid w:val="00A65505"/>
    <w:rsid w:val="00A6584F"/>
    <w:rsid w:val="00A65C5A"/>
    <w:rsid w:val="00A65E40"/>
    <w:rsid w:val="00A66266"/>
    <w:rsid w:val="00A6674B"/>
    <w:rsid w:val="00A668A9"/>
    <w:rsid w:val="00A66AB8"/>
    <w:rsid w:val="00A66C04"/>
    <w:rsid w:val="00A66D75"/>
    <w:rsid w:val="00A66FD7"/>
    <w:rsid w:val="00A6720C"/>
    <w:rsid w:val="00A67D1A"/>
    <w:rsid w:val="00A7053B"/>
    <w:rsid w:val="00A714A9"/>
    <w:rsid w:val="00A71F2D"/>
    <w:rsid w:val="00A72CD6"/>
    <w:rsid w:val="00A7323A"/>
    <w:rsid w:val="00A735A3"/>
    <w:rsid w:val="00A73D7C"/>
    <w:rsid w:val="00A74490"/>
    <w:rsid w:val="00A74517"/>
    <w:rsid w:val="00A74E33"/>
    <w:rsid w:val="00A75476"/>
    <w:rsid w:val="00A758FF"/>
    <w:rsid w:val="00A7634F"/>
    <w:rsid w:val="00A77D60"/>
    <w:rsid w:val="00A8025E"/>
    <w:rsid w:val="00A8052D"/>
    <w:rsid w:val="00A8058A"/>
    <w:rsid w:val="00A81019"/>
    <w:rsid w:val="00A81875"/>
    <w:rsid w:val="00A827C3"/>
    <w:rsid w:val="00A835A2"/>
    <w:rsid w:val="00A83EC3"/>
    <w:rsid w:val="00A84C2D"/>
    <w:rsid w:val="00A85704"/>
    <w:rsid w:val="00A85D2F"/>
    <w:rsid w:val="00A86331"/>
    <w:rsid w:val="00A87AEE"/>
    <w:rsid w:val="00A87E5C"/>
    <w:rsid w:val="00A87F29"/>
    <w:rsid w:val="00A9021E"/>
    <w:rsid w:val="00A9034C"/>
    <w:rsid w:val="00A90EB0"/>
    <w:rsid w:val="00A91AA4"/>
    <w:rsid w:val="00A91FD4"/>
    <w:rsid w:val="00A924C8"/>
    <w:rsid w:val="00A93D15"/>
    <w:rsid w:val="00A941D6"/>
    <w:rsid w:val="00A94256"/>
    <w:rsid w:val="00A9435E"/>
    <w:rsid w:val="00A94775"/>
    <w:rsid w:val="00A9489C"/>
    <w:rsid w:val="00A948B6"/>
    <w:rsid w:val="00A94B34"/>
    <w:rsid w:val="00A95CB6"/>
    <w:rsid w:val="00A95CE9"/>
    <w:rsid w:val="00A971ED"/>
    <w:rsid w:val="00A97617"/>
    <w:rsid w:val="00A97D6F"/>
    <w:rsid w:val="00AA01D7"/>
    <w:rsid w:val="00AA0D38"/>
    <w:rsid w:val="00AA138B"/>
    <w:rsid w:val="00AA158B"/>
    <w:rsid w:val="00AA338E"/>
    <w:rsid w:val="00AA3506"/>
    <w:rsid w:val="00AA3870"/>
    <w:rsid w:val="00AA4BBD"/>
    <w:rsid w:val="00AA5157"/>
    <w:rsid w:val="00AA5755"/>
    <w:rsid w:val="00AA5DCD"/>
    <w:rsid w:val="00AA6122"/>
    <w:rsid w:val="00AA686F"/>
    <w:rsid w:val="00AA6EC7"/>
    <w:rsid w:val="00AA7D36"/>
    <w:rsid w:val="00AA7EF6"/>
    <w:rsid w:val="00AB05A1"/>
    <w:rsid w:val="00AB0B01"/>
    <w:rsid w:val="00AB18F7"/>
    <w:rsid w:val="00AB1C4F"/>
    <w:rsid w:val="00AB21B4"/>
    <w:rsid w:val="00AB2354"/>
    <w:rsid w:val="00AB267B"/>
    <w:rsid w:val="00AB2EC3"/>
    <w:rsid w:val="00AB3529"/>
    <w:rsid w:val="00AB3A67"/>
    <w:rsid w:val="00AB3FB6"/>
    <w:rsid w:val="00AB3FCF"/>
    <w:rsid w:val="00AB47CE"/>
    <w:rsid w:val="00AB768E"/>
    <w:rsid w:val="00AB78C5"/>
    <w:rsid w:val="00AC16B0"/>
    <w:rsid w:val="00AC2602"/>
    <w:rsid w:val="00AC2666"/>
    <w:rsid w:val="00AC3BEE"/>
    <w:rsid w:val="00AC3C8E"/>
    <w:rsid w:val="00AC4099"/>
    <w:rsid w:val="00AC4509"/>
    <w:rsid w:val="00AC5658"/>
    <w:rsid w:val="00AC652F"/>
    <w:rsid w:val="00AC6D21"/>
    <w:rsid w:val="00AC70A4"/>
    <w:rsid w:val="00AC7136"/>
    <w:rsid w:val="00AC764D"/>
    <w:rsid w:val="00AC7D80"/>
    <w:rsid w:val="00AC7E3F"/>
    <w:rsid w:val="00AC7EC6"/>
    <w:rsid w:val="00AD00B0"/>
    <w:rsid w:val="00AD0FA0"/>
    <w:rsid w:val="00AD18D6"/>
    <w:rsid w:val="00AD1D59"/>
    <w:rsid w:val="00AD2132"/>
    <w:rsid w:val="00AD2440"/>
    <w:rsid w:val="00AD2870"/>
    <w:rsid w:val="00AD3612"/>
    <w:rsid w:val="00AD37A7"/>
    <w:rsid w:val="00AD3905"/>
    <w:rsid w:val="00AD39AC"/>
    <w:rsid w:val="00AD3A84"/>
    <w:rsid w:val="00AD3E88"/>
    <w:rsid w:val="00AD4C56"/>
    <w:rsid w:val="00AD53CE"/>
    <w:rsid w:val="00AD67A8"/>
    <w:rsid w:val="00AD6AC1"/>
    <w:rsid w:val="00AD70B5"/>
    <w:rsid w:val="00AD78DF"/>
    <w:rsid w:val="00AE005A"/>
    <w:rsid w:val="00AE04A0"/>
    <w:rsid w:val="00AE09B9"/>
    <w:rsid w:val="00AE0A95"/>
    <w:rsid w:val="00AE0D95"/>
    <w:rsid w:val="00AE135F"/>
    <w:rsid w:val="00AE1460"/>
    <w:rsid w:val="00AE1C9F"/>
    <w:rsid w:val="00AE23CE"/>
    <w:rsid w:val="00AE29EA"/>
    <w:rsid w:val="00AE2C03"/>
    <w:rsid w:val="00AE2FCA"/>
    <w:rsid w:val="00AE3790"/>
    <w:rsid w:val="00AE4F3F"/>
    <w:rsid w:val="00AE542B"/>
    <w:rsid w:val="00AE5C83"/>
    <w:rsid w:val="00AE60AA"/>
    <w:rsid w:val="00AE6249"/>
    <w:rsid w:val="00AE634C"/>
    <w:rsid w:val="00AE656C"/>
    <w:rsid w:val="00AE7F1B"/>
    <w:rsid w:val="00AF06E0"/>
    <w:rsid w:val="00AF277B"/>
    <w:rsid w:val="00AF2E14"/>
    <w:rsid w:val="00AF2E34"/>
    <w:rsid w:val="00AF2F77"/>
    <w:rsid w:val="00AF3131"/>
    <w:rsid w:val="00AF36A1"/>
    <w:rsid w:val="00AF3958"/>
    <w:rsid w:val="00AF3FF5"/>
    <w:rsid w:val="00AF4217"/>
    <w:rsid w:val="00AF432D"/>
    <w:rsid w:val="00AF4A8D"/>
    <w:rsid w:val="00AF59FB"/>
    <w:rsid w:val="00AF5FBC"/>
    <w:rsid w:val="00AF606F"/>
    <w:rsid w:val="00AF6531"/>
    <w:rsid w:val="00AF689B"/>
    <w:rsid w:val="00AF6BB3"/>
    <w:rsid w:val="00AF74BE"/>
    <w:rsid w:val="00AF7718"/>
    <w:rsid w:val="00AF77BD"/>
    <w:rsid w:val="00AF7912"/>
    <w:rsid w:val="00B00941"/>
    <w:rsid w:val="00B01A04"/>
    <w:rsid w:val="00B0222C"/>
    <w:rsid w:val="00B0255E"/>
    <w:rsid w:val="00B025DE"/>
    <w:rsid w:val="00B02674"/>
    <w:rsid w:val="00B02C8A"/>
    <w:rsid w:val="00B02CFE"/>
    <w:rsid w:val="00B02D7B"/>
    <w:rsid w:val="00B02E71"/>
    <w:rsid w:val="00B03B35"/>
    <w:rsid w:val="00B0455A"/>
    <w:rsid w:val="00B0457E"/>
    <w:rsid w:val="00B051D3"/>
    <w:rsid w:val="00B067CB"/>
    <w:rsid w:val="00B07378"/>
    <w:rsid w:val="00B07882"/>
    <w:rsid w:val="00B1010A"/>
    <w:rsid w:val="00B10727"/>
    <w:rsid w:val="00B113CB"/>
    <w:rsid w:val="00B11CB8"/>
    <w:rsid w:val="00B123D5"/>
    <w:rsid w:val="00B12C2E"/>
    <w:rsid w:val="00B12E5F"/>
    <w:rsid w:val="00B141BA"/>
    <w:rsid w:val="00B14AD6"/>
    <w:rsid w:val="00B1528F"/>
    <w:rsid w:val="00B15547"/>
    <w:rsid w:val="00B156B4"/>
    <w:rsid w:val="00B156C8"/>
    <w:rsid w:val="00B15D39"/>
    <w:rsid w:val="00B17587"/>
    <w:rsid w:val="00B1786B"/>
    <w:rsid w:val="00B200F2"/>
    <w:rsid w:val="00B206B3"/>
    <w:rsid w:val="00B206B6"/>
    <w:rsid w:val="00B20A5E"/>
    <w:rsid w:val="00B20AF8"/>
    <w:rsid w:val="00B20EEE"/>
    <w:rsid w:val="00B21AE7"/>
    <w:rsid w:val="00B2337F"/>
    <w:rsid w:val="00B233FE"/>
    <w:rsid w:val="00B237A4"/>
    <w:rsid w:val="00B23955"/>
    <w:rsid w:val="00B23D97"/>
    <w:rsid w:val="00B24268"/>
    <w:rsid w:val="00B244A2"/>
    <w:rsid w:val="00B247A7"/>
    <w:rsid w:val="00B24E63"/>
    <w:rsid w:val="00B2569F"/>
    <w:rsid w:val="00B277C6"/>
    <w:rsid w:val="00B27874"/>
    <w:rsid w:val="00B27FDC"/>
    <w:rsid w:val="00B304D6"/>
    <w:rsid w:val="00B30E38"/>
    <w:rsid w:val="00B32202"/>
    <w:rsid w:val="00B32376"/>
    <w:rsid w:val="00B32470"/>
    <w:rsid w:val="00B32A92"/>
    <w:rsid w:val="00B33A2E"/>
    <w:rsid w:val="00B33BF9"/>
    <w:rsid w:val="00B3446A"/>
    <w:rsid w:val="00B344A9"/>
    <w:rsid w:val="00B3454E"/>
    <w:rsid w:val="00B34B9C"/>
    <w:rsid w:val="00B34C7B"/>
    <w:rsid w:val="00B3574A"/>
    <w:rsid w:val="00B36418"/>
    <w:rsid w:val="00B365FE"/>
    <w:rsid w:val="00B36D34"/>
    <w:rsid w:val="00B3796F"/>
    <w:rsid w:val="00B4024B"/>
    <w:rsid w:val="00B40589"/>
    <w:rsid w:val="00B40B5D"/>
    <w:rsid w:val="00B41054"/>
    <w:rsid w:val="00B41246"/>
    <w:rsid w:val="00B41391"/>
    <w:rsid w:val="00B4174B"/>
    <w:rsid w:val="00B41C52"/>
    <w:rsid w:val="00B4258C"/>
    <w:rsid w:val="00B43103"/>
    <w:rsid w:val="00B43BF4"/>
    <w:rsid w:val="00B43C57"/>
    <w:rsid w:val="00B447F4"/>
    <w:rsid w:val="00B4515E"/>
    <w:rsid w:val="00B4791D"/>
    <w:rsid w:val="00B503A9"/>
    <w:rsid w:val="00B504AA"/>
    <w:rsid w:val="00B506E7"/>
    <w:rsid w:val="00B51DF6"/>
    <w:rsid w:val="00B525DF"/>
    <w:rsid w:val="00B52899"/>
    <w:rsid w:val="00B52ED2"/>
    <w:rsid w:val="00B53161"/>
    <w:rsid w:val="00B53384"/>
    <w:rsid w:val="00B53478"/>
    <w:rsid w:val="00B5358B"/>
    <w:rsid w:val="00B5360C"/>
    <w:rsid w:val="00B538E4"/>
    <w:rsid w:val="00B5398C"/>
    <w:rsid w:val="00B54181"/>
    <w:rsid w:val="00B54914"/>
    <w:rsid w:val="00B556FA"/>
    <w:rsid w:val="00B55DB0"/>
    <w:rsid w:val="00B567AE"/>
    <w:rsid w:val="00B568AF"/>
    <w:rsid w:val="00B5767E"/>
    <w:rsid w:val="00B609A0"/>
    <w:rsid w:val="00B60C03"/>
    <w:rsid w:val="00B6138D"/>
    <w:rsid w:val="00B61D2F"/>
    <w:rsid w:val="00B622F2"/>
    <w:rsid w:val="00B641E4"/>
    <w:rsid w:val="00B650C1"/>
    <w:rsid w:val="00B65101"/>
    <w:rsid w:val="00B65FDE"/>
    <w:rsid w:val="00B67502"/>
    <w:rsid w:val="00B6768F"/>
    <w:rsid w:val="00B67CE0"/>
    <w:rsid w:val="00B70E06"/>
    <w:rsid w:val="00B7141A"/>
    <w:rsid w:val="00B715D7"/>
    <w:rsid w:val="00B72148"/>
    <w:rsid w:val="00B72331"/>
    <w:rsid w:val="00B73791"/>
    <w:rsid w:val="00B73A36"/>
    <w:rsid w:val="00B744F4"/>
    <w:rsid w:val="00B751EA"/>
    <w:rsid w:val="00B75D70"/>
    <w:rsid w:val="00B75F42"/>
    <w:rsid w:val="00B7706C"/>
    <w:rsid w:val="00B7741D"/>
    <w:rsid w:val="00B814BA"/>
    <w:rsid w:val="00B8157D"/>
    <w:rsid w:val="00B81964"/>
    <w:rsid w:val="00B81F06"/>
    <w:rsid w:val="00B82252"/>
    <w:rsid w:val="00B82629"/>
    <w:rsid w:val="00B82CE4"/>
    <w:rsid w:val="00B83219"/>
    <w:rsid w:val="00B832EC"/>
    <w:rsid w:val="00B83C4B"/>
    <w:rsid w:val="00B840B0"/>
    <w:rsid w:val="00B84ADB"/>
    <w:rsid w:val="00B84F32"/>
    <w:rsid w:val="00B85305"/>
    <w:rsid w:val="00B85380"/>
    <w:rsid w:val="00B86C27"/>
    <w:rsid w:val="00B8765A"/>
    <w:rsid w:val="00B87E6F"/>
    <w:rsid w:val="00B909C1"/>
    <w:rsid w:val="00B91047"/>
    <w:rsid w:val="00B91284"/>
    <w:rsid w:val="00B91793"/>
    <w:rsid w:val="00B921C4"/>
    <w:rsid w:val="00B94077"/>
    <w:rsid w:val="00B94C22"/>
    <w:rsid w:val="00B94FBE"/>
    <w:rsid w:val="00B95054"/>
    <w:rsid w:val="00B96273"/>
    <w:rsid w:val="00B962A2"/>
    <w:rsid w:val="00B966CD"/>
    <w:rsid w:val="00B96C71"/>
    <w:rsid w:val="00B97368"/>
    <w:rsid w:val="00B97A5B"/>
    <w:rsid w:val="00BA0163"/>
    <w:rsid w:val="00BA07D8"/>
    <w:rsid w:val="00BA0E8E"/>
    <w:rsid w:val="00BA0EDB"/>
    <w:rsid w:val="00BA11D9"/>
    <w:rsid w:val="00BA1DE2"/>
    <w:rsid w:val="00BA1FFB"/>
    <w:rsid w:val="00BA29DB"/>
    <w:rsid w:val="00BA2D3D"/>
    <w:rsid w:val="00BA2E69"/>
    <w:rsid w:val="00BA34B9"/>
    <w:rsid w:val="00BA3CD5"/>
    <w:rsid w:val="00BA4D79"/>
    <w:rsid w:val="00BA526A"/>
    <w:rsid w:val="00BA5419"/>
    <w:rsid w:val="00BA56F2"/>
    <w:rsid w:val="00BA5863"/>
    <w:rsid w:val="00BA597D"/>
    <w:rsid w:val="00BA5B93"/>
    <w:rsid w:val="00BA6551"/>
    <w:rsid w:val="00BA672B"/>
    <w:rsid w:val="00BA6D09"/>
    <w:rsid w:val="00BA7703"/>
    <w:rsid w:val="00BA7758"/>
    <w:rsid w:val="00BB03FF"/>
    <w:rsid w:val="00BB0D9A"/>
    <w:rsid w:val="00BB0FE1"/>
    <w:rsid w:val="00BB131F"/>
    <w:rsid w:val="00BB1878"/>
    <w:rsid w:val="00BB19F3"/>
    <w:rsid w:val="00BB25AA"/>
    <w:rsid w:val="00BB3660"/>
    <w:rsid w:val="00BB3819"/>
    <w:rsid w:val="00BB38A5"/>
    <w:rsid w:val="00BB3929"/>
    <w:rsid w:val="00BB3BAD"/>
    <w:rsid w:val="00BB3F7B"/>
    <w:rsid w:val="00BB4042"/>
    <w:rsid w:val="00BB4B6F"/>
    <w:rsid w:val="00BB4D2B"/>
    <w:rsid w:val="00BB50CD"/>
    <w:rsid w:val="00BB51EB"/>
    <w:rsid w:val="00BB71A0"/>
    <w:rsid w:val="00BB7DF9"/>
    <w:rsid w:val="00BC0484"/>
    <w:rsid w:val="00BC0913"/>
    <w:rsid w:val="00BC160B"/>
    <w:rsid w:val="00BC1615"/>
    <w:rsid w:val="00BC1C16"/>
    <w:rsid w:val="00BC22AA"/>
    <w:rsid w:val="00BC3B25"/>
    <w:rsid w:val="00BC3D92"/>
    <w:rsid w:val="00BC494D"/>
    <w:rsid w:val="00BC4A6D"/>
    <w:rsid w:val="00BC4F57"/>
    <w:rsid w:val="00BC4F76"/>
    <w:rsid w:val="00BC52B8"/>
    <w:rsid w:val="00BC53F8"/>
    <w:rsid w:val="00BC590F"/>
    <w:rsid w:val="00BC6287"/>
    <w:rsid w:val="00BC674C"/>
    <w:rsid w:val="00BC6BD6"/>
    <w:rsid w:val="00BC6E8B"/>
    <w:rsid w:val="00BC7545"/>
    <w:rsid w:val="00BD0059"/>
    <w:rsid w:val="00BD0BF5"/>
    <w:rsid w:val="00BD0D17"/>
    <w:rsid w:val="00BD0EB1"/>
    <w:rsid w:val="00BD1385"/>
    <w:rsid w:val="00BD1616"/>
    <w:rsid w:val="00BD175F"/>
    <w:rsid w:val="00BD1B5A"/>
    <w:rsid w:val="00BD2931"/>
    <w:rsid w:val="00BD2989"/>
    <w:rsid w:val="00BD339E"/>
    <w:rsid w:val="00BD33FE"/>
    <w:rsid w:val="00BD3CDD"/>
    <w:rsid w:val="00BD40E9"/>
    <w:rsid w:val="00BD4B16"/>
    <w:rsid w:val="00BD5AD6"/>
    <w:rsid w:val="00BD5EF8"/>
    <w:rsid w:val="00BD6617"/>
    <w:rsid w:val="00BD7865"/>
    <w:rsid w:val="00BE08F2"/>
    <w:rsid w:val="00BE0BF8"/>
    <w:rsid w:val="00BE1688"/>
    <w:rsid w:val="00BE172B"/>
    <w:rsid w:val="00BE1C6F"/>
    <w:rsid w:val="00BE24B1"/>
    <w:rsid w:val="00BE33AC"/>
    <w:rsid w:val="00BE3DF1"/>
    <w:rsid w:val="00BE3E80"/>
    <w:rsid w:val="00BE4241"/>
    <w:rsid w:val="00BE4A04"/>
    <w:rsid w:val="00BE5361"/>
    <w:rsid w:val="00BE54B5"/>
    <w:rsid w:val="00BE5EC8"/>
    <w:rsid w:val="00BE6426"/>
    <w:rsid w:val="00BE64CB"/>
    <w:rsid w:val="00BE7472"/>
    <w:rsid w:val="00BF0DE9"/>
    <w:rsid w:val="00BF11BC"/>
    <w:rsid w:val="00BF14E8"/>
    <w:rsid w:val="00BF1954"/>
    <w:rsid w:val="00BF1DA3"/>
    <w:rsid w:val="00BF2419"/>
    <w:rsid w:val="00BF2482"/>
    <w:rsid w:val="00BF2996"/>
    <w:rsid w:val="00BF3111"/>
    <w:rsid w:val="00BF3BAF"/>
    <w:rsid w:val="00BF3C19"/>
    <w:rsid w:val="00BF3C62"/>
    <w:rsid w:val="00BF52E6"/>
    <w:rsid w:val="00BF5608"/>
    <w:rsid w:val="00BF6B35"/>
    <w:rsid w:val="00C006BF"/>
    <w:rsid w:val="00C00E58"/>
    <w:rsid w:val="00C01028"/>
    <w:rsid w:val="00C01506"/>
    <w:rsid w:val="00C022A7"/>
    <w:rsid w:val="00C0315C"/>
    <w:rsid w:val="00C03D4C"/>
    <w:rsid w:val="00C03DCF"/>
    <w:rsid w:val="00C03E53"/>
    <w:rsid w:val="00C03EDD"/>
    <w:rsid w:val="00C0539F"/>
    <w:rsid w:val="00C061D1"/>
    <w:rsid w:val="00C06207"/>
    <w:rsid w:val="00C06381"/>
    <w:rsid w:val="00C06702"/>
    <w:rsid w:val="00C072A6"/>
    <w:rsid w:val="00C079B5"/>
    <w:rsid w:val="00C07B43"/>
    <w:rsid w:val="00C07E41"/>
    <w:rsid w:val="00C10085"/>
    <w:rsid w:val="00C102B8"/>
    <w:rsid w:val="00C10660"/>
    <w:rsid w:val="00C10924"/>
    <w:rsid w:val="00C11063"/>
    <w:rsid w:val="00C11245"/>
    <w:rsid w:val="00C11442"/>
    <w:rsid w:val="00C1166B"/>
    <w:rsid w:val="00C11845"/>
    <w:rsid w:val="00C12553"/>
    <w:rsid w:val="00C12C30"/>
    <w:rsid w:val="00C12EDE"/>
    <w:rsid w:val="00C132BA"/>
    <w:rsid w:val="00C1362B"/>
    <w:rsid w:val="00C151FF"/>
    <w:rsid w:val="00C15755"/>
    <w:rsid w:val="00C157AB"/>
    <w:rsid w:val="00C15AF7"/>
    <w:rsid w:val="00C15BEC"/>
    <w:rsid w:val="00C15EB2"/>
    <w:rsid w:val="00C175C4"/>
    <w:rsid w:val="00C179BF"/>
    <w:rsid w:val="00C20511"/>
    <w:rsid w:val="00C21B76"/>
    <w:rsid w:val="00C22E5C"/>
    <w:rsid w:val="00C23284"/>
    <w:rsid w:val="00C2380C"/>
    <w:rsid w:val="00C23CA3"/>
    <w:rsid w:val="00C2440B"/>
    <w:rsid w:val="00C24FE0"/>
    <w:rsid w:val="00C25021"/>
    <w:rsid w:val="00C2563F"/>
    <w:rsid w:val="00C25A13"/>
    <w:rsid w:val="00C25F3C"/>
    <w:rsid w:val="00C260B8"/>
    <w:rsid w:val="00C26D92"/>
    <w:rsid w:val="00C273C0"/>
    <w:rsid w:val="00C303DE"/>
    <w:rsid w:val="00C30406"/>
    <w:rsid w:val="00C30C77"/>
    <w:rsid w:val="00C30FB0"/>
    <w:rsid w:val="00C31748"/>
    <w:rsid w:val="00C31C7C"/>
    <w:rsid w:val="00C32AD3"/>
    <w:rsid w:val="00C32B83"/>
    <w:rsid w:val="00C331DD"/>
    <w:rsid w:val="00C3408F"/>
    <w:rsid w:val="00C34B05"/>
    <w:rsid w:val="00C34D8B"/>
    <w:rsid w:val="00C3504F"/>
    <w:rsid w:val="00C35519"/>
    <w:rsid w:val="00C35E47"/>
    <w:rsid w:val="00C35E74"/>
    <w:rsid w:val="00C35EEB"/>
    <w:rsid w:val="00C35FF9"/>
    <w:rsid w:val="00C3694C"/>
    <w:rsid w:val="00C37076"/>
    <w:rsid w:val="00C37ABF"/>
    <w:rsid w:val="00C37B08"/>
    <w:rsid w:val="00C37C5F"/>
    <w:rsid w:val="00C37E3E"/>
    <w:rsid w:val="00C403F6"/>
    <w:rsid w:val="00C41BDC"/>
    <w:rsid w:val="00C431C1"/>
    <w:rsid w:val="00C43753"/>
    <w:rsid w:val="00C43846"/>
    <w:rsid w:val="00C43FBE"/>
    <w:rsid w:val="00C44106"/>
    <w:rsid w:val="00C444EF"/>
    <w:rsid w:val="00C444FD"/>
    <w:rsid w:val="00C449B9"/>
    <w:rsid w:val="00C44DCC"/>
    <w:rsid w:val="00C4511F"/>
    <w:rsid w:val="00C45921"/>
    <w:rsid w:val="00C45CEA"/>
    <w:rsid w:val="00C461C0"/>
    <w:rsid w:val="00C469AF"/>
    <w:rsid w:val="00C47720"/>
    <w:rsid w:val="00C5072E"/>
    <w:rsid w:val="00C50E30"/>
    <w:rsid w:val="00C50ED3"/>
    <w:rsid w:val="00C51095"/>
    <w:rsid w:val="00C51623"/>
    <w:rsid w:val="00C517DF"/>
    <w:rsid w:val="00C52411"/>
    <w:rsid w:val="00C5274D"/>
    <w:rsid w:val="00C53064"/>
    <w:rsid w:val="00C5395C"/>
    <w:rsid w:val="00C54519"/>
    <w:rsid w:val="00C54647"/>
    <w:rsid w:val="00C5498D"/>
    <w:rsid w:val="00C54BCE"/>
    <w:rsid w:val="00C55223"/>
    <w:rsid w:val="00C5533B"/>
    <w:rsid w:val="00C553E0"/>
    <w:rsid w:val="00C55520"/>
    <w:rsid w:val="00C55B0C"/>
    <w:rsid w:val="00C5655F"/>
    <w:rsid w:val="00C5656E"/>
    <w:rsid w:val="00C56B37"/>
    <w:rsid w:val="00C56D7D"/>
    <w:rsid w:val="00C57124"/>
    <w:rsid w:val="00C573D7"/>
    <w:rsid w:val="00C6004C"/>
    <w:rsid w:val="00C607CE"/>
    <w:rsid w:val="00C610BB"/>
    <w:rsid w:val="00C6113B"/>
    <w:rsid w:val="00C61344"/>
    <w:rsid w:val="00C61401"/>
    <w:rsid w:val="00C618A5"/>
    <w:rsid w:val="00C61C3D"/>
    <w:rsid w:val="00C61D02"/>
    <w:rsid w:val="00C6208A"/>
    <w:rsid w:val="00C624D7"/>
    <w:rsid w:val="00C624E4"/>
    <w:rsid w:val="00C627EA"/>
    <w:rsid w:val="00C6332E"/>
    <w:rsid w:val="00C636BC"/>
    <w:rsid w:val="00C6396E"/>
    <w:rsid w:val="00C669B2"/>
    <w:rsid w:val="00C676B4"/>
    <w:rsid w:val="00C67BB6"/>
    <w:rsid w:val="00C71F42"/>
    <w:rsid w:val="00C734CE"/>
    <w:rsid w:val="00C73B68"/>
    <w:rsid w:val="00C741B8"/>
    <w:rsid w:val="00C74B96"/>
    <w:rsid w:val="00C74DC8"/>
    <w:rsid w:val="00C75268"/>
    <w:rsid w:val="00C75521"/>
    <w:rsid w:val="00C75D55"/>
    <w:rsid w:val="00C76053"/>
    <w:rsid w:val="00C76CB9"/>
    <w:rsid w:val="00C76D8F"/>
    <w:rsid w:val="00C77145"/>
    <w:rsid w:val="00C7775D"/>
    <w:rsid w:val="00C77F62"/>
    <w:rsid w:val="00C80374"/>
    <w:rsid w:val="00C8124F"/>
    <w:rsid w:val="00C817E2"/>
    <w:rsid w:val="00C81D1D"/>
    <w:rsid w:val="00C82272"/>
    <w:rsid w:val="00C83C3E"/>
    <w:rsid w:val="00C840D3"/>
    <w:rsid w:val="00C841B2"/>
    <w:rsid w:val="00C842FE"/>
    <w:rsid w:val="00C848D4"/>
    <w:rsid w:val="00C8524C"/>
    <w:rsid w:val="00C857D4"/>
    <w:rsid w:val="00C86044"/>
    <w:rsid w:val="00C86192"/>
    <w:rsid w:val="00C8668E"/>
    <w:rsid w:val="00C87FA1"/>
    <w:rsid w:val="00C90103"/>
    <w:rsid w:val="00C90130"/>
    <w:rsid w:val="00C90207"/>
    <w:rsid w:val="00C90BD9"/>
    <w:rsid w:val="00C90F98"/>
    <w:rsid w:val="00C910AB"/>
    <w:rsid w:val="00C92A18"/>
    <w:rsid w:val="00C92FAE"/>
    <w:rsid w:val="00C9310A"/>
    <w:rsid w:val="00C937DA"/>
    <w:rsid w:val="00C939BA"/>
    <w:rsid w:val="00C93BD9"/>
    <w:rsid w:val="00C93F14"/>
    <w:rsid w:val="00C94F8E"/>
    <w:rsid w:val="00C95366"/>
    <w:rsid w:val="00C95526"/>
    <w:rsid w:val="00C95985"/>
    <w:rsid w:val="00C96D9E"/>
    <w:rsid w:val="00C96F01"/>
    <w:rsid w:val="00C972A9"/>
    <w:rsid w:val="00C974A7"/>
    <w:rsid w:val="00CA0883"/>
    <w:rsid w:val="00CA121D"/>
    <w:rsid w:val="00CA1DB5"/>
    <w:rsid w:val="00CA1E46"/>
    <w:rsid w:val="00CA2740"/>
    <w:rsid w:val="00CA2C72"/>
    <w:rsid w:val="00CA3567"/>
    <w:rsid w:val="00CA3EE1"/>
    <w:rsid w:val="00CA4C99"/>
    <w:rsid w:val="00CA4D77"/>
    <w:rsid w:val="00CA60A4"/>
    <w:rsid w:val="00CA64BE"/>
    <w:rsid w:val="00CA7075"/>
    <w:rsid w:val="00CA777E"/>
    <w:rsid w:val="00CA7E5D"/>
    <w:rsid w:val="00CB04D9"/>
    <w:rsid w:val="00CB0609"/>
    <w:rsid w:val="00CB061E"/>
    <w:rsid w:val="00CB08CA"/>
    <w:rsid w:val="00CB0C08"/>
    <w:rsid w:val="00CB0E52"/>
    <w:rsid w:val="00CB1C83"/>
    <w:rsid w:val="00CB210E"/>
    <w:rsid w:val="00CB21DB"/>
    <w:rsid w:val="00CB37B7"/>
    <w:rsid w:val="00CB3951"/>
    <w:rsid w:val="00CB3C46"/>
    <w:rsid w:val="00CB4038"/>
    <w:rsid w:val="00CB4AC0"/>
    <w:rsid w:val="00CB54A7"/>
    <w:rsid w:val="00CB55C8"/>
    <w:rsid w:val="00CB59F8"/>
    <w:rsid w:val="00CB5BCA"/>
    <w:rsid w:val="00CB64EF"/>
    <w:rsid w:val="00CB6FB6"/>
    <w:rsid w:val="00CB776D"/>
    <w:rsid w:val="00CB7EBC"/>
    <w:rsid w:val="00CC0419"/>
    <w:rsid w:val="00CC297D"/>
    <w:rsid w:val="00CC2FA1"/>
    <w:rsid w:val="00CC383E"/>
    <w:rsid w:val="00CC3FDB"/>
    <w:rsid w:val="00CC4157"/>
    <w:rsid w:val="00CC50E0"/>
    <w:rsid w:val="00CC51E5"/>
    <w:rsid w:val="00CC54CC"/>
    <w:rsid w:val="00CC6B73"/>
    <w:rsid w:val="00CC6E59"/>
    <w:rsid w:val="00CC6ED3"/>
    <w:rsid w:val="00CC7802"/>
    <w:rsid w:val="00CC78BF"/>
    <w:rsid w:val="00CC78D4"/>
    <w:rsid w:val="00CD0C42"/>
    <w:rsid w:val="00CD0CF1"/>
    <w:rsid w:val="00CD0D9F"/>
    <w:rsid w:val="00CD0EDC"/>
    <w:rsid w:val="00CD0F57"/>
    <w:rsid w:val="00CD1A13"/>
    <w:rsid w:val="00CD1ADF"/>
    <w:rsid w:val="00CD2388"/>
    <w:rsid w:val="00CD24B1"/>
    <w:rsid w:val="00CD2612"/>
    <w:rsid w:val="00CD2A21"/>
    <w:rsid w:val="00CD3832"/>
    <w:rsid w:val="00CD44D7"/>
    <w:rsid w:val="00CD5060"/>
    <w:rsid w:val="00CD628D"/>
    <w:rsid w:val="00CD6A33"/>
    <w:rsid w:val="00CD6B5B"/>
    <w:rsid w:val="00CD70EB"/>
    <w:rsid w:val="00CE1BF4"/>
    <w:rsid w:val="00CE1C18"/>
    <w:rsid w:val="00CE2632"/>
    <w:rsid w:val="00CE2786"/>
    <w:rsid w:val="00CE2BA7"/>
    <w:rsid w:val="00CE3812"/>
    <w:rsid w:val="00CE3AE6"/>
    <w:rsid w:val="00CE47DC"/>
    <w:rsid w:val="00CE4E07"/>
    <w:rsid w:val="00CE503B"/>
    <w:rsid w:val="00CE516A"/>
    <w:rsid w:val="00CE6C07"/>
    <w:rsid w:val="00CE6D27"/>
    <w:rsid w:val="00CE6D75"/>
    <w:rsid w:val="00CE6EB2"/>
    <w:rsid w:val="00CE74FA"/>
    <w:rsid w:val="00CE79BC"/>
    <w:rsid w:val="00CF0EAB"/>
    <w:rsid w:val="00CF1A43"/>
    <w:rsid w:val="00CF21FA"/>
    <w:rsid w:val="00CF290C"/>
    <w:rsid w:val="00CF2D11"/>
    <w:rsid w:val="00CF2FE8"/>
    <w:rsid w:val="00CF398A"/>
    <w:rsid w:val="00CF3FAC"/>
    <w:rsid w:val="00CF40DE"/>
    <w:rsid w:val="00CF4490"/>
    <w:rsid w:val="00CF4D7A"/>
    <w:rsid w:val="00CF4FFE"/>
    <w:rsid w:val="00CF5332"/>
    <w:rsid w:val="00CF561E"/>
    <w:rsid w:val="00CF618E"/>
    <w:rsid w:val="00CF62F3"/>
    <w:rsid w:val="00CF72F6"/>
    <w:rsid w:val="00D0002F"/>
    <w:rsid w:val="00D0018B"/>
    <w:rsid w:val="00D003E1"/>
    <w:rsid w:val="00D0063C"/>
    <w:rsid w:val="00D016F7"/>
    <w:rsid w:val="00D01E0C"/>
    <w:rsid w:val="00D0237A"/>
    <w:rsid w:val="00D02C96"/>
    <w:rsid w:val="00D02CF0"/>
    <w:rsid w:val="00D03542"/>
    <w:rsid w:val="00D03610"/>
    <w:rsid w:val="00D03BE4"/>
    <w:rsid w:val="00D03CA8"/>
    <w:rsid w:val="00D045AC"/>
    <w:rsid w:val="00D04952"/>
    <w:rsid w:val="00D04B8D"/>
    <w:rsid w:val="00D052AC"/>
    <w:rsid w:val="00D0548E"/>
    <w:rsid w:val="00D05E44"/>
    <w:rsid w:val="00D05E68"/>
    <w:rsid w:val="00D06254"/>
    <w:rsid w:val="00D0669E"/>
    <w:rsid w:val="00D072E8"/>
    <w:rsid w:val="00D07820"/>
    <w:rsid w:val="00D078A9"/>
    <w:rsid w:val="00D07A45"/>
    <w:rsid w:val="00D07A6C"/>
    <w:rsid w:val="00D07E45"/>
    <w:rsid w:val="00D10B23"/>
    <w:rsid w:val="00D113AE"/>
    <w:rsid w:val="00D11F44"/>
    <w:rsid w:val="00D11FF7"/>
    <w:rsid w:val="00D12064"/>
    <w:rsid w:val="00D122B8"/>
    <w:rsid w:val="00D12431"/>
    <w:rsid w:val="00D12625"/>
    <w:rsid w:val="00D12D08"/>
    <w:rsid w:val="00D13298"/>
    <w:rsid w:val="00D13D2D"/>
    <w:rsid w:val="00D13DF7"/>
    <w:rsid w:val="00D140AB"/>
    <w:rsid w:val="00D1432B"/>
    <w:rsid w:val="00D1477E"/>
    <w:rsid w:val="00D14B73"/>
    <w:rsid w:val="00D15822"/>
    <w:rsid w:val="00D16A43"/>
    <w:rsid w:val="00D203C5"/>
    <w:rsid w:val="00D20B5F"/>
    <w:rsid w:val="00D20F77"/>
    <w:rsid w:val="00D214FD"/>
    <w:rsid w:val="00D2173A"/>
    <w:rsid w:val="00D2178A"/>
    <w:rsid w:val="00D21C14"/>
    <w:rsid w:val="00D21DEA"/>
    <w:rsid w:val="00D21EC7"/>
    <w:rsid w:val="00D22850"/>
    <w:rsid w:val="00D228A8"/>
    <w:rsid w:val="00D22E0C"/>
    <w:rsid w:val="00D22E93"/>
    <w:rsid w:val="00D2373C"/>
    <w:rsid w:val="00D23D54"/>
    <w:rsid w:val="00D23DE0"/>
    <w:rsid w:val="00D25ACE"/>
    <w:rsid w:val="00D25FCA"/>
    <w:rsid w:val="00D26404"/>
    <w:rsid w:val="00D26D65"/>
    <w:rsid w:val="00D27136"/>
    <w:rsid w:val="00D27575"/>
    <w:rsid w:val="00D27756"/>
    <w:rsid w:val="00D27F3A"/>
    <w:rsid w:val="00D300FC"/>
    <w:rsid w:val="00D30149"/>
    <w:rsid w:val="00D31A86"/>
    <w:rsid w:val="00D32EE4"/>
    <w:rsid w:val="00D32F0E"/>
    <w:rsid w:val="00D3327C"/>
    <w:rsid w:val="00D3362A"/>
    <w:rsid w:val="00D33788"/>
    <w:rsid w:val="00D343FC"/>
    <w:rsid w:val="00D34F4A"/>
    <w:rsid w:val="00D3507D"/>
    <w:rsid w:val="00D3577E"/>
    <w:rsid w:val="00D35E45"/>
    <w:rsid w:val="00D37FC6"/>
    <w:rsid w:val="00D413C2"/>
    <w:rsid w:val="00D41FD6"/>
    <w:rsid w:val="00D421E9"/>
    <w:rsid w:val="00D42AB3"/>
    <w:rsid w:val="00D439A4"/>
    <w:rsid w:val="00D43C46"/>
    <w:rsid w:val="00D43D98"/>
    <w:rsid w:val="00D44FDD"/>
    <w:rsid w:val="00D45EAE"/>
    <w:rsid w:val="00D471C2"/>
    <w:rsid w:val="00D47753"/>
    <w:rsid w:val="00D4797A"/>
    <w:rsid w:val="00D47E1F"/>
    <w:rsid w:val="00D504C4"/>
    <w:rsid w:val="00D51829"/>
    <w:rsid w:val="00D524B7"/>
    <w:rsid w:val="00D5275A"/>
    <w:rsid w:val="00D528FC"/>
    <w:rsid w:val="00D52BA6"/>
    <w:rsid w:val="00D536BC"/>
    <w:rsid w:val="00D53E0B"/>
    <w:rsid w:val="00D5531C"/>
    <w:rsid w:val="00D5565D"/>
    <w:rsid w:val="00D556C9"/>
    <w:rsid w:val="00D559E1"/>
    <w:rsid w:val="00D55A1C"/>
    <w:rsid w:val="00D55B00"/>
    <w:rsid w:val="00D5691D"/>
    <w:rsid w:val="00D569D9"/>
    <w:rsid w:val="00D57657"/>
    <w:rsid w:val="00D576D6"/>
    <w:rsid w:val="00D57E9C"/>
    <w:rsid w:val="00D601F2"/>
    <w:rsid w:val="00D605F4"/>
    <w:rsid w:val="00D60AC9"/>
    <w:rsid w:val="00D60BE1"/>
    <w:rsid w:val="00D62125"/>
    <w:rsid w:val="00D624A3"/>
    <w:rsid w:val="00D62A48"/>
    <w:rsid w:val="00D62FEA"/>
    <w:rsid w:val="00D643FD"/>
    <w:rsid w:val="00D644C1"/>
    <w:rsid w:val="00D647C5"/>
    <w:rsid w:val="00D648EC"/>
    <w:rsid w:val="00D64C68"/>
    <w:rsid w:val="00D65050"/>
    <w:rsid w:val="00D6592A"/>
    <w:rsid w:val="00D66A75"/>
    <w:rsid w:val="00D66C2F"/>
    <w:rsid w:val="00D6710A"/>
    <w:rsid w:val="00D674B5"/>
    <w:rsid w:val="00D704AF"/>
    <w:rsid w:val="00D7068F"/>
    <w:rsid w:val="00D70C6A"/>
    <w:rsid w:val="00D70DC7"/>
    <w:rsid w:val="00D70DEF"/>
    <w:rsid w:val="00D71F46"/>
    <w:rsid w:val="00D7306C"/>
    <w:rsid w:val="00D74F08"/>
    <w:rsid w:val="00D7529C"/>
    <w:rsid w:val="00D75E77"/>
    <w:rsid w:val="00D76179"/>
    <w:rsid w:val="00D76A23"/>
    <w:rsid w:val="00D76FC1"/>
    <w:rsid w:val="00D77CD3"/>
    <w:rsid w:val="00D80285"/>
    <w:rsid w:val="00D80C8F"/>
    <w:rsid w:val="00D81EF3"/>
    <w:rsid w:val="00D8222C"/>
    <w:rsid w:val="00D82C23"/>
    <w:rsid w:val="00D835E4"/>
    <w:rsid w:val="00D83902"/>
    <w:rsid w:val="00D83AAB"/>
    <w:rsid w:val="00D83FFE"/>
    <w:rsid w:val="00D84868"/>
    <w:rsid w:val="00D85479"/>
    <w:rsid w:val="00D86489"/>
    <w:rsid w:val="00D86E50"/>
    <w:rsid w:val="00D87422"/>
    <w:rsid w:val="00D878AF"/>
    <w:rsid w:val="00D87B10"/>
    <w:rsid w:val="00D87B73"/>
    <w:rsid w:val="00D91747"/>
    <w:rsid w:val="00D91FC1"/>
    <w:rsid w:val="00D92233"/>
    <w:rsid w:val="00D927C1"/>
    <w:rsid w:val="00D92AC7"/>
    <w:rsid w:val="00D93AA9"/>
    <w:rsid w:val="00D93BCB"/>
    <w:rsid w:val="00D9497F"/>
    <w:rsid w:val="00D953EC"/>
    <w:rsid w:val="00D956F3"/>
    <w:rsid w:val="00D96229"/>
    <w:rsid w:val="00D96428"/>
    <w:rsid w:val="00D964CA"/>
    <w:rsid w:val="00D96712"/>
    <w:rsid w:val="00D968A2"/>
    <w:rsid w:val="00D96B1D"/>
    <w:rsid w:val="00D96F8E"/>
    <w:rsid w:val="00D97371"/>
    <w:rsid w:val="00DA06F1"/>
    <w:rsid w:val="00DA107B"/>
    <w:rsid w:val="00DA1AAF"/>
    <w:rsid w:val="00DA243F"/>
    <w:rsid w:val="00DA24F3"/>
    <w:rsid w:val="00DA334B"/>
    <w:rsid w:val="00DA3689"/>
    <w:rsid w:val="00DA36F2"/>
    <w:rsid w:val="00DA3C28"/>
    <w:rsid w:val="00DA3F24"/>
    <w:rsid w:val="00DA3F59"/>
    <w:rsid w:val="00DA5A60"/>
    <w:rsid w:val="00DB1131"/>
    <w:rsid w:val="00DB127A"/>
    <w:rsid w:val="00DB12AA"/>
    <w:rsid w:val="00DB139F"/>
    <w:rsid w:val="00DB1929"/>
    <w:rsid w:val="00DB1F7A"/>
    <w:rsid w:val="00DB30EA"/>
    <w:rsid w:val="00DB368F"/>
    <w:rsid w:val="00DB37A3"/>
    <w:rsid w:val="00DB38C1"/>
    <w:rsid w:val="00DB3EE6"/>
    <w:rsid w:val="00DB47D9"/>
    <w:rsid w:val="00DB4D82"/>
    <w:rsid w:val="00DB4E96"/>
    <w:rsid w:val="00DB57E9"/>
    <w:rsid w:val="00DB6769"/>
    <w:rsid w:val="00DB6C8E"/>
    <w:rsid w:val="00DB7225"/>
    <w:rsid w:val="00DB78A1"/>
    <w:rsid w:val="00DB7EF3"/>
    <w:rsid w:val="00DB7FC2"/>
    <w:rsid w:val="00DC0211"/>
    <w:rsid w:val="00DC0BB2"/>
    <w:rsid w:val="00DC0C9A"/>
    <w:rsid w:val="00DC0F15"/>
    <w:rsid w:val="00DC1800"/>
    <w:rsid w:val="00DC1850"/>
    <w:rsid w:val="00DC2346"/>
    <w:rsid w:val="00DC25A2"/>
    <w:rsid w:val="00DC2615"/>
    <w:rsid w:val="00DC264F"/>
    <w:rsid w:val="00DC28F9"/>
    <w:rsid w:val="00DC2E62"/>
    <w:rsid w:val="00DC328A"/>
    <w:rsid w:val="00DC6030"/>
    <w:rsid w:val="00DC6F21"/>
    <w:rsid w:val="00DC7174"/>
    <w:rsid w:val="00DC7E2D"/>
    <w:rsid w:val="00DD0026"/>
    <w:rsid w:val="00DD0C52"/>
    <w:rsid w:val="00DD0DA5"/>
    <w:rsid w:val="00DD165F"/>
    <w:rsid w:val="00DD18DF"/>
    <w:rsid w:val="00DD1A10"/>
    <w:rsid w:val="00DD23FE"/>
    <w:rsid w:val="00DD253A"/>
    <w:rsid w:val="00DD2FC5"/>
    <w:rsid w:val="00DD36EE"/>
    <w:rsid w:val="00DD4867"/>
    <w:rsid w:val="00DD4A7A"/>
    <w:rsid w:val="00DD4CFF"/>
    <w:rsid w:val="00DD5223"/>
    <w:rsid w:val="00DD5CBE"/>
    <w:rsid w:val="00DD6419"/>
    <w:rsid w:val="00DD6D7B"/>
    <w:rsid w:val="00DD7289"/>
    <w:rsid w:val="00DD7BA8"/>
    <w:rsid w:val="00DD7D13"/>
    <w:rsid w:val="00DD7E22"/>
    <w:rsid w:val="00DD7FD5"/>
    <w:rsid w:val="00DE001D"/>
    <w:rsid w:val="00DE00FB"/>
    <w:rsid w:val="00DE02CE"/>
    <w:rsid w:val="00DE042C"/>
    <w:rsid w:val="00DE0947"/>
    <w:rsid w:val="00DE0ED2"/>
    <w:rsid w:val="00DE0F50"/>
    <w:rsid w:val="00DE148B"/>
    <w:rsid w:val="00DE1BC6"/>
    <w:rsid w:val="00DE2535"/>
    <w:rsid w:val="00DE2961"/>
    <w:rsid w:val="00DE332B"/>
    <w:rsid w:val="00DE3367"/>
    <w:rsid w:val="00DE352C"/>
    <w:rsid w:val="00DE41AC"/>
    <w:rsid w:val="00DE4215"/>
    <w:rsid w:val="00DE42BE"/>
    <w:rsid w:val="00DE5232"/>
    <w:rsid w:val="00DE55F8"/>
    <w:rsid w:val="00DE61A0"/>
    <w:rsid w:val="00DE636B"/>
    <w:rsid w:val="00DE65CA"/>
    <w:rsid w:val="00DE6842"/>
    <w:rsid w:val="00DE7095"/>
    <w:rsid w:val="00DE757E"/>
    <w:rsid w:val="00DE75FA"/>
    <w:rsid w:val="00DE7739"/>
    <w:rsid w:val="00DE7BB1"/>
    <w:rsid w:val="00DF00AE"/>
    <w:rsid w:val="00DF0415"/>
    <w:rsid w:val="00DF0EC5"/>
    <w:rsid w:val="00DF20BE"/>
    <w:rsid w:val="00DF25AB"/>
    <w:rsid w:val="00DF2CF8"/>
    <w:rsid w:val="00DF30A9"/>
    <w:rsid w:val="00DF3312"/>
    <w:rsid w:val="00DF3C95"/>
    <w:rsid w:val="00DF4200"/>
    <w:rsid w:val="00DF429A"/>
    <w:rsid w:val="00DF458E"/>
    <w:rsid w:val="00DF4A1E"/>
    <w:rsid w:val="00DF4A3D"/>
    <w:rsid w:val="00DF5085"/>
    <w:rsid w:val="00DF5A05"/>
    <w:rsid w:val="00DF5AD9"/>
    <w:rsid w:val="00DF689F"/>
    <w:rsid w:val="00DF7581"/>
    <w:rsid w:val="00DF75CD"/>
    <w:rsid w:val="00DF7CE3"/>
    <w:rsid w:val="00E00205"/>
    <w:rsid w:val="00E00357"/>
    <w:rsid w:val="00E00741"/>
    <w:rsid w:val="00E00967"/>
    <w:rsid w:val="00E01CCC"/>
    <w:rsid w:val="00E021F0"/>
    <w:rsid w:val="00E0231C"/>
    <w:rsid w:val="00E03518"/>
    <w:rsid w:val="00E03AC1"/>
    <w:rsid w:val="00E04211"/>
    <w:rsid w:val="00E04CDE"/>
    <w:rsid w:val="00E05A45"/>
    <w:rsid w:val="00E05A66"/>
    <w:rsid w:val="00E05B20"/>
    <w:rsid w:val="00E06527"/>
    <w:rsid w:val="00E06E4E"/>
    <w:rsid w:val="00E108DF"/>
    <w:rsid w:val="00E10C6E"/>
    <w:rsid w:val="00E1129A"/>
    <w:rsid w:val="00E11425"/>
    <w:rsid w:val="00E11908"/>
    <w:rsid w:val="00E12A36"/>
    <w:rsid w:val="00E12D4C"/>
    <w:rsid w:val="00E12E9D"/>
    <w:rsid w:val="00E13353"/>
    <w:rsid w:val="00E133D1"/>
    <w:rsid w:val="00E14FD1"/>
    <w:rsid w:val="00E15076"/>
    <w:rsid w:val="00E151CD"/>
    <w:rsid w:val="00E154AC"/>
    <w:rsid w:val="00E15DAE"/>
    <w:rsid w:val="00E15F10"/>
    <w:rsid w:val="00E16BF2"/>
    <w:rsid w:val="00E17549"/>
    <w:rsid w:val="00E17B79"/>
    <w:rsid w:val="00E17D37"/>
    <w:rsid w:val="00E2029C"/>
    <w:rsid w:val="00E2059D"/>
    <w:rsid w:val="00E207F1"/>
    <w:rsid w:val="00E20B23"/>
    <w:rsid w:val="00E21175"/>
    <w:rsid w:val="00E21896"/>
    <w:rsid w:val="00E21CF9"/>
    <w:rsid w:val="00E21FD4"/>
    <w:rsid w:val="00E23E47"/>
    <w:rsid w:val="00E23E57"/>
    <w:rsid w:val="00E243F5"/>
    <w:rsid w:val="00E2471C"/>
    <w:rsid w:val="00E2536B"/>
    <w:rsid w:val="00E2562E"/>
    <w:rsid w:val="00E26428"/>
    <w:rsid w:val="00E26601"/>
    <w:rsid w:val="00E27910"/>
    <w:rsid w:val="00E27BC8"/>
    <w:rsid w:val="00E30D4D"/>
    <w:rsid w:val="00E30D5F"/>
    <w:rsid w:val="00E3184C"/>
    <w:rsid w:val="00E3247F"/>
    <w:rsid w:val="00E324E7"/>
    <w:rsid w:val="00E3270F"/>
    <w:rsid w:val="00E32E84"/>
    <w:rsid w:val="00E32F02"/>
    <w:rsid w:val="00E335B7"/>
    <w:rsid w:val="00E33BFF"/>
    <w:rsid w:val="00E33E08"/>
    <w:rsid w:val="00E34C7C"/>
    <w:rsid w:val="00E34EA1"/>
    <w:rsid w:val="00E3500E"/>
    <w:rsid w:val="00E35A6E"/>
    <w:rsid w:val="00E35F6F"/>
    <w:rsid w:val="00E36AD8"/>
    <w:rsid w:val="00E371E0"/>
    <w:rsid w:val="00E3735A"/>
    <w:rsid w:val="00E377B8"/>
    <w:rsid w:val="00E4177E"/>
    <w:rsid w:val="00E41C61"/>
    <w:rsid w:val="00E4291F"/>
    <w:rsid w:val="00E430FC"/>
    <w:rsid w:val="00E432DA"/>
    <w:rsid w:val="00E4347D"/>
    <w:rsid w:val="00E44402"/>
    <w:rsid w:val="00E44677"/>
    <w:rsid w:val="00E44BCB"/>
    <w:rsid w:val="00E44CC8"/>
    <w:rsid w:val="00E45C98"/>
    <w:rsid w:val="00E469FB"/>
    <w:rsid w:val="00E47001"/>
    <w:rsid w:val="00E47036"/>
    <w:rsid w:val="00E507F5"/>
    <w:rsid w:val="00E50ED6"/>
    <w:rsid w:val="00E515F1"/>
    <w:rsid w:val="00E541CA"/>
    <w:rsid w:val="00E5456C"/>
    <w:rsid w:val="00E5464C"/>
    <w:rsid w:val="00E54AD2"/>
    <w:rsid w:val="00E55329"/>
    <w:rsid w:val="00E5581C"/>
    <w:rsid w:val="00E55CE5"/>
    <w:rsid w:val="00E5631C"/>
    <w:rsid w:val="00E56F71"/>
    <w:rsid w:val="00E574F6"/>
    <w:rsid w:val="00E57881"/>
    <w:rsid w:val="00E6140B"/>
    <w:rsid w:val="00E6174B"/>
    <w:rsid w:val="00E61C78"/>
    <w:rsid w:val="00E620D2"/>
    <w:rsid w:val="00E62852"/>
    <w:rsid w:val="00E63990"/>
    <w:rsid w:val="00E63FC8"/>
    <w:rsid w:val="00E645BB"/>
    <w:rsid w:val="00E64E4C"/>
    <w:rsid w:val="00E64EBD"/>
    <w:rsid w:val="00E65202"/>
    <w:rsid w:val="00E657DC"/>
    <w:rsid w:val="00E65AFC"/>
    <w:rsid w:val="00E65E88"/>
    <w:rsid w:val="00E663C0"/>
    <w:rsid w:val="00E66F96"/>
    <w:rsid w:val="00E67359"/>
    <w:rsid w:val="00E67CA0"/>
    <w:rsid w:val="00E70F72"/>
    <w:rsid w:val="00E7130C"/>
    <w:rsid w:val="00E7281B"/>
    <w:rsid w:val="00E72B75"/>
    <w:rsid w:val="00E7328F"/>
    <w:rsid w:val="00E74D19"/>
    <w:rsid w:val="00E76D8D"/>
    <w:rsid w:val="00E7712F"/>
    <w:rsid w:val="00E77626"/>
    <w:rsid w:val="00E7773E"/>
    <w:rsid w:val="00E77E14"/>
    <w:rsid w:val="00E80393"/>
    <w:rsid w:val="00E807C7"/>
    <w:rsid w:val="00E810C2"/>
    <w:rsid w:val="00E815F4"/>
    <w:rsid w:val="00E82994"/>
    <w:rsid w:val="00E82F2F"/>
    <w:rsid w:val="00E830C7"/>
    <w:rsid w:val="00E8345C"/>
    <w:rsid w:val="00E8358A"/>
    <w:rsid w:val="00E83764"/>
    <w:rsid w:val="00E8379E"/>
    <w:rsid w:val="00E84DA3"/>
    <w:rsid w:val="00E85A60"/>
    <w:rsid w:val="00E85D02"/>
    <w:rsid w:val="00E869F3"/>
    <w:rsid w:val="00E86A8A"/>
    <w:rsid w:val="00E86ED2"/>
    <w:rsid w:val="00E87884"/>
    <w:rsid w:val="00E87A14"/>
    <w:rsid w:val="00E87C36"/>
    <w:rsid w:val="00E87E5C"/>
    <w:rsid w:val="00E90043"/>
    <w:rsid w:val="00E9044D"/>
    <w:rsid w:val="00E90C3E"/>
    <w:rsid w:val="00E90D91"/>
    <w:rsid w:val="00E919D6"/>
    <w:rsid w:val="00E920EA"/>
    <w:rsid w:val="00E92517"/>
    <w:rsid w:val="00E92633"/>
    <w:rsid w:val="00E928F3"/>
    <w:rsid w:val="00E9395A"/>
    <w:rsid w:val="00E945A6"/>
    <w:rsid w:val="00E94729"/>
    <w:rsid w:val="00E94A92"/>
    <w:rsid w:val="00E94FBD"/>
    <w:rsid w:val="00E95489"/>
    <w:rsid w:val="00E957E1"/>
    <w:rsid w:val="00E95AC4"/>
    <w:rsid w:val="00E975D6"/>
    <w:rsid w:val="00E97A30"/>
    <w:rsid w:val="00EA0F2E"/>
    <w:rsid w:val="00EA1658"/>
    <w:rsid w:val="00EA17C9"/>
    <w:rsid w:val="00EA1A1C"/>
    <w:rsid w:val="00EA1E47"/>
    <w:rsid w:val="00EA2542"/>
    <w:rsid w:val="00EA2EEB"/>
    <w:rsid w:val="00EA316C"/>
    <w:rsid w:val="00EA3359"/>
    <w:rsid w:val="00EA40EF"/>
    <w:rsid w:val="00EA4220"/>
    <w:rsid w:val="00EA480C"/>
    <w:rsid w:val="00EA4A76"/>
    <w:rsid w:val="00EA4AF6"/>
    <w:rsid w:val="00EA4E5D"/>
    <w:rsid w:val="00EA51F3"/>
    <w:rsid w:val="00EA5942"/>
    <w:rsid w:val="00EA60DF"/>
    <w:rsid w:val="00EA6EBA"/>
    <w:rsid w:val="00EB029C"/>
    <w:rsid w:val="00EB088C"/>
    <w:rsid w:val="00EB092D"/>
    <w:rsid w:val="00EB1085"/>
    <w:rsid w:val="00EB1148"/>
    <w:rsid w:val="00EB13A7"/>
    <w:rsid w:val="00EB2078"/>
    <w:rsid w:val="00EB2A1B"/>
    <w:rsid w:val="00EB3E3A"/>
    <w:rsid w:val="00EB48A1"/>
    <w:rsid w:val="00EB4FC5"/>
    <w:rsid w:val="00EB54C1"/>
    <w:rsid w:val="00EB5502"/>
    <w:rsid w:val="00EB566D"/>
    <w:rsid w:val="00EB5BA1"/>
    <w:rsid w:val="00EB5DDE"/>
    <w:rsid w:val="00EB5F95"/>
    <w:rsid w:val="00EB63CA"/>
    <w:rsid w:val="00EB6C61"/>
    <w:rsid w:val="00EB717C"/>
    <w:rsid w:val="00EB7C43"/>
    <w:rsid w:val="00EB7E62"/>
    <w:rsid w:val="00EB7F7E"/>
    <w:rsid w:val="00EC0270"/>
    <w:rsid w:val="00EC14AA"/>
    <w:rsid w:val="00EC1E66"/>
    <w:rsid w:val="00EC28EA"/>
    <w:rsid w:val="00EC369F"/>
    <w:rsid w:val="00EC3F0D"/>
    <w:rsid w:val="00EC48FD"/>
    <w:rsid w:val="00EC4967"/>
    <w:rsid w:val="00EC4FA3"/>
    <w:rsid w:val="00EC5113"/>
    <w:rsid w:val="00EC55E8"/>
    <w:rsid w:val="00EC59FD"/>
    <w:rsid w:val="00EC5D24"/>
    <w:rsid w:val="00EC60D5"/>
    <w:rsid w:val="00EC6C1E"/>
    <w:rsid w:val="00EC72A6"/>
    <w:rsid w:val="00EC7E44"/>
    <w:rsid w:val="00ED04B0"/>
    <w:rsid w:val="00ED0C4D"/>
    <w:rsid w:val="00ED0E16"/>
    <w:rsid w:val="00ED0E2A"/>
    <w:rsid w:val="00ED260D"/>
    <w:rsid w:val="00ED284C"/>
    <w:rsid w:val="00ED34CD"/>
    <w:rsid w:val="00ED359F"/>
    <w:rsid w:val="00ED35F5"/>
    <w:rsid w:val="00ED3AA3"/>
    <w:rsid w:val="00ED3EE8"/>
    <w:rsid w:val="00ED4443"/>
    <w:rsid w:val="00ED45B3"/>
    <w:rsid w:val="00ED4676"/>
    <w:rsid w:val="00ED5277"/>
    <w:rsid w:val="00ED557A"/>
    <w:rsid w:val="00ED5963"/>
    <w:rsid w:val="00ED5DB1"/>
    <w:rsid w:val="00ED658C"/>
    <w:rsid w:val="00ED69C3"/>
    <w:rsid w:val="00ED743A"/>
    <w:rsid w:val="00ED776E"/>
    <w:rsid w:val="00ED7BC4"/>
    <w:rsid w:val="00EE0039"/>
    <w:rsid w:val="00EE036F"/>
    <w:rsid w:val="00EE151F"/>
    <w:rsid w:val="00EE25CF"/>
    <w:rsid w:val="00EE38DB"/>
    <w:rsid w:val="00EE3CCD"/>
    <w:rsid w:val="00EE4288"/>
    <w:rsid w:val="00EE4B28"/>
    <w:rsid w:val="00EE51D1"/>
    <w:rsid w:val="00EE5243"/>
    <w:rsid w:val="00EE5334"/>
    <w:rsid w:val="00EE5661"/>
    <w:rsid w:val="00EE5D45"/>
    <w:rsid w:val="00EE5E93"/>
    <w:rsid w:val="00EE6603"/>
    <w:rsid w:val="00EE6AC2"/>
    <w:rsid w:val="00EE7530"/>
    <w:rsid w:val="00EE7747"/>
    <w:rsid w:val="00EE791E"/>
    <w:rsid w:val="00EF03A7"/>
    <w:rsid w:val="00EF086A"/>
    <w:rsid w:val="00EF09EA"/>
    <w:rsid w:val="00EF0D5D"/>
    <w:rsid w:val="00EF0DD7"/>
    <w:rsid w:val="00EF0FDD"/>
    <w:rsid w:val="00EF1AA6"/>
    <w:rsid w:val="00EF2678"/>
    <w:rsid w:val="00EF2C32"/>
    <w:rsid w:val="00EF39D1"/>
    <w:rsid w:val="00EF3DE1"/>
    <w:rsid w:val="00EF487A"/>
    <w:rsid w:val="00EF6269"/>
    <w:rsid w:val="00EF63AB"/>
    <w:rsid w:val="00EF65D5"/>
    <w:rsid w:val="00EF762E"/>
    <w:rsid w:val="00EF7632"/>
    <w:rsid w:val="00EF7C63"/>
    <w:rsid w:val="00F0153D"/>
    <w:rsid w:val="00F0155E"/>
    <w:rsid w:val="00F02478"/>
    <w:rsid w:val="00F0326A"/>
    <w:rsid w:val="00F03FCE"/>
    <w:rsid w:val="00F040A7"/>
    <w:rsid w:val="00F0416A"/>
    <w:rsid w:val="00F04705"/>
    <w:rsid w:val="00F055A9"/>
    <w:rsid w:val="00F0705C"/>
    <w:rsid w:val="00F102F6"/>
    <w:rsid w:val="00F10D2F"/>
    <w:rsid w:val="00F1129C"/>
    <w:rsid w:val="00F1197A"/>
    <w:rsid w:val="00F1204F"/>
    <w:rsid w:val="00F12485"/>
    <w:rsid w:val="00F12B19"/>
    <w:rsid w:val="00F13735"/>
    <w:rsid w:val="00F13C90"/>
    <w:rsid w:val="00F140B2"/>
    <w:rsid w:val="00F14538"/>
    <w:rsid w:val="00F14C7F"/>
    <w:rsid w:val="00F150E0"/>
    <w:rsid w:val="00F15762"/>
    <w:rsid w:val="00F15A4A"/>
    <w:rsid w:val="00F16DDA"/>
    <w:rsid w:val="00F16F64"/>
    <w:rsid w:val="00F170E9"/>
    <w:rsid w:val="00F17714"/>
    <w:rsid w:val="00F17797"/>
    <w:rsid w:val="00F2001F"/>
    <w:rsid w:val="00F201D1"/>
    <w:rsid w:val="00F20DF7"/>
    <w:rsid w:val="00F20F19"/>
    <w:rsid w:val="00F21396"/>
    <w:rsid w:val="00F21604"/>
    <w:rsid w:val="00F21F90"/>
    <w:rsid w:val="00F2240A"/>
    <w:rsid w:val="00F22764"/>
    <w:rsid w:val="00F22957"/>
    <w:rsid w:val="00F240C9"/>
    <w:rsid w:val="00F2443F"/>
    <w:rsid w:val="00F24D86"/>
    <w:rsid w:val="00F25A0A"/>
    <w:rsid w:val="00F27CDF"/>
    <w:rsid w:val="00F27EA0"/>
    <w:rsid w:val="00F27FEB"/>
    <w:rsid w:val="00F30305"/>
    <w:rsid w:val="00F309B5"/>
    <w:rsid w:val="00F32C88"/>
    <w:rsid w:val="00F33065"/>
    <w:rsid w:val="00F33091"/>
    <w:rsid w:val="00F333AC"/>
    <w:rsid w:val="00F33810"/>
    <w:rsid w:val="00F33B86"/>
    <w:rsid w:val="00F34614"/>
    <w:rsid w:val="00F3473C"/>
    <w:rsid w:val="00F347A3"/>
    <w:rsid w:val="00F35885"/>
    <w:rsid w:val="00F36BC2"/>
    <w:rsid w:val="00F37242"/>
    <w:rsid w:val="00F37535"/>
    <w:rsid w:val="00F4027B"/>
    <w:rsid w:val="00F403C8"/>
    <w:rsid w:val="00F40ABA"/>
    <w:rsid w:val="00F41731"/>
    <w:rsid w:val="00F42303"/>
    <w:rsid w:val="00F4241D"/>
    <w:rsid w:val="00F42474"/>
    <w:rsid w:val="00F42C4B"/>
    <w:rsid w:val="00F42EB1"/>
    <w:rsid w:val="00F42F58"/>
    <w:rsid w:val="00F43D8E"/>
    <w:rsid w:val="00F43FD4"/>
    <w:rsid w:val="00F4480D"/>
    <w:rsid w:val="00F44963"/>
    <w:rsid w:val="00F453BF"/>
    <w:rsid w:val="00F45416"/>
    <w:rsid w:val="00F45869"/>
    <w:rsid w:val="00F45D1B"/>
    <w:rsid w:val="00F45F2F"/>
    <w:rsid w:val="00F4601B"/>
    <w:rsid w:val="00F462CE"/>
    <w:rsid w:val="00F46802"/>
    <w:rsid w:val="00F46E54"/>
    <w:rsid w:val="00F50464"/>
    <w:rsid w:val="00F517A0"/>
    <w:rsid w:val="00F521AC"/>
    <w:rsid w:val="00F52358"/>
    <w:rsid w:val="00F5287F"/>
    <w:rsid w:val="00F52F7A"/>
    <w:rsid w:val="00F54790"/>
    <w:rsid w:val="00F54A05"/>
    <w:rsid w:val="00F5549C"/>
    <w:rsid w:val="00F55887"/>
    <w:rsid w:val="00F56F13"/>
    <w:rsid w:val="00F571D9"/>
    <w:rsid w:val="00F57230"/>
    <w:rsid w:val="00F573E7"/>
    <w:rsid w:val="00F57D30"/>
    <w:rsid w:val="00F57FF4"/>
    <w:rsid w:val="00F605AE"/>
    <w:rsid w:val="00F60962"/>
    <w:rsid w:val="00F60E90"/>
    <w:rsid w:val="00F6143F"/>
    <w:rsid w:val="00F61634"/>
    <w:rsid w:val="00F61675"/>
    <w:rsid w:val="00F61D9F"/>
    <w:rsid w:val="00F625BB"/>
    <w:rsid w:val="00F62FE9"/>
    <w:rsid w:val="00F6486B"/>
    <w:rsid w:val="00F64BE0"/>
    <w:rsid w:val="00F650CC"/>
    <w:rsid w:val="00F651EE"/>
    <w:rsid w:val="00F6555B"/>
    <w:rsid w:val="00F65588"/>
    <w:rsid w:val="00F65DF0"/>
    <w:rsid w:val="00F65E30"/>
    <w:rsid w:val="00F673BF"/>
    <w:rsid w:val="00F67713"/>
    <w:rsid w:val="00F67D48"/>
    <w:rsid w:val="00F70383"/>
    <w:rsid w:val="00F70C7E"/>
    <w:rsid w:val="00F71D01"/>
    <w:rsid w:val="00F724D1"/>
    <w:rsid w:val="00F72688"/>
    <w:rsid w:val="00F74144"/>
    <w:rsid w:val="00F745F6"/>
    <w:rsid w:val="00F74AB3"/>
    <w:rsid w:val="00F74ACB"/>
    <w:rsid w:val="00F74C90"/>
    <w:rsid w:val="00F752C1"/>
    <w:rsid w:val="00F75FF2"/>
    <w:rsid w:val="00F761BB"/>
    <w:rsid w:val="00F76E57"/>
    <w:rsid w:val="00F77CB0"/>
    <w:rsid w:val="00F77F59"/>
    <w:rsid w:val="00F80A75"/>
    <w:rsid w:val="00F814EE"/>
    <w:rsid w:val="00F8248B"/>
    <w:rsid w:val="00F824AD"/>
    <w:rsid w:val="00F82832"/>
    <w:rsid w:val="00F8374D"/>
    <w:rsid w:val="00F83EB5"/>
    <w:rsid w:val="00F84080"/>
    <w:rsid w:val="00F846A9"/>
    <w:rsid w:val="00F84A14"/>
    <w:rsid w:val="00F85115"/>
    <w:rsid w:val="00F8533F"/>
    <w:rsid w:val="00F85A35"/>
    <w:rsid w:val="00F85E7B"/>
    <w:rsid w:val="00F85F5E"/>
    <w:rsid w:val="00F860D7"/>
    <w:rsid w:val="00F87EF6"/>
    <w:rsid w:val="00F90243"/>
    <w:rsid w:val="00F90C6A"/>
    <w:rsid w:val="00F92724"/>
    <w:rsid w:val="00F93798"/>
    <w:rsid w:val="00F93970"/>
    <w:rsid w:val="00F93D9D"/>
    <w:rsid w:val="00F942EF"/>
    <w:rsid w:val="00F948D7"/>
    <w:rsid w:val="00F94FFC"/>
    <w:rsid w:val="00F95B06"/>
    <w:rsid w:val="00F96558"/>
    <w:rsid w:val="00F9657D"/>
    <w:rsid w:val="00F96909"/>
    <w:rsid w:val="00F96B77"/>
    <w:rsid w:val="00FA02C7"/>
    <w:rsid w:val="00FA0373"/>
    <w:rsid w:val="00FA1078"/>
    <w:rsid w:val="00FA13AC"/>
    <w:rsid w:val="00FA1620"/>
    <w:rsid w:val="00FA16B9"/>
    <w:rsid w:val="00FA1A9F"/>
    <w:rsid w:val="00FA2DED"/>
    <w:rsid w:val="00FA2EEA"/>
    <w:rsid w:val="00FA497B"/>
    <w:rsid w:val="00FA576E"/>
    <w:rsid w:val="00FA5ACC"/>
    <w:rsid w:val="00FA5B55"/>
    <w:rsid w:val="00FA5F0E"/>
    <w:rsid w:val="00FA655A"/>
    <w:rsid w:val="00FA6651"/>
    <w:rsid w:val="00FA6AA6"/>
    <w:rsid w:val="00FA7343"/>
    <w:rsid w:val="00FB0DCE"/>
    <w:rsid w:val="00FB1B4E"/>
    <w:rsid w:val="00FB1B9C"/>
    <w:rsid w:val="00FB1E56"/>
    <w:rsid w:val="00FB217F"/>
    <w:rsid w:val="00FB260E"/>
    <w:rsid w:val="00FB26C7"/>
    <w:rsid w:val="00FB475A"/>
    <w:rsid w:val="00FB51CA"/>
    <w:rsid w:val="00FB52D8"/>
    <w:rsid w:val="00FB7B88"/>
    <w:rsid w:val="00FC0115"/>
    <w:rsid w:val="00FC0A41"/>
    <w:rsid w:val="00FC0FBF"/>
    <w:rsid w:val="00FC1B2D"/>
    <w:rsid w:val="00FC1C2D"/>
    <w:rsid w:val="00FC2625"/>
    <w:rsid w:val="00FC2C64"/>
    <w:rsid w:val="00FC3E68"/>
    <w:rsid w:val="00FC5C2B"/>
    <w:rsid w:val="00FC6621"/>
    <w:rsid w:val="00FC66E0"/>
    <w:rsid w:val="00FC793E"/>
    <w:rsid w:val="00FC7AB1"/>
    <w:rsid w:val="00FD03A8"/>
    <w:rsid w:val="00FD069E"/>
    <w:rsid w:val="00FD0E0D"/>
    <w:rsid w:val="00FD1730"/>
    <w:rsid w:val="00FD1FEA"/>
    <w:rsid w:val="00FD29BF"/>
    <w:rsid w:val="00FD2DA5"/>
    <w:rsid w:val="00FD4591"/>
    <w:rsid w:val="00FD56DD"/>
    <w:rsid w:val="00FD652C"/>
    <w:rsid w:val="00FD6E77"/>
    <w:rsid w:val="00FD6F43"/>
    <w:rsid w:val="00FD79F4"/>
    <w:rsid w:val="00FD7B05"/>
    <w:rsid w:val="00FD7E3B"/>
    <w:rsid w:val="00FE05F3"/>
    <w:rsid w:val="00FE0972"/>
    <w:rsid w:val="00FE0BD8"/>
    <w:rsid w:val="00FE1A26"/>
    <w:rsid w:val="00FE301E"/>
    <w:rsid w:val="00FE3A6A"/>
    <w:rsid w:val="00FE4A53"/>
    <w:rsid w:val="00FE4BE4"/>
    <w:rsid w:val="00FE4E4B"/>
    <w:rsid w:val="00FE59E2"/>
    <w:rsid w:val="00FE5A4D"/>
    <w:rsid w:val="00FE63BF"/>
    <w:rsid w:val="00FE64B3"/>
    <w:rsid w:val="00FE6A86"/>
    <w:rsid w:val="00FE72D4"/>
    <w:rsid w:val="00FE7576"/>
    <w:rsid w:val="00FE7C6C"/>
    <w:rsid w:val="00FF02C0"/>
    <w:rsid w:val="00FF03AE"/>
    <w:rsid w:val="00FF0459"/>
    <w:rsid w:val="00FF0496"/>
    <w:rsid w:val="00FF06A7"/>
    <w:rsid w:val="00FF092D"/>
    <w:rsid w:val="00FF0AD2"/>
    <w:rsid w:val="00FF0CBD"/>
    <w:rsid w:val="00FF1032"/>
    <w:rsid w:val="00FF1539"/>
    <w:rsid w:val="00FF15C8"/>
    <w:rsid w:val="00FF16B0"/>
    <w:rsid w:val="00FF24A0"/>
    <w:rsid w:val="00FF26F6"/>
    <w:rsid w:val="00FF3431"/>
    <w:rsid w:val="00FF371A"/>
    <w:rsid w:val="00FF3E3A"/>
    <w:rsid w:val="00FF4ABC"/>
    <w:rsid w:val="00FF5161"/>
    <w:rsid w:val="00FF569C"/>
    <w:rsid w:val="00FF57FB"/>
    <w:rsid w:val="00FF584C"/>
    <w:rsid w:val="00FF6791"/>
    <w:rsid w:val="00FF6D39"/>
    <w:rsid w:val="00FF6EA9"/>
    <w:rsid w:val="00FF740C"/>
    <w:rsid w:val="00FF74FF"/>
    <w:rsid w:val="00FF79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5857"/>
    <o:shapelayout v:ext="edit">
      <o:idmap v:ext="edit" data="1"/>
    </o:shapelayout>
  </w:shapeDefaults>
  <w:decimalSymbol w:val=","/>
  <w:listSeparator w:val=";"/>
  <w14:docId w14:val="2D884F49"/>
  <w14:defaultImageDpi w14:val="0"/>
  <w15:docId w15:val="{EEF84307-7E62-4D4F-89B9-BB870652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qFormat="1"/>
    <w:lsdException w:name="caption" w:semiHidden="1" w:uiPriority="35" w:unhideWhenUsed="1" w:qFormat="1"/>
    <w:lsdException w:name="footnote reference" w:qFormat="1"/>
    <w:lsdException w:name="page number" w:semiHidden="1" w:uiPriority="0" w:unhideWhenUsed="1"/>
    <w:lsdException w:name="List Number" w:semiHidden="1" w:unhideWhenUsed="1"/>
    <w:lsdException w:name="List 4" w:semiHidden="1" w:unhideWhenUsed="1"/>
    <w:lsdException w:name="List 5" w:semiHidden="1" w:unhideWhenUsed="1"/>
    <w:lsdException w:name="List Bullet 2" w:semiHidden="1" w:uiPriority="0"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C7E"/>
    <w:rPr>
      <w:rFonts w:ascii="Times New Roman" w:hAnsi="Times New Roman" w:cs="Times New Roman"/>
      <w:szCs w:val="36"/>
    </w:rPr>
  </w:style>
  <w:style w:type="paragraph" w:styleId="Nadpis1">
    <w:name w:val="heading 1"/>
    <w:basedOn w:val="Normlny"/>
    <w:next w:val="Normlny"/>
    <w:link w:val="Nadpis1Char"/>
    <w:qFormat/>
    <w:rsid w:val="003A760D"/>
    <w:pPr>
      <w:keepNext/>
      <w:keepLines/>
      <w:numPr>
        <w:numId w:val="2"/>
      </w:numPr>
      <w:outlineLvl w:val="0"/>
    </w:pPr>
    <w:rPr>
      <w:rFonts w:eastAsiaTheme="majorEastAsia"/>
      <w:b/>
      <w:bCs/>
      <w:sz w:val="26"/>
      <w:szCs w:val="26"/>
    </w:rPr>
  </w:style>
  <w:style w:type="paragraph" w:styleId="Nadpis2">
    <w:name w:val="heading 2"/>
    <w:basedOn w:val="Normlny"/>
    <w:next w:val="Normlny"/>
    <w:link w:val="Nadpis2Char"/>
    <w:unhideWhenUsed/>
    <w:qFormat/>
    <w:rsid w:val="00900C3E"/>
    <w:pPr>
      <w:keepNext/>
      <w:keepLines/>
      <w:numPr>
        <w:ilvl w:val="1"/>
        <w:numId w:val="23"/>
      </w:numPr>
      <w:spacing w:before="200" w:line="336" w:lineRule="auto"/>
      <w:outlineLvl w:val="1"/>
    </w:pPr>
    <w:rPr>
      <w:b/>
      <w:bCs/>
      <w:sz w:val="24"/>
      <w:szCs w:val="24"/>
    </w:rPr>
  </w:style>
  <w:style w:type="paragraph" w:styleId="Nadpis3">
    <w:name w:val="heading 3"/>
    <w:basedOn w:val="Odsekzoznamu"/>
    <w:next w:val="Normlny"/>
    <w:link w:val="Nadpis3Char"/>
    <w:uiPriority w:val="9"/>
    <w:qFormat/>
    <w:rsid w:val="00900C3E"/>
    <w:pPr>
      <w:numPr>
        <w:ilvl w:val="2"/>
        <w:numId w:val="23"/>
      </w:numPr>
      <w:spacing w:after="120" w:line="336" w:lineRule="auto"/>
      <w:ind w:left="1800"/>
      <w:jc w:val="both"/>
      <w:outlineLvl w:val="2"/>
    </w:pPr>
    <w:rPr>
      <w:rFonts w:eastAsiaTheme="majorEastAsia" w:cs="Times New Roman"/>
      <w:b/>
      <w:lang w:eastAsia="en-US"/>
    </w:rPr>
  </w:style>
  <w:style w:type="paragraph" w:styleId="Nadpis4">
    <w:name w:val="heading 4"/>
    <w:basedOn w:val="Normlny"/>
    <w:next w:val="Normlny"/>
    <w:link w:val="Nadpis4Char"/>
    <w:unhideWhenUsed/>
    <w:qFormat/>
    <w:rsid w:val="000F366E"/>
    <w:pPr>
      <w:spacing w:after="0" w:line="360" w:lineRule="auto"/>
      <w:jc w:val="both"/>
      <w:outlineLvl w:val="3"/>
    </w:pPr>
    <w:rPr>
      <w:b/>
      <w:sz w:val="24"/>
      <w:szCs w:val="24"/>
    </w:rPr>
  </w:style>
  <w:style w:type="paragraph" w:styleId="Nadpis5">
    <w:name w:val="heading 5"/>
    <w:basedOn w:val="Normlny"/>
    <w:next w:val="Normlny"/>
    <w:link w:val="Nadpis5Char"/>
    <w:qFormat/>
    <w:rsid w:val="003F1365"/>
    <w:pPr>
      <w:keepNext/>
      <w:tabs>
        <w:tab w:val="num" w:pos="1008"/>
      </w:tabs>
      <w:spacing w:after="0" w:line="240" w:lineRule="auto"/>
      <w:ind w:left="1008" w:hanging="1008"/>
      <w:jc w:val="center"/>
      <w:outlineLvl w:val="4"/>
    </w:pPr>
    <w:rPr>
      <w:b/>
      <w:bCs/>
      <w:sz w:val="20"/>
      <w:szCs w:val="20"/>
      <w:lang w:eastAsia="cs-CZ"/>
    </w:rPr>
  </w:style>
  <w:style w:type="paragraph" w:styleId="Nadpis6">
    <w:name w:val="heading 6"/>
    <w:basedOn w:val="Normlny"/>
    <w:next w:val="Normlny"/>
    <w:link w:val="Nadpis6Char"/>
    <w:qFormat/>
    <w:rsid w:val="003F1365"/>
    <w:pPr>
      <w:tabs>
        <w:tab w:val="num" w:pos="1152"/>
      </w:tabs>
      <w:spacing w:before="240" w:after="60" w:line="240" w:lineRule="auto"/>
      <w:ind w:left="1152" w:hanging="1152"/>
      <w:outlineLvl w:val="5"/>
    </w:pPr>
    <w:rPr>
      <w:b/>
      <w:bCs/>
      <w:sz w:val="20"/>
      <w:szCs w:val="22"/>
    </w:rPr>
  </w:style>
  <w:style w:type="paragraph" w:styleId="Nadpis7">
    <w:name w:val="heading 7"/>
    <w:basedOn w:val="Normlny"/>
    <w:next w:val="Normlny"/>
    <w:link w:val="Nadpis7Char"/>
    <w:qFormat/>
    <w:rsid w:val="003F1365"/>
    <w:pPr>
      <w:tabs>
        <w:tab w:val="num" w:pos="1296"/>
      </w:tabs>
      <w:spacing w:before="240" w:after="60" w:line="240" w:lineRule="auto"/>
      <w:ind w:left="1296" w:hanging="1296"/>
      <w:outlineLvl w:val="6"/>
    </w:pPr>
    <w:rPr>
      <w:sz w:val="24"/>
      <w:szCs w:val="24"/>
    </w:rPr>
  </w:style>
  <w:style w:type="paragraph" w:styleId="Nadpis8">
    <w:name w:val="heading 8"/>
    <w:basedOn w:val="Normlny"/>
    <w:next w:val="Normlny"/>
    <w:link w:val="Nadpis8Char"/>
    <w:qFormat/>
    <w:rsid w:val="003F1365"/>
    <w:pPr>
      <w:tabs>
        <w:tab w:val="num" w:pos="1440"/>
      </w:tabs>
      <w:spacing w:before="240" w:after="60" w:line="240" w:lineRule="auto"/>
      <w:ind w:left="1440" w:hanging="1440"/>
      <w:outlineLvl w:val="7"/>
    </w:pPr>
    <w:rPr>
      <w:i/>
      <w:iCs/>
      <w:sz w:val="24"/>
      <w:szCs w:val="24"/>
    </w:rPr>
  </w:style>
  <w:style w:type="paragraph" w:styleId="Nadpis9">
    <w:name w:val="heading 9"/>
    <w:basedOn w:val="Normlny"/>
    <w:next w:val="Normlny"/>
    <w:link w:val="Nadpis9Char"/>
    <w:qFormat/>
    <w:rsid w:val="003F1365"/>
    <w:pPr>
      <w:tabs>
        <w:tab w:val="num" w:pos="1584"/>
      </w:tabs>
      <w:spacing w:before="240" w:after="60" w:line="240" w:lineRule="auto"/>
      <w:ind w:left="1584" w:hanging="1584"/>
      <w:outlineLvl w:val="8"/>
    </w:pPr>
    <w:rPr>
      <w:rFonts w:ascii="Arial" w:hAnsi="Arial"/>
      <w:sz w:val="20"/>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3A760D"/>
    <w:rPr>
      <w:rFonts w:ascii="Times New Roman" w:eastAsiaTheme="majorEastAsia" w:hAnsi="Times New Roman" w:cs="Times New Roman"/>
      <w:b/>
      <w:bCs/>
      <w:sz w:val="26"/>
      <w:szCs w:val="26"/>
    </w:rPr>
  </w:style>
  <w:style w:type="character" w:customStyle="1" w:styleId="Nadpis2Char">
    <w:name w:val="Nadpis 2 Char"/>
    <w:basedOn w:val="Predvolenpsmoodseku"/>
    <w:link w:val="Nadpis2"/>
    <w:locked/>
    <w:rsid w:val="00900C3E"/>
    <w:rPr>
      <w:rFonts w:ascii="Times New Roman" w:hAnsi="Times New Roman" w:cs="Times New Roman"/>
      <w:b/>
      <w:bCs/>
      <w:sz w:val="24"/>
      <w:szCs w:val="24"/>
    </w:rPr>
  </w:style>
  <w:style w:type="character" w:customStyle="1" w:styleId="Nadpis3Char">
    <w:name w:val="Nadpis 3 Char"/>
    <w:basedOn w:val="Predvolenpsmoodseku"/>
    <w:link w:val="Nadpis3"/>
    <w:uiPriority w:val="9"/>
    <w:locked/>
    <w:rsid w:val="00900C3E"/>
    <w:rPr>
      <w:rFonts w:ascii="Times New Roman" w:eastAsiaTheme="majorEastAsia" w:hAnsi="Times New Roman" w:cs="Times New Roman"/>
      <w:b/>
    </w:rPr>
  </w:style>
  <w:style w:type="character" w:customStyle="1" w:styleId="Nadpis4Char">
    <w:name w:val="Nadpis 4 Char"/>
    <w:basedOn w:val="Predvolenpsmoodseku"/>
    <w:link w:val="Nadpis4"/>
    <w:locked/>
    <w:rsid w:val="000F366E"/>
    <w:rPr>
      <w:rFonts w:ascii="Times New Roman" w:hAnsi="Times New Roman" w:cs="Times New Roman"/>
      <w:b/>
      <w:sz w:val="24"/>
      <w:szCs w:val="24"/>
    </w:rPr>
  </w:style>
  <w:style w:type="character" w:customStyle="1" w:styleId="Nadpis5Char">
    <w:name w:val="Nadpis 5 Char"/>
    <w:basedOn w:val="Predvolenpsmoodseku"/>
    <w:link w:val="Nadpis5"/>
    <w:locked/>
    <w:rsid w:val="003F1365"/>
    <w:rPr>
      <w:rFonts w:ascii="Times New Roman" w:hAnsi="Times New Roman" w:cs="Times New Roman"/>
      <w:b/>
      <w:bCs/>
      <w:sz w:val="20"/>
      <w:szCs w:val="20"/>
      <w:lang w:val="x-none" w:eastAsia="cs-CZ"/>
    </w:rPr>
  </w:style>
  <w:style w:type="character" w:customStyle="1" w:styleId="Nadpis6Char">
    <w:name w:val="Nadpis 6 Char"/>
    <w:basedOn w:val="Predvolenpsmoodseku"/>
    <w:link w:val="Nadpis6"/>
    <w:locked/>
    <w:rsid w:val="003F1365"/>
    <w:rPr>
      <w:rFonts w:ascii="Times New Roman" w:hAnsi="Times New Roman" w:cs="Times New Roman"/>
      <w:b/>
      <w:bCs/>
      <w:sz w:val="22"/>
      <w:szCs w:val="22"/>
      <w:lang w:val="x-none" w:eastAsia="x-none"/>
    </w:rPr>
  </w:style>
  <w:style w:type="character" w:customStyle="1" w:styleId="Nadpis7Char">
    <w:name w:val="Nadpis 7 Char"/>
    <w:basedOn w:val="Predvolenpsmoodseku"/>
    <w:link w:val="Nadpis7"/>
    <w:locked/>
    <w:rsid w:val="003F1365"/>
    <w:rPr>
      <w:rFonts w:ascii="Times New Roman" w:hAnsi="Times New Roman" w:cs="Times New Roman"/>
      <w:sz w:val="24"/>
      <w:szCs w:val="24"/>
      <w:lang w:val="x-none" w:eastAsia="x-none"/>
    </w:rPr>
  </w:style>
  <w:style w:type="character" w:customStyle="1" w:styleId="Nadpis8Char">
    <w:name w:val="Nadpis 8 Char"/>
    <w:basedOn w:val="Predvolenpsmoodseku"/>
    <w:link w:val="Nadpis8"/>
    <w:locked/>
    <w:rsid w:val="003F1365"/>
    <w:rPr>
      <w:rFonts w:ascii="Times New Roman" w:hAnsi="Times New Roman" w:cs="Times New Roman"/>
      <w:i/>
      <w:iCs/>
      <w:sz w:val="24"/>
      <w:szCs w:val="24"/>
      <w:lang w:val="x-none" w:eastAsia="x-none"/>
    </w:rPr>
  </w:style>
  <w:style w:type="character" w:customStyle="1" w:styleId="Nadpis9Char">
    <w:name w:val="Nadpis 9 Char"/>
    <w:basedOn w:val="Predvolenpsmoodseku"/>
    <w:link w:val="Nadpis9"/>
    <w:locked/>
    <w:rsid w:val="003F1365"/>
    <w:rPr>
      <w:rFonts w:ascii="Arial" w:hAnsi="Arial" w:cs="Times New Roman"/>
      <w:sz w:val="22"/>
      <w:szCs w:val="22"/>
      <w:lang w:val="x-none" w:eastAsia="x-none"/>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 Char Char Char Char Char,Plonk,f"/>
    <w:basedOn w:val="Normlny"/>
    <w:link w:val="TextpoznmkypodiarouChar"/>
    <w:uiPriority w:val="99"/>
    <w:unhideWhenUsed/>
    <w:qFormat/>
    <w:rsid w:val="007304A5"/>
    <w:pPr>
      <w:spacing w:after="0" w:line="240" w:lineRule="auto"/>
    </w:pPr>
    <w:rPr>
      <w:sz w:val="20"/>
      <w:szCs w:val="20"/>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Plonk Char,f Char"/>
    <w:basedOn w:val="Predvolenpsmoodseku"/>
    <w:link w:val="Textpoznmkypodiarou"/>
    <w:uiPriority w:val="99"/>
    <w:locked/>
    <w:rsid w:val="007304A5"/>
    <w:rPr>
      <w:rFonts w:cs="Times New Roman"/>
      <w:sz w:val="20"/>
      <w:szCs w:val="20"/>
    </w:rPr>
  </w:style>
  <w:style w:type="character" w:styleId="Odkaznapoznmkupodiarou">
    <w:name w:val="footnote reference"/>
    <w:aliases w:val="16 Point,Superscript 6 Point,Footnote Reference Number,Footnote Reference_LVL6,Footnote Reference_LVL61,Footnote Reference_LVL62,Footnote Reference_LVL63,Footnote Reference_LVL64,Footnote call,BVI fnr,SUPERS,Footnote symbol"/>
    <w:basedOn w:val="Predvolenpsmoodseku"/>
    <w:link w:val="Char2"/>
    <w:uiPriority w:val="99"/>
    <w:unhideWhenUsed/>
    <w:qFormat/>
    <w:rsid w:val="007304A5"/>
    <w:rPr>
      <w:rFonts w:cs="Times New Roman"/>
      <w:vertAlign w:val="superscript"/>
    </w:rPr>
  </w:style>
  <w:style w:type="paragraph" w:styleId="Hlavika">
    <w:name w:val="header"/>
    <w:basedOn w:val="Normlny"/>
    <w:link w:val="HlavikaChar"/>
    <w:uiPriority w:val="99"/>
    <w:unhideWhenUsed/>
    <w:rsid w:val="00B200F2"/>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B200F2"/>
    <w:rPr>
      <w:rFonts w:cs="Times New Roman"/>
    </w:rPr>
  </w:style>
  <w:style w:type="paragraph" w:styleId="Pta">
    <w:name w:val="footer"/>
    <w:basedOn w:val="Normlny"/>
    <w:link w:val="PtaChar"/>
    <w:uiPriority w:val="99"/>
    <w:unhideWhenUsed/>
    <w:rsid w:val="00B200F2"/>
    <w:pPr>
      <w:tabs>
        <w:tab w:val="center" w:pos="4536"/>
        <w:tab w:val="right" w:pos="9072"/>
      </w:tabs>
      <w:spacing w:after="0" w:line="240" w:lineRule="auto"/>
    </w:pPr>
  </w:style>
  <w:style w:type="character" w:customStyle="1" w:styleId="PtaChar">
    <w:name w:val="Päta Char"/>
    <w:basedOn w:val="Predvolenpsmoodseku"/>
    <w:link w:val="Pta"/>
    <w:uiPriority w:val="99"/>
    <w:locked/>
    <w:rsid w:val="00B200F2"/>
    <w:rPr>
      <w:rFonts w:cs="Times New Roman"/>
    </w:rPr>
  </w:style>
  <w:style w:type="paragraph" w:customStyle="1" w:styleId="NormalList">
    <w:name w:val="NormalList"/>
    <w:basedOn w:val="Normlny"/>
    <w:qFormat/>
    <w:rsid w:val="006B3B40"/>
    <w:pPr>
      <w:spacing w:after="0" w:line="240" w:lineRule="auto"/>
      <w:jc w:val="both"/>
    </w:pPr>
    <w:rPr>
      <w:rFonts w:cs="Book Antiqua"/>
      <w:szCs w:val="22"/>
    </w:rPr>
  </w:style>
  <w:style w:type="paragraph" w:styleId="Odsekzoznamu">
    <w:name w:val="List Paragraph"/>
    <w:basedOn w:val="Normlny"/>
    <w:link w:val="OdsekzoznamuChar"/>
    <w:uiPriority w:val="34"/>
    <w:qFormat/>
    <w:rsid w:val="006B3B40"/>
    <w:pPr>
      <w:spacing w:after="0" w:line="240" w:lineRule="auto"/>
      <w:ind w:left="720"/>
      <w:contextualSpacing/>
    </w:pPr>
    <w:rPr>
      <w:rFonts w:cs="Book Antiqua"/>
      <w:szCs w:val="22"/>
      <w:lang w:eastAsia="sk-SK"/>
    </w:rPr>
  </w:style>
  <w:style w:type="character" w:styleId="Odkaznakomentr">
    <w:name w:val="annotation reference"/>
    <w:basedOn w:val="Predvolenpsmoodseku"/>
    <w:uiPriority w:val="99"/>
    <w:semiHidden/>
    <w:unhideWhenUsed/>
    <w:rsid w:val="006752EF"/>
    <w:rPr>
      <w:rFonts w:cs="Times New Roman"/>
      <w:sz w:val="16"/>
      <w:szCs w:val="16"/>
    </w:rPr>
  </w:style>
  <w:style w:type="paragraph" w:styleId="Textkomentra">
    <w:name w:val="annotation text"/>
    <w:basedOn w:val="Normlny"/>
    <w:link w:val="TextkomentraChar"/>
    <w:uiPriority w:val="99"/>
    <w:unhideWhenUsed/>
    <w:rsid w:val="006752EF"/>
    <w:pPr>
      <w:spacing w:after="0" w:line="240" w:lineRule="auto"/>
    </w:pPr>
    <w:rPr>
      <w:sz w:val="20"/>
      <w:szCs w:val="20"/>
      <w:lang w:eastAsia="sk-SK"/>
    </w:rPr>
  </w:style>
  <w:style w:type="character" w:customStyle="1" w:styleId="TextkomentraChar">
    <w:name w:val="Text komentára Char"/>
    <w:basedOn w:val="Predvolenpsmoodseku"/>
    <w:link w:val="Textkomentra"/>
    <w:uiPriority w:val="99"/>
    <w:locked/>
    <w:rsid w:val="006752EF"/>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6752E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6752EF"/>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9F701F"/>
    <w:pPr>
      <w:spacing w:after="200"/>
    </w:pPr>
    <w:rPr>
      <w:rFonts w:ascii="Arial Narrow" w:hAnsi="Arial Narrow"/>
      <w:b/>
      <w:bCs/>
      <w:lang w:eastAsia="en-US"/>
    </w:rPr>
  </w:style>
  <w:style w:type="character" w:customStyle="1" w:styleId="PredmetkomentraChar">
    <w:name w:val="Predmet komentára Char"/>
    <w:basedOn w:val="TextkomentraChar"/>
    <w:link w:val="Predmetkomentra"/>
    <w:uiPriority w:val="99"/>
    <w:semiHidden/>
    <w:locked/>
    <w:rsid w:val="009F701F"/>
    <w:rPr>
      <w:rFonts w:ascii="Times New Roman" w:hAnsi="Times New Roman" w:cs="Times New Roman"/>
      <w:b/>
      <w:bCs/>
      <w:sz w:val="20"/>
      <w:szCs w:val="20"/>
      <w:lang w:val="x-none" w:eastAsia="sk-SK"/>
    </w:rPr>
  </w:style>
  <w:style w:type="paragraph" w:styleId="Zkladntext">
    <w:name w:val="Body Text"/>
    <w:basedOn w:val="Normlny"/>
    <w:link w:val="ZkladntextChar"/>
    <w:rsid w:val="003A760D"/>
    <w:pPr>
      <w:spacing w:after="0" w:line="240" w:lineRule="auto"/>
      <w:jc w:val="both"/>
    </w:pPr>
    <w:rPr>
      <w:sz w:val="24"/>
      <w:szCs w:val="20"/>
      <w:lang w:eastAsia="cs-CZ"/>
    </w:rPr>
  </w:style>
  <w:style w:type="character" w:customStyle="1" w:styleId="ZkladntextChar">
    <w:name w:val="Základný text Char"/>
    <w:basedOn w:val="Predvolenpsmoodseku"/>
    <w:link w:val="Zkladntext"/>
    <w:locked/>
    <w:rsid w:val="003A760D"/>
    <w:rPr>
      <w:rFonts w:ascii="Times New Roman" w:hAnsi="Times New Roman" w:cs="Times New Roman"/>
      <w:sz w:val="20"/>
      <w:szCs w:val="20"/>
      <w:lang w:val="x-none" w:eastAsia="cs-CZ"/>
    </w:rPr>
  </w:style>
  <w:style w:type="paragraph" w:styleId="Revzia">
    <w:name w:val="Revision"/>
    <w:hidden/>
    <w:uiPriority w:val="99"/>
    <w:semiHidden/>
    <w:rsid w:val="003A760D"/>
    <w:pPr>
      <w:spacing w:after="0" w:line="240" w:lineRule="auto"/>
    </w:pPr>
    <w:rPr>
      <w:rFonts w:cs="Times New Roman"/>
      <w:szCs w:val="36"/>
    </w:rPr>
  </w:style>
  <w:style w:type="character" w:styleId="Siln">
    <w:name w:val="Strong"/>
    <w:basedOn w:val="Predvolenpsmoodseku"/>
    <w:uiPriority w:val="22"/>
    <w:qFormat/>
    <w:rsid w:val="00D072E8"/>
    <w:rPr>
      <w:rFonts w:cs="Times New Roman"/>
      <w:bCs/>
    </w:rPr>
  </w:style>
  <w:style w:type="character" w:customStyle="1" w:styleId="OdsekzoznamuChar">
    <w:name w:val="Odsek zoznamu Char"/>
    <w:link w:val="Odsekzoznamu"/>
    <w:uiPriority w:val="34"/>
    <w:locked/>
    <w:rsid w:val="005D5220"/>
    <w:rPr>
      <w:rFonts w:eastAsia="Times New Roman"/>
      <w:sz w:val="22"/>
      <w:lang w:val="x-none" w:eastAsia="sk-SK"/>
    </w:rPr>
  </w:style>
  <w:style w:type="paragraph" w:customStyle="1" w:styleId="Pismenka">
    <w:name w:val="Pismenka"/>
    <w:basedOn w:val="Zkladntext"/>
    <w:uiPriority w:val="99"/>
    <w:rsid w:val="005D5220"/>
    <w:pPr>
      <w:tabs>
        <w:tab w:val="num" w:pos="426"/>
      </w:tabs>
      <w:ind w:left="426" w:hanging="426"/>
    </w:pPr>
    <w:rPr>
      <w:b/>
      <w:bCs/>
      <w:sz w:val="18"/>
      <w:szCs w:val="18"/>
      <w:lang w:eastAsia="sk-SK"/>
    </w:rPr>
  </w:style>
  <w:style w:type="paragraph" w:styleId="Bezriadkovania">
    <w:name w:val="No Spacing"/>
    <w:uiPriority w:val="1"/>
    <w:qFormat/>
    <w:rsid w:val="005D5220"/>
    <w:pPr>
      <w:spacing w:after="0" w:line="240" w:lineRule="auto"/>
    </w:pPr>
    <w:rPr>
      <w:rFonts w:cs="Times New Roman"/>
      <w:szCs w:val="36"/>
    </w:rPr>
  </w:style>
  <w:style w:type="paragraph" w:styleId="Normlnywebov">
    <w:name w:val="Normal (Web)"/>
    <w:basedOn w:val="Normlny"/>
    <w:uiPriority w:val="99"/>
    <w:unhideWhenUsed/>
    <w:rsid w:val="003F1365"/>
    <w:pPr>
      <w:spacing w:after="100" w:afterAutospacing="1" w:line="240" w:lineRule="auto"/>
    </w:pPr>
    <w:rPr>
      <w:sz w:val="24"/>
      <w:szCs w:val="24"/>
      <w:lang w:eastAsia="sk-SK"/>
    </w:rPr>
  </w:style>
  <w:style w:type="character" w:styleId="Hypertextovprepojenie">
    <w:name w:val="Hyperlink"/>
    <w:basedOn w:val="Predvolenpsmoodseku"/>
    <w:uiPriority w:val="99"/>
    <w:unhideWhenUsed/>
    <w:rsid w:val="003F1365"/>
    <w:rPr>
      <w:color w:val="9E150F"/>
      <w:u w:val="single"/>
    </w:rPr>
  </w:style>
  <w:style w:type="table" w:styleId="Mriekatabuky">
    <w:name w:val="Table Grid"/>
    <w:basedOn w:val="Normlnatabuka"/>
    <w:uiPriority w:val="59"/>
    <w:rsid w:val="003F1365"/>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3F1365"/>
  </w:style>
  <w:style w:type="paragraph" w:customStyle="1" w:styleId="Zkladntext1">
    <w:name w:val="Základní text1"/>
    <w:uiPriority w:val="99"/>
    <w:rsid w:val="003F1365"/>
    <w:pPr>
      <w:spacing w:before="144" w:after="144" w:line="240" w:lineRule="auto"/>
      <w:ind w:firstLine="709"/>
      <w:jc w:val="both"/>
    </w:pPr>
    <w:rPr>
      <w:rFonts w:ascii="Times New Roman" w:hAnsi="Times New Roman" w:cs="Times New Roman"/>
      <w:color w:val="000000"/>
      <w:sz w:val="24"/>
      <w:szCs w:val="24"/>
      <w:lang w:eastAsia="sk-SK"/>
    </w:rPr>
  </w:style>
  <w:style w:type="paragraph" w:customStyle="1" w:styleId="odstavec">
    <w:name w:val="odstavec"/>
    <w:basedOn w:val="Normlny"/>
    <w:autoRedefine/>
    <w:rsid w:val="003F1365"/>
    <w:pPr>
      <w:spacing w:after="0" w:line="240" w:lineRule="auto"/>
      <w:ind w:right="-79"/>
      <w:jc w:val="both"/>
    </w:pPr>
    <w:rPr>
      <w:sz w:val="20"/>
      <w:szCs w:val="24"/>
      <w:lang w:eastAsia="sk-SK"/>
    </w:rPr>
  </w:style>
  <w:style w:type="paragraph" w:customStyle="1" w:styleId="abc">
    <w:name w:val="abc"/>
    <w:basedOn w:val="Normlny"/>
    <w:autoRedefine/>
    <w:rsid w:val="003F1365"/>
    <w:pPr>
      <w:numPr>
        <w:numId w:val="4"/>
      </w:numPr>
      <w:spacing w:before="60" w:after="120" w:line="240" w:lineRule="auto"/>
      <w:jc w:val="both"/>
    </w:pPr>
    <w:rPr>
      <w:b/>
      <w:sz w:val="20"/>
      <w:szCs w:val="20"/>
      <w:lang w:eastAsia="sk-SK"/>
    </w:rPr>
  </w:style>
  <w:style w:type="character" w:customStyle="1" w:styleId="spanr">
    <w:name w:val="span_r"/>
    <w:basedOn w:val="Predvolenpsmoodseku"/>
    <w:rsid w:val="003F1365"/>
    <w:rPr>
      <w:rFonts w:cs="Times New Roman"/>
    </w:rPr>
  </w:style>
  <w:style w:type="paragraph" w:customStyle="1" w:styleId="CharChar1">
    <w:name w:val="Char Char1"/>
    <w:basedOn w:val="Normlny"/>
    <w:rsid w:val="003F1365"/>
    <w:pPr>
      <w:spacing w:after="160" w:line="240" w:lineRule="exact"/>
    </w:pPr>
    <w:rPr>
      <w:rFonts w:ascii="Tahoma" w:hAnsi="Tahoma"/>
      <w:sz w:val="20"/>
      <w:szCs w:val="20"/>
    </w:rPr>
  </w:style>
  <w:style w:type="character" w:customStyle="1" w:styleId="poradna-tl-reaguj1">
    <w:name w:val="poradna-tl-reaguj1"/>
    <w:rsid w:val="003F1365"/>
    <w:rPr>
      <w:color w:val="A55570"/>
      <w:sz w:val="20"/>
    </w:rPr>
  </w:style>
  <w:style w:type="paragraph" w:customStyle="1" w:styleId="Zakladnmtext">
    <w:name w:val="Z&lt;/a&gt;kladn&lt;/m&gt; text"/>
    <w:rsid w:val="003F1365"/>
    <w:pPr>
      <w:spacing w:after="0" w:line="240" w:lineRule="auto"/>
    </w:pPr>
    <w:rPr>
      <w:rFonts w:ascii="Times New Roman" w:hAnsi="Times New Roman" w:cs="Times New Roman"/>
      <w:color w:val="000000"/>
      <w:sz w:val="24"/>
      <w:szCs w:val="20"/>
      <w:lang w:val="en-US" w:eastAsia="sk-SK"/>
    </w:rPr>
  </w:style>
  <w:style w:type="paragraph" w:customStyle="1" w:styleId="Xadka">
    <w:name w:val="&lt;/X&gt;&lt;/a&gt;dka"/>
    <w:rsid w:val="003F1365"/>
    <w:pPr>
      <w:spacing w:after="0" w:line="240" w:lineRule="auto"/>
    </w:pPr>
    <w:rPr>
      <w:rFonts w:ascii="Times New Roman" w:hAnsi="Times New Roman" w:cs="Times New Roman"/>
      <w:color w:val="000000"/>
      <w:sz w:val="24"/>
      <w:szCs w:val="20"/>
      <w:lang w:val="en-US" w:eastAsia="sk-SK"/>
    </w:rPr>
  </w:style>
  <w:style w:type="paragraph" w:customStyle="1" w:styleId="Znahka">
    <w:name w:val="Zna&lt;/h&gt;ka"/>
    <w:rsid w:val="003F1365"/>
    <w:pPr>
      <w:spacing w:after="0" w:line="240" w:lineRule="auto"/>
      <w:ind w:left="288" w:hanging="288"/>
    </w:pPr>
    <w:rPr>
      <w:rFonts w:ascii="Times New Roman" w:hAnsi="Times New Roman" w:cs="Times New Roman"/>
      <w:color w:val="000000"/>
      <w:sz w:val="24"/>
      <w:szCs w:val="20"/>
      <w:lang w:val="en-US" w:eastAsia="sk-SK"/>
    </w:rPr>
  </w:style>
  <w:style w:type="paragraph" w:customStyle="1" w:styleId="Znahka1">
    <w:name w:val="Zna&lt;/h&gt;ka 1"/>
    <w:rsid w:val="003F1365"/>
    <w:pPr>
      <w:spacing w:after="0" w:line="240" w:lineRule="auto"/>
    </w:pPr>
    <w:rPr>
      <w:rFonts w:ascii="Times New Roman" w:hAnsi="Times New Roman" w:cs="Times New Roman"/>
      <w:color w:val="000000"/>
      <w:sz w:val="24"/>
      <w:szCs w:val="20"/>
      <w:lang w:val="en-US" w:eastAsia="sk-SK"/>
    </w:rPr>
  </w:style>
  <w:style w:type="paragraph" w:customStyle="1" w:styleId="Hmsloseznamu">
    <w:name w:val="&lt;/H&gt;&lt;/m&gt;slo seznamu"/>
    <w:rsid w:val="003F1365"/>
    <w:pPr>
      <w:tabs>
        <w:tab w:val="left" w:pos="576"/>
      </w:tabs>
      <w:spacing w:after="0" w:line="240" w:lineRule="auto"/>
    </w:pPr>
    <w:rPr>
      <w:rFonts w:ascii="Times New Roman" w:hAnsi="Times New Roman" w:cs="Times New Roman"/>
      <w:color w:val="000000"/>
      <w:sz w:val="24"/>
      <w:szCs w:val="20"/>
      <w:lang w:val="en-US" w:eastAsia="sk-SK"/>
    </w:rPr>
  </w:style>
  <w:style w:type="paragraph" w:customStyle="1" w:styleId="Podnadpis">
    <w:name w:val="Podnadpis"/>
    <w:rsid w:val="003F1365"/>
    <w:pPr>
      <w:spacing w:after="0" w:line="240" w:lineRule="auto"/>
    </w:pPr>
    <w:rPr>
      <w:rFonts w:ascii="Times New Roman" w:hAnsi="Times New Roman" w:cs="Times New Roman"/>
      <w:b/>
      <w:i/>
      <w:color w:val="000000"/>
      <w:sz w:val="24"/>
      <w:szCs w:val="20"/>
      <w:lang w:val="en-US" w:eastAsia="sk-SK"/>
    </w:rPr>
  </w:style>
  <w:style w:type="paragraph" w:customStyle="1" w:styleId="Nadpis">
    <w:name w:val="Nadpis"/>
    <w:rsid w:val="003F1365"/>
    <w:pPr>
      <w:spacing w:after="0" w:line="240" w:lineRule="auto"/>
      <w:jc w:val="center"/>
    </w:pPr>
    <w:rPr>
      <w:rFonts w:ascii="Arial" w:hAnsi="Arial" w:cs="Times New Roman"/>
      <w:b/>
      <w:color w:val="000000"/>
      <w:sz w:val="36"/>
      <w:szCs w:val="20"/>
      <w:lang w:val="en-US" w:eastAsia="sk-SK"/>
    </w:rPr>
  </w:style>
  <w:style w:type="paragraph" w:customStyle="1" w:styleId="Zahlavm">
    <w:name w:val="Z&lt;/a&gt;hlav&lt;/m&gt;"/>
    <w:rsid w:val="003F1365"/>
    <w:pPr>
      <w:spacing w:after="0" w:line="240" w:lineRule="auto"/>
    </w:pPr>
    <w:rPr>
      <w:rFonts w:ascii="Times New Roman" w:hAnsi="Times New Roman" w:cs="Times New Roman"/>
      <w:color w:val="000000"/>
      <w:sz w:val="24"/>
      <w:szCs w:val="20"/>
      <w:lang w:val="en-US" w:eastAsia="sk-SK"/>
    </w:rPr>
  </w:style>
  <w:style w:type="paragraph" w:customStyle="1" w:styleId="Pata">
    <w:name w:val="Pata"/>
    <w:rsid w:val="003F1365"/>
    <w:pPr>
      <w:spacing w:after="0" w:line="240" w:lineRule="auto"/>
    </w:pPr>
    <w:rPr>
      <w:rFonts w:ascii="Times New Roman" w:hAnsi="Times New Roman" w:cs="Times New Roman"/>
      <w:color w:val="000000"/>
      <w:sz w:val="24"/>
      <w:szCs w:val="20"/>
      <w:lang w:val="en-US" w:eastAsia="sk-SK"/>
    </w:rPr>
  </w:style>
  <w:style w:type="paragraph" w:customStyle="1" w:styleId="Texttabulky">
    <w:name w:val="Text tabulky"/>
    <w:rsid w:val="003F1365"/>
    <w:pPr>
      <w:spacing w:after="0" w:line="240" w:lineRule="auto"/>
    </w:pPr>
    <w:rPr>
      <w:rFonts w:ascii="Times New Roman" w:hAnsi="Times New Roman" w:cs="Times New Roman"/>
      <w:color w:val="000000"/>
      <w:sz w:val="24"/>
      <w:szCs w:val="20"/>
      <w:lang w:val="en-US" w:eastAsia="sk-SK"/>
    </w:rPr>
  </w:style>
  <w:style w:type="paragraph" w:customStyle="1" w:styleId="Zkladntext10">
    <w:name w:val="Základný text1"/>
    <w:rsid w:val="003F1365"/>
    <w:pPr>
      <w:spacing w:after="0" w:line="240" w:lineRule="auto"/>
    </w:pPr>
    <w:rPr>
      <w:rFonts w:ascii="Dutch801 SWC" w:hAnsi="Dutch801 SWC" w:cs="Times New Roman"/>
      <w:color w:val="000000"/>
      <w:sz w:val="24"/>
      <w:szCs w:val="20"/>
      <w:lang w:val="en-US" w:eastAsia="sk-SK"/>
    </w:rPr>
  </w:style>
  <w:style w:type="paragraph" w:customStyle="1" w:styleId="Zkladntext0">
    <w:name w:val="Základní text"/>
    <w:rsid w:val="003F1365"/>
    <w:pPr>
      <w:autoSpaceDE w:val="0"/>
      <w:autoSpaceDN w:val="0"/>
      <w:adjustRightInd w:val="0"/>
      <w:spacing w:after="0" w:line="240" w:lineRule="auto"/>
    </w:pPr>
    <w:rPr>
      <w:rFonts w:ascii="Times New Roman" w:hAnsi="Times New Roman" w:cs="Times New Roman"/>
      <w:color w:val="000000"/>
      <w:sz w:val="20"/>
      <w:szCs w:val="24"/>
      <w:lang w:eastAsia="sk-SK"/>
    </w:rPr>
  </w:style>
  <w:style w:type="paragraph" w:styleId="Zkladntext2">
    <w:name w:val="Body Text 2"/>
    <w:aliases w:val="Char, Char"/>
    <w:basedOn w:val="Normlny"/>
    <w:link w:val="Zkladntext2Char"/>
    <w:rsid w:val="003F1365"/>
    <w:pPr>
      <w:spacing w:after="160" w:line="240" w:lineRule="exact"/>
    </w:pPr>
    <w:rPr>
      <w:rFonts w:ascii="Tahoma" w:hAnsi="Tahoma" w:cs="Tahoma"/>
      <w:sz w:val="20"/>
      <w:szCs w:val="20"/>
      <w:lang w:val="en-US"/>
    </w:rPr>
  </w:style>
  <w:style w:type="character" w:customStyle="1" w:styleId="Zkladntext2Char">
    <w:name w:val="Základný text 2 Char"/>
    <w:aliases w:val="Char Char, Char Char"/>
    <w:basedOn w:val="Predvolenpsmoodseku"/>
    <w:link w:val="Zkladntext2"/>
    <w:locked/>
    <w:rsid w:val="003F1365"/>
    <w:rPr>
      <w:rFonts w:ascii="Times New Roman" w:hAnsi="Times New Roman" w:cs="Times New Roman"/>
      <w:sz w:val="20"/>
      <w:szCs w:val="20"/>
      <w:lang w:val="x-none" w:eastAsia="x-none"/>
    </w:rPr>
  </w:style>
  <w:style w:type="paragraph" w:styleId="Zarkazkladnhotextu">
    <w:name w:val="Body Text Indent"/>
    <w:basedOn w:val="Normlny"/>
    <w:link w:val="ZarkazkladnhotextuChar"/>
    <w:rsid w:val="003F1365"/>
    <w:pPr>
      <w:spacing w:after="0" w:line="240" w:lineRule="auto"/>
      <w:ind w:firstLine="708"/>
      <w:jc w:val="both"/>
    </w:pPr>
    <w:rPr>
      <w:rFonts w:ascii="Dutch801 SWC" w:hAnsi="Dutch801 SWC"/>
      <w:sz w:val="24"/>
      <w:szCs w:val="20"/>
    </w:rPr>
  </w:style>
  <w:style w:type="character" w:customStyle="1" w:styleId="ZarkazkladnhotextuChar">
    <w:name w:val="Zarážka základného textu Char"/>
    <w:basedOn w:val="Predvolenpsmoodseku"/>
    <w:link w:val="Zarkazkladnhotextu"/>
    <w:locked/>
    <w:rsid w:val="003F1365"/>
    <w:rPr>
      <w:rFonts w:ascii="Dutch801 SWC" w:hAnsi="Dutch801 SWC" w:cs="Times New Roman"/>
      <w:sz w:val="20"/>
      <w:szCs w:val="20"/>
      <w:lang w:val="x-none" w:eastAsia="x-none"/>
    </w:rPr>
  </w:style>
  <w:style w:type="paragraph" w:styleId="Zkladntext3">
    <w:name w:val="Body Text 3"/>
    <w:basedOn w:val="Normlny"/>
    <w:link w:val="Zkladntext3Char"/>
    <w:rsid w:val="003F136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21" w:lineRule="atLeast"/>
    </w:pPr>
    <w:rPr>
      <w:b/>
      <w:bCs/>
      <w:sz w:val="28"/>
      <w:szCs w:val="24"/>
    </w:rPr>
  </w:style>
  <w:style w:type="character" w:customStyle="1" w:styleId="Zkladntext3Char">
    <w:name w:val="Základný text 3 Char"/>
    <w:basedOn w:val="Predvolenpsmoodseku"/>
    <w:link w:val="Zkladntext3"/>
    <w:locked/>
    <w:rsid w:val="003F1365"/>
    <w:rPr>
      <w:rFonts w:ascii="Times New Roman" w:hAnsi="Times New Roman" w:cs="Times New Roman"/>
      <w:b/>
      <w:bCs/>
      <w:sz w:val="24"/>
      <w:szCs w:val="24"/>
      <w:lang w:val="x-none" w:eastAsia="x-none"/>
    </w:rPr>
  </w:style>
  <w:style w:type="paragraph" w:customStyle="1" w:styleId="Zkladntext21">
    <w:name w:val="Základný text 21"/>
    <w:basedOn w:val="Normlny"/>
    <w:rsid w:val="003F1365"/>
    <w:pPr>
      <w:widowControl w:val="0"/>
      <w:spacing w:before="120" w:after="120" w:line="240" w:lineRule="auto"/>
      <w:ind w:left="426"/>
      <w:jc w:val="both"/>
    </w:pPr>
    <w:rPr>
      <w:sz w:val="24"/>
      <w:szCs w:val="20"/>
      <w:lang w:val="cs-CZ"/>
    </w:rPr>
  </w:style>
  <w:style w:type="paragraph" w:customStyle="1" w:styleId="08Textsprvy">
    <w:name w:val="08. Text správy"/>
    <w:basedOn w:val="Normlny"/>
    <w:rsid w:val="003F1365"/>
    <w:pPr>
      <w:spacing w:after="0" w:line="240" w:lineRule="auto"/>
      <w:jc w:val="both"/>
    </w:pPr>
    <w:rPr>
      <w:sz w:val="24"/>
      <w:szCs w:val="20"/>
      <w:lang w:eastAsia="cs-CZ"/>
    </w:rPr>
  </w:style>
  <w:style w:type="table" w:customStyle="1" w:styleId="Mriekatabuky1">
    <w:name w:val="Mriežka tabuľky1"/>
    <w:basedOn w:val="Normlnatabuka"/>
    <w:next w:val="Mriekatabuky"/>
    <w:rsid w:val="003F1365"/>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y"/>
    <w:rsid w:val="003F1365"/>
    <w:pPr>
      <w:spacing w:after="160" w:line="240" w:lineRule="exact"/>
    </w:pPr>
    <w:rPr>
      <w:rFonts w:ascii="Tahoma" w:hAnsi="Tahoma"/>
      <w:sz w:val="20"/>
      <w:szCs w:val="20"/>
    </w:rPr>
  </w:style>
  <w:style w:type="paragraph" w:customStyle="1" w:styleId="titulok">
    <w:name w:val="titulok"/>
    <w:basedOn w:val="Normlny"/>
    <w:rsid w:val="003F1365"/>
    <w:pPr>
      <w:spacing w:before="100" w:beforeAutospacing="1" w:after="100" w:afterAutospacing="1" w:line="240" w:lineRule="auto"/>
      <w:jc w:val="center"/>
    </w:pPr>
    <w:rPr>
      <w:rFonts w:ascii="Arial" w:hAnsi="Arial" w:cs="Arial"/>
      <w:b/>
      <w:bCs/>
      <w:color w:val="007060"/>
      <w:sz w:val="24"/>
      <w:szCs w:val="24"/>
      <w:lang w:eastAsia="sk-SK"/>
    </w:rPr>
  </w:style>
  <w:style w:type="paragraph" w:customStyle="1" w:styleId="CharCharCharCharCharCharCharCharChar1Char">
    <w:name w:val="Char Char Char Char Char Char Char Char Char1 Char"/>
    <w:basedOn w:val="Normlny"/>
    <w:rsid w:val="003F1365"/>
    <w:pPr>
      <w:spacing w:after="160" w:line="240" w:lineRule="exact"/>
    </w:pPr>
    <w:rPr>
      <w:rFonts w:ascii="Tahoma" w:hAnsi="Tahoma"/>
      <w:sz w:val="20"/>
      <w:szCs w:val="20"/>
      <w:lang w:val="en-US"/>
    </w:rPr>
  </w:style>
  <w:style w:type="paragraph" w:customStyle="1" w:styleId="Char1">
    <w:name w:val="Char1"/>
    <w:basedOn w:val="Normlny"/>
    <w:rsid w:val="003F1365"/>
    <w:pPr>
      <w:spacing w:after="160" w:line="240" w:lineRule="exact"/>
    </w:pPr>
    <w:rPr>
      <w:rFonts w:ascii="Tahoma" w:hAnsi="Tahoma" w:cs="Tahoma"/>
      <w:sz w:val="20"/>
      <w:szCs w:val="20"/>
      <w:lang w:val="en-US"/>
    </w:rPr>
  </w:style>
  <w:style w:type="paragraph" w:customStyle="1" w:styleId="tlCharCharChar1CharCharCharChar">
    <w:name w:val="Štýl Char Char Char1 Char Char Char Char"/>
    <w:basedOn w:val="Normlny"/>
    <w:rsid w:val="003F1365"/>
    <w:pPr>
      <w:spacing w:after="160" w:line="240" w:lineRule="exact"/>
    </w:pPr>
    <w:rPr>
      <w:rFonts w:ascii="Tahoma" w:hAnsi="Tahoma" w:cs="Tahoma"/>
      <w:sz w:val="20"/>
      <w:szCs w:val="20"/>
      <w:lang w:val="en-US"/>
    </w:rPr>
  </w:style>
  <w:style w:type="paragraph" w:customStyle="1" w:styleId="AUTunVycentrovan">
    <w:name w:val="AU Tučné Vycentrované"/>
    <w:basedOn w:val="Normlny"/>
    <w:rsid w:val="003F1365"/>
    <w:pPr>
      <w:spacing w:after="0" w:line="240" w:lineRule="auto"/>
      <w:jc w:val="center"/>
    </w:pPr>
    <w:rPr>
      <w:b/>
      <w:bCs/>
      <w:sz w:val="24"/>
      <w:szCs w:val="20"/>
      <w:lang w:eastAsia="cs-CZ"/>
    </w:rPr>
  </w:style>
  <w:style w:type="paragraph" w:customStyle="1" w:styleId="AUODRAKA">
    <w:name w:val="AU ODRAŽKA"/>
    <w:basedOn w:val="Normlny"/>
    <w:rsid w:val="003F1365"/>
    <w:pPr>
      <w:numPr>
        <w:numId w:val="5"/>
      </w:numPr>
      <w:spacing w:before="120" w:after="0" w:line="240" w:lineRule="auto"/>
      <w:jc w:val="both"/>
    </w:pPr>
    <w:rPr>
      <w:sz w:val="24"/>
      <w:szCs w:val="20"/>
      <w:lang w:eastAsia="cs-CZ"/>
    </w:rPr>
  </w:style>
  <w:style w:type="paragraph" w:customStyle="1" w:styleId="CharCharCharCharCharChar1">
    <w:name w:val="Char Char Char Char Char Char1"/>
    <w:basedOn w:val="Normlny"/>
    <w:rsid w:val="003F1365"/>
    <w:pPr>
      <w:spacing w:after="160" w:line="240" w:lineRule="exact"/>
    </w:pPr>
    <w:rPr>
      <w:rFonts w:ascii="Tahoma" w:hAnsi="Tahoma" w:cs="Tahoma"/>
      <w:sz w:val="20"/>
      <w:szCs w:val="20"/>
      <w:lang w:val="en-US"/>
    </w:rPr>
  </w:style>
  <w:style w:type="paragraph" w:customStyle="1" w:styleId="Zarkazkladnhotextu21">
    <w:name w:val="Zarážka základného textu 21"/>
    <w:basedOn w:val="Normlny"/>
    <w:rsid w:val="003F1365"/>
    <w:pPr>
      <w:overflowPunct w:val="0"/>
      <w:autoSpaceDE w:val="0"/>
      <w:autoSpaceDN w:val="0"/>
      <w:adjustRightInd w:val="0"/>
      <w:spacing w:before="120" w:after="0" w:line="240" w:lineRule="auto"/>
      <w:ind w:left="284" w:hanging="284"/>
      <w:jc w:val="both"/>
      <w:textAlignment w:val="baseline"/>
    </w:pPr>
    <w:rPr>
      <w:sz w:val="24"/>
      <w:szCs w:val="20"/>
      <w:lang w:eastAsia="cs-CZ"/>
    </w:rPr>
  </w:style>
  <w:style w:type="paragraph" w:styleId="Zoznamsodrkami2">
    <w:name w:val="List Bullet 2"/>
    <w:basedOn w:val="Normlny"/>
    <w:autoRedefine/>
    <w:rsid w:val="003F1365"/>
    <w:pPr>
      <w:numPr>
        <w:numId w:val="6"/>
      </w:numPr>
      <w:spacing w:after="0" w:line="240" w:lineRule="auto"/>
    </w:pPr>
    <w:rPr>
      <w:rFonts w:ascii="Courier" w:hAnsi="Courier" w:cs="Courier"/>
      <w:sz w:val="24"/>
      <w:szCs w:val="24"/>
      <w:lang w:eastAsia="cs-CZ"/>
    </w:rPr>
  </w:style>
  <w:style w:type="paragraph" w:customStyle="1" w:styleId="CharCharChar2CharCharCharCharChar">
    <w:name w:val="Char Char Char2 Char Char Char Char Char"/>
    <w:basedOn w:val="Normlny"/>
    <w:rsid w:val="003F1365"/>
    <w:pPr>
      <w:spacing w:after="160" w:line="240" w:lineRule="exact"/>
    </w:pPr>
    <w:rPr>
      <w:rFonts w:ascii="Tahoma" w:hAnsi="Tahoma"/>
      <w:sz w:val="20"/>
      <w:szCs w:val="20"/>
      <w:lang w:val="en-US"/>
    </w:rPr>
  </w:style>
  <w:style w:type="table" w:customStyle="1" w:styleId="Normlnatabuka1">
    <w:name w:val="Normálna tabuľka1"/>
    <w:next w:val="Normlnatabuka"/>
    <w:semiHidden/>
    <w:unhideWhenUsed/>
    <w:qFormat/>
    <w:rsid w:val="003F1365"/>
    <w:pPr>
      <w:spacing w:after="0" w:line="240" w:lineRule="auto"/>
    </w:pPr>
    <w:rPr>
      <w:rFonts w:ascii="Dutch801 SWC" w:hAnsi="Dutch801 SWC" w:cs="Times New Roman"/>
      <w:sz w:val="20"/>
      <w:szCs w:val="20"/>
      <w:lang w:eastAsia="sk-SK"/>
    </w:rPr>
    <w:tblPr>
      <w:tblInd w:w="0" w:type="dxa"/>
      <w:tblCellMar>
        <w:top w:w="0" w:type="dxa"/>
        <w:left w:w="108" w:type="dxa"/>
        <w:bottom w:w="0" w:type="dxa"/>
        <w:right w:w="108" w:type="dxa"/>
      </w:tblCellMar>
    </w:tblPr>
  </w:style>
  <w:style w:type="character" w:customStyle="1" w:styleId="ZkladntextodsazenChar">
    <w:name w:val="Základní text odsazený Char"/>
    <w:rsid w:val="003F1365"/>
    <w:rPr>
      <w:rFonts w:ascii="AT* Times New Roman" w:hAnsi="AT* Times New Roman"/>
      <w:sz w:val="24"/>
      <w:lang w:val="sk-SK" w:eastAsia="cs-CZ"/>
    </w:rPr>
  </w:style>
  <w:style w:type="table" w:customStyle="1" w:styleId="Normlnatabuka2">
    <w:name w:val="Normálna tabuľka2"/>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3">
    <w:name w:val="Normálna tabuľka3"/>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4">
    <w:name w:val="Normálna tabuľka4"/>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5">
    <w:name w:val="Normálna tabuľka5"/>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6">
    <w:name w:val="Normálna tabuľka6"/>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7">
    <w:name w:val="Normálna tabuľka7"/>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8">
    <w:name w:val="Normálna tabuľka8"/>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9">
    <w:name w:val="Normálna tabuľka9"/>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10">
    <w:name w:val="Normálna tabuľka10"/>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11">
    <w:name w:val="Normálna tabuľka11"/>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12">
    <w:name w:val="Normálna tabuľka12"/>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13">
    <w:name w:val="Normálna tabuľka13"/>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table" w:customStyle="1" w:styleId="Normlnatabuka14">
    <w:name w:val="Normálna tabuľka14"/>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paragraph" w:customStyle="1" w:styleId="CharCharCharChar1CharChar">
    <w:name w:val="Char Char Char Char1 Char Char"/>
    <w:basedOn w:val="Normlny"/>
    <w:rsid w:val="003F1365"/>
    <w:pPr>
      <w:spacing w:after="160" w:line="240" w:lineRule="exact"/>
    </w:pPr>
    <w:rPr>
      <w:rFonts w:ascii="Tahoma" w:hAnsi="Tahoma" w:cs="Tahoma"/>
      <w:sz w:val="20"/>
      <w:szCs w:val="20"/>
      <w:lang w:val="en-US"/>
    </w:rPr>
  </w:style>
  <w:style w:type="table" w:customStyle="1" w:styleId="Normlnatabuka15">
    <w:name w:val="Normálna tabuľka15"/>
    <w:next w:val="Normlnatabuka"/>
    <w:semiHidden/>
    <w:unhideWhenUsed/>
    <w:qFormat/>
    <w:rsid w:val="003F1365"/>
    <w:pPr>
      <w:spacing w:after="0" w:line="240" w:lineRule="auto"/>
    </w:pPr>
    <w:rPr>
      <w:rFonts w:ascii="Calibri" w:hAnsi="Calibri" w:cs="Times New Roman"/>
      <w:sz w:val="20"/>
      <w:szCs w:val="20"/>
      <w:lang w:eastAsia="sk-SK"/>
    </w:rPr>
    <w:tblPr>
      <w:tblInd w:w="0" w:type="dxa"/>
      <w:tblCellMar>
        <w:top w:w="0" w:type="dxa"/>
        <w:left w:w="108" w:type="dxa"/>
        <w:bottom w:w="0" w:type="dxa"/>
        <w:right w:w="108" w:type="dxa"/>
      </w:tblCellMar>
    </w:tblPr>
  </w:style>
  <w:style w:type="paragraph" w:styleId="Obsah1">
    <w:name w:val="toc 1"/>
    <w:basedOn w:val="Normlny"/>
    <w:next w:val="Normlny"/>
    <w:autoRedefine/>
    <w:uiPriority w:val="39"/>
    <w:unhideWhenUsed/>
    <w:rsid w:val="000231EB"/>
    <w:pPr>
      <w:tabs>
        <w:tab w:val="left" w:pos="426"/>
        <w:tab w:val="right" w:leader="dot" w:pos="9062"/>
      </w:tabs>
      <w:spacing w:after="120" w:line="240" w:lineRule="auto"/>
    </w:pPr>
    <w:rPr>
      <w:rFonts w:cs="Courier"/>
      <w:noProof/>
      <w:szCs w:val="22"/>
      <w:lang w:eastAsia="cs-CZ"/>
    </w:rPr>
  </w:style>
  <w:style w:type="paragraph" w:styleId="Obyajntext">
    <w:name w:val="Plain Text"/>
    <w:basedOn w:val="Normlny"/>
    <w:link w:val="ObyajntextChar"/>
    <w:uiPriority w:val="99"/>
    <w:unhideWhenUsed/>
    <w:rsid w:val="003F1365"/>
    <w:pPr>
      <w:spacing w:after="0" w:line="240" w:lineRule="auto"/>
    </w:pPr>
    <w:rPr>
      <w:szCs w:val="21"/>
    </w:rPr>
  </w:style>
  <w:style w:type="character" w:customStyle="1" w:styleId="ObyajntextChar">
    <w:name w:val="Obyčajný text Char"/>
    <w:basedOn w:val="Predvolenpsmoodseku"/>
    <w:link w:val="Obyajntext"/>
    <w:uiPriority w:val="99"/>
    <w:locked/>
    <w:rsid w:val="003F1365"/>
    <w:rPr>
      <w:rFonts w:eastAsia="Times New Roman" w:cs="Times New Roman"/>
      <w:sz w:val="21"/>
      <w:szCs w:val="21"/>
      <w:lang w:val="x-none" w:eastAsia="x-none"/>
    </w:rPr>
  </w:style>
  <w:style w:type="paragraph" w:customStyle="1" w:styleId="Default">
    <w:name w:val="Default"/>
    <w:rsid w:val="003F1365"/>
    <w:pPr>
      <w:autoSpaceDE w:val="0"/>
      <w:autoSpaceDN w:val="0"/>
      <w:adjustRightInd w:val="0"/>
      <w:spacing w:after="0" w:line="240" w:lineRule="auto"/>
    </w:pPr>
    <w:rPr>
      <w:rFonts w:ascii="Times New Roman" w:hAnsi="Times New Roman" w:cs="Times New Roman"/>
      <w:color w:val="000000"/>
      <w:sz w:val="24"/>
      <w:szCs w:val="24"/>
      <w:lang w:eastAsia="sk-SK"/>
    </w:rPr>
  </w:style>
  <w:style w:type="character" w:styleId="PouitHypertextovPrepojenie">
    <w:name w:val="FollowedHyperlink"/>
    <w:basedOn w:val="Predvolenpsmoodseku"/>
    <w:uiPriority w:val="99"/>
    <w:semiHidden/>
    <w:unhideWhenUsed/>
    <w:rsid w:val="003F1365"/>
    <w:rPr>
      <w:color w:val="800080"/>
      <w:u w:val="single"/>
    </w:rPr>
  </w:style>
  <w:style w:type="paragraph" w:customStyle="1" w:styleId="xl687">
    <w:name w:val="xl687"/>
    <w:basedOn w:val="Normlny"/>
    <w:rsid w:val="003F1365"/>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88">
    <w:name w:val="xl688"/>
    <w:basedOn w:val="Normlny"/>
    <w:rsid w:val="003F1365"/>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89">
    <w:name w:val="xl689"/>
    <w:basedOn w:val="Normlny"/>
    <w:rsid w:val="003F1365"/>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0">
    <w:name w:val="xl690"/>
    <w:basedOn w:val="Normlny"/>
    <w:rsid w:val="003F1365"/>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691">
    <w:name w:val="xl691"/>
    <w:basedOn w:val="Normlny"/>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hAnsi="Arial" w:cs="Arial"/>
      <w:sz w:val="20"/>
      <w:szCs w:val="20"/>
      <w:lang w:eastAsia="sk-SK"/>
    </w:rPr>
  </w:style>
  <w:style w:type="paragraph" w:customStyle="1" w:styleId="xl692">
    <w:name w:val="xl692"/>
    <w:basedOn w:val="Normlny"/>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3">
    <w:name w:val="xl693"/>
    <w:basedOn w:val="Normlny"/>
    <w:rsid w:val="003F1365"/>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4">
    <w:name w:val="xl694"/>
    <w:basedOn w:val="Normlny"/>
    <w:rsid w:val="003F1365"/>
    <w:pPr>
      <w:pBdr>
        <w:bottom w:val="single" w:sz="4" w:space="0" w:color="000000"/>
      </w:pBd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5">
    <w:name w:val="xl695"/>
    <w:basedOn w:val="Normlny"/>
    <w:rsid w:val="003F1365"/>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6">
    <w:name w:val="xl696"/>
    <w:basedOn w:val="Normlny"/>
    <w:rsid w:val="003F1365"/>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697">
    <w:name w:val="xl697"/>
    <w:basedOn w:val="Normlny"/>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698">
    <w:name w:val="xl698"/>
    <w:basedOn w:val="Normlny"/>
    <w:rsid w:val="003F1365"/>
    <w:pPr>
      <w:shd w:val="clear" w:color="000000" w:fill="FFFFFF"/>
      <w:spacing w:before="100" w:beforeAutospacing="1" w:after="100" w:afterAutospacing="1" w:line="240" w:lineRule="auto"/>
      <w:jc w:val="center"/>
    </w:pPr>
    <w:rPr>
      <w:rFonts w:ascii="Arial" w:hAnsi="Arial" w:cs="Arial"/>
      <w:b/>
      <w:bCs/>
      <w:sz w:val="20"/>
      <w:szCs w:val="20"/>
      <w:lang w:eastAsia="sk-SK"/>
    </w:rPr>
  </w:style>
  <w:style w:type="paragraph" w:customStyle="1" w:styleId="xl699">
    <w:name w:val="xl699"/>
    <w:basedOn w:val="Normlny"/>
    <w:rsid w:val="003F1365"/>
    <w:pPr>
      <w:shd w:val="clear" w:color="000000" w:fill="FFFFFF"/>
      <w:spacing w:before="100" w:beforeAutospacing="1" w:after="100" w:afterAutospacing="1" w:line="240" w:lineRule="auto"/>
      <w:jc w:val="right"/>
    </w:pPr>
    <w:rPr>
      <w:rFonts w:ascii="Arial" w:hAnsi="Arial" w:cs="Arial"/>
      <w:b/>
      <w:bCs/>
      <w:sz w:val="20"/>
      <w:szCs w:val="20"/>
      <w:lang w:eastAsia="sk-SK"/>
    </w:rPr>
  </w:style>
  <w:style w:type="paragraph" w:customStyle="1" w:styleId="xl700">
    <w:name w:val="xl700"/>
    <w:basedOn w:val="Normlny"/>
    <w:rsid w:val="003F1365"/>
    <w:pPr>
      <w:shd w:val="clear" w:color="000000" w:fill="FFFFFF"/>
      <w:spacing w:before="100" w:beforeAutospacing="1" w:after="100" w:afterAutospacing="1" w:line="240" w:lineRule="auto"/>
    </w:pPr>
    <w:rPr>
      <w:rFonts w:ascii="Arial" w:hAnsi="Arial" w:cs="Arial"/>
      <w:b/>
      <w:bCs/>
      <w:sz w:val="20"/>
      <w:szCs w:val="20"/>
      <w:lang w:eastAsia="sk-SK"/>
    </w:rPr>
  </w:style>
  <w:style w:type="paragraph" w:customStyle="1" w:styleId="xl701">
    <w:name w:val="xl701"/>
    <w:basedOn w:val="Normlny"/>
    <w:rsid w:val="003F1365"/>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2">
    <w:name w:val="xl702"/>
    <w:basedOn w:val="Normlny"/>
    <w:rsid w:val="003F1365"/>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3">
    <w:name w:val="xl703"/>
    <w:basedOn w:val="Normlny"/>
    <w:rsid w:val="003F1365"/>
    <w:pPr>
      <w:pBdr>
        <w:left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4">
    <w:name w:val="xl704"/>
    <w:basedOn w:val="Normlny"/>
    <w:rsid w:val="003F1365"/>
    <w:pP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5">
    <w:name w:val="xl705"/>
    <w:basedOn w:val="Normlny"/>
    <w:rsid w:val="003F1365"/>
    <w:pPr>
      <w:pBdr>
        <w:bottom w:val="single" w:sz="4" w:space="0" w:color="000000"/>
      </w:pBdr>
      <w:shd w:val="clear" w:color="000000" w:fill="FFFFFF"/>
      <w:spacing w:before="100" w:beforeAutospacing="1" w:after="100" w:afterAutospacing="1" w:line="240" w:lineRule="auto"/>
      <w:textAlignment w:val="center"/>
    </w:pPr>
    <w:rPr>
      <w:rFonts w:ascii="Arial" w:hAnsi="Arial" w:cs="Arial"/>
      <w:sz w:val="20"/>
      <w:szCs w:val="20"/>
      <w:lang w:eastAsia="sk-SK"/>
    </w:rPr>
  </w:style>
  <w:style w:type="paragraph" w:customStyle="1" w:styleId="xl706">
    <w:name w:val="xl706"/>
    <w:basedOn w:val="Normlny"/>
    <w:rsid w:val="003F136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07">
    <w:name w:val="xl707"/>
    <w:basedOn w:val="Normlny"/>
    <w:rsid w:val="003F1365"/>
    <w:pPr>
      <w:pBdr>
        <w:top w:val="single" w:sz="4" w:space="0" w:color="000000"/>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8">
    <w:name w:val="xl708"/>
    <w:basedOn w:val="Normlny"/>
    <w:rsid w:val="003F1365"/>
    <w:pPr>
      <w:pBdr>
        <w:top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09">
    <w:name w:val="xl709"/>
    <w:basedOn w:val="Normlny"/>
    <w:rsid w:val="003F1365"/>
    <w:pPr>
      <w:pBdr>
        <w:top w:val="single" w:sz="4" w:space="0" w:color="000000"/>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0">
    <w:name w:val="xl710"/>
    <w:basedOn w:val="Normlny"/>
    <w:rsid w:val="003F1365"/>
    <w:pPr>
      <w:pBdr>
        <w:lef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1">
    <w:name w:val="xl711"/>
    <w:basedOn w:val="Normlny"/>
    <w:rsid w:val="003F1365"/>
    <w:pP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2">
    <w:name w:val="xl712"/>
    <w:basedOn w:val="Normlny"/>
    <w:rsid w:val="003F1365"/>
    <w:pPr>
      <w:pBdr>
        <w:right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13">
    <w:name w:val="xl713"/>
    <w:basedOn w:val="Normlny"/>
    <w:rsid w:val="003F1365"/>
    <w:pPr>
      <w:spacing w:before="100" w:beforeAutospacing="1" w:after="100" w:afterAutospacing="1" w:line="240" w:lineRule="auto"/>
      <w:textAlignment w:val="top"/>
    </w:pPr>
    <w:rPr>
      <w:rFonts w:ascii="Arial" w:hAnsi="Arial" w:cs="Arial"/>
      <w:sz w:val="20"/>
      <w:szCs w:val="20"/>
      <w:lang w:eastAsia="sk-SK"/>
    </w:rPr>
  </w:style>
  <w:style w:type="paragraph" w:customStyle="1" w:styleId="xl714">
    <w:name w:val="xl714"/>
    <w:basedOn w:val="Normlny"/>
    <w:rsid w:val="003F1365"/>
    <w:pPr>
      <w:pBdr>
        <w:right w:val="single" w:sz="4" w:space="0" w:color="000000"/>
      </w:pBdr>
      <w:spacing w:before="100" w:beforeAutospacing="1" w:after="100" w:afterAutospacing="1" w:line="240" w:lineRule="auto"/>
    </w:pPr>
    <w:rPr>
      <w:rFonts w:ascii="Arial" w:hAnsi="Arial" w:cs="Arial"/>
      <w:sz w:val="20"/>
      <w:szCs w:val="20"/>
      <w:lang w:eastAsia="sk-SK"/>
    </w:rPr>
  </w:style>
  <w:style w:type="paragraph" w:customStyle="1" w:styleId="xl715">
    <w:name w:val="xl715"/>
    <w:basedOn w:val="Normlny"/>
    <w:rsid w:val="003F1365"/>
    <w:pPr>
      <w:pBdr>
        <w:lef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6">
    <w:name w:val="xl716"/>
    <w:basedOn w:val="Normlny"/>
    <w:rsid w:val="003F1365"/>
    <w:pPr>
      <w:pBdr>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7">
    <w:name w:val="xl717"/>
    <w:basedOn w:val="Normlny"/>
    <w:rsid w:val="003F1365"/>
    <w:pPr>
      <w:pBdr>
        <w:left w:val="single" w:sz="4" w:space="0" w:color="000000"/>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8">
    <w:name w:val="xl718"/>
    <w:basedOn w:val="Normlny"/>
    <w:rsid w:val="003F1365"/>
    <w:pPr>
      <w:pBdr>
        <w:bottom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19">
    <w:name w:val="xl719"/>
    <w:basedOn w:val="Normlny"/>
    <w:rsid w:val="003F1365"/>
    <w:pPr>
      <w:pBdr>
        <w:bottom w:val="single" w:sz="4" w:space="0" w:color="000000"/>
        <w:right w:val="single" w:sz="4" w:space="0" w:color="000000"/>
      </w:pBdr>
      <w:shd w:val="clear" w:color="000000" w:fill="FFFFFF"/>
      <w:spacing w:before="100" w:beforeAutospacing="1" w:after="100" w:afterAutospacing="1" w:line="240" w:lineRule="auto"/>
    </w:pPr>
    <w:rPr>
      <w:rFonts w:ascii="Arial" w:hAnsi="Arial" w:cs="Arial"/>
      <w:sz w:val="20"/>
      <w:szCs w:val="20"/>
      <w:lang w:eastAsia="sk-SK"/>
    </w:rPr>
  </w:style>
  <w:style w:type="paragraph" w:customStyle="1" w:styleId="xl720">
    <w:name w:val="xl720"/>
    <w:basedOn w:val="Normlny"/>
    <w:rsid w:val="003F1365"/>
    <w:pPr>
      <w:pBdr>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customStyle="1" w:styleId="xl721">
    <w:name w:val="xl721"/>
    <w:basedOn w:val="Normlny"/>
    <w:rsid w:val="003F1365"/>
    <w:pPr>
      <w:pBdr>
        <w:left w:val="single" w:sz="4" w:space="0" w:color="000000"/>
        <w:bottom w:val="single" w:sz="4" w:space="0" w:color="000000"/>
      </w:pBdr>
      <w:shd w:val="clear" w:color="000000" w:fill="FFFFFF"/>
      <w:spacing w:before="100" w:beforeAutospacing="1" w:after="100" w:afterAutospacing="1" w:line="240" w:lineRule="auto"/>
      <w:textAlignment w:val="top"/>
    </w:pPr>
    <w:rPr>
      <w:rFonts w:ascii="Arial" w:hAnsi="Arial" w:cs="Arial"/>
      <w:b/>
      <w:bCs/>
      <w:sz w:val="20"/>
      <w:szCs w:val="20"/>
      <w:lang w:eastAsia="sk-SK"/>
    </w:rPr>
  </w:style>
  <w:style w:type="paragraph" w:styleId="Textvysvetlivky">
    <w:name w:val="endnote text"/>
    <w:basedOn w:val="Normlny"/>
    <w:link w:val="TextvysvetlivkyChar"/>
    <w:uiPriority w:val="99"/>
    <w:semiHidden/>
    <w:unhideWhenUsed/>
    <w:rsid w:val="00096FC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096FC8"/>
    <w:rPr>
      <w:rFonts w:cs="Times New Roman"/>
      <w:sz w:val="20"/>
      <w:szCs w:val="20"/>
    </w:rPr>
  </w:style>
  <w:style w:type="character" w:styleId="Odkaznavysvetlivku">
    <w:name w:val="endnote reference"/>
    <w:basedOn w:val="Predvolenpsmoodseku"/>
    <w:uiPriority w:val="99"/>
    <w:semiHidden/>
    <w:unhideWhenUsed/>
    <w:rsid w:val="00096FC8"/>
    <w:rPr>
      <w:rFonts w:cs="Times New Roman"/>
      <w:vertAlign w:val="superscript"/>
    </w:rPr>
  </w:style>
  <w:style w:type="paragraph" w:styleId="Obsah2">
    <w:name w:val="toc 2"/>
    <w:basedOn w:val="Normlny"/>
    <w:next w:val="Normlny"/>
    <w:autoRedefine/>
    <w:uiPriority w:val="39"/>
    <w:unhideWhenUsed/>
    <w:rsid w:val="00FC793E"/>
    <w:pPr>
      <w:tabs>
        <w:tab w:val="left" w:pos="709"/>
        <w:tab w:val="right" w:leader="dot" w:pos="9062"/>
      </w:tabs>
      <w:spacing w:after="120" w:line="240" w:lineRule="auto"/>
      <w:ind w:left="709" w:hanging="488"/>
    </w:pPr>
  </w:style>
  <w:style w:type="paragraph" w:styleId="Obsah3">
    <w:name w:val="toc 3"/>
    <w:basedOn w:val="Normlny"/>
    <w:next w:val="Normlny"/>
    <w:autoRedefine/>
    <w:uiPriority w:val="39"/>
    <w:unhideWhenUsed/>
    <w:rsid w:val="00802EEB"/>
    <w:pPr>
      <w:tabs>
        <w:tab w:val="left" w:pos="1134"/>
        <w:tab w:val="right" w:leader="dot" w:pos="9062"/>
      </w:tabs>
      <w:spacing w:after="100" w:line="240" w:lineRule="auto"/>
      <w:ind w:left="440"/>
    </w:pPr>
  </w:style>
  <w:style w:type="paragraph" w:styleId="Hlavikaobsahu">
    <w:name w:val="TOC Heading"/>
    <w:basedOn w:val="Nadpis1"/>
    <w:next w:val="Normlny"/>
    <w:uiPriority w:val="39"/>
    <w:unhideWhenUsed/>
    <w:qFormat/>
    <w:rsid w:val="00B43103"/>
    <w:pPr>
      <w:numPr>
        <w:numId w:val="0"/>
      </w:numPr>
      <w:spacing w:before="480" w:after="0"/>
      <w:outlineLvl w:val="9"/>
    </w:pPr>
    <w:rPr>
      <w:rFonts w:asciiTheme="majorHAnsi" w:hAnsiTheme="majorHAnsi"/>
      <w:color w:val="365F91" w:themeColor="accent1" w:themeShade="BF"/>
      <w:sz w:val="28"/>
      <w:szCs w:val="28"/>
      <w:lang w:eastAsia="sk-SK"/>
    </w:rPr>
  </w:style>
  <w:style w:type="paragraph" w:customStyle="1" w:styleId="Pa14">
    <w:name w:val="Pa14"/>
    <w:basedOn w:val="Default"/>
    <w:next w:val="Default"/>
    <w:uiPriority w:val="99"/>
    <w:rsid w:val="00CE1C18"/>
    <w:pPr>
      <w:spacing w:line="181" w:lineRule="atLeast"/>
    </w:pPr>
    <w:rPr>
      <w:rFonts w:ascii="Franklin Got Itc TCE" w:hAnsi="Franklin Got Itc TCE"/>
      <w:color w:val="auto"/>
      <w:lang w:eastAsia="en-US"/>
    </w:rPr>
  </w:style>
  <w:style w:type="paragraph" w:customStyle="1" w:styleId="Char2">
    <w:name w:val="Char2"/>
    <w:basedOn w:val="Normlny"/>
    <w:link w:val="Odkaznapoznmkupodiarou"/>
    <w:uiPriority w:val="99"/>
    <w:rsid w:val="009A116D"/>
    <w:pPr>
      <w:spacing w:after="0" w:line="240" w:lineRule="exact"/>
    </w:pPr>
    <w:rPr>
      <w:rFonts w:ascii="Arial Narrow" w:hAnsi="Arial Narrow"/>
      <w:szCs w:val="22"/>
      <w:vertAlign w:val="superscript"/>
    </w:rPr>
  </w:style>
  <w:style w:type="numbering" w:customStyle="1" w:styleId="Bezzoznamu1">
    <w:name w:val="Bez zoznamu1"/>
    <w:next w:val="Bezzoznamu"/>
    <w:semiHidden/>
    <w:unhideWhenUsed/>
    <w:rsid w:val="004E5304"/>
  </w:style>
  <w:style w:type="numbering" w:customStyle="1" w:styleId="Bezzoznamu2">
    <w:name w:val="Bez zoznamu2"/>
    <w:next w:val="Bezzoznamu"/>
    <w:semiHidden/>
    <w:unhideWhenUsed/>
    <w:rsid w:val="004E5304"/>
  </w:style>
  <w:style w:type="numbering" w:customStyle="1" w:styleId="Bezzoznamu3">
    <w:name w:val="Bez zoznamu3"/>
    <w:next w:val="Bezzoznamu"/>
    <w:uiPriority w:val="99"/>
    <w:semiHidden/>
    <w:unhideWhenUsed/>
    <w:rsid w:val="004E5304"/>
  </w:style>
  <w:style w:type="character" w:customStyle="1" w:styleId="h1a2">
    <w:name w:val="h1a2"/>
    <w:basedOn w:val="Predvolenpsmoodseku"/>
    <w:rsid w:val="00563559"/>
    <w:rPr>
      <w:vanish/>
      <w:webHidden w:val="0"/>
      <w:sz w:val="24"/>
      <w:szCs w:val="24"/>
      <w:specVanish/>
    </w:rPr>
  </w:style>
  <w:style w:type="paragraph" w:customStyle="1" w:styleId="1">
    <w:name w:val="1"/>
    <w:basedOn w:val="Normlny"/>
    <w:rsid w:val="00563559"/>
    <w:pPr>
      <w:spacing w:after="160" w:line="240" w:lineRule="exact"/>
    </w:pPr>
    <w:rPr>
      <w:rFonts w:ascii="Tahoma" w:hAnsi="Tahoma" w:cs="Tahoma"/>
      <w:sz w:val="20"/>
      <w:szCs w:val="20"/>
    </w:rPr>
  </w:style>
  <w:style w:type="character" w:customStyle="1" w:styleId="awspan">
    <w:name w:val="awspan"/>
    <w:basedOn w:val="Predvolenpsmoodseku"/>
    <w:rsid w:val="00563559"/>
  </w:style>
  <w:style w:type="paragraph" w:customStyle="1" w:styleId="Graf">
    <w:name w:val="Graf"/>
    <w:autoRedefine/>
    <w:qFormat/>
    <w:rsid w:val="00EF2678"/>
    <w:pPr>
      <w:spacing w:after="0"/>
      <w:ind w:firstLine="567"/>
      <w:jc w:val="both"/>
    </w:pPr>
    <w:rPr>
      <w:rFonts w:ascii="Times New Roman" w:eastAsia="Arial Narrow" w:hAnsi="Times New Roman" w:cs="Times New Roman"/>
      <w:b/>
      <w:bCs/>
      <w:noProof/>
      <w:color w:val="4F81BD" w:themeColor="accent1"/>
      <w:sz w:val="20"/>
      <w:szCs w:val="20"/>
      <w:lang w:eastAsia="sk-SK"/>
    </w:rPr>
  </w:style>
  <w:style w:type="paragraph" w:customStyle="1" w:styleId="popistabuliek">
    <w:name w:val="popis tabuliek"/>
    <w:basedOn w:val="Normlny"/>
    <w:link w:val="popistabuliekChar"/>
    <w:qFormat/>
    <w:rsid w:val="003C23FA"/>
    <w:pPr>
      <w:spacing w:after="0" w:line="240" w:lineRule="auto"/>
    </w:pPr>
    <w:rPr>
      <w:b/>
      <w:bCs/>
      <w:color w:val="FFFFFF"/>
      <w:sz w:val="18"/>
      <w:szCs w:val="18"/>
      <w:lang w:eastAsia="sk-SK"/>
    </w:rPr>
  </w:style>
  <w:style w:type="character" w:customStyle="1" w:styleId="popistabuliekChar">
    <w:name w:val="popis tabuliek Char"/>
    <w:basedOn w:val="Predvolenpsmoodseku"/>
    <w:link w:val="popistabuliek"/>
    <w:rsid w:val="003C23FA"/>
    <w:rPr>
      <w:rFonts w:ascii="Times New Roman" w:hAnsi="Times New Roman" w:cs="Times New Roman"/>
      <w:b/>
      <w:bCs/>
      <w:color w:val="FFFFFF"/>
      <w:sz w:val="18"/>
      <w:szCs w:val="18"/>
      <w:lang w:eastAsia="sk-SK"/>
    </w:rPr>
  </w:style>
  <w:style w:type="character" w:styleId="Zvraznenie">
    <w:name w:val="Emphasis"/>
    <w:basedOn w:val="Predvolenpsmoodseku"/>
    <w:uiPriority w:val="20"/>
    <w:qFormat/>
    <w:rsid w:val="00661C75"/>
    <w:rPr>
      <w:i/>
      <w:iCs/>
    </w:rPr>
  </w:style>
  <w:style w:type="paragraph" w:customStyle="1" w:styleId="Box">
    <w:name w:val="Box"/>
    <w:qFormat/>
    <w:rsid w:val="00DD0DA5"/>
    <w:pPr>
      <w:spacing w:before="120" w:after="240" w:line="240" w:lineRule="auto"/>
    </w:pPr>
    <w:rPr>
      <w:rFonts w:eastAsiaTheme="majorEastAsia" w:cstheme="majorBidi"/>
      <w:b/>
      <w:bCs/>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410">
      <w:bodyDiv w:val="1"/>
      <w:marLeft w:val="0"/>
      <w:marRight w:val="0"/>
      <w:marTop w:val="0"/>
      <w:marBottom w:val="0"/>
      <w:divBdr>
        <w:top w:val="none" w:sz="0" w:space="0" w:color="auto"/>
        <w:left w:val="none" w:sz="0" w:space="0" w:color="auto"/>
        <w:bottom w:val="none" w:sz="0" w:space="0" w:color="auto"/>
        <w:right w:val="none" w:sz="0" w:space="0" w:color="auto"/>
      </w:divBdr>
    </w:div>
    <w:div w:id="64766857">
      <w:bodyDiv w:val="1"/>
      <w:marLeft w:val="0"/>
      <w:marRight w:val="0"/>
      <w:marTop w:val="0"/>
      <w:marBottom w:val="0"/>
      <w:divBdr>
        <w:top w:val="none" w:sz="0" w:space="0" w:color="auto"/>
        <w:left w:val="none" w:sz="0" w:space="0" w:color="auto"/>
        <w:bottom w:val="none" w:sz="0" w:space="0" w:color="auto"/>
        <w:right w:val="none" w:sz="0" w:space="0" w:color="auto"/>
      </w:divBdr>
    </w:div>
    <w:div w:id="75447522">
      <w:bodyDiv w:val="1"/>
      <w:marLeft w:val="0"/>
      <w:marRight w:val="0"/>
      <w:marTop w:val="0"/>
      <w:marBottom w:val="0"/>
      <w:divBdr>
        <w:top w:val="none" w:sz="0" w:space="0" w:color="auto"/>
        <w:left w:val="none" w:sz="0" w:space="0" w:color="auto"/>
        <w:bottom w:val="none" w:sz="0" w:space="0" w:color="auto"/>
        <w:right w:val="none" w:sz="0" w:space="0" w:color="auto"/>
      </w:divBdr>
    </w:div>
    <w:div w:id="95566852">
      <w:bodyDiv w:val="1"/>
      <w:marLeft w:val="0"/>
      <w:marRight w:val="0"/>
      <w:marTop w:val="0"/>
      <w:marBottom w:val="0"/>
      <w:divBdr>
        <w:top w:val="none" w:sz="0" w:space="0" w:color="auto"/>
        <w:left w:val="none" w:sz="0" w:space="0" w:color="auto"/>
        <w:bottom w:val="none" w:sz="0" w:space="0" w:color="auto"/>
        <w:right w:val="none" w:sz="0" w:space="0" w:color="auto"/>
      </w:divBdr>
    </w:div>
    <w:div w:id="106585916">
      <w:bodyDiv w:val="1"/>
      <w:marLeft w:val="0"/>
      <w:marRight w:val="0"/>
      <w:marTop w:val="0"/>
      <w:marBottom w:val="0"/>
      <w:divBdr>
        <w:top w:val="none" w:sz="0" w:space="0" w:color="auto"/>
        <w:left w:val="none" w:sz="0" w:space="0" w:color="auto"/>
        <w:bottom w:val="none" w:sz="0" w:space="0" w:color="auto"/>
        <w:right w:val="none" w:sz="0" w:space="0" w:color="auto"/>
      </w:divBdr>
    </w:div>
    <w:div w:id="113524743">
      <w:bodyDiv w:val="1"/>
      <w:marLeft w:val="0"/>
      <w:marRight w:val="0"/>
      <w:marTop w:val="0"/>
      <w:marBottom w:val="0"/>
      <w:divBdr>
        <w:top w:val="none" w:sz="0" w:space="0" w:color="auto"/>
        <w:left w:val="none" w:sz="0" w:space="0" w:color="auto"/>
        <w:bottom w:val="none" w:sz="0" w:space="0" w:color="auto"/>
        <w:right w:val="none" w:sz="0" w:space="0" w:color="auto"/>
      </w:divBdr>
    </w:div>
    <w:div w:id="193277332">
      <w:bodyDiv w:val="1"/>
      <w:marLeft w:val="0"/>
      <w:marRight w:val="0"/>
      <w:marTop w:val="0"/>
      <w:marBottom w:val="0"/>
      <w:divBdr>
        <w:top w:val="none" w:sz="0" w:space="0" w:color="auto"/>
        <w:left w:val="none" w:sz="0" w:space="0" w:color="auto"/>
        <w:bottom w:val="none" w:sz="0" w:space="0" w:color="auto"/>
        <w:right w:val="none" w:sz="0" w:space="0" w:color="auto"/>
      </w:divBdr>
    </w:div>
    <w:div w:id="234248338">
      <w:bodyDiv w:val="1"/>
      <w:marLeft w:val="0"/>
      <w:marRight w:val="0"/>
      <w:marTop w:val="0"/>
      <w:marBottom w:val="0"/>
      <w:divBdr>
        <w:top w:val="none" w:sz="0" w:space="0" w:color="auto"/>
        <w:left w:val="none" w:sz="0" w:space="0" w:color="auto"/>
        <w:bottom w:val="none" w:sz="0" w:space="0" w:color="auto"/>
        <w:right w:val="none" w:sz="0" w:space="0" w:color="auto"/>
      </w:divBdr>
    </w:div>
    <w:div w:id="293371123">
      <w:bodyDiv w:val="1"/>
      <w:marLeft w:val="0"/>
      <w:marRight w:val="0"/>
      <w:marTop w:val="0"/>
      <w:marBottom w:val="0"/>
      <w:divBdr>
        <w:top w:val="none" w:sz="0" w:space="0" w:color="auto"/>
        <w:left w:val="none" w:sz="0" w:space="0" w:color="auto"/>
        <w:bottom w:val="none" w:sz="0" w:space="0" w:color="auto"/>
        <w:right w:val="none" w:sz="0" w:space="0" w:color="auto"/>
      </w:divBdr>
    </w:div>
    <w:div w:id="322513985">
      <w:bodyDiv w:val="1"/>
      <w:marLeft w:val="0"/>
      <w:marRight w:val="0"/>
      <w:marTop w:val="0"/>
      <w:marBottom w:val="0"/>
      <w:divBdr>
        <w:top w:val="none" w:sz="0" w:space="0" w:color="auto"/>
        <w:left w:val="none" w:sz="0" w:space="0" w:color="auto"/>
        <w:bottom w:val="none" w:sz="0" w:space="0" w:color="auto"/>
        <w:right w:val="none" w:sz="0" w:space="0" w:color="auto"/>
      </w:divBdr>
    </w:div>
    <w:div w:id="332756711">
      <w:bodyDiv w:val="1"/>
      <w:marLeft w:val="0"/>
      <w:marRight w:val="0"/>
      <w:marTop w:val="0"/>
      <w:marBottom w:val="0"/>
      <w:divBdr>
        <w:top w:val="none" w:sz="0" w:space="0" w:color="auto"/>
        <w:left w:val="none" w:sz="0" w:space="0" w:color="auto"/>
        <w:bottom w:val="none" w:sz="0" w:space="0" w:color="auto"/>
        <w:right w:val="none" w:sz="0" w:space="0" w:color="auto"/>
      </w:divBdr>
    </w:div>
    <w:div w:id="370152441">
      <w:bodyDiv w:val="1"/>
      <w:marLeft w:val="0"/>
      <w:marRight w:val="0"/>
      <w:marTop w:val="0"/>
      <w:marBottom w:val="0"/>
      <w:divBdr>
        <w:top w:val="none" w:sz="0" w:space="0" w:color="auto"/>
        <w:left w:val="none" w:sz="0" w:space="0" w:color="auto"/>
        <w:bottom w:val="none" w:sz="0" w:space="0" w:color="auto"/>
        <w:right w:val="none" w:sz="0" w:space="0" w:color="auto"/>
      </w:divBdr>
    </w:div>
    <w:div w:id="381294871">
      <w:bodyDiv w:val="1"/>
      <w:marLeft w:val="0"/>
      <w:marRight w:val="0"/>
      <w:marTop w:val="0"/>
      <w:marBottom w:val="0"/>
      <w:divBdr>
        <w:top w:val="none" w:sz="0" w:space="0" w:color="auto"/>
        <w:left w:val="none" w:sz="0" w:space="0" w:color="auto"/>
        <w:bottom w:val="none" w:sz="0" w:space="0" w:color="auto"/>
        <w:right w:val="none" w:sz="0" w:space="0" w:color="auto"/>
      </w:divBdr>
    </w:div>
    <w:div w:id="400711165">
      <w:bodyDiv w:val="1"/>
      <w:marLeft w:val="0"/>
      <w:marRight w:val="0"/>
      <w:marTop w:val="0"/>
      <w:marBottom w:val="0"/>
      <w:divBdr>
        <w:top w:val="none" w:sz="0" w:space="0" w:color="auto"/>
        <w:left w:val="none" w:sz="0" w:space="0" w:color="auto"/>
        <w:bottom w:val="none" w:sz="0" w:space="0" w:color="auto"/>
        <w:right w:val="none" w:sz="0" w:space="0" w:color="auto"/>
      </w:divBdr>
    </w:div>
    <w:div w:id="441346092">
      <w:bodyDiv w:val="1"/>
      <w:marLeft w:val="0"/>
      <w:marRight w:val="0"/>
      <w:marTop w:val="0"/>
      <w:marBottom w:val="0"/>
      <w:divBdr>
        <w:top w:val="none" w:sz="0" w:space="0" w:color="auto"/>
        <w:left w:val="none" w:sz="0" w:space="0" w:color="auto"/>
        <w:bottom w:val="none" w:sz="0" w:space="0" w:color="auto"/>
        <w:right w:val="none" w:sz="0" w:space="0" w:color="auto"/>
      </w:divBdr>
    </w:div>
    <w:div w:id="485320466">
      <w:bodyDiv w:val="1"/>
      <w:marLeft w:val="0"/>
      <w:marRight w:val="0"/>
      <w:marTop w:val="0"/>
      <w:marBottom w:val="0"/>
      <w:divBdr>
        <w:top w:val="none" w:sz="0" w:space="0" w:color="auto"/>
        <w:left w:val="none" w:sz="0" w:space="0" w:color="auto"/>
        <w:bottom w:val="none" w:sz="0" w:space="0" w:color="auto"/>
        <w:right w:val="none" w:sz="0" w:space="0" w:color="auto"/>
      </w:divBdr>
    </w:div>
    <w:div w:id="509376996">
      <w:bodyDiv w:val="1"/>
      <w:marLeft w:val="0"/>
      <w:marRight w:val="0"/>
      <w:marTop w:val="0"/>
      <w:marBottom w:val="0"/>
      <w:divBdr>
        <w:top w:val="none" w:sz="0" w:space="0" w:color="auto"/>
        <w:left w:val="none" w:sz="0" w:space="0" w:color="auto"/>
        <w:bottom w:val="none" w:sz="0" w:space="0" w:color="auto"/>
        <w:right w:val="none" w:sz="0" w:space="0" w:color="auto"/>
      </w:divBdr>
    </w:div>
    <w:div w:id="715350834">
      <w:bodyDiv w:val="1"/>
      <w:marLeft w:val="0"/>
      <w:marRight w:val="0"/>
      <w:marTop w:val="0"/>
      <w:marBottom w:val="0"/>
      <w:divBdr>
        <w:top w:val="none" w:sz="0" w:space="0" w:color="auto"/>
        <w:left w:val="none" w:sz="0" w:space="0" w:color="auto"/>
        <w:bottom w:val="none" w:sz="0" w:space="0" w:color="auto"/>
        <w:right w:val="none" w:sz="0" w:space="0" w:color="auto"/>
      </w:divBdr>
    </w:div>
    <w:div w:id="732121109">
      <w:bodyDiv w:val="1"/>
      <w:marLeft w:val="0"/>
      <w:marRight w:val="0"/>
      <w:marTop w:val="0"/>
      <w:marBottom w:val="0"/>
      <w:divBdr>
        <w:top w:val="none" w:sz="0" w:space="0" w:color="auto"/>
        <w:left w:val="none" w:sz="0" w:space="0" w:color="auto"/>
        <w:bottom w:val="none" w:sz="0" w:space="0" w:color="auto"/>
        <w:right w:val="none" w:sz="0" w:space="0" w:color="auto"/>
      </w:divBdr>
    </w:div>
    <w:div w:id="736823177">
      <w:bodyDiv w:val="1"/>
      <w:marLeft w:val="0"/>
      <w:marRight w:val="0"/>
      <w:marTop w:val="0"/>
      <w:marBottom w:val="0"/>
      <w:divBdr>
        <w:top w:val="none" w:sz="0" w:space="0" w:color="auto"/>
        <w:left w:val="none" w:sz="0" w:space="0" w:color="auto"/>
        <w:bottom w:val="none" w:sz="0" w:space="0" w:color="auto"/>
        <w:right w:val="none" w:sz="0" w:space="0" w:color="auto"/>
      </w:divBdr>
    </w:div>
    <w:div w:id="781998910">
      <w:bodyDiv w:val="1"/>
      <w:marLeft w:val="0"/>
      <w:marRight w:val="0"/>
      <w:marTop w:val="0"/>
      <w:marBottom w:val="0"/>
      <w:divBdr>
        <w:top w:val="none" w:sz="0" w:space="0" w:color="auto"/>
        <w:left w:val="none" w:sz="0" w:space="0" w:color="auto"/>
        <w:bottom w:val="none" w:sz="0" w:space="0" w:color="auto"/>
        <w:right w:val="none" w:sz="0" w:space="0" w:color="auto"/>
      </w:divBdr>
    </w:div>
    <w:div w:id="837890354">
      <w:bodyDiv w:val="1"/>
      <w:marLeft w:val="0"/>
      <w:marRight w:val="0"/>
      <w:marTop w:val="0"/>
      <w:marBottom w:val="0"/>
      <w:divBdr>
        <w:top w:val="none" w:sz="0" w:space="0" w:color="auto"/>
        <w:left w:val="none" w:sz="0" w:space="0" w:color="auto"/>
        <w:bottom w:val="none" w:sz="0" w:space="0" w:color="auto"/>
        <w:right w:val="none" w:sz="0" w:space="0" w:color="auto"/>
      </w:divBdr>
    </w:div>
    <w:div w:id="838228281">
      <w:bodyDiv w:val="1"/>
      <w:marLeft w:val="0"/>
      <w:marRight w:val="0"/>
      <w:marTop w:val="0"/>
      <w:marBottom w:val="0"/>
      <w:divBdr>
        <w:top w:val="none" w:sz="0" w:space="0" w:color="auto"/>
        <w:left w:val="none" w:sz="0" w:space="0" w:color="auto"/>
        <w:bottom w:val="none" w:sz="0" w:space="0" w:color="auto"/>
        <w:right w:val="none" w:sz="0" w:space="0" w:color="auto"/>
      </w:divBdr>
    </w:div>
    <w:div w:id="897789820">
      <w:bodyDiv w:val="1"/>
      <w:marLeft w:val="0"/>
      <w:marRight w:val="0"/>
      <w:marTop w:val="0"/>
      <w:marBottom w:val="0"/>
      <w:divBdr>
        <w:top w:val="none" w:sz="0" w:space="0" w:color="auto"/>
        <w:left w:val="none" w:sz="0" w:space="0" w:color="auto"/>
        <w:bottom w:val="none" w:sz="0" w:space="0" w:color="auto"/>
        <w:right w:val="none" w:sz="0" w:space="0" w:color="auto"/>
      </w:divBdr>
    </w:div>
    <w:div w:id="949242871">
      <w:bodyDiv w:val="1"/>
      <w:marLeft w:val="0"/>
      <w:marRight w:val="0"/>
      <w:marTop w:val="0"/>
      <w:marBottom w:val="0"/>
      <w:divBdr>
        <w:top w:val="none" w:sz="0" w:space="0" w:color="auto"/>
        <w:left w:val="none" w:sz="0" w:space="0" w:color="auto"/>
        <w:bottom w:val="none" w:sz="0" w:space="0" w:color="auto"/>
        <w:right w:val="none" w:sz="0" w:space="0" w:color="auto"/>
      </w:divBdr>
    </w:div>
    <w:div w:id="1029455632">
      <w:bodyDiv w:val="1"/>
      <w:marLeft w:val="0"/>
      <w:marRight w:val="0"/>
      <w:marTop w:val="0"/>
      <w:marBottom w:val="0"/>
      <w:divBdr>
        <w:top w:val="none" w:sz="0" w:space="0" w:color="auto"/>
        <w:left w:val="none" w:sz="0" w:space="0" w:color="auto"/>
        <w:bottom w:val="none" w:sz="0" w:space="0" w:color="auto"/>
        <w:right w:val="none" w:sz="0" w:space="0" w:color="auto"/>
      </w:divBdr>
    </w:div>
    <w:div w:id="1078405482">
      <w:bodyDiv w:val="1"/>
      <w:marLeft w:val="0"/>
      <w:marRight w:val="0"/>
      <w:marTop w:val="0"/>
      <w:marBottom w:val="0"/>
      <w:divBdr>
        <w:top w:val="none" w:sz="0" w:space="0" w:color="auto"/>
        <w:left w:val="none" w:sz="0" w:space="0" w:color="auto"/>
        <w:bottom w:val="none" w:sz="0" w:space="0" w:color="auto"/>
        <w:right w:val="none" w:sz="0" w:space="0" w:color="auto"/>
      </w:divBdr>
    </w:div>
    <w:div w:id="1094786392">
      <w:bodyDiv w:val="1"/>
      <w:marLeft w:val="0"/>
      <w:marRight w:val="0"/>
      <w:marTop w:val="0"/>
      <w:marBottom w:val="0"/>
      <w:divBdr>
        <w:top w:val="none" w:sz="0" w:space="0" w:color="auto"/>
        <w:left w:val="none" w:sz="0" w:space="0" w:color="auto"/>
        <w:bottom w:val="none" w:sz="0" w:space="0" w:color="auto"/>
        <w:right w:val="none" w:sz="0" w:space="0" w:color="auto"/>
      </w:divBdr>
    </w:div>
    <w:div w:id="1150900288">
      <w:bodyDiv w:val="1"/>
      <w:marLeft w:val="0"/>
      <w:marRight w:val="0"/>
      <w:marTop w:val="0"/>
      <w:marBottom w:val="0"/>
      <w:divBdr>
        <w:top w:val="none" w:sz="0" w:space="0" w:color="auto"/>
        <w:left w:val="none" w:sz="0" w:space="0" w:color="auto"/>
        <w:bottom w:val="none" w:sz="0" w:space="0" w:color="auto"/>
        <w:right w:val="none" w:sz="0" w:space="0" w:color="auto"/>
      </w:divBdr>
    </w:div>
    <w:div w:id="1189101466">
      <w:bodyDiv w:val="1"/>
      <w:marLeft w:val="0"/>
      <w:marRight w:val="0"/>
      <w:marTop w:val="0"/>
      <w:marBottom w:val="0"/>
      <w:divBdr>
        <w:top w:val="none" w:sz="0" w:space="0" w:color="auto"/>
        <w:left w:val="none" w:sz="0" w:space="0" w:color="auto"/>
        <w:bottom w:val="none" w:sz="0" w:space="0" w:color="auto"/>
        <w:right w:val="none" w:sz="0" w:space="0" w:color="auto"/>
      </w:divBdr>
    </w:div>
    <w:div w:id="1238127830">
      <w:bodyDiv w:val="1"/>
      <w:marLeft w:val="0"/>
      <w:marRight w:val="0"/>
      <w:marTop w:val="0"/>
      <w:marBottom w:val="0"/>
      <w:divBdr>
        <w:top w:val="none" w:sz="0" w:space="0" w:color="auto"/>
        <w:left w:val="none" w:sz="0" w:space="0" w:color="auto"/>
        <w:bottom w:val="none" w:sz="0" w:space="0" w:color="auto"/>
        <w:right w:val="none" w:sz="0" w:space="0" w:color="auto"/>
      </w:divBdr>
    </w:div>
    <w:div w:id="1279947722">
      <w:bodyDiv w:val="1"/>
      <w:marLeft w:val="0"/>
      <w:marRight w:val="0"/>
      <w:marTop w:val="0"/>
      <w:marBottom w:val="0"/>
      <w:divBdr>
        <w:top w:val="none" w:sz="0" w:space="0" w:color="auto"/>
        <w:left w:val="none" w:sz="0" w:space="0" w:color="auto"/>
        <w:bottom w:val="none" w:sz="0" w:space="0" w:color="auto"/>
        <w:right w:val="none" w:sz="0" w:space="0" w:color="auto"/>
      </w:divBdr>
    </w:div>
    <w:div w:id="1280452832">
      <w:bodyDiv w:val="1"/>
      <w:marLeft w:val="0"/>
      <w:marRight w:val="0"/>
      <w:marTop w:val="0"/>
      <w:marBottom w:val="0"/>
      <w:divBdr>
        <w:top w:val="none" w:sz="0" w:space="0" w:color="auto"/>
        <w:left w:val="none" w:sz="0" w:space="0" w:color="auto"/>
        <w:bottom w:val="none" w:sz="0" w:space="0" w:color="auto"/>
        <w:right w:val="none" w:sz="0" w:space="0" w:color="auto"/>
      </w:divBdr>
    </w:div>
    <w:div w:id="1331836010">
      <w:bodyDiv w:val="1"/>
      <w:marLeft w:val="0"/>
      <w:marRight w:val="0"/>
      <w:marTop w:val="0"/>
      <w:marBottom w:val="0"/>
      <w:divBdr>
        <w:top w:val="none" w:sz="0" w:space="0" w:color="auto"/>
        <w:left w:val="none" w:sz="0" w:space="0" w:color="auto"/>
        <w:bottom w:val="none" w:sz="0" w:space="0" w:color="auto"/>
        <w:right w:val="none" w:sz="0" w:space="0" w:color="auto"/>
      </w:divBdr>
    </w:div>
    <w:div w:id="1336683633">
      <w:bodyDiv w:val="1"/>
      <w:marLeft w:val="0"/>
      <w:marRight w:val="0"/>
      <w:marTop w:val="0"/>
      <w:marBottom w:val="0"/>
      <w:divBdr>
        <w:top w:val="none" w:sz="0" w:space="0" w:color="auto"/>
        <w:left w:val="none" w:sz="0" w:space="0" w:color="auto"/>
        <w:bottom w:val="none" w:sz="0" w:space="0" w:color="auto"/>
        <w:right w:val="none" w:sz="0" w:space="0" w:color="auto"/>
      </w:divBdr>
    </w:div>
    <w:div w:id="1350062370">
      <w:bodyDiv w:val="1"/>
      <w:marLeft w:val="0"/>
      <w:marRight w:val="0"/>
      <w:marTop w:val="0"/>
      <w:marBottom w:val="0"/>
      <w:divBdr>
        <w:top w:val="none" w:sz="0" w:space="0" w:color="auto"/>
        <w:left w:val="none" w:sz="0" w:space="0" w:color="auto"/>
        <w:bottom w:val="none" w:sz="0" w:space="0" w:color="auto"/>
        <w:right w:val="none" w:sz="0" w:space="0" w:color="auto"/>
      </w:divBdr>
    </w:div>
    <w:div w:id="1373574362">
      <w:bodyDiv w:val="1"/>
      <w:marLeft w:val="0"/>
      <w:marRight w:val="0"/>
      <w:marTop w:val="0"/>
      <w:marBottom w:val="0"/>
      <w:divBdr>
        <w:top w:val="none" w:sz="0" w:space="0" w:color="auto"/>
        <w:left w:val="none" w:sz="0" w:space="0" w:color="auto"/>
        <w:bottom w:val="none" w:sz="0" w:space="0" w:color="auto"/>
        <w:right w:val="none" w:sz="0" w:space="0" w:color="auto"/>
      </w:divBdr>
    </w:div>
    <w:div w:id="1544322201">
      <w:bodyDiv w:val="1"/>
      <w:marLeft w:val="0"/>
      <w:marRight w:val="0"/>
      <w:marTop w:val="0"/>
      <w:marBottom w:val="0"/>
      <w:divBdr>
        <w:top w:val="none" w:sz="0" w:space="0" w:color="auto"/>
        <w:left w:val="none" w:sz="0" w:space="0" w:color="auto"/>
        <w:bottom w:val="none" w:sz="0" w:space="0" w:color="auto"/>
        <w:right w:val="none" w:sz="0" w:space="0" w:color="auto"/>
      </w:divBdr>
    </w:div>
    <w:div w:id="1547985729">
      <w:bodyDiv w:val="1"/>
      <w:marLeft w:val="0"/>
      <w:marRight w:val="0"/>
      <w:marTop w:val="0"/>
      <w:marBottom w:val="0"/>
      <w:divBdr>
        <w:top w:val="none" w:sz="0" w:space="0" w:color="auto"/>
        <w:left w:val="none" w:sz="0" w:space="0" w:color="auto"/>
        <w:bottom w:val="none" w:sz="0" w:space="0" w:color="auto"/>
        <w:right w:val="none" w:sz="0" w:space="0" w:color="auto"/>
      </w:divBdr>
    </w:div>
    <w:div w:id="1562130707">
      <w:bodyDiv w:val="1"/>
      <w:marLeft w:val="0"/>
      <w:marRight w:val="0"/>
      <w:marTop w:val="0"/>
      <w:marBottom w:val="0"/>
      <w:divBdr>
        <w:top w:val="none" w:sz="0" w:space="0" w:color="auto"/>
        <w:left w:val="none" w:sz="0" w:space="0" w:color="auto"/>
        <w:bottom w:val="none" w:sz="0" w:space="0" w:color="auto"/>
        <w:right w:val="none" w:sz="0" w:space="0" w:color="auto"/>
      </w:divBdr>
    </w:div>
    <w:div w:id="1584535414">
      <w:bodyDiv w:val="1"/>
      <w:marLeft w:val="0"/>
      <w:marRight w:val="0"/>
      <w:marTop w:val="0"/>
      <w:marBottom w:val="0"/>
      <w:divBdr>
        <w:top w:val="none" w:sz="0" w:space="0" w:color="auto"/>
        <w:left w:val="none" w:sz="0" w:space="0" w:color="auto"/>
        <w:bottom w:val="none" w:sz="0" w:space="0" w:color="auto"/>
        <w:right w:val="none" w:sz="0" w:space="0" w:color="auto"/>
      </w:divBdr>
    </w:div>
    <w:div w:id="1711878668">
      <w:bodyDiv w:val="1"/>
      <w:marLeft w:val="0"/>
      <w:marRight w:val="0"/>
      <w:marTop w:val="0"/>
      <w:marBottom w:val="0"/>
      <w:divBdr>
        <w:top w:val="none" w:sz="0" w:space="0" w:color="auto"/>
        <w:left w:val="none" w:sz="0" w:space="0" w:color="auto"/>
        <w:bottom w:val="none" w:sz="0" w:space="0" w:color="auto"/>
        <w:right w:val="none" w:sz="0" w:space="0" w:color="auto"/>
      </w:divBdr>
    </w:div>
    <w:div w:id="1723938371">
      <w:bodyDiv w:val="1"/>
      <w:marLeft w:val="0"/>
      <w:marRight w:val="0"/>
      <w:marTop w:val="0"/>
      <w:marBottom w:val="0"/>
      <w:divBdr>
        <w:top w:val="none" w:sz="0" w:space="0" w:color="auto"/>
        <w:left w:val="none" w:sz="0" w:space="0" w:color="auto"/>
        <w:bottom w:val="none" w:sz="0" w:space="0" w:color="auto"/>
        <w:right w:val="none" w:sz="0" w:space="0" w:color="auto"/>
      </w:divBdr>
    </w:div>
    <w:div w:id="1764258142">
      <w:bodyDiv w:val="1"/>
      <w:marLeft w:val="0"/>
      <w:marRight w:val="0"/>
      <w:marTop w:val="0"/>
      <w:marBottom w:val="0"/>
      <w:divBdr>
        <w:top w:val="none" w:sz="0" w:space="0" w:color="auto"/>
        <w:left w:val="none" w:sz="0" w:space="0" w:color="auto"/>
        <w:bottom w:val="none" w:sz="0" w:space="0" w:color="auto"/>
        <w:right w:val="none" w:sz="0" w:space="0" w:color="auto"/>
      </w:divBdr>
    </w:div>
    <w:div w:id="1802846987">
      <w:bodyDiv w:val="1"/>
      <w:marLeft w:val="0"/>
      <w:marRight w:val="0"/>
      <w:marTop w:val="0"/>
      <w:marBottom w:val="0"/>
      <w:divBdr>
        <w:top w:val="none" w:sz="0" w:space="0" w:color="auto"/>
        <w:left w:val="none" w:sz="0" w:space="0" w:color="auto"/>
        <w:bottom w:val="none" w:sz="0" w:space="0" w:color="auto"/>
        <w:right w:val="none" w:sz="0" w:space="0" w:color="auto"/>
      </w:divBdr>
    </w:div>
    <w:div w:id="1881085109">
      <w:bodyDiv w:val="1"/>
      <w:marLeft w:val="0"/>
      <w:marRight w:val="0"/>
      <w:marTop w:val="0"/>
      <w:marBottom w:val="0"/>
      <w:divBdr>
        <w:top w:val="none" w:sz="0" w:space="0" w:color="auto"/>
        <w:left w:val="none" w:sz="0" w:space="0" w:color="auto"/>
        <w:bottom w:val="none" w:sz="0" w:space="0" w:color="auto"/>
        <w:right w:val="none" w:sz="0" w:space="0" w:color="auto"/>
      </w:divBdr>
    </w:div>
    <w:div w:id="1890338346">
      <w:bodyDiv w:val="1"/>
      <w:marLeft w:val="0"/>
      <w:marRight w:val="0"/>
      <w:marTop w:val="0"/>
      <w:marBottom w:val="0"/>
      <w:divBdr>
        <w:top w:val="none" w:sz="0" w:space="0" w:color="auto"/>
        <w:left w:val="none" w:sz="0" w:space="0" w:color="auto"/>
        <w:bottom w:val="none" w:sz="0" w:space="0" w:color="auto"/>
        <w:right w:val="none" w:sz="0" w:space="0" w:color="auto"/>
      </w:divBdr>
    </w:div>
    <w:div w:id="1896039823">
      <w:bodyDiv w:val="1"/>
      <w:marLeft w:val="0"/>
      <w:marRight w:val="0"/>
      <w:marTop w:val="0"/>
      <w:marBottom w:val="0"/>
      <w:divBdr>
        <w:top w:val="none" w:sz="0" w:space="0" w:color="auto"/>
        <w:left w:val="none" w:sz="0" w:space="0" w:color="auto"/>
        <w:bottom w:val="none" w:sz="0" w:space="0" w:color="auto"/>
        <w:right w:val="none" w:sz="0" w:space="0" w:color="auto"/>
      </w:divBdr>
    </w:div>
    <w:div w:id="1938521178">
      <w:marLeft w:val="0"/>
      <w:marRight w:val="0"/>
      <w:marTop w:val="0"/>
      <w:marBottom w:val="0"/>
      <w:divBdr>
        <w:top w:val="none" w:sz="0" w:space="0" w:color="auto"/>
        <w:left w:val="none" w:sz="0" w:space="0" w:color="auto"/>
        <w:bottom w:val="none" w:sz="0" w:space="0" w:color="auto"/>
        <w:right w:val="none" w:sz="0" w:space="0" w:color="auto"/>
      </w:divBdr>
    </w:div>
    <w:div w:id="1938521179">
      <w:marLeft w:val="0"/>
      <w:marRight w:val="0"/>
      <w:marTop w:val="0"/>
      <w:marBottom w:val="0"/>
      <w:divBdr>
        <w:top w:val="none" w:sz="0" w:space="0" w:color="auto"/>
        <w:left w:val="none" w:sz="0" w:space="0" w:color="auto"/>
        <w:bottom w:val="none" w:sz="0" w:space="0" w:color="auto"/>
        <w:right w:val="none" w:sz="0" w:space="0" w:color="auto"/>
      </w:divBdr>
    </w:div>
    <w:div w:id="1938521180">
      <w:marLeft w:val="0"/>
      <w:marRight w:val="0"/>
      <w:marTop w:val="0"/>
      <w:marBottom w:val="0"/>
      <w:divBdr>
        <w:top w:val="none" w:sz="0" w:space="0" w:color="auto"/>
        <w:left w:val="none" w:sz="0" w:space="0" w:color="auto"/>
        <w:bottom w:val="none" w:sz="0" w:space="0" w:color="auto"/>
        <w:right w:val="none" w:sz="0" w:space="0" w:color="auto"/>
      </w:divBdr>
    </w:div>
    <w:div w:id="1938521181">
      <w:marLeft w:val="0"/>
      <w:marRight w:val="0"/>
      <w:marTop w:val="0"/>
      <w:marBottom w:val="0"/>
      <w:divBdr>
        <w:top w:val="none" w:sz="0" w:space="0" w:color="auto"/>
        <w:left w:val="none" w:sz="0" w:space="0" w:color="auto"/>
        <w:bottom w:val="none" w:sz="0" w:space="0" w:color="auto"/>
        <w:right w:val="none" w:sz="0" w:space="0" w:color="auto"/>
      </w:divBdr>
    </w:div>
    <w:div w:id="1938521182">
      <w:marLeft w:val="0"/>
      <w:marRight w:val="0"/>
      <w:marTop w:val="0"/>
      <w:marBottom w:val="0"/>
      <w:divBdr>
        <w:top w:val="none" w:sz="0" w:space="0" w:color="auto"/>
        <w:left w:val="none" w:sz="0" w:space="0" w:color="auto"/>
        <w:bottom w:val="none" w:sz="0" w:space="0" w:color="auto"/>
        <w:right w:val="none" w:sz="0" w:space="0" w:color="auto"/>
      </w:divBdr>
    </w:div>
    <w:div w:id="1938521183">
      <w:marLeft w:val="0"/>
      <w:marRight w:val="0"/>
      <w:marTop w:val="0"/>
      <w:marBottom w:val="0"/>
      <w:divBdr>
        <w:top w:val="none" w:sz="0" w:space="0" w:color="auto"/>
        <w:left w:val="none" w:sz="0" w:space="0" w:color="auto"/>
        <w:bottom w:val="none" w:sz="0" w:space="0" w:color="auto"/>
        <w:right w:val="none" w:sz="0" w:space="0" w:color="auto"/>
      </w:divBdr>
    </w:div>
    <w:div w:id="1938521184">
      <w:marLeft w:val="0"/>
      <w:marRight w:val="0"/>
      <w:marTop w:val="0"/>
      <w:marBottom w:val="0"/>
      <w:divBdr>
        <w:top w:val="none" w:sz="0" w:space="0" w:color="auto"/>
        <w:left w:val="none" w:sz="0" w:space="0" w:color="auto"/>
        <w:bottom w:val="none" w:sz="0" w:space="0" w:color="auto"/>
        <w:right w:val="none" w:sz="0" w:space="0" w:color="auto"/>
      </w:divBdr>
    </w:div>
    <w:div w:id="1938521185">
      <w:marLeft w:val="0"/>
      <w:marRight w:val="0"/>
      <w:marTop w:val="0"/>
      <w:marBottom w:val="0"/>
      <w:divBdr>
        <w:top w:val="none" w:sz="0" w:space="0" w:color="auto"/>
        <w:left w:val="none" w:sz="0" w:space="0" w:color="auto"/>
        <w:bottom w:val="none" w:sz="0" w:space="0" w:color="auto"/>
        <w:right w:val="none" w:sz="0" w:space="0" w:color="auto"/>
      </w:divBdr>
    </w:div>
    <w:div w:id="1938521186">
      <w:marLeft w:val="0"/>
      <w:marRight w:val="0"/>
      <w:marTop w:val="0"/>
      <w:marBottom w:val="0"/>
      <w:divBdr>
        <w:top w:val="none" w:sz="0" w:space="0" w:color="auto"/>
        <w:left w:val="none" w:sz="0" w:space="0" w:color="auto"/>
        <w:bottom w:val="none" w:sz="0" w:space="0" w:color="auto"/>
        <w:right w:val="none" w:sz="0" w:space="0" w:color="auto"/>
      </w:divBdr>
    </w:div>
    <w:div w:id="1938521187">
      <w:marLeft w:val="0"/>
      <w:marRight w:val="0"/>
      <w:marTop w:val="0"/>
      <w:marBottom w:val="0"/>
      <w:divBdr>
        <w:top w:val="none" w:sz="0" w:space="0" w:color="auto"/>
        <w:left w:val="none" w:sz="0" w:space="0" w:color="auto"/>
        <w:bottom w:val="none" w:sz="0" w:space="0" w:color="auto"/>
        <w:right w:val="none" w:sz="0" w:space="0" w:color="auto"/>
      </w:divBdr>
    </w:div>
    <w:div w:id="1938521188">
      <w:marLeft w:val="0"/>
      <w:marRight w:val="0"/>
      <w:marTop w:val="0"/>
      <w:marBottom w:val="0"/>
      <w:divBdr>
        <w:top w:val="none" w:sz="0" w:space="0" w:color="auto"/>
        <w:left w:val="none" w:sz="0" w:space="0" w:color="auto"/>
        <w:bottom w:val="none" w:sz="0" w:space="0" w:color="auto"/>
        <w:right w:val="none" w:sz="0" w:space="0" w:color="auto"/>
      </w:divBdr>
    </w:div>
    <w:div w:id="1938521189">
      <w:marLeft w:val="0"/>
      <w:marRight w:val="0"/>
      <w:marTop w:val="0"/>
      <w:marBottom w:val="0"/>
      <w:divBdr>
        <w:top w:val="none" w:sz="0" w:space="0" w:color="auto"/>
        <w:left w:val="none" w:sz="0" w:space="0" w:color="auto"/>
        <w:bottom w:val="none" w:sz="0" w:space="0" w:color="auto"/>
        <w:right w:val="none" w:sz="0" w:space="0" w:color="auto"/>
      </w:divBdr>
    </w:div>
    <w:div w:id="1938521190">
      <w:marLeft w:val="0"/>
      <w:marRight w:val="0"/>
      <w:marTop w:val="0"/>
      <w:marBottom w:val="0"/>
      <w:divBdr>
        <w:top w:val="none" w:sz="0" w:space="0" w:color="auto"/>
        <w:left w:val="none" w:sz="0" w:space="0" w:color="auto"/>
        <w:bottom w:val="none" w:sz="0" w:space="0" w:color="auto"/>
        <w:right w:val="none" w:sz="0" w:space="0" w:color="auto"/>
      </w:divBdr>
    </w:div>
    <w:div w:id="1938521191">
      <w:marLeft w:val="0"/>
      <w:marRight w:val="0"/>
      <w:marTop w:val="0"/>
      <w:marBottom w:val="0"/>
      <w:divBdr>
        <w:top w:val="none" w:sz="0" w:space="0" w:color="auto"/>
        <w:left w:val="none" w:sz="0" w:space="0" w:color="auto"/>
        <w:bottom w:val="none" w:sz="0" w:space="0" w:color="auto"/>
        <w:right w:val="none" w:sz="0" w:space="0" w:color="auto"/>
      </w:divBdr>
    </w:div>
    <w:div w:id="1938521192">
      <w:marLeft w:val="0"/>
      <w:marRight w:val="0"/>
      <w:marTop w:val="0"/>
      <w:marBottom w:val="0"/>
      <w:divBdr>
        <w:top w:val="none" w:sz="0" w:space="0" w:color="auto"/>
        <w:left w:val="none" w:sz="0" w:space="0" w:color="auto"/>
        <w:bottom w:val="none" w:sz="0" w:space="0" w:color="auto"/>
        <w:right w:val="none" w:sz="0" w:space="0" w:color="auto"/>
      </w:divBdr>
    </w:div>
    <w:div w:id="1938521193">
      <w:marLeft w:val="0"/>
      <w:marRight w:val="0"/>
      <w:marTop w:val="0"/>
      <w:marBottom w:val="0"/>
      <w:divBdr>
        <w:top w:val="none" w:sz="0" w:space="0" w:color="auto"/>
        <w:left w:val="none" w:sz="0" w:space="0" w:color="auto"/>
        <w:bottom w:val="none" w:sz="0" w:space="0" w:color="auto"/>
        <w:right w:val="none" w:sz="0" w:space="0" w:color="auto"/>
      </w:divBdr>
    </w:div>
    <w:div w:id="1938521194">
      <w:marLeft w:val="0"/>
      <w:marRight w:val="0"/>
      <w:marTop w:val="0"/>
      <w:marBottom w:val="0"/>
      <w:divBdr>
        <w:top w:val="none" w:sz="0" w:space="0" w:color="auto"/>
        <w:left w:val="none" w:sz="0" w:space="0" w:color="auto"/>
        <w:bottom w:val="none" w:sz="0" w:space="0" w:color="auto"/>
        <w:right w:val="none" w:sz="0" w:space="0" w:color="auto"/>
      </w:divBdr>
    </w:div>
    <w:div w:id="1938521195">
      <w:marLeft w:val="0"/>
      <w:marRight w:val="0"/>
      <w:marTop w:val="0"/>
      <w:marBottom w:val="0"/>
      <w:divBdr>
        <w:top w:val="none" w:sz="0" w:space="0" w:color="auto"/>
        <w:left w:val="none" w:sz="0" w:space="0" w:color="auto"/>
        <w:bottom w:val="none" w:sz="0" w:space="0" w:color="auto"/>
        <w:right w:val="none" w:sz="0" w:space="0" w:color="auto"/>
      </w:divBdr>
    </w:div>
    <w:div w:id="1938521196">
      <w:marLeft w:val="0"/>
      <w:marRight w:val="0"/>
      <w:marTop w:val="0"/>
      <w:marBottom w:val="0"/>
      <w:divBdr>
        <w:top w:val="none" w:sz="0" w:space="0" w:color="auto"/>
        <w:left w:val="none" w:sz="0" w:space="0" w:color="auto"/>
        <w:bottom w:val="none" w:sz="0" w:space="0" w:color="auto"/>
        <w:right w:val="none" w:sz="0" w:space="0" w:color="auto"/>
      </w:divBdr>
    </w:div>
    <w:div w:id="1938521197">
      <w:marLeft w:val="0"/>
      <w:marRight w:val="0"/>
      <w:marTop w:val="0"/>
      <w:marBottom w:val="0"/>
      <w:divBdr>
        <w:top w:val="none" w:sz="0" w:space="0" w:color="auto"/>
        <w:left w:val="none" w:sz="0" w:space="0" w:color="auto"/>
        <w:bottom w:val="none" w:sz="0" w:space="0" w:color="auto"/>
        <w:right w:val="none" w:sz="0" w:space="0" w:color="auto"/>
      </w:divBdr>
    </w:div>
    <w:div w:id="1938521198">
      <w:marLeft w:val="0"/>
      <w:marRight w:val="0"/>
      <w:marTop w:val="0"/>
      <w:marBottom w:val="0"/>
      <w:divBdr>
        <w:top w:val="none" w:sz="0" w:space="0" w:color="auto"/>
        <w:left w:val="none" w:sz="0" w:space="0" w:color="auto"/>
        <w:bottom w:val="none" w:sz="0" w:space="0" w:color="auto"/>
        <w:right w:val="none" w:sz="0" w:space="0" w:color="auto"/>
      </w:divBdr>
    </w:div>
    <w:div w:id="1938521199">
      <w:marLeft w:val="0"/>
      <w:marRight w:val="0"/>
      <w:marTop w:val="0"/>
      <w:marBottom w:val="0"/>
      <w:divBdr>
        <w:top w:val="none" w:sz="0" w:space="0" w:color="auto"/>
        <w:left w:val="none" w:sz="0" w:space="0" w:color="auto"/>
        <w:bottom w:val="none" w:sz="0" w:space="0" w:color="auto"/>
        <w:right w:val="none" w:sz="0" w:space="0" w:color="auto"/>
      </w:divBdr>
    </w:div>
    <w:div w:id="1938521200">
      <w:marLeft w:val="0"/>
      <w:marRight w:val="0"/>
      <w:marTop w:val="0"/>
      <w:marBottom w:val="0"/>
      <w:divBdr>
        <w:top w:val="none" w:sz="0" w:space="0" w:color="auto"/>
        <w:left w:val="none" w:sz="0" w:space="0" w:color="auto"/>
        <w:bottom w:val="none" w:sz="0" w:space="0" w:color="auto"/>
        <w:right w:val="none" w:sz="0" w:space="0" w:color="auto"/>
      </w:divBdr>
    </w:div>
    <w:div w:id="1938521201">
      <w:marLeft w:val="0"/>
      <w:marRight w:val="0"/>
      <w:marTop w:val="0"/>
      <w:marBottom w:val="0"/>
      <w:divBdr>
        <w:top w:val="none" w:sz="0" w:space="0" w:color="auto"/>
        <w:left w:val="none" w:sz="0" w:space="0" w:color="auto"/>
        <w:bottom w:val="none" w:sz="0" w:space="0" w:color="auto"/>
        <w:right w:val="none" w:sz="0" w:space="0" w:color="auto"/>
      </w:divBdr>
    </w:div>
    <w:div w:id="1938521202">
      <w:marLeft w:val="0"/>
      <w:marRight w:val="0"/>
      <w:marTop w:val="0"/>
      <w:marBottom w:val="0"/>
      <w:divBdr>
        <w:top w:val="none" w:sz="0" w:space="0" w:color="auto"/>
        <w:left w:val="none" w:sz="0" w:space="0" w:color="auto"/>
        <w:bottom w:val="none" w:sz="0" w:space="0" w:color="auto"/>
        <w:right w:val="none" w:sz="0" w:space="0" w:color="auto"/>
      </w:divBdr>
    </w:div>
    <w:div w:id="1938521203">
      <w:marLeft w:val="0"/>
      <w:marRight w:val="0"/>
      <w:marTop w:val="0"/>
      <w:marBottom w:val="0"/>
      <w:divBdr>
        <w:top w:val="none" w:sz="0" w:space="0" w:color="auto"/>
        <w:left w:val="none" w:sz="0" w:space="0" w:color="auto"/>
        <w:bottom w:val="none" w:sz="0" w:space="0" w:color="auto"/>
        <w:right w:val="none" w:sz="0" w:space="0" w:color="auto"/>
      </w:divBdr>
    </w:div>
    <w:div w:id="1938521204">
      <w:marLeft w:val="0"/>
      <w:marRight w:val="0"/>
      <w:marTop w:val="0"/>
      <w:marBottom w:val="0"/>
      <w:divBdr>
        <w:top w:val="none" w:sz="0" w:space="0" w:color="auto"/>
        <w:left w:val="none" w:sz="0" w:space="0" w:color="auto"/>
        <w:bottom w:val="none" w:sz="0" w:space="0" w:color="auto"/>
        <w:right w:val="none" w:sz="0" w:space="0" w:color="auto"/>
      </w:divBdr>
    </w:div>
    <w:div w:id="1938521205">
      <w:marLeft w:val="0"/>
      <w:marRight w:val="0"/>
      <w:marTop w:val="0"/>
      <w:marBottom w:val="0"/>
      <w:divBdr>
        <w:top w:val="none" w:sz="0" w:space="0" w:color="auto"/>
        <w:left w:val="none" w:sz="0" w:space="0" w:color="auto"/>
        <w:bottom w:val="none" w:sz="0" w:space="0" w:color="auto"/>
        <w:right w:val="none" w:sz="0" w:space="0" w:color="auto"/>
      </w:divBdr>
    </w:div>
    <w:div w:id="1938521206">
      <w:marLeft w:val="0"/>
      <w:marRight w:val="0"/>
      <w:marTop w:val="0"/>
      <w:marBottom w:val="0"/>
      <w:divBdr>
        <w:top w:val="none" w:sz="0" w:space="0" w:color="auto"/>
        <w:left w:val="none" w:sz="0" w:space="0" w:color="auto"/>
        <w:bottom w:val="none" w:sz="0" w:space="0" w:color="auto"/>
        <w:right w:val="none" w:sz="0" w:space="0" w:color="auto"/>
      </w:divBdr>
    </w:div>
    <w:div w:id="1938521207">
      <w:marLeft w:val="0"/>
      <w:marRight w:val="0"/>
      <w:marTop w:val="0"/>
      <w:marBottom w:val="0"/>
      <w:divBdr>
        <w:top w:val="none" w:sz="0" w:space="0" w:color="auto"/>
        <w:left w:val="none" w:sz="0" w:space="0" w:color="auto"/>
        <w:bottom w:val="none" w:sz="0" w:space="0" w:color="auto"/>
        <w:right w:val="none" w:sz="0" w:space="0" w:color="auto"/>
      </w:divBdr>
    </w:div>
    <w:div w:id="1938521208">
      <w:marLeft w:val="0"/>
      <w:marRight w:val="0"/>
      <w:marTop w:val="0"/>
      <w:marBottom w:val="0"/>
      <w:divBdr>
        <w:top w:val="none" w:sz="0" w:space="0" w:color="auto"/>
        <w:left w:val="none" w:sz="0" w:space="0" w:color="auto"/>
        <w:bottom w:val="none" w:sz="0" w:space="0" w:color="auto"/>
        <w:right w:val="none" w:sz="0" w:space="0" w:color="auto"/>
      </w:divBdr>
    </w:div>
    <w:div w:id="1938521209">
      <w:marLeft w:val="0"/>
      <w:marRight w:val="0"/>
      <w:marTop w:val="0"/>
      <w:marBottom w:val="0"/>
      <w:divBdr>
        <w:top w:val="none" w:sz="0" w:space="0" w:color="auto"/>
        <w:left w:val="none" w:sz="0" w:space="0" w:color="auto"/>
        <w:bottom w:val="none" w:sz="0" w:space="0" w:color="auto"/>
        <w:right w:val="none" w:sz="0" w:space="0" w:color="auto"/>
      </w:divBdr>
    </w:div>
    <w:div w:id="1938521210">
      <w:marLeft w:val="0"/>
      <w:marRight w:val="0"/>
      <w:marTop w:val="0"/>
      <w:marBottom w:val="0"/>
      <w:divBdr>
        <w:top w:val="none" w:sz="0" w:space="0" w:color="auto"/>
        <w:left w:val="none" w:sz="0" w:space="0" w:color="auto"/>
        <w:bottom w:val="none" w:sz="0" w:space="0" w:color="auto"/>
        <w:right w:val="none" w:sz="0" w:space="0" w:color="auto"/>
      </w:divBdr>
    </w:div>
    <w:div w:id="1938521211">
      <w:marLeft w:val="0"/>
      <w:marRight w:val="0"/>
      <w:marTop w:val="0"/>
      <w:marBottom w:val="0"/>
      <w:divBdr>
        <w:top w:val="none" w:sz="0" w:space="0" w:color="auto"/>
        <w:left w:val="none" w:sz="0" w:space="0" w:color="auto"/>
        <w:bottom w:val="none" w:sz="0" w:space="0" w:color="auto"/>
        <w:right w:val="none" w:sz="0" w:space="0" w:color="auto"/>
      </w:divBdr>
    </w:div>
    <w:div w:id="1938521212">
      <w:marLeft w:val="0"/>
      <w:marRight w:val="0"/>
      <w:marTop w:val="0"/>
      <w:marBottom w:val="0"/>
      <w:divBdr>
        <w:top w:val="none" w:sz="0" w:space="0" w:color="auto"/>
        <w:left w:val="none" w:sz="0" w:space="0" w:color="auto"/>
        <w:bottom w:val="none" w:sz="0" w:space="0" w:color="auto"/>
        <w:right w:val="none" w:sz="0" w:space="0" w:color="auto"/>
      </w:divBdr>
    </w:div>
    <w:div w:id="1938521213">
      <w:marLeft w:val="0"/>
      <w:marRight w:val="0"/>
      <w:marTop w:val="0"/>
      <w:marBottom w:val="0"/>
      <w:divBdr>
        <w:top w:val="none" w:sz="0" w:space="0" w:color="auto"/>
        <w:left w:val="none" w:sz="0" w:space="0" w:color="auto"/>
        <w:bottom w:val="none" w:sz="0" w:space="0" w:color="auto"/>
        <w:right w:val="none" w:sz="0" w:space="0" w:color="auto"/>
      </w:divBdr>
    </w:div>
    <w:div w:id="1938521214">
      <w:marLeft w:val="0"/>
      <w:marRight w:val="0"/>
      <w:marTop w:val="0"/>
      <w:marBottom w:val="0"/>
      <w:divBdr>
        <w:top w:val="none" w:sz="0" w:space="0" w:color="auto"/>
        <w:left w:val="none" w:sz="0" w:space="0" w:color="auto"/>
        <w:bottom w:val="none" w:sz="0" w:space="0" w:color="auto"/>
        <w:right w:val="none" w:sz="0" w:space="0" w:color="auto"/>
      </w:divBdr>
    </w:div>
    <w:div w:id="1938521215">
      <w:marLeft w:val="0"/>
      <w:marRight w:val="0"/>
      <w:marTop w:val="0"/>
      <w:marBottom w:val="0"/>
      <w:divBdr>
        <w:top w:val="none" w:sz="0" w:space="0" w:color="auto"/>
        <w:left w:val="none" w:sz="0" w:space="0" w:color="auto"/>
        <w:bottom w:val="none" w:sz="0" w:space="0" w:color="auto"/>
        <w:right w:val="none" w:sz="0" w:space="0" w:color="auto"/>
      </w:divBdr>
    </w:div>
    <w:div w:id="1938521216">
      <w:marLeft w:val="0"/>
      <w:marRight w:val="0"/>
      <w:marTop w:val="0"/>
      <w:marBottom w:val="0"/>
      <w:divBdr>
        <w:top w:val="none" w:sz="0" w:space="0" w:color="auto"/>
        <w:left w:val="none" w:sz="0" w:space="0" w:color="auto"/>
        <w:bottom w:val="none" w:sz="0" w:space="0" w:color="auto"/>
        <w:right w:val="none" w:sz="0" w:space="0" w:color="auto"/>
      </w:divBdr>
    </w:div>
    <w:div w:id="1938521217">
      <w:marLeft w:val="0"/>
      <w:marRight w:val="0"/>
      <w:marTop w:val="0"/>
      <w:marBottom w:val="0"/>
      <w:divBdr>
        <w:top w:val="none" w:sz="0" w:space="0" w:color="auto"/>
        <w:left w:val="none" w:sz="0" w:space="0" w:color="auto"/>
        <w:bottom w:val="none" w:sz="0" w:space="0" w:color="auto"/>
        <w:right w:val="none" w:sz="0" w:space="0" w:color="auto"/>
      </w:divBdr>
    </w:div>
    <w:div w:id="1938521218">
      <w:marLeft w:val="0"/>
      <w:marRight w:val="0"/>
      <w:marTop w:val="0"/>
      <w:marBottom w:val="0"/>
      <w:divBdr>
        <w:top w:val="none" w:sz="0" w:space="0" w:color="auto"/>
        <w:left w:val="none" w:sz="0" w:space="0" w:color="auto"/>
        <w:bottom w:val="none" w:sz="0" w:space="0" w:color="auto"/>
        <w:right w:val="none" w:sz="0" w:space="0" w:color="auto"/>
      </w:divBdr>
    </w:div>
    <w:div w:id="1938521219">
      <w:marLeft w:val="0"/>
      <w:marRight w:val="0"/>
      <w:marTop w:val="0"/>
      <w:marBottom w:val="0"/>
      <w:divBdr>
        <w:top w:val="none" w:sz="0" w:space="0" w:color="auto"/>
        <w:left w:val="none" w:sz="0" w:space="0" w:color="auto"/>
        <w:bottom w:val="none" w:sz="0" w:space="0" w:color="auto"/>
        <w:right w:val="none" w:sz="0" w:space="0" w:color="auto"/>
      </w:divBdr>
    </w:div>
    <w:div w:id="1938521220">
      <w:marLeft w:val="0"/>
      <w:marRight w:val="0"/>
      <w:marTop w:val="0"/>
      <w:marBottom w:val="0"/>
      <w:divBdr>
        <w:top w:val="none" w:sz="0" w:space="0" w:color="auto"/>
        <w:left w:val="none" w:sz="0" w:space="0" w:color="auto"/>
        <w:bottom w:val="none" w:sz="0" w:space="0" w:color="auto"/>
        <w:right w:val="none" w:sz="0" w:space="0" w:color="auto"/>
      </w:divBdr>
    </w:div>
    <w:div w:id="1938521221">
      <w:marLeft w:val="0"/>
      <w:marRight w:val="0"/>
      <w:marTop w:val="0"/>
      <w:marBottom w:val="0"/>
      <w:divBdr>
        <w:top w:val="none" w:sz="0" w:space="0" w:color="auto"/>
        <w:left w:val="none" w:sz="0" w:space="0" w:color="auto"/>
        <w:bottom w:val="none" w:sz="0" w:space="0" w:color="auto"/>
        <w:right w:val="none" w:sz="0" w:space="0" w:color="auto"/>
      </w:divBdr>
    </w:div>
    <w:div w:id="1938521222">
      <w:marLeft w:val="0"/>
      <w:marRight w:val="0"/>
      <w:marTop w:val="0"/>
      <w:marBottom w:val="0"/>
      <w:divBdr>
        <w:top w:val="none" w:sz="0" w:space="0" w:color="auto"/>
        <w:left w:val="none" w:sz="0" w:space="0" w:color="auto"/>
        <w:bottom w:val="none" w:sz="0" w:space="0" w:color="auto"/>
        <w:right w:val="none" w:sz="0" w:space="0" w:color="auto"/>
      </w:divBdr>
    </w:div>
    <w:div w:id="1938521223">
      <w:marLeft w:val="0"/>
      <w:marRight w:val="0"/>
      <w:marTop w:val="0"/>
      <w:marBottom w:val="0"/>
      <w:divBdr>
        <w:top w:val="none" w:sz="0" w:space="0" w:color="auto"/>
        <w:left w:val="none" w:sz="0" w:space="0" w:color="auto"/>
        <w:bottom w:val="none" w:sz="0" w:space="0" w:color="auto"/>
        <w:right w:val="none" w:sz="0" w:space="0" w:color="auto"/>
      </w:divBdr>
    </w:div>
    <w:div w:id="1938521224">
      <w:marLeft w:val="0"/>
      <w:marRight w:val="0"/>
      <w:marTop w:val="0"/>
      <w:marBottom w:val="0"/>
      <w:divBdr>
        <w:top w:val="none" w:sz="0" w:space="0" w:color="auto"/>
        <w:left w:val="none" w:sz="0" w:space="0" w:color="auto"/>
        <w:bottom w:val="none" w:sz="0" w:space="0" w:color="auto"/>
        <w:right w:val="none" w:sz="0" w:space="0" w:color="auto"/>
      </w:divBdr>
    </w:div>
    <w:div w:id="1938521225">
      <w:marLeft w:val="0"/>
      <w:marRight w:val="0"/>
      <w:marTop w:val="0"/>
      <w:marBottom w:val="0"/>
      <w:divBdr>
        <w:top w:val="none" w:sz="0" w:space="0" w:color="auto"/>
        <w:left w:val="none" w:sz="0" w:space="0" w:color="auto"/>
        <w:bottom w:val="none" w:sz="0" w:space="0" w:color="auto"/>
        <w:right w:val="none" w:sz="0" w:space="0" w:color="auto"/>
      </w:divBdr>
    </w:div>
    <w:div w:id="1938521226">
      <w:marLeft w:val="0"/>
      <w:marRight w:val="0"/>
      <w:marTop w:val="0"/>
      <w:marBottom w:val="0"/>
      <w:divBdr>
        <w:top w:val="none" w:sz="0" w:space="0" w:color="auto"/>
        <w:left w:val="none" w:sz="0" w:space="0" w:color="auto"/>
        <w:bottom w:val="none" w:sz="0" w:space="0" w:color="auto"/>
        <w:right w:val="none" w:sz="0" w:space="0" w:color="auto"/>
      </w:divBdr>
    </w:div>
    <w:div w:id="1938521227">
      <w:marLeft w:val="0"/>
      <w:marRight w:val="0"/>
      <w:marTop w:val="0"/>
      <w:marBottom w:val="0"/>
      <w:divBdr>
        <w:top w:val="none" w:sz="0" w:space="0" w:color="auto"/>
        <w:left w:val="none" w:sz="0" w:space="0" w:color="auto"/>
        <w:bottom w:val="none" w:sz="0" w:space="0" w:color="auto"/>
        <w:right w:val="none" w:sz="0" w:space="0" w:color="auto"/>
      </w:divBdr>
    </w:div>
    <w:div w:id="1938521228">
      <w:marLeft w:val="0"/>
      <w:marRight w:val="0"/>
      <w:marTop w:val="0"/>
      <w:marBottom w:val="0"/>
      <w:divBdr>
        <w:top w:val="none" w:sz="0" w:space="0" w:color="auto"/>
        <w:left w:val="none" w:sz="0" w:space="0" w:color="auto"/>
        <w:bottom w:val="none" w:sz="0" w:space="0" w:color="auto"/>
        <w:right w:val="none" w:sz="0" w:space="0" w:color="auto"/>
      </w:divBdr>
    </w:div>
    <w:div w:id="1938521229">
      <w:marLeft w:val="0"/>
      <w:marRight w:val="0"/>
      <w:marTop w:val="0"/>
      <w:marBottom w:val="0"/>
      <w:divBdr>
        <w:top w:val="none" w:sz="0" w:space="0" w:color="auto"/>
        <w:left w:val="none" w:sz="0" w:space="0" w:color="auto"/>
        <w:bottom w:val="none" w:sz="0" w:space="0" w:color="auto"/>
        <w:right w:val="none" w:sz="0" w:space="0" w:color="auto"/>
      </w:divBdr>
    </w:div>
    <w:div w:id="1938521230">
      <w:marLeft w:val="0"/>
      <w:marRight w:val="0"/>
      <w:marTop w:val="0"/>
      <w:marBottom w:val="0"/>
      <w:divBdr>
        <w:top w:val="none" w:sz="0" w:space="0" w:color="auto"/>
        <w:left w:val="none" w:sz="0" w:space="0" w:color="auto"/>
        <w:bottom w:val="none" w:sz="0" w:space="0" w:color="auto"/>
        <w:right w:val="none" w:sz="0" w:space="0" w:color="auto"/>
      </w:divBdr>
    </w:div>
    <w:div w:id="1938521231">
      <w:marLeft w:val="0"/>
      <w:marRight w:val="0"/>
      <w:marTop w:val="0"/>
      <w:marBottom w:val="0"/>
      <w:divBdr>
        <w:top w:val="none" w:sz="0" w:space="0" w:color="auto"/>
        <w:left w:val="none" w:sz="0" w:space="0" w:color="auto"/>
        <w:bottom w:val="none" w:sz="0" w:space="0" w:color="auto"/>
        <w:right w:val="none" w:sz="0" w:space="0" w:color="auto"/>
      </w:divBdr>
    </w:div>
    <w:div w:id="1938521232">
      <w:marLeft w:val="0"/>
      <w:marRight w:val="0"/>
      <w:marTop w:val="0"/>
      <w:marBottom w:val="0"/>
      <w:divBdr>
        <w:top w:val="none" w:sz="0" w:space="0" w:color="auto"/>
        <w:left w:val="none" w:sz="0" w:space="0" w:color="auto"/>
        <w:bottom w:val="none" w:sz="0" w:space="0" w:color="auto"/>
        <w:right w:val="none" w:sz="0" w:space="0" w:color="auto"/>
      </w:divBdr>
    </w:div>
    <w:div w:id="1938521233">
      <w:marLeft w:val="0"/>
      <w:marRight w:val="0"/>
      <w:marTop w:val="0"/>
      <w:marBottom w:val="0"/>
      <w:divBdr>
        <w:top w:val="none" w:sz="0" w:space="0" w:color="auto"/>
        <w:left w:val="none" w:sz="0" w:space="0" w:color="auto"/>
        <w:bottom w:val="none" w:sz="0" w:space="0" w:color="auto"/>
        <w:right w:val="none" w:sz="0" w:space="0" w:color="auto"/>
      </w:divBdr>
    </w:div>
    <w:div w:id="1938521234">
      <w:marLeft w:val="0"/>
      <w:marRight w:val="0"/>
      <w:marTop w:val="0"/>
      <w:marBottom w:val="0"/>
      <w:divBdr>
        <w:top w:val="none" w:sz="0" w:space="0" w:color="auto"/>
        <w:left w:val="none" w:sz="0" w:space="0" w:color="auto"/>
        <w:bottom w:val="none" w:sz="0" w:space="0" w:color="auto"/>
        <w:right w:val="none" w:sz="0" w:space="0" w:color="auto"/>
      </w:divBdr>
    </w:div>
    <w:div w:id="1938521235">
      <w:marLeft w:val="0"/>
      <w:marRight w:val="0"/>
      <w:marTop w:val="0"/>
      <w:marBottom w:val="0"/>
      <w:divBdr>
        <w:top w:val="none" w:sz="0" w:space="0" w:color="auto"/>
        <w:left w:val="none" w:sz="0" w:space="0" w:color="auto"/>
        <w:bottom w:val="none" w:sz="0" w:space="0" w:color="auto"/>
        <w:right w:val="none" w:sz="0" w:space="0" w:color="auto"/>
      </w:divBdr>
    </w:div>
    <w:div w:id="1982810551">
      <w:bodyDiv w:val="1"/>
      <w:marLeft w:val="0"/>
      <w:marRight w:val="0"/>
      <w:marTop w:val="0"/>
      <w:marBottom w:val="0"/>
      <w:divBdr>
        <w:top w:val="none" w:sz="0" w:space="0" w:color="auto"/>
        <w:left w:val="none" w:sz="0" w:space="0" w:color="auto"/>
        <w:bottom w:val="none" w:sz="0" w:space="0" w:color="auto"/>
        <w:right w:val="none" w:sz="0" w:space="0" w:color="auto"/>
      </w:divBdr>
    </w:div>
    <w:div w:id="19969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hyperlink" Target="http://www.registeruz.sk"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chart" Target="charts/chart3.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finance.gov.sk" TargetMode="External"/><Relationship Id="rId2" Type="http://schemas.openxmlformats.org/officeDocument/2006/relationships/hyperlink" Target="https://www.mfsr.sk/sk/financie/statne-vykaznictvo/statny-zaverecny-ucet-sr/" TargetMode="External"/><Relationship Id="rId1" Type="http://schemas.openxmlformats.org/officeDocument/2006/relationships/hyperlink" Target="http://datacube.statistics.sk/" TargetMode="External"/><Relationship Id="rId5" Type="http://schemas.openxmlformats.org/officeDocument/2006/relationships/hyperlink" Target="https://www.mfsr.sk/files/archiv/41/Prilohy.pdf" TargetMode="External"/><Relationship Id="rId4" Type="http://schemas.openxmlformats.org/officeDocument/2006/relationships/hyperlink" Target="https://www.mfsr.sk/sk/financie/institut-financnej-politiky/publikacie-ifp/manualy/jednorazove-vplyvy.htm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Zo&#353;it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VM-DFS.mf.mfsr.sk\FileShare\ADRESARE\IFP_NEW\5_MATERIALY\5_3_Strategicke_materialy\SVS\SVS_2022\IZ_casovy%20rad.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VM-DFS.mf.mfsr.sk\FileShare\ADRESARE\IFP_NEW\2_FISKAL\07_Implicitne%20zavazky\2023\Implicitne_zavazky_SVS%202022.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Hárok1!$N$2</c:f>
              <c:strCache>
                <c:ptCount val="1"/>
                <c:pt idx="0">
                  <c:v>2-ročný výnos SK</c:v>
                </c:pt>
              </c:strCache>
            </c:strRef>
          </c:tx>
          <c:spPr>
            <a:ln w="15875" cap="rnd">
              <a:solidFill>
                <a:schemeClr val="bg2">
                  <a:lumMod val="75000"/>
                </a:schemeClr>
              </a:solidFill>
              <a:round/>
            </a:ln>
            <a:effectLst/>
          </c:spPr>
          <c:marker>
            <c:symbol val="none"/>
          </c:marker>
          <c:cat>
            <c:numRef>
              <c:f>Hárok1!$M$3:$M$168</c:f>
              <c:numCache>
                <c:formatCode>m/d/yyyy</c:formatCode>
                <c:ptCount val="166"/>
                <c:pt idx="0">
                  <c:v>45200</c:v>
                </c:pt>
                <c:pt idx="1">
                  <c:v>45170</c:v>
                </c:pt>
                <c:pt idx="2">
                  <c:v>45139</c:v>
                </c:pt>
                <c:pt idx="3">
                  <c:v>45108</c:v>
                </c:pt>
                <c:pt idx="4">
                  <c:v>45078</c:v>
                </c:pt>
                <c:pt idx="5">
                  <c:v>45047</c:v>
                </c:pt>
                <c:pt idx="6">
                  <c:v>45017</c:v>
                </c:pt>
                <c:pt idx="7">
                  <c:v>44986</c:v>
                </c:pt>
                <c:pt idx="8">
                  <c:v>44958</c:v>
                </c:pt>
                <c:pt idx="9">
                  <c:v>44927</c:v>
                </c:pt>
                <c:pt idx="10">
                  <c:v>44896</c:v>
                </c:pt>
                <c:pt idx="11">
                  <c:v>44866</c:v>
                </c:pt>
                <c:pt idx="12">
                  <c:v>44835</c:v>
                </c:pt>
                <c:pt idx="13">
                  <c:v>44805</c:v>
                </c:pt>
                <c:pt idx="14">
                  <c:v>44774</c:v>
                </c:pt>
                <c:pt idx="15">
                  <c:v>44743</c:v>
                </c:pt>
                <c:pt idx="16">
                  <c:v>44713</c:v>
                </c:pt>
                <c:pt idx="17">
                  <c:v>44682</c:v>
                </c:pt>
                <c:pt idx="18">
                  <c:v>44652</c:v>
                </c:pt>
                <c:pt idx="19">
                  <c:v>44621</c:v>
                </c:pt>
                <c:pt idx="20">
                  <c:v>44593</c:v>
                </c:pt>
                <c:pt idx="21">
                  <c:v>44562</c:v>
                </c:pt>
                <c:pt idx="22">
                  <c:v>44531</c:v>
                </c:pt>
                <c:pt idx="23">
                  <c:v>44501</c:v>
                </c:pt>
                <c:pt idx="24">
                  <c:v>44470</c:v>
                </c:pt>
                <c:pt idx="25">
                  <c:v>44440</c:v>
                </c:pt>
                <c:pt idx="26">
                  <c:v>44409</c:v>
                </c:pt>
                <c:pt idx="27">
                  <c:v>44378</c:v>
                </c:pt>
                <c:pt idx="28">
                  <c:v>44348</c:v>
                </c:pt>
                <c:pt idx="29">
                  <c:v>44317</c:v>
                </c:pt>
                <c:pt idx="30">
                  <c:v>44287</c:v>
                </c:pt>
                <c:pt idx="31">
                  <c:v>44256</c:v>
                </c:pt>
                <c:pt idx="32">
                  <c:v>44228</c:v>
                </c:pt>
                <c:pt idx="33">
                  <c:v>44197</c:v>
                </c:pt>
                <c:pt idx="34">
                  <c:v>44166</c:v>
                </c:pt>
                <c:pt idx="35">
                  <c:v>44136</c:v>
                </c:pt>
                <c:pt idx="36">
                  <c:v>44105</c:v>
                </c:pt>
                <c:pt idx="37">
                  <c:v>44075</c:v>
                </c:pt>
                <c:pt idx="38">
                  <c:v>44044</c:v>
                </c:pt>
                <c:pt idx="39">
                  <c:v>44013</c:v>
                </c:pt>
                <c:pt idx="40">
                  <c:v>43983</c:v>
                </c:pt>
                <c:pt idx="41">
                  <c:v>43952</c:v>
                </c:pt>
                <c:pt idx="42">
                  <c:v>43922</c:v>
                </c:pt>
                <c:pt idx="43">
                  <c:v>43891</c:v>
                </c:pt>
                <c:pt idx="44">
                  <c:v>43862</c:v>
                </c:pt>
                <c:pt idx="45">
                  <c:v>43831</c:v>
                </c:pt>
                <c:pt idx="46">
                  <c:v>43800</c:v>
                </c:pt>
                <c:pt idx="47">
                  <c:v>43770</c:v>
                </c:pt>
                <c:pt idx="48">
                  <c:v>43739</c:v>
                </c:pt>
                <c:pt idx="49">
                  <c:v>43709</c:v>
                </c:pt>
                <c:pt idx="50">
                  <c:v>43678</c:v>
                </c:pt>
                <c:pt idx="51">
                  <c:v>43647</c:v>
                </c:pt>
                <c:pt idx="52">
                  <c:v>43617</c:v>
                </c:pt>
                <c:pt idx="53">
                  <c:v>43586</c:v>
                </c:pt>
                <c:pt idx="54">
                  <c:v>43556</c:v>
                </c:pt>
                <c:pt idx="55">
                  <c:v>43525</c:v>
                </c:pt>
                <c:pt idx="56">
                  <c:v>43497</c:v>
                </c:pt>
                <c:pt idx="57">
                  <c:v>43466</c:v>
                </c:pt>
                <c:pt idx="58">
                  <c:v>43435</c:v>
                </c:pt>
                <c:pt idx="59">
                  <c:v>43405</c:v>
                </c:pt>
                <c:pt idx="60">
                  <c:v>43374</c:v>
                </c:pt>
                <c:pt idx="61">
                  <c:v>43344</c:v>
                </c:pt>
                <c:pt idx="62">
                  <c:v>43313</c:v>
                </c:pt>
                <c:pt idx="63">
                  <c:v>43282</c:v>
                </c:pt>
                <c:pt idx="64">
                  <c:v>43252</c:v>
                </c:pt>
                <c:pt idx="65">
                  <c:v>43221</c:v>
                </c:pt>
                <c:pt idx="66">
                  <c:v>43191</c:v>
                </c:pt>
                <c:pt idx="67">
                  <c:v>43160</c:v>
                </c:pt>
                <c:pt idx="68">
                  <c:v>43132</c:v>
                </c:pt>
                <c:pt idx="69">
                  <c:v>43101</c:v>
                </c:pt>
                <c:pt idx="70">
                  <c:v>43070</c:v>
                </c:pt>
                <c:pt idx="71">
                  <c:v>43040</c:v>
                </c:pt>
                <c:pt idx="72">
                  <c:v>43009</c:v>
                </c:pt>
                <c:pt idx="73">
                  <c:v>42979</c:v>
                </c:pt>
                <c:pt idx="74">
                  <c:v>42948</c:v>
                </c:pt>
                <c:pt idx="75">
                  <c:v>42917</c:v>
                </c:pt>
                <c:pt idx="76">
                  <c:v>42887</c:v>
                </c:pt>
                <c:pt idx="77">
                  <c:v>42856</c:v>
                </c:pt>
                <c:pt idx="78">
                  <c:v>42826</c:v>
                </c:pt>
                <c:pt idx="79">
                  <c:v>42795</c:v>
                </c:pt>
                <c:pt idx="80">
                  <c:v>42767</c:v>
                </c:pt>
                <c:pt idx="81">
                  <c:v>42736</c:v>
                </c:pt>
                <c:pt idx="82">
                  <c:v>42705</c:v>
                </c:pt>
                <c:pt idx="83">
                  <c:v>42675</c:v>
                </c:pt>
                <c:pt idx="84">
                  <c:v>42644</c:v>
                </c:pt>
                <c:pt idx="85">
                  <c:v>42614</c:v>
                </c:pt>
                <c:pt idx="86">
                  <c:v>42583</c:v>
                </c:pt>
                <c:pt idx="87">
                  <c:v>42552</c:v>
                </c:pt>
                <c:pt idx="88">
                  <c:v>42522</c:v>
                </c:pt>
                <c:pt idx="89">
                  <c:v>42491</c:v>
                </c:pt>
                <c:pt idx="90">
                  <c:v>42461</c:v>
                </c:pt>
                <c:pt idx="91">
                  <c:v>42430</c:v>
                </c:pt>
                <c:pt idx="92">
                  <c:v>42401</c:v>
                </c:pt>
                <c:pt idx="93">
                  <c:v>42370</c:v>
                </c:pt>
                <c:pt idx="94">
                  <c:v>42339</c:v>
                </c:pt>
                <c:pt idx="95">
                  <c:v>42309</c:v>
                </c:pt>
                <c:pt idx="96">
                  <c:v>42278</c:v>
                </c:pt>
                <c:pt idx="97">
                  <c:v>42248</c:v>
                </c:pt>
                <c:pt idx="98">
                  <c:v>42217</c:v>
                </c:pt>
                <c:pt idx="99">
                  <c:v>42186</c:v>
                </c:pt>
                <c:pt idx="100">
                  <c:v>42156</c:v>
                </c:pt>
                <c:pt idx="101">
                  <c:v>42125</c:v>
                </c:pt>
                <c:pt idx="102">
                  <c:v>42095</c:v>
                </c:pt>
                <c:pt idx="103">
                  <c:v>42064</c:v>
                </c:pt>
                <c:pt idx="104">
                  <c:v>42036</c:v>
                </c:pt>
                <c:pt idx="105">
                  <c:v>42005</c:v>
                </c:pt>
                <c:pt idx="106">
                  <c:v>41974</c:v>
                </c:pt>
                <c:pt idx="107">
                  <c:v>41944</c:v>
                </c:pt>
                <c:pt idx="108">
                  <c:v>41913</c:v>
                </c:pt>
                <c:pt idx="109">
                  <c:v>41883</c:v>
                </c:pt>
                <c:pt idx="110">
                  <c:v>41852</c:v>
                </c:pt>
                <c:pt idx="111">
                  <c:v>41821</c:v>
                </c:pt>
                <c:pt idx="112">
                  <c:v>41791</c:v>
                </c:pt>
                <c:pt idx="113">
                  <c:v>41760</c:v>
                </c:pt>
                <c:pt idx="114">
                  <c:v>41730</c:v>
                </c:pt>
                <c:pt idx="115">
                  <c:v>41699</c:v>
                </c:pt>
                <c:pt idx="116">
                  <c:v>41671</c:v>
                </c:pt>
                <c:pt idx="117">
                  <c:v>41640</c:v>
                </c:pt>
                <c:pt idx="118">
                  <c:v>41609</c:v>
                </c:pt>
                <c:pt idx="119">
                  <c:v>41579</c:v>
                </c:pt>
                <c:pt idx="120">
                  <c:v>41548</c:v>
                </c:pt>
                <c:pt idx="121">
                  <c:v>41518</c:v>
                </c:pt>
                <c:pt idx="122">
                  <c:v>41487</c:v>
                </c:pt>
                <c:pt idx="123">
                  <c:v>41456</c:v>
                </c:pt>
                <c:pt idx="124">
                  <c:v>41426</c:v>
                </c:pt>
                <c:pt idx="125">
                  <c:v>41395</c:v>
                </c:pt>
                <c:pt idx="126">
                  <c:v>41365</c:v>
                </c:pt>
                <c:pt idx="127">
                  <c:v>41334</c:v>
                </c:pt>
                <c:pt idx="128">
                  <c:v>41306</c:v>
                </c:pt>
                <c:pt idx="129">
                  <c:v>41275</c:v>
                </c:pt>
                <c:pt idx="130">
                  <c:v>41244</c:v>
                </c:pt>
                <c:pt idx="131">
                  <c:v>41214</c:v>
                </c:pt>
                <c:pt idx="132">
                  <c:v>41183</c:v>
                </c:pt>
                <c:pt idx="133">
                  <c:v>41153</c:v>
                </c:pt>
                <c:pt idx="134">
                  <c:v>41122</c:v>
                </c:pt>
                <c:pt idx="135">
                  <c:v>41091</c:v>
                </c:pt>
                <c:pt idx="136">
                  <c:v>41061</c:v>
                </c:pt>
                <c:pt idx="137">
                  <c:v>41030</c:v>
                </c:pt>
                <c:pt idx="138">
                  <c:v>41000</c:v>
                </c:pt>
                <c:pt idx="139">
                  <c:v>40969</c:v>
                </c:pt>
                <c:pt idx="140">
                  <c:v>40940</c:v>
                </c:pt>
                <c:pt idx="141">
                  <c:v>40909</c:v>
                </c:pt>
                <c:pt idx="142">
                  <c:v>40878</c:v>
                </c:pt>
                <c:pt idx="143">
                  <c:v>40848</c:v>
                </c:pt>
                <c:pt idx="144">
                  <c:v>40817</c:v>
                </c:pt>
                <c:pt idx="145">
                  <c:v>40787</c:v>
                </c:pt>
                <c:pt idx="146">
                  <c:v>40756</c:v>
                </c:pt>
                <c:pt idx="147">
                  <c:v>40725</c:v>
                </c:pt>
                <c:pt idx="148">
                  <c:v>40695</c:v>
                </c:pt>
                <c:pt idx="149">
                  <c:v>40664</c:v>
                </c:pt>
                <c:pt idx="150">
                  <c:v>40634</c:v>
                </c:pt>
                <c:pt idx="151">
                  <c:v>40603</c:v>
                </c:pt>
                <c:pt idx="152">
                  <c:v>40575</c:v>
                </c:pt>
                <c:pt idx="153">
                  <c:v>40544</c:v>
                </c:pt>
                <c:pt idx="154">
                  <c:v>40513</c:v>
                </c:pt>
                <c:pt idx="155">
                  <c:v>40483</c:v>
                </c:pt>
                <c:pt idx="156">
                  <c:v>40452</c:v>
                </c:pt>
                <c:pt idx="157">
                  <c:v>40422</c:v>
                </c:pt>
                <c:pt idx="158">
                  <c:v>40391</c:v>
                </c:pt>
                <c:pt idx="159">
                  <c:v>40360</c:v>
                </c:pt>
                <c:pt idx="160">
                  <c:v>40330</c:v>
                </c:pt>
                <c:pt idx="161">
                  <c:v>40299</c:v>
                </c:pt>
                <c:pt idx="162">
                  <c:v>40269</c:v>
                </c:pt>
                <c:pt idx="163">
                  <c:v>40238</c:v>
                </c:pt>
                <c:pt idx="164">
                  <c:v>40210</c:v>
                </c:pt>
                <c:pt idx="165">
                  <c:v>40179</c:v>
                </c:pt>
              </c:numCache>
            </c:numRef>
          </c:cat>
          <c:val>
            <c:numRef>
              <c:f>Hárok1!$N$3:$N$168</c:f>
              <c:numCache>
                <c:formatCode>General</c:formatCode>
                <c:ptCount val="166"/>
                <c:pt idx="0">
                  <c:v>3.7216153846153848</c:v>
                </c:pt>
                <c:pt idx="1">
                  <c:v>3.6571904761904763</c:v>
                </c:pt>
                <c:pt idx="2">
                  <c:v>3.4604782608695657</c:v>
                </c:pt>
                <c:pt idx="3">
                  <c:v>3.593761904761906</c:v>
                </c:pt>
                <c:pt idx="4">
                  <c:v>3.4302727272727278</c:v>
                </c:pt>
                <c:pt idx="5">
                  <c:v>3.1532608695652171</c:v>
                </c:pt>
                <c:pt idx="6">
                  <c:v>3.2441000000000004</c:v>
                </c:pt>
                <c:pt idx="7">
                  <c:v>3.2787391304347828</c:v>
                </c:pt>
                <c:pt idx="8">
                  <c:v>3.2475500000000004</c:v>
                </c:pt>
                <c:pt idx="9">
                  <c:v>2.8967727272727273</c:v>
                </c:pt>
                <c:pt idx="10">
                  <c:v>2.7347272727272727</c:v>
                </c:pt>
                <c:pt idx="11">
                  <c:v>2.8308181818181817</c:v>
                </c:pt>
                <c:pt idx="12">
                  <c:v>2.5936666666666666</c:v>
                </c:pt>
                <c:pt idx="13">
                  <c:v>2.0584999999999996</c:v>
                </c:pt>
                <c:pt idx="14">
                  <c:v>1.0449565217391306</c:v>
                </c:pt>
                <c:pt idx="15">
                  <c:v>0.9534285714285714</c:v>
                </c:pt>
                <c:pt idx="16">
                  <c:v>1.1673636363636364</c:v>
                </c:pt>
                <c:pt idx="17">
                  <c:v>0.5333181818181818</c:v>
                </c:pt>
                <c:pt idx="18">
                  <c:v>0.36261904761904762</c:v>
                </c:pt>
                <c:pt idx="19">
                  <c:v>-0.15060869565217394</c:v>
                </c:pt>
                <c:pt idx="20">
                  <c:v>-0.31625000000000003</c:v>
                </c:pt>
                <c:pt idx="21">
                  <c:v>-0.59742857142857142</c:v>
                </c:pt>
                <c:pt idx="22">
                  <c:v>-0.72030434782608699</c:v>
                </c:pt>
                <c:pt idx="23">
                  <c:v>-1.063590909090909</c:v>
                </c:pt>
                <c:pt idx="24">
                  <c:v>-0.97209523809523801</c:v>
                </c:pt>
                <c:pt idx="25">
                  <c:v>-0.89863636363636346</c:v>
                </c:pt>
                <c:pt idx="26">
                  <c:v>-0.90745454545454551</c:v>
                </c:pt>
                <c:pt idx="27">
                  <c:v>-0.98413636363636381</c:v>
                </c:pt>
                <c:pt idx="28">
                  <c:v>-0.85095454545454541</c:v>
                </c:pt>
                <c:pt idx="29">
                  <c:v>-0.7026190476190477</c:v>
                </c:pt>
                <c:pt idx="30">
                  <c:v>-0.63277272727272726</c:v>
                </c:pt>
                <c:pt idx="31">
                  <c:v>-0.5965652173913043</c:v>
                </c:pt>
                <c:pt idx="32">
                  <c:v>-0.64519999999999977</c:v>
                </c:pt>
                <c:pt idx="33">
                  <c:v>-0.63609523809523816</c:v>
                </c:pt>
                <c:pt idx="34">
                  <c:v>-0.7122173913043478</c:v>
                </c:pt>
                <c:pt idx="35">
                  <c:v>-0.78209523809523829</c:v>
                </c:pt>
                <c:pt idx="36">
                  <c:v>-0.74231818181818177</c:v>
                </c:pt>
                <c:pt idx="37">
                  <c:v>-0.63722727272727286</c:v>
                </c:pt>
                <c:pt idx="38">
                  <c:v>-0.63400000000000012</c:v>
                </c:pt>
                <c:pt idx="39">
                  <c:v>-0.63400000000000023</c:v>
                </c:pt>
                <c:pt idx="40">
                  <c:v>-0.63400000000000023</c:v>
                </c:pt>
                <c:pt idx="41">
                  <c:v>-0.63400000000000012</c:v>
                </c:pt>
                <c:pt idx="42">
                  <c:v>-0.63400000000000023</c:v>
                </c:pt>
                <c:pt idx="43">
                  <c:v>-0.63400000000000023</c:v>
                </c:pt>
                <c:pt idx="44">
                  <c:v>-0.63400000000000012</c:v>
                </c:pt>
                <c:pt idx="45">
                  <c:v>-0.63400000000000023</c:v>
                </c:pt>
                <c:pt idx="46">
                  <c:v>-0.63400000000000023</c:v>
                </c:pt>
                <c:pt idx="47">
                  <c:v>-0.63400000000000012</c:v>
                </c:pt>
                <c:pt idx="48">
                  <c:v>-0.63008695652173929</c:v>
                </c:pt>
                <c:pt idx="49">
                  <c:v>-0.68276190476190468</c:v>
                </c:pt>
                <c:pt idx="50">
                  <c:v>-0.68559090909090903</c:v>
                </c:pt>
                <c:pt idx="51">
                  <c:v>-0.55169565217391303</c:v>
                </c:pt>
                <c:pt idx="52">
                  <c:v>-0.5835999999999999</c:v>
                </c:pt>
                <c:pt idx="53">
                  <c:v>-0.62626086956521765</c:v>
                </c:pt>
                <c:pt idx="54">
                  <c:v>-0.65272727272727271</c:v>
                </c:pt>
                <c:pt idx="55">
                  <c:v>-0.52861904761904754</c:v>
                </c:pt>
                <c:pt idx="56">
                  <c:v>-0.5161</c:v>
                </c:pt>
                <c:pt idx="57">
                  <c:v>-0.61399999999999988</c:v>
                </c:pt>
                <c:pt idx="58">
                  <c:v>-0.70847619047619048</c:v>
                </c:pt>
                <c:pt idx="59">
                  <c:v>-0.6710454545454545</c:v>
                </c:pt>
                <c:pt idx="60">
                  <c:v>-0.60647826086956524</c:v>
                </c:pt>
                <c:pt idx="61">
                  <c:v>-0.61109999999999998</c:v>
                </c:pt>
                <c:pt idx="62">
                  <c:v>-0.59804347826086957</c:v>
                </c:pt>
                <c:pt idx="63">
                  <c:v>-0.57600000000000007</c:v>
                </c:pt>
                <c:pt idx="64">
                  <c:v>-0.53966666666666663</c:v>
                </c:pt>
                <c:pt idx="65">
                  <c:v>-0.50421739130434784</c:v>
                </c:pt>
                <c:pt idx="66">
                  <c:v>-0.49738095238095231</c:v>
                </c:pt>
                <c:pt idx="67">
                  <c:v>-0.45181818181818179</c:v>
                </c:pt>
                <c:pt idx="68">
                  <c:v>-0.43109999999999998</c:v>
                </c:pt>
                <c:pt idx="69">
                  <c:v>-0.44804347826086949</c:v>
                </c:pt>
                <c:pt idx="70">
                  <c:v>-0.46071428571428574</c:v>
                </c:pt>
                <c:pt idx="71">
                  <c:v>-0.4983636363636364</c:v>
                </c:pt>
                <c:pt idx="72">
                  <c:v>-0.44177272727272732</c:v>
                </c:pt>
                <c:pt idx="73">
                  <c:v>-0.43647619047619052</c:v>
                </c:pt>
                <c:pt idx="74">
                  <c:v>-0.3765217391304348</c:v>
                </c:pt>
                <c:pt idx="75">
                  <c:v>-0.37128571428571433</c:v>
                </c:pt>
                <c:pt idx="76">
                  <c:v>-0.38222727272727275</c:v>
                </c:pt>
                <c:pt idx="77">
                  <c:v>-0.35939130434782601</c:v>
                </c:pt>
                <c:pt idx="78">
                  <c:v>-0.38154999999999994</c:v>
                </c:pt>
                <c:pt idx="79">
                  <c:v>-0.38195652173913053</c:v>
                </c:pt>
                <c:pt idx="80">
                  <c:v>-0.37590000000000001</c:v>
                </c:pt>
                <c:pt idx="81">
                  <c:v>-0.35236363636363638</c:v>
                </c:pt>
                <c:pt idx="82">
                  <c:v>-0.27395454545454545</c:v>
                </c:pt>
                <c:pt idx="83">
                  <c:v>-0.25709090909090909</c:v>
                </c:pt>
                <c:pt idx="84">
                  <c:v>-0.32790476190476187</c:v>
                </c:pt>
                <c:pt idx="85">
                  <c:v>-0.30095454545454542</c:v>
                </c:pt>
                <c:pt idx="86">
                  <c:v>-0.32765217391304352</c:v>
                </c:pt>
                <c:pt idx="87">
                  <c:v>-0.26423809523809527</c:v>
                </c:pt>
                <c:pt idx="88">
                  <c:v>-0.24395454545454545</c:v>
                </c:pt>
                <c:pt idx="89">
                  <c:v>-0.26740909090909087</c:v>
                </c:pt>
                <c:pt idx="90">
                  <c:v>-0.29185714285714287</c:v>
                </c:pt>
                <c:pt idx="91">
                  <c:v>-0.25169565217391299</c:v>
                </c:pt>
                <c:pt idx="92">
                  <c:v>-8.261904761904762E-2</c:v>
                </c:pt>
                <c:pt idx="93">
                  <c:v>-3.8142857142857145E-2</c:v>
                </c:pt>
                <c:pt idx="94">
                  <c:v>-2.4826086956521737E-2</c:v>
                </c:pt>
                <c:pt idx="95">
                  <c:v>-1.2952380952380953E-2</c:v>
                </c:pt>
                <c:pt idx="96">
                  <c:v>-0.16136363636363638</c:v>
                </c:pt>
                <c:pt idx="97">
                  <c:v>-0.10963636363636363</c:v>
                </c:pt>
                <c:pt idx="98">
                  <c:v>-1.309523809523809E-2</c:v>
                </c:pt>
                <c:pt idx="99">
                  <c:v>6.3913043478260878E-2</c:v>
                </c:pt>
                <c:pt idx="100">
                  <c:v>9.9045454545454562E-2</c:v>
                </c:pt>
                <c:pt idx="101">
                  <c:v>4.3714285714285719E-2</c:v>
                </c:pt>
                <c:pt idx="102">
                  <c:v>1.2681818181818183E-2</c:v>
                </c:pt>
                <c:pt idx="103">
                  <c:v>3.095454545454546E-2</c:v>
                </c:pt>
                <c:pt idx="104">
                  <c:v>4.6600000000000009E-2</c:v>
                </c:pt>
                <c:pt idx="105">
                  <c:v>5.5363636363636365E-2</c:v>
                </c:pt>
                <c:pt idx="106">
                  <c:v>0.12691304347826088</c:v>
                </c:pt>
                <c:pt idx="107">
                  <c:v>0.14419999999999999</c:v>
                </c:pt>
                <c:pt idx="108">
                  <c:v>9.1826086956521738E-2</c:v>
                </c:pt>
                <c:pt idx="109">
                  <c:v>9.6409090909090889E-2</c:v>
                </c:pt>
                <c:pt idx="110">
                  <c:v>0.23704761904761903</c:v>
                </c:pt>
                <c:pt idx="111">
                  <c:v>0.23739130434782613</c:v>
                </c:pt>
                <c:pt idx="112">
                  <c:v>0.29652380952380952</c:v>
                </c:pt>
                <c:pt idx="113">
                  <c:v>0.38054545454545452</c:v>
                </c:pt>
                <c:pt idx="114">
                  <c:v>0.39986363636363631</c:v>
                </c:pt>
                <c:pt idx="115">
                  <c:v>0.57799999999999985</c:v>
                </c:pt>
                <c:pt idx="116">
                  <c:v>0.57799999999999985</c:v>
                </c:pt>
                <c:pt idx="117">
                  <c:v>0.57799999999999974</c:v>
                </c:pt>
                <c:pt idx="118">
                  <c:v>0.57799999999999985</c:v>
                </c:pt>
                <c:pt idx="119">
                  <c:v>0.57799999999999985</c:v>
                </c:pt>
                <c:pt idx="120">
                  <c:v>0.57799999999999974</c:v>
                </c:pt>
                <c:pt idx="121">
                  <c:v>0.57799999999999985</c:v>
                </c:pt>
                <c:pt idx="122">
                  <c:v>0.57799999999999985</c:v>
                </c:pt>
                <c:pt idx="123">
                  <c:v>0.57799999999999974</c:v>
                </c:pt>
                <c:pt idx="124">
                  <c:v>0.57799999999999985</c:v>
                </c:pt>
                <c:pt idx="125">
                  <c:v>0.57799999999999974</c:v>
                </c:pt>
                <c:pt idx="126">
                  <c:v>0.57799999999999985</c:v>
                </c:pt>
                <c:pt idx="127">
                  <c:v>0.48742857142857138</c:v>
                </c:pt>
                <c:pt idx="128">
                  <c:v>0.47414999999999985</c:v>
                </c:pt>
                <c:pt idx="129">
                  <c:v>0.32599999999999996</c:v>
                </c:pt>
                <c:pt idx="130">
                  <c:v>0.33057142857142857</c:v>
                </c:pt>
                <c:pt idx="131">
                  <c:v>0.43181818181818188</c:v>
                </c:pt>
                <c:pt idx="132">
                  <c:v>0.60652173913043472</c:v>
                </c:pt>
                <c:pt idx="133">
                  <c:v>0.77424999999999999</c:v>
                </c:pt>
                <c:pt idx="134">
                  <c:v>1.0214347826086958</c:v>
                </c:pt>
                <c:pt idx="135">
                  <c:v>1.3347727272727274</c:v>
                </c:pt>
                <c:pt idx="136">
                  <c:v>1.5379523809523812</c:v>
                </c:pt>
                <c:pt idx="137">
                  <c:v>1.363</c:v>
                </c:pt>
                <c:pt idx="138">
                  <c:v>1.5276190476190483</c:v>
                </c:pt>
                <c:pt idx="139">
                  <c:v>2.1509545454545447</c:v>
                </c:pt>
                <c:pt idx="140">
                  <c:v>2.7605714285714278</c:v>
                </c:pt>
                <c:pt idx="141">
                  <c:v>2.6009999999999995</c:v>
                </c:pt>
                <c:pt idx="142">
                  <c:v>2.6661818181818187</c:v>
                </c:pt>
                <c:pt idx="143">
                  <c:v>2.4391363636363637</c:v>
                </c:pt>
                <c:pt idx="144">
                  <c:v>2.3859999999999997</c:v>
                </c:pt>
                <c:pt idx="145">
                  <c:v>2.2885454545454547</c:v>
                </c:pt>
                <c:pt idx="146">
                  <c:v>2.3939565217391303</c:v>
                </c:pt>
                <c:pt idx="147">
                  <c:v>2.4404285714285718</c:v>
                </c:pt>
                <c:pt idx="148">
                  <c:v>2.4848181818181816</c:v>
                </c:pt>
                <c:pt idx="149">
                  <c:v>2.5239090909090911</c:v>
                </c:pt>
                <c:pt idx="150">
                  <c:v>2.5880476190476194</c:v>
                </c:pt>
                <c:pt idx="151">
                  <c:v>2.488105263157895</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numCache>
            </c:numRef>
          </c:val>
          <c:smooth val="0"/>
          <c:extLst>
            <c:ext xmlns:c16="http://schemas.microsoft.com/office/drawing/2014/chart" uri="{C3380CC4-5D6E-409C-BE32-E72D297353CC}">
              <c16:uniqueId val="{00000000-6E05-40B8-86B1-29E6B651DE57}"/>
            </c:ext>
          </c:extLst>
        </c:ser>
        <c:ser>
          <c:idx val="1"/>
          <c:order val="1"/>
          <c:tx>
            <c:strRef>
              <c:f>Hárok1!$O$2</c:f>
              <c:strCache>
                <c:ptCount val="1"/>
                <c:pt idx="0">
                  <c:v>10-ročný výnos DE</c:v>
                </c:pt>
              </c:strCache>
            </c:strRef>
          </c:tx>
          <c:spPr>
            <a:ln w="19050" cap="rnd">
              <a:solidFill>
                <a:srgbClr val="00B0F0"/>
              </a:solidFill>
              <a:round/>
            </a:ln>
            <a:effectLst/>
          </c:spPr>
          <c:marker>
            <c:symbol val="none"/>
          </c:marker>
          <c:cat>
            <c:numRef>
              <c:f>Hárok1!$M$3:$M$168</c:f>
              <c:numCache>
                <c:formatCode>m/d/yyyy</c:formatCode>
                <c:ptCount val="166"/>
                <c:pt idx="0">
                  <c:v>45200</c:v>
                </c:pt>
                <c:pt idx="1">
                  <c:v>45170</c:v>
                </c:pt>
                <c:pt idx="2">
                  <c:v>45139</c:v>
                </c:pt>
                <c:pt idx="3">
                  <c:v>45108</c:v>
                </c:pt>
                <c:pt idx="4">
                  <c:v>45078</c:v>
                </c:pt>
                <c:pt idx="5">
                  <c:v>45047</c:v>
                </c:pt>
                <c:pt idx="6">
                  <c:v>45017</c:v>
                </c:pt>
                <c:pt idx="7">
                  <c:v>44986</c:v>
                </c:pt>
                <c:pt idx="8">
                  <c:v>44958</c:v>
                </c:pt>
                <c:pt idx="9">
                  <c:v>44927</c:v>
                </c:pt>
                <c:pt idx="10">
                  <c:v>44896</c:v>
                </c:pt>
                <c:pt idx="11">
                  <c:v>44866</c:v>
                </c:pt>
                <c:pt idx="12">
                  <c:v>44835</c:v>
                </c:pt>
                <c:pt idx="13">
                  <c:v>44805</c:v>
                </c:pt>
                <c:pt idx="14">
                  <c:v>44774</c:v>
                </c:pt>
                <c:pt idx="15">
                  <c:v>44743</c:v>
                </c:pt>
                <c:pt idx="16">
                  <c:v>44713</c:v>
                </c:pt>
                <c:pt idx="17">
                  <c:v>44682</c:v>
                </c:pt>
                <c:pt idx="18">
                  <c:v>44652</c:v>
                </c:pt>
                <c:pt idx="19">
                  <c:v>44621</c:v>
                </c:pt>
                <c:pt idx="20">
                  <c:v>44593</c:v>
                </c:pt>
                <c:pt idx="21">
                  <c:v>44562</c:v>
                </c:pt>
                <c:pt idx="22">
                  <c:v>44531</c:v>
                </c:pt>
                <c:pt idx="23">
                  <c:v>44501</c:v>
                </c:pt>
                <c:pt idx="24">
                  <c:v>44470</c:v>
                </c:pt>
                <c:pt idx="25">
                  <c:v>44440</c:v>
                </c:pt>
                <c:pt idx="26">
                  <c:v>44409</c:v>
                </c:pt>
                <c:pt idx="27">
                  <c:v>44378</c:v>
                </c:pt>
                <c:pt idx="28">
                  <c:v>44348</c:v>
                </c:pt>
                <c:pt idx="29">
                  <c:v>44317</c:v>
                </c:pt>
                <c:pt idx="30">
                  <c:v>44287</c:v>
                </c:pt>
                <c:pt idx="31">
                  <c:v>44256</c:v>
                </c:pt>
                <c:pt idx="32">
                  <c:v>44228</c:v>
                </c:pt>
                <c:pt idx="33">
                  <c:v>44197</c:v>
                </c:pt>
                <c:pt idx="34">
                  <c:v>44166</c:v>
                </c:pt>
                <c:pt idx="35">
                  <c:v>44136</c:v>
                </c:pt>
                <c:pt idx="36">
                  <c:v>44105</c:v>
                </c:pt>
                <c:pt idx="37">
                  <c:v>44075</c:v>
                </c:pt>
                <c:pt idx="38">
                  <c:v>44044</c:v>
                </c:pt>
                <c:pt idx="39">
                  <c:v>44013</c:v>
                </c:pt>
                <c:pt idx="40">
                  <c:v>43983</c:v>
                </c:pt>
                <c:pt idx="41">
                  <c:v>43952</c:v>
                </c:pt>
                <c:pt idx="42">
                  <c:v>43922</c:v>
                </c:pt>
                <c:pt idx="43">
                  <c:v>43891</c:v>
                </c:pt>
                <c:pt idx="44">
                  <c:v>43862</c:v>
                </c:pt>
                <c:pt idx="45">
                  <c:v>43831</c:v>
                </c:pt>
                <c:pt idx="46">
                  <c:v>43800</c:v>
                </c:pt>
                <c:pt idx="47">
                  <c:v>43770</c:v>
                </c:pt>
                <c:pt idx="48">
                  <c:v>43739</c:v>
                </c:pt>
                <c:pt idx="49">
                  <c:v>43709</c:v>
                </c:pt>
                <c:pt idx="50">
                  <c:v>43678</c:v>
                </c:pt>
                <c:pt idx="51">
                  <c:v>43647</c:v>
                </c:pt>
                <c:pt idx="52">
                  <c:v>43617</c:v>
                </c:pt>
                <c:pt idx="53">
                  <c:v>43586</c:v>
                </c:pt>
                <c:pt idx="54">
                  <c:v>43556</c:v>
                </c:pt>
                <c:pt idx="55">
                  <c:v>43525</c:v>
                </c:pt>
                <c:pt idx="56">
                  <c:v>43497</c:v>
                </c:pt>
                <c:pt idx="57">
                  <c:v>43466</c:v>
                </c:pt>
                <c:pt idx="58">
                  <c:v>43435</c:v>
                </c:pt>
                <c:pt idx="59">
                  <c:v>43405</c:v>
                </c:pt>
                <c:pt idx="60">
                  <c:v>43374</c:v>
                </c:pt>
                <c:pt idx="61">
                  <c:v>43344</c:v>
                </c:pt>
                <c:pt idx="62">
                  <c:v>43313</c:v>
                </c:pt>
                <c:pt idx="63">
                  <c:v>43282</c:v>
                </c:pt>
                <c:pt idx="64">
                  <c:v>43252</c:v>
                </c:pt>
                <c:pt idx="65">
                  <c:v>43221</c:v>
                </c:pt>
                <c:pt idx="66">
                  <c:v>43191</c:v>
                </c:pt>
                <c:pt idx="67">
                  <c:v>43160</c:v>
                </c:pt>
                <c:pt idx="68">
                  <c:v>43132</c:v>
                </c:pt>
                <c:pt idx="69">
                  <c:v>43101</c:v>
                </c:pt>
                <c:pt idx="70">
                  <c:v>43070</c:v>
                </c:pt>
                <c:pt idx="71">
                  <c:v>43040</c:v>
                </c:pt>
                <c:pt idx="72">
                  <c:v>43009</c:v>
                </c:pt>
                <c:pt idx="73">
                  <c:v>42979</c:v>
                </c:pt>
                <c:pt idx="74">
                  <c:v>42948</c:v>
                </c:pt>
                <c:pt idx="75">
                  <c:v>42917</c:v>
                </c:pt>
                <c:pt idx="76">
                  <c:v>42887</c:v>
                </c:pt>
                <c:pt idx="77">
                  <c:v>42856</c:v>
                </c:pt>
                <c:pt idx="78">
                  <c:v>42826</c:v>
                </c:pt>
                <c:pt idx="79">
                  <c:v>42795</c:v>
                </c:pt>
                <c:pt idx="80">
                  <c:v>42767</c:v>
                </c:pt>
                <c:pt idx="81">
                  <c:v>42736</c:v>
                </c:pt>
                <c:pt idx="82">
                  <c:v>42705</c:v>
                </c:pt>
                <c:pt idx="83">
                  <c:v>42675</c:v>
                </c:pt>
                <c:pt idx="84">
                  <c:v>42644</c:v>
                </c:pt>
                <c:pt idx="85">
                  <c:v>42614</c:v>
                </c:pt>
                <c:pt idx="86">
                  <c:v>42583</c:v>
                </c:pt>
                <c:pt idx="87">
                  <c:v>42552</c:v>
                </c:pt>
                <c:pt idx="88">
                  <c:v>42522</c:v>
                </c:pt>
                <c:pt idx="89">
                  <c:v>42491</c:v>
                </c:pt>
                <c:pt idx="90">
                  <c:v>42461</c:v>
                </c:pt>
                <c:pt idx="91">
                  <c:v>42430</c:v>
                </c:pt>
                <c:pt idx="92">
                  <c:v>42401</c:v>
                </c:pt>
                <c:pt idx="93">
                  <c:v>42370</c:v>
                </c:pt>
                <c:pt idx="94">
                  <c:v>42339</c:v>
                </c:pt>
                <c:pt idx="95">
                  <c:v>42309</c:v>
                </c:pt>
                <c:pt idx="96">
                  <c:v>42278</c:v>
                </c:pt>
                <c:pt idx="97">
                  <c:v>42248</c:v>
                </c:pt>
                <c:pt idx="98">
                  <c:v>42217</c:v>
                </c:pt>
                <c:pt idx="99">
                  <c:v>42186</c:v>
                </c:pt>
                <c:pt idx="100">
                  <c:v>42156</c:v>
                </c:pt>
                <c:pt idx="101">
                  <c:v>42125</c:v>
                </c:pt>
                <c:pt idx="102">
                  <c:v>42095</c:v>
                </c:pt>
                <c:pt idx="103">
                  <c:v>42064</c:v>
                </c:pt>
                <c:pt idx="104">
                  <c:v>42036</c:v>
                </c:pt>
                <c:pt idx="105">
                  <c:v>42005</c:v>
                </c:pt>
                <c:pt idx="106">
                  <c:v>41974</c:v>
                </c:pt>
                <c:pt idx="107">
                  <c:v>41944</c:v>
                </c:pt>
                <c:pt idx="108">
                  <c:v>41913</c:v>
                </c:pt>
                <c:pt idx="109">
                  <c:v>41883</c:v>
                </c:pt>
                <c:pt idx="110">
                  <c:v>41852</c:v>
                </c:pt>
                <c:pt idx="111">
                  <c:v>41821</c:v>
                </c:pt>
                <c:pt idx="112">
                  <c:v>41791</c:v>
                </c:pt>
                <c:pt idx="113">
                  <c:v>41760</c:v>
                </c:pt>
                <c:pt idx="114">
                  <c:v>41730</c:v>
                </c:pt>
                <c:pt idx="115">
                  <c:v>41699</c:v>
                </c:pt>
                <c:pt idx="116">
                  <c:v>41671</c:v>
                </c:pt>
                <c:pt idx="117">
                  <c:v>41640</c:v>
                </c:pt>
                <c:pt idx="118">
                  <c:v>41609</c:v>
                </c:pt>
                <c:pt idx="119">
                  <c:v>41579</c:v>
                </c:pt>
                <c:pt idx="120">
                  <c:v>41548</c:v>
                </c:pt>
                <c:pt idx="121">
                  <c:v>41518</c:v>
                </c:pt>
                <c:pt idx="122">
                  <c:v>41487</c:v>
                </c:pt>
                <c:pt idx="123">
                  <c:v>41456</c:v>
                </c:pt>
                <c:pt idx="124">
                  <c:v>41426</c:v>
                </c:pt>
                <c:pt idx="125">
                  <c:v>41395</c:v>
                </c:pt>
                <c:pt idx="126">
                  <c:v>41365</c:v>
                </c:pt>
                <c:pt idx="127">
                  <c:v>41334</c:v>
                </c:pt>
                <c:pt idx="128">
                  <c:v>41306</c:v>
                </c:pt>
                <c:pt idx="129">
                  <c:v>41275</c:v>
                </c:pt>
                <c:pt idx="130">
                  <c:v>41244</c:v>
                </c:pt>
                <c:pt idx="131">
                  <c:v>41214</c:v>
                </c:pt>
                <c:pt idx="132">
                  <c:v>41183</c:v>
                </c:pt>
                <c:pt idx="133">
                  <c:v>41153</c:v>
                </c:pt>
                <c:pt idx="134">
                  <c:v>41122</c:v>
                </c:pt>
                <c:pt idx="135">
                  <c:v>41091</c:v>
                </c:pt>
                <c:pt idx="136">
                  <c:v>41061</c:v>
                </c:pt>
                <c:pt idx="137">
                  <c:v>41030</c:v>
                </c:pt>
                <c:pt idx="138">
                  <c:v>41000</c:v>
                </c:pt>
                <c:pt idx="139">
                  <c:v>40969</c:v>
                </c:pt>
                <c:pt idx="140">
                  <c:v>40940</c:v>
                </c:pt>
                <c:pt idx="141">
                  <c:v>40909</c:v>
                </c:pt>
                <c:pt idx="142">
                  <c:v>40878</c:v>
                </c:pt>
                <c:pt idx="143">
                  <c:v>40848</c:v>
                </c:pt>
                <c:pt idx="144">
                  <c:v>40817</c:v>
                </c:pt>
                <c:pt idx="145">
                  <c:v>40787</c:v>
                </c:pt>
                <c:pt idx="146">
                  <c:v>40756</c:v>
                </c:pt>
                <c:pt idx="147">
                  <c:v>40725</c:v>
                </c:pt>
                <c:pt idx="148">
                  <c:v>40695</c:v>
                </c:pt>
                <c:pt idx="149">
                  <c:v>40664</c:v>
                </c:pt>
                <c:pt idx="150">
                  <c:v>40634</c:v>
                </c:pt>
                <c:pt idx="151">
                  <c:v>40603</c:v>
                </c:pt>
                <c:pt idx="152">
                  <c:v>40575</c:v>
                </c:pt>
                <c:pt idx="153">
                  <c:v>40544</c:v>
                </c:pt>
                <c:pt idx="154">
                  <c:v>40513</c:v>
                </c:pt>
                <c:pt idx="155">
                  <c:v>40483</c:v>
                </c:pt>
                <c:pt idx="156">
                  <c:v>40452</c:v>
                </c:pt>
                <c:pt idx="157">
                  <c:v>40422</c:v>
                </c:pt>
                <c:pt idx="158">
                  <c:v>40391</c:v>
                </c:pt>
                <c:pt idx="159">
                  <c:v>40360</c:v>
                </c:pt>
                <c:pt idx="160">
                  <c:v>40330</c:v>
                </c:pt>
                <c:pt idx="161">
                  <c:v>40299</c:v>
                </c:pt>
                <c:pt idx="162">
                  <c:v>40269</c:v>
                </c:pt>
                <c:pt idx="163">
                  <c:v>40238</c:v>
                </c:pt>
                <c:pt idx="164">
                  <c:v>40210</c:v>
                </c:pt>
                <c:pt idx="165">
                  <c:v>40179</c:v>
                </c:pt>
              </c:numCache>
            </c:numRef>
          </c:cat>
          <c:val>
            <c:numRef>
              <c:f>Hárok1!$O$3:$O$168</c:f>
              <c:numCache>
                <c:formatCode>General</c:formatCode>
                <c:ptCount val="166"/>
                <c:pt idx="0">
                  <c:v>2.8390769230769233</c:v>
                </c:pt>
                <c:pt idx="1">
                  <c:v>2.6956666666666664</c:v>
                </c:pt>
                <c:pt idx="2">
                  <c:v>2.5751739130434776</c:v>
                </c:pt>
                <c:pt idx="3">
                  <c:v>2.4983809523809533</c:v>
                </c:pt>
                <c:pt idx="4">
                  <c:v>2.3966818181818188</c:v>
                </c:pt>
                <c:pt idx="5">
                  <c:v>2.3520869565217395</c:v>
                </c:pt>
                <c:pt idx="6">
                  <c:v>2.3561999999999999</c:v>
                </c:pt>
                <c:pt idx="7">
                  <c:v>2.3956956521739134</c:v>
                </c:pt>
                <c:pt idx="8">
                  <c:v>2.4063000000000003</c:v>
                </c:pt>
                <c:pt idx="9">
                  <c:v>2.2138636363636364</c:v>
                </c:pt>
                <c:pt idx="10">
                  <c:v>2.1285454545454545</c:v>
                </c:pt>
                <c:pt idx="11">
                  <c:v>2.0704999999999996</c:v>
                </c:pt>
                <c:pt idx="12">
                  <c:v>2.1988571428571424</c:v>
                </c:pt>
                <c:pt idx="13">
                  <c:v>1.8268181818181821</c:v>
                </c:pt>
                <c:pt idx="14">
                  <c:v>1.103</c:v>
                </c:pt>
                <c:pt idx="15">
                  <c:v>1.1383809523809523</c:v>
                </c:pt>
                <c:pt idx="16">
                  <c:v>1.4999545454545453</c:v>
                </c:pt>
                <c:pt idx="17">
                  <c:v>0.99422727272727296</c:v>
                </c:pt>
                <c:pt idx="18">
                  <c:v>0.78742857142857148</c:v>
                </c:pt>
                <c:pt idx="19">
                  <c:v>0.32543478260869563</c:v>
                </c:pt>
                <c:pt idx="20">
                  <c:v>0.20845000000000002</c:v>
                </c:pt>
                <c:pt idx="21">
                  <c:v>-5.8380952380952381E-2</c:v>
                </c:pt>
                <c:pt idx="22">
                  <c:v>-0.316</c:v>
                </c:pt>
                <c:pt idx="23">
                  <c:v>-0.25440909090909097</c:v>
                </c:pt>
                <c:pt idx="24">
                  <c:v>-0.14771428571428571</c:v>
                </c:pt>
                <c:pt idx="25">
                  <c:v>-0.30395454545454548</c:v>
                </c:pt>
                <c:pt idx="26">
                  <c:v>-0.46354545454545454</c:v>
                </c:pt>
                <c:pt idx="27">
                  <c:v>-0.34945454545454546</c:v>
                </c:pt>
                <c:pt idx="28">
                  <c:v>-0.20650000000000002</c:v>
                </c:pt>
                <c:pt idx="29">
                  <c:v>-0.16657142857142859</c:v>
                </c:pt>
                <c:pt idx="30">
                  <c:v>-0.27627272727272723</c:v>
                </c:pt>
                <c:pt idx="31">
                  <c:v>-0.31726086956521743</c:v>
                </c:pt>
                <c:pt idx="32">
                  <c:v>-0.39040000000000002</c:v>
                </c:pt>
                <c:pt idx="33">
                  <c:v>-0.53328571428571425</c:v>
                </c:pt>
                <c:pt idx="34">
                  <c:v>-0.57643478260869574</c:v>
                </c:pt>
                <c:pt idx="35">
                  <c:v>-0.57299999999999995</c:v>
                </c:pt>
                <c:pt idx="36">
                  <c:v>-0.57345454545454544</c:v>
                </c:pt>
                <c:pt idx="37">
                  <c:v>-0.49072727272727268</c:v>
                </c:pt>
                <c:pt idx="38">
                  <c:v>-0.47019047619047616</c:v>
                </c:pt>
                <c:pt idx="39">
                  <c:v>-0.46291304347826079</c:v>
                </c:pt>
                <c:pt idx="40">
                  <c:v>-0.40327272727272728</c:v>
                </c:pt>
                <c:pt idx="41">
                  <c:v>-0.50304761904761908</c:v>
                </c:pt>
                <c:pt idx="42">
                  <c:v>-0.43195454545454548</c:v>
                </c:pt>
                <c:pt idx="43">
                  <c:v>-0.5200454545454547</c:v>
                </c:pt>
                <c:pt idx="44">
                  <c:v>-0.43509999999999999</c:v>
                </c:pt>
                <c:pt idx="45">
                  <c:v>-0.26791304347826084</c:v>
                </c:pt>
                <c:pt idx="46">
                  <c:v>-0.27072727272727276</c:v>
                </c:pt>
                <c:pt idx="47">
                  <c:v>-0.328952380952381</c:v>
                </c:pt>
                <c:pt idx="48">
                  <c:v>-0.44869565217391305</c:v>
                </c:pt>
                <c:pt idx="49">
                  <c:v>-0.57085714285714295</c:v>
                </c:pt>
                <c:pt idx="50">
                  <c:v>-0.62713636363636371</c:v>
                </c:pt>
                <c:pt idx="51">
                  <c:v>-0.34099999999999997</c:v>
                </c:pt>
                <c:pt idx="52">
                  <c:v>-0.26900000000000002</c:v>
                </c:pt>
                <c:pt idx="53">
                  <c:v>-8.2391304347826086E-2</c:v>
                </c:pt>
                <c:pt idx="54">
                  <c:v>9.5909090909090909E-3</c:v>
                </c:pt>
                <c:pt idx="55">
                  <c:v>5.3619047619047622E-2</c:v>
                </c:pt>
                <c:pt idx="56">
                  <c:v>0.12635000000000002</c:v>
                </c:pt>
                <c:pt idx="57">
                  <c:v>0.2149130434782609</c:v>
                </c:pt>
                <c:pt idx="58">
                  <c:v>0.25080952380952376</c:v>
                </c:pt>
                <c:pt idx="59">
                  <c:v>0.38222727272727275</c:v>
                </c:pt>
                <c:pt idx="60">
                  <c:v>0.45895652173913037</c:v>
                </c:pt>
                <c:pt idx="61">
                  <c:v>0.44190000000000007</c:v>
                </c:pt>
                <c:pt idx="62">
                  <c:v>0.35899999999999999</c:v>
                </c:pt>
                <c:pt idx="63">
                  <c:v>0.35386363636363632</c:v>
                </c:pt>
                <c:pt idx="64">
                  <c:v>0.39271428571428568</c:v>
                </c:pt>
                <c:pt idx="65">
                  <c:v>0.51295652173913042</c:v>
                </c:pt>
                <c:pt idx="66">
                  <c:v>0.54271428571428559</c:v>
                </c:pt>
                <c:pt idx="67">
                  <c:v>0.58190909090909093</c:v>
                </c:pt>
                <c:pt idx="68">
                  <c:v>0.71909999999999996</c:v>
                </c:pt>
                <c:pt idx="69">
                  <c:v>0.54921739130434788</c:v>
                </c:pt>
                <c:pt idx="70">
                  <c:v>0.35028571428571426</c:v>
                </c:pt>
                <c:pt idx="71">
                  <c:v>0.36281818181818176</c:v>
                </c:pt>
                <c:pt idx="72">
                  <c:v>0.42459090909090913</c:v>
                </c:pt>
                <c:pt idx="73">
                  <c:v>0.4028571428571428</c:v>
                </c:pt>
                <c:pt idx="74">
                  <c:v>0.41291304347826085</c:v>
                </c:pt>
                <c:pt idx="75">
                  <c:v>0.5403809523809523</c:v>
                </c:pt>
                <c:pt idx="76">
                  <c:v>0.29018181818181821</c:v>
                </c:pt>
                <c:pt idx="77">
                  <c:v>0.37252173913043479</c:v>
                </c:pt>
                <c:pt idx="78">
                  <c:v>0.24730000000000002</c:v>
                </c:pt>
                <c:pt idx="79">
                  <c:v>0.39078260869565207</c:v>
                </c:pt>
                <c:pt idx="80">
                  <c:v>0.31690000000000002</c:v>
                </c:pt>
                <c:pt idx="81">
                  <c:v>0.34681818181818186</c:v>
                </c:pt>
                <c:pt idx="82">
                  <c:v>0.28945454545454541</c:v>
                </c:pt>
                <c:pt idx="83">
                  <c:v>0.23281818181818181</c:v>
                </c:pt>
                <c:pt idx="84">
                  <c:v>3.9571428571428584E-2</c:v>
                </c:pt>
                <c:pt idx="85">
                  <c:v>-5.0681818181818168E-2</c:v>
                </c:pt>
                <c:pt idx="86">
                  <c:v>-7.5826086956521752E-2</c:v>
                </c:pt>
                <c:pt idx="87">
                  <c:v>-8.7428571428571439E-2</c:v>
                </c:pt>
                <c:pt idx="88">
                  <c:v>1.2363636363636361E-2</c:v>
                </c:pt>
                <c:pt idx="89">
                  <c:v>0.15845454545454543</c:v>
                </c:pt>
                <c:pt idx="90">
                  <c:v>0.17528571428571432</c:v>
                </c:pt>
                <c:pt idx="91">
                  <c:v>0.21460869565217391</c:v>
                </c:pt>
                <c:pt idx="92">
                  <c:v>0.22628571428571431</c:v>
                </c:pt>
                <c:pt idx="93">
                  <c:v>0.50561904761904763</c:v>
                </c:pt>
                <c:pt idx="94">
                  <c:v>0.59395652173913038</c:v>
                </c:pt>
                <c:pt idx="95">
                  <c:v>0.54814285714285715</c:v>
                </c:pt>
                <c:pt idx="96">
                  <c:v>0.54468181818181827</c:v>
                </c:pt>
                <c:pt idx="97">
                  <c:v>0.67445454545454531</c:v>
                </c:pt>
                <c:pt idx="98">
                  <c:v>0.6637142857142857</c:v>
                </c:pt>
                <c:pt idx="99">
                  <c:v>0.75539130434782609</c:v>
                </c:pt>
                <c:pt idx="100">
                  <c:v>0.82977272727272744</c:v>
                </c:pt>
                <c:pt idx="101">
                  <c:v>0.58161904761904759</c:v>
                </c:pt>
                <c:pt idx="102">
                  <c:v>0.16327272727272726</c:v>
                </c:pt>
                <c:pt idx="103">
                  <c:v>0.25904545454545452</c:v>
                </c:pt>
                <c:pt idx="104">
                  <c:v>0.35045000000000004</c:v>
                </c:pt>
                <c:pt idx="105">
                  <c:v>0.44481818181818172</c:v>
                </c:pt>
                <c:pt idx="106">
                  <c:v>0.64047826086956516</c:v>
                </c:pt>
                <c:pt idx="107">
                  <c:v>0.79255000000000009</c:v>
                </c:pt>
                <c:pt idx="108">
                  <c:v>0.87413043478260877</c:v>
                </c:pt>
                <c:pt idx="109">
                  <c:v>0.99781818181818194</c:v>
                </c:pt>
                <c:pt idx="110">
                  <c:v>1.0141428571428572</c:v>
                </c:pt>
                <c:pt idx="111">
                  <c:v>1.1937391304347824</c:v>
                </c:pt>
                <c:pt idx="112">
                  <c:v>1.3487619047619046</c:v>
                </c:pt>
                <c:pt idx="113">
                  <c:v>1.4032727272727277</c:v>
                </c:pt>
                <c:pt idx="114">
                  <c:v>1.526409090909091</c:v>
                </c:pt>
                <c:pt idx="115">
                  <c:v>1.5887142857142857</c:v>
                </c:pt>
                <c:pt idx="116">
                  <c:v>1.6592500000000001</c:v>
                </c:pt>
                <c:pt idx="117">
                  <c:v>1.7953043478260864</c:v>
                </c:pt>
                <c:pt idx="118">
                  <c:v>1.8516363636363635</c:v>
                </c:pt>
                <c:pt idx="119">
                  <c:v>1.7181428571428572</c:v>
                </c:pt>
                <c:pt idx="120">
                  <c:v>1.807521739130435</c:v>
                </c:pt>
                <c:pt idx="121">
                  <c:v>1.9289999999999994</c:v>
                </c:pt>
                <c:pt idx="122">
                  <c:v>1.8012727272727269</c:v>
                </c:pt>
                <c:pt idx="123">
                  <c:v>1.6253043478260871</c:v>
                </c:pt>
                <c:pt idx="124">
                  <c:v>1.6181000000000001</c:v>
                </c:pt>
                <c:pt idx="125">
                  <c:v>1.3653478260869563</c:v>
                </c:pt>
                <c:pt idx="126">
                  <c:v>1.2500909090909091</c:v>
                </c:pt>
                <c:pt idx="127">
                  <c:v>1.4069523809523812</c:v>
                </c:pt>
                <c:pt idx="128">
                  <c:v>1.5966500000000001</c:v>
                </c:pt>
                <c:pt idx="129">
                  <c:v>1.5621304347826088</c:v>
                </c:pt>
                <c:pt idx="130">
                  <c:v>1.3550952380952381</c:v>
                </c:pt>
                <c:pt idx="131">
                  <c:v>1.3902272727272729</c:v>
                </c:pt>
                <c:pt idx="132">
                  <c:v>1.5142608695652175</c:v>
                </c:pt>
                <c:pt idx="133">
                  <c:v>1.5437000000000001</c:v>
                </c:pt>
                <c:pt idx="134">
                  <c:v>1.4154347826086953</c:v>
                </c:pt>
                <c:pt idx="135">
                  <c:v>1.3049999999999999</c:v>
                </c:pt>
                <c:pt idx="136">
                  <c:v>1.4307619047619047</c:v>
                </c:pt>
                <c:pt idx="137">
                  <c:v>1.4621739130434783</c:v>
                </c:pt>
                <c:pt idx="138">
                  <c:v>1.7255238095238097</c:v>
                </c:pt>
                <c:pt idx="139">
                  <c:v>1.8764545454545456</c:v>
                </c:pt>
                <c:pt idx="140">
                  <c:v>1.9012380952380956</c:v>
                </c:pt>
                <c:pt idx="141">
                  <c:v>1.8584545454545456</c:v>
                </c:pt>
                <c:pt idx="142">
                  <c:v>1.990227272727273</c:v>
                </c:pt>
                <c:pt idx="143">
                  <c:v>1.947045454545455</c:v>
                </c:pt>
                <c:pt idx="144">
                  <c:v>2.0407619047619043</c:v>
                </c:pt>
                <c:pt idx="145">
                  <c:v>1.8655909090909086</c:v>
                </c:pt>
                <c:pt idx="146">
                  <c:v>2.2507391304347824</c:v>
                </c:pt>
                <c:pt idx="147">
                  <c:v>2.783095238095239</c:v>
                </c:pt>
                <c:pt idx="148">
                  <c:v>2.9722727272727272</c:v>
                </c:pt>
                <c:pt idx="149">
                  <c:v>3.1056363636363638</c:v>
                </c:pt>
                <c:pt idx="150">
                  <c:v>3.3458095238095233</c:v>
                </c:pt>
                <c:pt idx="151">
                  <c:v>3.2456956521739135</c:v>
                </c:pt>
                <c:pt idx="152">
                  <c:v>3.2250999999999999</c:v>
                </c:pt>
                <c:pt idx="153">
                  <c:v>3.0490476190476183</c:v>
                </c:pt>
                <c:pt idx="154">
                  <c:v>2.9612608695652178</c:v>
                </c:pt>
                <c:pt idx="155">
                  <c:v>2.5611818181818182</c:v>
                </c:pt>
                <c:pt idx="156">
                  <c:v>2.3724285714285709</c:v>
                </c:pt>
                <c:pt idx="157">
                  <c:v>2.3418636363636365</c:v>
                </c:pt>
                <c:pt idx="158">
                  <c:v>2.3698636363636361</c:v>
                </c:pt>
                <c:pt idx="159">
                  <c:v>2.647727272727272</c:v>
                </c:pt>
                <c:pt idx="160">
                  <c:v>2.6282727272727278</c:v>
                </c:pt>
                <c:pt idx="161">
                  <c:v>2.8016190476190466</c:v>
                </c:pt>
                <c:pt idx="162">
                  <c:v>3.0879999999999992</c:v>
                </c:pt>
                <c:pt idx="163">
                  <c:v>3.1269130434782615</c:v>
                </c:pt>
                <c:pt idx="164">
                  <c:v>3.1864999999999997</c:v>
                </c:pt>
                <c:pt idx="165">
                  <c:v>3.2857619047619049</c:v>
                </c:pt>
              </c:numCache>
            </c:numRef>
          </c:val>
          <c:smooth val="0"/>
          <c:extLst>
            <c:ext xmlns:c16="http://schemas.microsoft.com/office/drawing/2014/chart" uri="{C3380CC4-5D6E-409C-BE32-E72D297353CC}">
              <c16:uniqueId val="{00000001-6E05-40B8-86B1-29E6B651DE57}"/>
            </c:ext>
          </c:extLst>
        </c:ser>
        <c:ser>
          <c:idx val="2"/>
          <c:order val="2"/>
          <c:tx>
            <c:strRef>
              <c:f>Hárok1!$P$2</c:f>
              <c:strCache>
                <c:ptCount val="1"/>
                <c:pt idx="0">
                  <c:v>riziková prirážka na 10-ročný dlhopis SK</c:v>
                </c:pt>
              </c:strCache>
            </c:strRef>
          </c:tx>
          <c:spPr>
            <a:ln w="28575" cap="rnd">
              <a:solidFill>
                <a:srgbClr val="FF0000"/>
              </a:solidFill>
              <a:prstDash val="solid"/>
              <a:round/>
            </a:ln>
            <a:effectLst/>
          </c:spPr>
          <c:marker>
            <c:symbol val="none"/>
          </c:marker>
          <c:cat>
            <c:numRef>
              <c:f>Hárok1!$M$3:$M$168</c:f>
              <c:numCache>
                <c:formatCode>m/d/yyyy</c:formatCode>
                <c:ptCount val="166"/>
                <c:pt idx="0">
                  <c:v>45200</c:v>
                </c:pt>
                <c:pt idx="1">
                  <c:v>45170</c:v>
                </c:pt>
                <c:pt idx="2">
                  <c:v>45139</c:v>
                </c:pt>
                <c:pt idx="3">
                  <c:v>45108</c:v>
                </c:pt>
                <c:pt idx="4">
                  <c:v>45078</c:v>
                </c:pt>
                <c:pt idx="5">
                  <c:v>45047</c:v>
                </c:pt>
                <c:pt idx="6">
                  <c:v>45017</c:v>
                </c:pt>
                <c:pt idx="7">
                  <c:v>44986</c:v>
                </c:pt>
                <c:pt idx="8">
                  <c:v>44958</c:v>
                </c:pt>
                <c:pt idx="9">
                  <c:v>44927</c:v>
                </c:pt>
                <c:pt idx="10">
                  <c:v>44896</c:v>
                </c:pt>
                <c:pt idx="11">
                  <c:v>44866</c:v>
                </c:pt>
                <c:pt idx="12">
                  <c:v>44835</c:v>
                </c:pt>
                <c:pt idx="13">
                  <c:v>44805</c:v>
                </c:pt>
                <c:pt idx="14">
                  <c:v>44774</c:v>
                </c:pt>
                <c:pt idx="15">
                  <c:v>44743</c:v>
                </c:pt>
                <c:pt idx="16">
                  <c:v>44713</c:v>
                </c:pt>
                <c:pt idx="17">
                  <c:v>44682</c:v>
                </c:pt>
                <c:pt idx="18">
                  <c:v>44652</c:v>
                </c:pt>
                <c:pt idx="19">
                  <c:v>44621</c:v>
                </c:pt>
                <c:pt idx="20">
                  <c:v>44593</c:v>
                </c:pt>
                <c:pt idx="21">
                  <c:v>44562</c:v>
                </c:pt>
                <c:pt idx="22">
                  <c:v>44531</c:v>
                </c:pt>
                <c:pt idx="23">
                  <c:v>44501</c:v>
                </c:pt>
                <c:pt idx="24">
                  <c:v>44470</c:v>
                </c:pt>
                <c:pt idx="25">
                  <c:v>44440</c:v>
                </c:pt>
                <c:pt idx="26">
                  <c:v>44409</c:v>
                </c:pt>
                <c:pt idx="27">
                  <c:v>44378</c:v>
                </c:pt>
                <c:pt idx="28">
                  <c:v>44348</c:v>
                </c:pt>
                <c:pt idx="29">
                  <c:v>44317</c:v>
                </c:pt>
                <c:pt idx="30">
                  <c:v>44287</c:v>
                </c:pt>
                <c:pt idx="31">
                  <c:v>44256</c:v>
                </c:pt>
                <c:pt idx="32">
                  <c:v>44228</c:v>
                </c:pt>
                <c:pt idx="33">
                  <c:v>44197</c:v>
                </c:pt>
                <c:pt idx="34">
                  <c:v>44166</c:v>
                </c:pt>
                <c:pt idx="35">
                  <c:v>44136</c:v>
                </c:pt>
                <c:pt idx="36">
                  <c:v>44105</c:v>
                </c:pt>
                <c:pt idx="37">
                  <c:v>44075</c:v>
                </c:pt>
                <c:pt idx="38">
                  <c:v>44044</c:v>
                </c:pt>
                <c:pt idx="39">
                  <c:v>44013</c:v>
                </c:pt>
                <c:pt idx="40">
                  <c:v>43983</c:v>
                </c:pt>
                <c:pt idx="41">
                  <c:v>43952</c:v>
                </c:pt>
                <c:pt idx="42">
                  <c:v>43922</c:v>
                </c:pt>
                <c:pt idx="43">
                  <c:v>43891</c:v>
                </c:pt>
                <c:pt idx="44">
                  <c:v>43862</c:v>
                </c:pt>
                <c:pt idx="45">
                  <c:v>43831</c:v>
                </c:pt>
                <c:pt idx="46">
                  <c:v>43800</c:v>
                </c:pt>
                <c:pt idx="47">
                  <c:v>43770</c:v>
                </c:pt>
                <c:pt idx="48">
                  <c:v>43739</c:v>
                </c:pt>
                <c:pt idx="49">
                  <c:v>43709</c:v>
                </c:pt>
                <c:pt idx="50">
                  <c:v>43678</c:v>
                </c:pt>
                <c:pt idx="51">
                  <c:v>43647</c:v>
                </c:pt>
                <c:pt idx="52">
                  <c:v>43617</c:v>
                </c:pt>
                <c:pt idx="53">
                  <c:v>43586</c:v>
                </c:pt>
                <c:pt idx="54">
                  <c:v>43556</c:v>
                </c:pt>
                <c:pt idx="55">
                  <c:v>43525</c:v>
                </c:pt>
                <c:pt idx="56">
                  <c:v>43497</c:v>
                </c:pt>
                <c:pt idx="57">
                  <c:v>43466</c:v>
                </c:pt>
                <c:pt idx="58">
                  <c:v>43435</c:v>
                </c:pt>
                <c:pt idx="59">
                  <c:v>43405</c:v>
                </c:pt>
                <c:pt idx="60">
                  <c:v>43374</c:v>
                </c:pt>
                <c:pt idx="61">
                  <c:v>43344</c:v>
                </c:pt>
                <c:pt idx="62">
                  <c:v>43313</c:v>
                </c:pt>
                <c:pt idx="63">
                  <c:v>43282</c:v>
                </c:pt>
                <c:pt idx="64">
                  <c:v>43252</c:v>
                </c:pt>
                <c:pt idx="65">
                  <c:v>43221</c:v>
                </c:pt>
                <c:pt idx="66">
                  <c:v>43191</c:v>
                </c:pt>
                <c:pt idx="67">
                  <c:v>43160</c:v>
                </c:pt>
                <c:pt idx="68">
                  <c:v>43132</c:v>
                </c:pt>
                <c:pt idx="69">
                  <c:v>43101</c:v>
                </c:pt>
                <c:pt idx="70">
                  <c:v>43070</c:v>
                </c:pt>
                <c:pt idx="71">
                  <c:v>43040</c:v>
                </c:pt>
                <c:pt idx="72">
                  <c:v>43009</c:v>
                </c:pt>
                <c:pt idx="73">
                  <c:v>42979</c:v>
                </c:pt>
                <c:pt idx="74">
                  <c:v>42948</c:v>
                </c:pt>
                <c:pt idx="75">
                  <c:v>42917</c:v>
                </c:pt>
                <c:pt idx="76">
                  <c:v>42887</c:v>
                </c:pt>
                <c:pt idx="77">
                  <c:v>42856</c:v>
                </c:pt>
                <c:pt idx="78">
                  <c:v>42826</c:v>
                </c:pt>
                <c:pt idx="79">
                  <c:v>42795</c:v>
                </c:pt>
                <c:pt idx="80">
                  <c:v>42767</c:v>
                </c:pt>
                <c:pt idx="81">
                  <c:v>42736</c:v>
                </c:pt>
                <c:pt idx="82">
                  <c:v>42705</c:v>
                </c:pt>
                <c:pt idx="83">
                  <c:v>42675</c:v>
                </c:pt>
                <c:pt idx="84">
                  <c:v>42644</c:v>
                </c:pt>
                <c:pt idx="85">
                  <c:v>42614</c:v>
                </c:pt>
                <c:pt idx="86">
                  <c:v>42583</c:v>
                </c:pt>
                <c:pt idx="87">
                  <c:v>42552</c:v>
                </c:pt>
                <c:pt idx="88">
                  <c:v>42522</c:v>
                </c:pt>
                <c:pt idx="89">
                  <c:v>42491</c:v>
                </c:pt>
                <c:pt idx="90">
                  <c:v>42461</c:v>
                </c:pt>
                <c:pt idx="91">
                  <c:v>42430</c:v>
                </c:pt>
                <c:pt idx="92">
                  <c:v>42401</c:v>
                </c:pt>
                <c:pt idx="93">
                  <c:v>42370</c:v>
                </c:pt>
                <c:pt idx="94">
                  <c:v>42339</c:v>
                </c:pt>
                <c:pt idx="95">
                  <c:v>42309</c:v>
                </c:pt>
                <c:pt idx="96">
                  <c:v>42278</c:v>
                </c:pt>
                <c:pt idx="97">
                  <c:v>42248</c:v>
                </c:pt>
                <c:pt idx="98">
                  <c:v>42217</c:v>
                </c:pt>
                <c:pt idx="99">
                  <c:v>42186</c:v>
                </c:pt>
                <c:pt idx="100">
                  <c:v>42156</c:v>
                </c:pt>
                <c:pt idx="101">
                  <c:v>42125</c:v>
                </c:pt>
                <c:pt idx="102">
                  <c:v>42095</c:v>
                </c:pt>
                <c:pt idx="103">
                  <c:v>42064</c:v>
                </c:pt>
                <c:pt idx="104">
                  <c:v>42036</c:v>
                </c:pt>
                <c:pt idx="105">
                  <c:v>42005</c:v>
                </c:pt>
                <c:pt idx="106">
                  <c:v>41974</c:v>
                </c:pt>
                <c:pt idx="107">
                  <c:v>41944</c:v>
                </c:pt>
                <c:pt idx="108">
                  <c:v>41913</c:v>
                </c:pt>
                <c:pt idx="109">
                  <c:v>41883</c:v>
                </c:pt>
                <c:pt idx="110">
                  <c:v>41852</c:v>
                </c:pt>
                <c:pt idx="111">
                  <c:v>41821</c:v>
                </c:pt>
                <c:pt idx="112">
                  <c:v>41791</c:v>
                </c:pt>
                <c:pt idx="113">
                  <c:v>41760</c:v>
                </c:pt>
                <c:pt idx="114">
                  <c:v>41730</c:v>
                </c:pt>
                <c:pt idx="115">
                  <c:v>41699</c:v>
                </c:pt>
                <c:pt idx="116">
                  <c:v>41671</c:v>
                </c:pt>
                <c:pt idx="117">
                  <c:v>41640</c:v>
                </c:pt>
                <c:pt idx="118">
                  <c:v>41609</c:v>
                </c:pt>
                <c:pt idx="119">
                  <c:v>41579</c:v>
                </c:pt>
                <c:pt idx="120">
                  <c:v>41548</c:v>
                </c:pt>
                <c:pt idx="121">
                  <c:v>41518</c:v>
                </c:pt>
                <c:pt idx="122">
                  <c:v>41487</c:v>
                </c:pt>
                <c:pt idx="123">
                  <c:v>41456</c:v>
                </c:pt>
                <c:pt idx="124">
                  <c:v>41426</c:v>
                </c:pt>
                <c:pt idx="125">
                  <c:v>41395</c:v>
                </c:pt>
                <c:pt idx="126">
                  <c:v>41365</c:v>
                </c:pt>
                <c:pt idx="127">
                  <c:v>41334</c:v>
                </c:pt>
                <c:pt idx="128">
                  <c:v>41306</c:v>
                </c:pt>
                <c:pt idx="129">
                  <c:v>41275</c:v>
                </c:pt>
                <c:pt idx="130">
                  <c:v>41244</c:v>
                </c:pt>
                <c:pt idx="131">
                  <c:v>41214</c:v>
                </c:pt>
                <c:pt idx="132">
                  <c:v>41183</c:v>
                </c:pt>
                <c:pt idx="133">
                  <c:v>41153</c:v>
                </c:pt>
                <c:pt idx="134">
                  <c:v>41122</c:v>
                </c:pt>
                <c:pt idx="135">
                  <c:v>41091</c:v>
                </c:pt>
                <c:pt idx="136">
                  <c:v>41061</c:v>
                </c:pt>
                <c:pt idx="137">
                  <c:v>41030</c:v>
                </c:pt>
                <c:pt idx="138">
                  <c:v>41000</c:v>
                </c:pt>
                <c:pt idx="139">
                  <c:v>40969</c:v>
                </c:pt>
                <c:pt idx="140">
                  <c:v>40940</c:v>
                </c:pt>
                <c:pt idx="141">
                  <c:v>40909</c:v>
                </c:pt>
                <c:pt idx="142">
                  <c:v>40878</c:v>
                </c:pt>
                <c:pt idx="143">
                  <c:v>40848</c:v>
                </c:pt>
                <c:pt idx="144">
                  <c:v>40817</c:v>
                </c:pt>
                <c:pt idx="145">
                  <c:v>40787</c:v>
                </c:pt>
                <c:pt idx="146">
                  <c:v>40756</c:v>
                </c:pt>
                <c:pt idx="147">
                  <c:v>40725</c:v>
                </c:pt>
                <c:pt idx="148">
                  <c:v>40695</c:v>
                </c:pt>
                <c:pt idx="149">
                  <c:v>40664</c:v>
                </c:pt>
                <c:pt idx="150">
                  <c:v>40634</c:v>
                </c:pt>
                <c:pt idx="151">
                  <c:v>40603</c:v>
                </c:pt>
                <c:pt idx="152">
                  <c:v>40575</c:v>
                </c:pt>
                <c:pt idx="153">
                  <c:v>40544</c:v>
                </c:pt>
                <c:pt idx="154">
                  <c:v>40513</c:v>
                </c:pt>
                <c:pt idx="155">
                  <c:v>40483</c:v>
                </c:pt>
                <c:pt idx="156">
                  <c:v>40452</c:v>
                </c:pt>
                <c:pt idx="157">
                  <c:v>40422</c:v>
                </c:pt>
                <c:pt idx="158">
                  <c:v>40391</c:v>
                </c:pt>
                <c:pt idx="159">
                  <c:v>40360</c:v>
                </c:pt>
                <c:pt idx="160">
                  <c:v>40330</c:v>
                </c:pt>
                <c:pt idx="161">
                  <c:v>40299</c:v>
                </c:pt>
                <c:pt idx="162">
                  <c:v>40269</c:v>
                </c:pt>
                <c:pt idx="163">
                  <c:v>40238</c:v>
                </c:pt>
                <c:pt idx="164">
                  <c:v>40210</c:v>
                </c:pt>
                <c:pt idx="165">
                  <c:v>40179</c:v>
                </c:pt>
              </c:numCache>
            </c:numRef>
          </c:cat>
          <c:val>
            <c:numRef>
              <c:f>Hárok1!$P$3:$P$168</c:f>
              <c:numCache>
                <c:formatCode>General</c:formatCode>
                <c:ptCount val="166"/>
                <c:pt idx="0">
                  <c:v>1.2373846153846155</c:v>
                </c:pt>
                <c:pt idx="1">
                  <c:v>1.2092380952380952</c:v>
                </c:pt>
                <c:pt idx="2">
                  <c:v>1.2281739130434783</c:v>
                </c:pt>
                <c:pt idx="3">
                  <c:v>1.2660476190476193</c:v>
                </c:pt>
                <c:pt idx="4">
                  <c:v>1.2795909090909094</c:v>
                </c:pt>
                <c:pt idx="5">
                  <c:v>1.2850869565217395</c:v>
                </c:pt>
                <c:pt idx="6">
                  <c:v>1.27685</c:v>
                </c:pt>
                <c:pt idx="7">
                  <c:v>1.1738260869565218</c:v>
                </c:pt>
                <c:pt idx="8">
                  <c:v>0.95985000000000009</c:v>
                </c:pt>
                <c:pt idx="9">
                  <c:v>1.0212727272727271</c:v>
                </c:pt>
                <c:pt idx="10">
                  <c:v>1.1194545454545457</c:v>
                </c:pt>
                <c:pt idx="11">
                  <c:v>1.3302727272727273</c:v>
                </c:pt>
                <c:pt idx="12">
                  <c:v>1.368047619047619</c:v>
                </c:pt>
                <c:pt idx="13">
                  <c:v>1.071</c:v>
                </c:pt>
                <c:pt idx="14">
                  <c:v>0.97447826086956557</c:v>
                </c:pt>
                <c:pt idx="15">
                  <c:v>0.99457142857142833</c:v>
                </c:pt>
                <c:pt idx="16">
                  <c:v>0.94304545454545452</c:v>
                </c:pt>
                <c:pt idx="17">
                  <c:v>0.87068181818181822</c:v>
                </c:pt>
                <c:pt idx="18">
                  <c:v>0.75700000000000001</c:v>
                </c:pt>
                <c:pt idx="19">
                  <c:v>0.63947826086956527</c:v>
                </c:pt>
                <c:pt idx="20">
                  <c:v>0.50100000000000011</c:v>
                </c:pt>
                <c:pt idx="21">
                  <c:v>0.30719047619047624</c:v>
                </c:pt>
                <c:pt idx="22">
                  <c:v>0.31004347826086959</c:v>
                </c:pt>
                <c:pt idx="23">
                  <c:v>0.30086363636363633</c:v>
                </c:pt>
                <c:pt idx="24">
                  <c:v>0.30604761904761901</c:v>
                </c:pt>
                <c:pt idx="25">
                  <c:v>0.31909090909090915</c:v>
                </c:pt>
                <c:pt idx="26">
                  <c:v>0.33422727272727265</c:v>
                </c:pt>
                <c:pt idx="27">
                  <c:v>0.33218181818181808</c:v>
                </c:pt>
                <c:pt idx="28">
                  <c:v>0.37222727272727274</c:v>
                </c:pt>
                <c:pt idx="29">
                  <c:v>0.25661904761904764</c:v>
                </c:pt>
                <c:pt idx="30">
                  <c:v>0.16799999999999998</c:v>
                </c:pt>
                <c:pt idx="31">
                  <c:v>0.19521739130434779</c:v>
                </c:pt>
                <c:pt idx="32">
                  <c:v>0.11975000000000005</c:v>
                </c:pt>
                <c:pt idx="33">
                  <c:v>4.9761904761904778E-2</c:v>
                </c:pt>
                <c:pt idx="34">
                  <c:v>5.5260869565217356E-2</c:v>
                </c:pt>
                <c:pt idx="35">
                  <c:v>0.19985714285714282</c:v>
                </c:pt>
                <c:pt idx="36">
                  <c:v>0.29890909090909096</c:v>
                </c:pt>
                <c:pt idx="37">
                  <c:v>0.2339545454545455</c:v>
                </c:pt>
                <c:pt idx="38">
                  <c:v>0.25414285714285711</c:v>
                </c:pt>
                <c:pt idx="39">
                  <c:v>0.32265217391304352</c:v>
                </c:pt>
                <c:pt idx="40">
                  <c:v>0.45322727272727265</c:v>
                </c:pt>
                <c:pt idx="41">
                  <c:v>1.0883333333333336</c:v>
                </c:pt>
                <c:pt idx="42">
                  <c:v>1.1237272727272727</c:v>
                </c:pt>
                <c:pt idx="43">
                  <c:v>0.74213636363636371</c:v>
                </c:pt>
                <c:pt idx="44">
                  <c:v>0.4279</c:v>
                </c:pt>
                <c:pt idx="45">
                  <c:v>0.3955652173913044</c:v>
                </c:pt>
                <c:pt idx="46">
                  <c:v>0.40899999999999986</c:v>
                </c:pt>
                <c:pt idx="47">
                  <c:v>0.42028571428571421</c:v>
                </c:pt>
                <c:pt idx="48">
                  <c:v>0.39234782608695656</c:v>
                </c:pt>
                <c:pt idx="49">
                  <c:v>0.23233333333333331</c:v>
                </c:pt>
                <c:pt idx="50">
                  <c:v>0.29668181818181816</c:v>
                </c:pt>
                <c:pt idx="51">
                  <c:v>0.37834782608695644</c:v>
                </c:pt>
                <c:pt idx="52">
                  <c:v>0.51899999999999991</c:v>
                </c:pt>
                <c:pt idx="53">
                  <c:v>0.53991304347826097</c:v>
                </c:pt>
                <c:pt idx="54">
                  <c:v>0.55259090909090913</c:v>
                </c:pt>
                <c:pt idx="55">
                  <c:v>0.62238095238095237</c:v>
                </c:pt>
                <c:pt idx="56">
                  <c:v>0.64859999999999995</c:v>
                </c:pt>
                <c:pt idx="57">
                  <c:v>0.57269565217391305</c:v>
                </c:pt>
                <c:pt idx="58">
                  <c:v>0.59447619047619038</c:v>
                </c:pt>
                <c:pt idx="59">
                  <c:v>0.56490909090909092</c:v>
                </c:pt>
                <c:pt idx="60">
                  <c:v>0.53952173913043477</c:v>
                </c:pt>
                <c:pt idx="61">
                  <c:v>0.41355000000000003</c:v>
                </c:pt>
                <c:pt idx="62">
                  <c:v>0.42952173913043484</c:v>
                </c:pt>
                <c:pt idx="63">
                  <c:v>0.48804545454545445</c:v>
                </c:pt>
                <c:pt idx="64">
                  <c:v>0.49923809523809515</c:v>
                </c:pt>
                <c:pt idx="65">
                  <c:v>0.30304347826086953</c:v>
                </c:pt>
                <c:pt idx="66">
                  <c:v>0.27328571428571424</c:v>
                </c:pt>
                <c:pt idx="67">
                  <c:v>0.23409090909090907</c:v>
                </c:pt>
                <c:pt idx="68">
                  <c:v>9.6899999999999945E-2</c:v>
                </c:pt>
                <c:pt idx="69">
                  <c:v>0.26678260869565218</c:v>
                </c:pt>
                <c:pt idx="70">
                  <c:v>0.46571428571428569</c:v>
                </c:pt>
                <c:pt idx="71">
                  <c:v>0.45318181818181813</c:v>
                </c:pt>
                <c:pt idx="72">
                  <c:v>0.39954545454545459</c:v>
                </c:pt>
                <c:pt idx="73">
                  <c:v>0.42014285714285715</c:v>
                </c:pt>
                <c:pt idx="74">
                  <c:v>0.41230434782608699</c:v>
                </c:pt>
                <c:pt idx="75">
                  <c:v>0.43461904761904757</c:v>
                </c:pt>
                <c:pt idx="76">
                  <c:v>0.59977272727272724</c:v>
                </c:pt>
                <c:pt idx="77">
                  <c:v>0.64213043478260867</c:v>
                </c:pt>
                <c:pt idx="78">
                  <c:v>0.78784999999999994</c:v>
                </c:pt>
                <c:pt idx="79">
                  <c:v>0.74747826086956526</c:v>
                </c:pt>
                <c:pt idx="80">
                  <c:v>0.73740000000000006</c:v>
                </c:pt>
                <c:pt idx="81">
                  <c:v>0.66804545454545461</c:v>
                </c:pt>
                <c:pt idx="82">
                  <c:v>0.7070909090909091</c:v>
                </c:pt>
                <c:pt idx="83">
                  <c:v>0.54500000000000004</c:v>
                </c:pt>
                <c:pt idx="84">
                  <c:v>0.39114285714285707</c:v>
                </c:pt>
                <c:pt idx="85">
                  <c:v>0.36045454545454542</c:v>
                </c:pt>
                <c:pt idx="86">
                  <c:v>0.35482608695652179</c:v>
                </c:pt>
                <c:pt idx="87">
                  <c:v>0.5352380952380954</c:v>
                </c:pt>
                <c:pt idx="88">
                  <c:v>0.7178181818181818</c:v>
                </c:pt>
                <c:pt idx="89">
                  <c:v>0.3752727272727272</c:v>
                </c:pt>
                <c:pt idx="90">
                  <c:v>0.20433333333333331</c:v>
                </c:pt>
                <c:pt idx="91">
                  <c:v>0.20130434782608692</c:v>
                </c:pt>
                <c:pt idx="92">
                  <c:v>0.26623809523809522</c:v>
                </c:pt>
                <c:pt idx="93">
                  <c:v>0.18461904761904765</c:v>
                </c:pt>
                <c:pt idx="94">
                  <c:v>0.11469565217391302</c:v>
                </c:pt>
                <c:pt idx="95">
                  <c:v>0.15385714285714289</c:v>
                </c:pt>
                <c:pt idx="96">
                  <c:v>0.18331818181818182</c:v>
                </c:pt>
                <c:pt idx="97">
                  <c:v>0.20172727272727276</c:v>
                </c:pt>
                <c:pt idx="98">
                  <c:v>0.25738095238095238</c:v>
                </c:pt>
                <c:pt idx="99">
                  <c:v>0.38578260869565212</c:v>
                </c:pt>
                <c:pt idx="100">
                  <c:v>0.40386363636363637</c:v>
                </c:pt>
                <c:pt idx="101">
                  <c:v>0.20666666666666669</c:v>
                </c:pt>
                <c:pt idx="102">
                  <c:v>0.26804545454545453</c:v>
                </c:pt>
                <c:pt idx="103">
                  <c:v>0.31531818181818178</c:v>
                </c:pt>
                <c:pt idx="104">
                  <c:v>0.44144999999999995</c:v>
                </c:pt>
                <c:pt idx="105">
                  <c:v>0.48249999999999998</c:v>
                </c:pt>
                <c:pt idx="106">
                  <c:v>0.53969565217391313</c:v>
                </c:pt>
                <c:pt idx="107">
                  <c:v>0.60024999999999995</c:v>
                </c:pt>
                <c:pt idx="108">
                  <c:v>0.52478260869565219</c:v>
                </c:pt>
                <c:pt idx="109">
                  <c:v>0.57409090909090921</c:v>
                </c:pt>
                <c:pt idx="110">
                  <c:v>0.82085714285714295</c:v>
                </c:pt>
                <c:pt idx="111">
                  <c:v>0.76852173913043487</c:v>
                </c:pt>
                <c:pt idx="112">
                  <c:v>0.74509523809523825</c:v>
                </c:pt>
                <c:pt idx="113">
                  <c:v>0.86518181818181827</c:v>
                </c:pt>
                <c:pt idx="114">
                  <c:v>0.8106363636363636</c:v>
                </c:pt>
                <c:pt idx="115">
                  <c:v>0.61938095238095225</c:v>
                </c:pt>
                <c:pt idx="116">
                  <c:v>0.74535000000000007</c:v>
                </c:pt>
                <c:pt idx="117">
                  <c:v>0.73613043478260876</c:v>
                </c:pt>
                <c:pt idx="118">
                  <c:v>0.6883636363636364</c:v>
                </c:pt>
                <c:pt idx="119">
                  <c:v>0.83547619047619037</c:v>
                </c:pt>
                <c:pt idx="120">
                  <c:v>0.86534782608695648</c:v>
                </c:pt>
                <c:pt idx="121">
                  <c:v>0.80371428571428571</c:v>
                </c:pt>
                <c:pt idx="122">
                  <c:v>0.8448181818181818</c:v>
                </c:pt>
                <c:pt idx="123">
                  <c:v>0.99178260869565216</c:v>
                </c:pt>
                <c:pt idx="124">
                  <c:v>0.91430000000000022</c:v>
                </c:pt>
                <c:pt idx="125">
                  <c:v>1.0835217391304348</c:v>
                </c:pt>
                <c:pt idx="126">
                  <c:v>1.5264090909090908</c:v>
                </c:pt>
                <c:pt idx="127">
                  <c:v>1.3397142857142856</c:v>
                </c:pt>
                <c:pt idx="128">
                  <c:v>0.59720000000000006</c:v>
                </c:pt>
                <c:pt idx="129">
                  <c:v>0.59130434782608698</c:v>
                </c:pt>
                <c:pt idx="130">
                  <c:v>0.87042857142857144</c:v>
                </c:pt>
                <c:pt idx="131">
                  <c:v>0.98804545454545467</c:v>
                </c:pt>
                <c:pt idx="132">
                  <c:v>1.0213913043478262</c:v>
                </c:pt>
                <c:pt idx="133">
                  <c:v>1.2748499999999996</c:v>
                </c:pt>
                <c:pt idx="134">
                  <c:v>1.7028695652173915</c:v>
                </c:pt>
                <c:pt idx="135">
                  <c:v>2.0428636363636365</c:v>
                </c:pt>
                <c:pt idx="136">
                  <c:v>2.1137142857142854</c:v>
                </c:pt>
                <c:pt idx="137">
                  <c:v>2.1610434782608698</c:v>
                </c:pt>
                <c:pt idx="138">
                  <c:v>1.9879047619047616</c:v>
                </c:pt>
                <c:pt idx="139">
                  <c:v>2.0134545454545449</c:v>
                </c:pt>
                <c:pt idx="140">
                  <c:v>2.565952380952381</c:v>
                </c:pt>
                <c:pt idx="141">
                  <c:v>2.8646818181818179</c:v>
                </c:pt>
                <c:pt idx="142">
                  <c:v>2.7849090909090912</c:v>
                </c:pt>
                <c:pt idx="143">
                  <c:v>2.307136363636364</c:v>
                </c:pt>
                <c:pt idx="144">
                  <c:v>1.896333333333333</c:v>
                </c:pt>
                <c:pt idx="145">
                  <c:v>2.007545454545455</c:v>
                </c:pt>
                <c:pt idx="146">
                  <c:v>1.805391304347826</c:v>
                </c:pt>
                <c:pt idx="147">
                  <c:v>1.4070476190476191</c:v>
                </c:pt>
                <c:pt idx="148">
                  <c:v>1.2287272727272724</c:v>
                </c:pt>
                <c:pt idx="149">
                  <c:v>1.1534999999999997</c:v>
                </c:pt>
                <c:pt idx="150">
                  <c:v>0.97661904761904783</c:v>
                </c:pt>
                <c:pt idx="151">
                  <c:v>0.91630434782608661</c:v>
                </c:pt>
                <c:pt idx="152">
                  <c:v>1.0076500000000002</c:v>
                </c:pt>
                <c:pt idx="153">
                  <c:v>1.1746190476190475</c:v>
                </c:pt>
                <c:pt idx="154">
                  <c:v>1.2112608695652176</c:v>
                </c:pt>
                <c:pt idx="155">
                  <c:v>1.3019545454545456</c:v>
                </c:pt>
                <c:pt idx="156">
                  <c:v>1.3358571428571426</c:v>
                </c:pt>
                <c:pt idx="157">
                  <c:v>1.3279545454545454</c:v>
                </c:pt>
                <c:pt idx="158">
                  <c:v>1.2891818181818184</c:v>
                </c:pt>
                <c:pt idx="159">
                  <c:v>1.2728181818181818</c:v>
                </c:pt>
                <c:pt idx="160">
                  <c:v>1.3210909090909089</c:v>
                </c:pt>
                <c:pt idx="161">
                  <c:v>1.1449523809523809</c:v>
                </c:pt>
                <c:pt idx="162">
                  <c:v>0.85659090909090918</c:v>
                </c:pt>
                <c:pt idx="163">
                  <c:v>0.88121739130434784</c:v>
                </c:pt>
                <c:pt idx="164">
                  <c:v>0.86515000000000009</c:v>
                </c:pt>
                <c:pt idx="165">
                  <c:v>0.79600000000000026</c:v>
                </c:pt>
              </c:numCache>
            </c:numRef>
          </c:val>
          <c:smooth val="0"/>
          <c:extLst>
            <c:ext xmlns:c16="http://schemas.microsoft.com/office/drawing/2014/chart" uri="{C3380CC4-5D6E-409C-BE32-E72D297353CC}">
              <c16:uniqueId val="{00000002-6E05-40B8-86B1-29E6B651DE57}"/>
            </c:ext>
          </c:extLst>
        </c:ser>
        <c:ser>
          <c:idx val="3"/>
          <c:order val="3"/>
          <c:tx>
            <c:strRef>
              <c:f>Hárok1!$Q$2</c:f>
              <c:strCache>
                <c:ptCount val="1"/>
                <c:pt idx="0">
                  <c:v>10-ročný výnos SK</c:v>
                </c:pt>
              </c:strCache>
            </c:strRef>
          </c:tx>
          <c:spPr>
            <a:ln w="28575" cap="rnd">
              <a:solidFill>
                <a:schemeClr val="tx1"/>
              </a:solidFill>
              <a:round/>
            </a:ln>
            <a:effectLst/>
          </c:spPr>
          <c:marker>
            <c:symbol val="none"/>
          </c:marker>
          <c:cat>
            <c:numRef>
              <c:f>Hárok1!$M$3:$M$168</c:f>
              <c:numCache>
                <c:formatCode>m/d/yyyy</c:formatCode>
                <c:ptCount val="166"/>
                <c:pt idx="0">
                  <c:v>45200</c:v>
                </c:pt>
                <c:pt idx="1">
                  <c:v>45170</c:v>
                </c:pt>
                <c:pt idx="2">
                  <c:v>45139</c:v>
                </c:pt>
                <c:pt idx="3">
                  <c:v>45108</c:v>
                </c:pt>
                <c:pt idx="4">
                  <c:v>45078</c:v>
                </c:pt>
                <c:pt idx="5">
                  <c:v>45047</c:v>
                </c:pt>
                <c:pt idx="6">
                  <c:v>45017</c:v>
                </c:pt>
                <c:pt idx="7">
                  <c:v>44986</c:v>
                </c:pt>
                <c:pt idx="8">
                  <c:v>44958</c:v>
                </c:pt>
                <c:pt idx="9">
                  <c:v>44927</c:v>
                </c:pt>
                <c:pt idx="10">
                  <c:v>44896</c:v>
                </c:pt>
                <c:pt idx="11">
                  <c:v>44866</c:v>
                </c:pt>
                <c:pt idx="12">
                  <c:v>44835</c:v>
                </c:pt>
                <c:pt idx="13">
                  <c:v>44805</c:v>
                </c:pt>
                <c:pt idx="14">
                  <c:v>44774</c:v>
                </c:pt>
                <c:pt idx="15">
                  <c:v>44743</c:v>
                </c:pt>
                <c:pt idx="16">
                  <c:v>44713</c:v>
                </c:pt>
                <c:pt idx="17">
                  <c:v>44682</c:v>
                </c:pt>
                <c:pt idx="18">
                  <c:v>44652</c:v>
                </c:pt>
                <c:pt idx="19">
                  <c:v>44621</c:v>
                </c:pt>
                <c:pt idx="20">
                  <c:v>44593</c:v>
                </c:pt>
                <c:pt idx="21">
                  <c:v>44562</c:v>
                </c:pt>
                <c:pt idx="22">
                  <c:v>44531</c:v>
                </c:pt>
                <c:pt idx="23">
                  <c:v>44501</c:v>
                </c:pt>
                <c:pt idx="24">
                  <c:v>44470</c:v>
                </c:pt>
                <c:pt idx="25">
                  <c:v>44440</c:v>
                </c:pt>
                <c:pt idx="26">
                  <c:v>44409</c:v>
                </c:pt>
                <c:pt idx="27">
                  <c:v>44378</c:v>
                </c:pt>
                <c:pt idx="28">
                  <c:v>44348</c:v>
                </c:pt>
                <c:pt idx="29">
                  <c:v>44317</c:v>
                </c:pt>
                <c:pt idx="30">
                  <c:v>44287</c:v>
                </c:pt>
                <c:pt idx="31">
                  <c:v>44256</c:v>
                </c:pt>
                <c:pt idx="32">
                  <c:v>44228</c:v>
                </c:pt>
                <c:pt idx="33">
                  <c:v>44197</c:v>
                </c:pt>
                <c:pt idx="34">
                  <c:v>44166</c:v>
                </c:pt>
                <c:pt idx="35">
                  <c:v>44136</c:v>
                </c:pt>
                <c:pt idx="36">
                  <c:v>44105</c:v>
                </c:pt>
                <c:pt idx="37">
                  <c:v>44075</c:v>
                </c:pt>
                <c:pt idx="38">
                  <c:v>44044</c:v>
                </c:pt>
                <c:pt idx="39">
                  <c:v>44013</c:v>
                </c:pt>
                <c:pt idx="40">
                  <c:v>43983</c:v>
                </c:pt>
                <c:pt idx="41">
                  <c:v>43952</c:v>
                </c:pt>
                <c:pt idx="42">
                  <c:v>43922</c:v>
                </c:pt>
                <c:pt idx="43">
                  <c:v>43891</c:v>
                </c:pt>
                <c:pt idx="44">
                  <c:v>43862</c:v>
                </c:pt>
                <c:pt idx="45">
                  <c:v>43831</c:v>
                </c:pt>
                <c:pt idx="46">
                  <c:v>43800</c:v>
                </c:pt>
                <c:pt idx="47">
                  <c:v>43770</c:v>
                </c:pt>
                <c:pt idx="48">
                  <c:v>43739</c:v>
                </c:pt>
                <c:pt idx="49">
                  <c:v>43709</c:v>
                </c:pt>
                <c:pt idx="50">
                  <c:v>43678</c:v>
                </c:pt>
                <c:pt idx="51">
                  <c:v>43647</c:v>
                </c:pt>
                <c:pt idx="52">
                  <c:v>43617</c:v>
                </c:pt>
                <c:pt idx="53">
                  <c:v>43586</c:v>
                </c:pt>
                <c:pt idx="54">
                  <c:v>43556</c:v>
                </c:pt>
                <c:pt idx="55">
                  <c:v>43525</c:v>
                </c:pt>
                <c:pt idx="56">
                  <c:v>43497</c:v>
                </c:pt>
                <c:pt idx="57">
                  <c:v>43466</c:v>
                </c:pt>
                <c:pt idx="58">
                  <c:v>43435</c:v>
                </c:pt>
                <c:pt idx="59">
                  <c:v>43405</c:v>
                </c:pt>
                <c:pt idx="60">
                  <c:v>43374</c:v>
                </c:pt>
                <c:pt idx="61">
                  <c:v>43344</c:v>
                </c:pt>
                <c:pt idx="62">
                  <c:v>43313</c:v>
                </c:pt>
                <c:pt idx="63">
                  <c:v>43282</c:v>
                </c:pt>
                <c:pt idx="64">
                  <c:v>43252</c:v>
                </c:pt>
                <c:pt idx="65">
                  <c:v>43221</c:v>
                </c:pt>
                <c:pt idx="66">
                  <c:v>43191</c:v>
                </c:pt>
                <c:pt idx="67">
                  <c:v>43160</c:v>
                </c:pt>
                <c:pt idx="68">
                  <c:v>43132</c:v>
                </c:pt>
                <c:pt idx="69">
                  <c:v>43101</c:v>
                </c:pt>
                <c:pt idx="70">
                  <c:v>43070</c:v>
                </c:pt>
                <c:pt idx="71">
                  <c:v>43040</c:v>
                </c:pt>
                <c:pt idx="72">
                  <c:v>43009</c:v>
                </c:pt>
                <c:pt idx="73">
                  <c:v>42979</c:v>
                </c:pt>
                <c:pt idx="74">
                  <c:v>42948</c:v>
                </c:pt>
                <c:pt idx="75">
                  <c:v>42917</c:v>
                </c:pt>
                <c:pt idx="76">
                  <c:v>42887</c:v>
                </c:pt>
                <c:pt idx="77">
                  <c:v>42856</c:v>
                </c:pt>
                <c:pt idx="78">
                  <c:v>42826</c:v>
                </c:pt>
                <c:pt idx="79">
                  <c:v>42795</c:v>
                </c:pt>
                <c:pt idx="80">
                  <c:v>42767</c:v>
                </c:pt>
                <c:pt idx="81">
                  <c:v>42736</c:v>
                </c:pt>
                <c:pt idx="82">
                  <c:v>42705</c:v>
                </c:pt>
                <c:pt idx="83">
                  <c:v>42675</c:v>
                </c:pt>
                <c:pt idx="84">
                  <c:v>42644</c:v>
                </c:pt>
                <c:pt idx="85">
                  <c:v>42614</c:v>
                </c:pt>
                <c:pt idx="86">
                  <c:v>42583</c:v>
                </c:pt>
                <c:pt idx="87">
                  <c:v>42552</c:v>
                </c:pt>
                <c:pt idx="88">
                  <c:v>42522</c:v>
                </c:pt>
                <c:pt idx="89">
                  <c:v>42491</c:v>
                </c:pt>
                <c:pt idx="90">
                  <c:v>42461</c:v>
                </c:pt>
                <c:pt idx="91">
                  <c:v>42430</c:v>
                </c:pt>
                <c:pt idx="92">
                  <c:v>42401</c:v>
                </c:pt>
                <c:pt idx="93">
                  <c:v>42370</c:v>
                </c:pt>
                <c:pt idx="94">
                  <c:v>42339</c:v>
                </c:pt>
                <c:pt idx="95">
                  <c:v>42309</c:v>
                </c:pt>
                <c:pt idx="96">
                  <c:v>42278</c:v>
                </c:pt>
                <c:pt idx="97">
                  <c:v>42248</c:v>
                </c:pt>
                <c:pt idx="98">
                  <c:v>42217</c:v>
                </c:pt>
                <c:pt idx="99">
                  <c:v>42186</c:v>
                </c:pt>
                <c:pt idx="100">
                  <c:v>42156</c:v>
                </c:pt>
                <c:pt idx="101">
                  <c:v>42125</c:v>
                </c:pt>
                <c:pt idx="102">
                  <c:v>42095</c:v>
                </c:pt>
                <c:pt idx="103">
                  <c:v>42064</c:v>
                </c:pt>
                <c:pt idx="104">
                  <c:v>42036</c:v>
                </c:pt>
                <c:pt idx="105">
                  <c:v>42005</c:v>
                </c:pt>
                <c:pt idx="106">
                  <c:v>41974</c:v>
                </c:pt>
                <c:pt idx="107">
                  <c:v>41944</c:v>
                </c:pt>
                <c:pt idx="108">
                  <c:v>41913</c:v>
                </c:pt>
                <c:pt idx="109">
                  <c:v>41883</c:v>
                </c:pt>
                <c:pt idx="110">
                  <c:v>41852</c:v>
                </c:pt>
                <c:pt idx="111">
                  <c:v>41821</c:v>
                </c:pt>
                <c:pt idx="112">
                  <c:v>41791</c:v>
                </c:pt>
                <c:pt idx="113">
                  <c:v>41760</c:v>
                </c:pt>
                <c:pt idx="114">
                  <c:v>41730</c:v>
                </c:pt>
                <c:pt idx="115">
                  <c:v>41699</c:v>
                </c:pt>
                <c:pt idx="116">
                  <c:v>41671</c:v>
                </c:pt>
                <c:pt idx="117">
                  <c:v>41640</c:v>
                </c:pt>
                <c:pt idx="118">
                  <c:v>41609</c:v>
                </c:pt>
                <c:pt idx="119">
                  <c:v>41579</c:v>
                </c:pt>
                <c:pt idx="120">
                  <c:v>41548</c:v>
                </c:pt>
                <c:pt idx="121">
                  <c:v>41518</c:v>
                </c:pt>
                <c:pt idx="122">
                  <c:v>41487</c:v>
                </c:pt>
                <c:pt idx="123">
                  <c:v>41456</c:v>
                </c:pt>
                <c:pt idx="124">
                  <c:v>41426</c:v>
                </c:pt>
                <c:pt idx="125">
                  <c:v>41395</c:v>
                </c:pt>
                <c:pt idx="126">
                  <c:v>41365</c:v>
                </c:pt>
                <c:pt idx="127">
                  <c:v>41334</c:v>
                </c:pt>
                <c:pt idx="128">
                  <c:v>41306</c:v>
                </c:pt>
                <c:pt idx="129">
                  <c:v>41275</c:v>
                </c:pt>
                <c:pt idx="130">
                  <c:v>41244</c:v>
                </c:pt>
                <c:pt idx="131">
                  <c:v>41214</c:v>
                </c:pt>
                <c:pt idx="132">
                  <c:v>41183</c:v>
                </c:pt>
                <c:pt idx="133">
                  <c:v>41153</c:v>
                </c:pt>
                <c:pt idx="134">
                  <c:v>41122</c:v>
                </c:pt>
                <c:pt idx="135">
                  <c:v>41091</c:v>
                </c:pt>
                <c:pt idx="136">
                  <c:v>41061</c:v>
                </c:pt>
                <c:pt idx="137">
                  <c:v>41030</c:v>
                </c:pt>
                <c:pt idx="138">
                  <c:v>41000</c:v>
                </c:pt>
                <c:pt idx="139">
                  <c:v>40969</c:v>
                </c:pt>
                <c:pt idx="140">
                  <c:v>40940</c:v>
                </c:pt>
                <c:pt idx="141">
                  <c:v>40909</c:v>
                </c:pt>
                <c:pt idx="142">
                  <c:v>40878</c:v>
                </c:pt>
                <c:pt idx="143">
                  <c:v>40848</c:v>
                </c:pt>
                <c:pt idx="144">
                  <c:v>40817</c:v>
                </c:pt>
                <c:pt idx="145">
                  <c:v>40787</c:v>
                </c:pt>
                <c:pt idx="146">
                  <c:v>40756</c:v>
                </c:pt>
                <c:pt idx="147">
                  <c:v>40725</c:v>
                </c:pt>
                <c:pt idx="148">
                  <c:v>40695</c:v>
                </c:pt>
                <c:pt idx="149">
                  <c:v>40664</c:v>
                </c:pt>
                <c:pt idx="150">
                  <c:v>40634</c:v>
                </c:pt>
                <c:pt idx="151">
                  <c:v>40603</c:v>
                </c:pt>
                <c:pt idx="152">
                  <c:v>40575</c:v>
                </c:pt>
                <c:pt idx="153">
                  <c:v>40544</c:v>
                </c:pt>
                <c:pt idx="154">
                  <c:v>40513</c:v>
                </c:pt>
                <c:pt idx="155">
                  <c:v>40483</c:v>
                </c:pt>
                <c:pt idx="156">
                  <c:v>40452</c:v>
                </c:pt>
                <c:pt idx="157">
                  <c:v>40422</c:v>
                </c:pt>
                <c:pt idx="158">
                  <c:v>40391</c:v>
                </c:pt>
                <c:pt idx="159">
                  <c:v>40360</c:v>
                </c:pt>
                <c:pt idx="160">
                  <c:v>40330</c:v>
                </c:pt>
                <c:pt idx="161">
                  <c:v>40299</c:v>
                </c:pt>
                <c:pt idx="162">
                  <c:v>40269</c:v>
                </c:pt>
                <c:pt idx="163">
                  <c:v>40238</c:v>
                </c:pt>
                <c:pt idx="164">
                  <c:v>40210</c:v>
                </c:pt>
                <c:pt idx="165">
                  <c:v>40179</c:v>
                </c:pt>
              </c:numCache>
            </c:numRef>
          </c:cat>
          <c:val>
            <c:numRef>
              <c:f>Hárok1!$Q$3:$Q$168</c:f>
              <c:numCache>
                <c:formatCode>General</c:formatCode>
                <c:ptCount val="166"/>
                <c:pt idx="0">
                  <c:v>4.0764615384615386</c:v>
                </c:pt>
                <c:pt idx="1">
                  <c:v>3.9049047619047608</c:v>
                </c:pt>
                <c:pt idx="2">
                  <c:v>3.8033478260869553</c:v>
                </c:pt>
                <c:pt idx="3">
                  <c:v>3.7644285714285712</c:v>
                </c:pt>
                <c:pt idx="4">
                  <c:v>3.6762727272727265</c:v>
                </c:pt>
                <c:pt idx="5">
                  <c:v>3.6371739130434784</c:v>
                </c:pt>
                <c:pt idx="6">
                  <c:v>3.6330499999999999</c:v>
                </c:pt>
                <c:pt idx="7">
                  <c:v>3.569521739130435</c:v>
                </c:pt>
                <c:pt idx="8">
                  <c:v>3.3661499999999998</c:v>
                </c:pt>
                <c:pt idx="9">
                  <c:v>3.2351363636363639</c:v>
                </c:pt>
                <c:pt idx="10">
                  <c:v>3.2479999999999993</c:v>
                </c:pt>
                <c:pt idx="11">
                  <c:v>3.4007727272727277</c:v>
                </c:pt>
                <c:pt idx="12">
                  <c:v>3.566904761904762</c:v>
                </c:pt>
                <c:pt idx="13">
                  <c:v>2.8978181818181818</c:v>
                </c:pt>
                <c:pt idx="14">
                  <c:v>2.0774782608695657</c:v>
                </c:pt>
                <c:pt idx="15">
                  <c:v>2.1329523809523812</c:v>
                </c:pt>
                <c:pt idx="16">
                  <c:v>2.4429999999999996</c:v>
                </c:pt>
                <c:pt idx="17">
                  <c:v>1.8649090909090906</c:v>
                </c:pt>
                <c:pt idx="18">
                  <c:v>1.5444285714285715</c:v>
                </c:pt>
                <c:pt idx="19">
                  <c:v>0.96491304347826079</c:v>
                </c:pt>
                <c:pt idx="20">
                  <c:v>0.70944999999999991</c:v>
                </c:pt>
                <c:pt idx="21">
                  <c:v>0.24880952380952384</c:v>
                </c:pt>
                <c:pt idx="22">
                  <c:v>-5.9565217391304376E-3</c:v>
                </c:pt>
                <c:pt idx="23">
                  <c:v>4.6454545454545457E-2</c:v>
                </c:pt>
                <c:pt idx="24">
                  <c:v>0.15833333333333333</c:v>
                </c:pt>
                <c:pt idx="25">
                  <c:v>1.5136363636363635E-2</c:v>
                </c:pt>
                <c:pt idx="26">
                  <c:v>-0.12931818181818183</c:v>
                </c:pt>
                <c:pt idx="27">
                  <c:v>-1.7272727272727269E-2</c:v>
                </c:pt>
                <c:pt idx="28">
                  <c:v>0.16572727272727272</c:v>
                </c:pt>
                <c:pt idx="29">
                  <c:v>9.0047619047619001E-2</c:v>
                </c:pt>
                <c:pt idx="30">
                  <c:v>-0.10827272727272724</c:v>
                </c:pt>
                <c:pt idx="31">
                  <c:v>-0.12204347826086959</c:v>
                </c:pt>
                <c:pt idx="32">
                  <c:v>-0.27064999999999995</c:v>
                </c:pt>
                <c:pt idx="33">
                  <c:v>-0.48352380952380952</c:v>
                </c:pt>
                <c:pt idx="34">
                  <c:v>-0.52117391304347838</c:v>
                </c:pt>
                <c:pt idx="35">
                  <c:v>-0.37314285714285711</c:v>
                </c:pt>
                <c:pt idx="36">
                  <c:v>-0.27454545454545465</c:v>
                </c:pt>
                <c:pt idx="37">
                  <c:v>-0.25677272727272737</c:v>
                </c:pt>
                <c:pt idx="38">
                  <c:v>-0.2160476190476191</c:v>
                </c:pt>
                <c:pt idx="39">
                  <c:v>-0.14026086956521738</c:v>
                </c:pt>
                <c:pt idx="40">
                  <c:v>4.9954545454545453E-2</c:v>
                </c:pt>
                <c:pt idx="41">
                  <c:v>0.58528571428571419</c:v>
                </c:pt>
                <c:pt idx="42">
                  <c:v>0.69177272727272732</c:v>
                </c:pt>
                <c:pt idx="43">
                  <c:v>0.22209090909090906</c:v>
                </c:pt>
                <c:pt idx="44">
                  <c:v>-7.1999999999999937E-3</c:v>
                </c:pt>
                <c:pt idx="45">
                  <c:v>0.12765217391304348</c:v>
                </c:pt>
                <c:pt idx="46">
                  <c:v>0.13827272727272727</c:v>
                </c:pt>
                <c:pt idx="47">
                  <c:v>9.1333333333333322E-2</c:v>
                </c:pt>
                <c:pt idx="48">
                  <c:v>-5.6347826086956515E-2</c:v>
                </c:pt>
                <c:pt idx="49">
                  <c:v>-0.3385238095238095</c:v>
                </c:pt>
                <c:pt idx="50">
                  <c:v>-0.33045454545454539</c:v>
                </c:pt>
                <c:pt idx="51">
                  <c:v>3.7347826086956526E-2</c:v>
                </c:pt>
                <c:pt idx="52">
                  <c:v>0.25000000000000006</c:v>
                </c:pt>
                <c:pt idx="53">
                  <c:v>0.45752173913043476</c:v>
                </c:pt>
                <c:pt idx="54">
                  <c:v>0.56218181818181823</c:v>
                </c:pt>
                <c:pt idx="55">
                  <c:v>0.67599999999999993</c:v>
                </c:pt>
                <c:pt idx="56">
                  <c:v>0.77495000000000025</c:v>
                </c:pt>
                <c:pt idx="57">
                  <c:v>0.78760869565217395</c:v>
                </c:pt>
                <c:pt idx="58">
                  <c:v>0.84528571428571431</c:v>
                </c:pt>
                <c:pt idx="59">
                  <c:v>0.94713636363636367</c:v>
                </c:pt>
                <c:pt idx="60">
                  <c:v>0.99847826086956537</c:v>
                </c:pt>
                <c:pt idx="61">
                  <c:v>0.85544999999999993</c:v>
                </c:pt>
                <c:pt idx="62">
                  <c:v>0.78852173913043488</c:v>
                </c:pt>
                <c:pt idx="63">
                  <c:v>0.84190909090909083</c:v>
                </c:pt>
                <c:pt idx="64">
                  <c:v>0.89195238095238083</c:v>
                </c:pt>
                <c:pt idx="65">
                  <c:v>0.81600000000000017</c:v>
                </c:pt>
                <c:pt idx="66">
                  <c:v>0.81600000000000028</c:v>
                </c:pt>
                <c:pt idx="67">
                  <c:v>0.81600000000000028</c:v>
                </c:pt>
                <c:pt idx="68">
                  <c:v>0.81600000000000039</c:v>
                </c:pt>
                <c:pt idx="69">
                  <c:v>0.81600000000000017</c:v>
                </c:pt>
                <c:pt idx="70">
                  <c:v>0.81600000000000028</c:v>
                </c:pt>
                <c:pt idx="71">
                  <c:v>0.81600000000000028</c:v>
                </c:pt>
                <c:pt idx="72">
                  <c:v>0.82413636363636367</c:v>
                </c:pt>
                <c:pt idx="73">
                  <c:v>0.82300000000000006</c:v>
                </c:pt>
                <c:pt idx="74">
                  <c:v>0.82521739130434779</c:v>
                </c:pt>
                <c:pt idx="75">
                  <c:v>0.97500000000000009</c:v>
                </c:pt>
                <c:pt idx="76">
                  <c:v>0.88995454545454544</c:v>
                </c:pt>
                <c:pt idx="77">
                  <c:v>1.0146521739130436</c:v>
                </c:pt>
                <c:pt idx="78">
                  <c:v>1.03515</c:v>
                </c:pt>
                <c:pt idx="79">
                  <c:v>1.1382608695652174</c:v>
                </c:pt>
                <c:pt idx="80">
                  <c:v>1.0543</c:v>
                </c:pt>
                <c:pt idx="81">
                  <c:v>1.0148636363636365</c:v>
                </c:pt>
                <c:pt idx="82">
                  <c:v>0.99654545454545473</c:v>
                </c:pt>
                <c:pt idx="83">
                  <c:v>0.77781818181818174</c:v>
                </c:pt>
                <c:pt idx="84">
                  <c:v>0.43071428571428572</c:v>
                </c:pt>
                <c:pt idx="85">
                  <c:v>0.30977272727272726</c:v>
                </c:pt>
                <c:pt idx="86">
                  <c:v>0.27899999999999997</c:v>
                </c:pt>
                <c:pt idx="87">
                  <c:v>0.44780952380952382</c:v>
                </c:pt>
                <c:pt idx="88">
                  <c:v>0.73018181818181815</c:v>
                </c:pt>
                <c:pt idx="89">
                  <c:v>0.53372727272727272</c:v>
                </c:pt>
                <c:pt idx="90">
                  <c:v>0.37961904761904758</c:v>
                </c:pt>
                <c:pt idx="91">
                  <c:v>0.41591304347826091</c:v>
                </c:pt>
                <c:pt idx="92">
                  <c:v>0.49252380952380953</c:v>
                </c:pt>
                <c:pt idx="93">
                  <c:v>0.69023809523809532</c:v>
                </c:pt>
                <c:pt idx="94">
                  <c:v>0.70865217391304347</c:v>
                </c:pt>
                <c:pt idx="95">
                  <c:v>0.70199999999999985</c:v>
                </c:pt>
                <c:pt idx="96">
                  <c:v>0.72800000000000009</c:v>
                </c:pt>
                <c:pt idx="97">
                  <c:v>0.87618181818181817</c:v>
                </c:pt>
                <c:pt idx="98">
                  <c:v>0.92109523809523808</c:v>
                </c:pt>
                <c:pt idx="99">
                  <c:v>1.1411739130434781</c:v>
                </c:pt>
                <c:pt idx="100">
                  <c:v>1.2336363636363639</c:v>
                </c:pt>
                <c:pt idx="101">
                  <c:v>0.78828571428571426</c:v>
                </c:pt>
                <c:pt idx="102">
                  <c:v>0.43131818181818188</c:v>
                </c:pt>
                <c:pt idx="103">
                  <c:v>0.57436363636363641</c:v>
                </c:pt>
                <c:pt idx="104">
                  <c:v>0.79190000000000027</c:v>
                </c:pt>
                <c:pt idx="105">
                  <c:v>0.92731818181818193</c:v>
                </c:pt>
                <c:pt idx="106">
                  <c:v>1.1801739130434783</c:v>
                </c:pt>
                <c:pt idx="107">
                  <c:v>1.3928</c:v>
                </c:pt>
                <c:pt idx="108">
                  <c:v>1.3989130434782611</c:v>
                </c:pt>
                <c:pt idx="109">
                  <c:v>1.5719090909090914</c:v>
                </c:pt>
                <c:pt idx="110">
                  <c:v>1.8349999999999995</c:v>
                </c:pt>
                <c:pt idx="111">
                  <c:v>1.9622608695652175</c:v>
                </c:pt>
                <c:pt idx="112">
                  <c:v>2.0938571428571429</c:v>
                </c:pt>
                <c:pt idx="113">
                  <c:v>2.2684545454545457</c:v>
                </c:pt>
                <c:pt idx="114">
                  <c:v>2.337045454545454</c:v>
                </c:pt>
                <c:pt idx="115">
                  <c:v>2.2080952380952379</c:v>
                </c:pt>
                <c:pt idx="116">
                  <c:v>2.4046000000000003</c:v>
                </c:pt>
                <c:pt idx="117">
                  <c:v>2.5314347826086965</c:v>
                </c:pt>
                <c:pt idx="118">
                  <c:v>2.5399999999999996</c:v>
                </c:pt>
                <c:pt idx="119">
                  <c:v>2.5536190476190477</c:v>
                </c:pt>
                <c:pt idx="120">
                  <c:v>2.6728695652173911</c:v>
                </c:pt>
                <c:pt idx="121">
                  <c:v>2.7327142857142852</c:v>
                </c:pt>
                <c:pt idx="122">
                  <c:v>2.6460909090909093</c:v>
                </c:pt>
                <c:pt idx="123">
                  <c:v>2.6170869565217392</c:v>
                </c:pt>
                <c:pt idx="124">
                  <c:v>2.5324</c:v>
                </c:pt>
                <c:pt idx="125">
                  <c:v>2.4488695652173917</c:v>
                </c:pt>
                <c:pt idx="126">
                  <c:v>2.7765</c:v>
                </c:pt>
                <c:pt idx="127">
                  <c:v>2.7466666666666666</c:v>
                </c:pt>
                <c:pt idx="128">
                  <c:v>2.1938499999999999</c:v>
                </c:pt>
                <c:pt idx="129">
                  <c:v>2.1534347826086959</c:v>
                </c:pt>
                <c:pt idx="130">
                  <c:v>2.2255238095238101</c:v>
                </c:pt>
                <c:pt idx="131">
                  <c:v>2.3782727272727269</c:v>
                </c:pt>
                <c:pt idx="132">
                  <c:v>2.5356521739130438</c:v>
                </c:pt>
                <c:pt idx="133">
                  <c:v>2.8185500000000006</c:v>
                </c:pt>
                <c:pt idx="134">
                  <c:v>3.1183043478260877</c:v>
                </c:pt>
                <c:pt idx="135">
                  <c:v>3.3478636363636358</c:v>
                </c:pt>
                <c:pt idx="136">
                  <c:v>3.5444761904761903</c:v>
                </c:pt>
                <c:pt idx="137">
                  <c:v>3.6232173913043479</c:v>
                </c:pt>
                <c:pt idx="138">
                  <c:v>3.7134285714285715</c:v>
                </c:pt>
                <c:pt idx="139">
                  <c:v>3.8899090909090903</c:v>
                </c:pt>
                <c:pt idx="140">
                  <c:v>4.4671904761904759</c:v>
                </c:pt>
                <c:pt idx="141">
                  <c:v>4.7231363636363639</c:v>
                </c:pt>
                <c:pt idx="142">
                  <c:v>4.7751363636363635</c:v>
                </c:pt>
                <c:pt idx="143">
                  <c:v>4.2541818181818183</c:v>
                </c:pt>
                <c:pt idx="144">
                  <c:v>3.9370952380952375</c:v>
                </c:pt>
                <c:pt idx="145">
                  <c:v>3.8731363636363638</c:v>
                </c:pt>
                <c:pt idx="146">
                  <c:v>4.0561304347826086</c:v>
                </c:pt>
                <c:pt idx="147">
                  <c:v>4.1901428571428578</c:v>
                </c:pt>
                <c:pt idx="148">
                  <c:v>4.2009999999999996</c:v>
                </c:pt>
                <c:pt idx="149">
                  <c:v>4.2591363636363644</c:v>
                </c:pt>
                <c:pt idx="150">
                  <c:v>4.3224285714285724</c:v>
                </c:pt>
                <c:pt idx="151">
                  <c:v>4.1620000000000017</c:v>
                </c:pt>
                <c:pt idx="152">
                  <c:v>4.2327500000000011</c:v>
                </c:pt>
                <c:pt idx="153">
                  <c:v>4.2236666666666665</c:v>
                </c:pt>
                <c:pt idx="154">
                  <c:v>4.1725217391304348</c:v>
                </c:pt>
                <c:pt idx="155">
                  <c:v>3.863136363636364</c:v>
                </c:pt>
                <c:pt idx="156">
                  <c:v>3.7082857142857142</c:v>
                </c:pt>
                <c:pt idx="157">
                  <c:v>3.6698181818181821</c:v>
                </c:pt>
                <c:pt idx="158">
                  <c:v>3.6590454545454545</c:v>
                </c:pt>
                <c:pt idx="159">
                  <c:v>3.9205454545454548</c:v>
                </c:pt>
                <c:pt idx="160">
                  <c:v>3.9493636363636369</c:v>
                </c:pt>
                <c:pt idx="161">
                  <c:v>3.9465714285714291</c:v>
                </c:pt>
                <c:pt idx="162">
                  <c:v>3.9445909090909086</c:v>
                </c:pt>
                <c:pt idx="163">
                  <c:v>4.0081304347826094</c:v>
                </c:pt>
                <c:pt idx="164">
                  <c:v>4.0516500000000004</c:v>
                </c:pt>
                <c:pt idx="165">
                  <c:v>4.0817619047619056</c:v>
                </c:pt>
              </c:numCache>
            </c:numRef>
          </c:val>
          <c:smooth val="0"/>
          <c:extLst>
            <c:ext xmlns:c16="http://schemas.microsoft.com/office/drawing/2014/chart" uri="{C3380CC4-5D6E-409C-BE32-E72D297353CC}">
              <c16:uniqueId val="{00000003-6E05-40B8-86B1-29E6B651DE57}"/>
            </c:ext>
          </c:extLst>
        </c:ser>
        <c:dLbls>
          <c:showLegendKey val="0"/>
          <c:showVal val="0"/>
          <c:showCatName val="0"/>
          <c:showSerName val="0"/>
          <c:showPercent val="0"/>
          <c:showBubbleSize val="0"/>
        </c:dLbls>
        <c:smooth val="0"/>
        <c:axId val="532032480"/>
        <c:axId val="532033464"/>
      </c:lineChart>
      <c:dateAx>
        <c:axId val="532032480"/>
        <c:scaling>
          <c:orientation val="minMax"/>
          <c:max val="44926"/>
          <c:min val="41365"/>
        </c:scaling>
        <c:delete val="0"/>
        <c:axPos val="b"/>
        <c:numFmt formatCode="m/yy" sourceLinked="0"/>
        <c:majorTickMark val="none"/>
        <c:minorTickMark val="none"/>
        <c:tickLblPos val="low"/>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532033464"/>
        <c:crosses val="autoZero"/>
        <c:auto val="1"/>
        <c:lblOffset val="100"/>
        <c:baseTimeUnit val="months"/>
        <c:majorUnit val="4"/>
        <c:majorTimeUnit val="months"/>
      </c:dateAx>
      <c:valAx>
        <c:axId val="532033464"/>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crossAx val="532032480"/>
        <c:crosses val="autoZero"/>
        <c:crossBetween val="between"/>
      </c:valAx>
      <c:spPr>
        <a:noFill/>
        <a:ln>
          <a:noFill/>
        </a:ln>
        <a:effectLst/>
      </c:spPr>
    </c:plotArea>
    <c:legend>
      <c:legendPos val="b"/>
      <c:layout>
        <c:manualLayout>
          <c:xMode val="edge"/>
          <c:yMode val="edge"/>
          <c:x val="4.6658340357585849E-2"/>
          <c:y val="0.84220199579013022"/>
          <c:w val="0.91321073442843148"/>
          <c:h val="0.133045528962345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sk-SK"/>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327779487841445E-2"/>
          <c:y val="3.9664312691273282E-2"/>
          <c:w val="0.9350760613162632"/>
          <c:h val="0.85126681370924429"/>
        </c:manualLayout>
      </c:layout>
      <c:barChart>
        <c:barDir val="col"/>
        <c:grouping val="stacked"/>
        <c:varyColors val="0"/>
        <c:ser>
          <c:idx val="1"/>
          <c:order val="0"/>
          <c:tx>
            <c:strRef>
              <c:f>Hárok1!$H$18</c:f>
              <c:strCache>
                <c:ptCount val="1"/>
                <c:pt idx="0">
                  <c:v>Dôchodkový systém</c:v>
                </c:pt>
              </c:strCache>
            </c:strRef>
          </c:tx>
          <c:spPr>
            <a:solidFill>
              <a:srgbClr val="002060"/>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Hárok1!$H$32:$H$42</c:f>
              <c:numCache>
                <c:formatCode>0.0</c:formatCode>
                <c:ptCount val="11"/>
                <c:pt idx="0">
                  <c:v>-17.964865302040533</c:v>
                </c:pt>
                <c:pt idx="1">
                  <c:v>-17.956374082065008</c:v>
                </c:pt>
                <c:pt idx="2">
                  <c:v>-9.2822619766779635</c:v>
                </c:pt>
                <c:pt idx="3">
                  <c:v>-8.8398316241333763</c:v>
                </c:pt>
                <c:pt idx="4">
                  <c:v>-6.9430863294205896</c:v>
                </c:pt>
                <c:pt idx="5">
                  <c:v>9.0734920816827884</c:v>
                </c:pt>
                <c:pt idx="6">
                  <c:v>5.1347066084756809</c:v>
                </c:pt>
                <c:pt idx="7">
                  <c:v>-66.020146423130484</c:v>
                </c:pt>
                <c:pt idx="8">
                  <c:v>-222.331106265193</c:v>
                </c:pt>
                <c:pt idx="9">
                  <c:v>-225.14209094887542</c:v>
                </c:pt>
                <c:pt idx="10">
                  <c:v>-195.74274923768309</c:v>
                </c:pt>
              </c:numCache>
            </c:numRef>
          </c:val>
          <c:extLst>
            <c:ext xmlns:c16="http://schemas.microsoft.com/office/drawing/2014/chart" uri="{C3380CC4-5D6E-409C-BE32-E72D297353CC}">
              <c16:uniqueId val="{00000000-8D85-460C-A870-41F63FEBB573}"/>
            </c:ext>
          </c:extLst>
        </c:ser>
        <c:ser>
          <c:idx val="2"/>
          <c:order val="1"/>
          <c:tx>
            <c:strRef>
              <c:f>Hárok1!$I$18</c:f>
              <c:strCache>
                <c:ptCount val="1"/>
                <c:pt idx="0">
                  <c:v>Zdravotníctvo</c:v>
                </c:pt>
              </c:strCache>
            </c:strRef>
          </c:tx>
          <c:spPr>
            <a:solidFill>
              <a:srgbClr val="369ADC"/>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Hárok1!$I$32:$I$42</c:f>
              <c:numCache>
                <c:formatCode>0.0</c:formatCode>
                <c:ptCount val="11"/>
                <c:pt idx="0">
                  <c:v>-59.2051335199574</c:v>
                </c:pt>
                <c:pt idx="1">
                  <c:v>-54.829589010915861</c:v>
                </c:pt>
                <c:pt idx="2">
                  <c:v>-47.826762451700546</c:v>
                </c:pt>
                <c:pt idx="3">
                  <c:v>-40.169021833139325</c:v>
                </c:pt>
                <c:pt idx="4">
                  <c:v>-27.4538249304921</c:v>
                </c:pt>
                <c:pt idx="5">
                  <c:v>-28.412226380673456</c:v>
                </c:pt>
                <c:pt idx="6">
                  <c:v>-29.827820739622513</c:v>
                </c:pt>
                <c:pt idx="7">
                  <c:v>-30.243401270719982</c:v>
                </c:pt>
                <c:pt idx="8">
                  <c:v>-87.843415078884107</c:v>
                </c:pt>
                <c:pt idx="9">
                  <c:v>-109.65130407111975</c:v>
                </c:pt>
                <c:pt idx="10">
                  <c:v>-87.97486850433333</c:v>
                </c:pt>
              </c:numCache>
            </c:numRef>
          </c:val>
          <c:extLst>
            <c:ext xmlns:c16="http://schemas.microsoft.com/office/drawing/2014/chart" uri="{C3380CC4-5D6E-409C-BE32-E72D297353CC}">
              <c16:uniqueId val="{00000001-8D85-460C-A870-41F63FEBB573}"/>
            </c:ext>
          </c:extLst>
        </c:ser>
        <c:ser>
          <c:idx val="3"/>
          <c:order val="2"/>
          <c:tx>
            <c:strRef>
              <c:f>Hárok1!$J$18</c:f>
              <c:strCache>
                <c:ptCount val="1"/>
                <c:pt idx="0">
                  <c:v>Dlhodobá starostlivosť</c:v>
                </c:pt>
              </c:strCache>
            </c:strRef>
          </c:tx>
          <c:spPr>
            <a:solidFill>
              <a:schemeClr val="accent5">
                <a:lumMod val="40000"/>
                <a:lumOff val="60000"/>
              </a:schemeClr>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Hárok1!$J$32:$J$42</c:f>
              <c:numCache>
                <c:formatCode>0.0</c:formatCode>
                <c:ptCount val="11"/>
                <c:pt idx="0">
                  <c:v>-5.6952475165154839</c:v>
                </c:pt>
                <c:pt idx="1">
                  <c:v>-5.6910380517259815</c:v>
                </c:pt>
                <c:pt idx="2">
                  <c:v>-7.3086848720784356</c:v>
                </c:pt>
                <c:pt idx="3">
                  <c:v>-6.5226979379525565</c:v>
                </c:pt>
                <c:pt idx="4">
                  <c:v>-5.7221438961813726</c:v>
                </c:pt>
                <c:pt idx="5">
                  <c:v>-12.972550661256605</c:v>
                </c:pt>
                <c:pt idx="6">
                  <c:v>-15.424589112775704</c:v>
                </c:pt>
                <c:pt idx="7">
                  <c:v>-14.250197379183849</c:v>
                </c:pt>
                <c:pt idx="8">
                  <c:v>-61.905742275398197</c:v>
                </c:pt>
                <c:pt idx="9">
                  <c:v>-71.130645171864984</c:v>
                </c:pt>
                <c:pt idx="10">
                  <c:v>-65.209746763743709</c:v>
                </c:pt>
              </c:numCache>
            </c:numRef>
          </c:val>
          <c:extLst>
            <c:ext xmlns:c16="http://schemas.microsoft.com/office/drawing/2014/chart" uri="{C3380CC4-5D6E-409C-BE32-E72D297353CC}">
              <c16:uniqueId val="{00000002-8D85-460C-A870-41F63FEBB573}"/>
            </c:ext>
          </c:extLst>
        </c:ser>
        <c:ser>
          <c:idx val="4"/>
          <c:order val="3"/>
          <c:tx>
            <c:strRef>
              <c:f>Hárok1!$K$18</c:f>
              <c:strCache>
                <c:ptCount val="1"/>
                <c:pt idx="0">
                  <c:v>Poistenie v nezamestnanosti</c:v>
                </c:pt>
              </c:strCache>
            </c:strRef>
          </c:tx>
          <c:spPr>
            <a:solidFill>
              <a:srgbClr val="00CC99"/>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Hárok1!$K$32:$K$42</c:f>
              <c:numCache>
                <c:formatCode>0.0</c:formatCode>
                <c:ptCount val="11"/>
                <c:pt idx="0">
                  <c:v>1.8272771924428444</c:v>
                </c:pt>
                <c:pt idx="1">
                  <c:v>2.1406298815536822</c:v>
                </c:pt>
                <c:pt idx="2">
                  <c:v>3.0693683934867084</c:v>
                </c:pt>
                <c:pt idx="3">
                  <c:v>2.6949308233938138</c:v>
                </c:pt>
                <c:pt idx="4">
                  <c:v>2.5431709621269132</c:v>
                </c:pt>
                <c:pt idx="5">
                  <c:v>0.39996666943253045</c:v>
                </c:pt>
                <c:pt idx="6">
                  <c:v>-5.8203740453038888E-2</c:v>
                </c:pt>
                <c:pt idx="7">
                  <c:v>8.094354897021927E-2</c:v>
                </c:pt>
                <c:pt idx="8">
                  <c:v>-1.6164522220617199</c:v>
                </c:pt>
                <c:pt idx="9">
                  <c:v>-1.1378581095016826</c:v>
                </c:pt>
                <c:pt idx="10">
                  <c:v>-1.263390190649244</c:v>
                </c:pt>
              </c:numCache>
            </c:numRef>
          </c:val>
          <c:extLst>
            <c:ext xmlns:c16="http://schemas.microsoft.com/office/drawing/2014/chart" uri="{C3380CC4-5D6E-409C-BE32-E72D297353CC}">
              <c16:uniqueId val="{00000003-8D85-460C-A870-41F63FEBB573}"/>
            </c:ext>
          </c:extLst>
        </c:ser>
        <c:ser>
          <c:idx val="5"/>
          <c:order val="4"/>
          <c:tx>
            <c:strRef>
              <c:f>Hárok1!$L$18</c:f>
              <c:strCache>
                <c:ptCount val="1"/>
                <c:pt idx="0">
                  <c:v>Školstvo</c:v>
                </c:pt>
              </c:strCache>
            </c:strRef>
          </c:tx>
          <c:spPr>
            <a:solidFill>
              <a:srgbClr val="4472C4">
                <a:lumMod val="60000"/>
                <a:lumOff val="40000"/>
              </a:srgbClr>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Hárok1!$L$32:$L$42</c:f>
              <c:numCache>
                <c:formatCode>0.0</c:formatCode>
                <c:ptCount val="11"/>
                <c:pt idx="0">
                  <c:v>9.535124209111757</c:v>
                </c:pt>
                <c:pt idx="1">
                  <c:v>9.5275672876009345</c:v>
                </c:pt>
                <c:pt idx="2">
                  <c:v>11.185873359824683</c:v>
                </c:pt>
                <c:pt idx="3">
                  <c:v>9.49176931710487</c:v>
                </c:pt>
                <c:pt idx="4">
                  <c:v>9.311836414573694</c:v>
                </c:pt>
                <c:pt idx="5">
                  <c:v>1.7120660206367599</c:v>
                </c:pt>
                <c:pt idx="6">
                  <c:v>-1.4546979867157139</c:v>
                </c:pt>
                <c:pt idx="7">
                  <c:v>-3.0132376524172999</c:v>
                </c:pt>
                <c:pt idx="8">
                  <c:v>-18.089125486566601</c:v>
                </c:pt>
                <c:pt idx="9">
                  <c:v>-23.640477124198789</c:v>
                </c:pt>
                <c:pt idx="10">
                  <c:v>-13.282667571889517</c:v>
                </c:pt>
              </c:numCache>
            </c:numRef>
          </c:val>
          <c:extLst>
            <c:ext xmlns:c16="http://schemas.microsoft.com/office/drawing/2014/chart" uri="{C3380CC4-5D6E-409C-BE32-E72D297353CC}">
              <c16:uniqueId val="{00000004-8D85-460C-A870-41F63FEBB573}"/>
            </c:ext>
          </c:extLst>
        </c:ser>
        <c:ser>
          <c:idx val="6"/>
          <c:order val="5"/>
          <c:tx>
            <c:strRef>
              <c:f>Hárok1!$M$18</c:f>
              <c:strCache>
                <c:ptCount val="1"/>
                <c:pt idx="0">
                  <c:v>PPP projekty</c:v>
                </c:pt>
              </c:strCache>
            </c:strRef>
          </c:tx>
          <c:spPr>
            <a:solidFill>
              <a:schemeClr val="bg1">
                <a:lumMod val="50000"/>
              </a:schemeClr>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Hárok1!$M$32:$M$42</c:f>
              <c:numCache>
                <c:formatCode>0.0</c:formatCode>
                <c:ptCount val="11"/>
                <c:pt idx="0">
                  <c:v>-2.9922562069103704</c:v>
                </c:pt>
                <c:pt idx="1">
                  <c:v>-2.8763043553223757</c:v>
                </c:pt>
                <c:pt idx="2">
                  <c:v>-2.8106949280194504</c:v>
                </c:pt>
                <c:pt idx="3">
                  <c:v>-2.6746437733440782</c:v>
                </c:pt>
                <c:pt idx="4">
                  <c:v>-3.7620315648930522</c:v>
                </c:pt>
                <c:pt idx="5">
                  <c:v>-3.3125684879946062</c:v>
                </c:pt>
                <c:pt idx="6">
                  <c:v>-3.7789111672970264</c:v>
                </c:pt>
                <c:pt idx="7">
                  <c:v>-3.5999999999999996</c:v>
                </c:pt>
                <c:pt idx="8">
                  <c:v>-4.3978641409326604</c:v>
                </c:pt>
                <c:pt idx="9">
                  <c:v>-3.8832059199127134</c:v>
                </c:pt>
                <c:pt idx="10">
                  <c:v>-3.3908620357594677</c:v>
                </c:pt>
              </c:numCache>
            </c:numRef>
          </c:val>
          <c:extLst>
            <c:ext xmlns:c16="http://schemas.microsoft.com/office/drawing/2014/chart" uri="{C3380CC4-5D6E-409C-BE32-E72D297353CC}">
              <c16:uniqueId val="{00000005-8D85-460C-A870-41F63FEBB573}"/>
            </c:ext>
          </c:extLst>
        </c:ser>
        <c:ser>
          <c:idx val="7"/>
          <c:order val="6"/>
          <c:tx>
            <c:strRef>
              <c:f>Hárok1!$N$18</c:f>
              <c:strCache>
                <c:ptCount val="1"/>
                <c:pt idx="0">
                  <c:v>Schéma financovania jadrových zariadení</c:v>
                </c:pt>
              </c:strCache>
            </c:strRef>
          </c:tx>
          <c:spPr>
            <a:solidFill>
              <a:schemeClr val="bg1">
                <a:lumMod val="75000"/>
              </a:schemeClr>
            </a:solidFill>
            <a:ln>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Hárok1!$N$32:$N$42</c:f>
              <c:numCache>
                <c:formatCode>0.0</c:formatCode>
                <c:ptCount val="11"/>
                <c:pt idx="1">
                  <c:v>3.6816809596650706</c:v>
                </c:pt>
                <c:pt idx="2">
                  <c:v>3.2584666971140415</c:v>
                </c:pt>
                <c:pt idx="3">
                  <c:v>3.1307335102994287</c:v>
                </c:pt>
                <c:pt idx="4">
                  <c:v>3.0636250479538578</c:v>
                </c:pt>
                <c:pt idx="5">
                  <c:v>2.8629333612815739</c:v>
                </c:pt>
                <c:pt idx="6">
                  <c:v>2.9110517702295677</c:v>
                </c:pt>
                <c:pt idx="7">
                  <c:v>4.4006964724384217</c:v>
                </c:pt>
                <c:pt idx="8">
                  <c:v>5.64627166428272</c:v>
                </c:pt>
                <c:pt idx="9">
                  <c:v>4.9112688327054537</c:v>
                </c:pt>
                <c:pt idx="10">
                  <c:v>4.3180833722508378</c:v>
                </c:pt>
              </c:numCache>
            </c:numRef>
          </c:val>
          <c:extLst>
            <c:ext xmlns:c16="http://schemas.microsoft.com/office/drawing/2014/chart" uri="{C3380CC4-5D6E-409C-BE32-E72D297353CC}">
              <c16:uniqueId val="{00000006-8D85-460C-A870-41F63FEBB573}"/>
            </c:ext>
          </c:extLst>
        </c:ser>
        <c:ser>
          <c:idx val="8"/>
          <c:order val="8"/>
          <c:tx>
            <c:strRef>
              <c:f>Hárok1!$O$31</c:f>
              <c:strCache>
                <c:ptCount val="1"/>
                <c:pt idx="0">
                  <c:v>NGEU</c:v>
                </c:pt>
              </c:strCache>
            </c:strRef>
          </c:tx>
          <c:spPr>
            <a:solidFill>
              <a:schemeClr val="accent3">
                <a:lumMod val="60000"/>
              </a:schemeClr>
            </a:solidFill>
            <a:ln w="25400">
              <a:noFill/>
            </a:ln>
            <a:effectLst/>
          </c:spPr>
          <c:invertIfNegative val="0"/>
          <c:cat>
            <c:numRef>
              <c:f>Hárok1!$F$32:$F$42</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Hárok1!$O$32:$O$42</c:f>
              <c:numCache>
                <c:formatCode>General</c:formatCode>
                <c:ptCount val="11"/>
                <c:pt idx="8" formatCode="0.0">
                  <c:v>-4.1667781549307401</c:v>
                </c:pt>
                <c:pt idx="9" formatCode="0.0">
                  <c:v>-3.8601182275032118</c:v>
                </c:pt>
                <c:pt idx="10" formatCode="0.0">
                  <c:v>-3.4839834492965438</c:v>
                </c:pt>
              </c:numCache>
            </c:numRef>
          </c:val>
          <c:extLst>
            <c:ext xmlns:c16="http://schemas.microsoft.com/office/drawing/2014/chart" uri="{C3380CC4-5D6E-409C-BE32-E72D297353CC}">
              <c16:uniqueId val="{00000007-8D85-460C-A870-41F63FEBB573}"/>
            </c:ext>
          </c:extLst>
        </c:ser>
        <c:dLbls>
          <c:showLegendKey val="0"/>
          <c:showVal val="0"/>
          <c:showCatName val="0"/>
          <c:showSerName val="0"/>
          <c:showPercent val="0"/>
          <c:showBubbleSize val="0"/>
        </c:dLbls>
        <c:gapWidth val="150"/>
        <c:overlap val="100"/>
        <c:axId val="164587416"/>
        <c:axId val="164571216"/>
      </c:barChart>
      <c:lineChart>
        <c:grouping val="standard"/>
        <c:varyColors val="0"/>
        <c:ser>
          <c:idx val="0"/>
          <c:order val="7"/>
          <c:tx>
            <c:strRef>
              <c:f>Hárok1!$G$31</c:f>
              <c:strCache>
                <c:ptCount val="1"/>
                <c:pt idx="0">
                  <c:v>Implicitné záväzky</c:v>
                </c:pt>
              </c:strCache>
            </c:strRef>
          </c:tx>
          <c:spPr>
            <a:ln w="28575" cap="rnd">
              <a:noFill/>
              <a:round/>
            </a:ln>
            <a:effectLst/>
          </c:spPr>
          <c:marker>
            <c:symbol val="circle"/>
            <c:size val="9"/>
            <c:spPr>
              <a:solidFill>
                <a:schemeClr val="tx1"/>
              </a:solidFill>
              <a:ln w="9525">
                <a:no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Hárok1!$G$32:$G$42</c:f>
              <c:numCache>
                <c:formatCode>0.0</c:formatCode>
                <c:ptCount val="11"/>
                <c:pt idx="0">
                  <c:v>-74.495101143869192</c:v>
                </c:pt>
                <c:pt idx="1">
                  <c:v>-66.003427371209739</c:v>
                </c:pt>
                <c:pt idx="2">
                  <c:v>-49.714695778050981</c:v>
                </c:pt>
                <c:pt idx="3">
                  <c:v>-42.888761517771123</c:v>
                </c:pt>
                <c:pt idx="4">
                  <c:v>-28.962454296332819</c:v>
                </c:pt>
                <c:pt idx="5">
                  <c:v>-30.648887396891254</c:v>
                </c:pt>
                <c:pt idx="6">
                  <c:v>-42.498464368158452</c:v>
                </c:pt>
                <c:pt idx="7">
                  <c:v>-112.64534270404289</c:v>
                </c:pt>
                <c:pt idx="8">
                  <c:v>-394.70421195968498</c:v>
                </c:pt>
                <c:pt idx="9">
                  <c:v>-433.53443074027132</c:v>
                </c:pt>
                <c:pt idx="10">
                  <c:v>-366.03018438110371</c:v>
                </c:pt>
              </c:numCache>
            </c:numRef>
          </c:val>
          <c:smooth val="0"/>
          <c:extLst>
            <c:ext xmlns:c16="http://schemas.microsoft.com/office/drawing/2014/chart" uri="{C3380CC4-5D6E-409C-BE32-E72D297353CC}">
              <c16:uniqueId val="{00000008-8D85-460C-A870-41F63FEBB573}"/>
            </c:ext>
          </c:extLst>
        </c:ser>
        <c:dLbls>
          <c:showLegendKey val="0"/>
          <c:showVal val="0"/>
          <c:showCatName val="0"/>
          <c:showSerName val="0"/>
          <c:showPercent val="0"/>
          <c:showBubbleSize val="0"/>
        </c:dLbls>
        <c:marker val="1"/>
        <c:smooth val="0"/>
        <c:axId val="164587416"/>
        <c:axId val="164571216"/>
      </c:lineChart>
      <c:catAx>
        <c:axId val="164587416"/>
        <c:scaling>
          <c:orientation val="minMax"/>
        </c:scaling>
        <c:delete val="0"/>
        <c:axPos val="b"/>
        <c:numFmt formatCode="General" sourceLinked="1"/>
        <c:majorTickMark val="none"/>
        <c:minorTickMark val="none"/>
        <c:tickLblPos val="low"/>
        <c:spPr>
          <a:noFill/>
          <a:ln w="31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crossAx val="164571216"/>
        <c:crosses val="autoZero"/>
        <c:auto val="1"/>
        <c:lblAlgn val="ctr"/>
        <c:lblOffset val="100"/>
        <c:noMultiLvlLbl val="0"/>
      </c:catAx>
      <c:valAx>
        <c:axId val="164571216"/>
        <c:scaling>
          <c:orientation val="minMax"/>
          <c:max val="50"/>
          <c:min val="-600"/>
        </c:scaling>
        <c:delete val="0"/>
        <c:axPos val="l"/>
        <c:majorGridlines>
          <c:spPr>
            <a:ln w="317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3175">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crossAx val="164587416"/>
        <c:crosses val="autoZero"/>
        <c:crossBetween val="between"/>
        <c:majorUnit val="200"/>
      </c:valAx>
      <c:spPr>
        <a:noFill/>
        <a:ln>
          <a:noFill/>
        </a:ln>
        <a:effectLst/>
      </c:spPr>
    </c:plotArea>
    <c:legend>
      <c:legendPos val="b"/>
      <c:layout>
        <c:manualLayout>
          <c:xMode val="edge"/>
          <c:yMode val="edge"/>
          <c:x val="9.86291644100043E-2"/>
          <c:y val="0.44574608870553006"/>
          <c:w val="0.56401248455054231"/>
          <c:h val="0.2792663108693416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sk-SK"/>
        </a:p>
      </c:txPr>
    </c:legend>
    <c:plotVisOnly val="1"/>
    <c:dispBlanksAs val="gap"/>
    <c:showDLblsOverMax val="0"/>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sk-SK"/>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122452898866274"/>
          <c:y val="0"/>
          <c:w val="0.67153464250703598"/>
          <c:h val="1"/>
        </c:manualLayout>
      </c:layout>
      <c:barChart>
        <c:barDir val="bar"/>
        <c:grouping val="stacked"/>
        <c:varyColors val="0"/>
        <c:ser>
          <c:idx val="0"/>
          <c:order val="0"/>
          <c:spPr>
            <a:solidFill>
              <a:srgbClr val="C5E0B4"/>
            </a:solidFill>
            <a:ln>
              <a:noFill/>
            </a:ln>
          </c:spPr>
          <c:invertIfNegative val="0"/>
          <c:cat>
            <c:strRef>
              <c:f>Sumar!$A$60:$A$64</c:f>
              <c:strCache>
                <c:ptCount val="5"/>
                <c:pt idx="0">
                  <c:v>SVS 2021</c:v>
                </c:pt>
                <c:pt idx="1">
                  <c:v>Reforma I. piliera</c:v>
                </c:pt>
                <c:pt idx="2">
                  <c:v>Reforma II. piliera</c:v>
                </c:pt>
                <c:pt idx="3">
                  <c:v>Aktualizácia makroekonomických predpokladov a zmena diskontu*</c:v>
                </c:pt>
                <c:pt idx="4">
                  <c:v>SVS 2022</c:v>
                </c:pt>
              </c:strCache>
            </c:strRef>
          </c:cat>
          <c:val>
            <c:numRef>
              <c:f>Sumar!$D$60:$D$64</c:f>
              <c:numCache>
                <c:formatCode>#,##0</c:formatCode>
                <c:ptCount val="5"/>
                <c:pt idx="1">
                  <c:v>0</c:v>
                </c:pt>
                <c:pt idx="2">
                  <c:v>0</c:v>
                </c:pt>
                <c:pt idx="3">
                  <c:v>0</c:v>
                </c:pt>
              </c:numCache>
            </c:numRef>
          </c:val>
          <c:extLst>
            <c:ext xmlns:c16="http://schemas.microsoft.com/office/drawing/2014/chart" uri="{C3380CC4-5D6E-409C-BE32-E72D297353CC}">
              <c16:uniqueId val="{00000000-A8B7-4EA5-87E2-1FAAAFFC9606}"/>
            </c:ext>
          </c:extLst>
        </c:ser>
        <c:ser>
          <c:idx val="1"/>
          <c:order val="1"/>
          <c:spPr>
            <a:noFill/>
          </c:spPr>
          <c:invertIfNegative val="0"/>
          <c:cat>
            <c:strRef>
              <c:f>Sumar!$A$60:$A$64</c:f>
              <c:strCache>
                <c:ptCount val="5"/>
                <c:pt idx="0">
                  <c:v>SVS 2021</c:v>
                </c:pt>
                <c:pt idx="1">
                  <c:v>Reforma I. piliera</c:v>
                </c:pt>
                <c:pt idx="2">
                  <c:v>Reforma II. piliera</c:v>
                </c:pt>
                <c:pt idx="3">
                  <c:v>Aktualizácia makroekonomických predpokladov a zmena diskontu*</c:v>
                </c:pt>
                <c:pt idx="4">
                  <c:v>SVS 2022</c:v>
                </c:pt>
              </c:strCache>
            </c:strRef>
          </c:cat>
          <c:val>
            <c:numRef>
              <c:f>Sumar!$H$60:$H$64</c:f>
              <c:numCache>
                <c:formatCode>#,##0</c:formatCode>
                <c:ptCount val="5"/>
                <c:pt idx="1">
                  <c:v>-357.40606447043513</c:v>
                </c:pt>
                <c:pt idx="2">
                  <c:v>-357.40606447043513</c:v>
                </c:pt>
                <c:pt idx="3">
                  <c:v>-363.47342226829841</c:v>
                </c:pt>
              </c:numCache>
            </c:numRef>
          </c:val>
          <c:extLst>
            <c:ext xmlns:c16="http://schemas.microsoft.com/office/drawing/2014/chart" uri="{C3380CC4-5D6E-409C-BE32-E72D297353CC}">
              <c16:uniqueId val="{00000001-A8B7-4EA5-87E2-1FAAAFFC9606}"/>
            </c:ext>
          </c:extLst>
        </c:ser>
        <c:ser>
          <c:idx val="2"/>
          <c:order val="2"/>
          <c:spPr>
            <a:solidFill>
              <a:schemeClr val="accent6">
                <a:lumMod val="90000"/>
              </a:schemeClr>
            </a:solidFill>
          </c:spPr>
          <c:invertIfNegative val="0"/>
          <c:dPt>
            <c:idx val="0"/>
            <c:invertIfNegative val="0"/>
            <c:bubble3D val="0"/>
            <c:spPr>
              <a:solidFill>
                <a:schemeClr val="bg1">
                  <a:lumMod val="75000"/>
                </a:schemeClr>
              </a:solidFill>
              <a:ln>
                <a:noFill/>
              </a:ln>
            </c:spPr>
            <c:extLst>
              <c:ext xmlns:c16="http://schemas.microsoft.com/office/drawing/2014/chart" uri="{C3380CC4-5D6E-409C-BE32-E72D297353CC}">
                <c16:uniqueId val="{00000003-A8B7-4EA5-87E2-1FAAAFFC9606}"/>
              </c:ext>
            </c:extLst>
          </c:dPt>
          <c:dPt>
            <c:idx val="1"/>
            <c:invertIfNegative val="0"/>
            <c:bubble3D val="0"/>
            <c:spPr>
              <a:solidFill>
                <a:srgbClr val="70AD47">
                  <a:lumMod val="60000"/>
                  <a:lumOff val="40000"/>
                </a:srgbClr>
              </a:solidFill>
            </c:spPr>
            <c:extLst>
              <c:ext xmlns:c16="http://schemas.microsoft.com/office/drawing/2014/chart" uri="{C3380CC4-5D6E-409C-BE32-E72D297353CC}">
                <c16:uniqueId val="{00000005-A8B7-4EA5-87E2-1FAAAFFC9606}"/>
              </c:ext>
            </c:extLst>
          </c:dPt>
          <c:dPt>
            <c:idx val="2"/>
            <c:invertIfNegative val="0"/>
            <c:bubble3D val="0"/>
            <c:extLst>
              <c:ext xmlns:c16="http://schemas.microsoft.com/office/drawing/2014/chart" uri="{C3380CC4-5D6E-409C-BE32-E72D297353CC}">
                <c16:uniqueId val="{00000006-A8B7-4EA5-87E2-1FAAAFFC9606}"/>
              </c:ext>
            </c:extLst>
          </c:dPt>
          <c:dPt>
            <c:idx val="3"/>
            <c:invertIfNegative val="0"/>
            <c:bubble3D val="0"/>
            <c:spPr>
              <a:solidFill>
                <a:srgbClr val="70AD47">
                  <a:lumMod val="60000"/>
                  <a:lumOff val="40000"/>
                </a:srgbClr>
              </a:solidFill>
            </c:spPr>
            <c:extLst>
              <c:ext xmlns:c16="http://schemas.microsoft.com/office/drawing/2014/chart" uri="{C3380CC4-5D6E-409C-BE32-E72D297353CC}">
                <c16:uniqueId val="{00000008-A8B7-4EA5-87E2-1FAAAFFC9606}"/>
              </c:ext>
            </c:extLst>
          </c:dPt>
          <c:dPt>
            <c:idx val="4"/>
            <c:invertIfNegative val="0"/>
            <c:bubble3D val="0"/>
            <c:spPr>
              <a:solidFill>
                <a:srgbClr val="2C9ADC"/>
              </a:solidFill>
              <a:ln>
                <a:noFill/>
              </a:ln>
            </c:spPr>
            <c:extLst>
              <c:ext xmlns:c16="http://schemas.microsoft.com/office/drawing/2014/chart" uri="{C3380CC4-5D6E-409C-BE32-E72D297353CC}">
                <c16:uniqueId val="{0000000A-A8B7-4EA5-87E2-1FAAAFFC9606}"/>
              </c:ext>
            </c:extLst>
          </c:dPt>
          <c:dPt>
            <c:idx val="6"/>
            <c:invertIfNegative val="0"/>
            <c:bubble3D val="0"/>
            <c:extLst>
              <c:ext xmlns:c16="http://schemas.microsoft.com/office/drawing/2014/chart" uri="{C3380CC4-5D6E-409C-BE32-E72D297353CC}">
                <c16:uniqueId val="{0000000B-A8B7-4EA5-87E2-1FAAAFFC9606}"/>
              </c:ext>
            </c:extLst>
          </c:dPt>
          <c:dLbls>
            <c:dLbl>
              <c:idx val="0"/>
              <c:spPr>
                <a:noFill/>
                <a:ln>
                  <a:noFill/>
                </a:ln>
                <a:effectLst/>
              </c:spPr>
              <c:txPr>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3-A8B7-4EA5-87E2-1FAAAFFC9606}"/>
                </c:ext>
              </c:extLst>
            </c:dLbl>
            <c:dLbl>
              <c:idx val="1"/>
              <c:layout>
                <c:manualLayout>
                  <c:x val="8.2483859280379324E-2"/>
                  <c:y val="0"/>
                </c:manualLayout>
              </c:layout>
              <c:tx>
                <c:rich>
                  <a:bodyPr/>
                  <a:lstStyle/>
                  <a:p>
                    <a:r>
                      <a:rPr lang="en-US"/>
                      <a:t>73,3</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8B7-4EA5-87E2-1FAAAFFC9606}"/>
                </c:ext>
              </c:extLst>
            </c:dLbl>
            <c:dLbl>
              <c:idx val="2"/>
              <c:layout>
                <c:manualLayout>
                  <c:x val="-7.1589858069684709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8B7-4EA5-87E2-1FAAAFFC9606}"/>
                </c:ext>
              </c:extLst>
            </c:dLbl>
            <c:dLbl>
              <c:idx val="3"/>
              <c:layout>
                <c:manualLayout>
                  <c:x val="6.1289952359841846E-2"/>
                  <c:y val="0"/>
                </c:manualLayout>
              </c:layout>
              <c:tx>
                <c:rich>
                  <a:bodyPr/>
                  <a:lstStyle/>
                  <a:p>
                    <a:r>
                      <a:rPr lang="en-US"/>
                      <a:t>39,2</a:t>
                    </a:r>
                  </a:p>
                </c:rich>
              </c:tx>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8B7-4EA5-87E2-1FAAAFFC9606}"/>
                </c:ext>
              </c:extLst>
            </c:dLbl>
            <c:dLbl>
              <c:idx val="4"/>
              <c:spPr>
                <a:noFill/>
                <a:ln>
                  <a:noFill/>
                </a:ln>
                <a:effectLst/>
              </c:spPr>
              <c:txPr>
                <a:bodyPr/>
                <a:lstStyle/>
                <a:p>
                  <a:pPr>
                    <a:defRPr b="1"/>
                  </a:pPr>
                  <a:endParaRPr lang="sk-SK"/>
                </a:p>
              </c:txPr>
              <c:showLegendKey val="0"/>
              <c:showVal val="1"/>
              <c:showCatName val="0"/>
              <c:showSerName val="0"/>
              <c:showPercent val="0"/>
              <c:showBubbleSize val="0"/>
              <c:extLst>
                <c:ext xmlns:c16="http://schemas.microsoft.com/office/drawing/2014/chart" uri="{C3380CC4-5D6E-409C-BE32-E72D297353CC}">
                  <c16:uniqueId val="{0000000A-A8B7-4EA5-87E2-1FAAAFFC960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Sumar!$A$60:$A$64</c:f>
              <c:strCache>
                <c:ptCount val="5"/>
                <c:pt idx="0">
                  <c:v>SVS 2021</c:v>
                </c:pt>
                <c:pt idx="1">
                  <c:v>Reforma I. piliera</c:v>
                </c:pt>
                <c:pt idx="2">
                  <c:v>Reforma II. piliera</c:v>
                </c:pt>
                <c:pt idx="3">
                  <c:v>Aktualizácia makroekonomických predpokladov a zmena diskontu*</c:v>
                </c:pt>
                <c:pt idx="4">
                  <c:v>SVS 2022</c:v>
                </c:pt>
              </c:strCache>
            </c:strRef>
          </c:cat>
          <c:val>
            <c:numRef>
              <c:f>Sumar!$I$60:$I$64</c:f>
              <c:numCache>
                <c:formatCode>#\ ##0.0</c:formatCode>
                <c:ptCount val="5"/>
                <c:pt idx="0">
                  <c:v>-430.70237542556066</c:v>
                </c:pt>
                <c:pt idx="1">
                  <c:v>-73.296310955125549</c:v>
                </c:pt>
                <c:pt idx="2">
                  <c:v>-48.921029520576596</c:v>
                </c:pt>
                <c:pt idx="3">
                  <c:v>-42.853671722713351</c:v>
                </c:pt>
                <c:pt idx="4">
                  <c:v>-363.47342226829835</c:v>
                </c:pt>
              </c:numCache>
            </c:numRef>
          </c:val>
          <c:extLst>
            <c:ext xmlns:c16="http://schemas.microsoft.com/office/drawing/2014/chart" uri="{C3380CC4-5D6E-409C-BE32-E72D297353CC}">
              <c16:uniqueId val="{0000000C-A8B7-4EA5-87E2-1FAAAFFC9606}"/>
            </c:ext>
          </c:extLst>
        </c:ser>
        <c:dLbls>
          <c:showLegendKey val="0"/>
          <c:showVal val="0"/>
          <c:showCatName val="0"/>
          <c:showSerName val="0"/>
          <c:showPercent val="0"/>
          <c:showBubbleSize val="0"/>
        </c:dLbls>
        <c:gapWidth val="10"/>
        <c:overlap val="100"/>
        <c:axId val="620274304"/>
        <c:axId val="620274696"/>
      </c:barChart>
      <c:catAx>
        <c:axId val="620274304"/>
        <c:scaling>
          <c:orientation val="maxMin"/>
        </c:scaling>
        <c:delete val="0"/>
        <c:axPos val="l"/>
        <c:numFmt formatCode="General" sourceLinked="1"/>
        <c:majorTickMark val="none"/>
        <c:minorTickMark val="none"/>
        <c:tickLblPos val="low"/>
        <c:spPr>
          <a:ln>
            <a:solidFill>
              <a:schemeClr val="tx1"/>
            </a:solidFill>
            <a:prstDash val="solid"/>
          </a:ln>
        </c:spPr>
        <c:txPr>
          <a:bodyPr rot="0" vert="horz"/>
          <a:lstStyle/>
          <a:p>
            <a:pPr algn="just">
              <a:defRPr/>
            </a:pPr>
            <a:endParaRPr lang="sk-SK"/>
          </a:p>
        </c:txPr>
        <c:crossAx val="620274696"/>
        <c:crosses val="autoZero"/>
        <c:auto val="1"/>
        <c:lblAlgn val="ctr"/>
        <c:lblOffset val="100"/>
        <c:noMultiLvlLbl val="0"/>
      </c:catAx>
      <c:valAx>
        <c:axId val="620274696"/>
        <c:scaling>
          <c:orientation val="minMax"/>
        </c:scaling>
        <c:delete val="1"/>
        <c:axPos val="t"/>
        <c:numFmt formatCode="#,##0" sourceLinked="1"/>
        <c:majorTickMark val="out"/>
        <c:minorTickMark val="none"/>
        <c:tickLblPos val="low"/>
        <c:crossAx val="620274304"/>
        <c:crosses val="autoZero"/>
        <c:crossBetween val="between"/>
      </c:valAx>
    </c:plotArea>
    <c:plotVisOnly val="1"/>
    <c:dispBlanksAs val="gap"/>
    <c:showDLblsOverMax val="0"/>
  </c:chart>
  <c:spPr>
    <a:noFill/>
    <a:ln>
      <a:solidFill>
        <a:schemeClr val="bg1"/>
      </a:solidFill>
    </a:ln>
  </c:spPr>
  <c:txPr>
    <a:bodyPr/>
    <a:lstStyle/>
    <a:p>
      <a:pPr>
        <a:defRPr sz="900">
          <a:latin typeface="Times New Roman" panose="02020603050405020304" pitchFamily="18" charset="0"/>
          <a:cs typeface="Times New Roman" panose="02020603050405020304" pitchFamily="18" charset="0"/>
        </a:defRPr>
      </a:pPr>
      <a:endParaRPr lang="sk-SK"/>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IFP">
    <a:dk1>
      <a:sysClr val="windowText" lastClr="000000"/>
    </a:dk1>
    <a:lt1>
      <a:sysClr val="window" lastClr="FFFFFF"/>
    </a:lt1>
    <a:dk2>
      <a:srgbClr val="1F497D"/>
    </a:dk2>
    <a:lt2>
      <a:srgbClr val="EEECE1"/>
    </a:lt2>
    <a:accent1>
      <a:srgbClr val="2C9ADC"/>
    </a:accent1>
    <a:accent2>
      <a:srgbClr val="AAD3F2"/>
    </a:accent2>
    <a:accent3>
      <a:srgbClr val="B0D6AF"/>
    </a:accent3>
    <a:accent4>
      <a:srgbClr val="D3BEDE"/>
    </a:accent4>
    <a:accent5>
      <a:srgbClr val="D9D3AB"/>
    </a:accent5>
    <a:accent6>
      <a:srgbClr val="F9C9BA"/>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7FE8C-49C1-4217-9B82-278BAC74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3502</TotalTime>
  <Pages>75</Pages>
  <Words>37544</Words>
  <Characters>214007</Characters>
  <Application>Microsoft Office Word</Application>
  <DocSecurity>0</DocSecurity>
  <Lines>1783</Lines>
  <Paragraphs>502</Paragraphs>
  <ScaleCrop>false</ScaleCrop>
  <HeadingPairs>
    <vt:vector size="2" baseType="variant">
      <vt:variant>
        <vt:lpstr>Názov</vt:lpstr>
      </vt:variant>
      <vt:variant>
        <vt:i4>1</vt:i4>
      </vt:variant>
    </vt:vector>
  </HeadingPairs>
  <TitlesOfParts>
    <vt:vector size="1" baseType="lpstr">
      <vt:lpstr/>
    </vt:vector>
  </TitlesOfParts>
  <Company>MF SR</Company>
  <LinksUpToDate>false</LinksUpToDate>
  <CharactersWithSpaces>251049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zkrajcir</dc:creator>
  <cp:keywords/>
  <dc:description/>
  <cp:lastModifiedBy>Viest Martin</cp:lastModifiedBy>
  <cp:revision>464</cp:revision>
  <cp:lastPrinted>2023-10-23T14:42:00Z</cp:lastPrinted>
  <dcterms:created xsi:type="dcterms:W3CDTF">2023-09-20T12:44:00Z</dcterms:created>
  <dcterms:modified xsi:type="dcterms:W3CDTF">2023-10-27T11:57:00Z</dcterms:modified>
</cp:coreProperties>
</file>